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9B407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highlight w:val="none"/>
        </w:rPr>
      </w:pPr>
    </w:p>
    <w:p w14:paraId="68BF87B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highlight w:val="none"/>
          <w:lang w:eastAsia="zh-CN"/>
        </w:rPr>
      </w:pPr>
    </w:p>
    <w:p w14:paraId="5FC08C7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太仓市政府采购</w:t>
      </w:r>
    </w:p>
    <w:p w14:paraId="4F0A3FA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 </w:t>
      </w:r>
    </w:p>
    <w:p w14:paraId="4FF7887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招 标 文 件</w:t>
      </w:r>
    </w:p>
    <w:p w14:paraId="1AEE3EF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highlight w:val="none"/>
          <w:lang w:eastAsia="zh-CN"/>
        </w:rPr>
        <w:t> </w:t>
      </w:r>
    </w:p>
    <w:p w14:paraId="7F181517">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lang w:eastAsia="zh-CN"/>
        </w:rPr>
      </w:pPr>
      <w:r>
        <w:rPr>
          <w:rFonts w:hint="eastAsia" w:ascii="宋体" w:hAnsi="宋体" w:eastAsia="宋体" w:cs="宋体"/>
          <w:highlight w:val="none"/>
          <w:lang w:eastAsia="zh-CN"/>
        </w:rPr>
        <w:t> </w:t>
      </w:r>
    </w:p>
    <w:p w14:paraId="4E6CE20B">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highlight w:val="none"/>
          <w:lang w:eastAsia="zh-CN"/>
        </w:rPr>
      </w:pPr>
      <w:r>
        <w:rPr>
          <w:rFonts w:hint="eastAsia" w:ascii="宋体" w:hAnsi="宋体" w:eastAsia="宋体" w:cs="宋体"/>
          <w:sz w:val="32"/>
          <w:highlight w:val="none"/>
          <w:lang w:eastAsia="zh-CN"/>
        </w:rPr>
        <w:t> </w:t>
      </w:r>
    </w:p>
    <w:p w14:paraId="5A49006D">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bookmarkStart w:id="0" w:name="OLE_LINK1"/>
      <w:r>
        <w:rPr>
          <w:rFonts w:hint="eastAsia" w:ascii="宋体" w:hAnsi="宋体" w:eastAsia="宋体" w:cs="宋体"/>
          <w:b/>
          <w:sz w:val="36"/>
          <w:highlight w:val="none"/>
          <w:lang w:eastAsia="zh-CN"/>
        </w:rPr>
        <w:t>项目编号：JSZC-320585-JZCG-G2026-0088</w:t>
      </w:r>
    </w:p>
    <w:p w14:paraId="77A8E01B">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项目名称：</w:t>
      </w:r>
      <w:r>
        <w:rPr>
          <w:rFonts w:hint="eastAsia" w:ascii="宋体" w:hAnsi="宋体" w:eastAsia="宋体" w:cs="宋体"/>
          <w:b/>
          <w:sz w:val="36"/>
          <w:highlight w:val="none"/>
          <w:lang w:eastAsia="zh-CN"/>
        </w:rPr>
        <w:t>移动运营指挥舱及三级公立医院绩效及评审管理系统建设项目</w:t>
      </w:r>
    </w:p>
    <w:p w14:paraId="2A3861CF">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采购单位：太仓市娄江新城医院（瑞金医院太仓分院）</w:t>
      </w:r>
    </w:p>
    <w:bookmarkEnd w:id="0"/>
    <w:p w14:paraId="6DDC32FE">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采购项目类别：服务类</w:t>
      </w:r>
    </w:p>
    <w:p w14:paraId="360CB0D3">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标的所属行业：（十二）软件和信息服务业</w:t>
      </w:r>
    </w:p>
    <w:p w14:paraId="6230D06F">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highlight w:val="none"/>
          <w:lang w:eastAsia="zh-CN"/>
        </w:rPr>
      </w:pPr>
    </w:p>
    <w:p w14:paraId="26639F01">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highlight w:val="none"/>
          <w:lang w:eastAsia="zh-CN"/>
        </w:rPr>
      </w:pPr>
      <w:r>
        <w:rPr>
          <w:rFonts w:hint="eastAsia" w:ascii="宋体" w:hAnsi="宋体" w:eastAsia="宋体" w:cs="宋体"/>
          <w:sz w:val="44"/>
          <w:highlight w:val="none"/>
          <w:lang w:eastAsia="zh-CN"/>
        </w:rPr>
        <w:t>苏州市公共资源交易中心太仓分中心</w:t>
      </w:r>
    </w:p>
    <w:p w14:paraId="384E5F73">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highlight w:val="none"/>
          <w:lang w:eastAsia="zh-CN"/>
        </w:rPr>
      </w:pPr>
    </w:p>
    <w:p w14:paraId="2EEBB11D">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highlight w:val="none"/>
          <w:lang w:eastAsia="zh-CN"/>
        </w:rPr>
      </w:pPr>
      <w:r>
        <w:rPr>
          <w:rFonts w:hint="eastAsia" w:ascii="宋体" w:hAnsi="宋体" w:eastAsia="宋体" w:cs="宋体"/>
          <w:sz w:val="44"/>
          <w:highlight w:val="none"/>
          <w:lang w:eastAsia="zh-CN"/>
        </w:rPr>
        <w:t>2026年9月</w:t>
      </w:r>
    </w:p>
    <w:p w14:paraId="4C0393C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17F6DE0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32DA30D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2EBEC483">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3B7E3B6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1098C15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36"/>
          <w:highlight w:val="none"/>
          <w:lang w:eastAsia="zh-CN"/>
        </w:rPr>
        <w:t>目 录</w:t>
      </w:r>
    </w:p>
    <w:p w14:paraId="673D7118">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highlight w:val="none"/>
          <w:lang w:eastAsia="zh-CN"/>
        </w:rPr>
      </w:pPr>
    </w:p>
    <w:p w14:paraId="0A2BE77B">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第一部分：招标公告</w:t>
      </w:r>
    </w:p>
    <w:p w14:paraId="72D3D438">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第二部分：投标人须知</w:t>
      </w:r>
    </w:p>
    <w:p w14:paraId="48A8E268">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第三部分：项目需求</w:t>
      </w:r>
    </w:p>
    <w:p w14:paraId="7DE2A199">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第四部分：投标文件格式</w:t>
      </w:r>
    </w:p>
    <w:p w14:paraId="2AEC238B">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第五部分：评标方法与评标标准</w:t>
      </w:r>
    </w:p>
    <w:p w14:paraId="7F200160">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第六部分：合同主要条款</w:t>
      </w:r>
    </w:p>
    <w:p w14:paraId="467076BA">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highlight w:val="none"/>
          <w:lang w:eastAsia="zh-CN"/>
        </w:rPr>
      </w:pPr>
      <w:r>
        <w:rPr>
          <w:rFonts w:hint="eastAsia" w:ascii="宋体" w:hAnsi="宋体" w:eastAsia="宋体" w:cs="宋体"/>
          <w:sz w:val="24"/>
          <w:highlight w:val="none"/>
          <w:lang w:eastAsia="zh-CN"/>
        </w:rPr>
        <w:t> </w:t>
      </w:r>
    </w:p>
    <w:p w14:paraId="09B127CB">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350C78B3">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3A93DBF3">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51F4ECD5">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72B28EAA">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6FBB922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258607A1">
      <w:pPr>
        <w:jc w:val="center"/>
        <w:rPr>
          <w:rFonts w:ascii="宋体" w:hAnsi="宋体" w:eastAsia="宋体" w:cs="宋体"/>
          <w:b/>
          <w:sz w:val="44"/>
          <w:highlight w:val="none"/>
        </w:rPr>
      </w:pPr>
      <w:r>
        <w:rPr>
          <w:rFonts w:hint="eastAsia" w:ascii="宋体" w:hAnsi="宋体" w:eastAsia="宋体" w:cs="宋体"/>
          <w:b/>
          <w:sz w:val="44"/>
          <w:highlight w:val="none"/>
        </w:rPr>
        <w:t>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41FFA08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3F97A6C7">
            <w:pPr>
              <w:pStyle w:val="4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7C6A66E4">
            <w:pPr>
              <w:pStyle w:val="4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移动运营指挥舱及三级公立医院绩效及评审管理系统建设项目</w:t>
            </w:r>
            <w:r>
              <w:rPr>
                <w:rFonts w:hint="eastAsia" w:ascii="宋体" w:hAnsi="宋体" w:eastAsia="宋体" w:cs="宋体"/>
                <w:sz w:val="24"/>
                <w:szCs w:val="24"/>
                <w:highlight w:val="none"/>
                <w:lang w:eastAsia="zh-CN"/>
              </w:rPr>
              <w:t> JSZC-320585-JZCG-G2026-0088招标项目的潜在投标人应在“苏采云</w:t>
            </w:r>
            <w:r>
              <w:rPr>
                <w:rFonts w:hint="eastAsia" w:ascii="宋体" w:hAnsi="宋体" w:eastAsia="宋体" w:cs="宋体"/>
                <w:sz w:val="24"/>
                <w:szCs w:val="24"/>
                <w:highlight w:val="none"/>
                <w:shd w:val="clear" w:color="auto" w:fill="FFFFFF"/>
                <w:lang w:eastAsia="zh-CN"/>
              </w:rPr>
              <w:t>”系统（网址：http://jszfcg.jsczt.cn/）自行下载获取招标文件，并于</w:t>
            </w:r>
            <w:r>
              <w:rPr>
                <w:rFonts w:hint="eastAsia" w:ascii="宋体" w:hAnsi="宋体" w:eastAsia="宋体" w:cs="宋体"/>
                <w:sz w:val="24"/>
                <w:szCs w:val="24"/>
                <w:highlight w:val="none"/>
                <w:shd w:val="clear" w:color="auto" w:fill="FFFFFF"/>
                <w:lang w:eastAsia="zh-CN"/>
              </w:rPr>
              <w:t>2026-10-23</w:t>
            </w:r>
            <w:r>
              <w:rPr>
                <w:rFonts w:hint="eastAsia" w:ascii="宋体" w:hAnsi="宋体" w:eastAsia="宋体" w:cs="宋体"/>
                <w:sz w:val="24"/>
                <w:szCs w:val="24"/>
                <w:highlight w:val="none"/>
                <w:shd w:val="clear" w:color="auto" w:fill="FFFFFF"/>
                <w:lang w:eastAsia="zh-CN"/>
              </w:rPr>
              <w:t xml:space="preserve"> 09:30 （北京时间）前递交投标文件。</w:t>
            </w:r>
          </w:p>
        </w:tc>
      </w:tr>
    </w:tbl>
    <w:p w14:paraId="27A67E52">
      <w:pPr>
        <w:pStyle w:val="4"/>
        <w:keepNext w:val="0"/>
        <w:keepLines w:val="0"/>
        <w:spacing w:before="0" w:after="0" w:line="48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一、项目基本情况</w:t>
      </w:r>
    </w:p>
    <w:p w14:paraId="58FAC7F0">
      <w:pPr>
        <w:pStyle w:val="40"/>
        <w:spacing w:after="0" w:line="480" w:lineRule="exact"/>
        <w:ind w:firstLine="480" w:firstLineChars="200"/>
        <w:rPr>
          <w:rFonts w:ascii="宋体" w:hAnsi="宋体" w:eastAsia="宋体" w:cs="宋体"/>
          <w:sz w:val="24"/>
          <w:szCs w:val="24"/>
          <w:highlight w:val="none"/>
          <w:lang w:eastAsia="zh-CN"/>
        </w:rPr>
      </w:pPr>
      <w:bookmarkStart w:id="1" w:name="OLE_LINK14"/>
      <w:r>
        <w:rPr>
          <w:rFonts w:hint="eastAsia" w:ascii="宋体" w:hAnsi="宋体" w:eastAsia="宋体" w:cs="宋体"/>
          <w:sz w:val="24"/>
          <w:szCs w:val="24"/>
          <w:highlight w:val="none"/>
          <w:shd w:val="clear" w:color="auto" w:fill="FFFFFF"/>
          <w:lang w:eastAsia="zh-CN"/>
        </w:rPr>
        <w:t>项目编号：JSZC-320585-JZCG-G2026-0088</w:t>
      </w:r>
    </w:p>
    <w:bookmarkEnd w:id="1"/>
    <w:p w14:paraId="1719F691">
      <w:pPr>
        <w:pStyle w:val="40"/>
        <w:spacing w:after="0" w:line="56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项目名称：移动运营指挥舱及三级公立医院绩效及评审管理系统建设项目</w:t>
      </w:r>
    </w:p>
    <w:p w14:paraId="3B7911E0">
      <w:pPr>
        <w:pStyle w:val="40"/>
        <w:spacing w:after="0" w:line="56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预算金额：238 万元</w:t>
      </w:r>
    </w:p>
    <w:p w14:paraId="17AC20F0">
      <w:pPr>
        <w:pStyle w:val="40"/>
        <w:spacing w:after="0" w:line="56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最高限价：无；</w:t>
      </w:r>
    </w:p>
    <w:p w14:paraId="7628ECD2">
      <w:pPr>
        <w:pStyle w:val="40"/>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p w14:paraId="4A8D9FEB">
      <w:pPr>
        <w:pStyle w:val="40"/>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采购需求：</w:t>
      </w:r>
    </w:p>
    <w:p w14:paraId="5A3D9CD6">
      <w:pPr>
        <w:pStyle w:val="40"/>
        <w:spacing w:after="0" w:line="480" w:lineRule="exact"/>
        <w:ind w:firstLine="480" w:firstLineChars="200"/>
        <w:jc w:val="both"/>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本项目为太仓市娄江新城医院（瑞金医院太仓分院）移动运营指挥舱及三级公立医院绩效及评审管理系统建设项目，具体内容详见第三部分</w:t>
      </w:r>
      <w:r>
        <w:rPr>
          <w:rFonts w:hint="eastAsia" w:ascii="宋体" w:hAnsi="宋体" w:eastAsia="宋体" w:cs="宋体"/>
          <w:sz w:val="24"/>
          <w:szCs w:val="24"/>
          <w:highlight w:val="none"/>
          <w:shd w:val="clear" w:color="auto" w:fill="FFFFFF"/>
          <w:lang w:eastAsia="zh-CN"/>
        </w:rPr>
        <w:t>项目需求。</w:t>
      </w:r>
    </w:p>
    <w:p w14:paraId="6B69E097">
      <w:pPr>
        <w:pStyle w:val="40"/>
        <w:spacing w:after="0" w:line="480" w:lineRule="exact"/>
        <w:ind w:firstLine="480" w:firstLineChars="200"/>
        <w:jc w:val="both"/>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合同履行期限：合同签订生效后2个月内完成项目建设，验收通过后进入运维期，运维期为一年。</w:t>
      </w:r>
    </w:p>
    <w:p w14:paraId="0E5773D3">
      <w:pPr>
        <w:pStyle w:val="40"/>
        <w:shd w:val="clear" w:color="auto" w:fill="FFFFFF"/>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7E555930">
      <w:pPr>
        <w:pStyle w:val="4"/>
        <w:keepNext w:val="0"/>
        <w:keepLines w:val="0"/>
        <w:spacing w:before="0" w:after="0" w:line="480" w:lineRule="exact"/>
        <w:ind w:firstLine="562" w:firstLineChars="200"/>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二、申请人的资格要求</w:t>
      </w:r>
    </w:p>
    <w:p w14:paraId="4DC3928B">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4B4812DF">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47118A08">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30D83884">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3FDC2ECA">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060C6AA1">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5D674245">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件当事人名单、政府采购严重失信行为记录名单。</w:t>
      </w:r>
    </w:p>
    <w:p w14:paraId="391DBABC">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27581AB3">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p>
    <w:p w14:paraId="7BE2F012">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p>
    <w:p w14:paraId="2FBE2DC5">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1BC5B392">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0D8F5CB8">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0F9AB03B">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540D9252">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62006A86">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3、法人的分支机构不得参加响应活动（除银行、保险、石油石化、电力、电信等行业特殊情况外）。</w:t>
      </w:r>
    </w:p>
    <w:p w14:paraId="47081D24">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6D45762">
      <w:pPr>
        <w:pStyle w:val="4"/>
        <w:keepNext w:val="0"/>
        <w:keepLines w:val="0"/>
        <w:spacing w:before="0" w:after="0" w:line="480" w:lineRule="exact"/>
        <w:ind w:firstLine="562" w:firstLineChars="200"/>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三、获取招标文件</w:t>
      </w:r>
    </w:p>
    <w:p w14:paraId="40E46CFD">
      <w:pPr>
        <w:pStyle w:val="40"/>
        <w:spacing w:after="0"/>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时间：自招标文件公告发布之日起5个工作日</w:t>
      </w:r>
    </w:p>
    <w:p w14:paraId="4070EF48">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2799B29D">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7B722C18">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4EB3D161">
      <w:pPr>
        <w:pStyle w:val="4"/>
        <w:keepNext w:val="0"/>
        <w:keepLines w:val="0"/>
        <w:spacing w:before="0" w:after="0" w:line="480" w:lineRule="exact"/>
        <w:ind w:firstLine="562" w:firstLineChars="200"/>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四、提交投标文件截止时间、开标时间和地点</w:t>
      </w:r>
    </w:p>
    <w:p w14:paraId="1FA35011">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2026-10-23 09:30</w:t>
      </w:r>
      <w:r>
        <w:rPr>
          <w:rFonts w:hint="eastAsia" w:ascii="宋体" w:hAnsi="宋体" w:eastAsia="宋体" w:cs="宋体"/>
          <w:sz w:val="24"/>
          <w:szCs w:val="24"/>
          <w:highlight w:val="none"/>
          <w:shd w:val="clear" w:color="auto" w:fill="FFFFFF"/>
          <w:lang w:eastAsia="zh-CN"/>
        </w:rPr>
        <w:t> （北京时间）</w:t>
      </w:r>
    </w:p>
    <w:p w14:paraId="2A8CB30C">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 </w:t>
      </w:r>
    </w:p>
    <w:p w14:paraId="5C570153">
      <w:pPr>
        <w:pStyle w:val="4"/>
        <w:keepNext w:val="0"/>
        <w:keepLines w:val="0"/>
        <w:shd w:val="clear" w:color="auto" w:fill="FFFFFF"/>
        <w:spacing w:before="0" w:after="0" w:line="480" w:lineRule="exact"/>
        <w:ind w:firstLine="562" w:firstLineChars="200"/>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五、公告期限</w:t>
      </w:r>
    </w:p>
    <w:p w14:paraId="0B02337B">
      <w:pPr>
        <w:pStyle w:val="40"/>
        <w:shd w:val="clear" w:color="auto" w:fill="FFFFFF"/>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7240D620">
      <w:pPr>
        <w:pStyle w:val="4"/>
        <w:keepNext w:val="0"/>
        <w:keepLines w:val="0"/>
        <w:spacing w:before="0" w:after="0" w:line="44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六、其他补充事宜</w:t>
      </w:r>
    </w:p>
    <w:p w14:paraId="79BD2B9F">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1、本项目需要使用CA数字证书制作、上传电子投标文件完成电子投标，请供应商在参加投标活动前办理好CA数字证书申领及电子签章等操作。</w:t>
      </w:r>
    </w:p>
    <w:p w14:paraId="604178ED">
      <w:pPr>
        <w:spacing w:after="0" w:line="500" w:lineRule="atLeas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322D520">
      <w:pPr>
        <w:spacing w:after="0" w:line="500" w:lineRule="atLeast"/>
        <w:ind w:firstLine="482" w:firstLineChars="200"/>
        <w:rPr>
          <w:rFonts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3、本项目采用不见面开标，投标人开标时无需到开标现场进行解密，采取网上开标大厅解密电子投标文件，投标人远程解密要求如下：</w:t>
      </w:r>
    </w:p>
    <w:p w14:paraId="2ADE2433">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57A85386">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2）投标人登录苏采云系统，点击开标大厅，选择开标项目，完成不见面开标流程。</w:t>
      </w:r>
    </w:p>
    <w:p w14:paraId="339CA5F8">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3）投标截止时间后根据系统提示解密电子投标文件。</w:t>
      </w:r>
      <w:r>
        <w:rPr>
          <w:rFonts w:hint="eastAsia" w:ascii="宋体" w:hAnsi="宋体" w:eastAsia="宋体" w:cs="宋体"/>
          <w:b/>
          <w:sz w:val="24"/>
          <w:szCs w:val="24"/>
          <w:highlight w:val="none"/>
          <w:lang w:eastAsia="zh-CN"/>
        </w:rPr>
        <w:t>解密时间为15分钟，</w:t>
      </w:r>
      <w:r>
        <w:rPr>
          <w:rFonts w:hint="eastAsia" w:ascii="宋体" w:hAnsi="宋体" w:eastAsia="宋体" w:cs="宋体"/>
          <w:sz w:val="24"/>
          <w:szCs w:val="24"/>
          <w:highlight w:val="none"/>
          <w:lang w:eastAsia="zh-CN"/>
        </w:rPr>
        <w:t>未在规定时间内完成解密，其投标文件将被拒绝，不参与后续投标流程。</w:t>
      </w:r>
    </w:p>
    <w:p w14:paraId="5010F1E7">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3F24EC84">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r>
        <w:rPr>
          <w:rFonts w:hint="eastAsia" w:ascii="宋体" w:hAnsi="宋体" w:eastAsia="宋体" w:cs="宋体"/>
          <w:b/>
          <w:sz w:val="24"/>
          <w:szCs w:val="24"/>
          <w:highlight w:val="none"/>
          <w:lang w:eastAsia="zh-CN"/>
        </w:rPr>
        <w:t>有关苏采云系统驱动安装，</w:t>
      </w:r>
      <w:r>
        <w:rPr>
          <w:rFonts w:hint="eastAsia" w:ascii="宋体" w:hAnsi="宋体" w:eastAsia="宋体" w:cs="宋体"/>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“政务CA、方正签章控件驱动安装包及安装说明”</w:t>
      </w:r>
      <w:r>
        <w:rPr>
          <w:rFonts w:hint="eastAsia" w:ascii="宋体" w:hAnsi="宋体" w:eastAsia="宋体" w:cs="宋体"/>
          <w:sz w:val="24"/>
          <w:szCs w:val="24"/>
          <w:highlight w:val="none"/>
          <w:lang w:eastAsia="zh-CN"/>
        </w:rPr>
        <w:t>文件，按要求安装驱动。</w:t>
      </w:r>
    </w:p>
    <w:p w14:paraId="3F75DBBC">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b/>
          <w:sz w:val="24"/>
          <w:szCs w:val="24"/>
          <w:highlight w:val="none"/>
          <w:lang w:eastAsia="zh-CN"/>
        </w:rPr>
        <w:t>有关供应商注册、报名、下载电子招标文件、制作上传电子投标文件</w:t>
      </w:r>
      <w:r>
        <w:rPr>
          <w:rFonts w:hint="eastAsia" w:ascii="宋体" w:hAnsi="宋体" w:eastAsia="宋体" w:cs="宋体"/>
          <w:sz w:val="24"/>
          <w:szCs w:val="24"/>
          <w:highlight w:val="none"/>
          <w:lang w:eastAsia="zh-CN"/>
        </w:rPr>
        <w:t>、不见面开标及其他注意事项登录苏州政府采购网，在“下载中心”栏目下载“</w:t>
      </w:r>
      <w:r>
        <w:rPr>
          <w:rFonts w:hint="eastAsia" w:ascii="宋体" w:hAnsi="宋体" w:eastAsia="宋体" w:cs="宋体"/>
          <w:b/>
          <w:sz w:val="24"/>
          <w:szCs w:val="24"/>
          <w:highlight w:val="none"/>
          <w:lang w:eastAsia="zh-CN"/>
        </w:rPr>
        <w:t>苏采云系统供应商操作</w:t>
      </w:r>
      <w:r>
        <w:rPr>
          <w:rFonts w:hint="eastAsia" w:ascii="宋体" w:hAnsi="宋体" w:eastAsia="宋体" w:cs="宋体"/>
          <w:b/>
          <w:bCs/>
          <w:sz w:val="24"/>
          <w:szCs w:val="24"/>
          <w:highlight w:val="none"/>
          <w:lang w:eastAsia="zh-CN"/>
        </w:rPr>
        <w:t>手册</w:t>
      </w:r>
      <w:r>
        <w:rPr>
          <w:rFonts w:hint="eastAsia" w:ascii="宋体" w:hAnsi="宋体" w:eastAsia="宋体" w:cs="宋体"/>
          <w:sz w:val="24"/>
          <w:szCs w:val="24"/>
          <w:highlight w:val="none"/>
          <w:lang w:eastAsia="zh-CN"/>
        </w:rPr>
        <w:t>”查阅。</w:t>
      </w:r>
    </w:p>
    <w:p w14:paraId="0F854879">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086C181E">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7、有关电子投标制作技术疑问，请咨询苏采云软件公司客服：13913190747、0519-86722802</w:t>
      </w:r>
    </w:p>
    <w:p w14:paraId="2A1CC530">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8、政府采购监督电话：0512-53890318</w:t>
      </w:r>
    </w:p>
    <w:p w14:paraId="5D291F87">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9、本次招标投标保证金：本项目无须缴纳投标保证金。</w:t>
      </w:r>
    </w:p>
    <w:p w14:paraId="6F858143">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10、政府采购信用融资政策：中标供应商可凭政府采购合同办理融资贷款，详情请见江苏政府采购网“政采贷”专栏。</w:t>
      </w:r>
    </w:p>
    <w:p w14:paraId="28B4E5FA">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4F1FA827">
      <w:pPr>
        <w:pStyle w:val="4"/>
        <w:keepNext w:val="0"/>
        <w:keepLines w:val="0"/>
        <w:spacing w:before="0" w:after="0" w:line="48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七、对本次招标提出询问，请按以下方式联系</w:t>
      </w:r>
    </w:p>
    <w:p w14:paraId="5E39AC5A">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48E1B9DA">
      <w:pPr>
        <w:pStyle w:val="40"/>
        <w:spacing w:after="0" w:line="500" w:lineRule="exact"/>
        <w:ind w:firstLine="480"/>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名称：太仓市娄江新城医院（瑞金医院太仓分院）</w:t>
      </w:r>
    </w:p>
    <w:p w14:paraId="53400AFD">
      <w:pPr>
        <w:pStyle w:val="40"/>
        <w:spacing w:after="0" w:line="500" w:lineRule="exact"/>
        <w:ind w:firstLine="480"/>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地</w:t>
      </w:r>
      <w:r>
        <w:rPr>
          <w:rFonts w:ascii="宋体" w:hAnsi="宋体" w:eastAsia="宋体" w:cs="宋体"/>
          <w:color w:val="333333"/>
          <w:sz w:val="24"/>
          <w:szCs w:val="24"/>
          <w:highlight w:val="none"/>
          <w:shd w:val="clear" w:color="auto" w:fill="FFFFFF"/>
          <w:lang w:eastAsia="zh-CN"/>
        </w:rPr>
        <w:t xml:space="preserve">    </w:t>
      </w:r>
      <w:r>
        <w:rPr>
          <w:rFonts w:hint="eastAsia" w:ascii="宋体" w:hAnsi="宋体" w:eastAsia="宋体" w:cs="宋体"/>
          <w:color w:val="333333"/>
          <w:sz w:val="24"/>
          <w:szCs w:val="24"/>
          <w:highlight w:val="none"/>
          <w:shd w:val="clear" w:color="auto" w:fill="FFFFFF"/>
          <w:lang w:eastAsia="zh-CN"/>
        </w:rPr>
        <w:t>址：太仓市上海东路</w:t>
      </w:r>
      <w:r>
        <w:rPr>
          <w:rFonts w:ascii="宋体" w:hAnsi="宋体" w:eastAsia="宋体" w:cs="宋体"/>
          <w:color w:val="333333"/>
          <w:sz w:val="24"/>
          <w:szCs w:val="24"/>
          <w:highlight w:val="none"/>
          <w:shd w:val="clear" w:color="auto" w:fill="FFFFFF"/>
          <w:lang w:eastAsia="zh-CN"/>
        </w:rPr>
        <w:t>666</w:t>
      </w:r>
      <w:r>
        <w:rPr>
          <w:rFonts w:hint="eastAsia" w:ascii="宋体" w:hAnsi="宋体" w:eastAsia="宋体" w:cs="宋体"/>
          <w:color w:val="333333"/>
          <w:sz w:val="24"/>
          <w:szCs w:val="24"/>
          <w:highlight w:val="none"/>
          <w:shd w:val="clear" w:color="auto" w:fill="FFFFFF"/>
          <w:lang w:eastAsia="zh-CN"/>
        </w:rPr>
        <w:t>号</w:t>
      </w:r>
      <w:r>
        <w:rPr>
          <w:rFonts w:ascii="宋体" w:hAnsi="宋体" w:eastAsia="宋体" w:cs="宋体"/>
          <w:color w:val="333333"/>
          <w:sz w:val="24"/>
          <w:szCs w:val="24"/>
          <w:highlight w:val="none"/>
          <w:shd w:val="clear" w:color="auto" w:fill="FFFFFF"/>
          <w:lang w:eastAsia="zh-CN"/>
        </w:rPr>
        <w:t xml:space="preserve">  </w:t>
      </w:r>
    </w:p>
    <w:p w14:paraId="2F806469">
      <w:pPr>
        <w:pStyle w:val="40"/>
        <w:spacing w:after="0" w:line="500" w:lineRule="exact"/>
        <w:ind w:firstLine="480"/>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联系人：曹泽鑫</w:t>
      </w:r>
    </w:p>
    <w:p w14:paraId="3239B144">
      <w:pPr>
        <w:pStyle w:val="40"/>
        <w:spacing w:after="0" w:line="500" w:lineRule="exact"/>
        <w:ind w:firstLine="480"/>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联系电话</w:t>
      </w:r>
      <w:r>
        <w:rPr>
          <w:rFonts w:ascii="宋体" w:hAnsi="宋体" w:eastAsia="宋体" w:cs="宋体"/>
          <w:color w:val="333333"/>
          <w:sz w:val="24"/>
          <w:szCs w:val="24"/>
          <w:highlight w:val="none"/>
          <w:shd w:val="clear" w:color="auto" w:fill="FFFFFF"/>
          <w:lang w:eastAsia="zh-CN"/>
        </w:rPr>
        <w:t xml:space="preserve"> </w:t>
      </w:r>
      <w:r>
        <w:rPr>
          <w:rFonts w:hint="eastAsia" w:ascii="宋体" w:hAnsi="宋体" w:eastAsia="宋体" w:cs="宋体"/>
          <w:color w:val="333333"/>
          <w:sz w:val="24"/>
          <w:szCs w:val="24"/>
          <w:highlight w:val="none"/>
          <w:shd w:val="clear" w:color="auto" w:fill="FFFFFF"/>
          <w:lang w:eastAsia="zh-CN"/>
        </w:rPr>
        <w:t>：</w:t>
      </w:r>
      <w:r>
        <w:rPr>
          <w:rFonts w:ascii="宋体" w:hAnsi="宋体" w:eastAsia="宋体" w:cs="宋体"/>
          <w:color w:val="333333"/>
          <w:sz w:val="24"/>
          <w:szCs w:val="24"/>
          <w:highlight w:val="none"/>
          <w:shd w:val="clear" w:color="auto" w:fill="FFFFFF"/>
          <w:lang w:eastAsia="zh-CN"/>
        </w:rPr>
        <w:t>0512-56561770</w:t>
      </w:r>
      <w:r>
        <w:rPr>
          <w:rFonts w:hint="eastAsia" w:ascii="宋体" w:hAnsi="宋体" w:eastAsia="宋体" w:cs="宋体"/>
          <w:color w:val="333333"/>
          <w:sz w:val="24"/>
          <w:szCs w:val="24"/>
          <w:highlight w:val="none"/>
          <w:shd w:val="clear" w:color="auto" w:fill="FFFFFF"/>
          <w:lang w:eastAsia="zh-CN"/>
        </w:rPr>
        <w:t xml:space="preserve"> </w:t>
      </w:r>
    </w:p>
    <w:p w14:paraId="69D6B136">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2.采购代理机构信息（如有）</w:t>
      </w:r>
    </w:p>
    <w:p w14:paraId="7995E4B0">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单位名称：苏州市公共资源交易中心太仓分中心</w:t>
      </w:r>
    </w:p>
    <w:p w14:paraId="34E463BF">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单位地址：太仓市陆渡街道万金北路88号3栋</w:t>
      </w:r>
    </w:p>
    <w:p w14:paraId="58030485">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联系人：张倩</w:t>
      </w:r>
    </w:p>
    <w:p w14:paraId="54892AB5">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联系电话：0512-53890581</w:t>
      </w:r>
    </w:p>
    <w:p w14:paraId="433B7C29">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17050279">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项目联系人：张倩</w:t>
      </w:r>
    </w:p>
    <w:p w14:paraId="40437040">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电话：0512-53890581</w:t>
      </w:r>
    </w:p>
    <w:p w14:paraId="4D8DDEC3">
      <w:pPr>
        <w:pStyle w:val="40"/>
        <w:spacing w:after="0" w:line="480" w:lineRule="exact"/>
        <w:rPr>
          <w:rFonts w:ascii="宋体" w:hAnsi="宋体" w:eastAsia="宋体" w:cs="宋体"/>
          <w:sz w:val="24"/>
          <w:szCs w:val="24"/>
          <w:highlight w:val="none"/>
          <w:shd w:val="clear" w:color="auto" w:fill="FFFFFF"/>
          <w:lang w:eastAsia="zh-CN"/>
        </w:rPr>
      </w:pPr>
    </w:p>
    <w:p w14:paraId="6CE64232">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1A32299">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2950E84">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第二部分  投标人须知</w:t>
      </w:r>
    </w:p>
    <w:p w14:paraId="2186AE5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一、说明和释义</w:t>
      </w:r>
    </w:p>
    <w:p w14:paraId="15A7F20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 说明</w:t>
      </w:r>
    </w:p>
    <w:p w14:paraId="69C041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1.1本招标文件仅适用于苏州市公共资源交易中心太仓分中心组织的招标活动。</w:t>
      </w:r>
    </w:p>
    <w:p w14:paraId="38812B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1.2本次招标活动及因本次招标产生的合同受中国法律制约和保护。</w:t>
      </w:r>
    </w:p>
    <w:p w14:paraId="567849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1.3本招标文件的解释权属于苏州市公共资源交易中心太仓分中心。</w:t>
      </w:r>
    </w:p>
    <w:p w14:paraId="4D7C76B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 词语释义</w:t>
      </w:r>
    </w:p>
    <w:p w14:paraId="230E3DE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2.1采购代理机构：具体组织实施招标活动的法人。本项目采购代理机构是苏州市公共资源交易中心太仓分中心。</w:t>
      </w:r>
    </w:p>
    <w:p w14:paraId="11E4724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2.2投标人：经认定有资格响应招标，参加投标竞争的法人或其他组织和自然人。</w:t>
      </w:r>
    </w:p>
    <w:p w14:paraId="6A9FA4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2.3响应：投标人根据采购人或采购代理机构发布的招标文件，编制投标文件并按规定投标的行为。</w:t>
      </w:r>
    </w:p>
    <w:p w14:paraId="3A9FCD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2.4合同：采供双方根据招标文件和中标的投标文件及中标通知书规定的内容签署的以书面形式所达成的协议，包括所有的附件、附录和构成协议的所有文件。</w:t>
      </w:r>
    </w:p>
    <w:p w14:paraId="1B7603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2.5甲方（采购方）：合同中明确规定的实际购买货物和服务的法人或其他组织和自然人（采购人）</w:t>
      </w:r>
    </w:p>
    <w:p w14:paraId="7C3A6E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2.6乙方（供应商）：合同中规定的向采购方提供货物和服务的法人或其他组织和自然人（中标人）</w:t>
      </w:r>
    </w:p>
    <w:p w14:paraId="782F4EC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2.7货物：系指乙方按招标采购文件规定，应向甲方提供的一切设备、备品、备件、工具、手册及其它有关技术资料和材料。</w:t>
      </w:r>
    </w:p>
    <w:p w14:paraId="039625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480D52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2.9知识产权：指专利权、商标权、著作权等无形财产专有权的统称。</w:t>
      </w:r>
    </w:p>
    <w:p w14:paraId="77FD1C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2.10天：日历日。</w:t>
      </w:r>
    </w:p>
    <w:p w14:paraId="0194E6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2.11交货地点：合同中明确约定的乙方提交的货物和服务最终到达地点。</w:t>
      </w:r>
    </w:p>
    <w:p w14:paraId="297BE5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2.12 合同价款：根据合同规定，乙方在正确地履行合同义务后甲方应支付乙方的价款。</w:t>
      </w:r>
    </w:p>
    <w:p w14:paraId="02AB78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2.13 产地：货物开采、生长、生产、最终制造、加工或提供服务的来源地。</w:t>
      </w:r>
    </w:p>
    <w:p w14:paraId="17F6E7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2.14不可抗力：不能预见、不能避免并且不能克服的客观情况。</w:t>
      </w:r>
    </w:p>
    <w:p w14:paraId="5C16233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2.15 实质性响应：满足有关本次采购标的、数量、质量、价款或者报酬、履行期限、履行地点和方式、违约责任和解决争议方法等要求。</w:t>
      </w:r>
    </w:p>
    <w:p w14:paraId="0C2763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EC9CE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2.17进口产品：指通过中国海关报关验收进入中国境内且产自境外的产品。</w:t>
      </w:r>
    </w:p>
    <w:p w14:paraId="75E55A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2.18书面形式：指书面文字、合同书、信件和传真等可以有形地表现所载内容的形式。</w:t>
      </w:r>
    </w:p>
    <w:p w14:paraId="774DA30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二、 投标人</w:t>
      </w:r>
    </w:p>
    <w:p w14:paraId="692F637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 合格投标人的基本条件</w:t>
      </w:r>
    </w:p>
    <w:p w14:paraId="1C0D71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3.1符合《中华人民共和国政府采购法》第二十二条第一款之规定；</w:t>
      </w:r>
    </w:p>
    <w:p w14:paraId="104042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3.2满足本文件实质性条款的规定。</w:t>
      </w:r>
    </w:p>
    <w:p w14:paraId="41F40E8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4．合格投标人的特定条件</w:t>
      </w:r>
    </w:p>
    <w:p w14:paraId="0403A7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4.1 按招标公告规定。</w:t>
      </w:r>
    </w:p>
    <w:p w14:paraId="270C84A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5. 投标人代表</w:t>
      </w:r>
    </w:p>
    <w:p w14:paraId="2829856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5.1指全权代表投标人参加投标活动并签署投标文件的人，如果投标人代表不是法人代表，须持有《法人代表授权委托书》（详见统一格式）。</w:t>
      </w:r>
    </w:p>
    <w:p w14:paraId="246578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6. 联合投标</w:t>
      </w:r>
    </w:p>
    <w:p w14:paraId="338ECBE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6.1按招标公告规定。</w:t>
      </w:r>
    </w:p>
    <w:p w14:paraId="63A7371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7. 投标费用 </w:t>
      </w:r>
    </w:p>
    <w:p w14:paraId="0A516F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7.1投标人应自行承担所有准备及参加投标的相关费用。不论投标结果如何，采购代理机构在任何情况下均无义务也无责任承担这些费用。</w:t>
      </w:r>
    </w:p>
    <w:p w14:paraId="32CC7E4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7.2 本次招标项目不收取标书费及中标服务费，请投标人在投标时充分考虑这一因素。</w:t>
      </w:r>
    </w:p>
    <w:p w14:paraId="31430E2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三、招标文件说明</w:t>
      </w:r>
    </w:p>
    <w:p w14:paraId="1989FDF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8. 招标文件</w:t>
      </w:r>
    </w:p>
    <w:p w14:paraId="4A665F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42ADE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8.2招标文件及其更正文件不是直接从采购代理机构或指定媒体获得的，采购代理机构对招标文件及其补遗的真实性、完整性不承担任何责任。</w:t>
      </w:r>
    </w:p>
    <w:p w14:paraId="10965FF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9. 招标文件的澄清</w:t>
      </w:r>
    </w:p>
    <w:p w14:paraId="53122C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9.1投标人在获取招标文件后，若有疑问，应于投标截止时间之前，向采购代理机构提出，采购代理机构将予以解答。</w:t>
      </w:r>
    </w:p>
    <w:p w14:paraId="22995E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9.2如有必要，问题答复将以“变更公告”形式由采购代理机构按照本须知第10条的规定发出。</w:t>
      </w:r>
    </w:p>
    <w:p w14:paraId="3169B9C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10.招标文件的修改</w:t>
      </w:r>
    </w:p>
    <w:p w14:paraId="21DBF1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10.1采购代理机构无论出于自己的考虑，还是出于对投标人提问的澄清，均可对已发出的招标文件用补充文件的方式进行必要澄清或者修改。</w:t>
      </w:r>
    </w:p>
    <w:p w14:paraId="6962AA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1DFBE3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10.3招标文件的更正（含澄清、修改等）内容与原招标文件在同一内容上表述不一致时，以发出日期最接近开标时间的公告为准。</w:t>
      </w:r>
    </w:p>
    <w:p w14:paraId="01B0E5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56B9EB80">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10.5招标文件若有最新的答疑文件，投标供应商必须下载并使用该文件制作新的电子投标文件，否则将无法完成电子投标文件的上传及投标。</w:t>
      </w:r>
    </w:p>
    <w:p w14:paraId="14A29A0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11.质疑</w:t>
      </w:r>
    </w:p>
    <w:p w14:paraId="14CD53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59EEE9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25F88C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11.3上述应知其权益受到损害之日是指：</w:t>
      </w:r>
    </w:p>
    <w:p w14:paraId="05A47B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11.3.1对采购文件提出质疑的，为获取采购文件或者采购文件公告期限届满之日起计算；</w:t>
      </w:r>
    </w:p>
    <w:p w14:paraId="4C83A8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11.3.2对采购过程提出质疑的，自采购程序环节结束之日起计算；</w:t>
      </w:r>
    </w:p>
    <w:p w14:paraId="26F1DA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11.3.3对中标结果提出质疑的，自中标结果公告期限届满之日起计算。</w:t>
      </w:r>
    </w:p>
    <w:p w14:paraId="4E7165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 供应商提出质疑应当提交质疑函和必要的证明材料。质疑函应当包括下列内容：</w:t>
      </w:r>
    </w:p>
    <w:p w14:paraId="4E5373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11.4.1 供应商的姓名或者名称、地址、邮编、联系人及联系电话；</w:t>
      </w:r>
    </w:p>
    <w:p w14:paraId="1D60A2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11.4.2 质疑项目的名称、编号；</w:t>
      </w:r>
    </w:p>
    <w:p w14:paraId="7ED890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11.4.3 具体、明确的质疑事项和与质疑事项相关的请求；</w:t>
      </w:r>
    </w:p>
    <w:p w14:paraId="32AAF2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11.4.4 事实依据；</w:t>
      </w:r>
    </w:p>
    <w:p w14:paraId="21EE7C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11.4.5 必要的法律依据；</w:t>
      </w:r>
    </w:p>
    <w:p w14:paraId="265EC7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11.4.6 提出质疑的日期。</w:t>
      </w:r>
    </w:p>
    <w:p w14:paraId="654C94E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11.5质疑函的格式和内容应当符合财政部《政府采购供应商质疑函范本》 要求，质疑函范本在财政部官网上提供下载。</w:t>
      </w:r>
    </w:p>
    <w:p w14:paraId="79B1BA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 提交质疑函同时应当附如下证明材料：</w:t>
      </w:r>
    </w:p>
    <w:p w14:paraId="43BC82A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11.6.1对采购文件提出质疑的供应商提供参加本项目的“交易文件下载确认单”；</w:t>
      </w:r>
    </w:p>
    <w:p w14:paraId="2BF684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11.6.2质疑供应商的营业执照复印件加盖单位公章；</w:t>
      </w:r>
    </w:p>
    <w:p w14:paraId="55ED8F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11.6.3质疑供应商法定代表人身份证复印件加盖单位公章；</w:t>
      </w:r>
    </w:p>
    <w:p w14:paraId="31A6B3B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31D4707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p>
    <w:p w14:paraId="01D338D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463418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11.9 供应商如对本项目提出质疑须在法定质疑期内一次性提出针对同一采购程序环节的质疑。</w:t>
      </w:r>
    </w:p>
    <w:p w14:paraId="2150AC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11.10接受质疑函联系方式见采购公告联系事项。</w:t>
      </w:r>
    </w:p>
    <w:p w14:paraId="5D29814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四、 投标文件说明</w:t>
      </w:r>
    </w:p>
    <w:p w14:paraId="5F2496C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12、提示与要求</w:t>
      </w:r>
    </w:p>
    <w:p w14:paraId="2E7AC5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79E4B3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12.2无论是否递交投标文件，投标人都应将招标文件及以后的所有通知、文件等视为保密文件。</w:t>
      </w:r>
    </w:p>
    <w:p w14:paraId="27EBFCE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13. 投标文件计量单位和使用文字</w:t>
      </w:r>
    </w:p>
    <w:p w14:paraId="2D268D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13.1投标文件中所使用的计量单位，除招标文件中有特殊要求外，均应使用中华人民共和国法定计量单位。</w:t>
      </w:r>
    </w:p>
    <w:p w14:paraId="7C15E3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187B6F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14. 知识产权</w:t>
      </w:r>
    </w:p>
    <w:p w14:paraId="2D59DD3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09E803E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 投标文件的组成</w:t>
      </w:r>
    </w:p>
    <w:p w14:paraId="7068E73A">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15.1报价部分（详见投标文件格式）：</w:t>
      </w:r>
    </w:p>
    <w:p w14:paraId="167FA5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15.1.1封面</w:t>
      </w:r>
    </w:p>
    <w:p w14:paraId="36E456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15.1.2《开标一览表》(统一格式)；</w:t>
      </w:r>
    </w:p>
    <w:p w14:paraId="41C1C8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15.1.3公开分项报价表；</w:t>
      </w:r>
    </w:p>
    <w:p w14:paraId="5AB9B481">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15.2 投标正文部分（包含资质证明和技术部分）</w:t>
      </w:r>
    </w:p>
    <w:p w14:paraId="390F3778">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15.2.1资质证明文件部分</w:t>
      </w:r>
    </w:p>
    <w:p w14:paraId="7EDB03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15.2.1.1关于资格文件的声明函（详见投标文件格式）；</w:t>
      </w:r>
    </w:p>
    <w:p w14:paraId="52EECE8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15.2.1.2投标承诺函（详见投标文件格式）；</w:t>
      </w:r>
    </w:p>
    <w:p w14:paraId="67FA47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15.2.1.3投标人基本情况表（详见投标文件格式）；</w:t>
      </w:r>
    </w:p>
    <w:p w14:paraId="1D0610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15.2.1.4投标人法定代表人身份证复印件；</w:t>
      </w:r>
    </w:p>
    <w:p w14:paraId="39F485E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15.2.1.5投标人法定代表人授权委托书原件（如有授权）（详见投标文件格式）</w:t>
      </w:r>
    </w:p>
    <w:p w14:paraId="220B37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15.2.1.6投标人授权代理人身份证复印件（如有授权）</w:t>
      </w:r>
    </w:p>
    <w:p w14:paraId="789C61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15.2.1.7投标单位营业执照副本或三证合一营业执照复印件；</w:t>
      </w:r>
    </w:p>
    <w:p w14:paraId="40A4C8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15.2.1.8投标人参加本次政府采购活动前的财务状况报告或者银行出具的资信证明；</w:t>
      </w:r>
    </w:p>
    <w:p w14:paraId="0E8F11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15.2.1.9投标人根据项目需求提供履行合同所必需的设备和专业技术能力的证明材料；</w:t>
      </w:r>
    </w:p>
    <w:p w14:paraId="4C249C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15.2.1.10投标人参加本次政府采购活动前半年（至少一个月）依法缴纳税收和社会保障资金的证明材料；</w:t>
      </w:r>
    </w:p>
    <w:p w14:paraId="259AFF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15.2.1.11投标人参加政府采购活动前三年在经营活动中没有重大违法记录的书面申明（详见投标文件格式）；</w:t>
      </w:r>
    </w:p>
    <w:p w14:paraId="1DB7AB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15.2.1.12投标人证明其符合招标文件规定的投标人特定资格条件的证书、证明和文件材料；（如有）</w:t>
      </w:r>
    </w:p>
    <w:p w14:paraId="17BE53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15.2.1.13中小企业声明函</w:t>
      </w:r>
    </w:p>
    <w:p w14:paraId="677FAE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15.2.1.14残疾人福利性单位声明函（如有）；</w:t>
      </w:r>
    </w:p>
    <w:p w14:paraId="7BB3F9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15.2.1.15监狱企业证明文件（如有）</w:t>
      </w:r>
    </w:p>
    <w:p w14:paraId="5F4B7134">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15.2.2技术部分</w:t>
      </w:r>
    </w:p>
    <w:p w14:paraId="4CD18C8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15.2.2.1服务要求偏离表（详见投标文件格式）；</w:t>
      </w:r>
    </w:p>
    <w:p w14:paraId="7C84E6D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15.2.2.2商务要求偏离表（详见投标文件格式）；</w:t>
      </w:r>
    </w:p>
    <w:p w14:paraId="66B589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15.2.2.3项目的技术及服务方案；</w:t>
      </w:r>
    </w:p>
    <w:p w14:paraId="1E649D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15.2.2.4项目实施方案和进度方案；</w:t>
      </w:r>
    </w:p>
    <w:p w14:paraId="2490E4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15.2.2.5质量保证措施和承诺；</w:t>
      </w:r>
    </w:p>
    <w:p w14:paraId="1B9A6D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15.2.2.6售后服务内容；</w:t>
      </w:r>
    </w:p>
    <w:p w14:paraId="17BA28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15.2.2.7企业类似业绩一览表</w:t>
      </w:r>
    </w:p>
    <w:p w14:paraId="385D04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15.2.2.8投入本项目技术（服务）人员一览表及相关证明材料；</w:t>
      </w:r>
    </w:p>
    <w:p w14:paraId="5404AEF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15.2.2.9其他投标人认为需要提供的材料；</w:t>
      </w:r>
    </w:p>
    <w:p w14:paraId="7DD7A0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5234F5E">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15.3投标文件由15.1、15.2款规定的内容共同组成。</w:t>
      </w:r>
    </w:p>
    <w:p w14:paraId="21CC0C9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16. 投标文件编制要求   </w:t>
      </w:r>
    </w:p>
    <w:p w14:paraId="5E826AEB">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16.1</w:t>
      </w:r>
      <w:r>
        <w:rPr>
          <w:rFonts w:hint="eastAsia" w:ascii="宋体" w:hAnsi="宋体" w:eastAsia="宋体" w:cs="宋体"/>
          <w:b/>
          <w:color w:val="000000"/>
          <w:sz w:val="24"/>
          <w:highlight w:val="none"/>
          <w:lang w:eastAsia="zh-CN"/>
        </w:rPr>
        <w:t>电子投标文件编制要求：</w:t>
      </w:r>
      <w:r>
        <w:rPr>
          <w:rFonts w:hint="eastAsia" w:ascii="宋体" w:hAnsi="宋体" w:eastAsia="宋体" w:cs="宋体"/>
          <w:color w:val="000000"/>
          <w:sz w:val="24"/>
          <w:highlight w:val="none"/>
          <w:lang w:eastAsia="zh-CN"/>
        </w:rPr>
        <w:t>投标人应使用</w:t>
      </w:r>
      <w:r>
        <w:rPr>
          <w:rFonts w:hint="eastAsia" w:ascii="宋体" w:hAnsi="宋体" w:eastAsia="宋体" w:cs="宋体"/>
          <w:b/>
          <w:color w:val="000000"/>
          <w:sz w:val="24"/>
          <w:highlight w:val="none"/>
          <w:lang w:eastAsia="zh-CN"/>
        </w:rPr>
        <w:t>招标文件要求的投标文件制作软件制作电子投标文件</w:t>
      </w:r>
      <w:r>
        <w:rPr>
          <w:rFonts w:hint="eastAsia" w:ascii="宋体" w:hAnsi="宋体" w:eastAsia="宋体" w:cs="宋体"/>
          <w:color w:val="000000"/>
          <w:sz w:val="24"/>
          <w:highlight w:val="none"/>
          <w:lang w:eastAsia="zh-CN"/>
        </w:rPr>
        <w:t>，电子投标文件按招标文件规定的格式制作，如果未按要求制作上传，可能导致投标无效。</w:t>
      </w:r>
    </w:p>
    <w:p w14:paraId="5C8C052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17. 投标报价（编制）要求的说明</w:t>
      </w:r>
    </w:p>
    <w:p w14:paraId="2B2674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7C9FB6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4766B5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17.3 一项投标内容只允许一个报价，采购代理机构不接受任何有选择性的投标报价。</w:t>
      </w:r>
    </w:p>
    <w:p w14:paraId="25E7271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17.4投标文件报价中的单价和总价全部采用人民币表示，除非合同的特殊条款另有规定。</w:t>
      </w:r>
    </w:p>
    <w:p w14:paraId="0E6A0E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17.5最低的投标报价或最高的折扣比例是中标的重要条件，但不是中标的唯一条件。</w:t>
      </w:r>
    </w:p>
    <w:p w14:paraId="585ACD0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18. 投标保证金</w:t>
      </w:r>
    </w:p>
    <w:p w14:paraId="0456A67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本项目无须缴纳投标保证金</w:t>
      </w:r>
      <w:r>
        <w:rPr>
          <w:rFonts w:hint="eastAsia" w:ascii="宋体" w:hAnsi="宋体" w:eastAsia="宋体" w:cs="宋体"/>
          <w:b/>
          <w:color w:val="000000"/>
          <w:sz w:val="24"/>
          <w:highlight w:val="none"/>
          <w:lang w:eastAsia="zh-CN"/>
        </w:rPr>
        <w:t>。</w:t>
      </w:r>
    </w:p>
    <w:p w14:paraId="3FD18C9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19. 投标文件的有效期</w:t>
      </w:r>
    </w:p>
    <w:p w14:paraId="4E73D97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19.1在本招标文件规定的开标之日起九十（90）天内，投标人所提交的投标文件应保持有效。</w:t>
      </w:r>
      <w:r>
        <w:rPr>
          <w:rFonts w:hint="eastAsia" w:ascii="宋体" w:hAnsi="宋体" w:eastAsia="宋体" w:cs="宋体"/>
          <w:b/>
          <w:color w:val="000000"/>
          <w:sz w:val="24"/>
          <w:highlight w:val="none"/>
          <w:lang w:eastAsia="zh-CN"/>
        </w:rPr>
        <w:t>有效期短于这个规定期限的投标文件，将被认定为未实质性响应招标文件要求。</w:t>
      </w:r>
    </w:p>
    <w:p w14:paraId="45CA543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21586C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五、 投标文件的提交、撤回和修改</w:t>
      </w:r>
    </w:p>
    <w:p w14:paraId="2B6E2EE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20. 投标文件的上传、提交</w:t>
      </w:r>
    </w:p>
    <w:p w14:paraId="121F513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20.</w:t>
      </w:r>
      <w:r>
        <w:rPr>
          <w:rFonts w:hint="eastAsia" w:ascii="宋体" w:hAnsi="宋体" w:eastAsia="宋体" w:cs="宋体"/>
          <w:b/>
          <w:color w:val="000000"/>
          <w:sz w:val="24"/>
          <w:highlight w:val="none"/>
          <w:lang w:eastAsia="zh-CN"/>
        </w:rPr>
        <w:t>1投标人应将制作好的加密电子投标文件按要求在投标截止时间前上传到交易系统平台中。</w:t>
      </w:r>
    </w:p>
    <w:p w14:paraId="5734794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21. 投标截止时间</w:t>
      </w:r>
    </w:p>
    <w:p w14:paraId="6A944CA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21.1</w:t>
      </w:r>
      <w:r>
        <w:rPr>
          <w:rFonts w:hint="eastAsia" w:ascii="宋体" w:hAnsi="宋体" w:eastAsia="宋体" w:cs="宋体"/>
          <w:b/>
          <w:color w:val="000000"/>
          <w:sz w:val="24"/>
          <w:highlight w:val="none"/>
          <w:lang w:eastAsia="zh-CN"/>
        </w:rPr>
        <w:t>电子投标文件必须按招标公告中规定的网上投标截止时间前提交</w:t>
      </w:r>
      <w:r>
        <w:rPr>
          <w:rFonts w:hint="eastAsia" w:ascii="宋体" w:hAnsi="宋体" w:eastAsia="宋体" w:cs="宋体"/>
          <w:color w:val="000000"/>
          <w:sz w:val="24"/>
          <w:highlight w:val="none"/>
          <w:lang w:eastAsia="zh-CN"/>
        </w:rPr>
        <w:t>，</w:t>
      </w:r>
      <w:r>
        <w:rPr>
          <w:rFonts w:hint="eastAsia" w:ascii="宋体" w:hAnsi="宋体" w:eastAsia="宋体" w:cs="宋体"/>
          <w:b/>
          <w:color w:val="000000"/>
          <w:sz w:val="24"/>
          <w:highlight w:val="none"/>
          <w:lang w:eastAsia="zh-CN"/>
        </w:rPr>
        <w:t>否则投标无效</w:t>
      </w:r>
      <w:r>
        <w:rPr>
          <w:rFonts w:hint="eastAsia" w:ascii="宋体" w:hAnsi="宋体" w:eastAsia="宋体" w:cs="宋体"/>
          <w:color w:val="000000"/>
          <w:sz w:val="24"/>
          <w:highlight w:val="none"/>
          <w:lang w:eastAsia="zh-CN"/>
        </w:rPr>
        <w:t>。</w:t>
      </w:r>
    </w:p>
    <w:p w14:paraId="4BDBD46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21.2采购代理机构推迟投标截止时间时，应以更正公告的形式，通知所有投标人。在这种情况下，采购代理机构和投标人的权利和义务将受到新的截止期的约束。</w:t>
      </w:r>
    </w:p>
    <w:p w14:paraId="4A37B1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21.3在投标截止时间止，采购代理机构于本项目（或标段）收到的电子投标文件少于三份的，采购代理机构有权宣布本项目（或标段）招标失败。</w:t>
      </w:r>
    </w:p>
    <w:p w14:paraId="46556CF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22. 投标文件的修改和撤回</w:t>
      </w:r>
    </w:p>
    <w:p w14:paraId="47A7B2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22.1投标人在提交投标文件截止时间前，可对其投标文件进行撤回或修改。</w:t>
      </w:r>
    </w:p>
    <w:p w14:paraId="6E8009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23.2开标后投标人不得撤回投标。</w:t>
      </w:r>
    </w:p>
    <w:p w14:paraId="5589F86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六、开标和评标</w:t>
      </w:r>
    </w:p>
    <w:p w14:paraId="46C98E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23. 开标</w:t>
      </w:r>
    </w:p>
    <w:p w14:paraId="5FAE8E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23.1采购代理机构按采购公告规定的时间、地点主持不见面开标活动。开标仪式由采购代理机构、采购人等主持。</w:t>
      </w:r>
    </w:p>
    <w:p w14:paraId="602B39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23.2</w:t>
      </w:r>
      <w:r>
        <w:rPr>
          <w:rFonts w:hint="eastAsia" w:ascii="宋体" w:hAnsi="宋体" w:eastAsia="宋体" w:cs="宋体"/>
          <w:b/>
          <w:color w:val="000000"/>
          <w:sz w:val="24"/>
          <w:highlight w:val="none"/>
          <w:lang w:eastAsia="zh-CN"/>
        </w:rPr>
        <w:t>参加开标的投标法定代表人或授权代理人须在项目开标前登录苏采云不见面开标系统，进入网上不见面开标大厅，做好相关准备工作。</w:t>
      </w:r>
    </w:p>
    <w:p w14:paraId="2BCF86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23.3</w:t>
      </w:r>
      <w:r>
        <w:rPr>
          <w:rFonts w:hint="eastAsia" w:ascii="宋体" w:hAnsi="宋体" w:eastAsia="宋体" w:cs="宋体"/>
          <w:b/>
          <w:color w:val="000000"/>
          <w:sz w:val="24"/>
          <w:highlight w:val="none"/>
          <w:lang w:eastAsia="zh-CN"/>
        </w:rPr>
        <w:t>本项目开标后在规定的解密时间内，投标人须自行登录网上开标大厅解密投标文件，解密时间为15分钟，因自身原因导致解密失败的，由投标人自行承担相关责任。</w:t>
      </w:r>
    </w:p>
    <w:p w14:paraId="1FB3EE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23.4采购代理机构在开标仪式上，将公布投标人的名称、投标价格，并将作唱标记录。</w:t>
      </w:r>
    </w:p>
    <w:p w14:paraId="374B05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highlight w:val="none"/>
          <w:lang w:eastAsia="zh-CN"/>
        </w:rPr>
        <w:t>应通过不见面开标大厅提出</w:t>
      </w:r>
      <w:r>
        <w:rPr>
          <w:rFonts w:hint="eastAsia" w:ascii="宋体" w:hAnsi="宋体" w:eastAsia="宋体" w:cs="宋体"/>
          <w:color w:val="000000"/>
          <w:sz w:val="24"/>
          <w:highlight w:val="none"/>
          <w:lang w:eastAsia="zh-CN"/>
        </w:rPr>
        <w:t>询问或者回避申请。采购人、采购代理机构对投标人代表提出的询问或者回避申请应当及时处理。</w:t>
      </w:r>
    </w:p>
    <w:p w14:paraId="633DB75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24. 评标委员会</w:t>
      </w:r>
    </w:p>
    <w:p w14:paraId="05FDD3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24.1评标委员会由采购人或委托采购代理机构依法组建，负责本项目的评标事务。</w:t>
      </w:r>
    </w:p>
    <w:p w14:paraId="4C9430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24.2评标委员会独立履行下列职责：</w:t>
      </w:r>
    </w:p>
    <w:p w14:paraId="149AA5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24.2.1审查投标文件是否符合招标文件的要求，并作出评价；</w:t>
      </w:r>
    </w:p>
    <w:p w14:paraId="775D1E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24.2.2可以要求投标供应商对投标文件有关事项作出解释或澄清；</w:t>
      </w:r>
    </w:p>
    <w:p w14:paraId="7CC206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24.2.3推荐中标候选供应商名单，或者受采购人委托按照事先确定的办法直接确定中标供应商；</w:t>
      </w:r>
    </w:p>
    <w:p w14:paraId="4AB240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24.2.4向采购代理机构或者有关部门报告非法干预评标工作的行为；</w:t>
      </w:r>
    </w:p>
    <w:p w14:paraId="0B9560B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24.3评标委员会成员应当履行下列义务：</w:t>
      </w:r>
    </w:p>
    <w:p w14:paraId="1801EF5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24.3.1遵纪守法，客观、公正、廉洁地履行职责；</w:t>
      </w:r>
    </w:p>
    <w:p w14:paraId="1A58B8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24.3.2按照招标文件规定的评标办法和评标标准进行评标，对评审意见承担个人责任；</w:t>
      </w:r>
    </w:p>
    <w:p w14:paraId="6CE738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24.3.3对评标过程和结果，以及投标人的商业秘密保密；</w:t>
      </w:r>
    </w:p>
    <w:p w14:paraId="5392AB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24.3.4参与评标报告的起草；</w:t>
      </w:r>
    </w:p>
    <w:p w14:paraId="02C35EC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24.3.5配合采购代理机构答复投标供应商提出的质疑；</w:t>
      </w:r>
    </w:p>
    <w:p w14:paraId="02FECE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24.3.6配合相关部门的投诉处理工作；</w:t>
      </w:r>
    </w:p>
    <w:p w14:paraId="5A6597E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25. 评标内容的保密</w:t>
      </w:r>
    </w:p>
    <w:p w14:paraId="7095FC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482228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25.2 在投标文件的审查、澄清、评价和比较以及授予合同的过程中，投标人对采购代理机构和评标委员会成员施加影响的任何行为，都将取消其投标资格。</w:t>
      </w:r>
    </w:p>
    <w:p w14:paraId="32195E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25.3在评标期间，采购代理机构将通过指定联络人与投标人进行联系。</w:t>
      </w:r>
    </w:p>
    <w:p w14:paraId="24EB93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26.对投标文件初审</w:t>
      </w:r>
    </w:p>
    <w:p w14:paraId="183EF9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26.1投标文件初审分为资格性检查和符合性检查。</w:t>
      </w:r>
    </w:p>
    <w:p w14:paraId="4714E07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33A642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 关于信用记录查询：</w:t>
      </w:r>
    </w:p>
    <w:p w14:paraId="1DD99E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EE0D4E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26.1.2.1查询时间：评标阶段</w:t>
      </w:r>
    </w:p>
    <w:p w14:paraId="510582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26.1.2.2查询渠道：通过“信用中国”网站、中国政府采购网等渠道查询相关主体信用记录。</w:t>
      </w:r>
    </w:p>
    <w:p w14:paraId="10FCEF4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117C6A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26.1.2.4信用记录使用规则：评审小组在对供应商进行资格性审查时，应根据查询结果对供应商的不良信用记录逐项甄别确认。</w:t>
      </w:r>
    </w:p>
    <w:p w14:paraId="2B04E5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26.1.3符合性检查。依据招标文件的规定，从投标文件的有效性、完整性和对招标文件的响应程度进行审查，以确定是否对招标文件的实质性要求作出响应。</w:t>
      </w:r>
    </w:p>
    <w:p w14:paraId="20F9A5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46982E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26.2.1 不同投标人的投标文件由同一单位或者个人编制；</w:t>
      </w:r>
    </w:p>
    <w:p w14:paraId="742753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26.2.2不同投标人委托同一单位或者个人办理投标事宜；</w:t>
      </w:r>
    </w:p>
    <w:p w14:paraId="4C3539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26.2.3不同投标人的投标文件载明的项目管理成员或者联系人员为同一人；</w:t>
      </w:r>
    </w:p>
    <w:p w14:paraId="7E2EC3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26.2.4不同投标人的投标文件异常一致或者投标报价呈规律性差异；</w:t>
      </w:r>
    </w:p>
    <w:p w14:paraId="0A99219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26.2.5不同投标人的投标文件相互混装；</w:t>
      </w:r>
    </w:p>
    <w:p w14:paraId="0021DD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663B62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1669607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080BA4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26.6评标委员会将对确定为实质性响应的投标进行审核，看其是否有计算上或累加上的算术错误，修正错误的原则如下：</w:t>
      </w:r>
    </w:p>
    <w:p w14:paraId="0F1D44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26.6.1投标文件中开标一览表（报价表）内容与投标文件中相应内容不一致的，以开标一览表（报价表）为准；</w:t>
      </w:r>
    </w:p>
    <w:p w14:paraId="3015E5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26.6.2大写金额和小写金额不一致的，以大写金额为准；</w:t>
      </w:r>
    </w:p>
    <w:p w14:paraId="2B376F3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26.6.3单价金额小数点或者百分比有明显错位的，以开标一览表的总价为准，并修改单价；</w:t>
      </w:r>
    </w:p>
    <w:p w14:paraId="589969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26.6.4总价金额与按单价汇总金额不一致的，以单价金额计算结果为准。</w:t>
      </w:r>
    </w:p>
    <w:p w14:paraId="465B4F6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同时出现两种以上不一致的，按照前款规定的顺序修正。修正后的报价按照本须知26.6条规定经投标人确认后产生约束力，投标人不确认的，其投标无效。</w:t>
      </w:r>
    </w:p>
    <w:p w14:paraId="0779C727">
      <w:pPr>
        <w:pStyle w:val="201"/>
        <w:spacing w:line="480" w:lineRule="exact"/>
        <w:ind w:firstLine="482" w:firstLineChars="200"/>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hint="eastAsia" w:cs="微软雅黑" w:asciiTheme="minorEastAsia" w:hAnsiTheme="minorEastAsia" w:eastAsiaTheme="minorEastAsia"/>
          <w:b/>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7A7F2F94">
      <w:pPr>
        <w:pStyle w:val="201"/>
        <w:spacing w:line="480" w:lineRule="exact"/>
        <w:ind w:firstLine="482" w:firstLineChars="200"/>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异常低价投标（响应）审查的情形和具体要求如下：</w:t>
      </w:r>
    </w:p>
    <w:p w14:paraId="697C99FF">
      <w:pPr>
        <w:pStyle w:val="201"/>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投标（响应）报价低于全部通过符合性审查供应商投标（响应）报价平均值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71BF46A5">
      <w:pPr>
        <w:pStyle w:val="201"/>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投标（响应）报价低于通过符合性审查的次低报价供应商投标（响应）报价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1ED833F0">
      <w:pPr>
        <w:pStyle w:val="201"/>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投标（响应）报价低于采购项目最高限价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w:t>
      </w:r>
    </w:p>
    <w:p w14:paraId="0F7C6F23">
      <w:pPr>
        <w:pStyle w:val="201"/>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评审委员会基于专业判断，认为供应商报价过低，有可能影响产品质量或者不能诚信履约的其他情形。</w:t>
      </w:r>
    </w:p>
    <w:p w14:paraId="6844A5D9">
      <w:pPr>
        <w:pStyle w:val="201"/>
        <w:spacing w:line="480" w:lineRule="exact"/>
        <w:ind w:firstLine="482" w:firstLineChars="200"/>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评审委员会启动异常低价投标（响应）审查后，属于前述第</w:t>
      </w:r>
      <w:r>
        <w:rPr>
          <w:rFonts w:ascii="宋体" w:hAnsi="宋体" w:cs="宋体"/>
          <w:b/>
          <w:bCs/>
          <w:sz w:val="24"/>
          <w:highlight w:val="none"/>
          <w:lang w:eastAsia="zh-CN"/>
        </w:rPr>
        <w:t>1</w:t>
      </w:r>
      <w:r>
        <w:rPr>
          <w:rFonts w:hint="eastAsia" w:ascii="宋体" w:hAnsi="宋体" w:eastAsia="宋体" w:cs="宋体"/>
          <w:b/>
          <w:bCs/>
          <w:sz w:val="24"/>
          <w:highlight w:val="none"/>
          <w:lang w:eastAsia="zh-CN"/>
        </w:rPr>
        <w:t>项至第</w:t>
      </w:r>
      <w:r>
        <w:rPr>
          <w:rFonts w:ascii="宋体" w:hAnsi="宋体" w:cs="宋体"/>
          <w:b/>
          <w:bCs/>
          <w:sz w:val="24"/>
          <w:highlight w:val="none"/>
          <w:lang w:eastAsia="zh-CN"/>
        </w:rPr>
        <w:t>4</w:t>
      </w:r>
      <w:r>
        <w:rPr>
          <w:rFonts w:hint="eastAsia" w:ascii="宋体" w:hAnsi="宋体" w:eastAsia="宋体" w:cs="宋体"/>
          <w:b/>
          <w:bCs/>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30</w:t>
      </w:r>
      <w:r>
        <w:rPr>
          <w:rFonts w:hint="eastAsia" w:ascii="宋体" w:hAnsi="宋体" w:eastAsia="宋体" w:cs="宋体"/>
          <w:b/>
          <w:bCs/>
          <w:sz w:val="24"/>
          <w:highlight w:val="none"/>
          <w:lang w:eastAsia="zh-CN"/>
        </w:rPr>
        <w:t>分钟。其中，属于第</w:t>
      </w:r>
      <w:r>
        <w:rPr>
          <w:rFonts w:ascii="宋体" w:hAnsi="宋体" w:cs="宋体"/>
          <w:b/>
          <w:bCs/>
          <w:sz w:val="24"/>
          <w:highlight w:val="none"/>
          <w:lang w:eastAsia="zh-CN"/>
        </w:rPr>
        <w:t>3</w:t>
      </w:r>
      <w:r>
        <w:rPr>
          <w:rFonts w:hint="eastAsia" w:ascii="宋体" w:hAnsi="宋体" w:eastAsia="宋体" w:cs="宋体"/>
          <w:b/>
          <w:bCs/>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highlight w:val="none"/>
          <w:lang w:eastAsia="zh-CN"/>
        </w:rPr>
        <w:t>。</w:t>
      </w:r>
      <w:r>
        <w:rPr>
          <w:rFonts w:asciiTheme="minorEastAsia" w:hAnsiTheme="minorEastAsia" w:eastAsiaTheme="minorEastAsia"/>
          <w:b/>
          <w:sz w:val="24"/>
          <w:szCs w:val="24"/>
          <w:highlight w:val="none"/>
          <w:lang w:eastAsia="zh-CN"/>
        </w:rPr>
        <w:br w:type="textWrapping"/>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0FFAC20">
      <w:pPr>
        <w:pStyle w:val="201"/>
        <w:spacing w:line="48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评标委员会对投标文件的判定，只依据投标内容本身，不依靠开标后的任何外来证明。</w:t>
      </w:r>
    </w:p>
    <w:p w14:paraId="59EA0449">
      <w:pPr>
        <w:pStyle w:val="201"/>
        <w:spacing w:line="480" w:lineRule="exact"/>
        <w:ind w:firstLine="480" w:firstLineChars="200"/>
        <w:rPr>
          <w:rFonts w:ascii="宋体" w:hAnsi="宋体" w:eastAsia="宋体" w:cs="宋体"/>
          <w:color w:val="000000"/>
          <w:sz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评标委员会将拒绝被确定为非实质性响应的投标，投标人不能通过修正或撤销不符之处而使其投标成为实质性响应的投标。</w:t>
      </w:r>
    </w:p>
    <w:p w14:paraId="087761F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27.投标的澄清</w:t>
      </w:r>
    </w:p>
    <w:p w14:paraId="75EB10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1FFEDB7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28.无效投标和废标</w:t>
      </w:r>
    </w:p>
    <w:p w14:paraId="2D415B4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28.1无效投标的具体情形有：  </w:t>
      </w:r>
    </w:p>
    <w:p w14:paraId="317C01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28.1.1投标文件未按招标文件要求签署、盖章或电子签章的；</w:t>
      </w:r>
    </w:p>
    <w:p w14:paraId="459D740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28.1.2不具备招标文件中规定的资格要求的；</w:t>
      </w:r>
    </w:p>
    <w:p w14:paraId="73BF71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28.1.3报价超过招标文件中规定的预算金额或者最高限价的；</w:t>
      </w:r>
    </w:p>
    <w:p w14:paraId="79F14F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28.1.4</w:t>
      </w:r>
      <w:r>
        <w:rPr>
          <w:rFonts w:hint="eastAsia" w:ascii="宋体" w:hAnsi="宋体" w:eastAsia="宋体" w:cs="宋体"/>
          <w:b/>
          <w:color w:val="000000"/>
          <w:sz w:val="24"/>
          <w:highlight w:val="none"/>
          <w:lang w:eastAsia="zh-CN"/>
        </w:rPr>
        <w:t>不同投标人的投标文件使用同一台电脑编制的；</w:t>
      </w:r>
    </w:p>
    <w:p w14:paraId="38E79D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28.1.5投标文件含有采购人不能接受的附加条件的；</w:t>
      </w:r>
    </w:p>
    <w:p w14:paraId="2D0A84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28.1.6法律、法规和招标文件规定的其他无效情形。</w:t>
      </w:r>
    </w:p>
    <w:p w14:paraId="7FDF666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 在招标采购中，出现下列情形之一的，应予废标：</w:t>
      </w:r>
    </w:p>
    <w:p w14:paraId="27EF881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28.2.1符合专业条件的供应商或者对招标文件作实质响应的供应商不足三家的；</w:t>
      </w:r>
    </w:p>
    <w:p w14:paraId="64F86ED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28.2.2出现影响采购公正的违法、违规行为的；</w:t>
      </w:r>
    </w:p>
    <w:p w14:paraId="0F02D0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28.2.3投标人的报价均超过了采购预算，采购人不能支付的；</w:t>
      </w:r>
    </w:p>
    <w:p w14:paraId="6E6A3BC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28.2.4因重大变故，采购任务取消的。</w:t>
      </w:r>
    </w:p>
    <w:p w14:paraId="3B9F2A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28.3 废标后，采购人应当将废标理由通知所有投标人。</w:t>
      </w:r>
    </w:p>
    <w:p w14:paraId="0EDB303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29. 投标文件的评价和比较</w:t>
      </w:r>
    </w:p>
    <w:p w14:paraId="4D27D3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29.1评标委员会按招标文件规定的评标方法和标准，仅对资格性检查和符合性检查合格的投标文件进行商务和技术评估，综合比较与评价。</w:t>
      </w:r>
    </w:p>
    <w:p w14:paraId="026054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586B2A6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29.2.1服务的质量保证（保障）内容；</w:t>
      </w:r>
    </w:p>
    <w:p w14:paraId="6F7475A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29.2.2服务配备的人员；</w:t>
      </w:r>
    </w:p>
    <w:p w14:paraId="279544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29.2.3投标者的资信情况和履约能力；</w:t>
      </w:r>
    </w:p>
    <w:p w14:paraId="364061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29.2.4投标者提供的其他优惠条件；</w:t>
      </w:r>
    </w:p>
    <w:p w14:paraId="7C51C2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29.2.5参与本项目政府采购工作的态度及信誉；</w:t>
      </w:r>
    </w:p>
    <w:p w14:paraId="057672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29.2.6最低的投标报价或最高的折扣比例是中标的重要条件，但不是唯一条件。</w:t>
      </w:r>
    </w:p>
    <w:p w14:paraId="29CB6A1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七、授予合同</w:t>
      </w:r>
    </w:p>
    <w:p w14:paraId="1216DC4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30. 中标供应商的确认          </w:t>
      </w:r>
    </w:p>
    <w:p w14:paraId="0813B40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30.1评标委员会按招标文件规定的评标方法和标准进行详细评审后，按采购人的委托向采购人推荐中标候选单位或根据采购人授权直接确定中标供应商。</w:t>
      </w:r>
    </w:p>
    <w:p w14:paraId="53B99F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30.2经评标委员会评审并确定中标供应商后，采购人或授权采购代理机构将在规定的时间内将中标结果在相关媒体上予以公告。</w:t>
      </w:r>
    </w:p>
    <w:p w14:paraId="5DE9E2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0F3C6C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30.4质疑函递交地点及联系方式详见公告内容</w:t>
      </w:r>
    </w:p>
    <w:p w14:paraId="01CE659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31. 合同授予标准</w:t>
      </w:r>
    </w:p>
    <w:p w14:paraId="43866E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31.1采购人将把合同授予其投标文件在实质上响应招标文件要求和按本须知规定评选出的投标人。确定为中标的投标人必须具有实施本合同的能力和资源。</w:t>
      </w:r>
    </w:p>
    <w:p w14:paraId="72130F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03EE44A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32. 中标通知书</w:t>
      </w:r>
    </w:p>
    <w:p w14:paraId="1F9952E3">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7466EE4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32.2中标通知书在中标公告发布后将发布在苏采云系统中，中标通知书发布之日视为中标供应商领取之日，中标供应商在中标结果公告届满之日起30日内自行在苏采云系统中下载打印。</w:t>
      </w:r>
    </w:p>
    <w:p w14:paraId="2C894A0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p>
    <w:p w14:paraId="54D2A80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32.4中标通知书将成为合同的组成部分。</w:t>
      </w:r>
    </w:p>
    <w:p w14:paraId="25BFCBB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sz w:val="24"/>
          <w:szCs w:val="24"/>
          <w:highlight w:val="none"/>
          <w:lang w:eastAsia="zh-CN"/>
        </w:rPr>
        <w:t xml:space="preserve"> 32.5采购代理机构对未中标供应商不承担解释未中标原因的义务。</w:t>
      </w:r>
    </w:p>
    <w:p w14:paraId="54C3F6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33.履约保证金</w:t>
      </w:r>
    </w:p>
    <w:p w14:paraId="0EEFE2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33.1中标供应商按合同约定要求提交履约保证金。</w:t>
      </w:r>
    </w:p>
    <w:p w14:paraId="4CBFFB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33.2履约保证金用以约束供应商在合同履行中的行为，弥补合同执行中由于自身行为可能给采购人带来的各种损失。</w:t>
      </w:r>
    </w:p>
    <w:p w14:paraId="65EC7E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33.3履约保证金（无息）将在中标供应商合同履行完毕且质保期满后，采购人在五个工作日内退返中标供应商。</w:t>
      </w:r>
    </w:p>
    <w:p w14:paraId="654AD3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ascii="宋体" w:hAnsi="宋体" w:eastAsia="宋体" w:cs="宋体"/>
          <w:sz w:val="24"/>
          <w:szCs w:val="24"/>
          <w:highlight w:val="none"/>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156F41A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34. 合同的签订</w:t>
      </w:r>
    </w:p>
    <w:p w14:paraId="3016C1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6209328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34.2中标供应商应按中标通知书中中规定，由法定代表人或授权代理人与采购人代表签订合同，否则按放弃中标权处理。</w:t>
      </w:r>
    </w:p>
    <w:p w14:paraId="2FF7BC4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34.3签订合同及合同条款应以招标文件和中标供应商的投标文件及其澄清文件为依据。</w:t>
      </w:r>
    </w:p>
    <w:p w14:paraId="52A453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0E085F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311417D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八、政府采购相关政策</w:t>
      </w:r>
    </w:p>
    <w:p w14:paraId="021B481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35.节能产品和环境标志产品</w:t>
      </w:r>
    </w:p>
    <w:p w14:paraId="5A233F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60C0ED52">
      <w:pPr>
        <w:pBdr>
          <w:top w:val="none" w:color="000000" w:sz="0" w:space="0"/>
          <w:left w:val="none" w:color="000000" w:sz="0" w:space="0"/>
          <w:bottom w:val="none" w:color="000000" w:sz="0" w:space="0"/>
          <w:right w:val="none" w:color="000000" w:sz="0" w:space="0"/>
        </w:pBdr>
        <w:spacing w:after="0" w:line="480" w:lineRule="exact"/>
        <w:rPr>
          <w:rFonts w:asciiTheme="minorEastAsia" w:hAnsiTheme="minorEastAsia" w:eastAsiaTheme="minorEastAsia"/>
          <w:highlight w:val="none"/>
          <w:lang w:eastAsia="zh-CN"/>
        </w:rPr>
      </w:pPr>
      <w:r>
        <w:rPr>
          <w:rFonts w:cs="宋体" w:asciiTheme="minorEastAsia" w:hAnsiTheme="minorEastAsia" w:eastAsiaTheme="minorEastAsia"/>
          <w:b/>
          <w:sz w:val="24"/>
          <w:highlight w:val="none"/>
          <w:lang w:eastAsia="zh-CN"/>
        </w:rPr>
        <w:t>36.中小企业相关政策：</w:t>
      </w:r>
    </w:p>
    <w:p w14:paraId="09D8B69D">
      <w:pPr>
        <w:pBdr>
          <w:top w:val="none" w:color="000000" w:sz="0" w:space="0"/>
          <w:left w:val="none" w:color="000000" w:sz="0" w:space="0"/>
          <w:bottom w:val="none" w:color="000000" w:sz="0" w:space="0"/>
          <w:right w:val="none" w:color="000000" w:sz="0" w:space="0"/>
        </w:pBdr>
        <w:spacing w:after="0" w:line="480" w:lineRule="exact"/>
        <w:ind w:firstLine="482"/>
        <w:rPr>
          <w:rFonts w:asciiTheme="minorEastAsia" w:hAnsiTheme="minorEastAsia" w:eastAsiaTheme="minorEastAsia"/>
          <w:bCs/>
          <w:highlight w:val="none"/>
          <w:lang w:eastAsia="zh-CN"/>
        </w:rPr>
      </w:pPr>
      <w:r>
        <w:rPr>
          <w:rFonts w:cs="宋体" w:asciiTheme="minorEastAsia" w:hAnsiTheme="minorEastAsia" w:eastAsiaTheme="minorEastAsia"/>
          <w:bCs/>
          <w:sz w:val="24"/>
          <w:highlight w:val="none"/>
          <w:lang w:eastAsia="zh-CN"/>
        </w:rPr>
        <w:t>36.1 执行以下相关政策：</w:t>
      </w:r>
    </w:p>
    <w:p w14:paraId="0CFEF933">
      <w:pPr>
        <w:spacing w:after="0" w:line="480" w:lineRule="exact"/>
        <w:ind w:firstLine="482"/>
        <w:rPr>
          <w:rFonts w:cs="仿宋" w:asciiTheme="minorEastAsia" w:hAnsiTheme="minorEastAsia" w:eastAsiaTheme="minorEastAsia"/>
          <w:bCs/>
          <w:sz w:val="24"/>
          <w:szCs w:val="24"/>
          <w:highlight w:val="none"/>
          <w:shd w:val="clear" w:color="auto" w:fill="FFFFFF"/>
          <w:lang w:eastAsia="zh-CN"/>
        </w:rPr>
      </w:pPr>
      <w:r>
        <w:rPr>
          <w:rFonts w:hint="eastAsia" w:cs="仿宋" w:asciiTheme="minorEastAsia" w:hAnsiTheme="minorEastAsia" w:eastAsiaTheme="minorEastAsia"/>
          <w:bCs/>
          <w:sz w:val="24"/>
          <w:szCs w:val="24"/>
          <w:highlight w:val="none"/>
          <w:shd w:val="clear" w:color="auto" w:fill="FFFFFF"/>
          <w:lang w:eastAsia="zh-CN"/>
        </w:rPr>
        <w:t>3</w:t>
      </w:r>
      <w:r>
        <w:rPr>
          <w:rFonts w:cs="仿宋" w:asciiTheme="minorEastAsia" w:hAnsiTheme="minorEastAsia" w:eastAsiaTheme="minorEastAsia"/>
          <w:bCs/>
          <w:sz w:val="24"/>
          <w:szCs w:val="24"/>
          <w:highlight w:val="none"/>
          <w:shd w:val="clear" w:color="auto" w:fill="FFFFFF"/>
          <w:lang w:eastAsia="zh-CN"/>
        </w:rPr>
        <w:t>6.1.1、</w:t>
      </w:r>
      <w:r>
        <w:rPr>
          <w:rFonts w:hint="eastAsia" w:cs="仿宋" w:asciiTheme="minorEastAsia" w:hAnsiTheme="minorEastAsia" w:eastAsiaTheme="minorEastAsia"/>
          <w:bCs/>
          <w:sz w:val="24"/>
          <w:szCs w:val="24"/>
          <w:highlight w:val="none"/>
          <w:shd w:val="clear" w:color="auto" w:fill="FFFFFF"/>
          <w:lang w:eastAsia="zh-CN"/>
        </w:rPr>
        <w:t>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sz w:val="24"/>
          <w:szCs w:val="24"/>
          <w:highlight w:val="none"/>
          <w:shd w:val="clear" w:color="auto" w:fill="FFFFFF"/>
          <w:lang w:eastAsia="zh-CN"/>
        </w:rPr>
        <w:t>2022</w:t>
      </w:r>
      <w:r>
        <w:rPr>
          <w:rFonts w:hint="eastAsia" w:cs="仿宋" w:asciiTheme="minorEastAsia" w:hAnsiTheme="minorEastAsia" w:eastAsiaTheme="minorEastAsia"/>
          <w:bCs/>
          <w:sz w:val="24"/>
          <w:szCs w:val="24"/>
          <w:highlight w:val="none"/>
          <w:shd w:val="clear" w:color="auto" w:fill="FFFFFF"/>
          <w:lang w:eastAsia="zh-CN"/>
        </w:rPr>
        <w:t>〕</w:t>
      </w:r>
      <w:r>
        <w:rPr>
          <w:rFonts w:cs="仿宋" w:asciiTheme="minorEastAsia" w:hAnsiTheme="minorEastAsia" w:eastAsiaTheme="minorEastAsia"/>
          <w:bCs/>
          <w:sz w:val="24"/>
          <w:szCs w:val="24"/>
          <w:highlight w:val="none"/>
          <w:shd w:val="clear" w:color="auto" w:fill="FFFFFF"/>
          <w:lang w:eastAsia="zh-CN"/>
        </w:rPr>
        <w:t>16号</w:t>
      </w:r>
      <w:r>
        <w:rPr>
          <w:rFonts w:hint="eastAsia" w:cs="仿宋" w:asciiTheme="minorEastAsia" w:hAnsiTheme="minorEastAsia" w:eastAsiaTheme="minorEastAsia"/>
          <w:bCs/>
          <w:sz w:val="24"/>
          <w:szCs w:val="24"/>
          <w:highlight w:val="none"/>
          <w:shd w:val="clear" w:color="auto" w:fill="FFFFFF"/>
          <w:lang w:eastAsia="zh-CN"/>
        </w:rPr>
        <w:t>）文件规定：</w:t>
      </w:r>
    </w:p>
    <w:p w14:paraId="600B36B9">
      <w:pPr>
        <w:spacing w:after="0" w:line="480" w:lineRule="exact"/>
        <w:ind w:firstLine="482"/>
        <w:rPr>
          <w:rFonts w:cs="仿宋" w:asciiTheme="minorEastAsia" w:hAnsiTheme="minorEastAsia" w:eastAsiaTheme="minorEastAsia"/>
          <w:b/>
          <w:sz w:val="24"/>
          <w:szCs w:val="24"/>
          <w:highlight w:val="none"/>
          <w:shd w:val="clear" w:color="auto" w:fill="FFFFFF"/>
          <w:lang w:eastAsia="zh-CN"/>
        </w:rPr>
      </w:pPr>
      <w:r>
        <w:rPr>
          <w:rFonts w:hint="eastAsia" w:cs="仿宋" w:asciiTheme="minorEastAsia" w:hAnsiTheme="minorEastAsia" w:eastAsiaTheme="minorEastAsia"/>
          <w:b/>
          <w:sz w:val="24"/>
          <w:szCs w:val="24"/>
          <w:highlight w:val="none"/>
          <w:shd w:val="clear" w:color="auto" w:fill="FFFFFF"/>
          <w:lang w:eastAsia="zh-CN"/>
        </w:rPr>
        <w:t>中小企业参加投标的，必须提供《中小企业声明函》或《残疾人福利性单位声明函》或由省级以上监狱管理局、戒毒管理局（含新疆生产建设兵团）出具的属于监狱企业的证明文件。</w:t>
      </w:r>
    </w:p>
    <w:p w14:paraId="600BFCCC">
      <w:pPr>
        <w:spacing w:after="0" w:line="480" w:lineRule="exact"/>
        <w:ind w:firstLine="482"/>
        <w:rPr>
          <w:rFonts w:cs="仿宋" w:asciiTheme="minorEastAsia" w:hAnsiTheme="minorEastAsia" w:eastAsiaTheme="minorEastAsia"/>
          <w:b/>
          <w:sz w:val="24"/>
          <w:szCs w:val="24"/>
          <w:highlight w:val="none"/>
          <w:shd w:val="clear" w:color="auto" w:fill="FFFFFF"/>
          <w:lang w:eastAsia="zh-CN"/>
        </w:rPr>
      </w:pPr>
      <w:r>
        <w:rPr>
          <w:rFonts w:hint="eastAsia" w:cs="仿宋" w:asciiTheme="minorEastAsia" w:hAnsiTheme="minorEastAsia" w:eastAsiaTheme="minorEastAsia"/>
          <w:b/>
          <w:sz w:val="24"/>
          <w:szCs w:val="24"/>
          <w:highlight w:val="none"/>
          <w:shd w:val="clear" w:color="auto" w:fill="FFFFFF"/>
          <w:lang w:eastAsia="zh-CN"/>
        </w:rPr>
        <w:t>小微企业不得将合同分包给大中型企业，中型企业不得将合同分包给大型企业。</w:t>
      </w:r>
    </w:p>
    <w:p w14:paraId="0DAFB4BF">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36.1.2、中小企业划分：</w:t>
      </w:r>
    </w:p>
    <w:p w14:paraId="73309BBD">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（1）符合中小企业划分标准的个体工商户，在政府采购活动中视同中小企业。</w:t>
      </w:r>
    </w:p>
    <w:p w14:paraId="73BC6CF2">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（2）中小企业划分标准详见“工信部联企业〔2011〕300号通知”</w:t>
      </w:r>
    </w:p>
    <w:p w14:paraId="11883AC2">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36.1.3残疾人福利性单位政策：</w:t>
      </w:r>
    </w:p>
    <w:p w14:paraId="0726DFCA">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3216DCB">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36.1.4监狱企业发展政策：</w:t>
      </w:r>
    </w:p>
    <w:p w14:paraId="74022F6A">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24E5C600">
      <w:pPr>
        <w:spacing w:after="0" w:line="480" w:lineRule="exact"/>
        <w:ind w:firstLine="482"/>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36.1.5、中标、成交供应商享受规定的中小企业扶持政策的，其声明函及相关证明材料应当随中标、成交结果同时公告，接受社会监督。</w:t>
      </w:r>
    </w:p>
    <w:p w14:paraId="2282435E">
      <w:pPr>
        <w:pBdr>
          <w:top w:val="none" w:color="000000" w:sz="0" w:space="0"/>
          <w:left w:val="none" w:color="000000" w:sz="0" w:space="0"/>
          <w:bottom w:val="none" w:color="000000" w:sz="0" w:space="0"/>
          <w:right w:val="none" w:color="000000" w:sz="0" w:space="0"/>
        </w:pBdr>
        <w:spacing w:after="0" w:line="480" w:lineRule="exact"/>
        <w:rPr>
          <w:rFonts w:cs="宋体" w:asciiTheme="minorEastAsia" w:hAnsiTheme="minorEastAsia" w:eastAsiaTheme="minorEastAsia"/>
          <w:b/>
          <w:sz w:val="24"/>
          <w:highlight w:val="none"/>
          <w:lang w:eastAsia="zh-CN"/>
        </w:rPr>
      </w:pPr>
      <w:r>
        <w:rPr>
          <w:rFonts w:cs="宋体" w:asciiTheme="minorEastAsia" w:hAnsiTheme="minorEastAsia" w:eastAsiaTheme="minorEastAsia"/>
          <w:b/>
          <w:sz w:val="24"/>
          <w:highlight w:val="none"/>
          <w:lang w:eastAsia="zh-CN"/>
        </w:rPr>
        <w:t>37.绿色数据中心政策</w:t>
      </w:r>
    </w:p>
    <w:p w14:paraId="6C4D15A8">
      <w:pPr>
        <w:pBdr>
          <w:top w:val="none" w:color="000000" w:sz="0" w:space="0"/>
          <w:left w:val="none" w:color="000000" w:sz="0" w:space="0"/>
          <w:bottom w:val="none" w:color="000000" w:sz="0" w:space="0"/>
          <w:right w:val="none" w:color="000000" w:sz="0" w:space="0"/>
        </w:pBdr>
        <w:spacing w:after="0" w:line="440" w:lineRule="exact"/>
        <w:ind w:firstLine="480" w:firstLineChars="200"/>
        <w:rPr>
          <w:rFonts w:cs="宋体" w:asciiTheme="minorEastAsia" w:hAnsiTheme="minorEastAsia" w:eastAsiaTheme="minorEastAsia"/>
          <w:b/>
          <w:sz w:val="24"/>
          <w:highlight w:val="none"/>
          <w:lang w:eastAsia="zh-CN"/>
        </w:rPr>
      </w:pPr>
      <w:r>
        <w:rPr>
          <w:rFonts w:asciiTheme="minorEastAsia" w:hAnsiTheme="minorEastAsia" w:eastAsiaTheme="minorEastAsia"/>
          <w:sz w:val="24"/>
          <w:highlight w:val="none"/>
          <w:lang w:eastAsia="zh-CN"/>
        </w:rPr>
        <w:t xml:space="preserve">37.1 </w:t>
      </w:r>
      <w:r>
        <w:rPr>
          <w:rFonts w:hint="eastAsia" w:asciiTheme="minorEastAsia" w:hAnsiTheme="minorEastAsia" w:eastAsiaTheme="minorEastAsia"/>
          <w:sz w:val="24"/>
          <w:highlight w:val="none"/>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0804C8F">
      <w:pPr>
        <w:pBdr>
          <w:top w:val="none" w:color="000000" w:sz="0" w:space="0"/>
          <w:left w:val="none" w:color="000000" w:sz="0" w:space="0"/>
          <w:bottom w:val="none" w:color="000000" w:sz="0" w:space="0"/>
          <w:right w:val="none" w:color="000000" w:sz="0" w:space="0"/>
        </w:pBdr>
        <w:spacing w:after="0" w:line="440" w:lineRule="exact"/>
        <w:rPr>
          <w:rFonts w:cs="宋体" w:asciiTheme="minorEastAsia" w:hAnsiTheme="minorEastAsia" w:eastAsiaTheme="minorEastAsia"/>
          <w:b/>
          <w:sz w:val="24"/>
          <w:highlight w:val="none"/>
          <w:lang w:eastAsia="zh-CN"/>
        </w:rPr>
      </w:pPr>
      <w:r>
        <w:rPr>
          <w:rFonts w:cs="宋体" w:asciiTheme="minorEastAsia" w:hAnsiTheme="minorEastAsia" w:eastAsiaTheme="minorEastAsia"/>
          <w:b/>
          <w:sz w:val="24"/>
          <w:highlight w:val="none"/>
          <w:lang w:eastAsia="zh-CN"/>
        </w:rPr>
        <w:t>38.商品包装、快递包装政策</w:t>
      </w:r>
    </w:p>
    <w:p w14:paraId="4B90FC2C">
      <w:pPr>
        <w:pBdr>
          <w:top w:val="none" w:color="000000" w:sz="0" w:space="0"/>
          <w:left w:val="none" w:color="000000" w:sz="0" w:space="0"/>
          <w:bottom w:val="none" w:color="000000" w:sz="0" w:space="0"/>
          <w:right w:val="none" w:color="000000" w:sz="0" w:space="0"/>
        </w:pBdr>
        <w:spacing w:after="0" w:line="440" w:lineRule="exact"/>
        <w:ind w:firstLine="480"/>
        <w:rPr>
          <w:rFonts w:cs="宋体" w:asciiTheme="minorEastAsia" w:hAnsiTheme="minorEastAsia" w:eastAsiaTheme="minorEastAsia"/>
          <w:b/>
          <w:sz w:val="24"/>
          <w:highlight w:val="none"/>
          <w:lang w:eastAsia="zh-CN"/>
        </w:rPr>
      </w:pPr>
      <w:r>
        <w:rPr>
          <w:rFonts w:asciiTheme="minorEastAsia" w:hAnsiTheme="minorEastAsia" w:eastAsiaTheme="minorEastAsia"/>
          <w:sz w:val="24"/>
          <w:highlight w:val="none"/>
          <w:lang w:eastAsia="zh-CN"/>
        </w:rPr>
        <w:t xml:space="preserve">38.1 </w:t>
      </w:r>
      <w:r>
        <w:rPr>
          <w:rFonts w:hint="eastAsia" w:asciiTheme="minorEastAsia" w:hAnsiTheme="minorEastAsia" w:eastAsiaTheme="minorEastAsia"/>
          <w:sz w:val="24"/>
          <w:highlight w:val="none"/>
          <w:lang w:eastAsia="zh-CN"/>
        </w:rPr>
        <w:t>依据</w:t>
      </w:r>
      <w:r>
        <w:rPr>
          <w:rFonts w:asciiTheme="minorEastAsia" w:hAnsiTheme="minorEastAsia" w:eastAsiaTheme="minorEastAsia"/>
          <w:sz w:val="24"/>
          <w:highlight w:val="none"/>
          <w:lang w:eastAsia="zh-CN"/>
        </w:rPr>
        <w:t>《关于印发〈商品包装政府采购需求标准（试行）〉、〈快递包装政府采购需求标准（试行）〉的通知》（财办库〔2020〕123号）</w:t>
      </w:r>
      <w:r>
        <w:rPr>
          <w:rFonts w:hint="eastAsia" w:asciiTheme="minorEastAsia" w:hAnsiTheme="minorEastAsia" w:eastAsiaTheme="minorEastAsia"/>
          <w:sz w:val="24"/>
          <w:highlight w:val="none"/>
          <w:lang w:eastAsia="zh-CN"/>
        </w:rPr>
        <w:t>文件</w:t>
      </w:r>
      <w:r>
        <w:rPr>
          <w:rFonts w:asciiTheme="minorEastAsia" w:hAnsiTheme="minorEastAsia" w:eastAsiaTheme="minorEastAsia"/>
          <w:sz w:val="24"/>
          <w:highlight w:val="none"/>
          <w:lang w:eastAsia="zh-CN"/>
        </w:rPr>
        <w:t>精神</w:t>
      </w:r>
      <w:r>
        <w:rPr>
          <w:rFonts w:hint="eastAsia" w:asciiTheme="minorEastAsia" w:hAnsiTheme="minorEastAsia" w:eastAsiaTheme="minorEastAsia"/>
          <w:sz w:val="24"/>
          <w:highlight w:val="none"/>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364F6E07">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highlight w:val="none"/>
          <w:lang w:eastAsia="zh-CN"/>
        </w:rPr>
      </w:pPr>
      <w:r>
        <w:rPr>
          <w:rFonts w:hint="eastAsia" w:asciiTheme="minorEastAsia" w:hAnsiTheme="minorEastAsia" w:eastAsiaTheme="minorEastAsia"/>
          <w:b/>
          <w:bCs/>
          <w:sz w:val="24"/>
          <w:highlight w:val="none"/>
          <w:lang w:eastAsia="zh-CN"/>
        </w:rPr>
        <w:t>39.采购本国产品的支持政策</w:t>
      </w:r>
    </w:p>
    <w:p w14:paraId="5132440E">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0160998">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96B15F0">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b/>
          <w:bCs/>
          <w:sz w:val="24"/>
          <w:highlight w:val="none"/>
          <w:lang w:eastAsia="zh-CN"/>
        </w:rPr>
      </w:pPr>
      <w:r>
        <w:rPr>
          <w:rFonts w:hint="eastAsia" w:asciiTheme="minorEastAsia" w:hAnsiTheme="minorEastAsia" w:eastAsiaTheme="minorEastAsia"/>
          <w:sz w:val="24"/>
          <w:highlight w:val="none"/>
          <w:lang w:eastAsia="zh-CN"/>
        </w:rPr>
        <w:t>39.3 本项目政府采购活动中既有本国产品又有非本国产品参与竞争的，依法对本国产品给予价格评审优惠，</w:t>
      </w:r>
      <w:r>
        <w:rPr>
          <w:rFonts w:hint="eastAsia" w:asciiTheme="minorEastAsia" w:hAnsiTheme="minorEastAsia" w:eastAsiaTheme="minorEastAsia"/>
          <w:b/>
          <w:bCs/>
          <w:sz w:val="24"/>
          <w:highlight w:val="none"/>
          <w:lang w:eastAsia="zh-CN"/>
        </w:rPr>
        <w:t>对本国产品的报价给予20%的价格扣除，用扣除后的价格参与评审。</w:t>
      </w:r>
    </w:p>
    <w:p w14:paraId="49213D3C">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0D6FB69D">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39.5 供应商需按照招标文件的要求提供《关于符合本国产品标准的声明函》（以下简称《声明函》），</w:t>
      </w:r>
      <w:r>
        <w:rPr>
          <w:rFonts w:hint="eastAsia" w:asciiTheme="minorEastAsia" w:hAnsiTheme="minorEastAsia" w:eastAsiaTheme="minorEastAsia"/>
          <w:b/>
          <w:bCs/>
          <w:sz w:val="24"/>
          <w:highlight w:val="none"/>
          <w:lang w:eastAsia="zh-CN"/>
        </w:rPr>
        <w:t>如不提供将不享受本国产品价格评审优惠。</w:t>
      </w:r>
    </w:p>
    <w:p w14:paraId="7FCE694A">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39.6 供应商需在《声明函》中逐一、准确填写产品名称、厂名、生产厂址三项信息（《声明函》中标注“ / ”的地方无需填写），三项信息中任意一项未填写的视为该项产品不符合本国产品标准，不享受本国产品价格评审优惠。</w:t>
      </w:r>
    </w:p>
    <w:p w14:paraId="0A67AE3B">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D62B00E">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highlight w:val="none"/>
          <w:lang w:eastAsia="zh-CN"/>
        </w:rPr>
      </w:pPr>
      <w:r>
        <w:rPr>
          <w:rFonts w:hint="eastAsia" w:asciiTheme="minorEastAsia" w:hAnsiTheme="minorEastAsia" w:eastAsiaTheme="minorEastAsia"/>
          <w:b/>
          <w:bCs/>
          <w:sz w:val="24"/>
          <w:highlight w:val="none"/>
          <w:lang w:eastAsia="zh-CN"/>
        </w:rPr>
        <w:t>九、其他事项</w:t>
      </w:r>
    </w:p>
    <w:p w14:paraId="17495EE7">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highlight w:val="none"/>
          <w:lang w:eastAsia="zh-CN"/>
        </w:rPr>
      </w:pPr>
      <w:r>
        <w:rPr>
          <w:rFonts w:hint="eastAsia" w:asciiTheme="minorEastAsia" w:hAnsiTheme="minorEastAsia" w:eastAsiaTheme="minorEastAsia"/>
          <w:b/>
          <w:bCs/>
          <w:sz w:val="24"/>
          <w:highlight w:val="none"/>
          <w:lang w:eastAsia="zh-CN"/>
        </w:rPr>
        <w:t>40. 监督和公证</w:t>
      </w:r>
    </w:p>
    <w:p w14:paraId="69CF150F">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40.1政府有关监督部门将对招投标全过程进行监督。</w:t>
      </w:r>
    </w:p>
    <w:p w14:paraId="5225A98E">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40.2采购代理机构的招标过程将依采购人申请，通过公证机关进行公证。</w:t>
      </w:r>
    </w:p>
    <w:p w14:paraId="178B4DF6">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highlight w:val="none"/>
          <w:lang w:eastAsia="zh-CN"/>
        </w:rPr>
      </w:pPr>
      <w:r>
        <w:rPr>
          <w:rFonts w:hint="eastAsia" w:asciiTheme="minorEastAsia" w:hAnsiTheme="minorEastAsia" w:eastAsiaTheme="minorEastAsia"/>
          <w:b/>
          <w:bCs/>
          <w:sz w:val="24"/>
          <w:highlight w:val="none"/>
          <w:lang w:eastAsia="zh-CN"/>
        </w:rPr>
        <w:t>41.未尽事宜</w:t>
      </w:r>
    </w:p>
    <w:p w14:paraId="6CC9970B">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按《中华人民共和国政府采购法》及其他有关法律法规的规定执行。</w:t>
      </w:r>
    </w:p>
    <w:p w14:paraId="0EFAD93A">
      <w:pPr>
        <w:spacing w:after="0" w:line="440" w:lineRule="exact"/>
        <w:ind w:firstLine="480" w:firstLineChars="200"/>
        <w:rPr>
          <w:rFonts w:ascii="宋体" w:hAnsi="宋体" w:cs="宋体"/>
          <w:b/>
          <w:sz w:val="24"/>
          <w:highlight w:val="none"/>
          <w:lang w:eastAsia="zh-CN"/>
        </w:rPr>
      </w:pPr>
    </w:p>
    <w:p w14:paraId="077A421A">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7BC76AC1">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highlight w:val="none"/>
          <w:lang w:eastAsia="zh-CN"/>
        </w:rPr>
      </w:pPr>
    </w:p>
    <w:p w14:paraId="2139BB49">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000000"/>
          <w:sz w:val="44"/>
          <w:highlight w:val="none"/>
          <w:lang w:eastAsia="zh-CN"/>
        </w:rPr>
      </w:pPr>
      <w:bookmarkStart w:id="2" w:name="OLE_LINK4"/>
      <w:r>
        <w:rPr>
          <w:rFonts w:hint="eastAsia" w:ascii="宋体" w:hAnsi="宋体" w:eastAsia="宋体" w:cs="宋体"/>
          <w:b/>
          <w:color w:val="000000"/>
          <w:sz w:val="44"/>
          <w:highlight w:val="none"/>
          <w:lang w:eastAsia="zh-CN"/>
        </w:rPr>
        <w:t>第三部分   项目需求</w:t>
      </w:r>
      <w:bookmarkEnd w:id="2"/>
      <w:bookmarkStart w:id="3" w:name="_Toc19021"/>
    </w:p>
    <w:bookmarkEnd w:id="3"/>
    <w:p w14:paraId="48274141">
      <w:pPr>
        <w:pStyle w:val="201"/>
        <w:spacing w:line="480" w:lineRule="exact"/>
        <w:rPr>
          <w:rFonts w:ascii="宋体" w:hAnsi="宋体" w:eastAsia="宋体" w:cs="宋体"/>
          <w:b/>
          <w:sz w:val="24"/>
          <w:szCs w:val="24"/>
          <w:highlight w:val="none"/>
          <w:lang w:eastAsia="zh-CN"/>
        </w:rPr>
      </w:pPr>
      <w:bookmarkStart w:id="4" w:name="_Toc207895151"/>
      <w:r>
        <w:rPr>
          <w:rFonts w:hint="eastAsia" w:ascii="宋体" w:hAnsi="宋体" w:eastAsia="宋体" w:cs="宋体"/>
          <w:b/>
          <w:sz w:val="24"/>
          <w:szCs w:val="24"/>
          <w:highlight w:val="none"/>
          <w:lang w:eastAsia="zh-CN"/>
        </w:rPr>
        <w:t>一、项目背景及建设目标</w:t>
      </w:r>
      <w:bookmarkEnd w:id="4"/>
    </w:p>
    <w:p w14:paraId="499E596F">
      <w:pPr>
        <w:pStyle w:val="201"/>
        <w:spacing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太仓市娄江新城医院（瑞金医院太仓分院）由太仓市人民政府与上海瑞金医院合作共建，构建了“5+5+1”学科体系，初期采用大综合结合重点专科模式运行。开设26个门诊科室（含神经内科、心内科、骨科、泌尿外科、肿瘤科、伤科、五官科等），住院部设6个病区，开放6间手术室）。</w:t>
      </w:r>
    </w:p>
    <w:p w14:paraId="2F3830BA">
      <w:pPr>
        <w:pStyle w:val="201"/>
        <w:spacing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为落实国家“十五五”规划关于推进全民健康数智化建设、“人工智能+”行动及公立医院高质量发展等系列政策要求，医院启动移动运营指挥舱及三级公立医院绩效及评审管理系统建设项目。</w:t>
      </w:r>
    </w:p>
    <w:p w14:paraId="6083AF0D">
      <w:pPr>
        <w:pStyle w:val="201"/>
        <w:spacing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建设内容包括指标可视化管理、医师360视图、AI运营决策智能体、院（科）两级运营决策分析管理平台数据质量相关应用,三级公立医院绩效评价系统和三级医院等级评审系统，助力提升我院精细化管理水平。</w:t>
      </w:r>
    </w:p>
    <w:p w14:paraId="03BFA6B5">
      <w:pPr>
        <w:pStyle w:val="201"/>
        <w:spacing w:line="48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二、采购需求</w:t>
      </w:r>
    </w:p>
    <w:p w14:paraId="12DBA794">
      <w:pPr>
        <w:pStyle w:val="201"/>
        <w:spacing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本项目采购医院移动运营指挥舱及</w:t>
      </w:r>
      <w:r>
        <w:rPr>
          <w:rFonts w:hint="eastAsia" w:ascii="宋体" w:hAnsi="宋体" w:eastAsia="宋体" w:cs="宋体"/>
          <w:sz w:val="24"/>
          <w:szCs w:val="24"/>
          <w:highlight w:val="none"/>
          <w:lang w:eastAsia="zh-CN"/>
        </w:rPr>
        <w:t>三级公立医院绩效及评审管理系统</w:t>
      </w:r>
      <w:r>
        <w:rPr>
          <w:rFonts w:hint="eastAsia" w:ascii="宋体" w:hAnsi="宋体" w:eastAsia="宋体" w:cs="宋体"/>
          <w:sz w:val="24"/>
          <w:szCs w:val="24"/>
          <w:highlight w:val="none"/>
          <w:lang w:eastAsia="zh-CN"/>
        </w:rPr>
        <w:t>。移动运营指挥舱软件平台建设内容包括指标可视化管理、医师360视图、AI运营决策智能体、院（科）两级运营决策分析管理平台及数据质量相关应用系统的集成部署、用户培训与运维保障；</w:t>
      </w:r>
      <w:r>
        <w:rPr>
          <w:rFonts w:hint="eastAsia" w:ascii="宋体" w:hAnsi="宋体" w:eastAsia="宋体" w:cs="宋体"/>
          <w:sz w:val="24"/>
          <w:szCs w:val="24"/>
          <w:highlight w:val="none"/>
          <w:lang w:eastAsia="zh-CN"/>
        </w:rPr>
        <w:t>三级公立医院绩效及评审管理系统</w:t>
      </w:r>
      <w:r>
        <w:rPr>
          <w:rFonts w:hint="eastAsia" w:ascii="宋体" w:hAnsi="宋体" w:eastAsia="宋体" w:cs="宋体"/>
          <w:sz w:val="24"/>
          <w:szCs w:val="24"/>
          <w:highlight w:val="none"/>
          <w:lang w:eastAsia="zh-CN"/>
        </w:rPr>
        <w:t>项目建设内容包括三级公立医院绩效评价系统和三级医院等级评审系统的集成部署、用户培训与运维保障。</w:t>
      </w:r>
    </w:p>
    <w:p w14:paraId="20C51704">
      <w:pPr>
        <w:spacing w:line="460" w:lineRule="exact"/>
        <w:ind w:firstLine="482"/>
        <w:rPr>
          <w:rFonts w:ascii="宋体" w:hAnsi="宋体" w:cs="宋体"/>
          <w:b/>
          <w:bCs/>
          <w:sz w:val="24"/>
          <w:szCs w:val="24"/>
          <w:highlight w:val="none"/>
          <w:lang w:bidi="ar"/>
        </w:rPr>
      </w:pPr>
      <w:r>
        <w:rPr>
          <w:rFonts w:hint="eastAsia" w:ascii="宋体" w:hAnsi="宋体" w:eastAsia="宋体" w:cs="宋体"/>
          <w:b/>
          <w:bCs/>
          <w:sz w:val="24"/>
          <w:szCs w:val="24"/>
          <w:highlight w:val="none"/>
          <w:lang w:eastAsia="zh-CN" w:bidi="ar"/>
        </w:rPr>
        <w:t>（一)</w:t>
      </w:r>
      <w:r>
        <w:rPr>
          <w:rFonts w:hint="eastAsia" w:ascii="宋体" w:hAnsi="宋体" w:cs="宋体"/>
          <w:b/>
          <w:bCs/>
          <w:sz w:val="24"/>
          <w:szCs w:val="24"/>
          <w:highlight w:val="none"/>
          <w:lang w:bidi="ar"/>
        </w:rPr>
        <w:t>采购项目清单</w:t>
      </w:r>
    </w:p>
    <w:tbl>
      <w:tblPr>
        <w:tblStyle w:val="45"/>
        <w:tblW w:w="4998" w:type="pct"/>
        <w:jc w:val="center"/>
        <w:tblLayout w:type="autofit"/>
        <w:tblCellMar>
          <w:top w:w="0" w:type="dxa"/>
          <w:left w:w="108" w:type="dxa"/>
          <w:bottom w:w="0" w:type="dxa"/>
          <w:right w:w="108" w:type="dxa"/>
        </w:tblCellMar>
      </w:tblPr>
      <w:tblGrid>
        <w:gridCol w:w="849"/>
        <w:gridCol w:w="4156"/>
        <w:gridCol w:w="2018"/>
        <w:gridCol w:w="2328"/>
      </w:tblGrid>
      <w:tr w14:paraId="78692125">
        <w:tblPrEx>
          <w:tblCellMar>
            <w:top w:w="0" w:type="dxa"/>
            <w:left w:w="108" w:type="dxa"/>
            <w:bottom w:w="0" w:type="dxa"/>
            <w:right w:w="108" w:type="dxa"/>
          </w:tblCellMar>
        </w:tblPrEx>
        <w:trPr>
          <w:trHeight w:val="955" w:hRule="atLeast"/>
          <w:jc w:val="center"/>
        </w:trPr>
        <w:tc>
          <w:tcPr>
            <w:tcW w:w="454" w:type="pct"/>
            <w:tcBorders>
              <w:top w:val="single" w:color="000000" w:sz="4" w:space="0"/>
              <w:left w:val="single" w:color="000000" w:sz="4" w:space="0"/>
              <w:bottom w:val="nil"/>
              <w:right w:val="nil"/>
            </w:tcBorders>
            <w:vAlign w:val="center"/>
          </w:tcPr>
          <w:p w14:paraId="422F45D5">
            <w:pPr>
              <w:widowControl w:val="0"/>
              <w:spacing w:after="0" w:line="360" w:lineRule="auto"/>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序号</w:t>
            </w:r>
          </w:p>
        </w:tc>
        <w:tc>
          <w:tcPr>
            <w:tcW w:w="2222" w:type="pct"/>
            <w:tcBorders>
              <w:top w:val="single" w:color="000000" w:sz="4" w:space="0"/>
              <w:left w:val="single" w:color="000000" w:sz="4" w:space="0"/>
              <w:bottom w:val="nil"/>
              <w:right w:val="single" w:color="000000" w:sz="4" w:space="0"/>
            </w:tcBorders>
            <w:vAlign w:val="center"/>
          </w:tcPr>
          <w:p w14:paraId="6E517699">
            <w:pPr>
              <w:widowControl w:val="0"/>
              <w:spacing w:after="0" w:line="360" w:lineRule="auto"/>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名称</w:t>
            </w:r>
          </w:p>
        </w:tc>
        <w:tc>
          <w:tcPr>
            <w:tcW w:w="1079" w:type="pct"/>
            <w:tcBorders>
              <w:top w:val="single" w:color="000000" w:sz="4" w:space="0"/>
              <w:left w:val="single" w:color="000000" w:sz="4" w:space="0"/>
              <w:bottom w:val="nil"/>
              <w:right w:val="single" w:color="000000" w:sz="4" w:space="0"/>
            </w:tcBorders>
            <w:vAlign w:val="center"/>
          </w:tcPr>
          <w:p w14:paraId="50993FB3">
            <w:pPr>
              <w:widowControl w:val="0"/>
              <w:tabs>
                <w:tab w:val="left" w:pos="657"/>
              </w:tabs>
              <w:spacing w:after="0" w:line="360" w:lineRule="auto"/>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数量</w:t>
            </w:r>
          </w:p>
        </w:tc>
        <w:tc>
          <w:tcPr>
            <w:tcW w:w="1244" w:type="pct"/>
            <w:tcBorders>
              <w:top w:val="single" w:color="000000" w:sz="4" w:space="0"/>
              <w:left w:val="single" w:color="000000" w:sz="4" w:space="0"/>
              <w:bottom w:val="nil"/>
              <w:right w:val="single" w:color="000000" w:sz="4" w:space="0"/>
            </w:tcBorders>
            <w:vAlign w:val="center"/>
          </w:tcPr>
          <w:p w14:paraId="722B4179">
            <w:pPr>
              <w:widowControl w:val="0"/>
              <w:tabs>
                <w:tab w:val="left" w:pos="657"/>
              </w:tabs>
              <w:spacing w:after="0" w:line="360" w:lineRule="auto"/>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单位</w:t>
            </w:r>
          </w:p>
        </w:tc>
      </w:tr>
      <w:tr w14:paraId="340B4EB5">
        <w:tblPrEx>
          <w:tblCellMar>
            <w:top w:w="0" w:type="dxa"/>
            <w:left w:w="108" w:type="dxa"/>
            <w:bottom w:w="0" w:type="dxa"/>
            <w:right w:w="108" w:type="dxa"/>
          </w:tblCellMar>
        </w:tblPrEx>
        <w:trPr>
          <w:trHeight w:val="504" w:hRule="atLeast"/>
          <w:jc w:val="center"/>
        </w:trPr>
        <w:tc>
          <w:tcPr>
            <w:tcW w:w="454" w:type="pct"/>
            <w:tcBorders>
              <w:top w:val="single" w:color="000000" w:sz="4" w:space="0"/>
              <w:left w:val="single" w:color="000000" w:sz="4" w:space="0"/>
              <w:bottom w:val="single" w:color="000000" w:sz="4" w:space="0"/>
              <w:right w:val="single" w:color="000000" w:sz="4" w:space="0"/>
            </w:tcBorders>
            <w:noWrap/>
            <w:vAlign w:val="center"/>
          </w:tcPr>
          <w:p w14:paraId="6D9D724B">
            <w:pPr>
              <w:widowControl w:val="0"/>
              <w:spacing w:after="0" w:line="360" w:lineRule="auto"/>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t>1</w:t>
            </w:r>
          </w:p>
        </w:tc>
        <w:tc>
          <w:tcPr>
            <w:tcW w:w="2222" w:type="pct"/>
            <w:tcBorders>
              <w:top w:val="single" w:color="000000" w:sz="4" w:space="0"/>
              <w:left w:val="single" w:color="000000" w:sz="4" w:space="0"/>
              <w:bottom w:val="single" w:color="000000" w:sz="4" w:space="0"/>
              <w:right w:val="single" w:color="000000" w:sz="4" w:space="0"/>
            </w:tcBorders>
            <w:noWrap/>
            <w:vAlign w:val="center"/>
          </w:tcPr>
          <w:p w14:paraId="2CFC87AE">
            <w:pPr>
              <w:widowControl w:val="0"/>
              <w:spacing w:after="0" w:line="360" w:lineRule="auto"/>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移动运营指挥舱</w:t>
            </w:r>
          </w:p>
        </w:tc>
        <w:tc>
          <w:tcPr>
            <w:tcW w:w="1079" w:type="pct"/>
            <w:tcBorders>
              <w:top w:val="single" w:color="000000" w:sz="4" w:space="0"/>
              <w:left w:val="single" w:color="000000" w:sz="4" w:space="0"/>
              <w:bottom w:val="single" w:color="000000" w:sz="4" w:space="0"/>
              <w:right w:val="single" w:color="000000" w:sz="4" w:space="0"/>
            </w:tcBorders>
            <w:noWrap/>
            <w:vAlign w:val="center"/>
          </w:tcPr>
          <w:p w14:paraId="215DC878">
            <w:pPr>
              <w:widowControl w:val="0"/>
              <w:spacing w:after="0" w:line="360" w:lineRule="auto"/>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t>1</w:t>
            </w:r>
          </w:p>
        </w:tc>
        <w:tc>
          <w:tcPr>
            <w:tcW w:w="1244" w:type="pct"/>
            <w:tcBorders>
              <w:top w:val="single" w:color="000000" w:sz="4" w:space="0"/>
              <w:left w:val="single" w:color="000000" w:sz="4" w:space="0"/>
              <w:bottom w:val="single" w:color="000000" w:sz="4" w:space="0"/>
              <w:right w:val="single" w:color="000000" w:sz="4" w:space="0"/>
            </w:tcBorders>
            <w:noWrap/>
            <w:vAlign w:val="center"/>
          </w:tcPr>
          <w:p w14:paraId="53F8CDD3">
            <w:pPr>
              <w:widowControl w:val="0"/>
              <w:spacing w:after="0" w:line="360" w:lineRule="auto"/>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r>
      <w:tr w14:paraId="74D53B8A">
        <w:tblPrEx>
          <w:tblCellMar>
            <w:top w:w="0" w:type="dxa"/>
            <w:left w:w="108" w:type="dxa"/>
            <w:bottom w:w="0" w:type="dxa"/>
            <w:right w:w="108" w:type="dxa"/>
          </w:tblCellMar>
        </w:tblPrEx>
        <w:trPr>
          <w:trHeight w:val="482" w:hRule="atLeast"/>
          <w:jc w:val="center"/>
        </w:trPr>
        <w:tc>
          <w:tcPr>
            <w:tcW w:w="454" w:type="pct"/>
            <w:tcBorders>
              <w:top w:val="single" w:color="000000" w:sz="4" w:space="0"/>
              <w:left w:val="single" w:color="000000" w:sz="4" w:space="0"/>
              <w:bottom w:val="single" w:color="000000" w:sz="4" w:space="0"/>
              <w:right w:val="single" w:color="000000" w:sz="4" w:space="0"/>
            </w:tcBorders>
            <w:noWrap/>
            <w:vAlign w:val="center"/>
          </w:tcPr>
          <w:p w14:paraId="700297AA">
            <w:pPr>
              <w:widowControl w:val="0"/>
              <w:spacing w:after="0" w:line="360" w:lineRule="auto"/>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t>2</w:t>
            </w:r>
          </w:p>
        </w:tc>
        <w:tc>
          <w:tcPr>
            <w:tcW w:w="2222" w:type="pct"/>
            <w:tcBorders>
              <w:top w:val="single" w:color="000000" w:sz="4" w:space="0"/>
              <w:left w:val="single" w:color="000000" w:sz="4" w:space="0"/>
              <w:bottom w:val="single" w:color="000000" w:sz="4" w:space="0"/>
              <w:right w:val="single" w:color="000000" w:sz="4" w:space="0"/>
            </w:tcBorders>
            <w:noWrap/>
            <w:vAlign w:val="center"/>
          </w:tcPr>
          <w:p w14:paraId="7CE836CB">
            <w:pPr>
              <w:widowControl w:val="0"/>
              <w:spacing w:after="0" w:line="360" w:lineRule="auto"/>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三级公立医院绩效及评审管理系统</w:t>
            </w:r>
          </w:p>
        </w:tc>
        <w:tc>
          <w:tcPr>
            <w:tcW w:w="1079" w:type="pct"/>
            <w:tcBorders>
              <w:top w:val="single" w:color="000000" w:sz="4" w:space="0"/>
              <w:left w:val="single" w:color="000000" w:sz="4" w:space="0"/>
              <w:bottom w:val="single" w:color="000000" w:sz="4" w:space="0"/>
              <w:right w:val="single" w:color="000000" w:sz="4" w:space="0"/>
            </w:tcBorders>
            <w:noWrap/>
            <w:vAlign w:val="center"/>
          </w:tcPr>
          <w:p w14:paraId="5755D6B7">
            <w:pPr>
              <w:widowControl w:val="0"/>
              <w:spacing w:after="0" w:line="360" w:lineRule="auto"/>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t>1</w:t>
            </w:r>
          </w:p>
        </w:tc>
        <w:tc>
          <w:tcPr>
            <w:tcW w:w="1244" w:type="pct"/>
            <w:tcBorders>
              <w:top w:val="single" w:color="000000" w:sz="4" w:space="0"/>
              <w:left w:val="single" w:color="000000" w:sz="4" w:space="0"/>
              <w:bottom w:val="single" w:color="000000" w:sz="4" w:space="0"/>
              <w:right w:val="single" w:color="000000" w:sz="4" w:space="0"/>
            </w:tcBorders>
            <w:noWrap/>
            <w:vAlign w:val="center"/>
          </w:tcPr>
          <w:p w14:paraId="20CA7F1B">
            <w:pPr>
              <w:widowControl w:val="0"/>
              <w:spacing w:after="0" w:line="360" w:lineRule="auto"/>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r>
    </w:tbl>
    <w:p w14:paraId="7613459E">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(二）</w:t>
      </w:r>
      <w:r>
        <w:rPr>
          <w:rStyle w:val="216"/>
          <w:rFonts w:hint="eastAsia" w:ascii="宋体" w:hAnsi="宋体" w:eastAsia="宋体" w:cs="宋体"/>
          <w:b/>
          <w:color w:val="000000"/>
          <w:sz w:val="24"/>
          <w:szCs w:val="24"/>
          <w:highlight w:val="none"/>
          <w:lang w:eastAsia="zh-CN"/>
        </w:rPr>
        <w:t>系统功能技术参数</w:t>
      </w:r>
    </w:p>
    <w:p w14:paraId="6EE4DBAB">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2.1 移动运营指挥舱软件平台</w:t>
      </w:r>
    </w:p>
    <w:p w14:paraId="45F58933">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2.1.1.指标可视化管理平台</w:t>
      </w:r>
    </w:p>
    <w:p w14:paraId="5A00CC7C">
      <w:pPr>
        <w:pStyle w:val="201"/>
        <w:spacing w:line="500" w:lineRule="exact"/>
        <w:ind w:firstLine="480" w:firstLineChars="200"/>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该模块旨在构建一个集指标统一采集、治理、集中管理，服务指标分析的一体化指标数据支撑平台，彻底解决当前指标多头管理、口径不一、服务分散等问题。中标方需交付一个具备高度可配置性、可扩展性和易维护性的平台系统，并确保其能成为我院未来数据资产运营的核心基础设施。</w:t>
      </w:r>
    </w:p>
    <w:p w14:paraId="0D10CD5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（1）数据采集模块</w:t>
      </w:r>
    </w:p>
    <w:p w14:paraId="00079C9B">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数据采集模块为支持工程师通过简单的页面上操作配置数据源、目标表的方式实现指标数据的采集。功能要求包括：</w:t>
      </w:r>
    </w:p>
    <w:p w14:paraId="4AE31687">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系统支持B/S架构，无需安装客户端及插件即可完成数据采集的可视化的配置。</w:t>
      </w:r>
    </w:p>
    <w:p w14:paraId="27F445E0">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支持数据集成概览分析，支持实时展示数据库采集任务总览、数据管道运行状态、任务异常告警及数据量统计，便于统一运维与问题快速定位。</w:t>
      </w:r>
    </w:p>
    <w:p w14:paraId="48B34BC0">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支持主流数据库作为数据源，包括但不限于：Oracle、SQL Server、MySQL、Sybase、Caché、DB2、PostgreSQL、达梦、GaussDB、人大金仓、OceanBase、Greenplum 及 MongoDB 等，覆盖国外、国产及分布式数据库。</w:t>
      </w:r>
    </w:p>
    <w:p w14:paraId="6EDCAF72">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提供图形化数据采集开发环境，内置多种典型业务场景的采集模板（如增量同步、全量同步等），支持模板快速引用与参数值替换，提升开发效率。</w:t>
      </w:r>
    </w:p>
    <w:p w14:paraId="11AAD378">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系统须支持数据采集管道的在线调试功能，允许开发人员在发布前模拟运行采集逻辑，实时查看执行日志，有效验证采集包的语法、连接及数据抽取正确性。</w:t>
      </w:r>
    </w:p>
    <w:p w14:paraId="45228F55">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▲支持一个目标表多个数据采集管道的配置模式，可将来自多个不同源端的数据按规则汇聚至同一目标表中，满足数据湖或数仓宽表融合场景。</w:t>
      </w:r>
    </w:p>
    <w:p w14:paraId="7A6DF512">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▲在数据采集管道保存或发布时，系统应能依据其中的 SQL 查询逻辑，自动解析并生成数据字段级或表级血缘关系图，便于后续数据溯源和影响分析。</w:t>
      </w:r>
    </w:p>
    <w:p w14:paraId="68520ADF">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系统须具备分布式执行架构，支持在多台物理机或虚拟机上灵活部署数据同步执行器，实现任务负载均衡与故障转移，降低单节点压力，并可按需水平扩展以应对增量数据同步高峰。</w:t>
      </w:r>
    </w:p>
    <w:p w14:paraId="72708FAA">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支持创建数据采集调度任务，可配置调度频率（如按分钟、小时、日等）、采集主题、采集管道，实现批量数据同步任务的自动定时触发。</w:t>
      </w:r>
    </w:p>
    <w:p w14:paraId="1F36E53F">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支持多层级工作流任务配置，能够按照业务流向（如业务系统层 → ODS 层 → HDW 层 → ODR 层）自定义流式依赖关系，确保数据在各层级间流转的顺序性、一致性和可回滚性。</w:t>
      </w:r>
    </w:p>
    <w:p w14:paraId="1172E003">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▲支持创建指标归集任务，在采集管道执行的同时自动执行相关依赖指标，保证数据与指标的一致性。</w:t>
      </w:r>
    </w:p>
    <w:p w14:paraId="4FC59B41">
      <w:pPr>
        <w:pStyle w:val="201"/>
        <w:numPr>
          <w:ilvl w:val="0"/>
          <w:numId w:val="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数据采集需支持源表结构、目标表结构的实时更新，当源表发生变化时，目标表可自动同步；支持一源多端数据接入，确保医院业务数据正常接入和医院数据中心的持续建设。</w:t>
      </w:r>
    </w:p>
    <w:p w14:paraId="47DCC4BB">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（2）数据质量模块</w:t>
      </w:r>
    </w:p>
    <w:p w14:paraId="0492ECA4">
      <w:pPr>
        <w:spacing w:after="0" w:line="500" w:lineRule="exact"/>
        <w:ind w:firstLine="480" w:firstLineChars="200"/>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数据质量模块是为提升指标数据质量，实现指标的质量评估、质量规则编制、质量稽核、质量报告、问题工单和质量整改等工作环节的流程整合，形成完整的指标质量闭环管理。具体功能要求包括：</w:t>
      </w:r>
    </w:p>
    <w:p w14:paraId="5843D008">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提供可视化质量规则配置界面，支持按一致性、完整性、整合性、及时性、规范性、唯一性六大维度分别定义校验逻辑，并可灵活组合各维度规则，形成复合校验策略。</w:t>
      </w:r>
    </w:p>
    <w:p w14:paraId="6C0C3990">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系统支持指标一致性校验功能，支持在数据流转各层级（如：业务层、ODS层、HDW层、ODR层）配置校验SQL，对同一业务指标在各阶段的计算结果进行逐层比对。</w:t>
      </w:r>
    </w:p>
    <w:p w14:paraId="15FFD242">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系统须提供数据采集一致性校验能力，支持在数据同步任务执行后，对源端与目标端进行记录数比对。</w:t>
      </w:r>
    </w:p>
    <w:p w14:paraId="7669F709">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支持质量规则的用户授权机制，授权用户可在规则配置界面中仅查看和维护其权限范围内的规则属性及校验脚本，实现规则管理的安全隔离与责任明确。</w:t>
      </w:r>
    </w:p>
    <w:p w14:paraId="398BEE6F">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支持自定义数据质量校验任务，可从指定专题下选取单个或多个质量规则，按每月、每周、每日等频次灵活设定调度计划。</w:t>
      </w:r>
    </w:p>
    <w:p w14:paraId="4668346B">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系统支持按不同质量专题，一键导出 Word 格式的数据质量报告，报告内容应包括但不限于：质量概览、六大维度的得分雷达分布图、质量趋势等图文分析模块。</w:t>
      </w:r>
    </w:p>
    <w:p w14:paraId="42A7F6EE">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数据质量管理需支持针对数据质量校验异常结果创建工单，将数据质量校验出的问题规则作为附件添加到工单中。支持工单目标分解任务，一个问题可以拆解多个任务目标，并指定相应的负责人进行跟进和处理，实现PDCA管理流程。</w:t>
      </w:r>
    </w:p>
    <w:p w14:paraId="640EAA16">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系统支持对校验结果为“异常”的规则生成整改工单，并将相关规则信息、异常数据明细作为附件随工单一并流转。</w:t>
      </w:r>
    </w:p>
    <w:p w14:paraId="671227BC">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支持评估数据库的整体质量得分，展示各质量维度（完整性、一致性等）的得分及权重占比；</w:t>
      </w:r>
    </w:p>
    <w:p w14:paraId="33FD792D">
      <w:pPr>
        <w:pStyle w:val="201"/>
        <w:numPr>
          <w:ilvl w:val="0"/>
          <w:numId w:val="3"/>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▲支持查看数据库中各业务域、表及质量规则的实际得分情况，支持下钻到具体异常数据并导出，为数据治理提供量化依据。</w:t>
      </w:r>
    </w:p>
    <w:p w14:paraId="26C798D9">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（3）指标管理模块</w:t>
      </w:r>
    </w:p>
    <w:p w14:paraId="04B99CBC">
      <w:pPr>
        <w:pStyle w:val="201"/>
        <w:spacing w:line="500" w:lineRule="exact"/>
        <w:ind w:firstLine="480" w:firstLineChars="200"/>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该模块实现对指标的集中管理，包括数据源接入、指标可视化配置、衍生指标定义及指标关联关系、目标管理、预警管理等。具体要求如下：</w:t>
      </w:r>
    </w:p>
    <w:p w14:paraId="3B633C94">
      <w:pPr>
        <w:pStyle w:val="201"/>
        <w:numPr>
          <w:ilvl w:val="0"/>
          <w:numId w:val="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支持多种数据库和类型，不同指标允许出自于不同数据库。</w:t>
      </w:r>
    </w:p>
    <w:p w14:paraId="278CC23F">
      <w:pPr>
        <w:pStyle w:val="201"/>
        <w:numPr>
          <w:ilvl w:val="0"/>
          <w:numId w:val="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支持通过选择模型、字段来可视化创建指标。</w:t>
      </w:r>
    </w:p>
    <w:p w14:paraId="004027E7">
      <w:pPr>
        <w:pStyle w:val="201"/>
        <w:numPr>
          <w:ilvl w:val="0"/>
          <w:numId w:val="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支持选择任意数据源，包括业务系统，通过配置SQL脚本来创建指标。</w:t>
      </w:r>
    </w:p>
    <w:p w14:paraId="1D5624FA">
      <w:pPr>
        <w:pStyle w:val="201"/>
        <w:numPr>
          <w:ilvl w:val="0"/>
          <w:numId w:val="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通过选择已有指标及过滤条件，以完全可视化的方式创建新的衍生指标。支持通过选择已有指标，通过一定的计算公式，通过拖拉拽的方式来创建新的复合指标。支持现场自定义一套全新的分类，通过在指标库中选择映射关系，实现一个指标可以在多个场景共享使用。指标统计方式支持按期初、期末统计，支持按sum、avg、count、count_distinct、max、min聚合。</w:t>
      </w:r>
    </w:p>
    <w:p w14:paraId="13466006">
      <w:pPr>
        <w:pStyle w:val="201"/>
        <w:numPr>
          <w:ilvl w:val="0"/>
          <w:numId w:val="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系统需支持定时目标值生成任务，能够根据已完成的数据自动测算出后续需要完成目标，并动态调整后续时间范围（如后续各个月）的目标值。</w:t>
      </w:r>
    </w:p>
    <w:p w14:paraId="0495DBA6">
      <w:pPr>
        <w:pStyle w:val="201"/>
        <w:numPr>
          <w:ilvl w:val="0"/>
          <w:numId w:val="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提供归因分析模块,通过已配置的指标间的关系与运用多种算法，计算出各个院区、科室对指标的影响和贡献。指标允许自定义配置下钻路径，仪表板配置指标后，能够自带所配置的下钻钻路径进行层层分析。</w:t>
      </w:r>
    </w:p>
    <w:p w14:paraId="412EE361">
      <w:pPr>
        <w:pStyle w:val="201"/>
        <w:numPr>
          <w:ilvl w:val="0"/>
          <w:numId w:val="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允许自定义预警规则，预警规则包括：阈值预警、目标值预警、指标趋势预警、同期比预警、去年平均值等预警类型，预警触发后，系统需要能够与消息管理模块对接，通过消息管理模块推送到各院区、科室负责人手机中。</w:t>
      </w:r>
    </w:p>
    <w:p w14:paraId="0B543500">
      <w:pPr>
        <w:pStyle w:val="201"/>
        <w:numPr>
          <w:ilvl w:val="0"/>
          <w:numId w:val="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▲支持指标的关系图谱的配置，能够配置全局指标图谱以及按单个指标配置关系图谱。</w:t>
      </w:r>
    </w:p>
    <w:p w14:paraId="3BFC4E58">
      <w:pPr>
        <w:pStyle w:val="201"/>
        <w:numPr>
          <w:ilvl w:val="0"/>
          <w:numId w:val="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▲指标管理平台中的指标口径参考瑞金总院，相同指标ID保持一致，方便后续将指标数据整合进瑞金总院指挥舱</w:t>
      </w:r>
    </w:p>
    <w:p w14:paraId="4CF6DC82">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（4）数据安全管理模块</w:t>
      </w:r>
    </w:p>
    <w:p w14:paraId="1CDA092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该模块是系统基础，能够实现本项目各个模块的权限控制，包括系统、模块、界面、数据权限的统一管理。具体要求如下：</w:t>
      </w:r>
    </w:p>
    <w:p w14:paraId="5EBEA1C9">
      <w:pPr>
        <w:pStyle w:val="201"/>
        <w:numPr>
          <w:ilvl w:val="0"/>
          <w:numId w:val="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支持同步医院内部职工数据，并在系统中自动创建用户。</w:t>
      </w:r>
    </w:p>
    <w:p w14:paraId="0BDA7997">
      <w:pPr>
        <w:pStyle w:val="201"/>
        <w:numPr>
          <w:ilvl w:val="0"/>
          <w:numId w:val="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支持按用户，角色分配权限。</w:t>
      </w:r>
    </w:p>
    <w:p w14:paraId="07F3B0A3">
      <w:pPr>
        <w:pStyle w:val="201"/>
        <w:numPr>
          <w:ilvl w:val="0"/>
          <w:numId w:val="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支持够配置用户或角色的院区，科室、指标配置。</w:t>
      </w:r>
    </w:p>
    <w:p w14:paraId="6C9CEC06">
      <w:pPr>
        <w:pStyle w:val="201"/>
        <w:numPr>
          <w:ilvl w:val="0"/>
          <w:numId w:val="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能够自定义数据资源，可以灵活的根据数据资源进行权限配置。</w:t>
      </w:r>
    </w:p>
    <w:p w14:paraId="4F3B4D82">
      <w:pPr>
        <w:pStyle w:val="201"/>
        <w:numPr>
          <w:ilvl w:val="0"/>
          <w:numId w:val="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系统能够记录用户访问各模块或界面的访问记录。</w:t>
      </w:r>
    </w:p>
    <w:p w14:paraId="3CB4DF48">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（5）消息管理模块</w:t>
      </w:r>
    </w:p>
    <w:p w14:paraId="4E1738E2">
      <w:pPr>
        <w:pStyle w:val="201"/>
        <w:spacing w:line="500" w:lineRule="exact"/>
        <w:ind w:firstLine="480" w:firstLineChars="200"/>
        <w:rPr>
          <w:rFonts w:ascii="宋体" w:hAnsi="宋体" w:eastAsia="宋体" w:cs="宋体"/>
          <w:b/>
          <w:bCs/>
          <w:sz w:val="24"/>
          <w:szCs w:val="24"/>
          <w:highlight w:val="none"/>
          <w:lang w:eastAsia="zh-CN"/>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该模块支持医院内消息统一发送及管理的，</w:t>
      </w:r>
      <w:r>
        <w:rPr>
          <w:rFonts w:hint="eastAsia" w:ascii="宋体" w:hAnsi="宋体" w:eastAsia="宋体" w:cs="宋体"/>
          <w:color w:val="000000" w:themeColor="text1"/>
          <w:sz w:val="24"/>
          <w:szCs w:val="24"/>
          <w:highlight w:val="none"/>
          <w:lang w:eastAsia="zh-CN" w:bidi="ar"/>
          <w14:textFill>
            <w14:solidFill>
              <w14:schemeClr w14:val="tx1"/>
            </w14:solidFill>
          </w14:textFill>
        </w:rPr>
        <w:t>支</w:t>
      </w:r>
      <w:r>
        <w:rPr>
          <w:rFonts w:hint="eastAsia" w:ascii="宋体" w:hAnsi="宋体" w:eastAsia="宋体" w:cs="宋体"/>
          <w:color w:val="000000" w:themeColor="text1"/>
          <w:sz w:val="24"/>
          <w:szCs w:val="24"/>
          <w:highlight w:val="none"/>
          <w:lang w:eastAsia="zh-CN" w:bidi="ar"/>
          <w14:textFill>
            <w14:solidFill>
              <w14:schemeClr w14:val="tx1"/>
            </w14:solidFill>
          </w14:textFill>
        </w:rPr>
        <w:t>持多种渠道推送，实现各类运营及预警消息推送。具体要求如下：</w:t>
      </w:r>
    </w:p>
    <w:p w14:paraId="1182CFDD">
      <w:pPr>
        <w:pStyle w:val="201"/>
        <w:numPr>
          <w:ilvl w:val="0"/>
          <w:numId w:val="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配备可视化数据统计看板，实现消息全链路数据汇总分析；支持展示消息接入总量、消息下发成功量、消息下发失败量、消息送达成功率、关联下发业务系统数量等核心指标，同步呈现消息下发时间趋势曲线、整体送达成功率变化、各业务系统事件下发量排行，并通过图形化图表可视化展示各类消息推送方式占比与使用分布。</w:t>
      </w:r>
    </w:p>
    <w:p w14:paraId="42610417">
      <w:pPr>
        <w:pStyle w:val="201"/>
        <w:numPr>
          <w:ilvl w:val="0"/>
          <w:numId w:val="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支持多渠道消息推送能力，支持短信、电子邮件、钉钉、企业微信等主流通讯接口，可按需适配多终端、多场景消息分发需求。</w:t>
      </w:r>
    </w:p>
    <w:p w14:paraId="69E5AB2D">
      <w:pPr>
        <w:pStyle w:val="201"/>
        <w:numPr>
          <w:ilvl w:val="0"/>
          <w:numId w:val="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具备周期定时推送能力，支持实时、按天、按周、按月等循环调度策略，实现消息自动化定时定向下发。</w:t>
      </w:r>
    </w:p>
    <w:p w14:paraId="59E0E0DD">
      <w:pPr>
        <w:pStyle w:val="201"/>
        <w:numPr>
          <w:ilvl w:val="0"/>
          <w:numId w:val="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内置消息模板管理模块，支持标准化消息模板编辑与维护，模板内容预留动态变量插入接口，可自动读取业务数据完成内容动态填充。</w:t>
      </w:r>
    </w:p>
    <w:p w14:paraId="45F2A492">
      <w:pPr>
        <w:pStyle w:val="201"/>
        <w:numPr>
          <w:ilvl w:val="0"/>
          <w:numId w:val="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支持即时消息手动下发，针对高频固定内容的即时推送业务，可一键保存为通用消息模板，后续业务场景可直接选用模板快速下发，提升操作效率。</w:t>
      </w:r>
    </w:p>
    <w:p w14:paraId="53DD6662">
      <w:pPr>
        <w:pStyle w:val="201"/>
        <w:numPr>
          <w:ilvl w:val="0"/>
          <w:numId w:val="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完整留存消息下发历史记录，支持全量操作日志溯源查询；针对推送失败类消息，自动生成详细异常日志，精准记录失败原因、异常代码、报错详情等信息，便于问题排查与运维处置。</w:t>
      </w:r>
    </w:p>
    <w:p w14:paraId="061E8038">
      <w:pPr>
        <w:pStyle w:val="201"/>
        <w:numPr>
          <w:ilvl w:val="0"/>
          <w:numId w:val="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提供图片素材资源管理功能，支持素材上传、编辑、删除等统一维护操作，满足图文融合类消息的编辑与推送使用需求。</w:t>
      </w:r>
    </w:p>
    <w:p w14:paraId="2586E5DA">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2.1.2.医师360视图</w:t>
      </w:r>
    </w:p>
    <w:p w14:paraId="4518A67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该模块针对不同的类型职工，展示不同的分析指标，集中展示职工基本信息、排班、考勤、绩效、培训、满意度、资质等信息，为不同类型的提供个性化的年度账单、月度账单、节日祝福、个人勋章推送与展示。具体功能要求包括：</w:t>
      </w:r>
    </w:p>
    <w:p w14:paraId="48BF47D9">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（1）个人中心</w:t>
      </w:r>
    </w:p>
    <w:p w14:paraId="48949291">
      <w:pPr>
        <w:pStyle w:val="201"/>
        <w:numPr>
          <w:ilvl w:val="0"/>
          <w:numId w:val="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职工可以通过应用查看自己的排班信息，考勤信息。</w:t>
      </w:r>
    </w:p>
    <w:p w14:paraId="358A2E17">
      <w:pPr>
        <w:pStyle w:val="201"/>
        <w:numPr>
          <w:ilvl w:val="0"/>
          <w:numId w:val="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支持查看当前职工个人就业资质，包括处方权限、手术权限。</w:t>
      </w:r>
    </w:p>
    <w:p w14:paraId="60539BAE">
      <w:pPr>
        <w:pStyle w:val="201"/>
        <w:numPr>
          <w:ilvl w:val="0"/>
          <w:numId w:val="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支持查看当前职工的科研成果，包括论文和科研项目。</w:t>
      </w:r>
    </w:p>
    <w:p w14:paraId="36B0026D">
      <w:pPr>
        <w:pStyle w:val="201"/>
        <w:numPr>
          <w:ilvl w:val="0"/>
          <w:numId w:val="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支持查看当前职工的参加的各种教学培训，例如授课、现场培训、线上培训</w:t>
      </w:r>
    </w:p>
    <w:p w14:paraId="31787C30">
      <w:pPr>
        <w:pStyle w:val="201"/>
        <w:numPr>
          <w:ilvl w:val="0"/>
          <w:numId w:val="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▲支持荣誉勋章机制，勋章类型和级别可配置，医生可以通过应用查看自己获得的勋章</w:t>
      </w:r>
    </w:p>
    <w:p w14:paraId="13CB7D5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（2）医师工作量统计</w:t>
      </w:r>
    </w:p>
    <w:p w14:paraId="6C13F596">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数据来源可以基于医院业务系统、临床数据中心等，支持Oracle、SqlServer、达梦等数据库。</w:t>
      </w:r>
    </w:p>
    <w:p w14:paraId="70AF2594">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系统应用的菜单、页面、权限支持自定义配置</w:t>
      </w:r>
    </w:p>
    <w:p w14:paraId="5E2C448E">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系统支持移动端访问，可以通过手机端的微信、企业微信或者钉钉访问系统</w:t>
      </w:r>
    </w:p>
    <w:p w14:paraId="3B3BF245">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应用首页的导航Banner图可以根据某个节日自动切换</w:t>
      </w:r>
    </w:p>
    <w:p w14:paraId="2DAF5776">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医生相关的指标有页面可以集中查看，并且提供筛选条件查看不同院区、科室、时间的指标值。</w:t>
      </w:r>
    </w:p>
    <w:p w14:paraId="6E37CBDE">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支持查看当前职工业务量相关的指标、例如门急诊工作量、住院工作量、手术工作量。</w:t>
      </w:r>
    </w:p>
    <w:p w14:paraId="215C2112">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支持查看当前职工费用控制相关的指标、例如门急诊均次费、住院均次费。</w:t>
      </w:r>
    </w:p>
    <w:p w14:paraId="59E4C628">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支持查看当前职工医疗效率相关的指标、例如平均住院日、患者术前等待平均住院日。</w:t>
      </w:r>
    </w:p>
    <w:p w14:paraId="2564E775">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支持查看当前职工的个人账单，账单可以是月度账单、季度账单、年度账单。</w:t>
      </w:r>
    </w:p>
    <w:p w14:paraId="74274FF0">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支持接收个人相关的消息通知。</w:t>
      </w:r>
    </w:p>
    <w:p w14:paraId="6CC04551">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医师指标数据，能够支持下钻，下钻内容需包括指标趋势、科室排名、科室平均值、同级均值、科室同级最高值及指标数据，并支持查看每天数据的明细。</w:t>
      </w:r>
    </w:p>
    <w:p w14:paraId="4007E9F0">
      <w:pPr>
        <w:pStyle w:val="201"/>
        <w:numPr>
          <w:ilvl w:val="0"/>
          <w:numId w:val="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支持根据权限，查看其他医师工作量，如科主任可查看科室医师的工作量。</w:t>
      </w:r>
    </w:p>
    <w:p w14:paraId="09047AC8">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2.1.3.AI运营决策智能体</w:t>
      </w:r>
    </w:p>
    <w:p w14:paraId="3A135C52">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AI运营决策智能体是基于院内大模型的能力，能够提供智能问数、指标归因、预警及分析报告智能化制作等智能化分析功能，具体功能需满足：</w:t>
      </w:r>
    </w:p>
    <w:p w14:paraId="3DB1EE1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（1）AI智能问数</w:t>
      </w:r>
      <w:r>
        <w:rPr>
          <w:rFonts w:hint="eastAsia" w:ascii="宋体" w:hAnsi="宋体" w:eastAsia="宋体" w:cs="宋体"/>
          <w:sz w:val="24"/>
          <w:szCs w:val="24"/>
          <w:highlight w:val="none"/>
          <w:lang w:eastAsia="zh-CN"/>
        </w:rPr>
        <w:tab/>
      </w:r>
    </w:p>
    <w:p w14:paraId="07379345">
      <w:pPr>
        <w:pStyle w:val="201"/>
        <w:numPr>
          <w:ilvl w:val="0"/>
          <w:numId w:val="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AI运营决策智能体需支持语音/文字两种提问方式，系统须支持移动端基于语音输入的AI智能指标查询与分析。用户通过移动端语音输入业务问题，系统自动完成语音识别、意图解析与指标匹配，以可视化图表形式返回分析结果。</w:t>
      </w:r>
    </w:p>
    <w:p w14:paraId="4D747568">
      <w:pPr>
        <w:pStyle w:val="201"/>
        <w:numPr>
          <w:ilvl w:val="0"/>
          <w:numId w:val="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为了保证AI问数数据准确性，系统不可采用输入文字转SQL实现方式实现指标数据查询。</w:t>
      </w:r>
    </w:p>
    <w:p w14:paraId="01E20889">
      <w:pPr>
        <w:pStyle w:val="201"/>
        <w:numPr>
          <w:ilvl w:val="0"/>
          <w:numId w:val="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当用户提问时，存在多个类似指标，系统需列出指标，并支持用户选择对应指标。</w:t>
      </w:r>
    </w:p>
    <w:p w14:paraId="10C989F9">
      <w:pPr>
        <w:pStyle w:val="201"/>
        <w:numPr>
          <w:ilvl w:val="0"/>
          <w:numId w:val="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▲支持定时任务，能够实现定时数据分析，分析报告生成等，并支持推送到移动端。</w:t>
      </w:r>
    </w:p>
    <w:p w14:paraId="1D42B2B9">
      <w:pPr>
        <w:pStyle w:val="201"/>
        <w:numPr>
          <w:ilvl w:val="0"/>
          <w:numId w:val="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支持用户个性化设置，个性化设置内容，可作为知识，应用到用户问答中。</w:t>
      </w:r>
    </w:p>
    <w:p w14:paraId="37B7D0F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（2）指标智能归因分析</w:t>
      </w:r>
      <w:r>
        <w:rPr>
          <w:rFonts w:hint="eastAsia" w:ascii="宋体" w:hAnsi="宋体" w:eastAsia="宋体" w:cs="宋体"/>
          <w:sz w:val="24"/>
          <w:szCs w:val="24"/>
          <w:highlight w:val="none"/>
          <w:lang w:eastAsia="zh-CN"/>
        </w:rPr>
        <w:tab/>
      </w:r>
    </w:p>
    <w:p w14:paraId="6FF399BE">
      <w:pPr>
        <w:pStyle w:val="201"/>
        <w:numPr>
          <w:ilvl w:val="0"/>
          <w:numId w:val="10"/>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支持按时间类型和基准期间进行双期（同期，环期）对比设定，同时支持按院区、二级科室、科室等多个维度进行数据比较。</w:t>
      </w:r>
    </w:p>
    <w:p w14:paraId="24BE0FBD">
      <w:pPr>
        <w:pStyle w:val="201"/>
        <w:numPr>
          <w:ilvl w:val="0"/>
          <w:numId w:val="10"/>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支持自由配置或动态选择归因分析路径（例如：医院信息-&gt;二级科室-&gt;科室-&gt;医生），支持沿该路径逐层向下穿透，对差异贡献进行层级拆解。</w:t>
      </w:r>
    </w:p>
    <w:p w14:paraId="08A9FD6A">
      <w:pPr>
        <w:pStyle w:val="201"/>
        <w:numPr>
          <w:ilvl w:val="0"/>
          <w:numId w:val="10"/>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自然语言输入。当输入如“上月门急诊收入怎么样？哪里做的好，哪里做的不好？为什么？”等指令时，AI须自动读取指标，指标关系、维度数据，自动设置并返回具体的“指标ID”，并生成包含“基线对比”、“顶层定位”、“定向下钻”及“独立交叉验证”的完整深度分析计划。</w:t>
      </w:r>
    </w:p>
    <w:p w14:paraId="0F57AE48">
      <w:pPr>
        <w:pStyle w:val="201"/>
        <w:numPr>
          <w:ilvl w:val="0"/>
          <w:numId w:val="10"/>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进行异常波动归因时，支持联动关联指标（如门急诊收入归因分析时、能够关联门急诊人次、门急诊次均费等指标）进行独立交叉验证。</w:t>
      </w:r>
    </w:p>
    <w:p w14:paraId="6D151DE9">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（3）智能报告自动生成</w:t>
      </w:r>
      <w:r>
        <w:rPr>
          <w:rFonts w:hint="eastAsia" w:ascii="宋体" w:hAnsi="宋体" w:eastAsia="宋体" w:cs="宋体"/>
          <w:sz w:val="24"/>
          <w:szCs w:val="24"/>
          <w:highlight w:val="none"/>
          <w:lang w:eastAsia="zh-CN"/>
        </w:rPr>
        <w:tab/>
      </w:r>
    </w:p>
    <w:p w14:paraId="6E3A346F">
      <w:pPr>
        <w:pStyle w:val="201"/>
        <w:numPr>
          <w:ilvl w:val="0"/>
          <w:numId w:val="11"/>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可按日、周、月、季度、年度自动生成全院运营总报告、科室专项分析报告。</w:t>
      </w:r>
    </w:p>
    <w:p w14:paraId="16C2ECE9">
      <w:pPr>
        <w:pStyle w:val="201"/>
        <w:numPr>
          <w:ilvl w:val="0"/>
          <w:numId w:val="11"/>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报告需内置指标对比、同比环比、异常提示、改进建议。</w:t>
      </w:r>
    </w:p>
    <w:p w14:paraId="09EA9A9C">
      <w:pPr>
        <w:pStyle w:val="201"/>
        <w:numPr>
          <w:ilvl w:val="0"/>
          <w:numId w:val="11"/>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能够通过AI问答方式生成分析报告，支持生成Excel文件、html格式分析报告，并支持文件归档。</w:t>
      </w:r>
    </w:p>
    <w:p w14:paraId="795E729D">
      <w:pPr>
        <w:pStyle w:val="201"/>
        <w:numPr>
          <w:ilvl w:val="0"/>
          <w:numId w:val="11"/>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系统须支持移动端基于语音指令自动生成AI智能分析报告。用户通过移动端语音输入报告生成需求，系统自动完成语音识别、意图解析，调取最新数据生成图文并茂的运营分析报告并在移动端展示。</w:t>
      </w:r>
    </w:p>
    <w:p w14:paraId="4435800D">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（4）智能预警</w:t>
      </w:r>
      <w:r>
        <w:rPr>
          <w:rFonts w:hint="eastAsia" w:ascii="宋体" w:hAnsi="宋体" w:eastAsia="宋体" w:cs="宋体"/>
          <w:sz w:val="24"/>
          <w:szCs w:val="24"/>
          <w:highlight w:val="none"/>
          <w:lang w:eastAsia="zh-CN"/>
        </w:rPr>
        <w:tab/>
      </w:r>
    </w:p>
    <w:p w14:paraId="4CF9F1AD">
      <w:pPr>
        <w:pStyle w:val="201"/>
        <w:numPr>
          <w:ilvl w:val="0"/>
          <w:numId w:val="1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智能预警功能，预警规则配置需支持按照不同的条件进行自由组合，可根据配置数据集的字段任意组合；支持配置预警级别（红，橙，黄，绿），根据不同的预警级别，配置不同的规则。</w:t>
      </w:r>
    </w:p>
    <w:p w14:paraId="507DE249">
      <w:pPr>
        <w:pStyle w:val="201"/>
        <w:numPr>
          <w:ilvl w:val="0"/>
          <w:numId w:val="1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预警规则在指标管理平台配置，支持按照不同的条件进行自由组合，可根据配置数据集的字段任意组合预警条件。</w:t>
      </w:r>
    </w:p>
    <w:p w14:paraId="2BFA926E">
      <w:pPr>
        <w:pStyle w:val="201"/>
        <w:numPr>
          <w:ilvl w:val="0"/>
          <w:numId w:val="1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▲消息推送统一通过统一消息中心完成，本模块不单独配置消息模板、渠道和定时策略，可通过钉钉、企业微信、消息中心主动推送异常提醒，附带指标明细与初步分析；</w:t>
      </w:r>
    </w:p>
    <w:p w14:paraId="53F36AF1">
      <w:pPr>
        <w:pStyle w:val="201"/>
        <w:numPr>
          <w:ilvl w:val="0"/>
          <w:numId w:val="12"/>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预警频率需支持自定义配置，如支持实时，按天、周、月等频率的配置。</w:t>
      </w:r>
    </w:p>
    <w:p w14:paraId="63BFECFE">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2.1.4.院（科）两级运营决策分析管理平台</w:t>
      </w:r>
    </w:p>
    <w:p w14:paraId="3094D34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该模块是为医院院、科两级管理人员提供一个统一的运营决策分析平台，提供PC、移动端等不同终端的展示能力，及面向不同主题的分析能力。具体要求如下：</w:t>
      </w:r>
    </w:p>
    <w:p w14:paraId="1AF052DD">
      <w:pPr>
        <w:pStyle w:val="201"/>
        <w:numPr>
          <w:ilvl w:val="0"/>
          <w:numId w:val="13"/>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系统基于HTML5界面开发，支持企业微信应用，可通过微信或企业微信快速访问。</w:t>
      </w:r>
    </w:p>
    <w:p w14:paraId="0F3539F2">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系统需提供灵活的可视化仪表板设计能力，支持用户通过拖拽式操作自由布局各类图表组件，并可基于指标平台中的指标，通过拖拽方式完成数据绑定，实现零代码可视化开发。配置完成的仪表板组件原生支持联动下钻功能，可依据指标平台预定义的下钻路径逐层深入，并最终下钻至患者级明细数据，满足多维度数据分析需求。此外，系统支持科室账单、职工账单等定制化模板设计，模板内可嵌入文字、可视化图表、音乐、图片等多元元素，并支持通过拖拽绑定指标或变量数据。模板生成后，可根据预设调度计划定期自动生成账单，并支持以单发或批量推送方式发送至员工微信端，实现数据服务的便捷触达。</w:t>
      </w:r>
    </w:p>
    <w:p w14:paraId="0F8A7C5D">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（3）▲移动界面配置需支持基于指标的拖拽，同时也支持配置存储过程完成个性化数据配。</w:t>
      </w:r>
    </w:p>
    <w:p w14:paraId="2033D76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（4）移动分析界面，支持对界面的指标，图表发起督办单，能够将异常的图表进行自动截图，并支持填写相应的督办说明，督办科室，督办人等信息。督办人可对异常数据进行跟进反馈处理结果。</w:t>
      </w:r>
    </w:p>
    <w:p w14:paraId="1F509C68">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（5）自助移动界面配置支持支持对标题、边距、颜色等属性进行自定义编辑。</w:t>
      </w:r>
    </w:p>
    <w:p w14:paraId="55D9BE6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（6）自助移动界面配置支持折线图、堆积图、柱形图、条形图、饼图、环形图、雷达图、仪表盘、散点图、卡片、组合图、列表、表格等多种可视化图例。</w:t>
      </w:r>
    </w:p>
    <w:p w14:paraId="4E583BB6">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（7）需支持不同管理角色进行权限设置，支持按照院区，科室来维度配置系统访问权限。</w:t>
      </w:r>
    </w:p>
    <w:p w14:paraId="0DD9AA6E">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（8）支持可视化界面配置定时的分析报告内容配置，可通过系统配置，自动生成图文分析报告的内容。</w:t>
      </w:r>
    </w:p>
    <w:p w14:paraId="0438AF33">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（9）分析报告支持按照周，月，年，全院，科室的角度配置，支持报告发布功能。</w:t>
      </w:r>
    </w:p>
    <w:p w14:paraId="60CB64FE">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系统需提供对国考和评审指标进行自助分析的功能，支持通过可视化界面通过拖拽方式即可完成分析界面的配置及发布，支持基于指标、维度、过滤条件的拖拽；自助分析界面支持自主新增筛选条件，所有筛选条件都可以设置默认值和控制数据权限，方面不同角色查看不同指标。</w:t>
      </w:r>
    </w:p>
    <w:p w14:paraId="535510D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指标分析，系统需支持通过指标平台的指标分类设置进行指标展示，支持指标搜索功能，能够快捷实现指标的查找及分析。指标趋势、下钻、对比等分析能力统一由指标管理平台提供，本模块只负责展示层配置。</w:t>
      </w:r>
    </w:p>
    <w:p w14:paraId="7F9F5EBD">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（12）重点指标监测，系统需支持用户通过支持用户通过收藏指标的方式选择重点关注的指标展示，方便用户更加快捷地访问相应指标并进行分析。</w:t>
      </w:r>
    </w:p>
    <w:p w14:paraId="5475BBD3">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（13）实时概览</w:t>
      </w:r>
    </w:p>
    <w:p w14:paraId="5E7F1DD5">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1）门急诊实时监控，系统需对医院的门急诊业务指标进行实时监控，以及相应指标的排名,及科室明细数据。</w:t>
      </w:r>
    </w:p>
    <w:p w14:paraId="6960F200">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2）住院实时监控，系统需对住院业务进行实时监控，包括入院人次、出院人次、在院人次、手术台次、住院收入、告病危人次、在院超30天人次等指标，以及相关指标的排名，手术组成，科室明细数据。</w:t>
      </w:r>
    </w:p>
    <w:p w14:paraId="280C36C3">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3）床位实时监控，系统需对医院各类型床位使用相关指标进行展示，包括各类床位数、床位使用率、空床数、病区床位排名，以及各病区床位明细数据。</w:t>
      </w:r>
    </w:p>
    <w:p w14:paraId="7D25E69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（14）预警中心</w:t>
      </w:r>
      <w:r>
        <w:rPr>
          <w:rFonts w:hint="eastAsia" w:ascii="宋体" w:hAnsi="宋体" w:eastAsia="宋体" w:cs="宋体"/>
          <w:sz w:val="24"/>
          <w:szCs w:val="24"/>
          <w:highlight w:val="none"/>
          <w:lang w:eastAsia="zh-CN"/>
        </w:rPr>
        <w:tab/>
      </w:r>
    </w:p>
    <w:p w14:paraId="2E60DFB8">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对重点业务运营状态进行监控预警，系统复用统一消息中心，需支持对医院重点业务的运营状态进行实时展示，包括候诊排队，抢救室，床位、超长手术等进行红、橙、黄、绿等显示。并支持查看相应的明细数据。</w:t>
      </w:r>
    </w:p>
    <w:p w14:paraId="5C74B6A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（15）运营主题分析</w:t>
      </w:r>
      <w:r>
        <w:rPr>
          <w:rFonts w:hint="eastAsia" w:ascii="宋体" w:hAnsi="宋体" w:eastAsia="宋体" w:cs="宋体"/>
          <w:sz w:val="24"/>
          <w:szCs w:val="24"/>
          <w:highlight w:val="none"/>
          <w:lang w:eastAsia="zh-CN"/>
        </w:rPr>
        <w:tab/>
      </w:r>
    </w:p>
    <w:p w14:paraId="6FA7A43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收入分析，系统需对医疗总收入、门急诊收入、住院收入及构成进行相应的数据分析，包括药品收入、卫生材料收入、医疗服务收入、检查化验收入，以及相应的指标的占比，及趋势变化，以及相应指标的明细指标数据展示。</w:t>
      </w:r>
    </w:p>
    <w:p w14:paraId="442314C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2）业务量分析，系统需支持对医院及科室的门急诊人次、出院人次、入院人次、手术台次、手术患者占比等指标进行趋势、下钻、对比分析展示。</w:t>
      </w:r>
    </w:p>
    <w:p w14:paraId="10FDAD06">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3）床位使用分析，系统需支持对医院各类床位，如正式床位，普通床位，高价床位，日间床位的使用率进行趋势，下钻、对比分析展示。</w:t>
      </w:r>
    </w:p>
    <w:p w14:paraId="06FE15A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4）均次费用分析，系统需对门急诊均次费用，住院均次费用以及相应的构成进行趋势，下钻、对比分析展示。</w:t>
      </w:r>
    </w:p>
    <w:p w14:paraId="16B5DC0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5）人均产出分析，系统需支持对医院及科室的每职工，每医生的产出进行趋势，对比，下钻分析。</w:t>
      </w:r>
    </w:p>
    <w:p w14:paraId="6A3C3975">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6）手术业务分析，系统需支持从全院及科室维度，对手术业务，包括台次，手术级别构成构成、趋势，下钻，对比分析展示。</w:t>
      </w:r>
    </w:p>
    <w:p w14:paraId="6C947E75">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7）住院效率分析，系统需支持对平均住院日，床位衔接、术前平均住院日指标进行趋势，下钻，对比分析展示。</w:t>
      </w:r>
    </w:p>
    <w:p w14:paraId="5FD97347">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8）床位预约分析，系统需支持对医院及各科室的床位预约登记、平均等待时长、入院登记比率等指标进行分析展示。</w:t>
      </w:r>
    </w:p>
    <w:p w14:paraId="41D382A6">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9）门诊预约分析，系统需对门诊预约，包括专家，专病，普通门诊的预约情况进行分析展示。</w:t>
      </w:r>
    </w:p>
    <w:p w14:paraId="65122E10">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（16）目标值监控</w:t>
      </w:r>
    </w:p>
    <w:p w14:paraId="0F08F702">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1）全院目标执行监控，系统需对全院的目标完成情况进行监控，包括目标值、完成值、完成比率等指标进行监控。目标值由指标管理平台统一维护，本模块调用平台目标值管理服务，仅做监控展示。</w:t>
      </w:r>
    </w:p>
    <w:p w14:paraId="63C478F8">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2）科室目标执行监控，系统需对科室的目标完成情况进行监控，包括目标值、完成值、完成比率等指标进行监控。</w:t>
      </w:r>
    </w:p>
    <w:p w14:paraId="5CD9472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（17）设备利用</w:t>
      </w:r>
    </w:p>
    <w:p w14:paraId="2309D069">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1）设备资产分析，系统需按照设备类型统计设备的数量、评价使用年限、国产设备占比、设备总价值、折旧金额、状态等数据进行展示与分析</w:t>
      </w:r>
    </w:p>
    <w:p w14:paraId="6496F42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CT设备利用分析，系统需对CT检查量、CT报告数、CT检查收入、门急诊平均等待时长，门急诊报告等待时长、住院平均等待时长、住院报告等待时长、CT设备使用率等指标进行展示与分析，以及相应的指标的趋势、及设备的明细数据。</w:t>
      </w:r>
    </w:p>
    <w:p w14:paraId="38180BB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MR设备利用分析，系统需对MR检查量、MR报告数、MR检查收入、门急诊平均等待时长，门急诊报告等待时长、住院平均等待时长、住院报告等待时长、MR设备使用率等指标进行展示与分析，以及相应的指标的趋势、及设备的明细数据。</w:t>
      </w:r>
    </w:p>
    <w:p w14:paraId="01565973">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（18）数据分析报告</w:t>
      </w:r>
    </w:p>
    <w:p w14:paraId="16AC2B03">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1）全院运营分析报告，系统需按照周、月给生成医院运营数据分析报告，以图文并茂的方式展示医院的周期内的数据分析，帮助医院管理人员快速掌握周期内医院运营状况及存在的问题。</w:t>
      </w:r>
    </w:p>
    <w:p w14:paraId="2019222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2）科室运营分析报告，系统需按照周、月给各个临床科室发送相应的运营数据分析报告，以图文并茂的方式展示科室的周期内的数据分析，帮助科主任快速掌握周期内科室的运营状况及存在的问题。</w:t>
      </w:r>
    </w:p>
    <w:p w14:paraId="61CE6F49">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（19）消息中心</w:t>
      </w:r>
    </w:p>
    <w:p w14:paraId="424F1336">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1）复用统一消息中心，支持全院运营消息推送。系统需支持每天三次发送医院的运营数据，早上8点发送前一天、12点30发送上午、下午17点30发送全天的运营指标数据，并通过微信推送到医院管理人员手机中。</w:t>
      </w:r>
    </w:p>
    <w:p w14:paraId="339BF97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2）科室运营消息推送，系统需支持每天定期各个临床科主任发送对应科室的运营数据，早上8点发送前一天、12点30发送上午、下午17点30发送全天的运营指标数据，并通过微信推送到科室管理人员手机中。</w:t>
      </w:r>
    </w:p>
    <w:p w14:paraId="07B4EB83">
      <w:pPr>
        <w:pStyle w:val="201"/>
        <w:spacing w:line="500" w:lineRule="exact"/>
        <w:ind w:firstLine="480" w:firstLineChars="200"/>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3）系统需支持预警消息推送，可以针对医院的异常事件，如拥挤，异常排队，指标异常等数据进行实时推送及展示。</w:t>
      </w:r>
    </w:p>
    <w:p w14:paraId="1A14EDA6">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2.1.5.数据质量校验相关应用</w:t>
      </w:r>
    </w:p>
    <w:p w14:paraId="4B31532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提供面向医院数据质量校验相关应用的辅助工具，包括对电子病历数据质量进行集中质控和要求的闭环管理等功能，具体包括：</w:t>
      </w:r>
    </w:p>
    <w:p w14:paraId="77C14EF3">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（1）数据质量校验助手</w:t>
      </w:r>
    </w:p>
    <w:p w14:paraId="2974ADCA">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该工具是以软件工具的方式来帮助医院实现数据质量的自动统计、数据质量文审材料的上报、数据质量的准确性校验、现场查验的统一展示等功能，辅助医院实现电子病历数据质量部分的各类工作。具体功能需满足：</w:t>
      </w:r>
    </w:p>
    <w:p w14:paraId="1E2D06D0">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系统支持主流数据库SQL Server、Oracle、MySQL、Sybase等关系型数据库的接入。</w:t>
      </w:r>
    </w:p>
    <w:p w14:paraId="2C42659A">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系统内置了3~7级规则知识库，同时支持规则的灵活配置 增、删、改和查询等操作。</w:t>
      </w:r>
    </w:p>
    <w:p w14:paraId="1E663C7E">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系统支持如检查、治疗类系统规则拆分和合并功能，实现脚本由子级规则维护，父级规则汇总展示功能</w:t>
      </w:r>
    </w:p>
    <w:p w14:paraId="6CBD5AAD">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系统支持规则按业务厂商进行权限分配，权限分配到具体负责人，支持多个业务厂商协作办公，提高了数据治理效率</w:t>
      </w:r>
    </w:p>
    <w:p w14:paraId="68CE53F5">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系统支持规则在线调试SQL语句功能，可以有效保证所有规则的脚本可执行，保证数据质量校验结果数据的真实性和不可造假。</w:t>
      </w:r>
    </w:p>
    <w:p w14:paraId="3D290293">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系统支持规则SQL基础语法验证，语法校验时给出相应提示。</w:t>
      </w:r>
    </w:p>
    <w:p w14:paraId="2E3D3733">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系统支持厂商工作进度一览查看，可以查看厂商脚本维护率和正确率。</w:t>
      </w:r>
    </w:p>
    <w:p w14:paraId="4FA1B79A">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系统支持作业计划，按照一定时间一定频率实施数据质量校验任务，既保障了数据质量校验的可持续性。也减轻了对业务系统影响。</w:t>
      </w:r>
    </w:p>
    <w:p w14:paraId="07B7C457">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系统支持查看任务计划生成的质量评估报告，可以按照批次查看一段时间内数据质量评价得分情况，可以下钻到明细查看每条规则质量得分情况。</w:t>
      </w:r>
    </w:p>
    <w:p w14:paraId="1272E676">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系统查看各厂商质量规则维护完成情况，如符合率、参考值、异常原因、误差原因和审核状态等信息。</w:t>
      </w:r>
    </w:p>
    <w:p w14:paraId="23AE5AEA">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系统支持基础项目SQL脚本维护、权限分配和规则项目关系映射等操作。</w:t>
      </w:r>
    </w:p>
    <w:p w14:paraId="35568825">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系统支持一键自动生成电子病历相关的数据质量材料。提升工作效率，降低了手工统计带来的失误率。系统支持一键导出数据提取项目word文档版本，方便数据核对和归档。</w:t>
      </w:r>
    </w:p>
    <w:p w14:paraId="05A82FBC">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遵循闭环管理理念，支持工单管理，工单转派、工单处理。实现质量问题的分析和改进，持续优化质量流程，促进医院数据质量的提高，提升数据质量。系统通过任务计划和工单管理实现的数据质量评估的可持续性和工具常态化管理。</w:t>
      </w:r>
    </w:p>
    <w:p w14:paraId="6EC502F5">
      <w:pPr>
        <w:pStyle w:val="201"/>
        <w:numPr>
          <w:ilvl w:val="0"/>
          <w:numId w:val="14"/>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支持新版电子病历规则知识库的定期升级工作。</w:t>
      </w:r>
    </w:p>
    <w:p w14:paraId="4EF1408E">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（2）闭环示踪系统</w:t>
      </w:r>
    </w:p>
    <w:p w14:paraId="5ABA8280">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该系统能够展示患者就医流程中的医嘱或其它流程节点数据，包括执行人、执行时间、执行状态等信息。通过闭环轨迹跟踪可查看各类医嘱的当前执行节点和执行状态。具体功能需满足：</w:t>
      </w:r>
    </w:p>
    <w:p w14:paraId="485C57A2">
      <w:pPr>
        <w:pStyle w:val="201"/>
        <w:numPr>
          <w:ilvl w:val="0"/>
          <w:numId w:val="1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支持常用数据库类型，包括Oracle、SqlServer、MySQL、达梦数据库、GaussDB等数据库</w:t>
      </w:r>
    </w:p>
    <w:p w14:paraId="3B5AED6D">
      <w:pPr>
        <w:pStyle w:val="201"/>
        <w:numPr>
          <w:ilvl w:val="0"/>
          <w:numId w:val="1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支持提供H5链接供第三方系统调阅，展示闭环节点数据</w:t>
      </w:r>
    </w:p>
    <w:p w14:paraId="137D7FF2">
      <w:pPr>
        <w:pStyle w:val="201"/>
        <w:numPr>
          <w:ilvl w:val="0"/>
          <w:numId w:val="1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支持对闭环示踪的调阅链接参数进行加密处理</w:t>
      </w:r>
    </w:p>
    <w:p w14:paraId="1B436B69">
      <w:pPr>
        <w:pStyle w:val="201"/>
        <w:numPr>
          <w:ilvl w:val="0"/>
          <w:numId w:val="1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▲支持通过系统界面配置闭环，包括闭环新增、闭环修改、闭环删除操作。支持通过系统界面配置闭环节点，包括闭环节点新增、闭环节点修改、闭环节点删除操作</w:t>
      </w:r>
    </w:p>
    <w:p w14:paraId="5D3503E4">
      <w:pPr>
        <w:pStyle w:val="201"/>
        <w:numPr>
          <w:ilvl w:val="0"/>
          <w:numId w:val="1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支持配置闭环节点为空时，不显示该闭环节点</w:t>
      </w:r>
    </w:p>
    <w:p w14:paraId="58580473">
      <w:pPr>
        <w:pStyle w:val="201"/>
        <w:numPr>
          <w:ilvl w:val="0"/>
          <w:numId w:val="1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查看闭环示踪数据时，支持切换到其他闭环</w:t>
      </w:r>
    </w:p>
    <w:p w14:paraId="46B4F069">
      <w:pPr>
        <w:pStyle w:val="201"/>
        <w:numPr>
          <w:ilvl w:val="0"/>
          <w:numId w:val="1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闭环数据获取方式，支持SQL语句和存储过程</w:t>
      </w:r>
    </w:p>
    <w:p w14:paraId="1ADC6F55">
      <w:pPr>
        <w:pStyle w:val="201"/>
        <w:numPr>
          <w:ilvl w:val="0"/>
          <w:numId w:val="15"/>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完成包括不限于以下闭环：</w:t>
      </w:r>
    </w:p>
    <w:p w14:paraId="79BDB14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门诊口服药闭环</w:t>
      </w:r>
    </w:p>
    <w:p w14:paraId="36A11F9B">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门诊输液闭环</w:t>
      </w:r>
    </w:p>
    <w:p w14:paraId="2DDF475E">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住院口服药闭环</w:t>
      </w:r>
    </w:p>
    <w:p w14:paraId="0A20B5F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住院输液闭环</w:t>
      </w:r>
    </w:p>
    <w:p w14:paraId="7055EBB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手术全流程闭环</w:t>
      </w:r>
    </w:p>
    <w:p w14:paraId="473273A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输血闭环</w:t>
      </w:r>
    </w:p>
    <w:p w14:paraId="57CEED67">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住院检验标本闭环</w:t>
      </w:r>
    </w:p>
    <w:p w14:paraId="6B2C38F0">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住院病理闭环</w:t>
      </w:r>
    </w:p>
    <w:p w14:paraId="02DFAC02">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住院检验危急值管理闭环</w:t>
      </w:r>
    </w:p>
    <w:p w14:paraId="440B7A6B">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住院检查危急值管理闭环 。</w:t>
      </w:r>
    </w:p>
    <w:p w14:paraId="60318E3B">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2.2 三级公立医院绩效及评审管理系统</w:t>
      </w:r>
    </w:p>
    <w:p w14:paraId="2B3182AA">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2.2.1.三级公立医院绩效评价系统</w:t>
      </w:r>
    </w:p>
    <w:p w14:paraId="772A3162">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严格对标《国家三级公立医院绩效监测操作手册（2025版）》最新要求，全面覆盖医疗质量、运营效率、持续发展、满意度评价四个维度共55项监测指标，重点支持26项国家核心指标的精准追踪与上报。系统需已内置2025版全部新增及修订指标规则，支持用户根据政策变化灵活调整指标配置与评价标准。实现数据采集、智能填报、上报校验、佐证上传、考核结果展示及趋势分析等全流程功能。同时内置数据质量闭环管理机制，辅助医院快速定位短板、持续改进，有效提升绩效评价水平与数据上报效率。</w:t>
      </w:r>
    </w:p>
    <w:p w14:paraId="71A82EC5">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（1）技术要求</w:t>
      </w:r>
    </w:p>
    <w:p w14:paraId="01A405C2">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能够通过接口调用指标管理平台统一维护的指标库，展示国考指标编码、名称、口径、意义、来源等，指标定义与平台保持一致。支持国考指标多版本同步管理，以应对国家不同年份的绩效考核分析和历史数据版本切换查看。</w:t>
      </w:r>
    </w:p>
    <w:p w14:paraId="67B50C9A">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系统需支持指标多种统计类型（系统采集、手工录入和公式计算），公式计算指标会因原子指标数据发生变化而实时计算更新展示。</w:t>
      </w:r>
    </w:p>
    <w:p w14:paraId="04EAD579">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系统需支持指标的录入人、审核人和查阅人权限各自分配，互不影响。</w:t>
      </w:r>
    </w:p>
    <w:p w14:paraId="53B38BF3">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系统需支持指标设置目标值，目标值可以快速批量引用（同期修正值和上期目标值）。</w:t>
      </w:r>
    </w:p>
    <w:p w14:paraId="16D6698C">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系统通过指标可视化平台数据源管理接口接入各类数据库，数据采集由平台统一执行，本系统不单独配置数据库连接。</w:t>
      </w:r>
    </w:p>
    <w:p w14:paraId="2F0BFB52">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集指标脚本配置、任务计划及在线调试功能由指标管理平台提供，本系统通过接口触发采集并获取结果，按照每日、月、季、年频次实现数据采集。指标历史脚本编辑记录由指标管理平台统一保存，本系统可查看引用。</w:t>
      </w:r>
    </w:p>
    <w:p w14:paraId="7A9274F4">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录入人进入系统后只看到自己有录入权限的指标进行补录，按照年、季、月维度录入和excel批量导入功能。系统需支持采集指标数据的人工修正，既保留系统采集值（用于分析），也保留人工修正值（用于上报）。</w:t>
      </w:r>
    </w:p>
    <w:p w14:paraId="312A5876">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系统需支持指标提交审核、撤销审核和审核功能，当审核不通过时给出审核不通过原因。</w:t>
      </w:r>
    </w:p>
    <w:p w14:paraId="3F61BB0B">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系统需支持指标的自评功能，对每项指标打分和写明得分原因。</w:t>
      </w:r>
    </w:p>
    <w:p w14:paraId="2F648736">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系统需支持国考26个监测指标一览分析，实现对国考中位数、满分值和评分标准的自动评分，测算出医院国考得分。</w:t>
      </w:r>
    </w:p>
    <w:p w14:paraId="26FEB4D8">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系统需支持指标下钻分析，查看指标按照院、科、医三级下钻分析和日期维度的趋势分析。系统需支持部分指标，可以下钻到具体患者明细清单。</w:t>
      </w:r>
    </w:p>
    <w:p w14:paraId="27F050A6">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系统需支持国考指标专题分析，如人次分析、费用分析、合理用药分析、均次费用分析、收入构成分析和手术分析。</w:t>
      </w:r>
    </w:p>
    <w:p w14:paraId="2FEF66F0">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▲系统需支持根据医院情况，设置目标值、目标得分，并一键生成提升计划；系统需支持国考监测对比分析，任选两个年度进行指标值、监测得分对比。</w:t>
      </w:r>
    </w:p>
    <w:p w14:paraId="5F2E9464">
      <w:pPr>
        <w:pStyle w:val="201"/>
        <w:numPr>
          <w:ilvl w:val="0"/>
          <w:numId w:val="16"/>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级公立医院绩效评价系统支持对上报数据进行修正，用户可根据授予的指标权限，查看负责指标的原始值、修正值和目标值，并对修正值进行调整。支持所有已经修正的指标进行提交审核、撤销审核等操作。支持原始值的下钻分析，支持下钻到科室及医生维度。</w:t>
      </w:r>
    </w:p>
    <w:p w14:paraId="4B19B738">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（2）功能要求</w:t>
      </w:r>
    </w:p>
    <w:p w14:paraId="7E47EEA4">
      <w:pPr>
        <w:pStyle w:val="201"/>
        <w:numPr>
          <w:ilvl w:val="0"/>
          <w:numId w:val="1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基础配置</w:t>
      </w:r>
    </w:p>
    <w:p w14:paraId="6C5265A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通过平台接口调用国考指标库，本系统仅做展示和业务映射。建设内容需包含三级公立医院绩效考核完整的指标体系。可以灵活配置各类指标参数，也可以根据医院实际需求，灵活调整口径、扩展指标。</w:t>
      </w:r>
    </w:p>
    <w:p w14:paraId="7E051BB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系统负责国考业务版本管理，指标口径版本由指标管理平台统一管理，系统记录版本对应关系，系统需增加不同评审版本管理的功能，用于区分不同年度的实施细则对应的指标版本，同时保留历史数据。</w:t>
      </w:r>
    </w:p>
    <w:p w14:paraId="53802CEB">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指标授权，需对指标填报、上报修正、上报审核三大模块进行任务分配，明确任务并确定具体的责任人，提升工作效率。</w:t>
      </w:r>
    </w:p>
    <w:p w14:paraId="5009CDD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目标值管理调用指标管理平台目标值管理服务，设置年度目标值，用于对比分析，支持绩效考核指标按照年度设置目标值，用于实际数据与目标值对比分析。</w:t>
      </w:r>
    </w:p>
    <w:p w14:paraId="197018BB">
      <w:pPr>
        <w:pStyle w:val="201"/>
        <w:numPr>
          <w:ilvl w:val="0"/>
          <w:numId w:val="1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指标采集</w:t>
      </w:r>
    </w:p>
    <w:p w14:paraId="5460D725">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系统通过与指标管理平台的数据采集服务对接，自动完成国考指标数据的采集与更新，无需在本系统维护数据库连接和采集脚本。</w:t>
      </w:r>
    </w:p>
    <w:p w14:paraId="2B4ED480">
      <w:pPr>
        <w:pStyle w:val="201"/>
        <w:numPr>
          <w:ilvl w:val="0"/>
          <w:numId w:val="1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任务计划</w:t>
      </w:r>
    </w:p>
    <w:p w14:paraId="535C8740">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系统通过接口调用指标管理平台的调度任务，获取采集结果和执行日志，本系统仅展示任务执行状态。</w:t>
      </w:r>
    </w:p>
    <w:p w14:paraId="12A41FD3">
      <w:pPr>
        <w:pStyle w:val="201"/>
        <w:numPr>
          <w:ilvl w:val="0"/>
          <w:numId w:val="1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指标填报</w:t>
      </w:r>
    </w:p>
    <w:p w14:paraId="0BF338CE">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提供指标填报功能，职能科室负责人根据指标分配的权限可以看到自己负责的指标，并进行指标录入。系统需同时支持非录入指标的查看权限。</w:t>
      </w:r>
    </w:p>
    <w:p w14:paraId="137A5FC2">
      <w:pPr>
        <w:pStyle w:val="201"/>
        <w:numPr>
          <w:ilvl w:val="0"/>
          <w:numId w:val="1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指标归档</w:t>
      </w:r>
    </w:p>
    <w:p w14:paraId="10B3C8D6">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对上报数据进行修正，用户可根据授予的指标权限，查看负责指标的原始值、修正值和目标值，并对修正值进行调整。支持所有已经修正的指标进行提交审核、撤销审核等操作。支持原始值的下钻分析，支持下钻到科室及医生维度。</w:t>
      </w:r>
    </w:p>
    <w:p w14:paraId="4BF34E5E">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支持对上报数据进行审核，审核员可根据授予的指标权限，审核需要上报的年度指标数据。审核不通过的指标需要提交原因供上报员查看。</w:t>
      </w:r>
    </w:p>
    <w:p w14:paraId="06672567">
      <w:pPr>
        <w:pStyle w:val="201"/>
        <w:numPr>
          <w:ilvl w:val="0"/>
          <w:numId w:val="1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院内评价</w:t>
      </w:r>
    </w:p>
    <w:p w14:paraId="507E054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提供国考监测功能，支持查看监测指标、指标数值、全国中位数、国家满分标准、权重、预测得分和得分标准等信息。</w:t>
      </w:r>
    </w:p>
    <w:p w14:paraId="0468E7A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支持自评功能，根据考核标准要求，对各个指标进行打分。同时可以发现评审工作的不足之处，及时改进。</w:t>
      </w:r>
    </w:p>
    <w:p w14:paraId="17DAF557">
      <w:pPr>
        <w:pStyle w:val="201"/>
        <w:numPr>
          <w:ilvl w:val="0"/>
          <w:numId w:val="17"/>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指标分析</w:t>
      </w:r>
    </w:p>
    <w:p w14:paraId="2C365E4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绩效运营概览功能，运营概览界面需按照功能定位、质量安全、合理用药等15个专题展示指标当前年度及上一年度数据对比分析。每个指标支持下钻到指标概览界面，可以查看指标计算公式、口径解释、指标值、年度趋势、科室分析等。</w:t>
      </w:r>
    </w:p>
    <w:p w14:paraId="3DA09307">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提供国考主题分析功能，系统需支持人次分析、费用分析、合理用药分析、均次费用分析、收入构成分析和手术分析等主题分析功能。</w:t>
      </w:r>
    </w:p>
    <w:p w14:paraId="749D3F11">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2.2.2.三级医院等级评审系统参数要求</w:t>
      </w:r>
    </w:p>
    <w:p w14:paraId="295D8050">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为满足医院对评审工作信息化管理的要求,满足《江苏省三级综合医院评审标准实施细则（2026版）》的指标采集及填报要求；通过三级评审，建立完善的医院的医疗管理的管理制度，并进行统一的管理；通过系统建设帮助医院实现对医院的医疗质量进行持续化的监测，提高医院的医疗质量安全水平。</w:t>
      </w:r>
    </w:p>
    <w:p w14:paraId="059351A7">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（1）系统技术要求：</w:t>
      </w:r>
    </w:p>
    <w:p w14:paraId="7BF7CA74">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系统支持可视化建模，便于医院手工明细数据导入。</w:t>
      </w:r>
    </w:p>
    <w:p w14:paraId="0225FCB1">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bookmarkStart w:id="5" w:name="OLE_LINK8"/>
      <w:bookmarkStart w:id="6" w:name="OLE_LINK7"/>
      <w:r>
        <w:rPr>
          <w:rFonts w:hint="eastAsia" w:ascii="宋体" w:hAnsi="宋体" w:eastAsia="宋体" w:cs="宋体"/>
          <w:sz w:val="24"/>
          <w:szCs w:val="24"/>
          <w:highlight w:val="none"/>
          <w:lang w:eastAsia="zh-CN"/>
        </w:rPr>
        <w:t>《江苏省三级综合医院评审标准实施细则（2026版）》</w:t>
      </w:r>
      <w:bookmarkEnd w:id="5"/>
      <w:bookmarkEnd w:id="6"/>
      <w:r>
        <w:rPr>
          <w:rFonts w:hint="eastAsia" w:ascii="宋体" w:hAnsi="宋体" w:eastAsia="宋体" w:cs="宋体"/>
          <w:sz w:val="24"/>
          <w:szCs w:val="24"/>
          <w:highlight w:val="none"/>
          <w:lang w:eastAsia="zh-CN"/>
        </w:rPr>
        <w:t>涉及的指标口径版本由指标管理平台集中管理，实现对指标数据的统一定义、采集、统计。</w:t>
      </w:r>
    </w:p>
    <w:p w14:paraId="7382C8E6">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本系统通过指标管理平台的数据标准服务实现科室、病区、医生等关键业务编码的统一映射，不单独建设数据标准模块。</w:t>
      </w:r>
    </w:p>
    <w:p w14:paraId="19B77183">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系统支持结合各省评审政策不同的调整，医院也要针对不同的版本，做出相应的评审准备。因此系统增加的了不同评审版本管理的功能，用于区分各个评审版本，以及历史数据的保留和追溯。</w:t>
      </w:r>
    </w:p>
    <w:p w14:paraId="3B95AE90">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系统通过接口调用平台指标库，支持在评审版本中引用平台指标，不单独维护指标定义。</w:t>
      </w:r>
    </w:p>
    <w:p w14:paraId="5B722723">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手工录入指标支持多种补录方式：如直接手工录入指标值、自定义规则标签实现患者标记和表单模版创建与excel导入。</w:t>
      </w:r>
    </w:p>
    <w:p w14:paraId="63F80DED">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采集类指标由指标管理平台提供采集能力，本系统通过任务配置关联平台采集指标，不直接配置SQL脚本。</w:t>
      </w:r>
    </w:p>
    <w:p w14:paraId="64EEB84B">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数据采集调试由指标管理平台提供，本系统仅支持触发平台采集任务并查看结果。</w:t>
      </w:r>
    </w:p>
    <w:p w14:paraId="64208088">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指标支持逐级下钻，部分指标支持下钻到具体患者明细。并且患者明细界面支持对接患者全息视图，方便数据核对。</w:t>
      </w:r>
    </w:p>
    <w:p w14:paraId="2BE10958">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支持指标的归档功能，指标可通过修正提交和审核归档操作。</w:t>
      </w:r>
    </w:p>
    <w:p w14:paraId="145BA6FD">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系统需通过调用指标管理平台预警规则服务，触发后通过统一消息中心提醒，确保指标不达标时触发预警提醒功能。</w:t>
      </w:r>
    </w:p>
    <w:p w14:paraId="66B185FA">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系统需具有灵活数据权限配置功能，可根据指标来分配用户的录入权限、审核权限和查看权限。</w:t>
      </w:r>
    </w:p>
    <w:p w14:paraId="3FF3C528">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系统支持多种类型文档上传、在线预览和下载。</w:t>
      </w:r>
    </w:p>
    <w:p w14:paraId="56F4C830">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bookmarkStart w:id="7" w:name="OLE_LINK10"/>
      <w:bookmarkStart w:id="8" w:name="OLE_LINK9"/>
      <w:r>
        <w:rPr>
          <w:rFonts w:hint="eastAsia" w:ascii="宋体" w:hAnsi="宋体" w:eastAsia="宋体" w:cs="宋体"/>
          <w:sz w:val="24"/>
          <w:szCs w:val="24"/>
          <w:highlight w:val="none"/>
          <w:lang w:eastAsia="zh-CN"/>
        </w:rPr>
        <w:t>▲条款台账支持自定义创建多级目录，上传的条款文档删除后，可以通过删除操作日志进行文档恢复，找回已经删除的文档。文档条款自评结果支持一键导出条款自评word文档，按照评审专家查找目录结构展示条款目录及自评分。</w:t>
      </w:r>
      <w:bookmarkEnd w:id="7"/>
      <w:bookmarkEnd w:id="8"/>
    </w:p>
    <w:p w14:paraId="780E5283">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条款自评支持过程中支持发起整改操作，可以指派责任人和限定时间。</w:t>
      </w:r>
    </w:p>
    <w:p w14:paraId="605E5B92">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系统支持自评功能，医院可针对考核指标和条款进行多次自评操作。</w:t>
      </w:r>
    </w:p>
    <w:p w14:paraId="51BC5645">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系统包含用户工作台，可以在工作台收藏重点关注指标，以及预警指标信息推送，我的工作完成进度等信息展示。</w:t>
      </w:r>
    </w:p>
    <w:p w14:paraId="1A8EDD72">
      <w:pPr>
        <w:pStyle w:val="201"/>
        <w:numPr>
          <w:ilvl w:val="0"/>
          <w:numId w:val="18"/>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级医院等级评审系统需提供患者标签管理，对于无法直接从结构化数据提取的指标，可以支持按照患者进行数据标记，进一步对标记患者进行统计分析从而得到对应的指标数值；同时，系统需提供各类筛选条件，方便患者数据批量导入功能。</w:t>
      </w:r>
    </w:p>
    <w:p w14:paraId="499A163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（2）系统功能要求</w:t>
      </w:r>
    </w:p>
    <w:p w14:paraId="23ED7EAE">
      <w:pPr>
        <w:pStyle w:val="201"/>
        <w:numPr>
          <w:ilvl w:val="0"/>
          <w:numId w:val="1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基础数据</w:t>
      </w:r>
    </w:p>
    <w:p w14:paraId="74FB4289">
      <w:pPr>
        <w:pStyle w:val="201"/>
        <w:numPr>
          <w:ilvl w:val="0"/>
          <w:numId w:val="20"/>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指标版本管理，系统通过与指标管理平台对接，支持添加不同年份评审版本维护功能，进入版本后，维护当前版本下的指标体系、文档条款和前置条件。</w:t>
      </w:r>
    </w:p>
    <w:p w14:paraId="5E6EC556">
      <w:pPr>
        <w:pStyle w:val="201"/>
        <w:numPr>
          <w:ilvl w:val="0"/>
          <w:numId w:val="20"/>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前置条件任务配置，支持前置条件条款权限分配，支持单个条件条款权限分配到责任人和责任科室，也支持多个条件条款批量授权。</w:t>
      </w:r>
    </w:p>
    <w:p w14:paraId="1CBC0AA8">
      <w:pPr>
        <w:pStyle w:val="201"/>
        <w:numPr>
          <w:ilvl w:val="0"/>
          <w:numId w:val="20"/>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指标权限分配，支持指标权限分配，支持单个指标权限分配到责任人和责任科室，也支持多个指标批量授权。</w:t>
      </w:r>
    </w:p>
    <w:p w14:paraId="6AF4F893">
      <w:pPr>
        <w:pStyle w:val="201"/>
        <w:numPr>
          <w:ilvl w:val="0"/>
          <w:numId w:val="20"/>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条款权限分配，支持文档条款权限分配，支持单个文档条款权限分配到责任人和责任科室，也支持多个条款批量授权。</w:t>
      </w:r>
    </w:p>
    <w:p w14:paraId="6EBE2DC1">
      <w:pPr>
        <w:pStyle w:val="201"/>
        <w:numPr>
          <w:ilvl w:val="0"/>
          <w:numId w:val="1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指标考核</w:t>
      </w:r>
    </w:p>
    <w:p w14:paraId="414B32FC">
      <w:pPr>
        <w:pStyle w:val="201"/>
        <w:numPr>
          <w:ilvl w:val="0"/>
          <w:numId w:val="21"/>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系统通过与指标管理平台对接，获取指标采集数据；任务计划、执行日志由平台管理，本系统展示结果。</w:t>
      </w:r>
    </w:p>
    <w:p w14:paraId="22D8C8FB">
      <w:pPr>
        <w:pStyle w:val="201"/>
        <w:numPr>
          <w:ilvl w:val="0"/>
          <w:numId w:val="21"/>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标签管理，支持标签属性的添加、修改和删除等操作，用于专科类患者批量打标签使用。实现不可采集指标数据的统计。</w:t>
      </w:r>
    </w:p>
    <w:p w14:paraId="4AFDF284">
      <w:pPr>
        <w:pStyle w:val="201"/>
        <w:numPr>
          <w:ilvl w:val="0"/>
          <w:numId w:val="21"/>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▲患者标签，支持按照患者进行数据标记，同时提供各类筛选条件，方便患者数据批量导入功能。</w:t>
      </w:r>
    </w:p>
    <w:p w14:paraId="00F7B1D4">
      <w:pPr>
        <w:pStyle w:val="201"/>
        <w:numPr>
          <w:ilvl w:val="0"/>
          <w:numId w:val="21"/>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补录模板，支持在模型分类下添加、修改和删除表结构</w:t>
      </w:r>
    </w:p>
    <w:p w14:paraId="15D72A2C">
      <w:pPr>
        <w:pStyle w:val="201"/>
        <w:numPr>
          <w:ilvl w:val="0"/>
          <w:numId w:val="21"/>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数据补录，支持数据补录模板的自定义，用户可根据模型结构在线录入明细数据或excel导入。</w:t>
      </w:r>
    </w:p>
    <w:p w14:paraId="49BC0A63">
      <w:pPr>
        <w:pStyle w:val="201"/>
        <w:numPr>
          <w:ilvl w:val="0"/>
          <w:numId w:val="21"/>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指标手工录入，用户可根据授予的指标权限，按照指标频次切换年度、季度和月度指标分别录入数据，支持按照分院级录入数据和科室级别录入数据。</w:t>
      </w:r>
    </w:p>
    <w:p w14:paraId="7D2AE595">
      <w:pPr>
        <w:pStyle w:val="201"/>
        <w:numPr>
          <w:ilvl w:val="0"/>
          <w:numId w:val="21"/>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指标修正，支持手工录入指标和系统采集指标的修正和提交操作</w:t>
      </w:r>
    </w:p>
    <w:p w14:paraId="33BFE4E5">
      <w:pPr>
        <w:pStyle w:val="201"/>
        <w:numPr>
          <w:ilvl w:val="0"/>
          <w:numId w:val="21"/>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指标审核，支持所有指标审核操作，如审核通过、审核不通过、撤销审核通过，审核不通过回复相应原因等</w:t>
      </w:r>
    </w:p>
    <w:p w14:paraId="700CEDA6">
      <w:pPr>
        <w:pStyle w:val="201"/>
        <w:numPr>
          <w:ilvl w:val="0"/>
          <w:numId w:val="21"/>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指标预警，系统调用指标管理平台预警服务，支持预警结果展示和消息提醒；预警规则统一在平台配置，本系统不单独配置规则。</w:t>
      </w:r>
    </w:p>
    <w:p w14:paraId="4BB01E1D">
      <w:pPr>
        <w:pStyle w:val="201"/>
        <w:numPr>
          <w:ilvl w:val="0"/>
          <w:numId w:val="1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条款台账</w:t>
      </w:r>
    </w:p>
    <w:p w14:paraId="41779B0B">
      <w:pPr>
        <w:pStyle w:val="201"/>
        <w:numPr>
          <w:ilvl w:val="0"/>
          <w:numId w:val="22"/>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条款上传任务</w:t>
      </w:r>
    </w:p>
    <w:p w14:paraId="3F28363B">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用户可根据授予的条款权限，上传相应的评审材料，支持批量上传和在线预览功能。</w:t>
      </w:r>
    </w:p>
    <w:p w14:paraId="51B9D6D6">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用户可以查看文件夹中文件上传完成率查看自己文档条款完成进度，掌握自己工作动态。</w:t>
      </w:r>
    </w:p>
    <w:p w14:paraId="25C82E64">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条款上传文件支持word,excel,pdf,图片格式文件</w:t>
      </w:r>
    </w:p>
    <w:p w14:paraId="51437CBC">
      <w:pPr>
        <w:pStyle w:val="201"/>
        <w:numPr>
          <w:ilvl w:val="0"/>
          <w:numId w:val="22"/>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条款文档检索</w:t>
      </w:r>
      <w:r>
        <w:rPr>
          <w:rFonts w:hint="eastAsia" w:ascii="宋体" w:hAnsi="宋体" w:eastAsia="宋体" w:cs="宋体"/>
          <w:sz w:val="24"/>
          <w:szCs w:val="24"/>
          <w:highlight w:val="none"/>
          <w:lang w:eastAsia="zh-CN"/>
        </w:rPr>
        <w:tab/>
      </w:r>
    </w:p>
    <w:p w14:paraId="674FDAC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支持按照关键词，快速检索已上传文档的功能。支持文档按照分类目录检索筛选</w:t>
      </w:r>
    </w:p>
    <w:p w14:paraId="6CAB9F23">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支持检索结果记录在线预览，下载和条款路径追溯查看</w:t>
      </w:r>
    </w:p>
    <w:p w14:paraId="64959C57">
      <w:pPr>
        <w:pStyle w:val="201"/>
        <w:numPr>
          <w:ilvl w:val="0"/>
          <w:numId w:val="1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院内自评</w:t>
      </w:r>
    </w:p>
    <w:p w14:paraId="6A88F4F3">
      <w:pPr>
        <w:pStyle w:val="201"/>
        <w:numPr>
          <w:ilvl w:val="0"/>
          <w:numId w:val="23"/>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自评批次</w:t>
      </w:r>
      <w:r>
        <w:rPr>
          <w:rFonts w:hint="eastAsia" w:ascii="宋体" w:hAnsi="宋体" w:eastAsia="宋体" w:cs="宋体"/>
          <w:sz w:val="24"/>
          <w:szCs w:val="24"/>
          <w:highlight w:val="none"/>
          <w:lang w:eastAsia="zh-CN"/>
        </w:rPr>
        <w:tab/>
      </w:r>
    </w:p>
    <w:p w14:paraId="66539B9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支持院内自评多批次添加，便于历史数据的追溯和查看。</w:t>
      </w:r>
    </w:p>
    <w:p w14:paraId="306EF6E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支持指标和条款自评批次，选择开始年份、结束年份和评审版本进行添加，添加完成后可以查看自评批次名称、自评类型、自评范围、自评得分。</w:t>
      </w:r>
    </w:p>
    <w:p w14:paraId="4BA8BA2B">
      <w:pPr>
        <w:pStyle w:val="201"/>
        <w:numPr>
          <w:ilvl w:val="0"/>
          <w:numId w:val="23"/>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指标自评，支持手工评分和系统自动评分。</w:t>
      </w:r>
    </w:p>
    <w:p w14:paraId="502F7AC5">
      <w:pPr>
        <w:pStyle w:val="201"/>
        <w:numPr>
          <w:ilvl w:val="0"/>
          <w:numId w:val="23"/>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条款自评，支持条款树自评列表查看，可以查看每个条款标准得分、扣分、实际得分、评分状态、扣分原因等信息</w:t>
      </w:r>
    </w:p>
    <w:p w14:paraId="09C147B6">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条款整改，条款评价界面支持对自评不通过条款发起整改并制定责任人、整改截止时间、整改建议等。</w:t>
      </w:r>
    </w:p>
    <w:p w14:paraId="69A47E83">
      <w:pPr>
        <w:pStyle w:val="201"/>
        <w:numPr>
          <w:ilvl w:val="0"/>
          <w:numId w:val="1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评审迎检</w:t>
      </w:r>
      <w:r>
        <w:rPr>
          <w:rFonts w:hint="eastAsia" w:ascii="宋体" w:hAnsi="宋体" w:eastAsia="宋体" w:cs="宋体"/>
          <w:sz w:val="24"/>
          <w:szCs w:val="24"/>
          <w:highlight w:val="none"/>
          <w:lang w:eastAsia="zh-CN"/>
        </w:rPr>
        <w:tab/>
      </w:r>
    </w:p>
    <w:p w14:paraId="2D271B06">
      <w:pPr>
        <w:pStyle w:val="201"/>
        <w:numPr>
          <w:ilvl w:val="0"/>
          <w:numId w:val="24"/>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前置条件，支持查看第一部分前置条件中的各项要求，支持针对各个要求上传相应材料和违规设置等操作。</w:t>
      </w:r>
    </w:p>
    <w:p w14:paraId="03BE91D6">
      <w:pPr>
        <w:pStyle w:val="201"/>
        <w:numPr>
          <w:ilvl w:val="0"/>
          <w:numId w:val="24"/>
        </w:numPr>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指标概览，支持点击指标名称下钻，进入到指标多维分析界面。可以查看指标定义口径，指标指标年度趋势分析、同比数据；支持点击指标数据下钻到科室、下钻到明细的功能。</w:t>
      </w:r>
    </w:p>
    <w:p w14:paraId="32101AF6">
      <w:pPr>
        <w:pStyle w:val="201"/>
        <w:numPr>
          <w:ilvl w:val="0"/>
          <w:numId w:val="19"/>
        </w:numPr>
        <w:spacing w:line="500" w:lineRule="exact"/>
        <w:ind w:left="0"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指标范围</w:t>
      </w:r>
    </w:p>
    <w:p w14:paraId="3FE524BA">
      <w:pPr>
        <w:spacing w:after="0" w:line="500" w:lineRule="exact"/>
        <w:ind w:firstLine="482" w:firstLineChars="200"/>
        <w:rPr>
          <w:rFonts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详见附件1：</w:t>
      </w:r>
      <w:r>
        <w:rPr>
          <w:rFonts w:hint="eastAsia" w:ascii="宋体" w:hAnsi="宋体" w:eastAsia="宋体" w:cs="宋体"/>
          <w:sz w:val="24"/>
          <w:szCs w:val="24"/>
          <w:highlight w:val="none"/>
          <w:lang w:eastAsia="zh-CN"/>
        </w:rPr>
        <w:t>《江苏省三级综合医院评审标准实施细则（2026版）》关于“医疗服务能力与质量安全监测指标”</w:t>
      </w:r>
      <w:r>
        <w:rPr>
          <w:rFonts w:hint="eastAsia" w:ascii="宋体" w:hAnsi="宋体" w:eastAsia="宋体" w:cs="宋体"/>
          <w:sz w:val="24"/>
          <w:szCs w:val="24"/>
          <w:highlight w:val="none"/>
          <w:lang w:eastAsia="zh-CN"/>
        </w:rPr>
        <w:t>指标范围依据</w:t>
      </w:r>
    </w:p>
    <w:p w14:paraId="09A06C6C">
      <w:pPr>
        <w:spacing w:after="0" w:line="500" w:lineRule="exact"/>
        <w:ind w:firstLine="440" w:firstLineChars="200"/>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6635E485">
      <w:pPr>
        <w:pStyle w:val="201"/>
        <w:spacing w:line="500" w:lineRule="exact"/>
        <w:ind w:firstLine="482" w:firstLineChars="20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2.3系统其他相关要求</w:t>
      </w:r>
    </w:p>
    <w:p w14:paraId="6281487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asciiTheme="minorEastAsia" w:hAnsiTheme="minorEastAsia" w:eastAsiaTheme="minorEastAsia"/>
          <w:sz w:val="24"/>
          <w:szCs w:val="24"/>
          <w:highlight w:val="none"/>
          <w:lang w:eastAsia="zh-CN"/>
        </w:rPr>
        <w:t>)</w:t>
      </w:r>
      <w:r>
        <w:rPr>
          <w:rFonts w:hint="eastAsia" w:ascii="宋体" w:hAnsi="宋体" w:eastAsia="宋体" w:cs="宋体"/>
          <w:sz w:val="24"/>
          <w:szCs w:val="24"/>
          <w:highlight w:val="none"/>
          <w:lang w:eastAsia="zh-CN"/>
        </w:rPr>
        <w:t>系统需接入院内SSO统一登录平台。</w:t>
      </w:r>
    </w:p>
    <w:p w14:paraId="04F8D7CB">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asciiTheme="minorEastAsia" w:hAnsiTheme="minorEastAsia" w:eastAsiaTheme="minorEastAsia"/>
          <w:sz w:val="24"/>
          <w:szCs w:val="24"/>
          <w:highlight w:val="none"/>
          <w:lang w:eastAsia="zh-CN"/>
        </w:rPr>
        <w:t>)</w:t>
      </w:r>
      <w:r>
        <w:rPr>
          <w:rFonts w:hint="eastAsia" w:ascii="宋体" w:hAnsi="宋体" w:eastAsia="宋体" w:cs="宋体"/>
          <w:sz w:val="24"/>
          <w:szCs w:val="24"/>
          <w:highlight w:val="none"/>
          <w:lang w:eastAsia="zh-CN"/>
        </w:rPr>
        <w:t>系统需接入院内科室组织架构、人员信息等统一接口，人员离职账号需同步关闭。</w:t>
      </w:r>
    </w:p>
    <w:p w14:paraId="5FF4FF62">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（3)系统满足《安全可靠测评工作指南（试行）》规定的安全可靠要求，可适配运行于通过安全可靠测评的中央处理器及操作系统环境，满足本项目安全可靠运行要求。</w:t>
      </w:r>
    </w:p>
    <w:p w14:paraId="44FDE544">
      <w:pPr>
        <w:pStyle w:val="201"/>
        <w:spacing w:line="500" w:lineRule="exact"/>
        <w:ind w:firstLine="482" w:firstLineChars="200"/>
        <w:rPr>
          <w:rFonts w:ascii="宋体" w:hAnsi="宋体" w:eastAsia="宋体" w:cs="宋体"/>
          <w:b/>
          <w:bCs/>
          <w:sz w:val="24"/>
          <w:szCs w:val="24"/>
          <w:highlight w:val="none"/>
          <w:lang w:eastAsia="zh-CN"/>
        </w:rPr>
      </w:pPr>
    </w:p>
    <w:p w14:paraId="61B84E0A">
      <w:pPr>
        <w:pStyle w:val="201"/>
        <w:spacing w:line="500" w:lineRule="exact"/>
        <w:rPr>
          <w:rFonts w:ascii="宋体" w:hAnsi="宋体" w:eastAsia="宋体"/>
          <w:b/>
          <w:sz w:val="24"/>
          <w:szCs w:val="24"/>
          <w:highlight w:val="none"/>
          <w:lang w:eastAsia="zh-CN"/>
        </w:rPr>
      </w:pPr>
      <w:r>
        <w:rPr>
          <w:rFonts w:hint="eastAsia" w:ascii="宋体" w:hAnsi="宋体" w:eastAsia="宋体" w:cs="微软雅黑"/>
          <w:b/>
          <w:sz w:val="24"/>
          <w:szCs w:val="24"/>
          <w:highlight w:val="none"/>
          <w:lang w:eastAsia="zh-CN"/>
        </w:rPr>
        <w:t>三、一般技术服务要求</w:t>
      </w:r>
    </w:p>
    <w:p w14:paraId="47B0D7B8">
      <w:pPr>
        <w:pStyle w:val="201"/>
        <w:spacing w:line="500" w:lineRule="exact"/>
        <w:ind w:firstLine="480" w:firstLineChars="200"/>
        <w:rPr>
          <w:rFonts w:ascii="宋体" w:hAnsi="宋体" w:eastAsia="宋体" w:cs="宋体"/>
          <w:b/>
          <w:sz w:val="24"/>
          <w:szCs w:val="24"/>
          <w:highlight w:val="none"/>
          <w:lang w:eastAsia="zh-CN"/>
        </w:rPr>
      </w:pPr>
      <w:r>
        <w:rPr>
          <w:rFonts w:ascii="宋体" w:hAnsi="宋体" w:eastAsia="宋体" w:cs="宋体"/>
          <w:sz w:val="24"/>
          <w:szCs w:val="24"/>
          <w:highlight w:val="none"/>
          <w:lang w:eastAsia="zh-CN"/>
        </w:rPr>
        <w:t>投标单位在投标文件中必须对所有招标技术（服务）规格与要求逐一做出技术（服务）应答，如果有其中某些条款不响应时，应在投标文件中逐条列出，未列出的视同响应。</w:t>
      </w:r>
    </w:p>
    <w:p w14:paraId="3A88B01A">
      <w:pPr>
        <w:pStyle w:val="201"/>
        <w:spacing w:line="500" w:lineRule="exact"/>
        <w:rPr>
          <w:rFonts w:ascii="宋体" w:hAnsi="宋体" w:eastAsia="宋体"/>
          <w:sz w:val="24"/>
          <w:szCs w:val="24"/>
          <w:highlight w:val="none"/>
          <w:lang w:eastAsia="zh-CN"/>
        </w:rPr>
      </w:pPr>
      <w:r>
        <w:rPr>
          <w:rFonts w:hint="eastAsia" w:ascii="宋体" w:hAnsi="宋体" w:eastAsia="宋体" w:cs="微软雅黑"/>
          <w:b/>
          <w:sz w:val="24"/>
          <w:szCs w:val="24"/>
          <w:highlight w:val="none"/>
          <w:lang w:eastAsia="zh-CN"/>
        </w:rPr>
        <w:t>四、商务条款</w:t>
      </w:r>
    </w:p>
    <w:p w14:paraId="3F71B0C0">
      <w:pPr>
        <w:pStyle w:val="201"/>
        <w:spacing w:line="500" w:lineRule="exact"/>
        <w:ind w:firstLine="482" w:firstLineChars="200"/>
        <w:rPr>
          <w:rFonts w:ascii="宋体" w:hAnsi="宋体" w:eastAsia="宋体"/>
          <w:b/>
          <w:bCs/>
          <w:sz w:val="24"/>
          <w:szCs w:val="24"/>
          <w:highlight w:val="none"/>
          <w:lang w:eastAsia="zh-CN"/>
        </w:rPr>
      </w:pPr>
      <w:r>
        <w:rPr>
          <w:rFonts w:hint="eastAsia" w:ascii="宋体" w:hAnsi="宋体" w:eastAsia="宋体" w:cs="宋体"/>
          <w:b/>
          <w:bCs/>
          <w:sz w:val="24"/>
          <w:szCs w:val="24"/>
          <w:highlight w:val="none"/>
          <w:lang w:eastAsia="zh-CN"/>
        </w:rPr>
        <w:t>（一）服务内容及人员要求</w:t>
      </w:r>
    </w:p>
    <w:p w14:paraId="583AF490">
      <w:pPr>
        <w:pStyle w:val="201"/>
        <w:spacing w:line="500" w:lineRule="exact"/>
        <w:ind w:firstLine="482" w:firstLineChars="200"/>
        <w:rPr>
          <w:rFonts w:ascii="宋体" w:hAnsi="宋体" w:eastAsia="宋体"/>
          <w:b/>
          <w:sz w:val="24"/>
          <w:szCs w:val="24"/>
          <w:highlight w:val="none"/>
          <w:lang w:eastAsia="zh-CN"/>
        </w:rPr>
      </w:pPr>
      <w:r>
        <w:rPr>
          <w:rFonts w:hint="eastAsia" w:ascii="宋体" w:hAnsi="宋体" w:eastAsia="宋体"/>
          <w:b/>
          <w:sz w:val="24"/>
          <w:szCs w:val="24"/>
          <w:highlight w:val="none"/>
          <w:lang w:eastAsia="zh-CN"/>
        </w:rPr>
        <w:t>1.</w:t>
      </w:r>
      <w:r>
        <w:rPr>
          <w:rFonts w:hint="eastAsia" w:ascii="宋体" w:hAnsi="宋体" w:eastAsia="宋体" w:cs="宋体"/>
          <w:b/>
          <w:sz w:val="24"/>
          <w:szCs w:val="24"/>
          <w:highlight w:val="none"/>
          <w:lang w:eastAsia="zh-CN"/>
        </w:rPr>
        <w:t>总体要求</w:t>
      </w:r>
    </w:p>
    <w:p w14:paraId="509E66FB">
      <w:pPr>
        <w:pStyle w:val="201"/>
        <w:spacing w:line="500" w:lineRule="exact"/>
        <w:ind w:firstLine="480" w:firstLineChars="200"/>
        <w:rPr>
          <w:rFonts w:ascii="宋体" w:hAnsi="宋体" w:eastAsia="宋体"/>
          <w:bCs/>
          <w:sz w:val="24"/>
          <w:szCs w:val="24"/>
          <w:highlight w:val="none"/>
          <w:lang w:eastAsia="zh-CN"/>
        </w:rPr>
      </w:pPr>
      <w:r>
        <w:rPr>
          <w:rFonts w:hint="eastAsia" w:ascii="宋体" w:hAnsi="宋体" w:eastAsia="宋体"/>
          <w:bCs/>
          <w:sz w:val="24"/>
          <w:szCs w:val="24"/>
          <w:highlight w:val="none"/>
          <w:lang w:eastAsia="zh-CN"/>
        </w:rPr>
        <w:t>1.1</w:t>
      </w:r>
      <w:r>
        <w:rPr>
          <w:rFonts w:hint="eastAsia" w:ascii="宋体" w:hAnsi="宋体" w:eastAsia="宋体" w:cs="宋体"/>
          <w:bCs/>
          <w:sz w:val="24"/>
          <w:szCs w:val="24"/>
          <w:highlight w:val="none"/>
          <w:lang w:eastAsia="zh-CN"/>
        </w:rPr>
        <w:t>中标单位应本着认真负责态度，组织组建队伍，认真做好项目的工作，包含具体实施、服务、维护以及技术支持。</w:t>
      </w:r>
    </w:p>
    <w:p w14:paraId="2CD08C36">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bCs/>
          <w:sz w:val="24"/>
          <w:szCs w:val="24"/>
          <w:highlight w:val="none"/>
          <w:lang w:eastAsia="zh-CN"/>
        </w:rPr>
        <w:t>1.2</w:t>
      </w:r>
      <w:r>
        <w:rPr>
          <w:rFonts w:hint="eastAsia" w:ascii="宋体" w:hAnsi="宋体" w:eastAsia="宋体" w:cs="宋体"/>
          <w:bCs/>
          <w:sz w:val="24"/>
          <w:szCs w:val="24"/>
          <w:highlight w:val="none"/>
          <w:lang w:eastAsia="zh-CN"/>
        </w:rPr>
        <w:t>中标单位应负责在项目验收时将云服务的有关技术文件、资料、及安装、测试、等文档交付给用户方。</w:t>
      </w:r>
    </w:p>
    <w:p w14:paraId="3D6A59D6">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bCs/>
          <w:sz w:val="24"/>
          <w:szCs w:val="24"/>
          <w:highlight w:val="none"/>
          <w:lang w:eastAsia="zh-CN"/>
        </w:rPr>
        <w:t>1.3</w:t>
      </w:r>
      <w:r>
        <w:rPr>
          <w:rFonts w:hint="eastAsia" w:ascii="宋体" w:hAnsi="宋体" w:eastAsia="宋体" w:cs="宋体"/>
          <w:bCs/>
          <w:sz w:val="24"/>
          <w:szCs w:val="24"/>
          <w:highlight w:val="none"/>
          <w:lang w:eastAsia="zh-CN"/>
        </w:rPr>
        <w:t>结合项目实际情况，拟定详细的系统实施计划，包括交付、测试、试运行、培训及上线计划。并保证在合同规定时间内上线及上线后系统平稳运行</w:t>
      </w:r>
      <w:r>
        <w:rPr>
          <w:rFonts w:hint="eastAsia" w:ascii="宋体" w:hAnsi="宋体" w:eastAsia="宋体" w:cs="宋体"/>
          <w:sz w:val="24"/>
          <w:szCs w:val="24"/>
          <w:highlight w:val="none"/>
          <w:lang w:eastAsia="zh-CN"/>
        </w:rPr>
        <w:t>。</w:t>
      </w:r>
    </w:p>
    <w:p w14:paraId="1622D003">
      <w:pPr>
        <w:pStyle w:val="201"/>
        <w:spacing w:line="500" w:lineRule="exact"/>
        <w:ind w:firstLine="482" w:firstLineChars="200"/>
        <w:rPr>
          <w:rFonts w:ascii="宋体" w:hAnsi="宋体" w:eastAsia="宋体"/>
          <w:b/>
          <w:sz w:val="24"/>
          <w:szCs w:val="24"/>
          <w:highlight w:val="none"/>
          <w:lang w:eastAsia="zh-CN"/>
        </w:rPr>
      </w:pPr>
      <w:r>
        <w:rPr>
          <w:rFonts w:hint="eastAsia" w:ascii="宋体" w:hAnsi="宋体" w:eastAsia="宋体"/>
          <w:b/>
          <w:sz w:val="24"/>
          <w:szCs w:val="24"/>
          <w:highlight w:val="none"/>
          <w:lang w:eastAsia="zh-CN"/>
        </w:rPr>
        <w:t>2.</w:t>
      </w:r>
      <w:r>
        <w:rPr>
          <w:rFonts w:hint="eastAsia" w:ascii="宋体" w:hAnsi="宋体" w:eastAsia="宋体" w:cs="宋体"/>
          <w:b/>
          <w:sz w:val="24"/>
          <w:szCs w:val="24"/>
          <w:highlight w:val="none"/>
          <w:lang w:eastAsia="zh-CN"/>
        </w:rPr>
        <w:t>人员培训</w:t>
      </w:r>
    </w:p>
    <w:p w14:paraId="2964F40B">
      <w:pPr>
        <w:pStyle w:val="201"/>
        <w:spacing w:line="500" w:lineRule="exact"/>
        <w:ind w:firstLine="480" w:firstLineChars="200"/>
        <w:rPr>
          <w:rFonts w:ascii="宋体" w:hAnsi="宋体" w:eastAsia="宋体"/>
          <w:sz w:val="24"/>
          <w:szCs w:val="24"/>
          <w:highlight w:val="none"/>
          <w:lang w:val="zh-CN" w:eastAsia="zh-CN"/>
        </w:rPr>
      </w:pPr>
      <w:r>
        <w:rPr>
          <w:rFonts w:hint="eastAsia" w:ascii="宋体" w:hAnsi="宋体" w:eastAsia="宋体" w:cs="宋体"/>
          <w:bCs/>
          <w:sz w:val="24"/>
          <w:szCs w:val="24"/>
          <w:highlight w:val="none"/>
          <w:lang w:val="zh-CN" w:eastAsia="zh-CN"/>
        </w:rPr>
        <w:t>中标单位</w:t>
      </w:r>
      <w:r>
        <w:rPr>
          <w:rFonts w:hint="eastAsia" w:ascii="宋体" w:hAnsi="宋体" w:eastAsia="宋体" w:cs="宋体"/>
          <w:sz w:val="24"/>
          <w:szCs w:val="24"/>
          <w:highlight w:val="none"/>
          <w:lang w:val="zh-CN" w:eastAsia="zh-CN"/>
        </w:rPr>
        <w:t>应负责使用人员的培训及考核。并在项目实施后继续按照</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lang w:val="zh-CN" w:eastAsia="zh-CN"/>
        </w:rPr>
        <w:t>要求培训。培训对象包括信息部门系统管理员、日常维护人员、技术层面人员；实际应用部门的管理人员、操作人员。系统管</w:t>
      </w:r>
      <w:r>
        <w:rPr>
          <w:rFonts w:hint="eastAsia" w:ascii="宋体" w:hAnsi="宋体" w:eastAsia="宋体" w:cs="宋体"/>
          <w:bCs/>
          <w:sz w:val="24"/>
          <w:szCs w:val="24"/>
          <w:highlight w:val="none"/>
          <w:lang w:val="zh-CN" w:eastAsia="zh-CN"/>
        </w:rPr>
        <w:t>理人员培训内容为系统中涉及的相关技术内容；管理人员培训内容为系统流程和相关管理思想</w:t>
      </w:r>
      <w:r>
        <w:rPr>
          <w:rFonts w:hint="eastAsia" w:ascii="宋体" w:hAnsi="宋体" w:eastAsia="宋体" w:cs="宋体"/>
          <w:sz w:val="24"/>
          <w:szCs w:val="24"/>
          <w:highlight w:val="none"/>
          <w:lang w:val="zh-CN" w:eastAsia="zh-CN"/>
        </w:rPr>
        <w:t>。</w:t>
      </w:r>
    </w:p>
    <w:p w14:paraId="43B0CAB9">
      <w:pPr>
        <w:pStyle w:val="201"/>
        <w:spacing w:line="500" w:lineRule="exact"/>
        <w:ind w:firstLine="482" w:firstLineChars="200"/>
        <w:rPr>
          <w:rFonts w:ascii="宋体" w:hAnsi="宋体" w:eastAsia="宋体"/>
          <w:b/>
          <w:sz w:val="24"/>
          <w:szCs w:val="24"/>
          <w:highlight w:val="none"/>
          <w:lang w:eastAsia="zh-CN"/>
        </w:rPr>
      </w:pPr>
      <w:r>
        <w:rPr>
          <w:rFonts w:hint="eastAsia" w:ascii="宋体" w:hAnsi="宋体" w:eastAsia="宋体"/>
          <w:b/>
          <w:sz w:val="24"/>
          <w:szCs w:val="24"/>
          <w:highlight w:val="none"/>
          <w:lang w:eastAsia="zh-CN"/>
        </w:rPr>
        <w:t>3.</w:t>
      </w:r>
      <w:r>
        <w:rPr>
          <w:rFonts w:hint="eastAsia" w:ascii="宋体" w:hAnsi="宋体" w:eastAsia="宋体" w:cs="宋体"/>
          <w:b/>
          <w:sz w:val="24"/>
          <w:szCs w:val="24"/>
          <w:highlight w:val="none"/>
          <w:lang w:eastAsia="zh-CN"/>
        </w:rPr>
        <w:t>对实施人员的要求</w:t>
      </w:r>
    </w:p>
    <w:p w14:paraId="33A98E69">
      <w:pPr>
        <w:pStyle w:val="201"/>
        <w:spacing w:line="500" w:lineRule="exact"/>
        <w:ind w:firstLine="480" w:firstLineChars="200"/>
        <w:rPr>
          <w:rFonts w:ascii="宋体" w:hAnsi="宋体" w:eastAsia="宋体"/>
          <w:bCs/>
          <w:sz w:val="24"/>
          <w:szCs w:val="24"/>
          <w:highlight w:val="none"/>
          <w:lang w:val="zh-CN" w:eastAsia="zh-CN"/>
        </w:rPr>
      </w:pPr>
      <w:r>
        <w:rPr>
          <w:rFonts w:hint="eastAsia" w:ascii="宋体" w:hAnsi="宋体" w:eastAsia="宋体" w:cs="宋体"/>
          <w:bCs/>
          <w:sz w:val="24"/>
          <w:szCs w:val="24"/>
          <w:highlight w:val="none"/>
          <w:lang w:eastAsia="zh-CN"/>
        </w:rPr>
        <w:t>招标人</w:t>
      </w:r>
      <w:r>
        <w:rPr>
          <w:rFonts w:hint="eastAsia" w:ascii="宋体" w:hAnsi="宋体" w:eastAsia="宋体" w:cs="宋体"/>
          <w:bCs/>
          <w:sz w:val="24"/>
          <w:szCs w:val="24"/>
          <w:highlight w:val="none"/>
          <w:lang w:val="zh-CN" w:eastAsia="zh-CN"/>
        </w:rPr>
        <w:t>有权根据实施情况要求更换项目经理和实施人员。</w:t>
      </w:r>
    </w:p>
    <w:p w14:paraId="6D2FA0ED">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对</w:t>
      </w:r>
      <w:r>
        <w:rPr>
          <w:rFonts w:hint="eastAsia" w:ascii="宋体" w:hAnsi="宋体" w:eastAsia="宋体" w:cs="宋体"/>
          <w:bCs/>
          <w:sz w:val="24"/>
          <w:szCs w:val="24"/>
          <w:highlight w:val="none"/>
          <w:lang w:eastAsia="zh-CN"/>
        </w:rPr>
        <w:t>中标单位</w:t>
      </w:r>
      <w:r>
        <w:rPr>
          <w:rFonts w:hint="eastAsia" w:ascii="宋体" w:hAnsi="宋体" w:eastAsia="宋体" w:cs="宋体"/>
          <w:sz w:val="24"/>
          <w:szCs w:val="24"/>
          <w:highlight w:val="none"/>
          <w:lang w:eastAsia="zh-CN"/>
        </w:rPr>
        <w:t>项目经理等级基本要求：要求投标人针对本项目成立项目小组，人员一旦得到招标人确认，无特殊理由不得随意变动。</w:t>
      </w:r>
    </w:p>
    <w:p w14:paraId="4494356F">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（二）</w:t>
      </w:r>
      <w:r>
        <w:rPr>
          <w:rFonts w:ascii="宋体" w:hAnsi="宋体" w:eastAsia="宋体" w:cs="宋体"/>
          <w:b/>
          <w:bCs/>
          <w:sz w:val="24"/>
          <w:szCs w:val="24"/>
          <w:highlight w:val="none"/>
          <w:lang w:eastAsia="zh-CN"/>
        </w:rPr>
        <w:t>施工工期</w:t>
      </w:r>
      <w:r>
        <w:rPr>
          <w:rFonts w:hint="eastAsia" w:ascii="宋体" w:hAnsi="宋体" w:eastAsia="宋体" w:cs="宋体"/>
          <w:b/>
          <w:bCs/>
          <w:sz w:val="24"/>
          <w:szCs w:val="24"/>
          <w:highlight w:val="none"/>
          <w:lang w:eastAsia="zh-CN"/>
        </w:rPr>
        <w:t>需求</w:t>
      </w:r>
    </w:p>
    <w:p w14:paraId="1C75298C">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sz w:val="24"/>
          <w:szCs w:val="24"/>
          <w:highlight w:val="none"/>
          <w:lang w:eastAsia="zh-CN"/>
        </w:rPr>
        <w:t>自合同签订之日起2个月内完成开发、安装、调试并交付使用。</w:t>
      </w:r>
    </w:p>
    <w:p w14:paraId="35E18C01">
      <w:pPr>
        <w:pStyle w:val="201"/>
        <w:spacing w:line="500" w:lineRule="exact"/>
        <w:ind w:firstLine="482" w:firstLineChars="200"/>
        <w:rPr>
          <w:rFonts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（三)需要投标人提供的服务方案要求</w:t>
      </w:r>
    </w:p>
    <w:p w14:paraId="2A178B01">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ascii="宋体" w:hAnsi="宋体" w:eastAsia="宋体" w:cs="宋体"/>
          <w:sz w:val="24"/>
          <w:szCs w:val="24"/>
          <w:highlight w:val="none"/>
          <w:lang w:eastAsia="zh-CN"/>
        </w:rPr>
        <w:t>实施管理</w:t>
      </w:r>
      <w:r>
        <w:rPr>
          <w:rFonts w:hint="eastAsia" w:ascii="宋体" w:hAnsi="宋体" w:eastAsia="宋体" w:cs="宋体"/>
          <w:sz w:val="24"/>
          <w:szCs w:val="24"/>
          <w:highlight w:val="none"/>
          <w:lang w:eastAsia="zh-CN"/>
        </w:rPr>
        <w:t>需求</w:t>
      </w:r>
    </w:p>
    <w:p w14:paraId="38F3357D">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响应人需提供本项目的</w:t>
      </w:r>
      <w:r>
        <w:rPr>
          <w:rFonts w:ascii="宋体" w:hAnsi="宋体" w:eastAsia="宋体" w:cs="宋体"/>
          <w:sz w:val="24"/>
          <w:szCs w:val="24"/>
          <w:highlight w:val="none"/>
          <w:lang w:eastAsia="zh-CN"/>
        </w:rPr>
        <w:t>开发实施管理</w:t>
      </w:r>
      <w:r>
        <w:rPr>
          <w:rFonts w:hint="eastAsia" w:ascii="宋体" w:hAnsi="宋体" w:eastAsia="宋体"/>
          <w:sz w:val="24"/>
          <w:szCs w:val="24"/>
          <w:highlight w:val="none"/>
          <w:lang w:eastAsia="zh-CN"/>
        </w:rPr>
        <w:t>方案，方案需要包含项目实施及人员规划组织方案、开发工作流程方案、项目实施进度计划、阶段测试实施方案。方案内容需详细完整，结构清晰，符合实际。</w:t>
      </w:r>
    </w:p>
    <w:p w14:paraId="64C1FCFB">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①项目实施及人员规划组织方案：需提供本项目实施及人员规划组织方案的说明。需包括组织架构、人员配置，针对项目全周期交付，明确团队管理与履职要求。</w:t>
      </w:r>
    </w:p>
    <w:p w14:paraId="7C236CE7">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②项目实施进度计划：需提供本项目实施进度计划的说明。需包括阶段划分、里程碑节点，明确进度管控与落地要求。</w:t>
      </w:r>
    </w:p>
    <w:p w14:paraId="312E5D5C">
      <w:pPr>
        <w:pStyle w:val="201"/>
        <w:spacing w:line="500" w:lineRule="exact"/>
        <w:ind w:firstLine="480" w:firstLineChars="200"/>
        <w:rPr>
          <w:rFonts w:ascii="宋体" w:hAnsi="宋体" w:eastAsia="宋体" w:cs="宋体"/>
          <w:sz w:val="24"/>
          <w:szCs w:val="24"/>
          <w:highlight w:val="none"/>
          <w:lang w:eastAsia="zh-CN"/>
        </w:rPr>
      </w:pPr>
      <w:r>
        <w:rPr>
          <w:rFonts w:hint="eastAsia" w:asciiTheme="minorEastAsia" w:hAnsiTheme="minorEastAsia" w:eastAsiaTheme="minorEastAsia"/>
          <w:sz w:val="24"/>
          <w:szCs w:val="24"/>
          <w:highlight w:val="none"/>
          <w:lang w:eastAsia="zh-CN"/>
        </w:rPr>
        <w:t>③应急保障方案</w:t>
      </w:r>
      <w:r>
        <w:rPr>
          <w:rFonts w:hint="eastAsia" w:eastAsia="宋体"/>
          <w:highlight w:val="none"/>
          <w:lang w:eastAsia="zh-CN"/>
        </w:rPr>
        <w:t>：</w:t>
      </w:r>
      <w:r>
        <w:rPr>
          <w:rFonts w:hint="eastAsia" w:ascii="宋体" w:hAnsi="宋体" w:eastAsia="宋体"/>
          <w:sz w:val="24"/>
          <w:szCs w:val="24"/>
          <w:highlight w:val="none"/>
          <w:lang w:eastAsia="zh-CN"/>
        </w:rPr>
        <w:t>需提供本项目应急保障方案的说明。需包括可能发生的应急故障情况分析、应急措施、故障响应方案。</w:t>
      </w:r>
    </w:p>
    <w:p w14:paraId="7B916303">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sz w:val="24"/>
          <w:szCs w:val="24"/>
          <w:highlight w:val="none"/>
          <w:lang w:eastAsia="zh-CN"/>
        </w:rPr>
        <w:t>质量管理控制方案与培训</w:t>
      </w:r>
    </w:p>
    <w:p w14:paraId="1B70D868">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①质量管理控制方案：需提供本项目质量管理控制方案的说明。需包括全流程质量管控、验收标准落实，针对各项目阶段，明确质量管控要求。</w:t>
      </w:r>
    </w:p>
    <w:p w14:paraId="0558C7A8">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②培训方案：需提供本项目培训方案的说明。需包括操作使用培训、运维管理培训，针对不同使用人员，明确培训实施要求。</w:t>
      </w:r>
    </w:p>
    <w:p w14:paraId="2F1B6631">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3、售后服务</w:t>
      </w:r>
    </w:p>
    <w:p w14:paraId="33294C8E">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①售后服务人员配置及职责分工方案：需提供本项目售后服务人员配置及职责分工方案的说明。需包括人员配置、岗位职责划分，针对各售后岗位，明确工作履职要求。</w:t>
      </w:r>
    </w:p>
    <w:p w14:paraId="51EA7576">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②售后服务故障响应方式和时间保障方案：需提供本项目售后服务故障响应方式和时间保障方案的说明。需包括响应方式、处理时限，针对不同故障等级，明确时效保障要求。</w:t>
      </w:r>
    </w:p>
    <w:p w14:paraId="24EAF508">
      <w:pPr>
        <w:pStyle w:val="201"/>
        <w:spacing w:line="500" w:lineRule="exact"/>
        <w:ind w:firstLine="482" w:firstLineChars="200"/>
        <w:rPr>
          <w:rFonts w:ascii="宋体" w:hAnsi="宋体" w:eastAsia="宋体"/>
          <w:b/>
          <w:bCs/>
          <w:sz w:val="24"/>
          <w:szCs w:val="24"/>
          <w:highlight w:val="none"/>
          <w:lang w:eastAsia="zh-CN"/>
        </w:rPr>
      </w:pPr>
      <w:r>
        <w:rPr>
          <w:rFonts w:hint="eastAsia" w:ascii="宋体" w:hAnsi="宋体" w:eastAsia="宋体" w:cs="宋体"/>
          <w:b/>
          <w:bCs/>
          <w:sz w:val="24"/>
          <w:szCs w:val="24"/>
          <w:highlight w:val="none"/>
          <w:lang w:eastAsia="zh-CN"/>
        </w:rPr>
        <w:t>（四）保密与责任</w:t>
      </w:r>
    </w:p>
    <w:p w14:paraId="7E0B6FE4">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供应商严格遵守国家有关法律、行政法规和管理规章；严格执行信息安全管理规定《互联网信息服务管理办法》、《计算机信息网络国际联网安全保护管理办法》、《互联网电子公告服务管理规定》、《互联网网络安全应急预案》、《电信业务经营许可管理办法》、《木马和僵尸网络监测与处置机制》（工信部保【</w:t>
      </w:r>
      <w:r>
        <w:rPr>
          <w:rFonts w:hint="eastAsia" w:ascii="宋体" w:hAnsi="宋体" w:eastAsia="宋体"/>
          <w:sz w:val="24"/>
          <w:szCs w:val="24"/>
          <w:highlight w:val="none"/>
          <w:lang w:eastAsia="zh-CN"/>
        </w:rPr>
        <w:t>2009</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eastAsia="zh-CN"/>
        </w:rPr>
        <w:t>157</w:t>
      </w:r>
      <w:r>
        <w:rPr>
          <w:rFonts w:hint="eastAsia" w:ascii="宋体" w:hAnsi="宋体" w:eastAsia="宋体" w:cs="宋体"/>
          <w:sz w:val="24"/>
          <w:szCs w:val="24"/>
          <w:highlight w:val="none"/>
          <w:lang w:eastAsia="zh-CN"/>
        </w:rPr>
        <w:t>号）等有关法规和行政规章制度，不得利用相关业务服务从事危害国家安全、泄露国家秘密、违法犯罪、妨碍社会治安等活动。</w:t>
      </w:r>
    </w:p>
    <w:p w14:paraId="0E4373A9">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供应商负有保密义务，承担保密责任。供应商不得出于非法目的泄露采购人业务系统信息，不得损害采购人业务系统数据安全，未经采购人书面同意不得披露、更不得转卖采购人的任何数据与信息。若一经发现，采购人有权要求立即删除、限期整改、暂停甚至终止合作，并要求承担相应法律责任。</w:t>
      </w:r>
    </w:p>
    <w:p w14:paraId="3BFEDDBA">
      <w:pPr>
        <w:pStyle w:val="201"/>
        <w:spacing w:line="500" w:lineRule="exact"/>
        <w:ind w:firstLine="482" w:firstLineChars="200"/>
        <w:rPr>
          <w:rFonts w:ascii="宋体" w:hAnsi="宋体" w:eastAsia="宋体"/>
          <w:b/>
          <w:sz w:val="24"/>
          <w:szCs w:val="24"/>
          <w:highlight w:val="none"/>
          <w:lang w:eastAsia="zh-CN"/>
        </w:rPr>
      </w:pPr>
      <w:r>
        <w:rPr>
          <w:rFonts w:hint="eastAsia" w:ascii="宋体" w:hAnsi="宋体" w:eastAsia="宋体" w:cs="宋体"/>
          <w:b/>
          <w:bCs/>
          <w:sz w:val="24"/>
          <w:szCs w:val="24"/>
          <w:highlight w:val="none"/>
          <w:lang w:eastAsia="zh-CN"/>
        </w:rPr>
        <w:t>（五）</w:t>
      </w:r>
      <w:r>
        <w:rPr>
          <w:rFonts w:hint="eastAsia" w:ascii="宋体" w:hAnsi="宋体" w:eastAsia="宋体" w:cs="宋体"/>
          <w:b/>
          <w:sz w:val="24"/>
          <w:szCs w:val="24"/>
          <w:highlight w:val="none"/>
          <w:lang w:eastAsia="zh-CN"/>
        </w:rPr>
        <w:t>其他</w:t>
      </w:r>
    </w:p>
    <w:p w14:paraId="2DA6BDB4">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1、对系统的保密范围要求：中标单位承诺在实施和维护过程中，任何涉及招标人的信息，包括但不限于招标人数据、招标人特有的功能需求等，未得到招标人同意的情况下不得对任何第三方展示、举例乃至销售，否则投标人将承担由此产生的一切后果。</w:t>
      </w:r>
    </w:p>
    <w:p w14:paraId="64A62447">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cs="宋体"/>
          <w:bCs/>
          <w:sz w:val="24"/>
          <w:szCs w:val="24"/>
          <w:highlight w:val="none"/>
          <w:lang w:val="zh-CN" w:eastAsia="zh-CN"/>
        </w:rPr>
        <w:t>系统验收后中标单位须提供详细的相关技术文档、使用说明书、维护手册等文档资料。</w:t>
      </w:r>
    </w:p>
    <w:p w14:paraId="6672B7F5">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3、如投标方需要进行现场勘查，请与采购方联系人联系，采购方联系人将积极配合。</w:t>
      </w:r>
    </w:p>
    <w:p w14:paraId="066AF4FA">
      <w:pPr>
        <w:pStyle w:val="201"/>
        <w:spacing w:line="500" w:lineRule="exact"/>
        <w:ind w:firstLine="482" w:firstLineChars="200"/>
        <w:rPr>
          <w:rFonts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eastAsia="zh-CN"/>
        </w:rPr>
        <w:t>六</w:t>
      </w:r>
      <w:r>
        <w:rPr>
          <w:rFonts w:ascii="宋体" w:hAnsi="宋体" w:eastAsia="宋体" w:cs="Times New Roman"/>
          <w:b/>
          <w:bCs/>
          <w:sz w:val="24"/>
          <w:szCs w:val="24"/>
          <w:highlight w:val="none"/>
          <w:lang w:eastAsia="zh-CN"/>
        </w:rPr>
        <w:t>）付款进度及方式</w:t>
      </w:r>
    </w:p>
    <w:p w14:paraId="67A73C60">
      <w:pPr>
        <w:pStyle w:val="201"/>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合同签订后，支付合同总价5</w:t>
      </w:r>
      <w:r>
        <w:rPr>
          <w:rFonts w:ascii="宋体" w:hAnsi="宋体" w:eastAsia="宋体" w:cs="宋体"/>
          <w:sz w:val="24"/>
          <w:szCs w:val="24"/>
          <w:highlight w:val="none"/>
          <w:lang w:eastAsia="zh-CN"/>
        </w:rPr>
        <w:t>0%</w:t>
      </w:r>
      <w:r>
        <w:rPr>
          <w:rFonts w:hint="eastAsia" w:ascii="宋体" w:hAnsi="宋体" w:eastAsia="宋体" w:cs="宋体"/>
          <w:sz w:val="24"/>
          <w:szCs w:val="24"/>
          <w:highlight w:val="none"/>
          <w:lang w:eastAsia="zh-CN"/>
        </w:rPr>
        <w:t>的预付款，软件平台上线后，支付合同总价3</w:t>
      </w:r>
      <w:r>
        <w:rPr>
          <w:rFonts w:ascii="宋体" w:hAnsi="宋体" w:eastAsia="宋体" w:cs="宋体"/>
          <w:sz w:val="24"/>
          <w:szCs w:val="24"/>
          <w:highlight w:val="none"/>
          <w:lang w:eastAsia="zh-CN"/>
        </w:rPr>
        <w:t>0%</w:t>
      </w:r>
      <w:r>
        <w:rPr>
          <w:rFonts w:hint="eastAsia" w:ascii="宋体" w:hAnsi="宋体" w:eastAsia="宋体" w:cs="宋体"/>
          <w:sz w:val="24"/>
          <w:szCs w:val="24"/>
          <w:highlight w:val="none"/>
          <w:lang w:eastAsia="zh-CN"/>
        </w:rPr>
        <w:t>的款项，系统运行满一个月后进行终验，终验合格后支付合同总价2</w:t>
      </w:r>
      <w:r>
        <w:rPr>
          <w:rFonts w:ascii="宋体" w:hAnsi="宋体" w:eastAsia="宋体" w:cs="宋体"/>
          <w:sz w:val="24"/>
          <w:szCs w:val="24"/>
          <w:highlight w:val="none"/>
          <w:lang w:eastAsia="zh-CN"/>
        </w:rPr>
        <w:t>0%</w:t>
      </w:r>
      <w:r>
        <w:rPr>
          <w:rFonts w:hint="eastAsia" w:ascii="宋体" w:hAnsi="宋体" w:eastAsia="宋体" w:cs="宋体"/>
          <w:sz w:val="24"/>
          <w:szCs w:val="24"/>
          <w:highlight w:val="none"/>
          <w:lang w:eastAsia="zh-CN"/>
        </w:rPr>
        <w:t>的款项。</w:t>
      </w:r>
    </w:p>
    <w:p w14:paraId="37E6444B">
      <w:pPr>
        <w:pStyle w:val="201"/>
        <w:spacing w:line="500" w:lineRule="exact"/>
        <w:ind w:firstLine="482" w:firstLineChars="200"/>
        <w:rPr>
          <w:rFonts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eastAsia="zh-CN"/>
        </w:rPr>
        <w:t>七</w:t>
      </w: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eastAsia="zh-CN"/>
        </w:rPr>
        <w:t>合同履行期限</w:t>
      </w:r>
    </w:p>
    <w:p w14:paraId="62FCB8EA">
      <w:pPr>
        <w:pStyle w:val="40"/>
        <w:spacing w:after="0" w:line="500" w:lineRule="exact"/>
        <w:ind w:firstLine="480" w:firstLineChars="200"/>
        <w:rPr>
          <w:rFonts w:ascii="宋体" w:hAnsi="宋体" w:eastAsia="宋体" w:cs="宋体"/>
          <w:b/>
          <w:sz w:val="24"/>
          <w:szCs w:val="24"/>
          <w:highlight w:val="none"/>
          <w:lang w:eastAsia="zh-CN"/>
        </w:rPr>
      </w:pPr>
      <w:r>
        <w:rPr>
          <w:rFonts w:hint="eastAsia" w:ascii="宋体" w:hAnsi="宋体" w:eastAsia="宋体" w:cs="宋体"/>
          <w:sz w:val="24"/>
          <w:szCs w:val="24"/>
          <w:highlight w:val="none"/>
          <w:shd w:val="clear" w:color="auto" w:fill="FFFFFF"/>
          <w:lang w:eastAsia="zh-CN"/>
        </w:rPr>
        <w:t>合同签订生效后2个月内完成开发交付，验收通过后进入服务期，服务期为一年。</w:t>
      </w:r>
    </w:p>
    <w:p w14:paraId="3C3C7A2A">
      <w:pPr>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r>
    </w:p>
    <w:p w14:paraId="71639D3F">
      <w:pPr>
        <w:spacing w:after="0" w:line="500" w:lineRule="exact"/>
        <w:ind w:firstLine="482" w:firstLineChars="200"/>
        <w:rPr>
          <w:rFonts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附件1：</w:t>
      </w:r>
      <w:r>
        <w:rPr>
          <w:rFonts w:hint="eastAsia" w:ascii="宋体" w:hAnsi="宋体" w:eastAsia="宋体" w:cs="宋体"/>
          <w:sz w:val="24"/>
          <w:szCs w:val="24"/>
          <w:highlight w:val="none"/>
          <w:lang w:eastAsia="zh-CN"/>
        </w:rPr>
        <w:t>参考《江苏省三级综合医院评审标准实施细则（2026版）》关于“医疗服务能力与质量安全监测指标”</w:t>
      </w:r>
      <w:r>
        <w:rPr>
          <w:rFonts w:hint="eastAsia" w:ascii="宋体" w:hAnsi="宋体" w:eastAsia="宋体" w:cs="宋体"/>
          <w:sz w:val="24"/>
          <w:szCs w:val="24"/>
          <w:highlight w:val="none"/>
          <w:lang w:eastAsia="zh-CN"/>
        </w:rPr>
        <w:t>指标范围依据</w:t>
      </w:r>
      <w:r>
        <w:rPr>
          <w:rFonts w:hint="eastAsia" w:ascii="宋体" w:hAnsi="宋体" w:eastAsia="宋体" w:cs="宋体"/>
          <w:sz w:val="24"/>
          <w:szCs w:val="24"/>
          <w:highlight w:val="none"/>
          <w:lang w:eastAsia="zh-CN"/>
        </w:rPr>
        <w:t>：</w:t>
      </w:r>
    </w:p>
    <w:p w14:paraId="0837F488">
      <w:pPr>
        <w:pStyle w:val="201"/>
        <w:spacing w:line="480" w:lineRule="exact"/>
        <w:ind w:firstLine="720" w:firstLineChars="300"/>
        <w:rPr>
          <w:color w:val="000000"/>
          <w:highlight w:val="none"/>
          <w:lang w:eastAsia="zh-CN"/>
        </w:rPr>
      </w:pPr>
      <w:r>
        <w:rPr>
          <w:rFonts w:hint="eastAsia" w:ascii="宋体" w:hAnsi="宋体" w:eastAsia="宋体" w:cs="宋体"/>
          <w:sz w:val="24"/>
          <w:szCs w:val="24"/>
          <w:highlight w:val="none"/>
          <w:lang w:eastAsia="zh-CN"/>
        </w:rPr>
        <w:t>第一章  资源配置与运行数据指标</w:t>
      </w: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9"/>
        <w:gridCol w:w="2306"/>
        <w:gridCol w:w="2645"/>
        <w:gridCol w:w="3211"/>
      </w:tblGrid>
      <w:tr w14:paraId="7133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blHeader/>
        </w:trPr>
        <w:tc>
          <w:tcPr>
            <w:tcW w:w="631" w:type="pct"/>
            <w:vAlign w:val="center"/>
          </w:tcPr>
          <w:p w14:paraId="0E238C92">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一级指标</w:t>
            </w:r>
          </w:p>
        </w:tc>
        <w:tc>
          <w:tcPr>
            <w:tcW w:w="1234" w:type="pct"/>
            <w:vAlign w:val="center"/>
          </w:tcPr>
          <w:p w14:paraId="50E05E77">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二级指标</w:t>
            </w:r>
          </w:p>
        </w:tc>
        <w:tc>
          <w:tcPr>
            <w:tcW w:w="1415" w:type="pct"/>
            <w:vAlign w:val="center"/>
          </w:tcPr>
          <w:p w14:paraId="575DDE14">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评审要点</w:t>
            </w:r>
          </w:p>
        </w:tc>
        <w:tc>
          <w:tcPr>
            <w:tcW w:w="1718" w:type="pct"/>
            <w:vAlign w:val="center"/>
          </w:tcPr>
          <w:p w14:paraId="1D72BD5F">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释义</w:t>
            </w:r>
          </w:p>
        </w:tc>
      </w:tr>
      <w:tr w14:paraId="3E3C3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31" w:type="pct"/>
            <w:vAlign w:val="center"/>
          </w:tcPr>
          <w:p w14:paraId="62DDBD8A">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1.1床位配置</w:t>
            </w:r>
          </w:p>
        </w:tc>
        <w:tc>
          <w:tcPr>
            <w:tcW w:w="1234" w:type="pct"/>
            <w:vAlign w:val="center"/>
          </w:tcPr>
          <w:p w14:paraId="3EA0D9A2">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1.1.1实际开放床位情况</w:t>
            </w:r>
          </w:p>
        </w:tc>
        <w:tc>
          <w:tcPr>
            <w:tcW w:w="1415" w:type="pct"/>
            <w:vAlign w:val="center"/>
          </w:tcPr>
          <w:p w14:paraId="4CE4EF4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1.1.1.1实际开放床位数与核定床位数比值</w:t>
            </w:r>
          </w:p>
        </w:tc>
        <w:tc>
          <w:tcPr>
            <w:tcW w:w="1718" w:type="pct"/>
            <w:vAlign w:val="center"/>
          </w:tcPr>
          <w:p w14:paraId="2AFDBDA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医院实际开放床位数/核定床位数</w:t>
            </w:r>
          </w:p>
        </w:tc>
      </w:tr>
      <w:tr w14:paraId="699F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restart"/>
            <w:vAlign w:val="center"/>
          </w:tcPr>
          <w:p w14:paraId="12ABA005">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1.2卫生技术人员配备</w:t>
            </w:r>
          </w:p>
        </w:tc>
        <w:tc>
          <w:tcPr>
            <w:tcW w:w="1234" w:type="pct"/>
            <w:vAlign w:val="center"/>
          </w:tcPr>
          <w:p w14:paraId="7DF3BFF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1.2.1卫生技术人员数与开放床位数比</w:t>
            </w:r>
          </w:p>
        </w:tc>
        <w:tc>
          <w:tcPr>
            <w:tcW w:w="1415" w:type="pct"/>
            <w:vAlign w:val="center"/>
          </w:tcPr>
          <w:p w14:paraId="3629C10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1.2.1.1卫生技术人员数与开放床位数比</w:t>
            </w:r>
          </w:p>
        </w:tc>
        <w:tc>
          <w:tcPr>
            <w:tcW w:w="1718" w:type="pct"/>
            <w:vAlign w:val="center"/>
          </w:tcPr>
          <w:p w14:paraId="1DE1CE1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年度卫生技术人员数与同期全院实际开放床位数的比值</w:t>
            </w:r>
          </w:p>
        </w:tc>
      </w:tr>
      <w:tr w14:paraId="63C74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3B9440F">
            <w:pPr>
              <w:textAlignment w:val="center"/>
              <w:rPr>
                <w:rFonts w:ascii="仿宋" w:hAnsi="仿宋" w:eastAsia="仿宋" w:cs="仿宋"/>
                <w:color w:val="000000"/>
                <w:szCs w:val="21"/>
                <w:highlight w:val="none"/>
                <w:lang w:eastAsia="zh-CN"/>
              </w:rPr>
            </w:pPr>
          </w:p>
        </w:tc>
        <w:tc>
          <w:tcPr>
            <w:tcW w:w="1234" w:type="pct"/>
            <w:vAlign w:val="center"/>
          </w:tcPr>
          <w:p w14:paraId="4F54A45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1.2.2全院护士数与开放床位数比</w:t>
            </w:r>
          </w:p>
        </w:tc>
        <w:tc>
          <w:tcPr>
            <w:tcW w:w="1415" w:type="pct"/>
            <w:vAlign w:val="center"/>
          </w:tcPr>
          <w:p w14:paraId="2E1AC01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1.2.2.1全院护士数与开放床位数比</w:t>
            </w:r>
          </w:p>
        </w:tc>
        <w:tc>
          <w:tcPr>
            <w:tcW w:w="1718" w:type="pct"/>
            <w:vAlign w:val="center"/>
          </w:tcPr>
          <w:p w14:paraId="5A38C10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医疗机构执业护士人数与医疗机构实际开放床位数比。</w:t>
            </w:r>
            <w:r>
              <w:rPr>
                <w:rFonts w:hint="eastAsia"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医疗机构执业护士人数/同期实际开放床位数</w:t>
            </w:r>
          </w:p>
        </w:tc>
      </w:tr>
      <w:tr w14:paraId="4258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15656FF5">
            <w:pPr>
              <w:textAlignment w:val="center"/>
              <w:rPr>
                <w:rFonts w:ascii="仿宋" w:hAnsi="仿宋" w:eastAsia="仿宋" w:cs="仿宋"/>
                <w:color w:val="000000"/>
                <w:szCs w:val="21"/>
                <w:highlight w:val="none"/>
                <w:lang w:eastAsia="zh-CN"/>
              </w:rPr>
            </w:pPr>
          </w:p>
        </w:tc>
        <w:tc>
          <w:tcPr>
            <w:tcW w:w="1234" w:type="pct"/>
            <w:vAlign w:val="center"/>
          </w:tcPr>
          <w:p w14:paraId="4C13B54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1.2.3病区护士数与开放床位数比</w:t>
            </w:r>
          </w:p>
        </w:tc>
        <w:tc>
          <w:tcPr>
            <w:tcW w:w="1415" w:type="pct"/>
            <w:vAlign w:val="center"/>
          </w:tcPr>
          <w:p w14:paraId="32DBEF8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1.2.3.1病区护士数与开放床位数比</w:t>
            </w:r>
          </w:p>
        </w:tc>
        <w:tc>
          <w:tcPr>
            <w:tcW w:w="1718" w:type="pct"/>
            <w:vAlign w:val="center"/>
          </w:tcPr>
          <w:p w14:paraId="5B95C0C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医疗机构病区执业护士人数与医疗机构实际开放床位数比。</w:t>
            </w:r>
            <w:r>
              <w:rPr>
                <w:rFonts w:hint="eastAsia"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医疗机构病区执业护士人数/同期实际开放床位数</w:t>
            </w:r>
          </w:p>
        </w:tc>
      </w:tr>
      <w:tr w14:paraId="7626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D230C74">
            <w:pPr>
              <w:textAlignment w:val="center"/>
              <w:rPr>
                <w:rFonts w:ascii="仿宋" w:hAnsi="仿宋" w:eastAsia="仿宋" w:cs="仿宋"/>
                <w:color w:val="000000"/>
                <w:szCs w:val="21"/>
                <w:highlight w:val="none"/>
                <w:lang w:eastAsia="zh-CN"/>
              </w:rPr>
            </w:pPr>
          </w:p>
        </w:tc>
        <w:tc>
          <w:tcPr>
            <w:tcW w:w="1234" w:type="pct"/>
            <w:vMerge w:val="restart"/>
            <w:vAlign w:val="center"/>
          </w:tcPr>
          <w:p w14:paraId="5A04CEF2">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1.2.4卫生技术人员结构</w:t>
            </w:r>
          </w:p>
        </w:tc>
        <w:tc>
          <w:tcPr>
            <w:tcW w:w="1415" w:type="pct"/>
            <w:vAlign w:val="center"/>
          </w:tcPr>
          <w:p w14:paraId="16F81D3D">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1.2.4.1卫生技术人员职称结构</w:t>
            </w:r>
          </w:p>
        </w:tc>
        <w:tc>
          <w:tcPr>
            <w:tcW w:w="1718" w:type="pct"/>
            <w:vAlign w:val="center"/>
          </w:tcPr>
          <w:p w14:paraId="4A3D621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年度医院具有副高级职称及以上的卫生技术人员（医、药、护、技）/全院同期卫生技术人员总数×100%</w:t>
            </w:r>
          </w:p>
          <w:p w14:paraId="48DD6017">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参加规范化培训的医师和未变更主要执业机构的进修人员，均不列入统计范围</w:t>
            </w:r>
          </w:p>
        </w:tc>
      </w:tr>
      <w:tr w14:paraId="3683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82337B9">
            <w:pPr>
              <w:textAlignment w:val="center"/>
              <w:rPr>
                <w:rFonts w:ascii="仿宋" w:hAnsi="仿宋" w:eastAsia="仿宋" w:cs="仿宋"/>
                <w:color w:val="000000"/>
                <w:szCs w:val="21"/>
                <w:highlight w:val="none"/>
                <w:lang w:eastAsia="zh-CN"/>
              </w:rPr>
            </w:pPr>
          </w:p>
        </w:tc>
        <w:tc>
          <w:tcPr>
            <w:tcW w:w="1234" w:type="pct"/>
            <w:vMerge w:val="continue"/>
            <w:vAlign w:val="center"/>
          </w:tcPr>
          <w:p w14:paraId="221DB1AC">
            <w:pPr>
              <w:textAlignment w:val="center"/>
              <w:rPr>
                <w:rFonts w:ascii="仿宋" w:hAnsi="仿宋" w:eastAsia="仿宋" w:cs="仿宋"/>
                <w:color w:val="000000"/>
                <w:szCs w:val="21"/>
                <w:highlight w:val="none"/>
                <w:lang w:eastAsia="zh-CN"/>
              </w:rPr>
            </w:pPr>
          </w:p>
        </w:tc>
        <w:tc>
          <w:tcPr>
            <w:tcW w:w="1415" w:type="pct"/>
            <w:vAlign w:val="center"/>
          </w:tcPr>
          <w:p w14:paraId="0FF473C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1.2.4.2科室科主任高级职称比例</w:t>
            </w:r>
          </w:p>
        </w:tc>
        <w:tc>
          <w:tcPr>
            <w:tcW w:w="1718" w:type="pct"/>
            <w:vAlign w:val="center"/>
          </w:tcPr>
          <w:p w14:paraId="4967A22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临床、医技科室科主任正高级职称人数/全部临床、医技科室数×100%</w:t>
            </w:r>
          </w:p>
        </w:tc>
      </w:tr>
      <w:tr w14:paraId="10014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DE559A0">
            <w:pPr>
              <w:textAlignment w:val="center"/>
              <w:rPr>
                <w:rFonts w:ascii="仿宋" w:hAnsi="仿宋" w:eastAsia="仿宋" w:cs="仿宋"/>
                <w:color w:val="000000"/>
                <w:szCs w:val="21"/>
                <w:highlight w:val="none"/>
                <w:lang w:eastAsia="zh-CN"/>
              </w:rPr>
            </w:pPr>
          </w:p>
        </w:tc>
        <w:tc>
          <w:tcPr>
            <w:tcW w:w="1234" w:type="pct"/>
            <w:vMerge w:val="continue"/>
            <w:vAlign w:val="center"/>
          </w:tcPr>
          <w:p w14:paraId="1C493955">
            <w:pPr>
              <w:textAlignment w:val="center"/>
              <w:rPr>
                <w:rFonts w:ascii="仿宋" w:hAnsi="仿宋" w:eastAsia="仿宋" w:cs="仿宋"/>
                <w:color w:val="000000"/>
                <w:szCs w:val="21"/>
                <w:highlight w:val="none"/>
                <w:lang w:eastAsia="zh-CN"/>
              </w:rPr>
            </w:pPr>
          </w:p>
        </w:tc>
        <w:tc>
          <w:tcPr>
            <w:tcW w:w="1415" w:type="pct"/>
            <w:vAlign w:val="center"/>
          </w:tcPr>
          <w:p w14:paraId="3215F40B">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1.2.4.3硕士及以上医师比例</w:t>
            </w:r>
          </w:p>
        </w:tc>
        <w:tc>
          <w:tcPr>
            <w:tcW w:w="1718" w:type="pct"/>
            <w:vAlign w:val="center"/>
          </w:tcPr>
          <w:p w14:paraId="72677B8D">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取得硕士及以上学位医师人数/全院医师人数×100%</w:t>
            </w:r>
          </w:p>
          <w:p w14:paraId="53A7935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参加规范化培训的医师和未变更主要执业机构的进修人员，均不列入统计范围</w:t>
            </w:r>
          </w:p>
        </w:tc>
      </w:tr>
      <w:tr w14:paraId="0C0FF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40975E77">
            <w:pPr>
              <w:textAlignment w:val="center"/>
              <w:rPr>
                <w:rFonts w:ascii="仿宋" w:hAnsi="仿宋" w:eastAsia="仿宋" w:cs="仿宋"/>
                <w:color w:val="000000"/>
                <w:szCs w:val="21"/>
                <w:highlight w:val="none"/>
                <w:lang w:eastAsia="zh-CN"/>
              </w:rPr>
            </w:pPr>
          </w:p>
        </w:tc>
        <w:tc>
          <w:tcPr>
            <w:tcW w:w="1234" w:type="pct"/>
            <w:vAlign w:val="center"/>
          </w:tcPr>
          <w:p w14:paraId="607743FD">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1.2.5医院感染管理专职人员数与开放床位数比</w:t>
            </w:r>
          </w:p>
        </w:tc>
        <w:tc>
          <w:tcPr>
            <w:tcW w:w="1415" w:type="pct"/>
            <w:vAlign w:val="center"/>
          </w:tcPr>
          <w:p w14:paraId="19E20906">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1.2.5.1医院感染管理专职人员数与开放床位数比</w:t>
            </w:r>
          </w:p>
        </w:tc>
        <w:tc>
          <w:tcPr>
            <w:tcW w:w="1718" w:type="pct"/>
            <w:vAlign w:val="center"/>
          </w:tcPr>
          <w:p w14:paraId="7DE3766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医院按实际开放床位数配备医院感染管理专职人员</w:t>
            </w:r>
          </w:p>
        </w:tc>
      </w:tr>
      <w:tr w14:paraId="1169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631" w:type="pct"/>
            <w:vMerge w:val="continue"/>
            <w:vAlign w:val="center"/>
          </w:tcPr>
          <w:p w14:paraId="754A2F90">
            <w:pPr>
              <w:textAlignment w:val="center"/>
              <w:rPr>
                <w:rFonts w:ascii="仿宋" w:hAnsi="仿宋" w:eastAsia="仿宋" w:cs="仿宋"/>
                <w:color w:val="000000"/>
                <w:szCs w:val="21"/>
                <w:highlight w:val="none"/>
                <w:lang w:eastAsia="zh-CN"/>
              </w:rPr>
            </w:pPr>
          </w:p>
        </w:tc>
        <w:tc>
          <w:tcPr>
            <w:tcW w:w="1234" w:type="pct"/>
            <w:vMerge w:val="restart"/>
            <w:vAlign w:val="center"/>
          </w:tcPr>
          <w:p w14:paraId="0F273D6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1.2.6药学专业技术人员数与卫生专业技术人员数比</w:t>
            </w:r>
          </w:p>
        </w:tc>
        <w:tc>
          <w:tcPr>
            <w:tcW w:w="1415" w:type="pct"/>
            <w:vAlign w:val="center"/>
          </w:tcPr>
          <w:p w14:paraId="417A2F6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1.2.6.1医师人数与药师人数比</w:t>
            </w:r>
          </w:p>
        </w:tc>
        <w:tc>
          <w:tcPr>
            <w:tcW w:w="1718" w:type="pct"/>
            <w:vAlign w:val="center"/>
          </w:tcPr>
          <w:p w14:paraId="36F2550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医院注册医师总人数/医院药师总人数</w:t>
            </w:r>
          </w:p>
          <w:p w14:paraId="72758CFC">
            <w:pPr>
              <w:textAlignment w:val="center"/>
              <w:rPr>
                <w:rFonts w:ascii="仿宋" w:hAnsi="仿宋" w:eastAsia="仿宋" w:cs="仿宋"/>
                <w:color w:val="000000"/>
                <w:szCs w:val="21"/>
                <w:highlight w:val="none"/>
                <w:lang w:eastAsia="zh-CN"/>
              </w:rPr>
            </w:pPr>
          </w:p>
        </w:tc>
      </w:tr>
      <w:tr w14:paraId="6A67A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631" w:type="pct"/>
            <w:vMerge w:val="continue"/>
            <w:vAlign w:val="center"/>
          </w:tcPr>
          <w:p w14:paraId="7402A0C7">
            <w:pPr>
              <w:textAlignment w:val="center"/>
              <w:rPr>
                <w:rFonts w:ascii="仿宋" w:hAnsi="仿宋" w:eastAsia="仿宋" w:cs="仿宋"/>
                <w:color w:val="000000"/>
                <w:szCs w:val="21"/>
                <w:highlight w:val="none"/>
                <w:lang w:eastAsia="zh-CN"/>
              </w:rPr>
            </w:pPr>
          </w:p>
        </w:tc>
        <w:tc>
          <w:tcPr>
            <w:tcW w:w="1234" w:type="pct"/>
            <w:vMerge w:val="continue"/>
            <w:vAlign w:val="center"/>
          </w:tcPr>
          <w:p w14:paraId="23951BB1">
            <w:pPr>
              <w:textAlignment w:val="center"/>
              <w:rPr>
                <w:rFonts w:ascii="仿宋" w:hAnsi="仿宋" w:eastAsia="仿宋" w:cs="仿宋"/>
                <w:color w:val="000000"/>
                <w:szCs w:val="21"/>
                <w:highlight w:val="none"/>
                <w:lang w:eastAsia="zh-CN"/>
              </w:rPr>
            </w:pPr>
          </w:p>
        </w:tc>
        <w:tc>
          <w:tcPr>
            <w:tcW w:w="1415" w:type="pct"/>
            <w:vAlign w:val="center"/>
          </w:tcPr>
          <w:p w14:paraId="0FCF971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1.2.</w:t>
            </w:r>
            <w:r>
              <w:rPr>
                <w:rFonts w:hint="eastAsia" w:ascii="仿宋" w:hAnsi="仿宋" w:eastAsia="仿宋" w:cs="仿宋"/>
                <w:color w:val="000000"/>
                <w:szCs w:val="21"/>
                <w:highlight w:val="none"/>
                <w:lang w:eastAsia="zh-CN"/>
              </w:rPr>
              <w:t>6</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每百张病床临床药师人数</w:t>
            </w:r>
          </w:p>
        </w:tc>
        <w:tc>
          <w:tcPr>
            <w:tcW w:w="1718" w:type="pct"/>
            <w:vAlign w:val="center"/>
          </w:tcPr>
          <w:p w14:paraId="66BAB47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医院临床药师总人数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医院实际开放床位数</w:t>
            </w:r>
            <w:r>
              <w:rPr>
                <w:rFonts w:ascii="仿宋" w:hAnsi="仿宋" w:eastAsia="仿宋" w:cs="仿宋"/>
                <w:color w:val="000000"/>
                <w:szCs w:val="21"/>
                <w:highlight w:val="none"/>
                <w:lang w:eastAsia="zh-CN"/>
              </w:rPr>
              <w:t>×100</w:t>
            </w:r>
          </w:p>
          <w:p w14:paraId="75516B69">
            <w:pPr>
              <w:textAlignment w:val="center"/>
              <w:rPr>
                <w:rFonts w:ascii="仿宋" w:hAnsi="仿宋" w:eastAsia="仿宋" w:cs="仿宋"/>
                <w:color w:val="000000"/>
                <w:szCs w:val="21"/>
                <w:highlight w:val="none"/>
                <w:lang w:eastAsia="zh-CN"/>
              </w:rPr>
            </w:pPr>
          </w:p>
        </w:tc>
      </w:tr>
      <w:tr w14:paraId="64C9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restart"/>
            <w:vAlign w:val="center"/>
          </w:tcPr>
          <w:p w14:paraId="05185812">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1.3部分科室资源配置</w:t>
            </w:r>
          </w:p>
        </w:tc>
        <w:tc>
          <w:tcPr>
            <w:tcW w:w="1234" w:type="pct"/>
            <w:vAlign w:val="center"/>
          </w:tcPr>
          <w:p w14:paraId="52674707">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1.3.1</w:t>
            </w:r>
            <w:r>
              <w:rPr>
                <w:rFonts w:hint="eastAsia" w:ascii="仿宋" w:hAnsi="仿宋" w:eastAsia="仿宋" w:cs="仿宋"/>
                <w:color w:val="000000"/>
                <w:szCs w:val="21"/>
                <w:highlight w:val="none"/>
              </w:rPr>
              <w:t>儿科医师数占比</w:t>
            </w:r>
          </w:p>
        </w:tc>
        <w:tc>
          <w:tcPr>
            <w:tcW w:w="1415" w:type="pct"/>
            <w:vAlign w:val="center"/>
          </w:tcPr>
          <w:p w14:paraId="7F19AB54">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1.3.1.1</w:t>
            </w:r>
            <w:r>
              <w:rPr>
                <w:rFonts w:hint="eastAsia" w:ascii="仿宋" w:hAnsi="仿宋" w:eastAsia="仿宋" w:cs="仿宋"/>
                <w:color w:val="000000"/>
                <w:szCs w:val="21"/>
                <w:highlight w:val="none"/>
              </w:rPr>
              <w:t>儿科医师数占比</w:t>
            </w:r>
          </w:p>
        </w:tc>
        <w:tc>
          <w:tcPr>
            <w:tcW w:w="1718" w:type="pct"/>
            <w:vAlign w:val="center"/>
          </w:tcPr>
          <w:p w14:paraId="6CE0FD5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医院注册的儿科在岗医师数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全院同期医师总数</w:t>
            </w:r>
            <w:r>
              <w:rPr>
                <w:rFonts w:ascii="仿宋" w:hAnsi="仿宋" w:eastAsia="仿宋" w:cs="仿宋"/>
                <w:color w:val="000000"/>
                <w:szCs w:val="21"/>
                <w:highlight w:val="none"/>
                <w:lang w:eastAsia="zh-CN"/>
              </w:rPr>
              <w:t>×100%</w:t>
            </w:r>
          </w:p>
        </w:tc>
      </w:tr>
      <w:tr w14:paraId="2B8B3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60692DA">
            <w:pPr>
              <w:textAlignment w:val="center"/>
              <w:rPr>
                <w:rFonts w:ascii="仿宋" w:hAnsi="仿宋" w:eastAsia="仿宋" w:cs="仿宋"/>
                <w:color w:val="000000"/>
                <w:szCs w:val="21"/>
                <w:highlight w:val="none"/>
                <w:lang w:eastAsia="zh-CN"/>
              </w:rPr>
            </w:pPr>
          </w:p>
        </w:tc>
        <w:tc>
          <w:tcPr>
            <w:tcW w:w="1234" w:type="pct"/>
            <w:vAlign w:val="center"/>
          </w:tcPr>
          <w:p w14:paraId="115FEE9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2三级甲等综合医院应当设置精神科</w:t>
            </w:r>
          </w:p>
        </w:tc>
        <w:tc>
          <w:tcPr>
            <w:tcW w:w="1415" w:type="pct"/>
            <w:vAlign w:val="center"/>
          </w:tcPr>
          <w:p w14:paraId="24D752F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1.3.2.1</w:t>
            </w:r>
            <w:r>
              <w:rPr>
                <w:rFonts w:hint="eastAsia" w:ascii="仿宋" w:hAnsi="仿宋" w:eastAsia="仿宋" w:cs="仿宋"/>
                <w:color w:val="000000"/>
                <w:szCs w:val="21"/>
                <w:highlight w:val="none"/>
                <w:lang w:eastAsia="zh-CN"/>
              </w:rPr>
              <w:t>三级甲等综合医院应当设置精神科</w:t>
            </w:r>
          </w:p>
        </w:tc>
        <w:tc>
          <w:tcPr>
            <w:tcW w:w="1718" w:type="pct"/>
            <w:vAlign w:val="center"/>
          </w:tcPr>
          <w:p w14:paraId="507A955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设置精神类疾病相关专科，开展相应门诊、病房诊疗服务</w:t>
            </w:r>
          </w:p>
        </w:tc>
      </w:tr>
      <w:tr w14:paraId="2C04C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458ACD40">
            <w:pPr>
              <w:textAlignment w:val="center"/>
              <w:rPr>
                <w:rFonts w:ascii="仿宋" w:hAnsi="仿宋" w:eastAsia="仿宋" w:cs="仿宋"/>
                <w:color w:val="000000"/>
                <w:szCs w:val="21"/>
                <w:highlight w:val="none"/>
                <w:lang w:eastAsia="zh-CN"/>
              </w:rPr>
            </w:pPr>
          </w:p>
        </w:tc>
        <w:tc>
          <w:tcPr>
            <w:tcW w:w="1234" w:type="pct"/>
            <w:vAlign w:val="center"/>
          </w:tcPr>
          <w:p w14:paraId="123896A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3三级甲等综合医院精神科医师数占比</w:t>
            </w:r>
          </w:p>
        </w:tc>
        <w:tc>
          <w:tcPr>
            <w:tcW w:w="1415" w:type="pct"/>
            <w:vAlign w:val="center"/>
          </w:tcPr>
          <w:p w14:paraId="7A0A71F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3.1三级甲等综合医院精神科医师数占比</w:t>
            </w:r>
          </w:p>
        </w:tc>
        <w:tc>
          <w:tcPr>
            <w:tcW w:w="1718" w:type="pct"/>
            <w:vAlign w:val="center"/>
          </w:tcPr>
          <w:p w14:paraId="0045A08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医院注册的精神科在岗医师数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全院同期医师总数</w:t>
            </w:r>
            <w:r>
              <w:rPr>
                <w:rFonts w:ascii="仿宋" w:hAnsi="仿宋" w:eastAsia="仿宋" w:cs="仿宋"/>
                <w:color w:val="000000"/>
                <w:szCs w:val="21"/>
                <w:highlight w:val="none"/>
                <w:lang w:eastAsia="zh-CN"/>
              </w:rPr>
              <w:t>×100%</w:t>
            </w:r>
          </w:p>
        </w:tc>
      </w:tr>
      <w:tr w14:paraId="0860E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0F3EE6B8">
            <w:pPr>
              <w:textAlignment w:val="center"/>
              <w:rPr>
                <w:rFonts w:ascii="仿宋" w:hAnsi="仿宋" w:eastAsia="仿宋" w:cs="仿宋"/>
                <w:color w:val="000000"/>
                <w:szCs w:val="21"/>
                <w:highlight w:val="none"/>
                <w:lang w:eastAsia="zh-CN"/>
              </w:rPr>
            </w:pPr>
          </w:p>
        </w:tc>
        <w:tc>
          <w:tcPr>
            <w:tcW w:w="1234" w:type="pct"/>
            <w:vAlign w:val="center"/>
          </w:tcPr>
          <w:p w14:paraId="3B2E6D4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4急诊医学科</w:t>
            </w:r>
          </w:p>
          <w:p w14:paraId="37B6150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固定急诊医师数占急诊在岗医师数的比例</w:t>
            </w:r>
          </w:p>
        </w:tc>
        <w:tc>
          <w:tcPr>
            <w:tcW w:w="1415" w:type="pct"/>
            <w:vAlign w:val="center"/>
          </w:tcPr>
          <w:p w14:paraId="73C8B7E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急诊医学科固定急诊医师数占急诊在岗医师数的比例</w:t>
            </w:r>
          </w:p>
        </w:tc>
        <w:tc>
          <w:tcPr>
            <w:tcW w:w="1718" w:type="pct"/>
            <w:vAlign w:val="center"/>
          </w:tcPr>
          <w:p w14:paraId="5360BB3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注册的固定在急诊科的在岗医师人数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同期急诊科在岗医师总数</w:t>
            </w:r>
            <w:r>
              <w:rPr>
                <w:rFonts w:ascii="仿宋" w:hAnsi="仿宋" w:eastAsia="仿宋" w:cs="仿宋"/>
                <w:color w:val="000000"/>
                <w:szCs w:val="21"/>
                <w:highlight w:val="none"/>
                <w:lang w:eastAsia="zh-CN"/>
              </w:rPr>
              <w:t>×100%</w:t>
            </w:r>
          </w:p>
        </w:tc>
      </w:tr>
      <w:tr w14:paraId="0F083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433474EB">
            <w:pPr>
              <w:textAlignment w:val="center"/>
              <w:rPr>
                <w:rFonts w:ascii="仿宋" w:hAnsi="仿宋" w:eastAsia="仿宋" w:cs="仿宋"/>
                <w:color w:val="000000"/>
                <w:szCs w:val="21"/>
                <w:highlight w:val="none"/>
                <w:lang w:eastAsia="zh-CN"/>
              </w:rPr>
            </w:pPr>
          </w:p>
        </w:tc>
        <w:tc>
          <w:tcPr>
            <w:tcW w:w="1234" w:type="pct"/>
            <w:vAlign w:val="center"/>
          </w:tcPr>
          <w:p w14:paraId="5723BB0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5急诊医学科</w:t>
            </w:r>
          </w:p>
          <w:p w14:paraId="7F16EC9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固定急诊护士数占急诊在岗护士数的比例</w:t>
            </w:r>
          </w:p>
        </w:tc>
        <w:tc>
          <w:tcPr>
            <w:tcW w:w="1415" w:type="pct"/>
            <w:vAlign w:val="center"/>
          </w:tcPr>
          <w:p w14:paraId="28AA531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5.1急诊医学科固定急诊护士数占急诊在岗护士数的比例</w:t>
            </w:r>
          </w:p>
        </w:tc>
        <w:tc>
          <w:tcPr>
            <w:tcW w:w="1718" w:type="pct"/>
            <w:vAlign w:val="center"/>
          </w:tcPr>
          <w:p w14:paraId="17F2D88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注册地固定在急诊科的在岗护士人数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同期急诊科在岗护士总数</w:t>
            </w:r>
            <w:r>
              <w:rPr>
                <w:rFonts w:ascii="仿宋" w:hAnsi="仿宋" w:eastAsia="仿宋" w:cs="仿宋"/>
                <w:color w:val="000000"/>
                <w:szCs w:val="21"/>
                <w:highlight w:val="none"/>
                <w:lang w:eastAsia="zh-CN"/>
              </w:rPr>
              <w:t>×100%</w:t>
            </w:r>
          </w:p>
        </w:tc>
      </w:tr>
      <w:tr w14:paraId="162AD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39CCE2F7">
            <w:pPr>
              <w:textAlignment w:val="center"/>
              <w:rPr>
                <w:rFonts w:ascii="仿宋" w:hAnsi="仿宋" w:eastAsia="仿宋" w:cs="仿宋"/>
                <w:color w:val="000000"/>
                <w:szCs w:val="21"/>
                <w:highlight w:val="none"/>
                <w:lang w:eastAsia="zh-CN"/>
              </w:rPr>
            </w:pPr>
          </w:p>
        </w:tc>
        <w:tc>
          <w:tcPr>
            <w:tcW w:w="1234" w:type="pct"/>
            <w:vAlign w:val="center"/>
          </w:tcPr>
          <w:p w14:paraId="6F5A95C8">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1.3.6急诊科开放床位数</w:t>
            </w:r>
          </w:p>
        </w:tc>
        <w:tc>
          <w:tcPr>
            <w:tcW w:w="1415" w:type="pct"/>
            <w:vAlign w:val="center"/>
          </w:tcPr>
          <w:p w14:paraId="171EE15F">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1.3.6急诊科开放床位数</w:t>
            </w:r>
          </w:p>
        </w:tc>
        <w:tc>
          <w:tcPr>
            <w:tcW w:w="1718" w:type="pct"/>
            <w:vAlign w:val="center"/>
          </w:tcPr>
          <w:p w14:paraId="1DE0718D">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急诊科开放床位数，包括观察床、急诊病房、抢救床和EICU病房。观察床、病房床位≥50张，EICU≥10张，抢救床≥8张</w:t>
            </w:r>
          </w:p>
        </w:tc>
      </w:tr>
      <w:tr w14:paraId="6C070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25489F6">
            <w:pPr>
              <w:textAlignment w:val="center"/>
              <w:rPr>
                <w:rFonts w:ascii="仿宋" w:hAnsi="仿宋" w:eastAsia="仿宋" w:cs="仿宋"/>
                <w:color w:val="000000"/>
                <w:szCs w:val="21"/>
                <w:highlight w:val="none"/>
                <w:lang w:eastAsia="zh-CN"/>
              </w:rPr>
            </w:pPr>
          </w:p>
        </w:tc>
        <w:tc>
          <w:tcPr>
            <w:tcW w:w="1234" w:type="pct"/>
            <w:vAlign w:val="center"/>
          </w:tcPr>
          <w:p w14:paraId="79BD45E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7重症医学科开放床位数占医院开放床位数的比例</w:t>
            </w:r>
          </w:p>
        </w:tc>
        <w:tc>
          <w:tcPr>
            <w:tcW w:w="1415" w:type="pct"/>
            <w:vAlign w:val="center"/>
          </w:tcPr>
          <w:p w14:paraId="3C7D2A8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7</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重症医学科开放床位数占医院开放床位数的比例</w:t>
            </w:r>
          </w:p>
        </w:tc>
        <w:tc>
          <w:tcPr>
            <w:tcW w:w="1718" w:type="pct"/>
            <w:vAlign w:val="center"/>
          </w:tcPr>
          <w:p w14:paraId="020393E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重症医学科开放床位数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同期全院实际开放床位数。综合</w:t>
            </w:r>
            <w:r>
              <w:rPr>
                <w:rFonts w:ascii="仿宋" w:hAnsi="仿宋" w:eastAsia="仿宋" w:cs="仿宋"/>
                <w:color w:val="000000"/>
                <w:szCs w:val="21"/>
                <w:highlight w:val="none"/>
                <w:lang w:eastAsia="zh-CN"/>
              </w:rPr>
              <w:t>ICU</w:t>
            </w:r>
            <w:r>
              <w:rPr>
                <w:rFonts w:hint="eastAsia" w:ascii="仿宋" w:hAnsi="仿宋" w:eastAsia="仿宋" w:cs="仿宋"/>
                <w:color w:val="000000"/>
                <w:szCs w:val="21"/>
                <w:highlight w:val="none"/>
                <w:lang w:eastAsia="zh-CN"/>
              </w:rPr>
              <w:t>床位数≥</w:t>
            </w:r>
            <w:r>
              <w:rPr>
                <w:rFonts w:ascii="仿宋" w:hAnsi="仿宋" w:eastAsia="仿宋" w:cs="仿宋"/>
                <w:color w:val="000000"/>
                <w:szCs w:val="21"/>
                <w:highlight w:val="none"/>
                <w:lang w:eastAsia="zh-CN"/>
              </w:rPr>
              <w:t>4%</w:t>
            </w:r>
            <w:r>
              <w:rPr>
                <w:rFonts w:hint="eastAsia" w:ascii="仿宋" w:hAnsi="仿宋" w:eastAsia="仿宋" w:cs="仿宋"/>
                <w:color w:val="000000"/>
                <w:szCs w:val="21"/>
                <w:highlight w:val="none"/>
                <w:lang w:eastAsia="zh-CN"/>
              </w:rPr>
              <w:t>，专科</w:t>
            </w:r>
            <w:r>
              <w:rPr>
                <w:rFonts w:ascii="仿宋" w:hAnsi="仿宋" w:eastAsia="仿宋" w:cs="仿宋"/>
                <w:color w:val="000000"/>
                <w:szCs w:val="21"/>
                <w:highlight w:val="none"/>
                <w:lang w:eastAsia="zh-CN"/>
              </w:rPr>
              <w:t>ICU</w:t>
            </w:r>
            <w:r>
              <w:rPr>
                <w:rFonts w:hint="eastAsia" w:ascii="仿宋" w:hAnsi="仿宋" w:eastAsia="仿宋" w:cs="仿宋"/>
                <w:color w:val="000000"/>
                <w:szCs w:val="21"/>
                <w:highlight w:val="none"/>
                <w:lang w:eastAsia="zh-CN"/>
              </w:rPr>
              <w:t>床位数≥</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，可转换</w:t>
            </w:r>
            <w:r>
              <w:rPr>
                <w:rFonts w:ascii="仿宋" w:hAnsi="仿宋" w:eastAsia="仿宋" w:cs="仿宋"/>
                <w:color w:val="000000"/>
                <w:szCs w:val="21"/>
                <w:highlight w:val="none"/>
                <w:lang w:eastAsia="zh-CN"/>
              </w:rPr>
              <w:t>ICU</w:t>
            </w:r>
            <w:r>
              <w:rPr>
                <w:rFonts w:hint="eastAsia" w:ascii="仿宋" w:hAnsi="仿宋" w:eastAsia="仿宋" w:cs="仿宋"/>
                <w:color w:val="000000"/>
                <w:szCs w:val="21"/>
                <w:highlight w:val="none"/>
                <w:lang w:eastAsia="zh-CN"/>
              </w:rPr>
              <w:t>床位数≥</w:t>
            </w:r>
            <w:r>
              <w:rPr>
                <w:rFonts w:ascii="仿宋" w:hAnsi="仿宋" w:eastAsia="仿宋" w:cs="仿宋"/>
                <w:color w:val="000000"/>
                <w:szCs w:val="21"/>
                <w:highlight w:val="none"/>
                <w:lang w:eastAsia="zh-CN"/>
              </w:rPr>
              <w:t>4%</w:t>
            </w:r>
            <w:r>
              <w:rPr>
                <w:rFonts w:hint="eastAsia" w:ascii="仿宋" w:hAnsi="仿宋" w:eastAsia="仿宋" w:cs="仿宋"/>
                <w:color w:val="000000"/>
                <w:szCs w:val="21"/>
                <w:highlight w:val="none"/>
                <w:lang w:eastAsia="zh-CN"/>
              </w:rPr>
              <w:t>。</w:t>
            </w:r>
          </w:p>
          <w:p w14:paraId="6AD29BBE">
            <w:pPr>
              <w:textAlignment w:val="center"/>
              <w:rPr>
                <w:rFonts w:ascii="仿宋" w:hAnsi="仿宋" w:eastAsia="仿宋" w:cs="仿宋"/>
                <w:color w:val="000000"/>
                <w:szCs w:val="21"/>
                <w:highlight w:val="none"/>
                <w:lang w:eastAsia="zh-CN"/>
              </w:rPr>
            </w:pPr>
          </w:p>
        </w:tc>
      </w:tr>
      <w:tr w14:paraId="3B10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B0D1E52">
            <w:pPr>
              <w:textAlignment w:val="center"/>
              <w:rPr>
                <w:rFonts w:ascii="仿宋" w:hAnsi="仿宋" w:eastAsia="仿宋" w:cs="仿宋"/>
                <w:color w:val="000000"/>
                <w:szCs w:val="21"/>
                <w:highlight w:val="none"/>
                <w:lang w:eastAsia="zh-CN"/>
              </w:rPr>
            </w:pPr>
          </w:p>
        </w:tc>
        <w:tc>
          <w:tcPr>
            <w:tcW w:w="1234" w:type="pct"/>
            <w:vAlign w:val="center"/>
          </w:tcPr>
          <w:p w14:paraId="15B319D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8重症医学科医师数与重症医学科开放床位数比</w:t>
            </w:r>
          </w:p>
        </w:tc>
        <w:tc>
          <w:tcPr>
            <w:tcW w:w="1415" w:type="pct"/>
            <w:vAlign w:val="center"/>
          </w:tcPr>
          <w:p w14:paraId="0545E09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8.1重症医学科医师数与重症医学科开放床位数比</w:t>
            </w:r>
          </w:p>
        </w:tc>
        <w:tc>
          <w:tcPr>
            <w:tcW w:w="1718" w:type="pct"/>
            <w:vAlign w:val="center"/>
          </w:tcPr>
          <w:p w14:paraId="2297DDE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注册的重症医学科在岗医师人数与同期重症医学科实际开放床位数的比值</w:t>
            </w:r>
          </w:p>
        </w:tc>
      </w:tr>
      <w:tr w14:paraId="0F45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1F52944">
            <w:pPr>
              <w:textAlignment w:val="center"/>
              <w:rPr>
                <w:rFonts w:ascii="仿宋" w:hAnsi="仿宋" w:eastAsia="仿宋" w:cs="仿宋"/>
                <w:color w:val="000000"/>
                <w:szCs w:val="21"/>
                <w:highlight w:val="none"/>
                <w:lang w:eastAsia="zh-CN"/>
              </w:rPr>
            </w:pPr>
          </w:p>
        </w:tc>
        <w:tc>
          <w:tcPr>
            <w:tcW w:w="1234" w:type="pct"/>
            <w:vAlign w:val="center"/>
          </w:tcPr>
          <w:p w14:paraId="7D14CE1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9重症医学科护士数与重症医学科开放床位数比</w:t>
            </w:r>
          </w:p>
        </w:tc>
        <w:tc>
          <w:tcPr>
            <w:tcW w:w="1415" w:type="pct"/>
            <w:vAlign w:val="center"/>
          </w:tcPr>
          <w:p w14:paraId="5500D69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9.1重症医学科护士数与重症医学科开放床位数比</w:t>
            </w:r>
          </w:p>
        </w:tc>
        <w:tc>
          <w:tcPr>
            <w:tcW w:w="1718" w:type="pct"/>
            <w:vAlign w:val="center"/>
          </w:tcPr>
          <w:p w14:paraId="67F9CFA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注册的重症医学科在岗护士人数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同期重症医学科实际开放床位数</w:t>
            </w:r>
          </w:p>
        </w:tc>
      </w:tr>
      <w:tr w14:paraId="6995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restart"/>
            <w:vAlign w:val="center"/>
          </w:tcPr>
          <w:p w14:paraId="48B447FB">
            <w:pPr>
              <w:textAlignment w:val="center"/>
              <w:rPr>
                <w:rFonts w:ascii="仿宋" w:hAnsi="仿宋" w:eastAsia="仿宋" w:cs="仿宋"/>
                <w:color w:val="000000"/>
                <w:szCs w:val="21"/>
                <w:highlight w:val="none"/>
                <w:lang w:eastAsia="zh-CN"/>
              </w:rPr>
            </w:pPr>
          </w:p>
        </w:tc>
        <w:tc>
          <w:tcPr>
            <w:tcW w:w="1234" w:type="pct"/>
            <w:vAlign w:val="center"/>
          </w:tcPr>
          <w:p w14:paraId="39DF64B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10麻醉科医师数与手术间数比</w:t>
            </w:r>
          </w:p>
        </w:tc>
        <w:tc>
          <w:tcPr>
            <w:tcW w:w="1415" w:type="pct"/>
            <w:vAlign w:val="center"/>
          </w:tcPr>
          <w:p w14:paraId="0A87E46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麻醉科医师数与手术间数比</w:t>
            </w:r>
          </w:p>
        </w:tc>
        <w:tc>
          <w:tcPr>
            <w:tcW w:w="1718" w:type="pct"/>
            <w:vAlign w:val="center"/>
          </w:tcPr>
          <w:p w14:paraId="681585B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麻醉科在岗注册医师人数与同期手术间数的比值</w:t>
            </w:r>
          </w:p>
        </w:tc>
      </w:tr>
      <w:tr w14:paraId="4FAF1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0E09E610">
            <w:pPr>
              <w:textAlignment w:val="center"/>
              <w:rPr>
                <w:rFonts w:ascii="仿宋" w:hAnsi="仿宋" w:eastAsia="仿宋" w:cs="仿宋"/>
                <w:color w:val="000000"/>
                <w:szCs w:val="21"/>
                <w:highlight w:val="none"/>
                <w:lang w:eastAsia="zh-CN"/>
              </w:rPr>
            </w:pPr>
          </w:p>
        </w:tc>
        <w:tc>
          <w:tcPr>
            <w:tcW w:w="1234" w:type="pct"/>
            <w:vAlign w:val="center"/>
          </w:tcPr>
          <w:p w14:paraId="56B8CA6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11麻醉科医师数与日均全麻手术台次比</w:t>
            </w:r>
          </w:p>
        </w:tc>
        <w:tc>
          <w:tcPr>
            <w:tcW w:w="1415" w:type="pct"/>
            <w:vAlign w:val="center"/>
          </w:tcPr>
          <w:p w14:paraId="624DE8C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11.1麻醉科医师数与日均全麻手术台次比</w:t>
            </w:r>
          </w:p>
        </w:tc>
        <w:tc>
          <w:tcPr>
            <w:tcW w:w="1718" w:type="pct"/>
            <w:vAlign w:val="center"/>
          </w:tcPr>
          <w:p w14:paraId="6AD7B0D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麻醉科在岗注册医师人数与同期日均全麻手术台次的比值</w:t>
            </w:r>
          </w:p>
        </w:tc>
      </w:tr>
      <w:tr w14:paraId="76C8F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350403B">
            <w:pPr>
              <w:textAlignment w:val="center"/>
              <w:rPr>
                <w:rFonts w:ascii="仿宋" w:hAnsi="仿宋" w:eastAsia="仿宋" w:cs="仿宋"/>
                <w:color w:val="000000"/>
                <w:szCs w:val="21"/>
                <w:highlight w:val="none"/>
                <w:lang w:eastAsia="zh-CN"/>
              </w:rPr>
            </w:pPr>
          </w:p>
        </w:tc>
        <w:tc>
          <w:tcPr>
            <w:tcW w:w="1234" w:type="pct"/>
            <w:vAlign w:val="center"/>
          </w:tcPr>
          <w:p w14:paraId="7E2CB36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12麻醉科医师数和手术科室医师数比</w:t>
            </w:r>
          </w:p>
        </w:tc>
        <w:tc>
          <w:tcPr>
            <w:tcW w:w="1415" w:type="pct"/>
            <w:vAlign w:val="center"/>
          </w:tcPr>
          <w:p w14:paraId="1266635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12.1麻醉科医师数和手术科室医师数比</w:t>
            </w:r>
          </w:p>
        </w:tc>
        <w:tc>
          <w:tcPr>
            <w:tcW w:w="1718" w:type="pct"/>
            <w:vAlign w:val="center"/>
          </w:tcPr>
          <w:p w14:paraId="5E9F817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麻醉科在岗注册医师人数与手术科室医师人数的比值</w:t>
            </w:r>
          </w:p>
        </w:tc>
      </w:tr>
      <w:tr w14:paraId="50D7C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06726072">
            <w:pPr>
              <w:textAlignment w:val="center"/>
              <w:rPr>
                <w:rFonts w:ascii="仿宋" w:hAnsi="仿宋" w:eastAsia="仿宋" w:cs="仿宋"/>
                <w:color w:val="000000"/>
                <w:szCs w:val="21"/>
                <w:highlight w:val="none"/>
                <w:lang w:eastAsia="zh-CN"/>
              </w:rPr>
            </w:pPr>
          </w:p>
        </w:tc>
        <w:tc>
          <w:tcPr>
            <w:tcW w:w="1234" w:type="pct"/>
            <w:vAlign w:val="center"/>
          </w:tcPr>
          <w:p w14:paraId="6C7DC2F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13手术间麻醉护士数与实际开放手术台数量比</w:t>
            </w:r>
          </w:p>
        </w:tc>
        <w:tc>
          <w:tcPr>
            <w:tcW w:w="1415" w:type="pct"/>
            <w:vAlign w:val="center"/>
          </w:tcPr>
          <w:p w14:paraId="2785D17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13.1手术间麻醉护士数与实际开放手术台数量比</w:t>
            </w:r>
          </w:p>
        </w:tc>
        <w:tc>
          <w:tcPr>
            <w:tcW w:w="1718" w:type="pct"/>
            <w:vAlign w:val="center"/>
          </w:tcPr>
          <w:p w14:paraId="17D18B5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注册的手术间麻醉护士人数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同期手术间实际开放手术台数量</w:t>
            </w:r>
          </w:p>
        </w:tc>
      </w:tr>
      <w:tr w14:paraId="1E68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0B81D84B">
            <w:pPr>
              <w:textAlignment w:val="center"/>
              <w:rPr>
                <w:rFonts w:ascii="仿宋" w:hAnsi="仿宋" w:eastAsia="仿宋" w:cs="仿宋"/>
                <w:color w:val="000000"/>
                <w:szCs w:val="21"/>
                <w:highlight w:val="none"/>
                <w:lang w:eastAsia="zh-CN"/>
              </w:rPr>
            </w:pPr>
          </w:p>
        </w:tc>
        <w:tc>
          <w:tcPr>
            <w:tcW w:w="1234" w:type="pct"/>
            <w:vAlign w:val="center"/>
          </w:tcPr>
          <w:p w14:paraId="3219C02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14中医科开放床位数占医院开放床位数的比例</w:t>
            </w:r>
          </w:p>
        </w:tc>
        <w:tc>
          <w:tcPr>
            <w:tcW w:w="1415" w:type="pct"/>
            <w:vAlign w:val="center"/>
          </w:tcPr>
          <w:p w14:paraId="7A6DF3D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14.1中医科开放床位数占医院开放床位数的比例</w:t>
            </w:r>
          </w:p>
        </w:tc>
        <w:tc>
          <w:tcPr>
            <w:tcW w:w="1718" w:type="pct"/>
            <w:vAlign w:val="center"/>
          </w:tcPr>
          <w:p w14:paraId="626869F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中医科实际开放床位数占医院开放床位数的比例。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中医科包含中西医结合科</w:t>
            </w:r>
          </w:p>
        </w:tc>
      </w:tr>
      <w:tr w14:paraId="46B58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1" w:type="pct"/>
            <w:vMerge w:val="continue"/>
            <w:vAlign w:val="center"/>
          </w:tcPr>
          <w:p w14:paraId="1600E43A">
            <w:pPr>
              <w:textAlignment w:val="center"/>
              <w:rPr>
                <w:rFonts w:ascii="仿宋" w:hAnsi="仿宋" w:eastAsia="仿宋" w:cs="仿宋"/>
                <w:color w:val="000000"/>
                <w:szCs w:val="21"/>
                <w:highlight w:val="none"/>
                <w:lang w:eastAsia="zh-CN"/>
              </w:rPr>
            </w:pPr>
          </w:p>
        </w:tc>
        <w:tc>
          <w:tcPr>
            <w:tcW w:w="1234" w:type="pct"/>
            <w:vAlign w:val="center"/>
          </w:tcPr>
          <w:p w14:paraId="3C886D9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15中医科中医类别医师数与中医科开放床位数比（未开设中医科病房，本指标不适用）</w:t>
            </w:r>
          </w:p>
        </w:tc>
        <w:tc>
          <w:tcPr>
            <w:tcW w:w="1415" w:type="pct"/>
            <w:vAlign w:val="center"/>
          </w:tcPr>
          <w:p w14:paraId="00786E7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15.1中医科中医类别医师数与中医科开放床位数比</w:t>
            </w:r>
          </w:p>
        </w:tc>
        <w:tc>
          <w:tcPr>
            <w:tcW w:w="1718" w:type="pct"/>
            <w:vAlign w:val="center"/>
          </w:tcPr>
          <w:p w14:paraId="0BD71CDD">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注册的中医科在岗中医类别医师人数与同期中医科实际开放床位数的比值</w:t>
            </w:r>
          </w:p>
        </w:tc>
      </w:tr>
      <w:tr w14:paraId="4BE4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2004D923">
            <w:pPr>
              <w:textAlignment w:val="center"/>
              <w:rPr>
                <w:rFonts w:ascii="仿宋" w:hAnsi="仿宋" w:eastAsia="仿宋" w:cs="仿宋"/>
                <w:color w:val="000000"/>
                <w:szCs w:val="21"/>
                <w:highlight w:val="none"/>
                <w:lang w:eastAsia="zh-CN"/>
              </w:rPr>
            </w:pPr>
          </w:p>
        </w:tc>
        <w:tc>
          <w:tcPr>
            <w:tcW w:w="1234" w:type="pct"/>
            <w:vAlign w:val="center"/>
          </w:tcPr>
          <w:p w14:paraId="0F24EE8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16中医科护士数与中医科开放床位数比（未开设中医科病房，本指标不适用）</w:t>
            </w:r>
          </w:p>
        </w:tc>
        <w:tc>
          <w:tcPr>
            <w:tcW w:w="1415" w:type="pct"/>
            <w:vAlign w:val="center"/>
          </w:tcPr>
          <w:p w14:paraId="68C4FD2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16.1中医科护士数与中医科开放床位数比</w:t>
            </w:r>
          </w:p>
        </w:tc>
        <w:tc>
          <w:tcPr>
            <w:tcW w:w="1718" w:type="pct"/>
            <w:vAlign w:val="center"/>
          </w:tcPr>
          <w:p w14:paraId="0EEFD5F7">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注册的中医科护士人数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同期中医科实际开放床位数</w:t>
            </w:r>
          </w:p>
        </w:tc>
      </w:tr>
      <w:tr w14:paraId="6B41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3123761">
            <w:pPr>
              <w:textAlignment w:val="center"/>
              <w:rPr>
                <w:rFonts w:ascii="仿宋" w:hAnsi="仿宋" w:eastAsia="仿宋" w:cs="仿宋"/>
                <w:color w:val="000000"/>
                <w:szCs w:val="21"/>
                <w:highlight w:val="none"/>
                <w:lang w:eastAsia="zh-CN"/>
              </w:rPr>
            </w:pPr>
          </w:p>
        </w:tc>
        <w:tc>
          <w:tcPr>
            <w:tcW w:w="1234" w:type="pct"/>
            <w:vAlign w:val="center"/>
          </w:tcPr>
          <w:p w14:paraId="1C8CFDA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17康复医学科开放床位数占医院开放床位数的比例</w:t>
            </w:r>
          </w:p>
        </w:tc>
        <w:tc>
          <w:tcPr>
            <w:tcW w:w="1415" w:type="pct"/>
            <w:vAlign w:val="center"/>
          </w:tcPr>
          <w:p w14:paraId="12D72F8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17.1康复医学科开放床位数占医院开放床位数的比例</w:t>
            </w:r>
          </w:p>
        </w:tc>
        <w:tc>
          <w:tcPr>
            <w:tcW w:w="1718" w:type="pct"/>
            <w:vAlign w:val="center"/>
          </w:tcPr>
          <w:p w14:paraId="6369EB8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康复科实际开放床位数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同期全院实际开放床位数</w:t>
            </w:r>
          </w:p>
        </w:tc>
      </w:tr>
      <w:tr w14:paraId="66DF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631" w:type="pct"/>
            <w:vMerge w:val="continue"/>
            <w:vAlign w:val="center"/>
          </w:tcPr>
          <w:p w14:paraId="6C984076">
            <w:pPr>
              <w:textAlignment w:val="center"/>
              <w:rPr>
                <w:rFonts w:ascii="仿宋" w:hAnsi="仿宋" w:eastAsia="仿宋" w:cs="仿宋"/>
                <w:color w:val="000000"/>
                <w:szCs w:val="21"/>
                <w:highlight w:val="none"/>
                <w:lang w:eastAsia="zh-CN"/>
              </w:rPr>
            </w:pPr>
          </w:p>
        </w:tc>
        <w:tc>
          <w:tcPr>
            <w:tcW w:w="1234" w:type="pct"/>
            <w:vAlign w:val="center"/>
          </w:tcPr>
          <w:p w14:paraId="007F6C2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18康复医学科医师数与康复医学科开放床位数比</w:t>
            </w:r>
          </w:p>
        </w:tc>
        <w:tc>
          <w:tcPr>
            <w:tcW w:w="1415" w:type="pct"/>
            <w:vAlign w:val="center"/>
          </w:tcPr>
          <w:p w14:paraId="70969AE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18.1康复医学科医师数与康复医学科开放床位数比</w:t>
            </w:r>
          </w:p>
        </w:tc>
        <w:tc>
          <w:tcPr>
            <w:tcW w:w="1718" w:type="pct"/>
            <w:vAlign w:val="center"/>
          </w:tcPr>
          <w:p w14:paraId="1FE13F3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注册的康复科在岗医师人数与同期康复科实际开放床位数的比值</w:t>
            </w:r>
          </w:p>
        </w:tc>
      </w:tr>
      <w:tr w14:paraId="1D87D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FCB66CD">
            <w:pPr>
              <w:textAlignment w:val="center"/>
              <w:rPr>
                <w:rFonts w:ascii="仿宋" w:hAnsi="仿宋" w:eastAsia="仿宋" w:cs="仿宋"/>
                <w:color w:val="000000"/>
                <w:szCs w:val="21"/>
                <w:highlight w:val="none"/>
                <w:lang w:eastAsia="zh-CN"/>
              </w:rPr>
            </w:pPr>
          </w:p>
        </w:tc>
        <w:tc>
          <w:tcPr>
            <w:tcW w:w="1234" w:type="pct"/>
            <w:vAlign w:val="center"/>
          </w:tcPr>
          <w:p w14:paraId="5D48BFC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19康复医学科康复师数与康复医学科开放床位数比</w:t>
            </w:r>
          </w:p>
        </w:tc>
        <w:tc>
          <w:tcPr>
            <w:tcW w:w="1415" w:type="pct"/>
            <w:vAlign w:val="center"/>
          </w:tcPr>
          <w:p w14:paraId="42A58C1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19.1康复医学科康复师数与康复医学科开放床位数比</w:t>
            </w:r>
          </w:p>
        </w:tc>
        <w:tc>
          <w:tcPr>
            <w:tcW w:w="1718" w:type="pct"/>
            <w:vAlign w:val="center"/>
          </w:tcPr>
          <w:p w14:paraId="5CF880A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康复科在岗康复师人数与同期康复科实际开放床位数的比值</w:t>
            </w:r>
          </w:p>
        </w:tc>
      </w:tr>
      <w:tr w14:paraId="5B70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13ABFE09">
            <w:pPr>
              <w:textAlignment w:val="center"/>
              <w:rPr>
                <w:rFonts w:ascii="仿宋" w:hAnsi="仿宋" w:eastAsia="仿宋" w:cs="仿宋"/>
                <w:color w:val="000000"/>
                <w:szCs w:val="21"/>
                <w:highlight w:val="none"/>
                <w:lang w:eastAsia="zh-CN"/>
              </w:rPr>
            </w:pPr>
          </w:p>
        </w:tc>
        <w:tc>
          <w:tcPr>
            <w:tcW w:w="1234" w:type="pct"/>
            <w:vAlign w:val="center"/>
          </w:tcPr>
          <w:p w14:paraId="2B7AA8A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20康复医学科护士数与康复医学科开放床位数比</w:t>
            </w:r>
          </w:p>
        </w:tc>
        <w:tc>
          <w:tcPr>
            <w:tcW w:w="1415" w:type="pct"/>
            <w:vAlign w:val="center"/>
          </w:tcPr>
          <w:p w14:paraId="50464A8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20.1康复医学科护士数与康复医学科开放床位数比</w:t>
            </w:r>
          </w:p>
        </w:tc>
        <w:tc>
          <w:tcPr>
            <w:tcW w:w="1718" w:type="pct"/>
            <w:vAlign w:val="center"/>
          </w:tcPr>
          <w:p w14:paraId="363F8C0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注册的康复医学科护士人数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同期康复医学科实际开放床位数</w:t>
            </w:r>
            <w:r>
              <w:rPr>
                <w:rFonts w:ascii="仿宋" w:hAnsi="仿宋" w:eastAsia="仿宋" w:cs="仿宋"/>
                <w:color w:val="000000"/>
                <w:szCs w:val="21"/>
                <w:highlight w:val="none"/>
                <w:lang w:eastAsia="zh-CN"/>
              </w:rPr>
              <w:t>×100%</w:t>
            </w:r>
          </w:p>
        </w:tc>
      </w:tr>
      <w:tr w14:paraId="5B21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238F3EBC">
            <w:pPr>
              <w:textAlignment w:val="center"/>
              <w:rPr>
                <w:rFonts w:ascii="仿宋" w:hAnsi="仿宋" w:eastAsia="仿宋" w:cs="仿宋"/>
                <w:color w:val="000000"/>
                <w:szCs w:val="21"/>
                <w:highlight w:val="none"/>
                <w:lang w:eastAsia="zh-CN"/>
              </w:rPr>
            </w:pPr>
          </w:p>
        </w:tc>
        <w:tc>
          <w:tcPr>
            <w:tcW w:w="1234" w:type="pct"/>
            <w:vAlign w:val="center"/>
          </w:tcPr>
          <w:p w14:paraId="38918D0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21感染性疾病科固定医师数占感染性疾病科在岗医师数的比例</w:t>
            </w:r>
          </w:p>
        </w:tc>
        <w:tc>
          <w:tcPr>
            <w:tcW w:w="1415" w:type="pct"/>
            <w:vAlign w:val="center"/>
          </w:tcPr>
          <w:p w14:paraId="0FEBAF0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21.1感染性疾病科固定医师数占感染性疾病科在岗医师数的比例</w:t>
            </w:r>
          </w:p>
        </w:tc>
        <w:tc>
          <w:tcPr>
            <w:tcW w:w="1718" w:type="pct"/>
            <w:vAlign w:val="center"/>
          </w:tcPr>
          <w:p w14:paraId="4EC4F59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注册的固定在感染性疾病科的在岗医师人数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同期感染性疾病科在岗医师总数</w:t>
            </w:r>
            <w:r>
              <w:rPr>
                <w:rFonts w:ascii="仿宋" w:hAnsi="仿宋" w:eastAsia="仿宋" w:cs="仿宋"/>
                <w:color w:val="000000"/>
                <w:szCs w:val="21"/>
                <w:highlight w:val="none"/>
                <w:lang w:eastAsia="zh-CN"/>
              </w:rPr>
              <w:t>×100%</w:t>
            </w:r>
          </w:p>
        </w:tc>
      </w:tr>
      <w:tr w14:paraId="380A2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0A516A32">
            <w:pPr>
              <w:textAlignment w:val="center"/>
              <w:rPr>
                <w:rFonts w:ascii="仿宋" w:hAnsi="仿宋" w:eastAsia="仿宋" w:cs="仿宋"/>
                <w:color w:val="000000"/>
                <w:szCs w:val="21"/>
                <w:highlight w:val="none"/>
                <w:lang w:eastAsia="zh-CN"/>
              </w:rPr>
            </w:pPr>
          </w:p>
        </w:tc>
        <w:tc>
          <w:tcPr>
            <w:tcW w:w="1234" w:type="pct"/>
            <w:vAlign w:val="center"/>
          </w:tcPr>
          <w:p w14:paraId="2429EFB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22感染性疾病科固定护士数占感染性疾病科在岗护士数的比例</w:t>
            </w:r>
          </w:p>
        </w:tc>
        <w:tc>
          <w:tcPr>
            <w:tcW w:w="1415" w:type="pct"/>
            <w:vAlign w:val="center"/>
          </w:tcPr>
          <w:p w14:paraId="142AE09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22.1感染性疾病科固定护士数占感染性疾病科在岗护士数的比例</w:t>
            </w:r>
          </w:p>
        </w:tc>
        <w:tc>
          <w:tcPr>
            <w:tcW w:w="1718" w:type="pct"/>
            <w:vAlign w:val="center"/>
          </w:tcPr>
          <w:p w14:paraId="2C7C9E4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注册地固定在感染性疾病科的在岗护士人数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同期感染性疾病科在岗护士总数</w:t>
            </w:r>
            <w:r>
              <w:rPr>
                <w:rFonts w:ascii="仿宋" w:hAnsi="仿宋" w:eastAsia="仿宋" w:cs="仿宋"/>
                <w:color w:val="000000"/>
                <w:szCs w:val="21"/>
                <w:highlight w:val="none"/>
                <w:lang w:eastAsia="zh-CN"/>
              </w:rPr>
              <w:t>×100%</w:t>
            </w:r>
          </w:p>
        </w:tc>
      </w:tr>
      <w:tr w14:paraId="13F07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49D06E23">
            <w:pPr>
              <w:textAlignment w:val="center"/>
              <w:rPr>
                <w:rFonts w:ascii="仿宋" w:hAnsi="仿宋" w:eastAsia="仿宋" w:cs="仿宋"/>
                <w:color w:val="000000"/>
                <w:szCs w:val="21"/>
                <w:highlight w:val="none"/>
                <w:lang w:eastAsia="zh-CN"/>
              </w:rPr>
            </w:pPr>
          </w:p>
        </w:tc>
        <w:tc>
          <w:tcPr>
            <w:tcW w:w="1234" w:type="pct"/>
            <w:vAlign w:val="center"/>
          </w:tcPr>
          <w:p w14:paraId="07B882C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23可转换感染性疾病床位数占医院开放床位数的比例</w:t>
            </w:r>
          </w:p>
        </w:tc>
        <w:tc>
          <w:tcPr>
            <w:tcW w:w="1415" w:type="pct"/>
            <w:vAlign w:val="center"/>
          </w:tcPr>
          <w:p w14:paraId="692CDE5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23.1可转换感染性疾病床位数占医院开放床位数的比例</w:t>
            </w:r>
          </w:p>
        </w:tc>
        <w:tc>
          <w:tcPr>
            <w:tcW w:w="1718" w:type="pct"/>
            <w:vAlign w:val="center"/>
          </w:tcPr>
          <w:p w14:paraId="366ABA77">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可转换感染性疾病开放床位数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同期全院实际开放床位数</w:t>
            </w:r>
            <w:r>
              <w:rPr>
                <w:rFonts w:ascii="仿宋" w:hAnsi="仿宋" w:eastAsia="仿宋" w:cs="仿宋"/>
                <w:color w:val="000000"/>
                <w:szCs w:val="21"/>
                <w:highlight w:val="none"/>
                <w:lang w:eastAsia="zh-CN"/>
              </w:rPr>
              <w:t>×100%</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可转换床位指制定工作预案和改造方案，一旦发生群体性感染性疾病可在</w:t>
            </w:r>
            <w:r>
              <w:rPr>
                <w:rFonts w:ascii="仿宋" w:hAnsi="仿宋" w:eastAsia="仿宋" w:cs="仿宋"/>
                <w:color w:val="000000"/>
                <w:szCs w:val="21"/>
                <w:highlight w:val="none"/>
                <w:lang w:eastAsia="zh-CN"/>
              </w:rPr>
              <w:t>48</w:t>
            </w:r>
            <w:r>
              <w:rPr>
                <w:rFonts w:hint="eastAsia" w:ascii="仿宋" w:hAnsi="仿宋" w:eastAsia="仿宋" w:cs="仿宋"/>
                <w:color w:val="000000"/>
                <w:szCs w:val="21"/>
                <w:highlight w:val="none"/>
                <w:lang w:eastAsia="zh-CN"/>
              </w:rPr>
              <w:t>小时之内按照传染病要求改造到位的床位。</w:t>
            </w:r>
          </w:p>
        </w:tc>
      </w:tr>
      <w:tr w14:paraId="45F5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0B8E0803">
            <w:pPr>
              <w:textAlignment w:val="center"/>
              <w:rPr>
                <w:rFonts w:ascii="仿宋" w:hAnsi="仿宋" w:eastAsia="仿宋" w:cs="仿宋"/>
                <w:color w:val="000000"/>
                <w:szCs w:val="21"/>
                <w:highlight w:val="none"/>
                <w:lang w:eastAsia="zh-CN"/>
              </w:rPr>
            </w:pPr>
          </w:p>
        </w:tc>
        <w:tc>
          <w:tcPr>
            <w:tcW w:w="1234" w:type="pct"/>
            <w:vAlign w:val="center"/>
          </w:tcPr>
          <w:p w14:paraId="2B7B772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24三级甲等综合医院应当设置全科医学科</w:t>
            </w:r>
          </w:p>
        </w:tc>
        <w:tc>
          <w:tcPr>
            <w:tcW w:w="1415" w:type="pct"/>
            <w:vAlign w:val="center"/>
          </w:tcPr>
          <w:p w14:paraId="3117B0F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1.3.</w:t>
            </w:r>
            <w:r>
              <w:rPr>
                <w:rFonts w:hint="eastAsia" w:ascii="仿宋" w:hAnsi="仿宋" w:eastAsia="仿宋" w:cs="仿宋"/>
                <w:color w:val="000000"/>
                <w:szCs w:val="21"/>
                <w:highlight w:val="none"/>
                <w:lang w:eastAsia="zh-CN"/>
              </w:rPr>
              <w:t>24.1三级甲等综合医院应当设置全科医学科</w:t>
            </w:r>
          </w:p>
        </w:tc>
        <w:tc>
          <w:tcPr>
            <w:tcW w:w="1718" w:type="pct"/>
            <w:vAlign w:val="center"/>
          </w:tcPr>
          <w:p w14:paraId="37944F3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全科医学科属一级临床科室，应当满足独立科室建制的必备条件，符合全科医疗、教学、分级诊疗、双向转诊等功能定位，具有承担全科医疗、教学、科研的相应能力，适应全科医生培训需求。</w:t>
            </w:r>
          </w:p>
        </w:tc>
      </w:tr>
      <w:tr w14:paraId="305E0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restart"/>
            <w:vAlign w:val="center"/>
          </w:tcPr>
          <w:p w14:paraId="150656A8">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1.4运行指标</w:t>
            </w:r>
          </w:p>
        </w:tc>
        <w:tc>
          <w:tcPr>
            <w:tcW w:w="1234" w:type="pct"/>
            <w:vAlign w:val="center"/>
          </w:tcPr>
          <w:p w14:paraId="65CFCE82">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1.4.1</w:t>
            </w:r>
            <w:r>
              <w:rPr>
                <w:rFonts w:hint="eastAsia" w:ascii="仿宋" w:hAnsi="仿宋" w:eastAsia="仿宋" w:cs="仿宋"/>
                <w:color w:val="000000"/>
                <w:szCs w:val="21"/>
                <w:highlight w:val="none"/>
              </w:rPr>
              <w:t>出院患者手术占比</w:t>
            </w:r>
          </w:p>
        </w:tc>
        <w:tc>
          <w:tcPr>
            <w:tcW w:w="1415" w:type="pct"/>
            <w:vAlign w:val="center"/>
          </w:tcPr>
          <w:p w14:paraId="7B0BA5AD">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1.4.1.1出院患者手术占比</w:t>
            </w:r>
          </w:p>
        </w:tc>
        <w:tc>
          <w:tcPr>
            <w:tcW w:w="1718" w:type="pct"/>
            <w:vAlign w:val="center"/>
          </w:tcPr>
          <w:p w14:paraId="50AD5C4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出院患者手术台次数/同期出院患者总人次数×100%</w:t>
            </w:r>
          </w:p>
        </w:tc>
      </w:tr>
      <w:tr w14:paraId="50B03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9C2E1AF">
            <w:pPr>
              <w:textAlignment w:val="center"/>
              <w:rPr>
                <w:rFonts w:ascii="仿宋" w:hAnsi="仿宋" w:eastAsia="仿宋" w:cs="仿宋"/>
                <w:color w:val="000000"/>
                <w:szCs w:val="21"/>
                <w:highlight w:val="none"/>
                <w:lang w:eastAsia="zh-CN"/>
              </w:rPr>
            </w:pPr>
          </w:p>
        </w:tc>
        <w:tc>
          <w:tcPr>
            <w:tcW w:w="1234" w:type="pct"/>
            <w:vAlign w:val="center"/>
          </w:tcPr>
          <w:p w14:paraId="5A928B60">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1.4.2开放床位使用率</w:t>
            </w:r>
          </w:p>
        </w:tc>
        <w:tc>
          <w:tcPr>
            <w:tcW w:w="1415" w:type="pct"/>
            <w:vAlign w:val="center"/>
          </w:tcPr>
          <w:p w14:paraId="7184AFAB">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1.4.2.1开放床位使用率</w:t>
            </w:r>
          </w:p>
        </w:tc>
        <w:tc>
          <w:tcPr>
            <w:tcW w:w="1718" w:type="pct"/>
            <w:vAlign w:val="center"/>
          </w:tcPr>
          <w:p w14:paraId="6916878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期内实际占用总床日数/同期实际开放总床日数×100%</w:t>
            </w:r>
          </w:p>
        </w:tc>
      </w:tr>
      <w:tr w14:paraId="0282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7428643">
            <w:pPr>
              <w:textAlignment w:val="center"/>
              <w:rPr>
                <w:rFonts w:ascii="仿宋" w:hAnsi="仿宋" w:eastAsia="仿宋" w:cs="仿宋"/>
                <w:color w:val="000000"/>
                <w:szCs w:val="21"/>
                <w:highlight w:val="none"/>
                <w:lang w:eastAsia="zh-CN"/>
              </w:rPr>
            </w:pPr>
          </w:p>
        </w:tc>
        <w:tc>
          <w:tcPr>
            <w:tcW w:w="1234" w:type="pct"/>
            <w:vAlign w:val="center"/>
          </w:tcPr>
          <w:p w14:paraId="4D0A09E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1.4.3人员支出占业务支出的比重</w:t>
            </w:r>
          </w:p>
        </w:tc>
        <w:tc>
          <w:tcPr>
            <w:tcW w:w="1415" w:type="pct"/>
            <w:vAlign w:val="center"/>
          </w:tcPr>
          <w:p w14:paraId="3F68D6E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1.4.3.1人员支出占业务支出的比重</w:t>
            </w:r>
          </w:p>
        </w:tc>
        <w:tc>
          <w:tcPr>
            <w:tcW w:w="1718" w:type="pct"/>
            <w:vAlign w:val="center"/>
          </w:tcPr>
          <w:p w14:paraId="6D6804A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人员经费/医疗活动费用×100%</w:t>
            </w:r>
          </w:p>
        </w:tc>
      </w:tr>
      <w:tr w14:paraId="1602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5E394FB">
            <w:pPr>
              <w:textAlignment w:val="center"/>
              <w:rPr>
                <w:rFonts w:ascii="仿宋" w:hAnsi="仿宋" w:eastAsia="仿宋" w:cs="仿宋"/>
                <w:color w:val="000000"/>
                <w:szCs w:val="21"/>
                <w:highlight w:val="none"/>
                <w:lang w:eastAsia="zh-CN"/>
              </w:rPr>
            </w:pPr>
          </w:p>
        </w:tc>
        <w:tc>
          <w:tcPr>
            <w:tcW w:w="1234" w:type="pct"/>
            <w:vAlign w:val="center"/>
          </w:tcPr>
          <w:p w14:paraId="3CFCB9A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1.4.4出院患者四级手术占比</w:t>
            </w:r>
          </w:p>
        </w:tc>
        <w:tc>
          <w:tcPr>
            <w:tcW w:w="1415" w:type="pct"/>
            <w:vAlign w:val="center"/>
          </w:tcPr>
          <w:p w14:paraId="7FF65E1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1.4.4.1出院患者四级手术占比</w:t>
            </w:r>
          </w:p>
        </w:tc>
        <w:tc>
          <w:tcPr>
            <w:tcW w:w="1718" w:type="pct"/>
            <w:vAlign w:val="center"/>
          </w:tcPr>
          <w:p w14:paraId="76C14CC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出院患者四级手术台次数/同期出院患者手术台次数×100%</w:t>
            </w:r>
          </w:p>
        </w:tc>
      </w:tr>
      <w:tr w14:paraId="5F3C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07D7366D">
            <w:pPr>
              <w:textAlignment w:val="center"/>
              <w:rPr>
                <w:rFonts w:ascii="仿宋" w:hAnsi="仿宋" w:eastAsia="仿宋" w:cs="仿宋"/>
                <w:color w:val="000000"/>
                <w:szCs w:val="21"/>
                <w:highlight w:val="none"/>
                <w:lang w:eastAsia="zh-CN"/>
              </w:rPr>
            </w:pPr>
          </w:p>
        </w:tc>
        <w:tc>
          <w:tcPr>
            <w:tcW w:w="1234" w:type="pct"/>
            <w:vAlign w:val="center"/>
          </w:tcPr>
          <w:p w14:paraId="1D70854A">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1.4.5</w:t>
            </w:r>
            <w:r>
              <w:rPr>
                <w:rFonts w:hint="eastAsia" w:ascii="仿宋" w:hAnsi="仿宋" w:eastAsia="仿宋" w:cs="仿宋"/>
                <w:color w:val="000000"/>
                <w:szCs w:val="21"/>
                <w:highlight w:val="none"/>
              </w:rPr>
              <w:t>资产负债率</w:t>
            </w:r>
          </w:p>
        </w:tc>
        <w:tc>
          <w:tcPr>
            <w:tcW w:w="1415" w:type="pct"/>
            <w:vAlign w:val="center"/>
          </w:tcPr>
          <w:p w14:paraId="33754FEE">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1.4.5.1资产负债率</w:t>
            </w:r>
          </w:p>
        </w:tc>
        <w:tc>
          <w:tcPr>
            <w:tcW w:w="1718" w:type="pct"/>
            <w:vAlign w:val="center"/>
          </w:tcPr>
          <w:p w14:paraId="554597C8">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负债合计/资产合计×100%</w:t>
            </w:r>
          </w:p>
        </w:tc>
      </w:tr>
      <w:tr w14:paraId="150C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0BE8BC11">
            <w:pPr>
              <w:textAlignment w:val="center"/>
              <w:rPr>
                <w:rFonts w:ascii="仿宋" w:hAnsi="仿宋" w:eastAsia="仿宋" w:cs="仿宋"/>
                <w:color w:val="000000"/>
                <w:szCs w:val="21"/>
                <w:highlight w:val="none"/>
              </w:rPr>
            </w:pPr>
          </w:p>
        </w:tc>
        <w:tc>
          <w:tcPr>
            <w:tcW w:w="1234" w:type="pct"/>
            <w:vAlign w:val="center"/>
          </w:tcPr>
          <w:p w14:paraId="1BF3E1B0">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1.4.6</w:t>
            </w:r>
            <w:r>
              <w:rPr>
                <w:rFonts w:hint="eastAsia" w:ascii="仿宋" w:hAnsi="仿宋" w:eastAsia="仿宋" w:cs="仿宋"/>
                <w:color w:val="000000"/>
                <w:szCs w:val="21"/>
                <w:highlight w:val="none"/>
              </w:rPr>
              <w:t>万元收入能耗支出</w:t>
            </w:r>
          </w:p>
        </w:tc>
        <w:tc>
          <w:tcPr>
            <w:tcW w:w="1415" w:type="pct"/>
            <w:vAlign w:val="center"/>
          </w:tcPr>
          <w:p w14:paraId="0D49D538">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w:t>
            </w:r>
            <w:r>
              <w:rPr>
                <w:rFonts w:hint="eastAsia" w:ascii="仿宋" w:hAnsi="仿宋" w:eastAsia="仿宋" w:cs="仿宋"/>
                <w:color w:val="000000"/>
                <w:szCs w:val="21"/>
                <w:highlight w:val="none"/>
              </w:rPr>
              <w:t>6</w:t>
            </w:r>
            <w:r>
              <w:rPr>
                <w:rFonts w:ascii="仿宋" w:hAnsi="仿宋" w:eastAsia="仿宋" w:cs="仿宋"/>
                <w:color w:val="000000"/>
                <w:szCs w:val="21"/>
                <w:highlight w:val="none"/>
              </w:rPr>
              <w:t>.</w:t>
            </w:r>
            <w:r>
              <w:rPr>
                <w:rFonts w:hint="eastAsia" w:ascii="仿宋" w:hAnsi="仿宋" w:eastAsia="仿宋" w:cs="仿宋"/>
                <w:color w:val="000000"/>
                <w:szCs w:val="21"/>
                <w:highlight w:val="none"/>
              </w:rPr>
              <w:t>1</w:t>
            </w:r>
            <w:r>
              <w:rPr>
                <w:rFonts w:ascii="仿宋" w:hAnsi="仿宋" w:eastAsia="仿宋" w:cs="仿宋"/>
                <w:color w:val="000000"/>
                <w:szCs w:val="21"/>
                <w:highlight w:val="none"/>
              </w:rPr>
              <w:t>万元收入能耗支出</w:t>
            </w:r>
          </w:p>
        </w:tc>
        <w:tc>
          <w:tcPr>
            <w:tcW w:w="1718" w:type="pct"/>
            <w:vAlign w:val="center"/>
          </w:tcPr>
          <w:p w14:paraId="3D1ED39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年总能耗支出/年总收入×10000</w:t>
            </w:r>
          </w:p>
        </w:tc>
      </w:tr>
      <w:tr w14:paraId="3300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3928143F">
            <w:pPr>
              <w:textAlignment w:val="center"/>
              <w:rPr>
                <w:rFonts w:ascii="仿宋" w:hAnsi="仿宋" w:eastAsia="仿宋" w:cs="仿宋"/>
                <w:color w:val="000000"/>
                <w:szCs w:val="21"/>
                <w:highlight w:val="none"/>
                <w:lang w:eastAsia="zh-CN"/>
              </w:rPr>
            </w:pPr>
          </w:p>
        </w:tc>
        <w:tc>
          <w:tcPr>
            <w:tcW w:w="1234" w:type="pct"/>
            <w:vAlign w:val="center"/>
          </w:tcPr>
          <w:p w14:paraId="6AC1611F">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1.4.7</w:t>
            </w:r>
            <w:r>
              <w:rPr>
                <w:rFonts w:hint="eastAsia" w:ascii="仿宋" w:hAnsi="仿宋" w:eastAsia="仿宋" w:cs="仿宋"/>
                <w:color w:val="000000"/>
                <w:szCs w:val="21"/>
                <w:highlight w:val="none"/>
              </w:rPr>
              <w:t>医疗服务收入占比</w:t>
            </w:r>
          </w:p>
        </w:tc>
        <w:tc>
          <w:tcPr>
            <w:tcW w:w="1415" w:type="pct"/>
            <w:vAlign w:val="center"/>
          </w:tcPr>
          <w:p w14:paraId="757B2E1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1.4.</w:t>
            </w:r>
            <w:r>
              <w:rPr>
                <w:rFonts w:hint="eastAsia" w:ascii="仿宋" w:hAnsi="仿宋" w:eastAsia="仿宋" w:cs="仿宋"/>
                <w:color w:val="000000"/>
                <w:szCs w:val="21"/>
                <w:highlight w:val="none"/>
                <w:lang w:eastAsia="zh-CN"/>
              </w:rPr>
              <w:t>7</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医疗服务收入（不含药品、卫生材料、检查检验收入）占医疗收入比例</w:t>
            </w:r>
          </w:p>
        </w:tc>
        <w:tc>
          <w:tcPr>
            <w:tcW w:w="1718" w:type="pct"/>
            <w:vAlign w:val="center"/>
          </w:tcPr>
          <w:p w14:paraId="24DA194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医疗服务收入（不含药品、卫生材料、检查检验收入）/医疗收入×100%</w:t>
            </w:r>
          </w:p>
          <w:p w14:paraId="316D78E8">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经病例组合指数</w:t>
            </w:r>
            <w:r>
              <w:rPr>
                <w:rFonts w:hint="eastAsia" w:ascii="仿宋" w:hAnsi="仿宋" w:eastAsia="仿宋" w:cs="仿宋"/>
                <w:color w:val="000000"/>
                <w:szCs w:val="21"/>
                <w:highlight w:val="none"/>
                <w:lang w:eastAsia="zh-CN"/>
              </w:rPr>
              <w:t>(Case Mix Index，</w:t>
            </w:r>
            <w:r>
              <w:rPr>
                <w:rFonts w:hint="eastAsia" w:ascii="仿宋" w:hAnsi="仿宋" w:eastAsia="仿宋" w:cs="仿宋"/>
                <w:color w:val="000000"/>
                <w:szCs w:val="21"/>
                <w:highlight w:val="none"/>
              </w:rPr>
              <w:t>CMI</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校正</w:t>
            </w:r>
          </w:p>
        </w:tc>
      </w:tr>
      <w:tr w14:paraId="41555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D4D1A10">
            <w:pPr>
              <w:textAlignment w:val="center"/>
              <w:rPr>
                <w:rFonts w:ascii="仿宋" w:hAnsi="仿宋" w:eastAsia="仿宋" w:cs="仿宋"/>
                <w:color w:val="000000"/>
                <w:szCs w:val="21"/>
                <w:highlight w:val="none"/>
              </w:rPr>
            </w:pPr>
          </w:p>
        </w:tc>
        <w:tc>
          <w:tcPr>
            <w:tcW w:w="1234" w:type="pct"/>
            <w:vMerge w:val="restart"/>
            <w:vAlign w:val="center"/>
          </w:tcPr>
          <w:p w14:paraId="125E5EDF">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1.4.8</w:t>
            </w:r>
            <w:r>
              <w:rPr>
                <w:rFonts w:hint="eastAsia" w:ascii="仿宋" w:hAnsi="仿宋" w:eastAsia="仿宋" w:cs="仿宋"/>
                <w:color w:val="000000"/>
                <w:szCs w:val="21"/>
                <w:highlight w:val="none"/>
              </w:rPr>
              <w:t>次均费用增幅情况</w:t>
            </w:r>
          </w:p>
        </w:tc>
        <w:tc>
          <w:tcPr>
            <w:tcW w:w="1415" w:type="pct"/>
            <w:vAlign w:val="center"/>
          </w:tcPr>
          <w:p w14:paraId="036510F0">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w:t>
            </w:r>
            <w:r>
              <w:rPr>
                <w:rFonts w:hint="eastAsia" w:ascii="仿宋" w:hAnsi="仿宋" w:eastAsia="仿宋" w:cs="仿宋"/>
                <w:color w:val="000000"/>
                <w:szCs w:val="21"/>
                <w:highlight w:val="none"/>
              </w:rPr>
              <w:t>8</w:t>
            </w:r>
            <w:r>
              <w:rPr>
                <w:rFonts w:ascii="仿宋" w:hAnsi="仿宋" w:eastAsia="仿宋" w:cs="仿宋"/>
                <w:color w:val="000000"/>
                <w:szCs w:val="21"/>
                <w:highlight w:val="none"/>
              </w:rPr>
              <w:t>.</w:t>
            </w:r>
            <w:r>
              <w:rPr>
                <w:rFonts w:hint="eastAsia" w:ascii="仿宋" w:hAnsi="仿宋" w:eastAsia="仿宋" w:cs="仿宋"/>
                <w:color w:val="000000"/>
                <w:szCs w:val="21"/>
                <w:highlight w:val="none"/>
              </w:rPr>
              <w:t>1</w:t>
            </w:r>
            <w:r>
              <w:rPr>
                <w:rFonts w:ascii="仿宋" w:hAnsi="仿宋" w:eastAsia="仿宋" w:cs="仿宋"/>
                <w:color w:val="000000"/>
                <w:szCs w:val="21"/>
                <w:highlight w:val="none"/>
              </w:rPr>
              <w:t>门诊次均费用增幅</w:t>
            </w:r>
          </w:p>
        </w:tc>
        <w:tc>
          <w:tcPr>
            <w:tcW w:w="1718" w:type="pct"/>
            <w:vAlign w:val="center"/>
          </w:tcPr>
          <w:p w14:paraId="1486A9A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（本年度门诊患者次均费用－上一年度门诊患者次均费用）/上一年度门诊患者次均费用×100%</w:t>
            </w:r>
          </w:p>
          <w:p w14:paraId="0AFAF0C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（经CMI校正,剔除有关项后的门诊次均费用增幅）</w:t>
            </w:r>
          </w:p>
        </w:tc>
      </w:tr>
      <w:tr w14:paraId="1E9B0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527330E">
            <w:pPr>
              <w:textAlignment w:val="center"/>
              <w:rPr>
                <w:rFonts w:ascii="仿宋" w:hAnsi="仿宋" w:eastAsia="仿宋" w:cs="仿宋"/>
                <w:color w:val="000000"/>
                <w:szCs w:val="21"/>
                <w:highlight w:val="none"/>
                <w:lang w:eastAsia="zh-CN"/>
              </w:rPr>
            </w:pPr>
          </w:p>
        </w:tc>
        <w:tc>
          <w:tcPr>
            <w:tcW w:w="1234" w:type="pct"/>
            <w:vMerge w:val="continue"/>
            <w:vAlign w:val="center"/>
          </w:tcPr>
          <w:p w14:paraId="0EAA649B">
            <w:pPr>
              <w:textAlignment w:val="center"/>
              <w:rPr>
                <w:rFonts w:ascii="仿宋" w:hAnsi="仿宋" w:eastAsia="仿宋" w:cs="仿宋"/>
                <w:color w:val="000000"/>
                <w:szCs w:val="21"/>
                <w:highlight w:val="none"/>
                <w:lang w:eastAsia="zh-CN"/>
              </w:rPr>
            </w:pPr>
          </w:p>
        </w:tc>
        <w:tc>
          <w:tcPr>
            <w:tcW w:w="1415" w:type="pct"/>
            <w:vAlign w:val="center"/>
          </w:tcPr>
          <w:p w14:paraId="7DC824C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1.4.</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2</w:t>
            </w:r>
            <w:r>
              <w:rPr>
                <w:rFonts w:ascii="仿宋" w:hAnsi="仿宋" w:eastAsia="仿宋" w:cs="仿宋"/>
                <w:color w:val="000000"/>
                <w:szCs w:val="21"/>
                <w:highlight w:val="none"/>
                <w:lang w:eastAsia="zh-CN"/>
              </w:rPr>
              <w:t>门诊次均药品费用增幅</w:t>
            </w:r>
          </w:p>
        </w:tc>
        <w:tc>
          <w:tcPr>
            <w:tcW w:w="1718" w:type="pct"/>
            <w:vAlign w:val="center"/>
          </w:tcPr>
          <w:p w14:paraId="7042C98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（本年度门诊患者次均药品费用-上一年度门诊患者次均药品费用）/上一年度门诊患者次均药品费用×100%</w:t>
            </w:r>
          </w:p>
          <w:p w14:paraId="6A63E7F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（剔除有关项后的门诊次均药品费用增幅）</w:t>
            </w:r>
          </w:p>
        </w:tc>
      </w:tr>
      <w:tr w14:paraId="3BF9B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2667B7E">
            <w:pPr>
              <w:textAlignment w:val="center"/>
              <w:rPr>
                <w:rFonts w:ascii="仿宋" w:hAnsi="仿宋" w:eastAsia="仿宋" w:cs="仿宋"/>
                <w:color w:val="000000"/>
                <w:szCs w:val="21"/>
                <w:highlight w:val="none"/>
                <w:lang w:eastAsia="zh-CN"/>
              </w:rPr>
            </w:pPr>
          </w:p>
        </w:tc>
        <w:tc>
          <w:tcPr>
            <w:tcW w:w="1234" w:type="pct"/>
            <w:vMerge w:val="continue"/>
            <w:vAlign w:val="center"/>
          </w:tcPr>
          <w:p w14:paraId="454515D8">
            <w:pPr>
              <w:textAlignment w:val="center"/>
              <w:rPr>
                <w:rFonts w:ascii="仿宋" w:hAnsi="仿宋" w:eastAsia="仿宋" w:cs="仿宋"/>
                <w:color w:val="000000"/>
                <w:szCs w:val="21"/>
                <w:highlight w:val="none"/>
                <w:lang w:eastAsia="zh-CN"/>
              </w:rPr>
            </w:pPr>
          </w:p>
        </w:tc>
        <w:tc>
          <w:tcPr>
            <w:tcW w:w="1415" w:type="pct"/>
            <w:vAlign w:val="center"/>
          </w:tcPr>
          <w:p w14:paraId="5DD1BCE6">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1.4.</w:t>
            </w:r>
            <w:r>
              <w:rPr>
                <w:rFonts w:hint="eastAsia" w:ascii="仿宋" w:hAnsi="仿宋" w:eastAsia="仿宋" w:cs="仿宋"/>
                <w:color w:val="000000"/>
                <w:szCs w:val="21"/>
                <w:highlight w:val="none"/>
              </w:rPr>
              <w:t>8</w:t>
            </w:r>
            <w:r>
              <w:rPr>
                <w:rFonts w:ascii="仿宋" w:hAnsi="仿宋" w:eastAsia="仿宋" w:cs="仿宋"/>
                <w:color w:val="000000"/>
                <w:szCs w:val="21"/>
                <w:highlight w:val="none"/>
              </w:rPr>
              <w:t>.</w:t>
            </w:r>
            <w:r>
              <w:rPr>
                <w:rFonts w:hint="eastAsia" w:ascii="仿宋" w:hAnsi="仿宋" w:eastAsia="仿宋" w:cs="仿宋"/>
                <w:color w:val="000000"/>
                <w:szCs w:val="21"/>
                <w:highlight w:val="none"/>
              </w:rPr>
              <w:t>3</w:t>
            </w:r>
            <w:r>
              <w:rPr>
                <w:rFonts w:ascii="仿宋" w:hAnsi="仿宋" w:eastAsia="仿宋" w:cs="仿宋"/>
                <w:color w:val="000000"/>
                <w:szCs w:val="21"/>
                <w:highlight w:val="none"/>
              </w:rPr>
              <w:t>住院次均费用增幅</w:t>
            </w:r>
          </w:p>
        </w:tc>
        <w:tc>
          <w:tcPr>
            <w:tcW w:w="1718" w:type="pct"/>
            <w:vAlign w:val="center"/>
          </w:tcPr>
          <w:p w14:paraId="6C88443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（本年度出院患者次均费用－上一年度出院患者次均费用）/上一年度出院患者次均费用×100%</w:t>
            </w:r>
          </w:p>
          <w:p w14:paraId="6758C63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（经CMI校正,剔除有关项后的</w:t>
            </w:r>
            <w:r>
              <w:rPr>
                <w:rFonts w:ascii="仿宋" w:hAnsi="仿宋" w:eastAsia="仿宋" w:cs="仿宋"/>
                <w:color w:val="000000"/>
                <w:szCs w:val="21"/>
                <w:highlight w:val="none"/>
                <w:lang w:eastAsia="zh-CN"/>
              </w:rPr>
              <w:t>住院次均费用增幅</w:t>
            </w:r>
            <w:r>
              <w:rPr>
                <w:rFonts w:hint="eastAsia" w:ascii="仿宋" w:hAnsi="仿宋" w:eastAsia="仿宋" w:cs="仿宋"/>
                <w:color w:val="000000"/>
                <w:szCs w:val="21"/>
                <w:highlight w:val="none"/>
                <w:lang w:eastAsia="zh-CN"/>
              </w:rPr>
              <w:t>）</w:t>
            </w:r>
          </w:p>
        </w:tc>
      </w:tr>
      <w:tr w14:paraId="638C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19E888BD">
            <w:pPr>
              <w:textAlignment w:val="center"/>
              <w:rPr>
                <w:rFonts w:ascii="仿宋" w:hAnsi="仿宋" w:eastAsia="仿宋" w:cs="仿宋"/>
                <w:color w:val="000000"/>
                <w:szCs w:val="21"/>
                <w:highlight w:val="none"/>
                <w:lang w:eastAsia="zh-CN"/>
              </w:rPr>
            </w:pPr>
          </w:p>
        </w:tc>
        <w:tc>
          <w:tcPr>
            <w:tcW w:w="1234" w:type="pct"/>
            <w:vMerge w:val="continue"/>
            <w:vAlign w:val="center"/>
          </w:tcPr>
          <w:p w14:paraId="58E52B70">
            <w:pPr>
              <w:textAlignment w:val="center"/>
              <w:rPr>
                <w:rFonts w:ascii="仿宋" w:hAnsi="仿宋" w:eastAsia="仿宋" w:cs="仿宋"/>
                <w:color w:val="000000"/>
                <w:szCs w:val="21"/>
                <w:highlight w:val="none"/>
                <w:lang w:eastAsia="zh-CN"/>
              </w:rPr>
            </w:pPr>
          </w:p>
        </w:tc>
        <w:tc>
          <w:tcPr>
            <w:tcW w:w="1415" w:type="pct"/>
            <w:vAlign w:val="center"/>
          </w:tcPr>
          <w:p w14:paraId="79355DA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1.4.</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住院次均药品费用增幅</w:t>
            </w:r>
          </w:p>
        </w:tc>
        <w:tc>
          <w:tcPr>
            <w:tcW w:w="1718" w:type="pct"/>
            <w:vAlign w:val="center"/>
          </w:tcPr>
          <w:p w14:paraId="21CA072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（本年度出院患者次均药品费用－上一年度出院患者次均药品费用）/上一年度出院患者次均药品费用×100%</w:t>
            </w:r>
          </w:p>
          <w:p w14:paraId="711A316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（剔除有关项后的住院次均药品费用增幅）</w:t>
            </w:r>
          </w:p>
        </w:tc>
      </w:tr>
      <w:tr w14:paraId="6008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restart"/>
            <w:vAlign w:val="center"/>
          </w:tcPr>
          <w:p w14:paraId="36205387">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1.5科研指标</w:t>
            </w:r>
          </w:p>
        </w:tc>
        <w:tc>
          <w:tcPr>
            <w:tcW w:w="1234" w:type="pct"/>
            <w:vAlign w:val="center"/>
          </w:tcPr>
          <w:p w14:paraId="423B98B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1.5.1每百名卫生技术人员科</w:t>
            </w:r>
            <w:r>
              <w:rPr>
                <w:rFonts w:hint="eastAsia" w:ascii="仿宋" w:hAnsi="仿宋" w:eastAsia="仿宋" w:cs="仿宋"/>
                <w:color w:val="000000"/>
                <w:szCs w:val="21"/>
                <w:highlight w:val="none"/>
                <w:lang w:eastAsia="zh-CN"/>
              </w:rPr>
              <w:t>技</w:t>
            </w:r>
            <w:r>
              <w:rPr>
                <w:rFonts w:ascii="仿宋" w:hAnsi="仿宋" w:eastAsia="仿宋" w:cs="仿宋"/>
                <w:color w:val="000000"/>
                <w:szCs w:val="21"/>
                <w:highlight w:val="none"/>
                <w:lang w:eastAsia="zh-CN"/>
              </w:rPr>
              <w:t>成果转化金额</w:t>
            </w:r>
          </w:p>
        </w:tc>
        <w:tc>
          <w:tcPr>
            <w:tcW w:w="1415" w:type="pct"/>
            <w:vAlign w:val="center"/>
          </w:tcPr>
          <w:p w14:paraId="672D83F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1.5.1.1每百名卫生技术人员科</w:t>
            </w:r>
            <w:r>
              <w:rPr>
                <w:rFonts w:hint="eastAsia" w:ascii="仿宋" w:hAnsi="仿宋" w:eastAsia="仿宋" w:cs="仿宋"/>
                <w:color w:val="000000"/>
                <w:szCs w:val="21"/>
                <w:highlight w:val="none"/>
                <w:lang w:eastAsia="zh-CN"/>
              </w:rPr>
              <w:t>技</w:t>
            </w:r>
            <w:r>
              <w:rPr>
                <w:rFonts w:ascii="仿宋" w:hAnsi="仿宋" w:eastAsia="仿宋" w:cs="仿宋"/>
                <w:color w:val="000000"/>
                <w:szCs w:val="21"/>
                <w:highlight w:val="none"/>
                <w:lang w:eastAsia="zh-CN"/>
              </w:rPr>
              <w:t>成果转化金额</w:t>
            </w:r>
          </w:p>
        </w:tc>
        <w:tc>
          <w:tcPr>
            <w:tcW w:w="1718" w:type="pct"/>
            <w:vAlign w:val="center"/>
          </w:tcPr>
          <w:p w14:paraId="36A9D0F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年度科技成果转化总金额/同期医院卫生技术人员总数×100%</w:t>
            </w:r>
          </w:p>
        </w:tc>
      </w:tr>
      <w:tr w14:paraId="0E0A1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A207BE7">
            <w:pPr>
              <w:textAlignment w:val="center"/>
              <w:rPr>
                <w:rFonts w:ascii="仿宋" w:hAnsi="仿宋" w:eastAsia="仿宋" w:cs="仿宋"/>
                <w:color w:val="000000"/>
                <w:szCs w:val="21"/>
                <w:highlight w:val="none"/>
                <w:lang w:eastAsia="zh-CN"/>
              </w:rPr>
            </w:pPr>
          </w:p>
        </w:tc>
        <w:tc>
          <w:tcPr>
            <w:tcW w:w="1234" w:type="pct"/>
            <w:vAlign w:val="center"/>
          </w:tcPr>
          <w:p w14:paraId="04622101">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1.5.2 开展临床试验的数量</w:t>
            </w:r>
          </w:p>
        </w:tc>
        <w:tc>
          <w:tcPr>
            <w:tcW w:w="1415" w:type="pct"/>
            <w:vAlign w:val="center"/>
          </w:tcPr>
          <w:p w14:paraId="3BC61A9A">
            <w:pPr>
              <w:textAlignment w:val="center"/>
              <w:rPr>
                <w:rFonts w:ascii="仿宋" w:hAnsi="仿宋" w:cs="仿宋"/>
                <w:color w:val="000000"/>
                <w:szCs w:val="21"/>
                <w:highlight w:val="none"/>
                <w:lang w:eastAsia="zh-CN"/>
              </w:rPr>
            </w:pPr>
            <w:r>
              <w:rPr>
                <w:rFonts w:hint="eastAsia" w:ascii="仿宋" w:hAnsi="仿宋" w:eastAsia="仿宋" w:cs="仿宋"/>
                <w:color w:val="000000"/>
                <w:szCs w:val="21"/>
                <w:highlight w:val="none"/>
                <w:lang w:eastAsia="zh-CN"/>
              </w:rPr>
              <w:t>1.5.2.1开展</w:t>
            </w:r>
            <w:r>
              <w:rPr>
                <w:rFonts w:ascii="仿宋" w:hAnsi="仿宋" w:eastAsia="仿宋" w:cs="仿宋"/>
                <w:color w:val="000000"/>
                <w:szCs w:val="21"/>
                <w:highlight w:val="none"/>
                <w:lang w:eastAsia="zh-CN"/>
              </w:rPr>
              <w:t>药物、医疗器械临床试验</w:t>
            </w:r>
            <w:r>
              <w:rPr>
                <w:rFonts w:hint="eastAsia" w:ascii="仿宋" w:hAnsi="仿宋" w:eastAsia="仿宋" w:cs="仿宋"/>
                <w:color w:val="000000"/>
                <w:szCs w:val="21"/>
                <w:highlight w:val="none"/>
                <w:lang w:eastAsia="zh-CN"/>
              </w:rPr>
              <w:t>的数量</w:t>
            </w:r>
          </w:p>
        </w:tc>
        <w:tc>
          <w:tcPr>
            <w:tcW w:w="1718" w:type="pct"/>
            <w:vAlign w:val="center"/>
          </w:tcPr>
          <w:p w14:paraId="7793FD2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年度开展</w:t>
            </w:r>
            <w:r>
              <w:rPr>
                <w:rFonts w:ascii="仿宋" w:hAnsi="仿宋" w:eastAsia="仿宋" w:cs="仿宋"/>
                <w:color w:val="000000"/>
                <w:szCs w:val="21"/>
                <w:highlight w:val="none"/>
                <w:lang w:eastAsia="zh-CN"/>
              </w:rPr>
              <w:t>药物、医疗器械临床试验</w:t>
            </w:r>
            <w:r>
              <w:rPr>
                <w:rFonts w:hint="eastAsia" w:ascii="仿宋" w:hAnsi="仿宋" w:eastAsia="仿宋" w:cs="仿宋"/>
                <w:color w:val="000000"/>
                <w:szCs w:val="21"/>
                <w:highlight w:val="none"/>
                <w:lang w:eastAsia="zh-CN"/>
              </w:rPr>
              <w:t>的数量</w:t>
            </w:r>
          </w:p>
        </w:tc>
      </w:tr>
      <w:tr w14:paraId="1F9A9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restart"/>
            <w:vAlign w:val="center"/>
          </w:tcPr>
          <w:p w14:paraId="60AC1088">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1.6信息化指标</w:t>
            </w:r>
          </w:p>
        </w:tc>
        <w:tc>
          <w:tcPr>
            <w:tcW w:w="1234" w:type="pct"/>
            <w:vMerge w:val="restart"/>
            <w:vAlign w:val="center"/>
          </w:tcPr>
          <w:p w14:paraId="7140477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1.6.1医院信息平台与省统筹区域全民健康信息等平台互通共享情况</w:t>
            </w:r>
          </w:p>
        </w:tc>
        <w:tc>
          <w:tcPr>
            <w:tcW w:w="1415" w:type="pct"/>
            <w:vAlign w:val="center"/>
          </w:tcPr>
          <w:p w14:paraId="5AE258B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1.6.1.</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医院信息互联互通标准化成熟度评级</w:t>
            </w:r>
          </w:p>
        </w:tc>
        <w:tc>
          <w:tcPr>
            <w:tcW w:w="1718" w:type="pct"/>
            <w:vAlign w:val="center"/>
          </w:tcPr>
          <w:p w14:paraId="150EA49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医院信息互联互通标准化成熟度评级进行评价</w:t>
            </w:r>
          </w:p>
        </w:tc>
      </w:tr>
      <w:tr w14:paraId="3151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34838375">
            <w:pPr>
              <w:textAlignment w:val="center"/>
              <w:rPr>
                <w:rFonts w:ascii="仿宋" w:hAnsi="仿宋" w:eastAsia="仿宋" w:cs="仿宋"/>
                <w:color w:val="000000"/>
                <w:szCs w:val="21"/>
                <w:highlight w:val="none"/>
                <w:lang w:eastAsia="zh-CN"/>
              </w:rPr>
            </w:pPr>
          </w:p>
        </w:tc>
        <w:tc>
          <w:tcPr>
            <w:tcW w:w="1234" w:type="pct"/>
            <w:vMerge w:val="continue"/>
            <w:vAlign w:val="center"/>
          </w:tcPr>
          <w:p w14:paraId="333785B2">
            <w:pPr>
              <w:textAlignment w:val="center"/>
              <w:rPr>
                <w:rFonts w:ascii="仿宋" w:hAnsi="仿宋" w:eastAsia="仿宋" w:cs="仿宋"/>
                <w:color w:val="000000"/>
                <w:szCs w:val="21"/>
                <w:highlight w:val="none"/>
                <w:lang w:eastAsia="zh-CN"/>
              </w:rPr>
            </w:pPr>
          </w:p>
        </w:tc>
        <w:tc>
          <w:tcPr>
            <w:tcW w:w="1415" w:type="pct"/>
            <w:vAlign w:val="center"/>
          </w:tcPr>
          <w:p w14:paraId="4ABEF36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1.6.1.2医院影像系统与省统筹卫生健康云影像平台互通共享情况</w:t>
            </w:r>
          </w:p>
        </w:tc>
        <w:tc>
          <w:tcPr>
            <w:tcW w:w="1718" w:type="pct"/>
            <w:vAlign w:val="center"/>
          </w:tcPr>
          <w:p w14:paraId="7633F1A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影像匹配率、检查报告完整性、数据一致性、数据关联率、值域符合率、与省平台关联率等。</w:t>
            </w:r>
          </w:p>
        </w:tc>
      </w:tr>
      <w:tr w14:paraId="530A1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607A2FE">
            <w:pPr>
              <w:textAlignment w:val="center"/>
              <w:rPr>
                <w:rFonts w:ascii="仿宋" w:hAnsi="仿宋" w:eastAsia="仿宋" w:cs="仿宋"/>
                <w:color w:val="000000"/>
                <w:szCs w:val="21"/>
                <w:highlight w:val="none"/>
                <w:lang w:eastAsia="zh-CN"/>
              </w:rPr>
            </w:pPr>
          </w:p>
        </w:tc>
        <w:tc>
          <w:tcPr>
            <w:tcW w:w="1234" w:type="pct"/>
            <w:vMerge w:val="continue"/>
            <w:vAlign w:val="center"/>
          </w:tcPr>
          <w:p w14:paraId="7A93FDCC">
            <w:pPr>
              <w:textAlignment w:val="center"/>
              <w:rPr>
                <w:rFonts w:ascii="仿宋" w:hAnsi="仿宋" w:eastAsia="仿宋" w:cs="仿宋"/>
                <w:color w:val="000000"/>
                <w:szCs w:val="21"/>
                <w:highlight w:val="none"/>
                <w:lang w:eastAsia="zh-CN"/>
              </w:rPr>
            </w:pPr>
          </w:p>
        </w:tc>
        <w:tc>
          <w:tcPr>
            <w:tcW w:w="1415" w:type="pct"/>
            <w:vAlign w:val="center"/>
          </w:tcPr>
          <w:p w14:paraId="33F15DE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1.6.1.3医院检验系统与省统筹卫生健康云临床检验平台互通共享情况</w:t>
            </w:r>
          </w:p>
        </w:tc>
        <w:tc>
          <w:tcPr>
            <w:tcW w:w="1718" w:type="pct"/>
            <w:vAlign w:val="center"/>
          </w:tcPr>
          <w:p w14:paraId="2EA8607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检查报告完整性、数据一致性、数据关联率、值域符合率、与省平台关联率等</w:t>
            </w:r>
            <w:r>
              <w:rPr>
                <w:rFonts w:hint="eastAsia" w:ascii="仿宋" w:hAnsi="仿宋" w:eastAsia="仿宋" w:cs="仿宋"/>
                <w:color w:val="000000"/>
                <w:szCs w:val="21"/>
                <w:highlight w:val="none"/>
                <w:lang w:eastAsia="zh-CN"/>
              </w:rPr>
              <w:t>。</w:t>
            </w:r>
          </w:p>
        </w:tc>
      </w:tr>
      <w:tr w14:paraId="4B5C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restart"/>
            <w:vAlign w:val="center"/>
          </w:tcPr>
          <w:p w14:paraId="66DC9D1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1.7医院管理制度建设及执行情况指标</w:t>
            </w:r>
          </w:p>
        </w:tc>
        <w:tc>
          <w:tcPr>
            <w:tcW w:w="1234" w:type="pct"/>
            <w:vMerge w:val="restart"/>
            <w:vAlign w:val="center"/>
          </w:tcPr>
          <w:p w14:paraId="17F9B5E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1.7.1依据医院的功能任务，确定医院的发展目标和中长期发展规划及执行情况</w:t>
            </w:r>
          </w:p>
        </w:tc>
        <w:tc>
          <w:tcPr>
            <w:tcW w:w="1415" w:type="pct"/>
            <w:vAlign w:val="center"/>
          </w:tcPr>
          <w:p w14:paraId="3A92CF3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1.7.1.1医院功能与任务，符合本区域发展规划</w:t>
            </w:r>
          </w:p>
        </w:tc>
        <w:tc>
          <w:tcPr>
            <w:tcW w:w="1718" w:type="pct"/>
            <w:vAlign w:val="center"/>
          </w:tcPr>
          <w:p w14:paraId="28C6940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1.医院有明确的功能和任务，符合本区域发展规划</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2.具有提供全面连续的医疗护理、预防保健、康复医疗、临床教学及科研等能力</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3.完成政府、社会需要的指定事项、工作或年度政府指令性任务</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4.医院功能和任务与本地区发展规划相一致，分解落实到相对应的职能部门</w:t>
            </w:r>
            <w:r>
              <w:rPr>
                <w:rFonts w:hint="eastAsia" w:ascii="仿宋" w:hAnsi="仿宋" w:eastAsia="仿宋" w:cs="仿宋"/>
                <w:color w:val="000000"/>
                <w:szCs w:val="21"/>
                <w:highlight w:val="none"/>
                <w:lang w:eastAsia="zh-CN"/>
              </w:rPr>
              <w:t>。</w:t>
            </w:r>
          </w:p>
        </w:tc>
      </w:tr>
      <w:tr w14:paraId="23C9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2D8FD88F">
            <w:pPr>
              <w:textAlignment w:val="center"/>
              <w:rPr>
                <w:rFonts w:ascii="仿宋" w:hAnsi="仿宋" w:eastAsia="仿宋" w:cs="仿宋"/>
                <w:color w:val="000000"/>
                <w:szCs w:val="21"/>
                <w:highlight w:val="none"/>
                <w:lang w:eastAsia="zh-CN"/>
              </w:rPr>
            </w:pPr>
          </w:p>
        </w:tc>
        <w:tc>
          <w:tcPr>
            <w:tcW w:w="1234" w:type="pct"/>
            <w:vMerge w:val="continue"/>
            <w:vAlign w:val="center"/>
          </w:tcPr>
          <w:p w14:paraId="451D4A30">
            <w:pPr>
              <w:textAlignment w:val="center"/>
              <w:rPr>
                <w:rFonts w:ascii="仿宋" w:hAnsi="仿宋" w:eastAsia="仿宋" w:cs="仿宋"/>
                <w:color w:val="000000"/>
                <w:szCs w:val="21"/>
                <w:highlight w:val="none"/>
                <w:lang w:eastAsia="zh-CN"/>
              </w:rPr>
            </w:pPr>
          </w:p>
        </w:tc>
        <w:tc>
          <w:tcPr>
            <w:tcW w:w="1415" w:type="pct"/>
            <w:vAlign w:val="center"/>
          </w:tcPr>
          <w:p w14:paraId="058897F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1.7.1.2制定医院中长期规划与年度计划，医院规模和发展目标与医院的功能任务一致</w:t>
            </w:r>
          </w:p>
        </w:tc>
        <w:tc>
          <w:tcPr>
            <w:tcW w:w="1718" w:type="pct"/>
            <w:vAlign w:val="center"/>
          </w:tcPr>
          <w:p w14:paraId="1328486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1.建立和完善医院的愿景和发展目标，制定医院中长期规划，并细化分解到年度计划</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2.中长期规划及年度计划的制定征求职工意见、各部门参与，经过院长办公会议、党委会讨论，并由职工代表大会审议通过</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3.医院规模和发展目标与医院的功能任务一致</w:t>
            </w:r>
            <w:r>
              <w:rPr>
                <w:rFonts w:hint="eastAsia" w:ascii="仿宋" w:hAnsi="仿宋" w:eastAsia="仿宋" w:cs="仿宋"/>
                <w:color w:val="000000"/>
                <w:szCs w:val="21"/>
                <w:highlight w:val="none"/>
                <w:lang w:eastAsia="zh-CN"/>
              </w:rPr>
              <w:t>。</w:t>
            </w:r>
          </w:p>
        </w:tc>
      </w:tr>
      <w:tr w14:paraId="260C7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38BA8BAB">
            <w:pPr>
              <w:textAlignment w:val="center"/>
              <w:rPr>
                <w:rFonts w:ascii="仿宋" w:hAnsi="仿宋" w:eastAsia="仿宋" w:cs="仿宋"/>
                <w:color w:val="000000"/>
                <w:szCs w:val="21"/>
                <w:highlight w:val="none"/>
                <w:lang w:eastAsia="zh-CN"/>
              </w:rPr>
            </w:pPr>
          </w:p>
        </w:tc>
        <w:tc>
          <w:tcPr>
            <w:tcW w:w="1234" w:type="pct"/>
            <w:vMerge w:val="continue"/>
            <w:vAlign w:val="center"/>
          </w:tcPr>
          <w:p w14:paraId="5BB50980">
            <w:pPr>
              <w:textAlignment w:val="center"/>
              <w:rPr>
                <w:rFonts w:ascii="仿宋" w:hAnsi="仿宋" w:eastAsia="仿宋" w:cs="仿宋"/>
                <w:color w:val="000000"/>
                <w:szCs w:val="21"/>
                <w:highlight w:val="none"/>
                <w:lang w:eastAsia="zh-CN"/>
              </w:rPr>
            </w:pPr>
          </w:p>
        </w:tc>
        <w:tc>
          <w:tcPr>
            <w:tcW w:w="1415" w:type="pct"/>
            <w:vAlign w:val="center"/>
          </w:tcPr>
          <w:p w14:paraId="2116F6E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1.7.1.3医院有完善的组织架构和制度体系保障功能与任务实施</w:t>
            </w:r>
          </w:p>
        </w:tc>
        <w:tc>
          <w:tcPr>
            <w:tcW w:w="1718" w:type="pct"/>
            <w:vAlign w:val="center"/>
          </w:tcPr>
          <w:p w14:paraId="4F63645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1.医院应当根据其功能、任务，设置合理的管理机构，满足管理工作需要，部门职能、职责划分明确</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2.根据法律法规、规章规范以及相关标准，结合本院实际，制定并动态完善各项规章制度，理清员工在落实制度时的职责</w:t>
            </w:r>
            <w:r>
              <w:rPr>
                <w:rFonts w:hint="eastAsia" w:ascii="仿宋" w:hAnsi="仿宋" w:eastAsia="仿宋" w:cs="仿宋"/>
                <w:color w:val="000000"/>
                <w:szCs w:val="21"/>
                <w:highlight w:val="none"/>
                <w:lang w:eastAsia="zh-CN"/>
              </w:rPr>
              <w:t>。</w:t>
            </w:r>
          </w:p>
        </w:tc>
      </w:tr>
      <w:tr w14:paraId="72FC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1DE1C102">
            <w:pPr>
              <w:textAlignment w:val="center"/>
              <w:rPr>
                <w:rFonts w:ascii="仿宋" w:hAnsi="仿宋" w:eastAsia="仿宋" w:cs="仿宋"/>
                <w:color w:val="000000"/>
                <w:szCs w:val="21"/>
                <w:highlight w:val="none"/>
                <w:lang w:eastAsia="zh-CN"/>
              </w:rPr>
            </w:pPr>
          </w:p>
        </w:tc>
        <w:tc>
          <w:tcPr>
            <w:tcW w:w="1234" w:type="pct"/>
            <w:vMerge w:val="restart"/>
            <w:vAlign w:val="center"/>
          </w:tcPr>
          <w:p w14:paraId="5251496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1.7.2坚持医院的公益性，把社会效益放在首位，履行相应的社会责任和义务情况</w:t>
            </w:r>
          </w:p>
        </w:tc>
        <w:tc>
          <w:tcPr>
            <w:tcW w:w="1415" w:type="pct"/>
            <w:vAlign w:val="center"/>
          </w:tcPr>
          <w:p w14:paraId="010DB4D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1.7.2.1坚持医院的公益性，履行相应的社会责任和义务</w:t>
            </w:r>
          </w:p>
        </w:tc>
        <w:tc>
          <w:tcPr>
            <w:tcW w:w="1718" w:type="pct"/>
            <w:vAlign w:val="center"/>
          </w:tcPr>
          <w:p w14:paraId="32A0C71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1.参加并完成政府部门指定的社会公益性任务</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2.组织或参与社会团体开展社会公益性活动</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3.承担突发公共卫生事件和重大事故灾害的紧急医疗救援与紧急救治</w:t>
            </w:r>
            <w:r>
              <w:rPr>
                <w:rFonts w:hint="eastAsia" w:ascii="仿宋" w:hAnsi="仿宋" w:eastAsia="仿宋" w:cs="仿宋"/>
                <w:color w:val="000000"/>
                <w:szCs w:val="21"/>
                <w:highlight w:val="none"/>
                <w:lang w:eastAsia="zh-CN"/>
              </w:rPr>
              <w:t>。</w:t>
            </w:r>
          </w:p>
        </w:tc>
      </w:tr>
      <w:tr w14:paraId="3298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19DD901C">
            <w:pPr>
              <w:textAlignment w:val="center"/>
              <w:rPr>
                <w:rFonts w:ascii="仿宋" w:hAnsi="仿宋" w:eastAsia="仿宋" w:cs="仿宋"/>
                <w:color w:val="000000"/>
                <w:szCs w:val="21"/>
                <w:highlight w:val="none"/>
                <w:lang w:eastAsia="zh-CN"/>
              </w:rPr>
            </w:pPr>
          </w:p>
        </w:tc>
        <w:tc>
          <w:tcPr>
            <w:tcW w:w="1234" w:type="pct"/>
            <w:vMerge w:val="continue"/>
            <w:vAlign w:val="center"/>
          </w:tcPr>
          <w:p w14:paraId="5352FEDC">
            <w:pPr>
              <w:textAlignment w:val="center"/>
              <w:rPr>
                <w:rFonts w:ascii="仿宋" w:hAnsi="仿宋" w:eastAsia="仿宋" w:cs="仿宋"/>
                <w:color w:val="000000"/>
                <w:szCs w:val="21"/>
                <w:highlight w:val="none"/>
                <w:lang w:eastAsia="zh-CN"/>
              </w:rPr>
            </w:pPr>
          </w:p>
        </w:tc>
        <w:tc>
          <w:tcPr>
            <w:tcW w:w="1415" w:type="pct"/>
            <w:vAlign w:val="center"/>
          </w:tcPr>
          <w:p w14:paraId="15DA43C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1.7.2.2传染病预防控制工作领导小组及制度建设、报告首诊负责、传染病报告及疫情流调处置、传染病防治培训情况</w:t>
            </w:r>
          </w:p>
        </w:tc>
        <w:tc>
          <w:tcPr>
            <w:tcW w:w="1718" w:type="pct"/>
            <w:vAlign w:val="center"/>
          </w:tcPr>
          <w:p w14:paraId="6B23449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1.成立由主要负责同志任组长的传染病预防控制工作领导小组，制定工作方案，明确岗位职责</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2.建立传染病疫情信息监测报告管理制度，执行首诊负责</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3.法定传染病报告率、报告及时率和信息准确率应达到100%</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4.发现甲类传染病、需按照甲类传染病管理的乙类传染病和突发原因不明的传染病时，应当对传染病患者、疑似患者、病原携带者进行流行病史采集并依法采取相应的隔离治疗和医学观察措施</w:t>
            </w:r>
            <w:r>
              <w:rPr>
                <w:rFonts w:hint="eastAsia" w:ascii="仿宋" w:hAnsi="仿宋" w:eastAsia="仿宋" w:cs="仿宋"/>
                <w:color w:val="000000"/>
                <w:szCs w:val="21"/>
                <w:highlight w:val="none"/>
                <w:lang w:eastAsia="zh-CN"/>
              </w:rPr>
              <w:t>。</w:t>
            </w:r>
          </w:p>
        </w:tc>
      </w:tr>
      <w:tr w14:paraId="36C23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EDA73B9">
            <w:pPr>
              <w:textAlignment w:val="center"/>
              <w:rPr>
                <w:rFonts w:ascii="仿宋" w:hAnsi="仿宋" w:eastAsia="仿宋" w:cs="仿宋"/>
                <w:color w:val="000000"/>
                <w:szCs w:val="21"/>
                <w:highlight w:val="none"/>
                <w:lang w:eastAsia="zh-CN"/>
              </w:rPr>
            </w:pPr>
          </w:p>
        </w:tc>
        <w:tc>
          <w:tcPr>
            <w:tcW w:w="1234" w:type="pct"/>
            <w:vMerge w:val="continue"/>
            <w:vAlign w:val="center"/>
          </w:tcPr>
          <w:p w14:paraId="2183278A">
            <w:pPr>
              <w:textAlignment w:val="center"/>
              <w:rPr>
                <w:rFonts w:ascii="仿宋" w:hAnsi="仿宋" w:eastAsia="仿宋" w:cs="仿宋"/>
                <w:color w:val="000000"/>
                <w:szCs w:val="21"/>
                <w:highlight w:val="none"/>
                <w:lang w:eastAsia="zh-CN"/>
              </w:rPr>
            </w:pPr>
          </w:p>
        </w:tc>
        <w:tc>
          <w:tcPr>
            <w:tcW w:w="1415" w:type="pct"/>
            <w:vAlign w:val="center"/>
          </w:tcPr>
          <w:p w14:paraId="726F285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1.7.2.3帮扶基层医疗卫生机构</w:t>
            </w:r>
          </w:p>
        </w:tc>
        <w:tc>
          <w:tcPr>
            <w:tcW w:w="1718" w:type="pct"/>
            <w:vAlign w:val="center"/>
          </w:tcPr>
          <w:p w14:paraId="3E44802D">
            <w:pPr>
              <w:numPr>
                <w:ilvl w:val="0"/>
                <w:numId w:val="25"/>
              </w:num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医联（共）体内建立双向转诊绿色通道</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2.组建基层特色科室孵化中心</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3.帮扶基层医疗卫生机构建设特色科室</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4.由基层医疗卫生机构的家庭医生优先预约安排住院床位</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5.在基层医疗卫生机构开设专家工作室和联合病房</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6.安排</w:t>
            </w:r>
            <w:r>
              <w:rPr>
                <w:rFonts w:hint="eastAsia" w:ascii="仿宋" w:hAnsi="仿宋" w:eastAsia="仿宋" w:cs="仿宋"/>
                <w:color w:val="000000"/>
                <w:szCs w:val="21"/>
                <w:highlight w:val="none"/>
                <w:lang w:eastAsia="zh-CN"/>
              </w:rPr>
              <w:t>医联</w:t>
            </w:r>
            <w:r>
              <w:rPr>
                <w:rFonts w:ascii="仿宋" w:hAnsi="仿宋" w:eastAsia="仿宋" w:cs="仿宋"/>
                <w:color w:val="000000"/>
                <w:szCs w:val="21"/>
                <w:highlight w:val="none"/>
                <w:lang w:eastAsia="zh-CN"/>
              </w:rPr>
              <w:t>（共）</w:t>
            </w:r>
            <w:r>
              <w:rPr>
                <w:rFonts w:hint="eastAsia" w:ascii="仿宋" w:hAnsi="仿宋" w:eastAsia="仿宋" w:cs="仿宋"/>
                <w:color w:val="000000"/>
                <w:szCs w:val="21"/>
                <w:highlight w:val="none"/>
                <w:lang w:eastAsia="zh-CN"/>
              </w:rPr>
              <w:t>体内</w:t>
            </w:r>
            <w:r>
              <w:rPr>
                <w:rFonts w:ascii="仿宋" w:hAnsi="仿宋" w:eastAsia="仿宋" w:cs="仿宋"/>
                <w:color w:val="000000"/>
                <w:szCs w:val="21"/>
                <w:highlight w:val="none"/>
                <w:lang w:eastAsia="zh-CN"/>
              </w:rPr>
              <w:t>基层医疗卫生机构卫技人员免费进修</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7.精准对接基层需要，依托基层卫生人员实训基地推广适宜卫生技术</w:t>
            </w:r>
            <w:r>
              <w:rPr>
                <w:rFonts w:hint="eastAsia" w:ascii="仿宋" w:hAnsi="仿宋" w:eastAsia="仿宋" w:cs="仿宋"/>
                <w:color w:val="000000"/>
                <w:szCs w:val="21"/>
                <w:highlight w:val="none"/>
                <w:lang w:eastAsia="zh-CN"/>
              </w:rPr>
              <w:t>。</w:t>
            </w:r>
          </w:p>
          <w:p w14:paraId="29E92E46">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8.紧密型城市医疗集团和紧密型县域医共体牵头的三级、二级医院预留至少20%的门诊号源优先向辖区基层医疗卫生机构开放。</w:t>
            </w:r>
          </w:p>
        </w:tc>
      </w:tr>
      <w:tr w14:paraId="374A0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1EC7947B">
            <w:pPr>
              <w:textAlignment w:val="center"/>
              <w:rPr>
                <w:rFonts w:ascii="仿宋" w:hAnsi="仿宋" w:eastAsia="仿宋" w:cs="仿宋"/>
                <w:color w:val="000000"/>
                <w:szCs w:val="21"/>
                <w:highlight w:val="none"/>
                <w:lang w:eastAsia="zh-CN"/>
              </w:rPr>
            </w:pPr>
          </w:p>
        </w:tc>
        <w:tc>
          <w:tcPr>
            <w:tcW w:w="1234" w:type="pct"/>
            <w:vMerge w:val="restart"/>
            <w:vAlign w:val="center"/>
          </w:tcPr>
          <w:p w14:paraId="5237EE4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1.7.3加强公立医院党的建设，加强医务人员职业道德教育，落实“九项准则”情况</w:t>
            </w:r>
          </w:p>
        </w:tc>
        <w:tc>
          <w:tcPr>
            <w:tcW w:w="1415" w:type="pct"/>
            <w:vAlign w:val="center"/>
          </w:tcPr>
          <w:p w14:paraId="35EFA87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1.7.3.1切实加强党对公立医院的领导</w:t>
            </w:r>
          </w:p>
        </w:tc>
        <w:tc>
          <w:tcPr>
            <w:tcW w:w="1718" w:type="pct"/>
            <w:vAlign w:val="center"/>
          </w:tcPr>
          <w:p w14:paraId="4CB1A20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1.公立医院加强党的建设，明确党委职责，充分发挥医院党委的领导作用，实施党委领导下的院长负责制，健全医院党委与行政领导班子议事决策制度</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2.公立医院应当在章程中明确党委职责，凡属重大问题按照集体领导、民主集中、个别酝酿、会议决定的原则，由党委集体讨论，作出决定，并按照分工抓好组织实施</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3.院长在医院党委领导下，全面负责医院医疗、教学、科研、行政管理工作</w:t>
            </w:r>
            <w:r>
              <w:rPr>
                <w:rFonts w:hint="eastAsia" w:ascii="仿宋" w:hAnsi="仿宋" w:eastAsia="仿宋" w:cs="仿宋"/>
                <w:color w:val="000000"/>
                <w:szCs w:val="21"/>
                <w:highlight w:val="none"/>
                <w:lang w:eastAsia="zh-CN"/>
              </w:rPr>
              <w:t>。</w:t>
            </w:r>
          </w:p>
        </w:tc>
      </w:tr>
      <w:tr w14:paraId="0933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245AC9A">
            <w:pPr>
              <w:textAlignment w:val="center"/>
              <w:rPr>
                <w:rFonts w:ascii="仿宋" w:hAnsi="仿宋" w:eastAsia="仿宋" w:cs="仿宋"/>
                <w:color w:val="000000"/>
                <w:szCs w:val="21"/>
                <w:highlight w:val="none"/>
                <w:lang w:eastAsia="zh-CN"/>
              </w:rPr>
            </w:pPr>
          </w:p>
        </w:tc>
        <w:tc>
          <w:tcPr>
            <w:tcW w:w="1234" w:type="pct"/>
            <w:vMerge w:val="continue"/>
            <w:vAlign w:val="center"/>
          </w:tcPr>
          <w:p w14:paraId="27B57026">
            <w:pPr>
              <w:textAlignment w:val="center"/>
              <w:rPr>
                <w:rFonts w:ascii="仿宋" w:hAnsi="仿宋" w:eastAsia="仿宋" w:cs="仿宋"/>
                <w:color w:val="000000"/>
                <w:szCs w:val="21"/>
                <w:highlight w:val="none"/>
                <w:lang w:eastAsia="zh-CN"/>
              </w:rPr>
            </w:pPr>
          </w:p>
        </w:tc>
        <w:tc>
          <w:tcPr>
            <w:tcW w:w="1415" w:type="pct"/>
            <w:vAlign w:val="center"/>
          </w:tcPr>
          <w:p w14:paraId="0547881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1.7.3.2加强医务人员职业道德教育，弘扬社会主义核心价值观和新时代医疗卫生职业精神</w:t>
            </w:r>
          </w:p>
        </w:tc>
        <w:tc>
          <w:tcPr>
            <w:tcW w:w="1718" w:type="pct"/>
            <w:vAlign w:val="center"/>
          </w:tcPr>
          <w:p w14:paraId="6B2A1AA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1.医疗机构职业道德教育管理制度、体系健全，有工作计划并组织实施</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2.医疗机构制度及流程及年度工作计划体现新时代医疗卫生职业精神，弘扬社会主义核心价值观</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3.选树先进典型，宣传优秀事迹</w:t>
            </w:r>
            <w:r>
              <w:rPr>
                <w:rFonts w:hint="eastAsia" w:ascii="仿宋" w:hAnsi="仿宋" w:eastAsia="仿宋" w:cs="仿宋"/>
                <w:color w:val="000000"/>
                <w:szCs w:val="21"/>
                <w:highlight w:val="none"/>
                <w:lang w:eastAsia="zh-CN"/>
              </w:rPr>
              <w:t>。</w:t>
            </w:r>
          </w:p>
        </w:tc>
      </w:tr>
      <w:tr w14:paraId="7B630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67A804D">
            <w:pPr>
              <w:textAlignment w:val="center"/>
              <w:rPr>
                <w:rFonts w:ascii="仿宋" w:hAnsi="仿宋" w:eastAsia="仿宋" w:cs="仿宋"/>
                <w:color w:val="000000"/>
                <w:szCs w:val="21"/>
                <w:highlight w:val="none"/>
                <w:lang w:eastAsia="zh-CN"/>
              </w:rPr>
            </w:pPr>
          </w:p>
        </w:tc>
        <w:tc>
          <w:tcPr>
            <w:tcW w:w="1234" w:type="pct"/>
            <w:vMerge w:val="continue"/>
            <w:vAlign w:val="center"/>
          </w:tcPr>
          <w:p w14:paraId="1AAC5FC9">
            <w:pPr>
              <w:textAlignment w:val="center"/>
              <w:rPr>
                <w:rFonts w:ascii="仿宋" w:hAnsi="仿宋" w:eastAsia="仿宋" w:cs="仿宋"/>
                <w:color w:val="000000"/>
                <w:szCs w:val="21"/>
                <w:highlight w:val="none"/>
                <w:lang w:eastAsia="zh-CN"/>
              </w:rPr>
            </w:pPr>
          </w:p>
        </w:tc>
        <w:tc>
          <w:tcPr>
            <w:tcW w:w="1415" w:type="pct"/>
            <w:vAlign w:val="center"/>
          </w:tcPr>
          <w:p w14:paraId="0795E74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1.7.3.3建立行风建设与管理的组织和制度体系，完善工作机制，落实“九项准则”规定</w:t>
            </w:r>
          </w:p>
        </w:tc>
        <w:tc>
          <w:tcPr>
            <w:tcW w:w="1718" w:type="pct"/>
            <w:vAlign w:val="center"/>
          </w:tcPr>
          <w:p w14:paraId="325858D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1.医院建立并完善行风建设与管理的制度体系和工作机制</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2.有完善的行风建设组织体系，有行风管理的专门机构，有行风工作专（兼）职人员</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3.有行风建设管理职能部门间的协调工作机制，职能部门职责明确，分工协作</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4.职能部门对行风工作有检查、有考核，并定期进行评价、分析及整改，改进措施有成效</w:t>
            </w:r>
            <w:r>
              <w:rPr>
                <w:rFonts w:hint="eastAsia" w:ascii="仿宋" w:hAnsi="仿宋" w:eastAsia="仿宋" w:cs="仿宋"/>
                <w:color w:val="000000"/>
                <w:szCs w:val="21"/>
                <w:highlight w:val="none"/>
                <w:lang w:eastAsia="zh-CN"/>
              </w:rPr>
              <w:t>。</w:t>
            </w:r>
          </w:p>
        </w:tc>
      </w:tr>
      <w:tr w14:paraId="2A26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68E23E3">
            <w:pPr>
              <w:textAlignment w:val="center"/>
              <w:rPr>
                <w:rFonts w:ascii="仿宋" w:hAnsi="仿宋" w:eastAsia="仿宋" w:cs="仿宋"/>
                <w:color w:val="000000"/>
                <w:szCs w:val="21"/>
                <w:highlight w:val="none"/>
                <w:lang w:eastAsia="zh-CN"/>
              </w:rPr>
            </w:pPr>
          </w:p>
        </w:tc>
        <w:tc>
          <w:tcPr>
            <w:tcW w:w="1234" w:type="pct"/>
            <w:vAlign w:val="center"/>
          </w:tcPr>
          <w:p w14:paraId="233D196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1.7.4</w:t>
            </w:r>
            <w:r>
              <w:rPr>
                <w:rFonts w:hint="eastAsia" w:ascii="仿宋" w:hAnsi="仿宋" w:eastAsia="仿宋" w:cs="仿宋"/>
                <w:color w:val="000000"/>
                <w:szCs w:val="21"/>
                <w:highlight w:val="none"/>
                <w:lang w:eastAsia="zh-CN"/>
              </w:rPr>
              <w:t>加强公立医院内部控制建设</w:t>
            </w:r>
          </w:p>
        </w:tc>
        <w:tc>
          <w:tcPr>
            <w:tcW w:w="1415" w:type="pct"/>
            <w:vAlign w:val="center"/>
          </w:tcPr>
          <w:p w14:paraId="6D2BAA1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1.7.4.1</w:t>
            </w:r>
            <w:r>
              <w:rPr>
                <w:rFonts w:hint="eastAsia" w:ascii="仿宋" w:hAnsi="仿宋" w:eastAsia="仿宋" w:cs="仿宋"/>
                <w:color w:val="000000"/>
                <w:szCs w:val="21"/>
                <w:highlight w:val="none"/>
                <w:lang w:eastAsia="zh-CN"/>
              </w:rPr>
              <w:t>加强公立医院内部控制建设，提升公立医院内部治理水平和公共服务效能</w:t>
            </w:r>
          </w:p>
        </w:tc>
        <w:tc>
          <w:tcPr>
            <w:tcW w:w="1718" w:type="pct"/>
            <w:vAlign w:val="center"/>
          </w:tcPr>
          <w:p w14:paraId="1562B66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1.持续优化公立医院内部控制环境；</w:t>
            </w:r>
          </w:p>
          <w:p w14:paraId="4F99CCD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2.切实加强公立医院风险评估工作；</w:t>
            </w:r>
          </w:p>
          <w:p w14:paraId="21BA347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3.着力完善公立医院重点业务及高风险领域的内部控制措施；</w:t>
            </w:r>
          </w:p>
          <w:p w14:paraId="4240F8B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4.全面提升公立医院内部控制的信息化水平；</w:t>
            </w:r>
          </w:p>
          <w:p w14:paraId="4F7F0B2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5.强化公立医院内部控制的评价与整改；</w:t>
            </w:r>
          </w:p>
          <w:p w14:paraId="203B0CF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6.定期按要求开展医院内部控制管理工作</w:t>
            </w:r>
            <w:r>
              <w:rPr>
                <w:rFonts w:hint="eastAsia" w:ascii="仿宋" w:hAnsi="仿宋" w:eastAsia="仿宋" w:cs="仿宋"/>
                <w:color w:val="000000"/>
                <w:szCs w:val="21"/>
                <w:highlight w:val="none"/>
                <w:lang w:eastAsia="zh-CN"/>
              </w:rPr>
              <w:t>。</w:t>
            </w:r>
          </w:p>
        </w:tc>
      </w:tr>
      <w:tr w14:paraId="0ECD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AEE295D">
            <w:pPr>
              <w:textAlignment w:val="center"/>
              <w:rPr>
                <w:rFonts w:ascii="仿宋" w:hAnsi="仿宋" w:eastAsia="仿宋" w:cs="仿宋"/>
                <w:color w:val="000000"/>
                <w:szCs w:val="21"/>
                <w:highlight w:val="none"/>
                <w:lang w:eastAsia="zh-CN"/>
              </w:rPr>
            </w:pPr>
          </w:p>
        </w:tc>
        <w:tc>
          <w:tcPr>
            <w:tcW w:w="1234" w:type="pct"/>
            <w:vAlign w:val="center"/>
          </w:tcPr>
          <w:p w14:paraId="3F6FB45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医院安防工作相关制度及关键措施执行落实情况</w:t>
            </w:r>
          </w:p>
        </w:tc>
        <w:tc>
          <w:tcPr>
            <w:tcW w:w="1415" w:type="pct"/>
            <w:vAlign w:val="center"/>
          </w:tcPr>
          <w:p w14:paraId="16FD59E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.1建立完善医院安防工作相关制度，关键措施执行落实到位</w:t>
            </w:r>
          </w:p>
        </w:tc>
        <w:tc>
          <w:tcPr>
            <w:tcW w:w="1718" w:type="pct"/>
            <w:vAlign w:val="center"/>
          </w:tcPr>
          <w:p w14:paraId="17C1FE0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1.建立医患纠纷排查化解机制，与公安机关建立通报会商机制</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2.建立人脸识别比对系统和高风险人员库，所有入口和重要部位安装具有抓拍功能的摄像头</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3.建立报警求助系统，所有医生诊室安装紧急报警装置或者在电脑上安装紧急报警软件</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4.医院主要入口或门诊、急诊入口通道安装安防设施</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5.组建多个最小应急单元，常态</w:t>
            </w:r>
            <w:r>
              <w:rPr>
                <w:rFonts w:hint="eastAsia" w:ascii="仿宋" w:hAnsi="仿宋" w:eastAsia="仿宋" w:cs="仿宋"/>
                <w:color w:val="000000"/>
                <w:szCs w:val="21"/>
                <w:highlight w:val="none"/>
                <w:lang w:eastAsia="zh-CN"/>
              </w:rPr>
              <w:t>化</w:t>
            </w:r>
            <w:r>
              <w:rPr>
                <w:rFonts w:ascii="仿宋" w:hAnsi="仿宋" w:eastAsia="仿宋" w:cs="仿宋"/>
                <w:color w:val="000000"/>
                <w:szCs w:val="21"/>
                <w:highlight w:val="none"/>
                <w:lang w:eastAsia="zh-CN"/>
              </w:rPr>
              <w:t>开展应急演练</w:t>
            </w:r>
            <w:r>
              <w:rPr>
                <w:rFonts w:hint="eastAsia" w:ascii="仿宋" w:hAnsi="仿宋" w:eastAsia="仿宋" w:cs="仿宋"/>
                <w:color w:val="000000"/>
                <w:szCs w:val="21"/>
                <w:highlight w:val="none"/>
                <w:lang w:eastAsia="zh-CN"/>
              </w:rPr>
              <w:t>。</w:t>
            </w:r>
          </w:p>
        </w:tc>
      </w:tr>
      <w:tr w14:paraId="0FF8C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2" w:hRule="atLeast"/>
        </w:trPr>
        <w:tc>
          <w:tcPr>
            <w:tcW w:w="631" w:type="pct"/>
            <w:vMerge w:val="continue"/>
            <w:vAlign w:val="center"/>
          </w:tcPr>
          <w:p w14:paraId="29F0487C">
            <w:pPr>
              <w:textAlignment w:val="center"/>
              <w:rPr>
                <w:rFonts w:ascii="仿宋" w:hAnsi="仿宋" w:eastAsia="仿宋" w:cs="仿宋"/>
                <w:color w:val="000000"/>
                <w:szCs w:val="21"/>
                <w:highlight w:val="none"/>
                <w:lang w:eastAsia="zh-CN"/>
              </w:rPr>
            </w:pPr>
          </w:p>
        </w:tc>
        <w:tc>
          <w:tcPr>
            <w:tcW w:w="1234" w:type="pct"/>
            <w:vMerge w:val="restart"/>
            <w:vAlign w:val="center"/>
          </w:tcPr>
          <w:p w14:paraId="197F504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1.7.6医院消防系统管理符合国家相关法律法规和标准</w:t>
            </w:r>
          </w:p>
        </w:tc>
        <w:tc>
          <w:tcPr>
            <w:tcW w:w="1415" w:type="pct"/>
            <w:vAlign w:val="center"/>
          </w:tcPr>
          <w:p w14:paraId="7E8AE5C5">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1.7.6.1医院消防系统建设</w:t>
            </w:r>
          </w:p>
        </w:tc>
        <w:tc>
          <w:tcPr>
            <w:tcW w:w="1718" w:type="pct"/>
            <w:vAlign w:val="center"/>
          </w:tcPr>
          <w:p w14:paraId="241A19D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1.</w:t>
            </w:r>
            <w:r>
              <w:rPr>
                <w:rFonts w:hint="eastAsia" w:ascii="仿宋" w:hAnsi="仿宋" w:eastAsia="仿宋" w:cs="仿宋"/>
                <w:color w:val="000000"/>
                <w:szCs w:val="21"/>
                <w:highlight w:val="none"/>
                <w:lang w:eastAsia="zh-CN"/>
              </w:rPr>
              <w:t>消防管理职能部门健全、制度完善，岗位职责清晰，科室消防安全职责管理落实到人；</w:t>
            </w:r>
          </w:p>
          <w:p w14:paraId="2EFB4D0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2.</w:t>
            </w:r>
            <w:r>
              <w:rPr>
                <w:rFonts w:hint="eastAsia" w:ascii="仿宋" w:hAnsi="仿宋" w:eastAsia="仿宋" w:cs="仿宋"/>
                <w:color w:val="000000"/>
                <w:szCs w:val="21"/>
                <w:highlight w:val="none"/>
                <w:lang w:eastAsia="zh-CN"/>
              </w:rPr>
              <w:t>规范建立微型消防站及高层消防避难所，成立兼职消防队，定期组织演练</w:t>
            </w:r>
          </w:p>
          <w:p w14:paraId="00F6CA8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3.</w:t>
            </w:r>
            <w:r>
              <w:rPr>
                <w:rFonts w:hint="eastAsia" w:ascii="仿宋" w:hAnsi="仿宋" w:eastAsia="仿宋" w:cs="仿宋"/>
                <w:color w:val="000000"/>
                <w:szCs w:val="21"/>
                <w:highlight w:val="none"/>
                <w:lang w:eastAsia="zh-CN"/>
              </w:rPr>
              <w:t>消防通道畅通，防火器材完好。重点部门、重要部位防范有监管，有记录；</w:t>
            </w:r>
          </w:p>
          <w:p w14:paraId="0AA68217">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4.</w:t>
            </w:r>
            <w:r>
              <w:rPr>
                <w:rFonts w:hint="eastAsia" w:ascii="仿宋" w:hAnsi="仿宋" w:eastAsia="仿宋" w:cs="仿宋"/>
                <w:color w:val="000000"/>
                <w:szCs w:val="21"/>
                <w:highlight w:val="none"/>
                <w:lang w:eastAsia="zh-CN"/>
              </w:rPr>
              <w:t>对基建维修等施工项目进行消防安全监管，所有部门及建筑、通道均符合消防安全要求；</w:t>
            </w:r>
          </w:p>
          <w:p w14:paraId="1EB5F53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5.</w:t>
            </w:r>
            <w:r>
              <w:rPr>
                <w:rFonts w:hint="eastAsia" w:ascii="仿宋" w:hAnsi="仿宋" w:eastAsia="仿宋" w:cs="仿宋"/>
                <w:color w:val="000000"/>
                <w:szCs w:val="21"/>
                <w:highlight w:val="none"/>
                <w:lang w:eastAsia="zh-CN"/>
              </w:rPr>
              <w:t>各科室、部门对消防通道、员工消防知识和技能、防火器材等有自查，且责任到人；</w:t>
            </w:r>
          </w:p>
          <w:p w14:paraId="57D1924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6.</w:t>
            </w:r>
            <w:r>
              <w:rPr>
                <w:rFonts w:hint="eastAsia" w:ascii="仿宋" w:hAnsi="仿宋" w:eastAsia="仿宋" w:cs="仿宋"/>
                <w:color w:val="000000"/>
                <w:szCs w:val="21"/>
                <w:highlight w:val="none"/>
                <w:lang w:eastAsia="zh-CN"/>
              </w:rPr>
              <w:t>定期开展检查、培训、演练等，提升医院检查消除火灾隐患能力、组织扑救初起火灾能力、组织人员疏散逃生能力、消防宣传教育培训能力。</w:t>
            </w:r>
          </w:p>
        </w:tc>
      </w:tr>
      <w:tr w14:paraId="479BD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1E437D9">
            <w:pPr>
              <w:textAlignment w:val="center"/>
              <w:rPr>
                <w:rFonts w:ascii="仿宋" w:hAnsi="仿宋" w:eastAsia="仿宋" w:cs="仿宋"/>
                <w:color w:val="000000"/>
                <w:szCs w:val="21"/>
                <w:highlight w:val="none"/>
                <w:lang w:eastAsia="zh-CN"/>
              </w:rPr>
            </w:pPr>
          </w:p>
        </w:tc>
        <w:tc>
          <w:tcPr>
            <w:tcW w:w="1234" w:type="pct"/>
            <w:vMerge w:val="continue"/>
            <w:vAlign w:val="center"/>
          </w:tcPr>
          <w:p w14:paraId="6D0E62A7">
            <w:pPr>
              <w:jc w:val="center"/>
              <w:rPr>
                <w:rFonts w:ascii="仿宋" w:hAnsi="仿宋" w:eastAsia="仿宋" w:cs="仿宋"/>
                <w:color w:val="000000"/>
                <w:szCs w:val="21"/>
                <w:highlight w:val="none"/>
                <w:lang w:eastAsia="zh-CN"/>
              </w:rPr>
            </w:pPr>
          </w:p>
        </w:tc>
        <w:tc>
          <w:tcPr>
            <w:tcW w:w="1415" w:type="pct"/>
            <w:vAlign w:val="center"/>
          </w:tcPr>
          <w:p w14:paraId="42B0B3F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1.7.6.2加强医院消防“六化”建设</w:t>
            </w:r>
          </w:p>
        </w:tc>
        <w:tc>
          <w:tcPr>
            <w:tcW w:w="1718" w:type="pct"/>
            <w:vAlign w:val="center"/>
          </w:tcPr>
          <w:p w14:paraId="030E8E4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1.网格化：织密监管网络，实现全覆盖；构建“横向到边、纵向到底”的监管体系；</w:t>
            </w:r>
          </w:p>
          <w:p w14:paraId="49E9BAE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2.专业化：提升监管与处置的核心能力；加强专业人才队伍建设；</w:t>
            </w:r>
          </w:p>
          <w:p w14:paraId="1D1DB6D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3.数字化：科技赋能，实现智慧消防；推广安消一体化信息管理平台，实现风险“早发现、早预警”；</w:t>
            </w:r>
          </w:p>
          <w:p w14:paraId="5B18B32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4.全员化：压实责任，人人参与；建立从主要责任人到一线员工的全员安全生产岗位责任制；</w:t>
            </w:r>
          </w:p>
          <w:p w14:paraId="3014E30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5.实体化：夯实硬件与人员保障基础；加强“人防+技防+工程防”建设；</w:t>
            </w:r>
          </w:p>
          <w:p w14:paraId="3D1C280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6.手册化：规范操作，让标准融入日常；员工依规操作，提升应急处置熟练度。</w:t>
            </w:r>
          </w:p>
        </w:tc>
      </w:tr>
      <w:tr w14:paraId="68B96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C6CBA74">
            <w:pPr>
              <w:textAlignment w:val="center"/>
              <w:rPr>
                <w:rFonts w:ascii="仿宋" w:hAnsi="仿宋" w:eastAsia="仿宋" w:cs="仿宋"/>
                <w:color w:val="000000"/>
                <w:szCs w:val="21"/>
                <w:highlight w:val="none"/>
                <w:lang w:eastAsia="zh-CN"/>
              </w:rPr>
            </w:pPr>
          </w:p>
        </w:tc>
        <w:tc>
          <w:tcPr>
            <w:tcW w:w="1234" w:type="pct"/>
            <w:vMerge w:val="restart"/>
            <w:vAlign w:val="center"/>
          </w:tcPr>
          <w:p w14:paraId="6A083C2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1.7.7</w:t>
            </w:r>
            <w:r>
              <w:rPr>
                <w:rFonts w:ascii="仿宋" w:hAnsi="仿宋" w:eastAsia="仿宋" w:cs="仿宋"/>
                <w:color w:val="000000"/>
                <w:szCs w:val="21"/>
                <w:highlight w:val="none"/>
                <w:lang w:eastAsia="zh-CN"/>
              </w:rPr>
              <w:t>医院医疗质量体系建设完备并有效开展质控活动</w:t>
            </w:r>
          </w:p>
        </w:tc>
        <w:tc>
          <w:tcPr>
            <w:tcW w:w="1415" w:type="pct"/>
            <w:vAlign w:val="center"/>
          </w:tcPr>
          <w:p w14:paraId="3864C8E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1.7.7.1</w:t>
            </w:r>
            <w:r>
              <w:rPr>
                <w:rFonts w:ascii="仿宋" w:hAnsi="仿宋" w:eastAsia="仿宋" w:cs="仿宋"/>
                <w:color w:val="000000"/>
                <w:szCs w:val="21"/>
                <w:highlight w:val="none"/>
                <w:lang w:eastAsia="zh-CN"/>
              </w:rPr>
              <w:t>院科两级质量管理组织完备、符合规范</w:t>
            </w:r>
          </w:p>
        </w:tc>
        <w:tc>
          <w:tcPr>
            <w:tcW w:w="1718" w:type="pct"/>
            <w:vAlign w:val="center"/>
          </w:tcPr>
          <w:p w14:paraId="7AE21CB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1.根据《医疗质量管理办法》，院级层面成立医疗、护理、院感、药事、临床用血、病案、伦理、医疗技术临床应用、医学装备管理委员会。各委员会人员组成符合职责要求</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2.各临床医技科室成立科室质量管理小组，组长由科室主要负责人担任</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人员组成合理</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并设有质控</w:t>
            </w:r>
            <w:r>
              <w:rPr>
                <w:rFonts w:hint="eastAsia" w:ascii="仿宋" w:hAnsi="仿宋" w:eastAsia="仿宋" w:cs="仿宋"/>
                <w:color w:val="000000"/>
                <w:szCs w:val="21"/>
                <w:highlight w:val="none"/>
                <w:lang w:eastAsia="zh-CN"/>
              </w:rPr>
              <w:t>员</w:t>
            </w:r>
            <w:r>
              <w:rPr>
                <w:rFonts w:ascii="仿宋" w:hAnsi="仿宋" w:eastAsia="仿宋" w:cs="仿宋"/>
                <w:color w:val="000000"/>
                <w:szCs w:val="21"/>
                <w:highlight w:val="none"/>
                <w:lang w:eastAsia="zh-CN"/>
              </w:rPr>
              <w:t>。</w:t>
            </w:r>
          </w:p>
        </w:tc>
      </w:tr>
      <w:tr w14:paraId="27FBF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2CF57F2C">
            <w:pPr>
              <w:textAlignment w:val="center"/>
              <w:rPr>
                <w:rFonts w:ascii="仿宋" w:hAnsi="仿宋" w:eastAsia="仿宋" w:cs="仿宋"/>
                <w:color w:val="000000"/>
                <w:szCs w:val="21"/>
                <w:highlight w:val="none"/>
                <w:lang w:eastAsia="zh-CN"/>
              </w:rPr>
            </w:pPr>
          </w:p>
        </w:tc>
        <w:tc>
          <w:tcPr>
            <w:tcW w:w="1234" w:type="pct"/>
            <w:vMerge w:val="continue"/>
            <w:vAlign w:val="center"/>
          </w:tcPr>
          <w:p w14:paraId="4FE409BD">
            <w:pPr>
              <w:textAlignment w:val="center"/>
              <w:rPr>
                <w:rFonts w:ascii="仿宋" w:hAnsi="仿宋" w:eastAsia="仿宋" w:cs="仿宋"/>
                <w:color w:val="000000"/>
                <w:szCs w:val="21"/>
                <w:highlight w:val="none"/>
                <w:lang w:eastAsia="zh-CN"/>
              </w:rPr>
            </w:pPr>
          </w:p>
        </w:tc>
        <w:tc>
          <w:tcPr>
            <w:tcW w:w="1415" w:type="pct"/>
            <w:vAlign w:val="center"/>
          </w:tcPr>
          <w:p w14:paraId="426EB96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1.7.7</w:t>
            </w:r>
            <w:r>
              <w:rPr>
                <w:rFonts w:ascii="仿宋" w:hAnsi="仿宋" w:eastAsia="仿宋" w:cs="仿宋"/>
                <w:color w:val="000000"/>
                <w:szCs w:val="21"/>
                <w:highlight w:val="none"/>
                <w:lang w:eastAsia="zh-CN"/>
              </w:rPr>
              <w:t>.2院级层面医疗质量管理指标体系完善</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满足国家、省级卫生健康行政部门质量管理的要求</w:t>
            </w:r>
          </w:p>
        </w:tc>
        <w:tc>
          <w:tcPr>
            <w:tcW w:w="1718" w:type="pct"/>
            <w:vAlign w:val="center"/>
          </w:tcPr>
          <w:p w14:paraId="2BC8635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1.医院各临床及医技科室质量安全管理指标体系完善，指标至少包含：医疗、护理、医院感染、药学、输血、病案、伦理、病种质量、临床研究、设施设备、耗材管理、均次医疗费用等方面</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2.有医疗质量关键环节（如危急重患者管理、围手术期管理、输血与药物管理、有创诊疗操作等）的质控指标</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3.有重点部门（急诊科、手术室、血液透析室、内窥镜室、导管室、重症监护室、产房、新生儿病房、消毒供应中心等）的质控指标。</w:t>
            </w:r>
          </w:p>
        </w:tc>
      </w:tr>
      <w:tr w14:paraId="4C88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49B02965">
            <w:pPr>
              <w:textAlignment w:val="center"/>
              <w:rPr>
                <w:rFonts w:ascii="仿宋" w:hAnsi="仿宋" w:eastAsia="仿宋" w:cs="仿宋"/>
                <w:color w:val="000000"/>
                <w:szCs w:val="21"/>
                <w:highlight w:val="none"/>
                <w:lang w:eastAsia="zh-CN"/>
              </w:rPr>
            </w:pPr>
          </w:p>
        </w:tc>
        <w:tc>
          <w:tcPr>
            <w:tcW w:w="1234" w:type="pct"/>
            <w:vMerge w:val="continue"/>
            <w:vAlign w:val="center"/>
          </w:tcPr>
          <w:p w14:paraId="7AFD3428">
            <w:pPr>
              <w:textAlignment w:val="center"/>
              <w:rPr>
                <w:rFonts w:ascii="仿宋" w:hAnsi="仿宋" w:eastAsia="仿宋" w:cs="仿宋"/>
                <w:color w:val="000000"/>
                <w:szCs w:val="21"/>
                <w:highlight w:val="none"/>
                <w:lang w:eastAsia="zh-CN"/>
              </w:rPr>
            </w:pPr>
          </w:p>
        </w:tc>
        <w:tc>
          <w:tcPr>
            <w:tcW w:w="1415" w:type="pct"/>
            <w:vAlign w:val="center"/>
          </w:tcPr>
          <w:p w14:paraId="1EF1139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1.7.7</w:t>
            </w:r>
            <w:r>
              <w:rPr>
                <w:rFonts w:ascii="仿宋" w:hAnsi="仿宋" w:eastAsia="仿宋" w:cs="仿宋"/>
                <w:color w:val="000000"/>
                <w:szCs w:val="21"/>
                <w:highlight w:val="none"/>
                <w:lang w:eastAsia="zh-CN"/>
              </w:rPr>
              <w:t>.3科室层面定期开展</w:t>
            </w:r>
            <w:r>
              <w:rPr>
                <w:rFonts w:hint="eastAsia" w:ascii="仿宋" w:hAnsi="仿宋" w:eastAsia="仿宋" w:cs="仿宋"/>
                <w:color w:val="000000"/>
                <w:szCs w:val="21"/>
                <w:highlight w:val="none"/>
                <w:lang w:eastAsia="zh-CN"/>
              </w:rPr>
              <w:t>质量控制、临</w:t>
            </w:r>
            <w:r>
              <w:rPr>
                <w:rFonts w:ascii="仿宋" w:hAnsi="仿宋" w:eastAsia="仿宋" w:cs="仿宋"/>
                <w:color w:val="000000"/>
                <w:szCs w:val="21"/>
                <w:highlight w:val="none"/>
                <w:lang w:eastAsia="zh-CN"/>
              </w:rPr>
              <w:t>床诊疗指南和技术操作规范培训</w:t>
            </w:r>
          </w:p>
        </w:tc>
        <w:tc>
          <w:tcPr>
            <w:tcW w:w="1718" w:type="pct"/>
            <w:vAlign w:val="center"/>
          </w:tcPr>
          <w:p w14:paraId="35F7B49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1.科室质控组织有计划、有总结、有活动记录；</w:t>
            </w:r>
          </w:p>
          <w:p w14:paraId="13536B0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2.科室质控组织有年度质量安全监管指标、目标，如质量指标、效率指标、单病种质量指标、合理用药监测指标等，并定期开展监管；</w:t>
            </w:r>
          </w:p>
          <w:p w14:paraId="7E96877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3.针对存在的质量安全问题，改进有成效，有改进案例；</w:t>
            </w:r>
          </w:p>
          <w:p w14:paraId="0B0C83A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科室定期开展</w:t>
            </w:r>
            <w:r>
              <w:rPr>
                <w:rFonts w:hint="eastAsia" w:ascii="仿宋" w:hAnsi="仿宋" w:eastAsia="仿宋" w:cs="仿宋"/>
                <w:color w:val="000000"/>
                <w:szCs w:val="21"/>
                <w:highlight w:val="none"/>
                <w:lang w:eastAsia="zh-CN"/>
              </w:rPr>
              <w:t>临</w:t>
            </w:r>
            <w:r>
              <w:rPr>
                <w:rFonts w:ascii="仿宋" w:hAnsi="仿宋" w:eastAsia="仿宋" w:cs="仿宋"/>
                <w:color w:val="000000"/>
                <w:szCs w:val="21"/>
                <w:highlight w:val="none"/>
                <w:lang w:eastAsia="zh-CN"/>
              </w:rPr>
              <w:t>床诊疗指南和技术操作规范培训</w:t>
            </w:r>
            <w:r>
              <w:rPr>
                <w:rFonts w:hint="eastAsia" w:ascii="仿宋" w:hAnsi="仿宋" w:eastAsia="仿宋" w:cs="仿宋"/>
                <w:color w:val="000000"/>
                <w:szCs w:val="21"/>
                <w:highlight w:val="none"/>
                <w:lang w:eastAsia="zh-CN"/>
              </w:rPr>
              <w:t>。</w:t>
            </w:r>
          </w:p>
        </w:tc>
      </w:tr>
      <w:tr w14:paraId="2712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0C106DBF">
            <w:pPr>
              <w:textAlignment w:val="center"/>
              <w:rPr>
                <w:rFonts w:ascii="仿宋" w:hAnsi="仿宋" w:eastAsia="仿宋" w:cs="仿宋"/>
                <w:color w:val="000000"/>
                <w:szCs w:val="21"/>
                <w:highlight w:val="none"/>
                <w:lang w:eastAsia="zh-CN"/>
              </w:rPr>
            </w:pPr>
          </w:p>
        </w:tc>
        <w:tc>
          <w:tcPr>
            <w:tcW w:w="1234" w:type="pct"/>
            <w:vMerge w:val="continue"/>
            <w:vAlign w:val="center"/>
          </w:tcPr>
          <w:p w14:paraId="3DCFD8D0">
            <w:pPr>
              <w:textAlignment w:val="center"/>
              <w:rPr>
                <w:rFonts w:ascii="仿宋" w:hAnsi="仿宋" w:eastAsia="仿宋" w:cs="仿宋"/>
                <w:color w:val="000000"/>
                <w:szCs w:val="21"/>
                <w:highlight w:val="none"/>
                <w:lang w:eastAsia="zh-CN"/>
              </w:rPr>
            </w:pPr>
          </w:p>
        </w:tc>
        <w:tc>
          <w:tcPr>
            <w:tcW w:w="1415" w:type="pct"/>
            <w:vAlign w:val="center"/>
          </w:tcPr>
          <w:p w14:paraId="2CB36B4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1.7.7</w:t>
            </w:r>
            <w:r>
              <w:rPr>
                <w:rFonts w:ascii="仿宋" w:hAnsi="仿宋" w:eastAsia="仿宋" w:cs="仿宋"/>
                <w:color w:val="000000"/>
                <w:szCs w:val="21"/>
                <w:highlight w:val="none"/>
                <w:lang w:eastAsia="zh-CN"/>
              </w:rPr>
              <w:t>.4院科二级质控组织运用PDCA工具和根因分析法开展质量控制活动</w:t>
            </w:r>
          </w:p>
        </w:tc>
        <w:tc>
          <w:tcPr>
            <w:tcW w:w="1718" w:type="pct"/>
            <w:vAlign w:val="center"/>
          </w:tcPr>
          <w:p w14:paraId="6C946F5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院科二级质控组织运用PDCA工具和根因分析法</w:t>
            </w:r>
            <w:r>
              <w:rPr>
                <w:rFonts w:hint="eastAsia" w:ascii="仿宋" w:hAnsi="仿宋" w:eastAsia="仿宋" w:cs="仿宋"/>
                <w:color w:val="000000"/>
                <w:szCs w:val="21"/>
                <w:highlight w:val="none"/>
                <w:lang w:eastAsia="zh-CN"/>
              </w:rPr>
              <w:t>等质量管理工具</w:t>
            </w:r>
            <w:r>
              <w:rPr>
                <w:rFonts w:ascii="仿宋" w:hAnsi="仿宋" w:eastAsia="仿宋" w:cs="仿宋"/>
                <w:color w:val="000000"/>
                <w:szCs w:val="21"/>
                <w:highlight w:val="none"/>
                <w:lang w:eastAsia="zh-CN"/>
              </w:rPr>
              <w:t>开展质量控制活动</w:t>
            </w:r>
            <w:r>
              <w:rPr>
                <w:rFonts w:hint="eastAsia" w:ascii="仿宋" w:hAnsi="仿宋" w:eastAsia="仿宋" w:cs="仿宋"/>
                <w:color w:val="000000"/>
                <w:szCs w:val="21"/>
                <w:highlight w:val="none"/>
                <w:lang w:eastAsia="zh-CN"/>
              </w:rPr>
              <w:t>。</w:t>
            </w:r>
          </w:p>
        </w:tc>
      </w:tr>
      <w:tr w14:paraId="69C0F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702CEB2">
            <w:pPr>
              <w:textAlignment w:val="center"/>
              <w:rPr>
                <w:rFonts w:ascii="仿宋" w:hAnsi="仿宋" w:eastAsia="仿宋" w:cs="仿宋"/>
                <w:color w:val="000000"/>
                <w:szCs w:val="21"/>
                <w:highlight w:val="none"/>
                <w:lang w:eastAsia="zh-CN"/>
              </w:rPr>
            </w:pPr>
          </w:p>
        </w:tc>
        <w:tc>
          <w:tcPr>
            <w:tcW w:w="1234" w:type="pct"/>
            <w:vMerge w:val="continue"/>
            <w:vAlign w:val="center"/>
          </w:tcPr>
          <w:p w14:paraId="51ED7C5C">
            <w:pPr>
              <w:textAlignment w:val="center"/>
              <w:rPr>
                <w:rFonts w:ascii="仿宋" w:hAnsi="仿宋" w:eastAsia="仿宋" w:cs="仿宋"/>
                <w:color w:val="000000"/>
                <w:szCs w:val="21"/>
                <w:highlight w:val="none"/>
                <w:lang w:eastAsia="zh-CN"/>
              </w:rPr>
            </w:pPr>
          </w:p>
        </w:tc>
        <w:tc>
          <w:tcPr>
            <w:tcW w:w="1415" w:type="pct"/>
            <w:vAlign w:val="center"/>
          </w:tcPr>
          <w:p w14:paraId="4BB24470">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1.7.7</w:t>
            </w:r>
            <w:r>
              <w:rPr>
                <w:rFonts w:ascii="仿宋" w:hAnsi="仿宋" w:eastAsia="仿宋" w:cs="仿宋"/>
                <w:color w:val="000000"/>
                <w:szCs w:val="21"/>
                <w:highlight w:val="none"/>
              </w:rPr>
              <w:t>.5质控对象年度考核</w:t>
            </w:r>
          </w:p>
        </w:tc>
        <w:tc>
          <w:tcPr>
            <w:tcW w:w="1718" w:type="pct"/>
            <w:vAlign w:val="center"/>
          </w:tcPr>
          <w:p w14:paraId="092ADF73">
            <w:pP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省级质控中心依据相应管理办法对质控对象进行年度考核的结果。</w:t>
            </w:r>
          </w:p>
        </w:tc>
      </w:tr>
      <w:tr w14:paraId="7BD1E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643C6BD">
            <w:pPr>
              <w:textAlignment w:val="center"/>
              <w:rPr>
                <w:rFonts w:ascii="仿宋" w:hAnsi="仿宋" w:eastAsia="仿宋" w:cs="仿宋"/>
                <w:color w:val="000000"/>
                <w:szCs w:val="21"/>
                <w:highlight w:val="none"/>
                <w:lang w:eastAsia="zh-CN"/>
              </w:rPr>
            </w:pPr>
          </w:p>
        </w:tc>
        <w:tc>
          <w:tcPr>
            <w:tcW w:w="1234" w:type="pct"/>
            <w:vMerge w:val="restart"/>
            <w:vAlign w:val="center"/>
          </w:tcPr>
          <w:p w14:paraId="0D06D6C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药事管理核心制度建设与执行情况</w:t>
            </w:r>
          </w:p>
        </w:tc>
        <w:tc>
          <w:tcPr>
            <w:tcW w:w="1415" w:type="pct"/>
            <w:vAlign w:val="center"/>
          </w:tcPr>
          <w:p w14:paraId="22C0542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.1建立与完善医院药事管理组织，有工作职责、制度和计划，并落实</w:t>
            </w:r>
          </w:p>
        </w:tc>
        <w:tc>
          <w:tcPr>
            <w:tcW w:w="1718" w:type="pct"/>
            <w:vAlign w:val="center"/>
          </w:tcPr>
          <w:p w14:paraId="59991DF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1.设立药事管理与药物治疗学委员会及若干相关的药事管理工作组，人员组成规范，制度完善，职责明确，有协调机制。每年召开工作会议不</w:t>
            </w:r>
            <w:r>
              <w:rPr>
                <w:rFonts w:hint="eastAsia" w:ascii="仿宋" w:hAnsi="仿宋" w:eastAsia="仿宋" w:cs="仿宋"/>
                <w:color w:val="000000"/>
                <w:szCs w:val="21"/>
                <w:highlight w:val="none"/>
                <w:lang w:eastAsia="zh-CN"/>
              </w:rPr>
              <w:t>少</w:t>
            </w:r>
            <w:r>
              <w:rPr>
                <w:rFonts w:ascii="仿宋" w:hAnsi="仿宋" w:eastAsia="仿宋" w:cs="仿宋"/>
                <w:color w:val="000000"/>
                <w:szCs w:val="21"/>
                <w:highlight w:val="none"/>
                <w:lang w:eastAsia="zh-CN"/>
              </w:rPr>
              <w:t>于4次，有完整的相关资料</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2.建立药事管理及临床药学服务工作制度、职责、操作规程并及时修订。有药事法律法规、相关制度和合理用药知识的宣传、教育、培训，医务人员熟悉相关内容</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3.药事管理与药物治疗学委员会下设的各工作小组定期对组内工作开展情况进行专项检查，有保证制度、流程落实的相关措施</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4.有年度计划和工作总结，有数据及结果分析，运用质量管理工具开展药事质量管理工</w:t>
            </w:r>
            <w:r>
              <w:rPr>
                <w:rFonts w:hint="eastAsia" w:ascii="仿宋" w:hAnsi="仿宋" w:eastAsia="仿宋" w:cs="仿宋"/>
                <w:color w:val="000000"/>
                <w:szCs w:val="21"/>
                <w:highlight w:val="none"/>
                <w:lang w:eastAsia="zh-CN"/>
              </w:rPr>
              <w:t>作</w:t>
            </w:r>
            <w:r>
              <w:rPr>
                <w:rFonts w:ascii="仿宋" w:hAnsi="仿宋" w:eastAsia="仿宋" w:cs="仿宋"/>
                <w:color w:val="000000"/>
                <w:szCs w:val="21"/>
                <w:highlight w:val="none"/>
                <w:lang w:eastAsia="zh-CN"/>
              </w:rPr>
              <w:t>，体现药事管理工作的落实及持续改进</w:t>
            </w:r>
            <w:r>
              <w:rPr>
                <w:rFonts w:hint="eastAsia" w:ascii="仿宋" w:hAnsi="仿宋" w:eastAsia="仿宋" w:cs="仿宋"/>
                <w:color w:val="000000"/>
                <w:szCs w:val="21"/>
                <w:highlight w:val="none"/>
                <w:lang w:eastAsia="zh-CN"/>
              </w:rPr>
              <w:t>。</w:t>
            </w:r>
          </w:p>
        </w:tc>
      </w:tr>
      <w:tr w14:paraId="1F98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F16CA77">
            <w:pPr>
              <w:textAlignment w:val="center"/>
              <w:rPr>
                <w:rFonts w:ascii="仿宋" w:hAnsi="仿宋" w:eastAsia="仿宋" w:cs="仿宋"/>
                <w:color w:val="000000"/>
                <w:szCs w:val="21"/>
                <w:highlight w:val="none"/>
                <w:lang w:eastAsia="zh-CN"/>
              </w:rPr>
            </w:pPr>
          </w:p>
        </w:tc>
        <w:tc>
          <w:tcPr>
            <w:tcW w:w="1234" w:type="pct"/>
            <w:vMerge w:val="continue"/>
            <w:vAlign w:val="center"/>
          </w:tcPr>
          <w:p w14:paraId="117247EE">
            <w:pPr>
              <w:textAlignment w:val="center"/>
              <w:rPr>
                <w:rFonts w:ascii="仿宋" w:hAnsi="仿宋" w:eastAsia="仿宋" w:cs="仿宋"/>
                <w:color w:val="000000"/>
                <w:szCs w:val="21"/>
                <w:highlight w:val="none"/>
                <w:lang w:eastAsia="zh-CN"/>
              </w:rPr>
            </w:pPr>
          </w:p>
        </w:tc>
        <w:tc>
          <w:tcPr>
            <w:tcW w:w="1415" w:type="pct"/>
            <w:vAlign w:val="center"/>
          </w:tcPr>
          <w:p w14:paraId="3226B0C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.2加强药品管理，建立药品全流程监测系统</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保障药品质量和供应；“特殊管理药品”组织架构健全，制度完善，</w:t>
            </w:r>
            <w:r>
              <w:rPr>
                <w:rFonts w:hint="eastAsia" w:ascii="仿宋" w:hAnsi="仿宋" w:eastAsia="仿宋" w:cs="仿宋"/>
                <w:color w:val="000000"/>
                <w:szCs w:val="21"/>
                <w:highlight w:val="none"/>
                <w:lang w:eastAsia="zh-CN"/>
              </w:rPr>
              <w:t>各</w:t>
            </w:r>
            <w:r>
              <w:rPr>
                <w:rFonts w:ascii="仿宋" w:hAnsi="仿宋" w:eastAsia="仿宋" w:cs="仿宋"/>
                <w:color w:val="000000"/>
                <w:szCs w:val="21"/>
                <w:highlight w:val="none"/>
                <w:lang w:eastAsia="zh-CN"/>
              </w:rPr>
              <w:t>环节管理措施得当</w:t>
            </w:r>
          </w:p>
        </w:tc>
        <w:tc>
          <w:tcPr>
            <w:tcW w:w="1718" w:type="pct"/>
            <w:vAlign w:val="center"/>
          </w:tcPr>
          <w:p w14:paraId="73F1A43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1.</w:t>
            </w:r>
            <w:r>
              <w:rPr>
                <w:rFonts w:ascii="仿宋" w:hAnsi="仿宋" w:eastAsia="仿宋" w:cs="仿宋"/>
                <w:color w:val="000000"/>
                <w:szCs w:val="21"/>
                <w:highlight w:val="none"/>
                <w:lang w:eastAsia="zh-CN"/>
              </w:rPr>
              <w:t>药品遴选、采购、验收、储存、调剂、召回等制度健全</w:t>
            </w:r>
            <w:r>
              <w:rPr>
                <w:rFonts w:hint="eastAsia" w:ascii="仿宋" w:hAnsi="仿宋" w:eastAsia="仿宋" w:cs="仿宋"/>
                <w:color w:val="000000"/>
                <w:szCs w:val="21"/>
                <w:highlight w:val="none"/>
                <w:lang w:eastAsia="zh-CN"/>
              </w:rPr>
              <w:t>；</w:t>
            </w:r>
          </w:p>
          <w:p w14:paraId="19C4536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2.建立药品全流程监测系统。开展药品临床综合评价，科学遴选药品，定期评估药品采、供情况。药品管理和调剂流程规范，对特殊患者进行用药指导。药品召回有处置流程和应急预案</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3.医务、药学、门诊部等职能部门对调剂工作有督导检查、追踪评价，持续改进有成效</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4.“特殊管理药品”按照法律法规、行政规章制定相应的管理制度，组织架构健全，制度完善，有应急预案，有培训、考核，授予相应处方权</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5.“特殊管理药品”有安全设施，存放区域、标识和贮存方法符合相关规定，环节管理措施得当，实现来源可查，去向可追，责任可究的全程闭环式可追溯管理，并将临床科室麻精药品合理用药情况纳入医疗质量管理考核指标</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6.职能部门对“特殊管理药品”进行督导检查、总结、反馈，有改进措施，持续改进有成效</w:t>
            </w:r>
            <w:r>
              <w:rPr>
                <w:rFonts w:hint="eastAsia" w:ascii="仿宋" w:hAnsi="仿宋" w:eastAsia="仿宋" w:cs="仿宋"/>
                <w:color w:val="000000"/>
                <w:szCs w:val="21"/>
                <w:highlight w:val="none"/>
                <w:lang w:eastAsia="zh-CN"/>
              </w:rPr>
              <w:t>。</w:t>
            </w:r>
          </w:p>
        </w:tc>
      </w:tr>
      <w:tr w14:paraId="05F8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47CFA8A0">
            <w:pPr>
              <w:textAlignment w:val="center"/>
              <w:rPr>
                <w:rFonts w:ascii="仿宋" w:hAnsi="仿宋" w:eastAsia="仿宋" w:cs="仿宋"/>
                <w:color w:val="000000"/>
                <w:szCs w:val="21"/>
                <w:highlight w:val="none"/>
                <w:lang w:eastAsia="zh-CN"/>
              </w:rPr>
            </w:pPr>
          </w:p>
        </w:tc>
        <w:tc>
          <w:tcPr>
            <w:tcW w:w="1234" w:type="pct"/>
            <w:vMerge w:val="continue"/>
            <w:vAlign w:val="center"/>
          </w:tcPr>
          <w:p w14:paraId="5485ACCA">
            <w:pPr>
              <w:textAlignment w:val="center"/>
              <w:rPr>
                <w:rFonts w:ascii="仿宋" w:hAnsi="仿宋" w:eastAsia="仿宋" w:cs="仿宋"/>
                <w:color w:val="000000"/>
                <w:szCs w:val="21"/>
                <w:highlight w:val="none"/>
                <w:lang w:eastAsia="zh-CN"/>
              </w:rPr>
            </w:pPr>
          </w:p>
        </w:tc>
        <w:tc>
          <w:tcPr>
            <w:tcW w:w="1415" w:type="pct"/>
            <w:vAlign w:val="center"/>
          </w:tcPr>
          <w:p w14:paraId="2121399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.3实施临床药师制，加强临床药师队伍建设和培训，积极参与临床药物治疗，促进合理用药，拓展药学服务范围</w:t>
            </w:r>
          </w:p>
        </w:tc>
        <w:tc>
          <w:tcPr>
            <w:tcW w:w="1718" w:type="pct"/>
            <w:vAlign w:val="center"/>
          </w:tcPr>
          <w:p w14:paraId="62D7C2B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1.医院成立临床药师制工作领导小组，有临床药师培养计划，并纳入医院医疗技术人员培养计划，药学部有临床药师继续教育培训计划并落实</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临床药师全职从事临床药物治疗工作，包括药学查房、药物重整、制订监护计划、患者用药教育、药学会诊、血药浓度监测及报告解读、药学门诊等服务，体现相应作用，促进合理用药，拓展药学服务范围，各项工作记录完整。积极参与临床路径与DRG等相关工作，不断拓展药学服务范围</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3.临床药学工作开展有计划、督查和总结，存在问题有反馈及改进措施，促进合理用药有成效</w:t>
            </w:r>
            <w:r>
              <w:rPr>
                <w:rFonts w:hint="eastAsia" w:ascii="仿宋" w:hAnsi="仿宋" w:eastAsia="仿宋" w:cs="仿宋"/>
                <w:color w:val="000000"/>
                <w:szCs w:val="21"/>
                <w:highlight w:val="none"/>
                <w:lang w:eastAsia="zh-CN"/>
              </w:rPr>
              <w:t>。</w:t>
            </w:r>
          </w:p>
        </w:tc>
      </w:tr>
      <w:tr w14:paraId="0581E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29AEB0D">
            <w:pPr>
              <w:textAlignment w:val="center"/>
              <w:rPr>
                <w:rFonts w:ascii="仿宋" w:hAnsi="仿宋" w:eastAsia="仿宋" w:cs="仿宋"/>
                <w:color w:val="000000"/>
                <w:szCs w:val="21"/>
                <w:highlight w:val="none"/>
                <w:lang w:eastAsia="zh-CN"/>
              </w:rPr>
            </w:pPr>
          </w:p>
        </w:tc>
        <w:tc>
          <w:tcPr>
            <w:tcW w:w="1234" w:type="pct"/>
            <w:vMerge w:val="restart"/>
            <w:vAlign w:val="center"/>
          </w:tcPr>
          <w:p w14:paraId="32820A8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有完善的护理管理体系，落实优质护理</w:t>
            </w:r>
          </w:p>
        </w:tc>
        <w:tc>
          <w:tcPr>
            <w:tcW w:w="1415" w:type="pct"/>
            <w:vAlign w:val="center"/>
          </w:tcPr>
          <w:p w14:paraId="53C7895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.1护理管理委员会及多部门协调机制</w:t>
            </w:r>
          </w:p>
        </w:tc>
        <w:tc>
          <w:tcPr>
            <w:tcW w:w="1718" w:type="pct"/>
            <w:vAlign w:val="center"/>
          </w:tcPr>
          <w:p w14:paraId="5331749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1.</w:t>
            </w:r>
            <w:r>
              <w:rPr>
                <w:rFonts w:ascii="仿宋" w:hAnsi="仿宋" w:eastAsia="仿宋" w:cs="仿宋"/>
                <w:color w:val="000000"/>
                <w:szCs w:val="21"/>
                <w:highlight w:val="none"/>
                <w:lang w:eastAsia="zh-CN"/>
              </w:rPr>
              <w:t>有护理管理委员会，成员符合要求，</w:t>
            </w:r>
            <w:r>
              <w:rPr>
                <w:rFonts w:hint="eastAsia" w:ascii="仿宋" w:hAnsi="仿宋" w:eastAsia="仿宋" w:cs="仿宋"/>
                <w:color w:val="000000"/>
                <w:szCs w:val="21"/>
                <w:highlight w:val="none"/>
                <w:lang w:eastAsia="zh-CN"/>
              </w:rPr>
              <w:t>研究</w:t>
            </w:r>
            <w:r>
              <w:rPr>
                <w:rFonts w:ascii="仿宋" w:hAnsi="仿宋" w:eastAsia="仿宋" w:cs="仿宋"/>
                <w:color w:val="000000"/>
                <w:szCs w:val="21"/>
                <w:highlight w:val="none"/>
                <w:lang w:eastAsia="zh-CN"/>
              </w:rPr>
              <w:t>护理工作中的关键事项和问题</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并提出解决方案和支持保障措施</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2.护理工作五年规划、年度计划目标明确，符合医院总体规划、护理实际和学科发展方向，并纳入全院性文件中</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3.实行三级管理制度，各级护理管理岗位任职条件和职责明确，推动护理质量与安全的提升和护理专业的发展</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4.建立有效的多部门协调机制、落实工作方案</w:t>
            </w:r>
            <w:r>
              <w:rPr>
                <w:rFonts w:hint="eastAsia" w:ascii="仿宋" w:hAnsi="仿宋" w:eastAsia="仿宋" w:cs="仿宋"/>
                <w:color w:val="000000"/>
                <w:szCs w:val="21"/>
                <w:highlight w:val="none"/>
                <w:lang w:eastAsia="zh-CN"/>
              </w:rPr>
              <w:t>。</w:t>
            </w:r>
          </w:p>
        </w:tc>
      </w:tr>
      <w:tr w14:paraId="3A058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1A7120A8">
            <w:pPr>
              <w:textAlignment w:val="center"/>
              <w:rPr>
                <w:rFonts w:ascii="仿宋" w:hAnsi="仿宋" w:eastAsia="仿宋" w:cs="仿宋"/>
                <w:color w:val="000000"/>
                <w:szCs w:val="21"/>
                <w:highlight w:val="none"/>
                <w:lang w:eastAsia="zh-CN"/>
              </w:rPr>
            </w:pPr>
          </w:p>
        </w:tc>
        <w:tc>
          <w:tcPr>
            <w:tcW w:w="1234" w:type="pct"/>
            <w:vMerge w:val="continue"/>
            <w:vAlign w:val="center"/>
          </w:tcPr>
          <w:p w14:paraId="226A669A">
            <w:pPr>
              <w:textAlignment w:val="center"/>
              <w:rPr>
                <w:rFonts w:ascii="仿宋" w:hAnsi="仿宋" w:eastAsia="仿宋" w:cs="仿宋"/>
                <w:color w:val="000000"/>
                <w:szCs w:val="21"/>
                <w:highlight w:val="none"/>
                <w:lang w:eastAsia="zh-CN"/>
              </w:rPr>
            </w:pPr>
          </w:p>
        </w:tc>
        <w:tc>
          <w:tcPr>
            <w:tcW w:w="1415" w:type="pct"/>
            <w:vAlign w:val="center"/>
          </w:tcPr>
          <w:p w14:paraId="5CB94EE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.2护理质量与安全管理体系健全有效</w:t>
            </w:r>
          </w:p>
        </w:tc>
        <w:tc>
          <w:tcPr>
            <w:tcW w:w="1718" w:type="pct"/>
            <w:vAlign w:val="center"/>
          </w:tcPr>
          <w:p w14:paraId="1A66F1A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1.成立护理质量与安全管理委员会，全面负责医院护理质量管理</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2.建立护理部-科-病区或护理部-病区护理质量与安全管理组织架构，按相关要求和专科特点开展护理质量管理</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3.常规、流程、</w:t>
            </w:r>
            <w:r>
              <w:rPr>
                <w:rFonts w:hint="eastAsia" w:ascii="仿宋" w:hAnsi="仿宋" w:eastAsia="仿宋" w:cs="仿宋"/>
                <w:color w:val="000000"/>
                <w:szCs w:val="21"/>
                <w:highlight w:val="none"/>
                <w:lang w:eastAsia="zh-CN"/>
              </w:rPr>
              <w:t>操作</w:t>
            </w:r>
            <w:r>
              <w:rPr>
                <w:rFonts w:ascii="仿宋" w:hAnsi="仿宋" w:eastAsia="仿宋" w:cs="仿宋"/>
                <w:color w:val="000000"/>
                <w:szCs w:val="21"/>
                <w:highlight w:val="none"/>
                <w:lang w:eastAsia="zh-CN"/>
              </w:rPr>
              <w:t>并发症预防、应急预案等符合行业发展及临床需求，能起到指导和引领临床护理工作的作用</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4.根据相关文件、指南、标准、专科特点和本标准要求制定并监测护理质量和安全敏感指标，有明确目标和达标措施</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5.应用信息系统采集质量安全指标数据，至少按季度进行汇总、分析、公布，并采取针对性改进措施</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6.按省护理专业质控中心要求及时、准确上报护理质量监测平台并分析改进</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7.持续质量改进成效明显</w:t>
            </w:r>
            <w:r>
              <w:rPr>
                <w:rFonts w:hint="eastAsia" w:ascii="仿宋" w:hAnsi="仿宋" w:eastAsia="仿宋" w:cs="仿宋"/>
                <w:color w:val="000000"/>
                <w:szCs w:val="21"/>
                <w:highlight w:val="none"/>
                <w:lang w:eastAsia="zh-CN"/>
              </w:rPr>
              <w:t>。</w:t>
            </w:r>
          </w:p>
        </w:tc>
      </w:tr>
      <w:tr w14:paraId="078C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2B21F3DE">
            <w:pPr>
              <w:textAlignment w:val="center"/>
              <w:rPr>
                <w:rFonts w:ascii="仿宋" w:hAnsi="仿宋" w:eastAsia="仿宋" w:cs="仿宋"/>
                <w:color w:val="000000"/>
                <w:szCs w:val="21"/>
                <w:highlight w:val="none"/>
                <w:lang w:eastAsia="zh-CN"/>
              </w:rPr>
            </w:pPr>
          </w:p>
        </w:tc>
        <w:tc>
          <w:tcPr>
            <w:tcW w:w="1234" w:type="pct"/>
            <w:vMerge w:val="continue"/>
            <w:vAlign w:val="center"/>
          </w:tcPr>
          <w:p w14:paraId="4E0250EC">
            <w:pPr>
              <w:textAlignment w:val="center"/>
              <w:rPr>
                <w:rFonts w:ascii="仿宋" w:hAnsi="仿宋" w:eastAsia="仿宋" w:cs="仿宋"/>
                <w:color w:val="000000"/>
                <w:szCs w:val="21"/>
                <w:highlight w:val="none"/>
                <w:lang w:eastAsia="zh-CN"/>
              </w:rPr>
            </w:pPr>
          </w:p>
        </w:tc>
        <w:tc>
          <w:tcPr>
            <w:tcW w:w="1415" w:type="pct"/>
            <w:vAlign w:val="center"/>
          </w:tcPr>
          <w:p w14:paraId="6DD0611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.3护理人力资源管理体系健全有效</w:t>
            </w:r>
          </w:p>
        </w:tc>
        <w:tc>
          <w:tcPr>
            <w:tcW w:w="1718" w:type="pct"/>
            <w:vAlign w:val="center"/>
          </w:tcPr>
          <w:p w14:paraId="41BD1FA3">
            <w:pPr>
              <w:numPr>
                <w:ilvl w:val="1"/>
                <w:numId w:val="25"/>
              </w:num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严格落实《护士条例》等法律法规相关要求</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2.落实《江苏省实施医院护士岗位管理指导意见（2024年版）》相关要求</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3.以临床服务能力和专业技术水平为指标，对护士实行分层级管理，建立并落实分级晋阶、分级培训、分级使用规范</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4.有机动护士储备库，紧急调配有效，人员能力符合紧急调配岗位需求</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5.排班应体现患者病情与护士能力相适应、护士能力搭配、人性化管理、动态弹性等原则</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6.建立“临床导向，风险强度导向、以质为先”的绩效考核机制，并与晋升晋级、奖金、培训挂钩</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7.建立智能化的人力资源管理系统，高效高质完成以上工作</w:t>
            </w:r>
            <w:r>
              <w:rPr>
                <w:rFonts w:hint="eastAsia" w:ascii="仿宋" w:hAnsi="仿宋" w:eastAsia="仿宋" w:cs="仿宋"/>
                <w:color w:val="000000"/>
                <w:szCs w:val="21"/>
                <w:highlight w:val="none"/>
                <w:lang w:eastAsia="zh-CN"/>
              </w:rPr>
              <w:t>。</w:t>
            </w:r>
          </w:p>
        </w:tc>
      </w:tr>
      <w:tr w14:paraId="53C6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66E16B8">
            <w:pPr>
              <w:textAlignment w:val="center"/>
              <w:rPr>
                <w:rFonts w:ascii="仿宋" w:hAnsi="仿宋" w:eastAsia="仿宋" w:cs="仿宋"/>
                <w:color w:val="000000"/>
                <w:szCs w:val="21"/>
                <w:highlight w:val="none"/>
                <w:lang w:eastAsia="zh-CN"/>
              </w:rPr>
            </w:pPr>
          </w:p>
        </w:tc>
        <w:tc>
          <w:tcPr>
            <w:tcW w:w="1234" w:type="pct"/>
            <w:vMerge w:val="continue"/>
            <w:vAlign w:val="center"/>
          </w:tcPr>
          <w:p w14:paraId="337078BF">
            <w:pPr>
              <w:textAlignment w:val="center"/>
              <w:rPr>
                <w:rFonts w:ascii="仿宋" w:hAnsi="仿宋" w:eastAsia="仿宋" w:cs="仿宋"/>
                <w:color w:val="000000"/>
                <w:szCs w:val="21"/>
                <w:highlight w:val="none"/>
                <w:lang w:eastAsia="zh-CN"/>
              </w:rPr>
            </w:pPr>
          </w:p>
        </w:tc>
        <w:tc>
          <w:tcPr>
            <w:tcW w:w="1415" w:type="pct"/>
            <w:vAlign w:val="center"/>
          </w:tcPr>
          <w:p w14:paraId="3E572A2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.4有明确的护理学科发展规划</w:t>
            </w:r>
          </w:p>
        </w:tc>
        <w:tc>
          <w:tcPr>
            <w:tcW w:w="1718" w:type="pct"/>
            <w:vAlign w:val="center"/>
          </w:tcPr>
          <w:p w14:paraId="5ABD3A5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1.有促进护理学科发展的具体计划和落地方案，计划纳入医院、护理工作规划和计划</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2.有护理人才培养方案及保障措施，每百张床位市级及以上专科护士占比</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2名</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3.建立以指标为牵引的专科质量提升计划，系统落实2个专病，成效明显</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4.至少有1项</w:t>
            </w:r>
            <w:r>
              <w:rPr>
                <w:rFonts w:hint="eastAsia" w:ascii="仿宋" w:hAnsi="仿宋" w:eastAsia="仿宋" w:cs="仿宋"/>
                <w:color w:val="000000"/>
                <w:szCs w:val="21"/>
                <w:highlight w:val="none"/>
                <w:lang w:eastAsia="zh-CN"/>
              </w:rPr>
              <w:t>改革创新项目落地临床应用，并取得良好成效。</w:t>
            </w:r>
          </w:p>
        </w:tc>
      </w:tr>
      <w:tr w14:paraId="58F2C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4FF7608">
            <w:pPr>
              <w:textAlignment w:val="center"/>
              <w:rPr>
                <w:rFonts w:ascii="仿宋" w:hAnsi="仿宋" w:eastAsia="仿宋" w:cs="仿宋"/>
                <w:color w:val="000000"/>
                <w:szCs w:val="21"/>
                <w:highlight w:val="none"/>
                <w:lang w:eastAsia="zh-CN"/>
              </w:rPr>
            </w:pPr>
          </w:p>
        </w:tc>
        <w:tc>
          <w:tcPr>
            <w:tcW w:w="1234" w:type="pct"/>
            <w:vMerge w:val="continue"/>
            <w:vAlign w:val="center"/>
          </w:tcPr>
          <w:p w14:paraId="4C8F96DC">
            <w:pPr>
              <w:textAlignment w:val="center"/>
              <w:rPr>
                <w:rFonts w:ascii="仿宋" w:hAnsi="仿宋" w:eastAsia="仿宋" w:cs="仿宋"/>
                <w:color w:val="000000"/>
                <w:szCs w:val="21"/>
                <w:highlight w:val="none"/>
                <w:lang w:eastAsia="zh-CN"/>
              </w:rPr>
            </w:pPr>
          </w:p>
        </w:tc>
        <w:tc>
          <w:tcPr>
            <w:tcW w:w="1415" w:type="pct"/>
            <w:vAlign w:val="center"/>
          </w:tcPr>
          <w:p w14:paraId="73FDC3C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.5全面开展优质护理服务，保证临床护理质量</w:t>
            </w:r>
          </w:p>
        </w:tc>
        <w:tc>
          <w:tcPr>
            <w:tcW w:w="1718" w:type="pct"/>
            <w:vAlign w:val="center"/>
          </w:tcPr>
          <w:p w14:paraId="3CB7298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1.优质护理服务覆盖率100%</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 xml:space="preserve">                                                    2.有深化优质护理服务的方案及激励机制</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 xml:space="preserve">      </w:t>
            </w:r>
          </w:p>
          <w:p w14:paraId="61A75E7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3.实施责任制整体护理模式。以解决患者健康问题和改善健康结局程度为导向提供个性化、专科化护理措施，并体现持续改进</w:t>
            </w:r>
            <w:r>
              <w:rPr>
                <w:rFonts w:hint="eastAsia" w:ascii="仿宋" w:hAnsi="仿宋" w:eastAsia="仿宋" w:cs="仿宋"/>
                <w:color w:val="000000"/>
                <w:szCs w:val="21"/>
                <w:highlight w:val="none"/>
                <w:lang w:eastAsia="zh-CN"/>
              </w:rPr>
              <w:t>；</w:t>
            </w:r>
          </w:p>
          <w:p w14:paraId="62E3A64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4.护理服务主动、及时，体现人文关怀</w:t>
            </w:r>
            <w:r>
              <w:rPr>
                <w:rFonts w:hint="eastAsia" w:ascii="仿宋" w:hAnsi="仿宋" w:eastAsia="仿宋" w:cs="仿宋"/>
                <w:color w:val="000000"/>
                <w:szCs w:val="21"/>
                <w:highlight w:val="none"/>
                <w:lang w:eastAsia="zh-CN"/>
              </w:rPr>
              <w:t>；</w:t>
            </w:r>
          </w:p>
          <w:p w14:paraId="279C012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5.开展优质护理的保障措施到位                                6.护理记录格式和内容符合江苏省病历书写规范要求</w:t>
            </w:r>
            <w:r>
              <w:rPr>
                <w:rFonts w:hint="eastAsia" w:ascii="仿宋" w:hAnsi="仿宋" w:eastAsia="仿宋" w:cs="仿宋"/>
                <w:color w:val="000000"/>
                <w:szCs w:val="21"/>
                <w:highlight w:val="none"/>
                <w:lang w:eastAsia="zh-CN"/>
              </w:rPr>
              <w:t>；</w:t>
            </w:r>
          </w:p>
          <w:p w14:paraId="088703D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7.至少在2个科室开展免陪照护服务，符合文件要求</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 xml:space="preserve">                                                                                            8.结合专业特点，开展优质护理服务特色项目，有成效</w:t>
            </w:r>
            <w:r>
              <w:rPr>
                <w:rFonts w:hint="eastAsia" w:ascii="仿宋" w:hAnsi="仿宋" w:eastAsia="仿宋" w:cs="仿宋"/>
                <w:color w:val="000000"/>
                <w:szCs w:val="21"/>
                <w:highlight w:val="none"/>
                <w:lang w:eastAsia="zh-CN"/>
              </w:rPr>
              <w:t>；</w:t>
            </w:r>
          </w:p>
          <w:p w14:paraId="7246A50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9.患者对护理工作满意度</w:t>
            </w:r>
            <w:r>
              <w:rPr>
                <w:rFonts w:hint="eastAsia" w:ascii="仿宋" w:hAnsi="仿宋" w:eastAsia="仿宋" w:cs="仿宋"/>
                <w:color w:val="000000"/>
                <w:szCs w:val="21"/>
                <w:highlight w:val="none"/>
                <w:lang w:eastAsia="zh-CN"/>
              </w:rPr>
              <w:t>≥90</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w:t>
            </w:r>
          </w:p>
        </w:tc>
      </w:tr>
      <w:tr w14:paraId="0B5AA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4882D23">
            <w:pPr>
              <w:textAlignment w:val="center"/>
              <w:rPr>
                <w:rFonts w:ascii="仿宋" w:hAnsi="仿宋" w:eastAsia="仿宋" w:cs="仿宋"/>
                <w:color w:val="000000"/>
                <w:szCs w:val="21"/>
                <w:highlight w:val="none"/>
                <w:lang w:eastAsia="zh-CN"/>
              </w:rPr>
            </w:pPr>
          </w:p>
        </w:tc>
        <w:tc>
          <w:tcPr>
            <w:tcW w:w="1234" w:type="pct"/>
            <w:vMerge w:val="restart"/>
            <w:vAlign w:val="center"/>
          </w:tcPr>
          <w:p w14:paraId="2F49580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落实医院感染预防控制标准与规范、开展医院感染监测并持续改进</w:t>
            </w:r>
          </w:p>
        </w:tc>
        <w:tc>
          <w:tcPr>
            <w:tcW w:w="1415" w:type="pct"/>
            <w:vAlign w:val="center"/>
          </w:tcPr>
          <w:p w14:paraId="263156D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.1有医院感染管理委员会及多部门协调机制</w:t>
            </w:r>
          </w:p>
        </w:tc>
        <w:tc>
          <w:tcPr>
            <w:tcW w:w="1718" w:type="pct"/>
            <w:vAlign w:val="center"/>
          </w:tcPr>
          <w:p w14:paraId="3E9BB47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1.建立医院感染管理委员会</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2.建立多部门协调机制</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3.将医院感染管理纳入医院总体工作规划和质量与安全管理目标，制定和落实工作计划</w:t>
            </w:r>
            <w:r>
              <w:rPr>
                <w:rFonts w:hint="eastAsia" w:ascii="仿宋" w:hAnsi="仿宋" w:eastAsia="仿宋" w:cs="仿宋"/>
                <w:color w:val="000000"/>
                <w:szCs w:val="21"/>
                <w:highlight w:val="none"/>
                <w:lang w:eastAsia="zh-CN"/>
              </w:rPr>
              <w:t>。</w:t>
            </w:r>
          </w:p>
        </w:tc>
      </w:tr>
      <w:tr w14:paraId="36B72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293CF2C">
            <w:pPr>
              <w:textAlignment w:val="center"/>
              <w:rPr>
                <w:rFonts w:ascii="仿宋" w:hAnsi="仿宋" w:eastAsia="仿宋" w:cs="仿宋"/>
                <w:color w:val="000000"/>
                <w:szCs w:val="21"/>
                <w:highlight w:val="none"/>
                <w:lang w:eastAsia="zh-CN"/>
              </w:rPr>
            </w:pPr>
          </w:p>
        </w:tc>
        <w:tc>
          <w:tcPr>
            <w:tcW w:w="1234" w:type="pct"/>
            <w:vMerge w:val="continue"/>
            <w:vAlign w:val="center"/>
          </w:tcPr>
          <w:p w14:paraId="4A2ABD97">
            <w:pPr>
              <w:textAlignment w:val="center"/>
              <w:rPr>
                <w:rFonts w:ascii="仿宋" w:hAnsi="仿宋" w:eastAsia="仿宋" w:cs="仿宋"/>
                <w:color w:val="000000"/>
                <w:szCs w:val="21"/>
                <w:highlight w:val="none"/>
                <w:lang w:eastAsia="zh-CN"/>
              </w:rPr>
            </w:pPr>
          </w:p>
        </w:tc>
        <w:tc>
          <w:tcPr>
            <w:tcW w:w="1415" w:type="pct"/>
            <w:vAlign w:val="center"/>
          </w:tcPr>
          <w:p w14:paraId="17CC631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.2落实医院感染标准预防</w:t>
            </w:r>
          </w:p>
        </w:tc>
        <w:tc>
          <w:tcPr>
            <w:tcW w:w="1718" w:type="pct"/>
            <w:vAlign w:val="center"/>
          </w:tcPr>
          <w:p w14:paraId="524D887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1.有院、科两级对标准预防规范执行情况的监管，对存在问题有分析、反馈和整改建议</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2.按规范、产品说明书要求定期对消毒设备设施、消毒剂的消毒或灭菌效果进行监测，并有记录</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3.环境卫生学监测频次符合医院感染防控要求</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4.医疗废物的分类收集、运送、暂存、登记和交接符合要求</w:t>
            </w:r>
            <w:r>
              <w:rPr>
                <w:rFonts w:hint="eastAsia" w:ascii="仿宋" w:hAnsi="仿宋" w:eastAsia="仿宋" w:cs="仿宋"/>
                <w:color w:val="000000"/>
                <w:szCs w:val="21"/>
                <w:highlight w:val="none"/>
                <w:lang w:eastAsia="zh-CN"/>
              </w:rPr>
              <w:t>。</w:t>
            </w:r>
          </w:p>
        </w:tc>
      </w:tr>
      <w:tr w14:paraId="713D1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373CD6DA">
            <w:pPr>
              <w:textAlignment w:val="center"/>
              <w:rPr>
                <w:rFonts w:ascii="仿宋" w:hAnsi="仿宋" w:eastAsia="仿宋" w:cs="仿宋"/>
                <w:color w:val="000000"/>
                <w:szCs w:val="21"/>
                <w:highlight w:val="none"/>
                <w:lang w:eastAsia="zh-CN"/>
              </w:rPr>
            </w:pPr>
          </w:p>
        </w:tc>
        <w:tc>
          <w:tcPr>
            <w:tcW w:w="1234" w:type="pct"/>
            <w:vMerge w:val="continue"/>
            <w:vAlign w:val="center"/>
          </w:tcPr>
          <w:p w14:paraId="4E480609">
            <w:pPr>
              <w:textAlignment w:val="center"/>
              <w:rPr>
                <w:rFonts w:ascii="仿宋" w:hAnsi="仿宋" w:eastAsia="仿宋" w:cs="仿宋"/>
                <w:color w:val="000000"/>
                <w:szCs w:val="21"/>
                <w:highlight w:val="none"/>
                <w:lang w:eastAsia="zh-CN"/>
              </w:rPr>
            </w:pPr>
          </w:p>
        </w:tc>
        <w:tc>
          <w:tcPr>
            <w:tcW w:w="1415" w:type="pct"/>
            <w:vAlign w:val="center"/>
          </w:tcPr>
          <w:p w14:paraId="2F525DB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.3开展医院感染监测工作，定期对感染监测的数据进行统计分析、反馈，持续改进</w:t>
            </w:r>
          </w:p>
        </w:tc>
        <w:tc>
          <w:tcPr>
            <w:tcW w:w="1718" w:type="pct"/>
            <w:vAlign w:val="center"/>
          </w:tcPr>
          <w:p w14:paraId="0DA0AC9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1.定期对医院感染管理医疗质量控制指标及其变化趋势进行统计分析、反馈和持续改进</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2.定期开展医院感染风险评估，针对感染较高风险的科室制定针对性的预防控制措施，体现质量持续改进</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3.制定医院感染暴发应急处置预案并定期演练</w:t>
            </w:r>
            <w:r>
              <w:rPr>
                <w:rFonts w:hint="eastAsia" w:ascii="仿宋" w:hAnsi="仿宋" w:eastAsia="仿宋" w:cs="仿宋"/>
                <w:color w:val="000000"/>
                <w:szCs w:val="21"/>
                <w:highlight w:val="none"/>
                <w:lang w:eastAsia="zh-CN"/>
              </w:rPr>
              <w:t>。</w:t>
            </w:r>
          </w:p>
        </w:tc>
      </w:tr>
      <w:tr w14:paraId="5528F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01AFFD9">
            <w:pPr>
              <w:textAlignment w:val="center"/>
              <w:rPr>
                <w:rFonts w:ascii="仿宋" w:hAnsi="仿宋" w:eastAsia="仿宋" w:cs="仿宋"/>
                <w:color w:val="000000"/>
                <w:szCs w:val="21"/>
                <w:highlight w:val="none"/>
                <w:lang w:eastAsia="zh-CN"/>
              </w:rPr>
            </w:pPr>
          </w:p>
        </w:tc>
        <w:tc>
          <w:tcPr>
            <w:tcW w:w="1234" w:type="pct"/>
            <w:vMerge w:val="continue"/>
            <w:vAlign w:val="center"/>
          </w:tcPr>
          <w:p w14:paraId="48C93AC0">
            <w:pPr>
              <w:textAlignment w:val="center"/>
              <w:rPr>
                <w:rFonts w:ascii="仿宋" w:hAnsi="仿宋" w:eastAsia="仿宋" w:cs="仿宋"/>
                <w:color w:val="000000"/>
                <w:szCs w:val="21"/>
                <w:highlight w:val="none"/>
                <w:lang w:eastAsia="zh-CN"/>
              </w:rPr>
            </w:pPr>
          </w:p>
        </w:tc>
        <w:tc>
          <w:tcPr>
            <w:tcW w:w="1415" w:type="pct"/>
            <w:vAlign w:val="center"/>
          </w:tcPr>
          <w:p w14:paraId="5D70AF0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.4对重点部门、重点环节、重点人群开展监测并持续改进</w:t>
            </w:r>
          </w:p>
        </w:tc>
        <w:tc>
          <w:tcPr>
            <w:tcW w:w="1718" w:type="pct"/>
            <w:vAlign w:val="center"/>
          </w:tcPr>
          <w:p w14:paraId="6ED1A68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1.制定重点部门、重点环节、重点人群与高危险因素的监测计划，包含监测范围、监测方法、监测内容和监测质量控制要求等并组织实施</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2.科室对感染监测数据有自查，对存在的问题有总结、有分析</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3.主管部门对监测情况进行定期核查指导，对存在的问题及时反馈，并提出整改建议</w:t>
            </w:r>
            <w:r>
              <w:rPr>
                <w:rFonts w:hint="eastAsia" w:ascii="仿宋" w:hAnsi="仿宋" w:eastAsia="仿宋" w:cs="仿宋"/>
                <w:color w:val="000000"/>
                <w:szCs w:val="21"/>
                <w:highlight w:val="none"/>
                <w:lang w:eastAsia="zh-CN"/>
              </w:rPr>
              <w:t>。</w:t>
            </w:r>
          </w:p>
        </w:tc>
      </w:tr>
      <w:tr w14:paraId="7CBD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73C46136">
            <w:pPr>
              <w:textAlignment w:val="center"/>
              <w:rPr>
                <w:rFonts w:ascii="仿宋" w:hAnsi="仿宋" w:eastAsia="仿宋" w:cs="仿宋"/>
                <w:color w:val="000000"/>
                <w:szCs w:val="21"/>
                <w:highlight w:val="none"/>
                <w:lang w:eastAsia="zh-CN"/>
              </w:rPr>
            </w:pPr>
          </w:p>
        </w:tc>
        <w:tc>
          <w:tcPr>
            <w:tcW w:w="1234" w:type="pct"/>
            <w:vMerge w:val="restart"/>
            <w:vAlign w:val="center"/>
          </w:tcPr>
          <w:p w14:paraId="0BE70A5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1.7.11 落实《医疗技术临床应用管理办法》，依法依规开展医疗技术</w:t>
            </w:r>
          </w:p>
        </w:tc>
        <w:tc>
          <w:tcPr>
            <w:tcW w:w="1415" w:type="pct"/>
            <w:vAlign w:val="center"/>
          </w:tcPr>
          <w:p w14:paraId="0854813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1.7.11.1</w:t>
            </w:r>
            <w:r>
              <w:rPr>
                <w:rFonts w:ascii="仿宋" w:hAnsi="仿宋" w:eastAsia="仿宋" w:cs="仿宋"/>
                <w:color w:val="000000"/>
                <w:szCs w:val="21"/>
                <w:highlight w:val="none"/>
                <w:lang w:eastAsia="zh-CN"/>
              </w:rPr>
              <w:t>建立与完善医院</w:t>
            </w:r>
            <w:r>
              <w:rPr>
                <w:rFonts w:hint="eastAsia" w:ascii="仿宋" w:hAnsi="仿宋" w:eastAsia="仿宋" w:cs="仿宋"/>
                <w:color w:val="000000"/>
                <w:szCs w:val="21"/>
                <w:highlight w:val="none"/>
                <w:lang w:eastAsia="zh-CN"/>
              </w:rPr>
              <w:t>医疗技术</w:t>
            </w:r>
            <w:r>
              <w:rPr>
                <w:rFonts w:ascii="仿宋" w:hAnsi="仿宋" w:eastAsia="仿宋" w:cs="仿宋"/>
                <w:color w:val="000000"/>
                <w:szCs w:val="21"/>
                <w:highlight w:val="none"/>
                <w:lang w:eastAsia="zh-CN"/>
              </w:rPr>
              <w:t>管理组织，有工作职责、制度和计划，并落实</w:t>
            </w:r>
          </w:p>
        </w:tc>
        <w:tc>
          <w:tcPr>
            <w:tcW w:w="1718" w:type="pct"/>
            <w:vAlign w:val="center"/>
          </w:tcPr>
          <w:p w14:paraId="495D277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1.医院成立医疗技术临床应用管理委员会，由医务、质量管理、药学、护理、院感、设备等部门负责人和具有高级技术职务任职资格的临床、管理、伦理等相关专业人员组成；委员会负责人应为医疗机构负责人。</w:t>
            </w:r>
            <w:r>
              <w:rPr>
                <w:rFonts w:ascii="仿宋" w:hAnsi="仿宋" w:eastAsia="仿宋" w:cs="仿宋"/>
                <w:color w:val="000000"/>
                <w:szCs w:val="21"/>
                <w:highlight w:val="none"/>
                <w:lang w:eastAsia="zh-CN"/>
              </w:rPr>
              <w:t>医疗技术临床应用管理委员会制定年度计划并落实，有工作记录，可追溯</w:t>
            </w:r>
            <w:r>
              <w:rPr>
                <w:rFonts w:hint="eastAsia" w:ascii="仿宋" w:hAnsi="仿宋" w:eastAsia="仿宋" w:cs="仿宋"/>
                <w:color w:val="000000"/>
                <w:szCs w:val="21"/>
                <w:highlight w:val="none"/>
                <w:lang w:eastAsia="zh-CN"/>
              </w:rPr>
              <w:t>；</w:t>
            </w:r>
          </w:p>
          <w:p w14:paraId="1270C5D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2.</w:t>
            </w:r>
            <w:r>
              <w:rPr>
                <w:rFonts w:ascii="仿宋" w:hAnsi="仿宋" w:eastAsia="仿宋" w:cs="仿宋"/>
                <w:color w:val="000000"/>
                <w:szCs w:val="21"/>
                <w:highlight w:val="none"/>
                <w:lang w:eastAsia="zh-CN"/>
              </w:rPr>
              <w:t>医院建立医疗技术临床应用管理制度，主要包括但不限于所开展技术的手术目录管理、手术分级管理、医师授权管理、质量控制管理、动态评估等制度。</w:t>
            </w:r>
          </w:p>
          <w:p w14:paraId="5C321DB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医院要建立医疗技术负面清单管理制度，对禁止类技术和限制类技术实行分类管理</w:t>
            </w:r>
            <w:r>
              <w:rPr>
                <w:rFonts w:hint="eastAsia" w:ascii="仿宋" w:hAnsi="仿宋" w:eastAsia="仿宋" w:cs="仿宋"/>
                <w:color w:val="000000"/>
                <w:szCs w:val="21"/>
                <w:highlight w:val="none"/>
                <w:lang w:eastAsia="zh-CN"/>
              </w:rPr>
              <w:t>；</w:t>
            </w:r>
          </w:p>
          <w:p w14:paraId="5393573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w:t>
            </w:r>
            <w:r>
              <w:rPr>
                <w:rFonts w:ascii="仿宋" w:hAnsi="仿宋" w:eastAsia="仿宋" w:cs="仿宋"/>
                <w:color w:val="000000"/>
                <w:szCs w:val="21"/>
                <w:highlight w:val="none"/>
                <w:lang w:eastAsia="zh-CN"/>
              </w:rPr>
              <w:t>医疗技术管理档案保存完整。</w:t>
            </w:r>
          </w:p>
        </w:tc>
      </w:tr>
      <w:tr w14:paraId="0D3F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2D1C7F67">
            <w:pPr>
              <w:textAlignment w:val="center"/>
              <w:rPr>
                <w:rFonts w:ascii="仿宋" w:hAnsi="仿宋" w:eastAsia="仿宋" w:cs="仿宋"/>
                <w:color w:val="000000"/>
                <w:szCs w:val="21"/>
                <w:highlight w:val="none"/>
                <w:lang w:eastAsia="zh-CN"/>
              </w:rPr>
            </w:pPr>
          </w:p>
        </w:tc>
        <w:tc>
          <w:tcPr>
            <w:tcW w:w="1234" w:type="pct"/>
            <w:vMerge w:val="continue"/>
            <w:vAlign w:val="center"/>
          </w:tcPr>
          <w:p w14:paraId="6D11B3D9">
            <w:pPr>
              <w:textAlignment w:val="center"/>
              <w:rPr>
                <w:rFonts w:ascii="仿宋" w:hAnsi="仿宋" w:eastAsia="仿宋" w:cs="仿宋"/>
                <w:color w:val="000000"/>
                <w:szCs w:val="21"/>
                <w:highlight w:val="none"/>
                <w:lang w:eastAsia="zh-CN"/>
              </w:rPr>
            </w:pPr>
          </w:p>
        </w:tc>
        <w:tc>
          <w:tcPr>
            <w:tcW w:w="1415" w:type="pct"/>
            <w:vAlign w:val="center"/>
          </w:tcPr>
          <w:p w14:paraId="2B76041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1.7.11.2医院开展限制性医疗技术应当履行自我评估和备案程序</w:t>
            </w:r>
          </w:p>
        </w:tc>
        <w:tc>
          <w:tcPr>
            <w:tcW w:w="1718" w:type="pct"/>
            <w:vAlign w:val="center"/>
          </w:tcPr>
          <w:p w14:paraId="31556B9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1.医院开展限制类技术，应当按照《医疗技术临床应用管理办法》进行自我评估，内容包括但不限于对医院、开展人员，技术管理、设备设施和环境等方面的基本要求；</w:t>
            </w:r>
          </w:p>
          <w:p w14:paraId="0E263D3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2.</w:t>
            </w:r>
            <w:r>
              <w:rPr>
                <w:rFonts w:ascii="仿宋" w:hAnsi="仿宋" w:eastAsia="仿宋" w:cs="仿宋"/>
                <w:color w:val="000000"/>
                <w:szCs w:val="21"/>
                <w:highlight w:val="none"/>
                <w:lang w:eastAsia="zh-CN"/>
              </w:rPr>
              <w:t>医院开展限制性医疗技术应当履行规范的申请、审批流程，至少包括科室、伦理</w:t>
            </w:r>
            <w:r>
              <w:rPr>
                <w:rFonts w:hint="eastAsia" w:ascii="仿宋" w:hAnsi="仿宋" w:eastAsia="仿宋" w:cs="仿宋"/>
                <w:color w:val="000000"/>
                <w:szCs w:val="21"/>
                <w:highlight w:val="none"/>
                <w:lang w:eastAsia="zh-CN"/>
              </w:rPr>
              <w:t>委员会</w:t>
            </w:r>
            <w:r>
              <w:rPr>
                <w:rFonts w:ascii="仿宋" w:hAnsi="仿宋" w:eastAsia="仿宋" w:cs="仿宋"/>
                <w:color w:val="000000"/>
                <w:szCs w:val="21"/>
                <w:highlight w:val="none"/>
                <w:lang w:eastAsia="zh-CN"/>
              </w:rPr>
              <w:t>、医疗技术临床应用管理委员会等审批</w:t>
            </w:r>
            <w:r>
              <w:rPr>
                <w:rFonts w:hint="eastAsia" w:ascii="仿宋" w:hAnsi="仿宋" w:eastAsia="仿宋" w:cs="仿宋"/>
                <w:color w:val="000000"/>
                <w:szCs w:val="21"/>
                <w:highlight w:val="none"/>
                <w:lang w:eastAsia="zh-CN"/>
              </w:rPr>
              <w:t>；</w:t>
            </w:r>
          </w:p>
          <w:p w14:paraId="75062A9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w:t>
            </w:r>
            <w:r>
              <w:rPr>
                <w:rFonts w:ascii="仿宋" w:hAnsi="仿宋" w:eastAsia="仿宋" w:cs="仿宋"/>
                <w:color w:val="000000"/>
                <w:szCs w:val="21"/>
                <w:highlight w:val="none"/>
                <w:lang w:eastAsia="zh-CN"/>
              </w:rPr>
              <w:t>开展限制性医疗技术应</w:t>
            </w:r>
            <w:r>
              <w:rPr>
                <w:rFonts w:hint="eastAsia" w:ascii="仿宋" w:hAnsi="仿宋" w:eastAsia="仿宋" w:cs="仿宋"/>
                <w:color w:val="000000"/>
                <w:szCs w:val="21"/>
                <w:highlight w:val="none"/>
                <w:lang w:eastAsia="zh-CN"/>
              </w:rPr>
              <w:t>落实限制类医疗技术动态管理要求,依据规定按时</w:t>
            </w:r>
            <w:r>
              <w:rPr>
                <w:rFonts w:ascii="仿宋" w:hAnsi="仿宋" w:eastAsia="仿宋" w:cs="仿宋"/>
                <w:color w:val="000000"/>
                <w:szCs w:val="21"/>
                <w:highlight w:val="none"/>
                <w:lang w:eastAsia="zh-CN"/>
              </w:rPr>
              <w:t>向省级或设区直辖市卫生行政部门</w:t>
            </w:r>
            <w:r>
              <w:rPr>
                <w:rFonts w:hint="eastAsia" w:ascii="仿宋" w:hAnsi="仿宋" w:eastAsia="仿宋" w:cs="仿宋"/>
                <w:color w:val="000000"/>
                <w:szCs w:val="21"/>
                <w:highlight w:val="none"/>
                <w:lang w:eastAsia="zh-CN"/>
              </w:rPr>
              <w:t>办理</w:t>
            </w:r>
            <w:r>
              <w:rPr>
                <w:rFonts w:ascii="仿宋" w:hAnsi="仿宋" w:eastAsia="仿宋" w:cs="仿宋"/>
                <w:color w:val="000000"/>
                <w:szCs w:val="21"/>
                <w:highlight w:val="none"/>
                <w:lang w:eastAsia="zh-CN"/>
              </w:rPr>
              <w:t>备案</w:t>
            </w:r>
            <w:r>
              <w:rPr>
                <w:rFonts w:hint="eastAsia" w:ascii="仿宋" w:hAnsi="仿宋" w:eastAsia="仿宋" w:cs="仿宋"/>
                <w:color w:val="000000"/>
                <w:szCs w:val="21"/>
                <w:highlight w:val="none"/>
                <w:lang w:eastAsia="zh-CN"/>
              </w:rPr>
              <w:t>、撤销备案手续</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备</w:t>
            </w:r>
            <w:r>
              <w:rPr>
                <w:rFonts w:ascii="仿宋" w:hAnsi="仿宋" w:eastAsia="仿宋" w:cs="仿宋"/>
                <w:color w:val="000000"/>
                <w:szCs w:val="21"/>
                <w:highlight w:val="none"/>
                <w:lang w:eastAsia="zh-CN"/>
              </w:rPr>
              <w:t>案材料至少包括：开展临床应用的限制类技术名称和所具备的条件及有关评估材料；本机构伦理委员会和医疗技术临床应用管理委员会的论证材料；技术负责人（限于在本机构注册的执业医师）资质证明材料</w:t>
            </w:r>
            <w:r>
              <w:rPr>
                <w:rFonts w:hint="eastAsia" w:ascii="仿宋" w:hAnsi="仿宋" w:eastAsia="仿宋" w:cs="仿宋"/>
                <w:color w:val="000000"/>
                <w:szCs w:val="21"/>
                <w:highlight w:val="none"/>
                <w:lang w:eastAsia="zh-CN"/>
              </w:rPr>
              <w:t>；</w:t>
            </w:r>
          </w:p>
          <w:p w14:paraId="7542832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医院按照要求，及时、准确、完整地向全国和省级医疗技术临床应用信息化管理平台逐例报送限制类技术开展情况数据信息。</w:t>
            </w:r>
          </w:p>
        </w:tc>
      </w:tr>
      <w:tr w14:paraId="40E7C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36A6B9E4">
            <w:pPr>
              <w:textAlignment w:val="center"/>
              <w:rPr>
                <w:rFonts w:ascii="仿宋" w:hAnsi="仿宋" w:eastAsia="仿宋" w:cs="仿宋"/>
                <w:color w:val="000000"/>
                <w:szCs w:val="21"/>
                <w:highlight w:val="none"/>
                <w:lang w:eastAsia="zh-CN"/>
              </w:rPr>
            </w:pPr>
          </w:p>
        </w:tc>
        <w:tc>
          <w:tcPr>
            <w:tcW w:w="1234" w:type="pct"/>
            <w:vMerge w:val="continue"/>
            <w:vAlign w:val="center"/>
          </w:tcPr>
          <w:p w14:paraId="38AEDD10">
            <w:pPr>
              <w:textAlignment w:val="center"/>
              <w:rPr>
                <w:rFonts w:ascii="仿宋" w:hAnsi="仿宋" w:eastAsia="仿宋" w:cs="仿宋"/>
                <w:color w:val="000000"/>
                <w:szCs w:val="21"/>
                <w:highlight w:val="none"/>
                <w:lang w:eastAsia="zh-CN"/>
              </w:rPr>
            </w:pPr>
          </w:p>
        </w:tc>
        <w:tc>
          <w:tcPr>
            <w:tcW w:w="1415" w:type="pct"/>
            <w:vAlign w:val="center"/>
          </w:tcPr>
          <w:p w14:paraId="5CCFE20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1.7.11.3 落实</w:t>
            </w:r>
            <w:r>
              <w:rPr>
                <w:rFonts w:ascii="仿宋" w:hAnsi="仿宋" w:eastAsia="仿宋" w:cs="仿宋"/>
                <w:color w:val="000000"/>
                <w:szCs w:val="21"/>
                <w:highlight w:val="none"/>
                <w:lang w:eastAsia="zh-CN"/>
              </w:rPr>
              <w:t>医疗技术临床应用管理制度</w:t>
            </w:r>
          </w:p>
        </w:tc>
        <w:tc>
          <w:tcPr>
            <w:tcW w:w="1718" w:type="pct"/>
            <w:vAlign w:val="center"/>
          </w:tcPr>
          <w:p w14:paraId="527B493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落实医疗技术临床应用论证制度。对已证明安全有效，但属本院首次应用的医疗技术的临床技术能力和安全保障能力进行论证，有论证报告或证明；对每项进入临床应用的医疗新技术新项目建立档案，全程记录新技术运用过程、开展情况、不良反应等，加强新技术新项目质量控制，实施全程追踪管理和动态评估；</w:t>
            </w:r>
          </w:p>
          <w:p w14:paraId="6294437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2.落实医疗技术临床应用评估制度。遵循科学、安全、规范、有效、经济、符合伦理医疗技术评估原则，建立评估量化指标体系，至少包括：接受该项医疗技术的患者评估（适应证和禁忌证、临床应用效果和患者生存质量、不良反应、死亡、医疗事故）、环境评估和设备设施评估等。职能部门定期对限制类技术进行质量安全和技术保证能力评估，并根据评估结果及时调整医院医疗技术临床应用管理目录；</w:t>
            </w:r>
          </w:p>
          <w:p w14:paraId="19AD0DA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3.以限制类技术为重点，落实医疗技术临床应用质量控制制度；</w:t>
            </w:r>
          </w:p>
          <w:p w14:paraId="4A0AB30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4.对医疗技术临床应用管理目录内的手术进行分级管理，有分级手术目录，并根据手术开展情况定期调整；</w:t>
            </w:r>
          </w:p>
          <w:p w14:paraId="255D34F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6.建立医师手术授权制度，根据医师的专业能力、临床实践、手术质量安全和培训情况，授予或者取消相应的手术级别和具体手术项目权限。</w:t>
            </w:r>
          </w:p>
        </w:tc>
      </w:tr>
      <w:tr w14:paraId="6CC4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4F4F876A">
            <w:pPr>
              <w:textAlignment w:val="center"/>
              <w:rPr>
                <w:rFonts w:ascii="仿宋" w:hAnsi="仿宋" w:eastAsia="仿宋" w:cs="仿宋"/>
                <w:color w:val="000000"/>
                <w:szCs w:val="21"/>
                <w:highlight w:val="none"/>
                <w:lang w:eastAsia="zh-CN"/>
              </w:rPr>
            </w:pPr>
          </w:p>
        </w:tc>
        <w:tc>
          <w:tcPr>
            <w:tcW w:w="1234" w:type="pct"/>
            <w:vMerge w:val="continue"/>
            <w:vAlign w:val="center"/>
          </w:tcPr>
          <w:p w14:paraId="0E43EC19">
            <w:pPr>
              <w:textAlignment w:val="center"/>
              <w:rPr>
                <w:rFonts w:ascii="仿宋" w:hAnsi="仿宋" w:eastAsia="仿宋" w:cs="仿宋"/>
                <w:color w:val="000000"/>
                <w:szCs w:val="21"/>
                <w:highlight w:val="none"/>
                <w:lang w:eastAsia="zh-CN"/>
              </w:rPr>
            </w:pPr>
          </w:p>
        </w:tc>
        <w:tc>
          <w:tcPr>
            <w:tcW w:w="1415" w:type="pct"/>
            <w:vAlign w:val="center"/>
          </w:tcPr>
          <w:p w14:paraId="0C3A84B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1.7.11.4医院建有医务人员医疗技术临床应用管理档案，内容包括但不限于：准予医务人员开展医疗技术目录、医疗质量情况、医疗技术差错、医疗技术培训考核情况等</w:t>
            </w:r>
          </w:p>
        </w:tc>
        <w:tc>
          <w:tcPr>
            <w:tcW w:w="1718" w:type="pct"/>
            <w:vAlign w:val="center"/>
          </w:tcPr>
          <w:p w14:paraId="1523539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1.</w:t>
            </w:r>
            <w:r>
              <w:rPr>
                <w:rFonts w:hint="eastAsia" w:ascii="仿宋" w:hAnsi="仿宋" w:eastAsia="仿宋" w:cs="仿宋"/>
                <w:color w:val="000000"/>
                <w:szCs w:val="21"/>
                <w:highlight w:val="none"/>
                <w:lang w:eastAsia="zh-CN"/>
              </w:rPr>
              <w:t>医院有专门部门负责医务人员医疗技术临床应用管理档案的管理和维护；</w:t>
            </w:r>
          </w:p>
          <w:p w14:paraId="637B172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2.</w:t>
            </w:r>
            <w:r>
              <w:rPr>
                <w:rFonts w:hint="eastAsia" w:ascii="仿宋" w:hAnsi="仿宋" w:eastAsia="仿宋" w:cs="仿宋"/>
                <w:color w:val="000000"/>
                <w:szCs w:val="21"/>
                <w:highlight w:val="none"/>
                <w:lang w:eastAsia="zh-CN"/>
              </w:rPr>
              <w:t>档案内容涵盖准予医务人员开展医疗技术目录、医疗质量情况、医疗技术差错事故、医疗技术培训考核情况等；</w:t>
            </w:r>
          </w:p>
          <w:p w14:paraId="5545DF5D">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3.</w:t>
            </w:r>
            <w:r>
              <w:rPr>
                <w:rFonts w:ascii="仿宋" w:hAnsi="仿宋" w:eastAsia="仿宋" w:cs="仿宋"/>
                <w:color w:val="000000"/>
                <w:szCs w:val="21"/>
                <w:highlight w:val="none"/>
                <w:lang w:eastAsia="zh-CN"/>
              </w:rPr>
              <w:t>医疗技术临床应用管理记录纳入个人专业技术档案，包含</w:t>
            </w:r>
            <w:r>
              <w:rPr>
                <w:rFonts w:hint="eastAsia" w:ascii="仿宋" w:hAnsi="仿宋" w:eastAsia="仿宋" w:cs="仿宋"/>
                <w:color w:val="000000"/>
                <w:szCs w:val="21"/>
                <w:highlight w:val="none"/>
                <w:lang w:eastAsia="zh-CN"/>
              </w:rPr>
              <w:t>医师</w:t>
            </w:r>
            <w:r>
              <w:rPr>
                <w:rFonts w:ascii="仿宋" w:hAnsi="仿宋" w:eastAsia="仿宋" w:cs="仿宋"/>
                <w:color w:val="000000"/>
                <w:szCs w:val="21"/>
                <w:highlight w:val="none"/>
                <w:lang w:eastAsia="zh-CN"/>
              </w:rPr>
              <w:t>资格证、执业证、职称证、学历学位证、进修和培训证明、年度考核结果、执业范围以及各类证书变更情况等。</w:t>
            </w:r>
          </w:p>
        </w:tc>
      </w:tr>
      <w:tr w14:paraId="4B45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1EB0D6A5">
            <w:pPr>
              <w:textAlignment w:val="center"/>
              <w:rPr>
                <w:rFonts w:ascii="仿宋" w:hAnsi="仿宋" w:eastAsia="仿宋" w:cs="仿宋"/>
                <w:color w:val="000000"/>
                <w:szCs w:val="21"/>
                <w:highlight w:val="none"/>
                <w:lang w:eastAsia="zh-CN"/>
              </w:rPr>
            </w:pPr>
          </w:p>
        </w:tc>
        <w:tc>
          <w:tcPr>
            <w:tcW w:w="1234" w:type="pct"/>
            <w:vMerge w:val="continue"/>
            <w:vAlign w:val="center"/>
          </w:tcPr>
          <w:p w14:paraId="1AB7FBA8">
            <w:pPr>
              <w:textAlignment w:val="center"/>
              <w:rPr>
                <w:rFonts w:ascii="仿宋" w:hAnsi="仿宋" w:eastAsia="仿宋" w:cs="仿宋"/>
                <w:color w:val="000000"/>
                <w:szCs w:val="21"/>
                <w:highlight w:val="none"/>
                <w:lang w:eastAsia="zh-CN"/>
              </w:rPr>
            </w:pPr>
          </w:p>
        </w:tc>
        <w:tc>
          <w:tcPr>
            <w:tcW w:w="1415" w:type="pct"/>
            <w:vAlign w:val="center"/>
          </w:tcPr>
          <w:p w14:paraId="208F052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1.7.11.5建立医疗技术临床应用规范化培训制度。重视医疗技术临床应用管理人才队伍的建设和培养</w:t>
            </w:r>
          </w:p>
        </w:tc>
        <w:tc>
          <w:tcPr>
            <w:tcW w:w="1718" w:type="pct"/>
            <w:vAlign w:val="center"/>
          </w:tcPr>
          <w:p w14:paraId="27EE88C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1.</w:t>
            </w:r>
            <w:r>
              <w:rPr>
                <w:rFonts w:hint="eastAsia" w:ascii="仿宋" w:hAnsi="仿宋" w:eastAsia="仿宋" w:cs="仿宋"/>
                <w:color w:val="000000"/>
                <w:szCs w:val="21"/>
                <w:highlight w:val="none"/>
                <w:lang w:eastAsia="zh-CN"/>
              </w:rPr>
              <w:t>有完整的医疗技术临床应用规范化培训制度、工作流程；</w:t>
            </w:r>
          </w:p>
          <w:p w14:paraId="53751E6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2.</w:t>
            </w:r>
            <w:r>
              <w:rPr>
                <w:rFonts w:hint="eastAsia" w:ascii="仿宋" w:hAnsi="仿宋" w:eastAsia="仿宋" w:cs="仿宋"/>
                <w:color w:val="000000"/>
                <w:szCs w:val="21"/>
                <w:highlight w:val="none"/>
                <w:lang w:eastAsia="zh-CN"/>
              </w:rPr>
              <w:t>职能部门制定完整的培训大纲、培训计划和考核标准，培训内容涵盖法律法规、规章规范以及专项技术等知识的学习；</w:t>
            </w:r>
          </w:p>
          <w:p w14:paraId="6FD03E8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3.</w:t>
            </w:r>
            <w:r>
              <w:rPr>
                <w:rFonts w:hint="eastAsia" w:ascii="仿宋" w:hAnsi="仿宋" w:eastAsia="仿宋" w:cs="仿宋"/>
                <w:color w:val="000000"/>
                <w:szCs w:val="21"/>
                <w:highlight w:val="none"/>
                <w:lang w:eastAsia="zh-CN"/>
              </w:rPr>
              <w:t>对医疗技术管理人员定期开展培训，包括医院和科室两个管理层；</w:t>
            </w:r>
          </w:p>
          <w:p w14:paraId="2526857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4.</w:t>
            </w:r>
            <w:r>
              <w:rPr>
                <w:rFonts w:hint="eastAsia" w:ascii="仿宋" w:hAnsi="仿宋" w:eastAsia="仿宋" w:cs="仿宋"/>
                <w:color w:val="000000"/>
                <w:szCs w:val="21"/>
                <w:highlight w:val="none"/>
                <w:lang w:eastAsia="zh-CN"/>
              </w:rPr>
              <w:t>医院承担限制类技术临床应用规范化培训基地工作。</w:t>
            </w:r>
          </w:p>
        </w:tc>
      </w:tr>
      <w:tr w14:paraId="7BEA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4BCE734F">
            <w:pPr>
              <w:textAlignment w:val="center"/>
              <w:rPr>
                <w:rFonts w:ascii="仿宋" w:hAnsi="仿宋" w:eastAsia="仿宋" w:cs="仿宋"/>
                <w:color w:val="000000"/>
                <w:szCs w:val="21"/>
                <w:highlight w:val="none"/>
                <w:lang w:eastAsia="zh-CN"/>
              </w:rPr>
            </w:pPr>
          </w:p>
        </w:tc>
        <w:tc>
          <w:tcPr>
            <w:tcW w:w="1234" w:type="pct"/>
            <w:vMerge w:val="restart"/>
            <w:vAlign w:val="center"/>
          </w:tcPr>
          <w:p w14:paraId="77645F2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w:t>
            </w:r>
            <w:r>
              <w:rPr>
                <w:rFonts w:hint="eastAsia" w:ascii="仿宋" w:hAnsi="仿宋" w:eastAsia="仿宋" w:cs="仿宋"/>
                <w:color w:val="000000"/>
                <w:szCs w:val="21"/>
                <w:highlight w:val="none"/>
                <w:lang w:eastAsia="zh-CN"/>
              </w:rPr>
              <w:t>12医院实验室项目的质量与安全管理符合要求</w:t>
            </w:r>
          </w:p>
        </w:tc>
        <w:tc>
          <w:tcPr>
            <w:tcW w:w="1415" w:type="pct"/>
            <w:vAlign w:val="center"/>
          </w:tcPr>
          <w:p w14:paraId="22DC8CB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1.7.12.1实施全院临床检验实验室项目统一管理</w:t>
            </w:r>
          </w:p>
        </w:tc>
        <w:tc>
          <w:tcPr>
            <w:tcW w:w="1718" w:type="pct"/>
            <w:vAlign w:val="center"/>
          </w:tcPr>
          <w:p w14:paraId="233BA616">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全院临床检验实验室检验项目统一管理，包括但不限于：项目准入、目录管理、收费标准、委托外送、项目废止等流程统一管理，确保实验室项目设置的合理性、规范性与一致性。</w:t>
            </w:r>
          </w:p>
        </w:tc>
      </w:tr>
      <w:tr w14:paraId="27B30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306281B">
            <w:pPr>
              <w:textAlignment w:val="center"/>
              <w:rPr>
                <w:rFonts w:ascii="仿宋" w:hAnsi="仿宋" w:eastAsia="仿宋" w:cs="仿宋"/>
                <w:color w:val="000000"/>
                <w:szCs w:val="21"/>
                <w:highlight w:val="none"/>
                <w:lang w:eastAsia="zh-CN"/>
              </w:rPr>
            </w:pPr>
          </w:p>
        </w:tc>
        <w:tc>
          <w:tcPr>
            <w:tcW w:w="1234" w:type="pct"/>
            <w:vMerge w:val="continue"/>
            <w:vAlign w:val="center"/>
          </w:tcPr>
          <w:p w14:paraId="4F976A25">
            <w:pPr>
              <w:textAlignment w:val="center"/>
              <w:rPr>
                <w:rFonts w:ascii="仿宋" w:hAnsi="仿宋" w:eastAsia="仿宋" w:cs="仿宋"/>
                <w:color w:val="000000"/>
                <w:szCs w:val="21"/>
                <w:highlight w:val="none"/>
                <w:lang w:eastAsia="zh-CN"/>
              </w:rPr>
            </w:pPr>
          </w:p>
        </w:tc>
        <w:tc>
          <w:tcPr>
            <w:tcW w:w="1415" w:type="pct"/>
            <w:vAlign w:val="center"/>
          </w:tcPr>
          <w:p w14:paraId="62F638CA">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1.7.12.2建立并落实床旁快速检验</w:t>
            </w:r>
            <w:r>
              <w:rPr>
                <w:rFonts w:hint="eastAsia" w:ascii="仿宋" w:hAnsi="仿宋" w:eastAsia="仿宋" w:cs="仿宋"/>
                <w:color w:val="000000"/>
                <w:szCs w:val="21"/>
                <w:highlight w:val="none"/>
                <w:lang w:eastAsia="zh-CN"/>
              </w:rPr>
              <w:t>(Point-of-Care Testing，</w:t>
            </w:r>
            <w:r>
              <w:rPr>
                <w:rFonts w:ascii="仿宋" w:hAnsi="仿宋" w:eastAsia="仿宋" w:cs="仿宋"/>
                <w:color w:val="000000"/>
                <w:szCs w:val="21"/>
                <w:highlight w:val="none"/>
              </w:rPr>
              <w:t>POCT</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管理制度</w:t>
            </w:r>
          </w:p>
        </w:tc>
        <w:tc>
          <w:tcPr>
            <w:tcW w:w="1718" w:type="pct"/>
            <w:vAlign w:val="center"/>
          </w:tcPr>
          <w:p w14:paraId="5F21D19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1.全院POCT设备统一管理；</w:t>
            </w:r>
            <w:r>
              <w:rPr>
                <w:rFonts w:hint="eastAsia"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2.加强试剂和设备准入、人员培训、人员授权、质量控制、结果记录、数据上传等环节管理，确保POCT结果准确、可追溯、符合临床需求；</w:t>
            </w:r>
            <w:r>
              <w:rPr>
                <w:rFonts w:hint="eastAsia"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3.室内质控覆盖率达100%；</w:t>
            </w:r>
            <w:r>
              <w:rPr>
                <w:rFonts w:hint="eastAsia"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4.定期开展比对，比对率100%。</w:t>
            </w:r>
          </w:p>
        </w:tc>
      </w:tr>
      <w:tr w14:paraId="4AB54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9" w:hRule="atLeast"/>
        </w:trPr>
        <w:tc>
          <w:tcPr>
            <w:tcW w:w="631" w:type="pct"/>
            <w:vMerge w:val="continue"/>
            <w:vAlign w:val="center"/>
          </w:tcPr>
          <w:p w14:paraId="54840DBB">
            <w:pPr>
              <w:textAlignment w:val="center"/>
              <w:rPr>
                <w:rFonts w:ascii="仿宋" w:hAnsi="仿宋" w:eastAsia="仿宋" w:cs="仿宋"/>
                <w:color w:val="000000"/>
                <w:szCs w:val="21"/>
                <w:highlight w:val="none"/>
                <w:lang w:eastAsia="zh-CN"/>
              </w:rPr>
            </w:pPr>
          </w:p>
        </w:tc>
        <w:tc>
          <w:tcPr>
            <w:tcW w:w="1234" w:type="pct"/>
            <w:vMerge w:val="continue"/>
            <w:vAlign w:val="center"/>
          </w:tcPr>
          <w:p w14:paraId="5DDC3564">
            <w:pPr>
              <w:textAlignment w:val="center"/>
              <w:rPr>
                <w:rFonts w:ascii="仿宋" w:hAnsi="仿宋" w:eastAsia="仿宋" w:cs="仿宋"/>
                <w:color w:val="000000"/>
                <w:szCs w:val="21"/>
                <w:highlight w:val="none"/>
                <w:lang w:eastAsia="zh-CN"/>
              </w:rPr>
            </w:pPr>
          </w:p>
        </w:tc>
        <w:tc>
          <w:tcPr>
            <w:tcW w:w="1415" w:type="pct"/>
            <w:vAlign w:val="center"/>
          </w:tcPr>
          <w:p w14:paraId="324021C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1.7.12.3外送检验项目全流程管理</w:t>
            </w:r>
          </w:p>
        </w:tc>
        <w:tc>
          <w:tcPr>
            <w:tcW w:w="1718" w:type="pct"/>
            <w:vAlign w:val="center"/>
          </w:tcPr>
          <w:p w14:paraId="4371722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1.外送机构资质符合要求；</w:t>
            </w:r>
            <w:r>
              <w:rPr>
                <w:rFonts w:hint="eastAsia"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2.遴选流程合理、合规；</w:t>
            </w:r>
            <w:r>
              <w:rPr>
                <w:rFonts w:hint="eastAsia"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3.项目目录动态管理；</w:t>
            </w:r>
            <w:r>
              <w:rPr>
                <w:rFonts w:hint="eastAsia"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4.定期监控外送项目质量；</w:t>
            </w:r>
            <w:r>
              <w:rPr>
                <w:rFonts w:hint="eastAsia"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5.标本采集至结果报告等的质量管理，确保标本安全、结果准确、信息安全且可追溯，追溯率100%。</w:t>
            </w:r>
          </w:p>
        </w:tc>
      </w:tr>
      <w:tr w14:paraId="623EE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61968FA8">
            <w:pPr>
              <w:textAlignment w:val="center"/>
              <w:rPr>
                <w:rFonts w:ascii="仿宋" w:hAnsi="仿宋" w:eastAsia="仿宋" w:cs="仿宋"/>
                <w:color w:val="000000"/>
                <w:szCs w:val="21"/>
                <w:highlight w:val="none"/>
                <w:lang w:eastAsia="zh-CN"/>
              </w:rPr>
            </w:pPr>
          </w:p>
        </w:tc>
        <w:tc>
          <w:tcPr>
            <w:tcW w:w="1234" w:type="pct"/>
            <w:vAlign w:val="center"/>
          </w:tcPr>
          <w:p w14:paraId="0DDF913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1.7.13推动创新药高质量发展</w:t>
            </w:r>
          </w:p>
        </w:tc>
        <w:tc>
          <w:tcPr>
            <w:tcW w:w="1415" w:type="pct"/>
            <w:vAlign w:val="center"/>
          </w:tcPr>
          <w:p w14:paraId="477CD86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1.7.13.1满足人民群众多元化就医用药需求，推动创新药高质量发展</w:t>
            </w:r>
          </w:p>
        </w:tc>
        <w:tc>
          <w:tcPr>
            <w:tcW w:w="1718" w:type="pct"/>
            <w:vAlign w:val="center"/>
          </w:tcPr>
          <w:p w14:paraId="7F51576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医疗机构于收到省“创新药”药品目录1个</w:t>
            </w:r>
            <w:r>
              <w:rPr>
                <w:rFonts w:ascii="仿宋" w:hAnsi="仿宋" w:eastAsia="仿宋" w:cs="仿宋"/>
                <w:color w:val="000000"/>
                <w:szCs w:val="21"/>
                <w:highlight w:val="none"/>
                <w:lang w:eastAsia="zh-CN"/>
              </w:rPr>
              <w:t>月内</w:t>
            </w:r>
            <w:r>
              <w:rPr>
                <w:rFonts w:hint="eastAsia" w:ascii="仿宋" w:hAnsi="仿宋" w:eastAsia="仿宋" w:cs="仿宋"/>
                <w:color w:val="000000"/>
                <w:szCs w:val="21"/>
                <w:highlight w:val="none"/>
                <w:lang w:eastAsia="zh-CN"/>
              </w:rPr>
              <w:t>召开药事会，根据《关于</w:t>
            </w:r>
            <w:r>
              <w:rPr>
                <w:rFonts w:ascii="仿宋" w:hAnsi="仿宋" w:eastAsia="仿宋" w:cs="仿宋"/>
                <w:color w:val="000000"/>
                <w:szCs w:val="21"/>
                <w:highlight w:val="none"/>
                <w:lang w:eastAsia="zh-CN"/>
              </w:rPr>
              <w:t>做好</w:t>
            </w:r>
            <w:r>
              <w:rPr>
                <w:rFonts w:hint="eastAsia" w:ascii="仿宋" w:hAnsi="仿宋" w:eastAsia="仿宋" w:cs="仿宋"/>
                <w:color w:val="000000"/>
                <w:szCs w:val="21"/>
                <w:highlight w:val="none"/>
                <w:lang w:eastAsia="zh-CN"/>
              </w:rPr>
              <w:t>创新药械进院使用的</w:t>
            </w:r>
            <w:r>
              <w:rPr>
                <w:rFonts w:ascii="仿宋" w:hAnsi="仿宋" w:eastAsia="仿宋" w:cs="仿宋"/>
                <w:color w:val="000000"/>
                <w:szCs w:val="21"/>
                <w:highlight w:val="none"/>
                <w:lang w:eastAsia="zh-CN"/>
              </w:rPr>
              <w:t>通知</w:t>
            </w:r>
            <w:r>
              <w:rPr>
                <w:rFonts w:hint="eastAsia" w:ascii="仿宋" w:hAnsi="仿宋" w:eastAsia="仿宋" w:cs="仿宋"/>
                <w:color w:val="000000"/>
                <w:szCs w:val="21"/>
                <w:highlight w:val="none"/>
                <w:lang w:eastAsia="zh-CN"/>
              </w:rPr>
              <w:t>》要求及时调整</w:t>
            </w:r>
            <w:r>
              <w:rPr>
                <w:rFonts w:ascii="仿宋" w:hAnsi="仿宋" w:eastAsia="仿宋" w:cs="仿宋"/>
                <w:color w:val="000000"/>
                <w:szCs w:val="21"/>
                <w:highlight w:val="none"/>
                <w:lang w:eastAsia="zh-CN"/>
              </w:rPr>
              <w:t>机构用药目录</w:t>
            </w:r>
            <w:r>
              <w:rPr>
                <w:rFonts w:hint="eastAsia" w:ascii="仿宋" w:hAnsi="仿宋" w:eastAsia="仿宋" w:cs="仿宋"/>
                <w:color w:val="000000"/>
                <w:szCs w:val="21"/>
                <w:highlight w:val="none"/>
                <w:lang w:eastAsia="zh-CN"/>
              </w:rPr>
              <w:t>，保障临床诊疗需求和患者合理用药权益。</w:t>
            </w:r>
          </w:p>
        </w:tc>
      </w:tr>
      <w:tr w14:paraId="5438C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1" w:type="pct"/>
            <w:vMerge w:val="continue"/>
            <w:vAlign w:val="center"/>
          </w:tcPr>
          <w:p w14:paraId="5FD94C81">
            <w:pPr>
              <w:textAlignment w:val="center"/>
              <w:rPr>
                <w:rFonts w:ascii="仿宋" w:hAnsi="仿宋" w:eastAsia="仿宋" w:cs="仿宋"/>
                <w:color w:val="000000"/>
                <w:szCs w:val="21"/>
                <w:highlight w:val="none"/>
                <w:lang w:eastAsia="zh-CN"/>
              </w:rPr>
            </w:pPr>
          </w:p>
        </w:tc>
        <w:tc>
          <w:tcPr>
            <w:tcW w:w="1234" w:type="pct"/>
            <w:vAlign w:val="center"/>
          </w:tcPr>
          <w:p w14:paraId="74A7AF46">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1.7.14落实省卫生行政管理部门年度重点工作 </w:t>
            </w:r>
          </w:p>
        </w:tc>
        <w:tc>
          <w:tcPr>
            <w:tcW w:w="1415" w:type="pct"/>
            <w:vAlign w:val="center"/>
          </w:tcPr>
          <w:p w14:paraId="623D8DB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1.7.14.1落实省卫生行政管理部门年度重点工作</w:t>
            </w:r>
          </w:p>
        </w:tc>
        <w:tc>
          <w:tcPr>
            <w:tcW w:w="1718" w:type="pct"/>
            <w:vAlign w:val="center"/>
          </w:tcPr>
          <w:p w14:paraId="5CF1599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制定有效措施，积极落实省卫生行政管理部门年度重点工作，年度工作有成效。</w:t>
            </w:r>
          </w:p>
        </w:tc>
      </w:tr>
      <w:tr w14:paraId="0FE29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1" w:type="pct"/>
            <w:vAlign w:val="center"/>
          </w:tcPr>
          <w:p w14:paraId="5DA6917F">
            <w:pPr>
              <w:textAlignment w:val="center"/>
              <w:rPr>
                <w:rFonts w:ascii="仿宋" w:hAnsi="仿宋" w:eastAsia="仿宋" w:cs="仿宋"/>
                <w:color w:val="000000"/>
                <w:szCs w:val="21"/>
                <w:highlight w:val="none"/>
                <w:lang w:eastAsia="zh-CN"/>
              </w:rPr>
            </w:pPr>
          </w:p>
        </w:tc>
        <w:tc>
          <w:tcPr>
            <w:tcW w:w="1234" w:type="pct"/>
            <w:vAlign w:val="center"/>
          </w:tcPr>
          <w:p w14:paraId="56B9D0E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1.7.15“三合理一规范”执行情况</w:t>
            </w:r>
          </w:p>
        </w:tc>
        <w:tc>
          <w:tcPr>
            <w:tcW w:w="1415" w:type="pct"/>
            <w:vAlign w:val="center"/>
          </w:tcPr>
          <w:p w14:paraId="7C39A37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医院按照临床诊疗指南、临床技术操作规范和行业标准以及医学伦理规范等有关要求，合理进行检查、用药、诊疗，规范收费</w:t>
            </w:r>
          </w:p>
        </w:tc>
        <w:tc>
          <w:tcPr>
            <w:tcW w:w="1718" w:type="pct"/>
            <w:vAlign w:val="center"/>
          </w:tcPr>
          <w:p w14:paraId="2BF5700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1.</w:t>
            </w:r>
            <w:r>
              <w:rPr>
                <w:rFonts w:hint="eastAsia" w:ascii="仿宋" w:hAnsi="仿宋" w:eastAsia="仿宋" w:cs="仿宋"/>
                <w:color w:val="000000"/>
                <w:szCs w:val="21"/>
                <w:highlight w:val="none"/>
                <w:lang w:eastAsia="zh-CN"/>
              </w:rPr>
              <w:t>按照临床诊疗指南、临床技术操作规范和行业标准以及医学伦理规范等有关要求，制定“合理检查、用药、诊疗，规范收费”的制度及工作方案；</w:t>
            </w:r>
          </w:p>
          <w:p w14:paraId="4DCA8C8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2.</w:t>
            </w:r>
            <w:r>
              <w:rPr>
                <w:rFonts w:hint="eastAsia" w:ascii="仿宋" w:hAnsi="仿宋" w:eastAsia="仿宋" w:cs="仿宋"/>
                <w:color w:val="000000"/>
                <w:szCs w:val="21"/>
                <w:highlight w:val="none"/>
                <w:lang w:eastAsia="zh-CN"/>
              </w:rPr>
              <w:t>常态化开展全员培训，提升合规执业意识及能力；</w:t>
            </w:r>
          </w:p>
          <w:p w14:paraId="36374BF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3.</w:t>
            </w:r>
            <w:r>
              <w:rPr>
                <w:rFonts w:hint="eastAsia" w:ascii="仿宋" w:hAnsi="仿宋" w:eastAsia="仿宋" w:cs="仿宋"/>
                <w:color w:val="000000"/>
                <w:szCs w:val="21"/>
                <w:highlight w:val="none"/>
                <w:lang w:eastAsia="zh-CN"/>
              </w:rPr>
              <w:t>建立多部门联合机制，采取多种形式进行“三合理一规范”督查；</w:t>
            </w:r>
          </w:p>
          <w:p w14:paraId="73A8148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4.</w:t>
            </w:r>
            <w:r>
              <w:rPr>
                <w:rFonts w:hint="eastAsia" w:ascii="仿宋" w:hAnsi="仿宋" w:eastAsia="仿宋" w:cs="仿宋"/>
                <w:color w:val="000000"/>
                <w:szCs w:val="21"/>
                <w:highlight w:val="none"/>
                <w:lang w:eastAsia="zh-CN"/>
              </w:rPr>
              <w:t>建立不规范不合理诊疗行为约谈机制；</w:t>
            </w:r>
          </w:p>
          <w:p w14:paraId="1C18A99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eastAsia="zh-CN"/>
              </w:rPr>
              <w:t>5.</w:t>
            </w:r>
            <w:r>
              <w:rPr>
                <w:rFonts w:hint="eastAsia" w:ascii="仿宋" w:hAnsi="仿宋" w:eastAsia="仿宋" w:cs="仿宋"/>
                <w:color w:val="000000"/>
                <w:szCs w:val="21"/>
                <w:highlight w:val="none"/>
                <w:lang w:eastAsia="zh-CN"/>
              </w:rPr>
              <w:t>将不合理诊疗行为纳入医务人员定期考核和绩效考核体系。</w:t>
            </w:r>
          </w:p>
        </w:tc>
      </w:tr>
    </w:tbl>
    <w:p w14:paraId="451403E9">
      <w:pPr>
        <w:pStyle w:val="201"/>
        <w:spacing w:line="480" w:lineRule="exact"/>
        <w:ind w:firstLine="720" w:firstLineChars="3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第二章  医疗服务能力与医院质量安全指标</w:t>
      </w: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2056"/>
        <w:gridCol w:w="2441"/>
        <w:gridCol w:w="3654"/>
      </w:tblGrid>
      <w:tr w14:paraId="3FA65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blHeader/>
        </w:trPr>
        <w:tc>
          <w:tcPr>
            <w:tcW w:w="637" w:type="pct"/>
            <w:vAlign w:val="center"/>
          </w:tcPr>
          <w:p w14:paraId="5EFD0A38">
            <w:pPr>
              <w:jc w:val="center"/>
              <w:textAlignment w:val="center"/>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一级指标</w:t>
            </w:r>
          </w:p>
        </w:tc>
        <w:tc>
          <w:tcPr>
            <w:tcW w:w="1100" w:type="pct"/>
            <w:vAlign w:val="center"/>
          </w:tcPr>
          <w:p w14:paraId="046DAD8D">
            <w:pPr>
              <w:jc w:val="center"/>
              <w:textAlignment w:val="center"/>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二级指标</w:t>
            </w:r>
          </w:p>
        </w:tc>
        <w:tc>
          <w:tcPr>
            <w:tcW w:w="1306" w:type="pct"/>
            <w:vAlign w:val="center"/>
          </w:tcPr>
          <w:p w14:paraId="48F62CB2">
            <w:pPr>
              <w:jc w:val="center"/>
              <w:textAlignment w:val="center"/>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评审要点</w:t>
            </w:r>
          </w:p>
        </w:tc>
        <w:tc>
          <w:tcPr>
            <w:tcW w:w="1955" w:type="pct"/>
            <w:vAlign w:val="center"/>
          </w:tcPr>
          <w:p w14:paraId="29645351">
            <w:pPr>
              <w:jc w:val="center"/>
              <w:textAlignment w:val="center"/>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释义</w:t>
            </w:r>
          </w:p>
        </w:tc>
      </w:tr>
      <w:tr w14:paraId="0F20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37" w:type="pct"/>
            <w:vMerge w:val="restart"/>
            <w:vAlign w:val="center"/>
          </w:tcPr>
          <w:p w14:paraId="0A091B19">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2.1医疗服务能力</w:t>
            </w:r>
          </w:p>
        </w:tc>
        <w:tc>
          <w:tcPr>
            <w:tcW w:w="1100" w:type="pct"/>
            <w:vAlign w:val="center"/>
          </w:tcPr>
          <w:p w14:paraId="3C2771E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2.1.1收治病种数量（ICD-10四位亚目数量）</w:t>
            </w:r>
          </w:p>
        </w:tc>
        <w:tc>
          <w:tcPr>
            <w:tcW w:w="1306" w:type="pct"/>
            <w:vAlign w:val="center"/>
          </w:tcPr>
          <w:p w14:paraId="012FFAD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2.1.1.1收治病种数量（ICD-10四位亚目数量）</w:t>
            </w:r>
          </w:p>
        </w:tc>
        <w:tc>
          <w:tcPr>
            <w:tcW w:w="1955" w:type="pct"/>
            <w:vAlign w:val="center"/>
          </w:tcPr>
          <w:p w14:paraId="1F474417">
            <w:pPr>
              <w:textAlignment w:val="center"/>
              <w:rPr>
                <w:rFonts w:ascii="Times New Roman" w:hAnsi="Times New Roman" w:eastAsia="仿宋" w:cs="Times New Roman"/>
                <w:color w:val="000000"/>
                <w:szCs w:val="21"/>
                <w:highlight w:val="none"/>
                <w:lang w:eastAsia="zh-CN"/>
              </w:rPr>
            </w:pPr>
          </w:p>
        </w:tc>
      </w:tr>
      <w:tr w14:paraId="6D1C7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8A36BE1">
            <w:pPr>
              <w:rPr>
                <w:rFonts w:ascii="Times New Roman" w:hAnsi="Times New Roman" w:eastAsia="仿宋" w:cs="Times New Roman"/>
                <w:color w:val="000000"/>
                <w:szCs w:val="21"/>
                <w:highlight w:val="none"/>
                <w:lang w:eastAsia="zh-CN"/>
              </w:rPr>
            </w:pPr>
          </w:p>
        </w:tc>
        <w:tc>
          <w:tcPr>
            <w:tcW w:w="1100" w:type="pct"/>
            <w:vAlign w:val="center"/>
          </w:tcPr>
          <w:p w14:paraId="3933704E">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2.1.2住院术种数量</w:t>
            </w:r>
          </w:p>
        </w:tc>
        <w:tc>
          <w:tcPr>
            <w:tcW w:w="1306" w:type="pct"/>
            <w:vAlign w:val="center"/>
          </w:tcPr>
          <w:p w14:paraId="7B4673E4">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2.1.2.1住院术种数量</w:t>
            </w:r>
          </w:p>
        </w:tc>
        <w:tc>
          <w:tcPr>
            <w:tcW w:w="1955" w:type="pct"/>
            <w:vAlign w:val="center"/>
          </w:tcPr>
          <w:p w14:paraId="098FE823">
            <w:pPr>
              <w:rPr>
                <w:rFonts w:ascii="Times New Roman" w:hAnsi="Times New Roman" w:eastAsia="仿宋" w:cs="Times New Roman"/>
                <w:color w:val="000000"/>
                <w:szCs w:val="21"/>
                <w:highlight w:val="none"/>
              </w:rPr>
            </w:pPr>
          </w:p>
        </w:tc>
      </w:tr>
      <w:tr w14:paraId="7E98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24C56072">
            <w:pPr>
              <w:rPr>
                <w:rFonts w:ascii="Times New Roman" w:hAnsi="Times New Roman" w:eastAsia="仿宋" w:cs="Times New Roman"/>
                <w:color w:val="000000"/>
                <w:szCs w:val="21"/>
                <w:highlight w:val="none"/>
              </w:rPr>
            </w:pPr>
          </w:p>
        </w:tc>
        <w:tc>
          <w:tcPr>
            <w:tcW w:w="1100" w:type="pct"/>
            <w:vAlign w:val="center"/>
          </w:tcPr>
          <w:p w14:paraId="77AA0166">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2.1.3</w:t>
            </w:r>
            <w:r>
              <w:rPr>
                <w:rFonts w:hint="eastAsia"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t>DRG-DRGs组数</w:t>
            </w:r>
          </w:p>
        </w:tc>
        <w:tc>
          <w:tcPr>
            <w:tcW w:w="1306" w:type="pct"/>
            <w:vAlign w:val="center"/>
          </w:tcPr>
          <w:p w14:paraId="0E97BB9F">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2.1.3.1</w:t>
            </w:r>
            <w:r>
              <w:rPr>
                <w:rFonts w:hint="eastAsia"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t>DRG-DRGs组数</w:t>
            </w:r>
          </w:p>
        </w:tc>
        <w:tc>
          <w:tcPr>
            <w:tcW w:w="1955" w:type="pct"/>
            <w:vAlign w:val="center"/>
          </w:tcPr>
          <w:p w14:paraId="4042F8E5">
            <w:pPr>
              <w:rPr>
                <w:rFonts w:ascii="Times New Roman" w:hAnsi="Times New Roman" w:eastAsia="仿宋" w:cs="Times New Roman"/>
                <w:color w:val="000000"/>
                <w:szCs w:val="21"/>
                <w:highlight w:val="none"/>
              </w:rPr>
            </w:pPr>
          </w:p>
        </w:tc>
      </w:tr>
      <w:tr w14:paraId="69DE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1EFA4DF">
            <w:pPr>
              <w:rPr>
                <w:rFonts w:ascii="Times New Roman" w:hAnsi="Times New Roman" w:eastAsia="仿宋" w:cs="Times New Roman"/>
                <w:color w:val="000000"/>
                <w:szCs w:val="21"/>
                <w:highlight w:val="none"/>
              </w:rPr>
            </w:pPr>
          </w:p>
        </w:tc>
        <w:tc>
          <w:tcPr>
            <w:tcW w:w="1100" w:type="pct"/>
            <w:vAlign w:val="center"/>
          </w:tcPr>
          <w:p w14:paraId="5CAD00DE">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2.1.4</w:t>
            </w:r>
            <w:r>
              <w:rPr>
                <w:rFonts w:hint="eastAsia"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t>DRG-CMI</w:t>
            </w:r>
          </w:p>
        </w:tc>
        <w:tc>
          <w:tcPr>
            <w:tcW w:w="1306" w:type="pct"/>
            <w:vAlign w:val="center"/>
          </w:tcPr>
          <w:p w14:paraId="240CA51C">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2.1.4.1</w:t>
            </w:r>
            <w:r>
              <w:rPr>
                <w:rFonts w:hint="eastAsia"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t>DRG-CMI</w:t>
            </w:r>
          </w:p>
        </w:tc>
        <w:tc>
          <w:tcPr>
            <w:tcW w:w="1955" w:type="pct"/>
            <w:vAlign w:val="center"/>
          </w:tcPr>
          <w:p w14:paraId="40A57AA2">
            <w:pPr>
              <w:rPr>
                <w:rFonts w:ascii="Times New Roman" w:hAnsi="Times New Roman" w:eastAsia="仿宋" w:cs="Times New Roman"/>
                <w:color w:val="000000"/>
                <w:szCs w:val="21"/>
                <w:highlight w:val="none"/>
              </w:rPr>
            </w:pPr>
          </w:p>
        </w:tc>
      </w:tr>
      <w:tr w14:paraId="59BF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2A9C8652">
            <w:pPr>
              <w:rPr>
                <w:rFonts w:ascii="Times New Roman" w:hAnsi="Times New Roman" w:eastAsia="仿宋" w:cs="Times New Roman"/>
                <w:color w:val="000000"/>
                <w:szCs w:val="21"/>
                <w:highlight w:val="none"/>
              </w:rPr>
            </w:pPr>
          </w:p>
        </w:tc>
        <w:tc>
          <w:tcPr>
            <w:tcW w:w="1100" w:type="pct"/>
            <w:vAlign w:val="center"/>
          </w:tcPr>
          <w:p w14:paraId="718DCBE8">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2.1.5</w:t>
            </w:r>
            <w:r>
              <w:rPr>
                <w:rFonts w:hint="eastAsia"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t>DRG时间指数</w:t>
            </w:r>
          </w:p>
        </w:tc>
        <w:tc>
          <w:tcPr>
            <w:tcW w:w="1306" w:type="pct"/>
            <w:vAlign w:val="center"/>
          </w:tcPr>
          <w:p w14:paraId="5284FF68">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2.1.5.1</w:t>
            </w:r>
            <w:r>
              <w:rPr>
                <w:rFonts w:hint="eastAsia"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t>DRG时间指数</w:t>
            </w:r>
          </w:p>
        </w:tc>
        <w:tc>
          <w:tcPr>
            <w:tcW w:w="1955" w:type="pct"/>
            <w:vAlign w:val="center"/>
          </w:tcPr>
          <w:p w14:paraId="2D133C39">
            <w:pPr>
              <w:rPr>
                <w:rFonts w:ascii="Times New Roman" w:hAnsi="Times New Roman" w:eastAsia="仿宋" w:cs="Times New Roman"/>
                <w:color w:val="000000"/>
                <w:szCs w:val="21"/>
                <w:highlight w:val="none"/>
              </w:rPr>
            </w:pPr>
          </w:p>
        </w:tc>
      </w:tr>
      <w:tr w14:paraId="24313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29885858">
            <w:pPr>
              <w:rPr>
                <w:rFonts w:ascii="Times New Roman" w:hAnsi="Times New Roman" w:eastAsia="仿宋" w:cs="Times New Roman"/>
                <w:color w:val="000000"/>
                <w:szCs w:val="21"/>
                <w:highlight w:val="none"/>
              </w:rPr>
            </w:pPr>
          </w:p>
        </w:tc>
        <w:tc>
          <w:tcPr>
            <w:tcW w:w="1100" w:type="pct"/>
            <w:vAlign w:val="center"/>
          </w:tcPr>
          <w:p w14:paraId="2CE18B95">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2.1.6</w:t>
            </w:r>
            <w:r>
              <w:rPr>
                <w:rFonts w:hint="eastAsia"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t>DRG费用指数</w:t>
            </w:r>
          </w:p>
        </w:tc>
        <w:tc>
          <w:tcPr>
            <w:tcW w:w="1306" w:type="pct"/>
            <w:vAlign w:val="center"/>
          </w:tcPr>
          <w:p w14:paraId="151642AF">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2.1.6.1</w:t>
            </w:r>
            <w:r>
              <w:rPr>
                <w:rFonts w:hint="eastAsia"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t>DRG费用指数</w:t>
            </w:r>
          </w:p>
        </w:tc>
        <w:tc>
          <w:tcPr>
            <w:tcW w:w="1955" w:type="pct"/>
            <w:vAlign w:val="center"/>
          </w:tcPr>
          <w:p w14:paraId="7E9C9CB7">
            <w:pPr>
              <w:rPr>
                <w:rFonts w:ascii="Times New Roman" w:hAnsi="Times New Roman" w:eastAsia="仿宋" w:cs="Times New Roman"/>
                <w:color w:val="000000"/>
                <w:szCs w:val="21"/>
                <w:highlight w:val="none"/>
              </w:rPr>
            </w:pPr>
          </w:p>
        </w:tc>
      </w:tr>
      <w:tr w14:paraId="7B36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restart"/>
            <w:vAlign w:val="center"/>
          </w:tcPr>
          <w:p w14:paraId="66139C76">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2.2医院质量安全指标</w:t>
            </w:r>
          </w:p>
        </w:tc>
        <w:tc>
          <w:tcPr>
            <w:tcW w:w="1100" w:type="pct"/>
            <w:vMerge w:val="restart"/>
            <w:vAlign w:val="center"/>
          </w:tcPr>
          <w:p w14:paraId="48C7D01C">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2.2.1医疗质量安全核心制度</w:t>
            </w:r>
          </w:p>
          <w:p w14:paraId="7AEED6FB">
            <w:pPr>
              <w:textAlignment w:val="center"/>
              <w:rPr>
                <w:rFonts w:ascii="Times New Roman" w:hAnsi="Times New Roman" w:eastAsia="仿宋" w:cs="Times New Roman"/>
                <w:color w:val="000000"/>
                <w:szCs w:val="21"/>
                <w:highlight w:val="none"/>
              </w:rPr>
            </w:pPr>
          </w:p>
        </w:tc>
        <w:tc>
          <w:tcPr>
            <w:tcW w:w="1306" w:type="pct"/>
            <w:vAlign w:val="center"/>
          </w:tcPr>
          <w:p w14:paraId="0E7AD55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2.2.1.1十八项医疗质量核心制度</w:t>
            </w:r>
            <w:r>
              <w:rPr>
                <w:rFonts w:hint="eastAsia" w:ascii="Times New Roman" w:hAnsi="Times New Roman" w:eastAsia="仿宋" w:cs="Times New Roman"/>
                <w:color w:val="000000"/>
                <w:szCs w:val="21"/>
                <w:highlight w:val="none"/>
                <w:lang w:eastAsia="zh-CN"/>
              </w:rPr>
              <w:t>数据</w:t>
            </w:r>
            <w:r>
              <w:rPr>
                <w:rFonts w:ascii="Times New Roman" w:hAnsi="Times New Roman" w:eastAsia="仿宋" w:cs="Times New Roman"/>
                <w:color w:val="000000"/>
                <w:szCs w:val="21"/>
                <w:highlight w:val="none"/>
                <w:lang w:eastAsia="zh-CN"/>
              </w:rPr>
              <w:t>情况</w:t>
            </w:r>
          </w:p>
        </w:tc>
        <w:tc>
          <w:tcPr>
            <w:tcW w:w="1955" w:type="pct"/>
            <w:vAlign w:val="center"/>
          </w:tcPr>
          <w:p w14:paraId="7E52056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按照国家卫健委发布的医疗质量安全核心制度35项</w:t>
            </w:r>
            <w:r>
              <w:rPr>
                <w:rFonts w:hint="eastAsia" w:ascii="Times New Roman" w:hAnsi="Times New Roman" w:eastAsia="仿宋" w:cs="Times New Roman"/>
                <w:color w:val="000000"/>
                <w:szCs w:val="21"/>
                <w:highlight w:val="none"/>
                <w:lang w:eastAsia="zh-CN"/>
              </w:rPr>
              <w:t>监</w:t>
            </w:r>
            <w:r>
              <w:rPr>
                <w:rFonts w:ascii="Times New Roman" w:hAnsi="Times New Roman" w:eastAsia="仿宋" w:cs="Times New Roman"/>
                <w:color w:val="000000"/>
                <w:szCs w:val="21"/>
                <w:highlight w:val="none"/>
                <w:lang w:eastAsia="zh-CN"/>
              </w:rPr>
              <w:t>测指标，医院填报能够落实指标的条目数</w:t>
            </w:r>
          </w:p>
        </w:tc>
      </w:tr>
      <w:tr w14:paraId="1E561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637" w:type="pct"/>
            <w:vMerge w:val="continue"/>
            <w:vAlign w:val="center"/>
          </w:tcPr>
          <w:p w14:paraId="118E431F">
            <w:pPr>
              <w:textAlignment w:val="center"/>
              <w:rPr>
                <w:rFonts w:ascii="Times New Roman" w:hAnsi="Times New Roman" w:eastAsia="仿宋" w:cs="Times New Roman"/>
                <w:color w:val="000000"/>
                <w:szCs w:val="21"/>
                <w:highlight w:val="none"/>
                <w:lang w:eastAsia="zh-CN"/>
              </w:rPr>
            </w:pPr>
          </w:p>
        </w:tc>
        <w:tc>
          <w:tcPr>
            <w:tcW w:w="1100" w:type="pct"/>
            <w:vMerge w:val="continue"/>
            <w:vAlign w:val="center"/>
          </w:tcPr>
          <w:p w14:paraId="12754219">
            <w:pPr>
              <w:textAlignment w:val="center"/>
              <w:rPr>
                <w:rFonts w:ascii="Times New Roman" w:hAnsi="Times New Roman" w:eastAsia="仿宋" w:cs="Times New Roman"/>
                <w:color w:val="000000"/>
                <w:szCs w:val="21"/>
                <w:highlight w:val="none"/>
                <w:lang w:eastAsia="zh-CN"/>
              </w:rPr>
            </w:pPr>
          </w:p>
        </w:tc>
        <w:tc>
          <w:tcPr>
            <w:tcW w:w="1306" w:type="pct"/>
            <w:vAlign w:val="center"/>
          </w:tcPr>
          <w:p w14:paraId="05047691">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2.2.1.2十八项医疗质量核心制度执行情况</w:t>
            </w:r>
          </w:p>
        </w:tc>
        <w:tc>
          <w:tcPr>
            <w:tcW w:w="1955" w:type="pct"/>
            <w:vAlign w:val="center"/>
          </w:tcPr>
          <w:p w14:paraId="1364DF9B">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医疗质量安全核心制度35项监测指标落实执行情况</w:t>
            </w:r>
          </w:p>
        </w:tc>
      </w:tr>
      <w:tr w14:paraId="34A58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7282D111">
            <w:pPr>
              <w:rPr>
                <w:rFonts w:ascii="Times New Roman" w:hAnsi="Times New Roman" w:eastAsia="仿宋" w:cs="Times New Roman"/>
                <w:color w:val="000000"/>
                <w:szCs w:val="21"/>
                <w:highlight w:val="none"/>
                <w:lang w:eastAsia="zh-CN"/>
              </w:rPr>
            </w:pPr>
          </w:p>
        </w:tc>
        <w:tc>
          <w:tcPr>
            <w:tcW w:w="1100" w:type="pct"/>
            <w:vMerge w:val="restart"/>
            <w:vAlign w:val="center"/>
          </w:tcPr>
          <w:p w14:paraId="0BD78F38">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2.2.2规范开展诊疗活动</w:t>
            </w:r>
          </w:p>
        </w:tc>
        <w:tc>
          <w:tcPr>
            <w:tcW w:w="1306" w:type="pct"/>
            <w:vAlign w:val="center"/>
          </w:tcPr>
          <w:p w14:paraId="00733D58">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2.2.2.1诊疗指南更新率</w:t>
            </w:r>
          </w:p>
        </w:tc>
        <w:tc>
          <w:tcPr>
            <w:tcW w:w="1955" w:type="pct"/>
            <w:vAlign w:val="center"/>
          </w:tcPr>
          <w:p w14:paraId="747E972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近5年内更新的</w:t>
            </w:r>
            <w:r>
              <w:rPr>
                <w:rFonts w:hint="eastAsia" w:ascii="Times New Roman" w:hAnsi="Times New Roman" w:eastAsia="仿宋" w:cs="Times New Roman"/>
                <w:color w:val="000000"/>
                <w:szCs w:val="21"/>
                <w:highlight w:val="none"/>
                <w:lang w:eastAsia="zh-CN"/>
              </w:rPr>
              <w:t>科室</w:t>
            </w:r>
            <w:r>
              <w:rPr>
                <w:rFonts w:ascii="Times New Roman" w:hAnsi="Times New Roman" w:eastAsia="仿宋" w:cs="Times New Roman"/>
                <w:color w:val="000000"/>
                <w:szCs w:val="21"/>
                <w:highlight w:val="none"/>
                <w:lang w:eastAsia="zh-CN"/>
              </w:rPr>
              <w:t>指南数量/科室使用指南总数×100%</w:t>
            </w:r>
          </w:p>
        </w:tc>
      </w:tr>
      <w:tr w14:paraId="5BE81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7F76C572">
            <w:pPr>
              <w:rPr>
                <w:rFonts w:ascii="Times New Roman" w:hAnsi="Times New Roman" w:eastAsia="仿宋" w:cs="Times New Roman"/>
                <w:color w:val="000000"/>
                <w:szCs w:val="21"/>
                <w:highlight w:val="none"/>
                <w:lang w:eastAsia="zh-CN"/>
              </w:rPr>
            </w:pPr>
          </w:p>
        </w:tc>
        <w:tc>
          <w:tcPr>
            <w:tcW w:w="1100" w:type="pct"/>
            <w:vMerge w:val="continue"/>
            <w:vAlign w:val="center"/>
          </w:tcPr>
          <w:p w14:paraId="76BFC940">
            <w:pPr>
              <w:rPr>
                <w:rFonts w:ascii="Times New Roman" w:hAnsi="Times New Roman" w:eastAsia="仿宋" w:cs="Times New Roman"/>
                <w:color w:val="000000"/>
                <w:szCs w:val="21"/>
                <w:highlight w:val="none"/>
                <w:lang w:eastAsia="zh-CN"/>
              </w:rPr>
            </w:pPr>
          </w:p>
        </w:tc>
        <w:tc>
          <w:tcPr>
            <w:tcW w:w="1306" w:type="pct"/>
            <w:vAlign w:val="center"/>
          </w:tcPr>
          <w:p w14:paraId="6EB6392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2.2.2.</w:t>
            </w:r>
            <w:r>
              <w:rPr>
                <w:rFonts w:hint="eastAsia" w:ascii="Times New Roman" w:hAnsi="Times New Roman" w:eastAsia="仿宋" w:cs="Times New Roman"/>
                <w:color w:val="000000"/>
                <w:szCs w:val="21"/>
                <w:highlight w:val="none"/>
                <w:lang w:eastAsia="zh-CN"/>
              </w:rPr>
              <w:t>2</w:t>
            </w:r>
            <w:r>
              <w:rPr>
                <w:rFonts w:ascii="Times New Roman" w:hAnsi="Times New Roman" w:eastAsia="仿宋" w:cs="Times New Roman"/>
                <w:color w:val="000000"/>
                <w:szCs w:val="21"/>
                <w:highlight w:val="none"/>
                <w:lang w:eastAsia="zh-CN"/>
              </w:rPr>
              <w:t>知情同意制度落实完备性</w:t>
            </w:r>
          </w:p>
        </w:tc>
        <w:tc>
          <w:tcPr>
            <w:tcW w:w="1955" w:type="pct"/>
            <w:vAlign w:val="center"/>
          </w:tcPr>
          <w:p w14:paraId="0B039D7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医院制定的必须取得书面知情同意的诊疗项目清单的完备性</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参照《病历书写基本规范》《医疗纠纷预防和处理条例》</w:t>
            </w:r>
            <w:r>
              <w:rPr>
                <w:rFonts w:hint="eastAsia" w:ascii="Times New Roman" w:hAnsi="Times New Roman" w:eastAsia="仿宋" w:cs="Times New Roman"/>
                <w:color w:val="000000"/>
                <w:szCs w:val="21"/>
                <w:highlight w:val="none"/>
                <w:lang w:eastAsia="zh-CN"/>
              </w:rPr>
              <w:t>等</w:t>
            </w:r>
            <w:r>
              <w:rPr>
                <w:rFonts w:ascii="Times New Roman" w:hAnsi="Times New Roman" w:eastAsia="仿宋" w:cs="Times New Roman"/>
                <w:color w:val="000000"/>
                <w:szCs w:val="21"/>
                <w:highlight w:val="none"/>
                <w:lang w:eastAsia="zh-CN"/>
              </w:rPr>
              <w:t>要求，如实施手术、麻醉、有创诊疗操作、特殊检查、特殊治疗（如化疗、放疗）、使用血液制品、贵重药品、高值耗材前、临床试验等。</w:t>
            </w:r>
          </w:p>
        </w:tc>
      </w:tr>
      <w:tr w14:paraId="3C83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0C86DD13">
            <w:pPr>
              <w:rPr>
                <w:rFonts w:ascii="Times New Roman" w:hAnsi="Times New Roman" w:eastAsia="仿宋" w:cs="Times New Roman"/>
                <w:color w:val="000000"/>
                <w:szCs w:val="21"/>
                <w:highlight w:val="none"/>
                <w:lang w:eastAsia="zh-CN"/>
              </w:rPr>
            </w:pPr>
          </w:p>
        </w:tc>
        <w:tc>
          <w:tcPr>
            <w:tcW w:w="1100" w:type="pct"/>
            <w:vMerge w:val="continue"/>
            <w:vAlign w:val="center"/>
          </w:tcPr>
          <w:p w14:paraId="3F55CC9B">
            <w:pPr>
              <w:rPr>
                <w:rFonts w:ascii="Times New Roman" w:hAnsi="Times New Roman" w:eastAsia="仿宋" w:cs="Times New Roman"/>
                <w:color w:val="000000"/>
                <w:szCs w:val="21"/>
                <w:highlight w:val="none"/>
                <w:lang w:eastAsia="zh-CN"/>
              </w:rPr>
            </w:pPr>
          </w:p>
        </w:tc>
        <w:tc>
          <w:tcPr>
            <w:tcW w:w="1306" w:type="pct"/>
            <w:vAlign w:val="center"/>
          </w:tcPr>
          <w:p w14:paraId="25585CF4">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2.2.2.</w:t>
            </w:r>
            <w:r>
              <w:rPr>
                <w:rFonts w:hint="eastAsia" w:ascii="Times New Roman" w:hAnsi="Times New Roman" w:eastAsia="仿宋" w:cs="Times New Roman"/>
                <w:color w:val="000000"/>
                <w:szCs w:val="21"/>
                <w:highlight w:val="none"/>
              </w:rPr>
              <w:t>3</w:t>
            </w:r>
            <w:r>
              <w:rPr>
                <w:rFonts w:ascii="Times New Roman" w:hAnsi="Times New Roman" w:eastAsia="仿宋" w:cs="Times New Roman"/>
                <w:color w:val="000000"/>
                <w:szCs w:val="21"/>
                <w:highlight w:val="none"/>
              </w:rPr>
              <w:t>知情同意规范执行率</w:t>
            </w:r>
          </w:p>
        </w:tc>
        <w:tc>
          <w:tcPr>
            <w:tcW w:w="1955" w:type="pct"/>
            <w:vAlign w:val="center"/>
          </w:tcPr>
          <w:p w14:paraId="4B6E2BA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抽查，1.知情同意签署率：规定必须</w:t>
            </w:r>
            <w:r>
              <w:rPr>
                <w:rFonts w:hint="eastAsia" w:ascii="Times New Roman" w:hAnsi="Times New Roman" w:eastAsia="仿宋" w:cs="Times New Roman"/>
                <w:color w:val="000000"/>
                <w:szCs w:val="21"/>
                <w:highlight w:val="none"/>
                <w:lang w:eastAsia="zh-CN"/>
              </w:rPr>
              <w:t>签署</w:t>
            </w:r>
            <w:r>
              <w:rPr>
                <w:rFonts w:ascii="Times New Roman" w:hAnsi="Times New Roman" w:eastAsia="仿宋" w:cs="Times New Roman"/>
                <w:color w:val="000000"/>
                <w:szCs w:val="21"/>
                <w:highlight w:val="none"/>
                <w:lang w:eastAsia="zh-CN"/>
              </w:rPr>
              <w:t>的项目，实际签署的比例</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br w:type="textWrapping"/>
            </w:r>
            <w:r>
              <w:rPr>
                <w:rFonts w:ascii="Times New Roman" w:hAnsi="Times New Roman" w:eastAsia="仿宋" w:cs="Times New Roman"/>
                <w:color w:val="000000"/>
                <w:szCs w:val="21"/>
                <w:highlight w:val="none"/>
                <w:lang w:eastAsia="zh-CN"/>
              </w:rPr>
              <w:t>2.知情同意书内容完整率：患者信息、诊断、方案、替代方案、医师签名、日期等关键要素</w:t>
            </w:r>
            <w:r>
              <w:rPr>
                <w:rFonts w:hint="eastAsia" w:ascii="Times New Roman" w:hAnsi="Times New Roman" w:eastAsia="仿宋" w:cs="Times New Roman"/>
                <w:color w:val="000000"/>
                <w:szCs w:val="21"/>
                <w:highlight w:val="none"/>
                <w:lang w:eastAsia="zh-CN"/>
              </w:rPr>
              <w:t>的完整率</w:t>
            </w:r>
            <w:r>
              <w:rPr>
                <w:rFonts w:ascii="Times New Roman" w:hAnsi="Times New Roman" w:eastAsia="仿宋" w:cs="Times New Roman"/>
                <w:color w:val="000000"/>
                <w:szCs w:val="21"/>
                <w:highlight w:val="none"/>
                <w:lang w:eastAsia="zh-CN"/>
              </w:rPr>
              <w:t>。</w:t>
            </w:r>
          </w:p>
        </w:tc>
      </w:tr>
      <w:tr w14:paraId="652F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2AB97F14">
            <w:pPr>
              <w:rPr>
                <w:rFonts w:ascii="Times New Roman" w:hAnsi="Times New Roman" w:eastAsia="仿宋" w:cs="Times New Roman"/>
                <w:color w:val="000000"/>
                <w:szCs w:val="21"/>
                <w:highlight w:val="none"/>
                <w:lang w:eastAsia="zh-CN"/>
              </w:rPr>
            </w:pPr>
          </w:p>
        </w:tc>
        <w:tc>
          <w:tcPr>
            <w:tcW w:w="1100" w:type="pct"/>
            <w:vAlign w:val="center"/>
          </w:tcPr>
          <w:p w14:paraId="2CA97541">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2.2.3临床专科能力建设</w:t>
            </w:r>
          </w:p>
        </w:tc>
        <w:tc>
          <w:tcPr>
            <w:tcW w:w="1306" w:type="pct"/>
            <w:vAlign w:val="center"/>
          </w:tcPr>
          <w:p w14:paraId="0210D84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2.2.3.1省级临床重点专科数量</w:t>
            </w:r>
          </w:p>
        </w:tc>
        <w:tc>
          <w:tcPr>
            <w:tcW w:w="1955" w:type="pct"/>
            <w:vAlign w:val="center"/>
          </w:tcPr>
          <w:p w14:paraId="2609A40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省级临床重点专科数量</w:t>
            </w:r>
            <w:r>
              <w:rPr>
                <w:rFonts w:hint="eastAsia" w:ascii="Times New Roman" w:hAnsi="Times New Roman" w:eastAsia="仿宋" w:cs="Times New Roman"/>
                <w:color w:val="000000"/>
                <w:szCs w:val="21"/>
                <w:highlight w:val="none"/>
                <w:lang w:eastAsia="zh-CN"/>
              </w:rPr>
              <w:t>，且数量不比上一周期减少。</w:t>
            </w:r>
          </w:p>
        </w:tc>
      </w:tr>
      <w:tr w14:paraId="1072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DB91DC3">
            <w:pPr>
              <w:rPr>
                <w:rFonts w:ascii="Times New Roman" w:hAnsi="Times New Roman" w:eastAsia="仿宋" w:cs="Times New Roman"/>
                <w:color w:val="000000"/>
                <w:szCs w:val="21"/>
                <w:highlight w:val="none"/>
                <w:lang w:eastAsia="zh-CN"/>
              </w:rPr>
            </w:pPr>
          </w:p>
        </w:tc>
        <w:tc>
          <w:tcPr>
            <w:tcW w:w="1100" w:type="pct"/>
            <w:vAlign w:val="center"/>
          </w:tcPr>
          <w:p w14:paraId="7E597860">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2.2.4年度国家医疗质量安全目标改进情况</w:t>
            </w:r>
          </w:p>
        </w:tc>
        <w:tc>
          <w:tcPr>
            <w:tcW w:w="1306" w:type="pct"/>
            <w:vAlign w:val="center"/>
          </w:tcPr>
          <w:p w14:paraId="11E20F9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2.2.4.1年度国家医疗质量安全目标改进成效</w:t>
            </w:r>
          </w:p>
        </w:tc>
        <w:tc>
          <w:tcPr>
            <w:tcW w:w="1955" w:type="pct"/>
            <w:vAlign w:val="center"/>
          </w:tcPr>
          <w:p w14:paraId="48D63FB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国家医疗质量安全改进目标改进有成效，有数据说明。</w:t>
            </w:r>
          </w:p>
        </w:tc>
      </w:tr>
      <w:tr w14:paraId="7326B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7407F83">
            <w:pPr>
              <w:rPr>
                <w:rFonts w:ascii="Times New Roman" w:hAnsi="Times New Roman" w:eastAsia="仿宋" w:cs="Times New Roman"/>
                <w:color w:val="000000"/>
                <w:szCs w:val="21"/>
                <w:highlight w:val="none"/>
                <w:lang w:eastAsia="zh-CN"/>
              </w:rPr>
            </w:pPr>
          </w:p>
        </w:tc>
        <w:tc>
          <w:tcPr>
            <w:tcW w:w="1100" w:type="pct"/>
            <w:vAlign w:val="center"/>
          </w:tcPr>
          <w:p w14:paraId="202D0B68">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2.2.5患者住院总死亡率</w:t>
            </w:r>
          </w:p>
        </w:tc>
        <w:tc>
          <w:tcPr>
            <w:tcW w:w="1306" w:type="pct"/>
            <w:vAlign w:val="center"/>
          </w:tcPr>
          <w:p w14:paraId="2A8B8217">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2.2.5.1患者住院总死亡率</w:t>
            </w:r>
          </w:p>
        </w:tc>
        <w:tc>
          <w:tcPr>
            <w:tcW w:w="1955" w:type="pct"/>
            <w:vAlign w:val="center"/>
          </w:tcPr>
          <w:p w14:paraId="1EF67890">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eastAsia="zh-CN"/>
              </w:rPr>
              <w:t>住院总死亡患者人数与同期出院患者总人次的比例。</w:t>
            </w:r>
            <w:r>
              <w:rPr>
                <w:rFonts w:hint="eastAsia" w:ascii="Times New Roman" w:hAnsi="Times New Roman" w:eastAsia="仿宋" w:cs="Times New Roman"/>
                <w:color w:val="000000"/>
                <w:szCs w:val="21"/>
                <w:highlight w:val="none"/>
              </w:rPr>
              <w:t>（含非医嘱离院）</w:t>
            </w:r>
          </w:p>
        </w:tc>
      </w:tr>
      <w:tr w14:paraId="2F558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631B97EC">
            <w:pPr>
              <w:rPr>
                <w:rFonts w:ascii="Times New Roman" w:hAnsi="Times New Roman" w:eastAsia="仿宋" w:cs="Times New Roman"/>
                <w:color w:val="000000"/>
                <w:szCs w:val="21"/>
                <w:highlight w:val="none"/>
              </w:rPr>
            </w:pPr>
          </w:p>
        </w:tc>
        <w:tc>
          <w:tcPr>
            <w:tcW w:w="1100" w:type="pct"/>
            <w:vAlign w:val="center"/>
          </w:tcPr>
          <w:p w14:paraId="43E8EE5E">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2.2.6新生儿患者住院死亡率</w:t>
            </w:r>
          </w:p>
        </w:tc>
        <w:tc>
          <w:tcPr>
            <w:tcW w:w="1306" w:type="pct"/>
            <w:vAlign w:val="center"/>
          </w:tcPr>
          <w:p w14:paraId="7D1251E2">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2.2.6.1新生儿患者住院死亡率</w:t>
            </w:r>
          </w:p>
        </w:tc>
        <w:tc>
          <w:tcPr>
            <w:tcW w:w="1955" w:type="pct"/>
            <w:vAlign w:val="center"/>
          </w:tcPr>
          <w:p w14:paraId="3A66AE2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新生儿住院死亡人数与同期新生儿出院患者人次的比例。</w:t>
            </w:r>
          </w:p>
        </w:tc>
      </w:tr>
      <w:tr w14:paraId="43EC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1DF10515">
            <w:pPr>
              <w:rPr>
                <w:rFonts w:ascii="Times New Roman" w:hAnsi="Times New Roman" w:eastAsia="仿宋" w:cs="Times New Roman"/>
                <w:color w:val="000000"/>
                <w:szCs w:val="21"/>
                <w:highlight w:val="none"/>
                <w:lang w:eastAsia="zh-CN"/>
              </w:rPr>
            </w:pPr>
          </w:p>
        </w:tc>
        <w:tc>
          <w:tcPr>
            <w:tcW w:w="1100" w:type="pct"/>
            <w:vAlign w:val="center"/>
          </w:tcPr>
          <w:p w14:paraId="334980B2">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2.2.7手术患者住院死亡率</w:t>
            </w:r>
          </w:p>
        </w:tc>
        <w:tc>
          <w:tcPr>
            <w:tcW w:w="1306" w:type="pct"/>
            <w:vAlign w:val="center"/>
          </w:tcPr>
          <w:p w14:paraId="4FEF8CEE">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2.2.7.1手术患者住院死亡率</w:t>
            </w:r>
          </w:p>
        </w:tc>
        <w:tc>
          <w:tcPr>
            <w:tcW w:w="1955" w:type="pct"/>
            <w:vAlign w:val="center"/>
          </w:tcPr>
          <w:p w14:paraId="1D06A7A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手术患者住院死亡人数与同期手术患者出院人次的比例</w:t>
            </w:r>
            <w:r>
              <w:rPr>
                <w:rFonts w:hint="eastAsia" w:ascii="Times New Roman" w:hAnsi="Times New Roman" w:eastAsia="仿宋" w:cs="Times New Roman"/>
                <w:color w:val="000000"/>
                <w:szCs w:val="21"/>
                <w:highlight w:val="none"/>
                <w:lang w:eastAsia="zh-CN"/>
              </w:rPr>
              <w:t>。</w:t>
            </w:r>
          </w:p>
        </w:tc>
      </w:tr>
      <w:tr w14:paraId="6BAD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37" w:type="pct"/>
            <w:vMerge w:val="continue"/>
            <w:vAlign w:val="center"/>
          </w:tcPr>
          <w:p w14:paraId="6649C374">
            <w:pPr>
              <w:rPr>
                <w:rFonts w:ascii="Times New Roman" w:hAnsi="Times New Roman" w:eastAsia="仿宋" w:cs="Times New Roman"/>
                <w:color w:val="000000"/>
                <w:szCs w:val="21"/>
                <w:highlight w:val="none"/>
                <w:lang w:eastAsia="zh-CN"/>
              </w:rPr>
            </w:pPr>
          </w:p>
        </w:tc>
        <w:tc>
          <w:tcPr>
            <w:tcW w:w="1100" w:type="pct"/>
            <w:vAlign w:val="center"/>
          </w:tcPr>
          <w:p w14:paraId="632E113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2.2.8住院患者出院后0-31天非预期再住院率</w:t>
            </w:r>
          </w:p>
        </w:tc>
        <w:tc>
          <w:tcPr>
            <w:tcW w:w="1306" w:type="pct"/>
            <w:vAlign w:val="center"/>
          </w:tcPr>
          <w:p w14:paraId="577BEE8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2.2.8.1住院患者出院后0-31天非预期再住院率</w:t>
            </w:r>
          </w:p>
        </w:tc>
        <w:tc>
          <w:tcPr>
            <w:tcW w:w="1955" w:type="pct"/>
            <w:vAlign w:val="center"/>
          </w:tcPr>
          <w:p w14:paraId="48F9CA3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出院后0-31天非预期再住院患者人次与同期出院患者总人次（除死亡患者外）的比例。</w:t>
            </w:r>
          </w:p>
        </w:tc>
      </w:tr>
      <w:tr w14:paraId="204B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1CC8E590">
            <w:pPr>
              <w:rPr>
                <w:rFonts w:ascii="Times New Roman" w:hAnsi="Times New Roman" w:eastAsia="仿宋" w:cs="Times New Roman"/>
                <w:color w:val="000000"/>
                <w:szCs w:val="21"/>
                <w:highlight w:val="none"/>
                <w:lang w:eastAsia="zh-CN"/>
              </w:rPr>
            </w:pPr>
          </w:p>
        </w:tc>
        <w:tc>
          <w:tcPr>
            <w:tcW w:w="1100" w:type="pct"/>
            <w:vAlign w:val="center"/>
          </w:tcPr>
          <w:p w14:paraId="06CE104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2.2.9手术患者术后48小时/31天内非预期重返手术室再次手术率</w:t>
            </w:r>
          </w:p>
        </w:tc>
        <w:tc>
          <w:tcPr>
            <w:tcW w:w="1306" w:type="pct"/>
            <w:vAlign w:val="center"/>
          </w:tcPr>
          <w:p w14:paraId="471BBB2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2.2.9.1手术患者术后48小时/31天内非预期重返手术室再次手术率</w:t>
            </w:r>
          </w:p>
        </w:tc>
        <w:tc>
          <w:tcPr>
            <w:tcW w:w="1955" w:type="pct"/>
            <w:vAlign w:val="center"/>
          </w:tcPr>
          <w:p w14:paraId="74E960C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手术患者手术后48小时/31天内因各种原因导致患者需进行的计划外再次手术例数与同期出院患者手术例数的比例。</w:t>
            </w:r>
          </w:p>
        </w:tc>
      </w:tr>
      <w:tr w14:paraId="29CF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5C318522">
            <w:pPr>
              <w:rPr>
                <w:rFonts w:ascii="Times New Roman" w:hAnsi="Times New Roman" w:eastAsia="仿宋" w:cs="Times New Roman"/>
                <w:color w:val="000000"/>
                <w:szCs w:val="21"/>
                <w:highlight w:val="none"/>
                <w:lang w:eastAsia="zh-CN"/>
              </w:rPr>
            </w:pPr>
          </w:p>
        </w:tc>
        <w:tc>
          <w:tcPr>
            <w:tcW w:w="1100" w:type="pct"/>
            <w:vAlign w:val="center"/>
          </w:tcPr>
          <w:p w14:paraId="5065896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2.2.10DRG低风险组病例死亡率</w:t>
            </w:r>
          </w:p>
        </w:tc>
        <w:tc>
          <w:tcPr>
            <w:tcW w:w="1306" w:type="pct"/>
            <w:vAlign w:val="center"/>
          </w:tcPr>
          <w:p w14:paraId="2E32064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2.2.10.1DRG低风险组病例死亡率</w:t>
            </w:r>
          </w:p>
        </w:tc>
        <w:tc>
          <w:tcPr>
            <w:tcW w:w="1955" w:type="pct"/>
            <w:vAlign w:val="center"/>
          </w:tcPr>
          <w:p w14:paraId="07AC710E">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监测年度运用DRG分组器测算产生低风险组病例，其死亡率是指该组死亡的病例数占低分险组全部病例数量的比例。计算方法：低风险死亡例数/低风险组病例数</w:t>
            </w:r>
            <w:r>
              <w:rPr>
                <w:rFonts w:ascii="Arial" w:hAnsi="Arial" w:eastAsia="仿宋" w:cs="Arial"/>
                <w:color w:val="000000"/>
                <w:szCs w:val="21"/>
                <w:highlight w:val="none"/>
                <w:lang w:eastAsia="zh-CN"/>
              </w:rPr>
              <w:t>×</w:t>
            </w:r>
            <w:r>
              <w:rPr>
                <w:rFonts w:hint="eastAsia" w:ascii="Times New Roman" w:hAnsi="Times New Roman" w:eastAsia="仿宋" w:cs="Times New Roman"/>
                <w:color w:val="000000"/>
                <w:szCs w:val="21"/>
                <w:highlight w:val="none"/>
                <w:lang w:eastAsia="zh-CN"/>
              </w:rPr>
              <w:t>100%</w:t>
            </w:r>
          </w:p>
        </w:tc>
      </w:tr>
      <w:tr w14:paraId="16D0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restart"/>
            <w:vAlign w:val="center"/>
          </w:tcPr>
          <w:p w14:paraId="3DE74466">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2.3医疗安全指标</w:t>
            </w:r>
          </w:p>
        </w:tc>
        <w:tc>
          <w:tcPr>
            <w:tcW w:w="1100" w:type="pct"/>
            <w:vAlign w:val="center"/>
          </w:tcPr>
          <w:p w14:paraId="28FBB5E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2.3.1手术患者手术后肺栓塞发生例数和发生率</w:t>
            </w:r>
          </w:p>
        </w:tc>
        <w:tc>
          <w:tcPr>
            <w:tcW w:w="1306" w:type="pct"/>
            <w:vAlign w:val="center"/>
          </w:tcPr>
          <w:p w14:paraId="0DCF8ED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2.3.1.1手术患者手术后肺栓塞发生例数和发生率</w:t>
            </w:r>
          </w:p>
        </w:tc>
        <w:tc>
          <w:tcPr>
            <w:tcW w:w="1955" w:type="pct"/>
            <w:vAlign w:val="center"/>
          </w:tcPr>
          <w:p w14:paraId="6CE9817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I26的手术出院患者发生例数和发生率</w:t>
            </w:r>
          </w:p>
        </w:tc>
      </w:tr>
      <w:tr w14:paraId="0AA27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1A9CB33D">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08D1169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2.3.2手术患者手术后深静脉血栓发生例数和发生率</w:t>
            </w:r>
          </w:p>
        </w:tc>
        <w:tc>
          <w:tcPr>
            <w:tcW w:w="1306" w:type="pct"/>
            <w:vAlign w:val="center"/>
          </w:tcPr>
          <w:p w14:paraId="4FC0002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2.3.2.1手术患者手术后深静脉血栓发生例数和发生率</w:t>
            </w:r>
          </w:p>
        </w:tc>
        <w:tc>
          <w:tcPr>
            <w:tcW w:w="1955" w:type="pct"/>
            <w:vAlign w:val="center"/>
          </w:tcPr>
          <w:p w14:paraId="27AECED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I80.2，I82.8的手术出院患者发生例数和发生率</w:t>
            </w:r>
          </w:p>
        </w:tc>
      </w:tr>
      <w:tr w14:paraId="3045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880393E">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6A5505F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2.3.3手术患者手术后脓毒症发生例数和发生率</w:t>
            </w:r>
          </w:p>
        </w:tc>
        <w:tc>
          <w:tcPr>
            <w:tcW w:w="1306" w:type="pct"/>
            <w:vAlign w:val="center"/>
          </w:tcPr>
          <w:p w14:paraId="0C78CD1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2.3.3.1手术患者手术后脓毒症发生例数和发生率</w:t>
            </w:r>
          </w:p>
        </w:tc>
        <w:tc>
          <w:tcPr>
            <w:tcW w:w="1955" w:type="pct"/>
            <w:vAlign w:val="center"/>
          </w:tcPr>
          <w:p w14:paraId="5B03A3F7">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A40.0至A40.9，A41.0至A41.9，T81.411，B37.700，B49.x00x019的手术出院患者发生例数和发生率</w:t>
            </w:r>
          </w:p>
        </w:tc>
      </w:tr>
      <w:tr w14:paraId="22D7B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1B94DDF">
            <w:pPr>
              <w:textAlignment w:val="center"/>
              <w:rPr>
                <w:rFonts w:ascii="Times New Roman" w:hAnsi="Times New Roman" w:eastAsia="仿宋" w:cs="Times New Roman"/>
                <w:color w:val="000000"/>
                <w:szCs w:val="21"/>
                <w:highlight w:val="none"/>
              </w:rPr>
            </w:pPr>
          </w:p>
        </w:tc>
        <w:tc>
          <w:tcPr>
            <w:tcW w:w="1100" w:type="pct"/>
            <w:vAlign w:val="center"/>
          </w:tcPr>
          <w:p w14:paraId="32F3D61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2.3.4手术患者手术后出血或血肿发生例数和发生率</w:t>
            </w:r>
          </w:p>
        </w:tc>
        <w:tc>
          <w:tcPr>
            <w:tcW w:w="1306" w:type="pct"/>
            <w:vAlign w:val="center"/>
          </w:tcPr>
          <w:p w14:paraId="7E35111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2.3.4.1手术患者手术后出血或血肿发生例数和发生率</w:t>
            </w:r>
          </w:p>
        </w:tc>
        <w:tc>
          <w:tcPr>
            <w:tcW w:w="1955" w:type="pct"/>
            <w:vAlign w:val="center"/>
          </w:tcPr>
          <w:p w14:paraId="4B29DD4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T81.0的手术出院患者发生例数和发生率</w:t>
            </w:r>
          </w:p>
        </w:tc>
      </w:tr>
      <w:tr w14:paraId="75C25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1C2FD588">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1049C3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2.3.5手术患者手术伤口裂开发生例数和发生率</w:t>
            </w:r>
          </w:p>
        </w:tc>
        <w:tc>
          <w:tcPr>
            <w:tcW w:w="1306" w:type="pct"/>
            <w:vAlign w:val="center"/>
          </w:tcPr>
          <w:p w14:paraId="133E2F6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2.3.5.1手术患者手术伤口裂开发生例数和发生率</w:t>
            </w:r>
          </w:p>
        </w:tc>
        <w:tc>
          <w:tcPr>
            <w:tcW w:w="1955" w:type="pct"/>
            <w:vAlign w:val="center"/>
          </w:tcPr>
          <w:p w14:paraId="7DB798E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T81.3的手术出院患者发生例数和发生率</w:t>
            </w:r>
          </w:p>
        </w:tc>
      </w:tr>
      <w:tr w14:paraId="6960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6E2BE8F0">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0DEFE68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2.3.6手术患者手术后猝死发生例数和发生率</w:t>
            </w:r>
          </w:p>
        </w:tc>
        <w:tc>
          <w:tcPr>
            <w:tcW w:w="1306" w:type="pct"/>
            <w:vAlign w:val="center"/>
          </w:tcPr>
          <w:p w14:paraId="5D346E2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2.3.6.1手术患者手术后猝死发生例数和发生率</w:t>
            </w:r>
          </w:p>
        </w:tc>
        <w:tc>
          <w:tcPr>
            <w:tcW w:w="1955" w:type="pct"/>
            <w:vAlign w:val="center"/>
          </w:tcPr>
          <w:p w14:paraId="0208AAB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R96.0，R96.1，I46.1的手术出院患者发生例数和发生率</w:t>
            </w:r>
          </w:p>
        </w:tc>
      </w:tr>
      <w:tr w14:paraId="176FF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55512BA6">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9ED3AF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2.3.7手术患者手术后呼吸衰竭发生例数和发生率</w:t>
            </w:r>
          </w:p>
        </w:tc>
        <w:tc>
          <w:tcPr>
            <w:tcW w:w="1306" w:type="pct"/>
            <w:vAlign w:val="center"/>
          </w:tcPr>
          <w:p w14:paraId="735C384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2.3.7.1手术患者手术后呼吸衰竭发生例数和发生率</w:t>
            </w:r>
          </w:p>
        </w:tc>
        <w:tc>
          <w:tcPr>
            <w:tcW w:w="1955" w:type="pct"/>
            <w:vAlign w:val="center"/>
          </w:tcPr>
          <w:p w14:paraId="258AB7F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J95.800x004，J96.0，J96.1，J96.9的手术出院患者发生例数和发生率</w:t>
            </w:r>
          </w:p>
        </w:tc>
      </w:tr>
      <w:tr w14:paraId="030D6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A31B718">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7895D79C">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2.3.8</w:t>
            </w:r>
            <w:r>
              <w:rPr>
                <w:rFonts w:ascii="Times New Roman" w:hAnsi="Times New Roman" w:eastAsia="仿宋" w:cs="Times New Roman"/>
                <w:color w:val="000000"/>
                <w:szCs w:val="21"/>
                <w:highlight w:val="none"/>
                <w:lang w:eastAsia="zh-CN"/>
              </w:rPr>
              <w:t>手术患者手术后生理/代谢紊乱发生例数和发生率</w:t>
            </w:r>
          </w:p>
        </w:tc>
        <w:tc>
          <w:tcPr>
            <w:tcW w:w="1306" w:type="pct"/>
            <w:vAlign w:val="center"/>
          </w:tcPr>
          <w:p w14:paraId="53CC6C26">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 xml:space="preserve">2.3.8.1 </w:t>
            </w:r>
            <w:r>
              <w:rPr>
                <w:rFonts w:ascii="Times New Roman" w:hAnsi="Times New Roman" w:eastAsia="仿宋" w:cs="Times New Roman"/>
                <w:color w:val="000000"/>
                <w:szCs w:val="21"/>
                <w:highlight w:val="none"/>
                <w:lang w:eastAsia="zh-CN"/>
              </w:rPr>
              <w:t>手术患者手术后生理/代谢紊乱发生例数和发生率</w:t>
            </w:r>
          </w:p>
        </w:tc>
        <w:tc>
          <w:tcPr>
            <w:tcW w:w="1955" w:type="pct"/>
            <w:vAlign w:val="center"/>
          </w:tcPr>
          <w:p w14:paraId="634DC7B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E89.0 至 E89.9 的手术出院患者发生例数和发生率</w:t>
            </w:r>
          </w:p>
        </w:tc>
      </w:tr>
      <w:tr w14:paraId="43FD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6EF81CDA">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679D114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9</w:t>
            </w:r>
            <w:r>
              <w:rPr>
                <w:rFonts w:ascii="Times New Roman" w:hAnsi="Times New Roman" w:eastAsia="仿宋" w:cs="Times New Roman"/>
                <w:color w:val="000000"/>
                <w:szCs w:val="21"/>
                <w:highlight w:val="none"/>
                <w:lang w:eastAsia="zh-CN"/>
              </w:rPr>
              <w:t>手术过程中异物遗留发生例数和发生率</w:t>
            </w:r>
          </w:p>
        </w:tc>
        <w:tc>
          <w:tcPr>
            <w:tcW w:w="1306" w:type="pct"/>
            <w:vAlign w:val="center"/>
          </w:tcPr>
          <w:p w14:paraId="420C172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9</w:t>
            </w:r>
            <w:r>
              <w:rPr>
                <w:rFonts w:ascii="Times New Roman" w:hAnsi="Times New Roman" w:eastAsia="仿宋" w:cs="Times New Roman"/>
                <w:color w:val="000000"/>
                <w:szCs w:val="21"/>
                <w:highlight w:val="none"/>
                <w:lang w:eastAsia="zh-CN"/>
              </w:rPr>
              <w:t>.1手术过程中异物遗留发生例数和发生率</w:t>
            </w:r>
          </w:p>
        </w:tc>
        <w:tc>
          <w:tcPr>
            <w:tcW w:w="1955" w:type="pct"/>
            <w:vAlign w:val="center"/>
          </w:tcPr>
          <w:p w14:paraId="28A3CE4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T81.5，T81.6的手术出院患者发生例数和发生率</w:t>
            </w:r>
          </w:p>
        </w:tc>
      </w:tr>
      <w:tr w14:paraId="0379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3D9400C1">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58EFC90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10</w:t>
            </w:r>
            <w:r>
              <w:rPr>
                <w:rFonts w:ascii="Times New Roman" w:hAnsi="Times New Roman" w:eastAsia="仿宋" w:cs="Times New Roman"/>
                <w:color w:val="000000"/>
                <w:szCs w:val="21"/>
                <w:highlight w:val="none"/>
                <w:lang w:eastAsia="zh-CN"/>
              </w:rPr>
              <w:t>手术患者麻醉并发症发生例数和发生率</w:t>
            </w:r>
          </w:p>
        </w:tc>
        <w:tc>
          <w:tcPr>
            <w:tcW w:w="1306" w:type="pct"/>
            <w:vAlign w:val="center"/>
          </w:tcPr>
          <w:p w14:paraId="295C712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10</w:t>
            </w:r>
            <w:r>
              <w:rPr>
                <w:rFonts w:ascii="Times New Roman" w:hAnsi="Times New Roman" w:eastAsia="仿宋" w:cs="Times New Roman"/>
                <w:color w:val="000000"/>
                <w:szCs w:val="21"/>
                <w:highlight w:val="none"/>
                <w:lang w:eastAsia="zh-CN"/>
              </w:rPr>
              <w:t>.1手术患者麻醉并发症发生例数和发生率</w:t>
            </w:r>
          </w:p>
        </w:tc>
        <w:tc>
          <w:tcPr>
            <w:tcW w:w="1955" w:type="pct"/>
            <w:vAlign w:val="center"/>
          </w:tcPr>
          <w:p w14:paraId="497C5FA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T88.2至T88.5的手术出院患者发生例数和发生率</w:t>
            </w:r>
          </w:p>
        </w:tc>
      </w:tr>
      <w:tr w14:paraId="54F10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163F07F2">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660253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手术患者肺部感染与肺机能不全发生例数和发生率</w:t>
            </w:r>
          </w:p>
        </w:tc>
        <w:tc>
          <w:tcPr>
            <w:tcW w:w="1306" w:type="pct"/>
            <w:vAlign w:val="center"/>
          </w:tcPr>
          <w:p w14:paraId="09B31F9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.1手术患者肺部感染与肺机能不全发生例数和发生率</w:t>
            </w:r>
          </w:p>
        </w:tc>
        <w:tc>
          <w:tcPr>
            <w:tcW w:w="1955" w:type="pct"/>
            <w:vAlign w:val="center"/>
          </w:tcPr>
          <w:p w14:paraId="4BE6D94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J95.1至J95.4，J95.8，J95.9，J98.4，J15至J16，J18的手术出院患者发生例数和发生率</w:t>
            </w:r>
          </w:p>
        </w:tc>
      </w:tr>
      <w:tr w14:paraId="25E4B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00B1D212">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3FC96424">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2.3.12</w:t>
            </w:r>
            <w:r>
              <w:rPr>
                <w:rFonts w:ascii="Times New Roman" w:hAnsi="Times New Roman" w:eastAsia="仿宋" w:cs="Times New Roman"/>
                <w:color w:val="000000"/>
                <w:szCs w:val="21"/>
                <w:highlight w:val="none"/>
                <w:lang w:eastAsia="zh-CN"/>
              </w:rPr>
              <w:t>手术意外穿刺伤或撕裂伤发生例数和发生率</w:t>
            </w:r>
          </w:p>
        </w:tc>
        <w:tc>
          <w:tcPr>
            <w:tcW w:w="1306" w:type="pct"/>
            <w:vAlign w:val="center"/>
          </w:tcPr>
          <w:p w14:paraId="6364C1BA">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2.3.12.1</w:t>
            </w:r>
            <w:r>
              <w:rPr>
                <w:rFonts w:ascii="Times New Roman" w:hAnsi="Times New Roman" w:eastAsia="仿宋" w:cs="Times New Roman"/>
                <w:color w:val="000000"/>
                <w:szCs w:val="21"/>
                <w:highlight w:val="none"/>
                <w:lang w:eastAsia="zh-CN"/>
              </w:rPr>
              <w:t>手术意外穿刺伤或撕裂伤发生例数和发生率</w:t>
            </w:r>
          </w:p>
        </w:tc>
        <w:tc>
          <w:tcPr>
            <w:tcW w:w="1955" w:type="pct"/>
            <w:vAlign w:val="center"/>
          </w:tcPr>
          <w:p w14:paraId="52967DD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T81.2 的手术出院患者发生例数和发生率</w:t>
            </w:r>
          </w:p>
        </w:tc>
      </w:tr>
      <w:tr w14:paraId="6905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7DB8ABE1">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21776D9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3</w:t>
            </w:r>
            <w:r>
              <w:rPr>
                <w:rFonts w:ascii="Times New Roman" w:hAnsi="Times New Roman" w:eastAsia="仿宋" w:cs="Times New Roman"/>
                <w:color w:val="000000"/>
                <w:szCs w:val="21"/>
                <w:highlight w:val="none"/>
                <w:lang w:eastAsia="zh-CN"/>
              </w:rPr>
              <w:t>手术后急性肾衰竭发生例数和发生率</w:t>
            </w:r>
          </w:p>
        </w:tc>
        <w:tc>
          <w:tcPr>
            <w:tcW w:w="1306" w:type="pct"/>
            <w:vAlign w:val="center"/>
          </w:tcPr>
          <w:p w14:paraId="76E5C0F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3</w:t>
            </w:r>
            <w:r>
              <w:rPr>
                <w:rFonts w:ascii="Times New Roman" w:hAnsi="Times New Roman" w:eastAsia="仿宋" w:cs="Times New Roman"/>
                <w:color w:val="000000"/>
                <w:szCs w:val="21"/>
                <w:highlight w:val="none"/>
                <w:lang w:eastAsia="zh-CN"/>
              </w:rPr>
              <w:t>.1手术后急性肾衰竭发生例数和发生率</w:t>
            </w:r>
          </w:p>
        </w:tc>
        <w:tc>
          <w:tcPr>
            <w:tcW w:w="1955" w:type="pct"/>
            <w:vAlign w:val="center"/>
          </w:tcPr>
          <w:p w14:paraId="1D75D63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N17.0至N17.9，N99.0的手术出院患者发生例数和发生率</w:t>
            </w:r>
          </w:p>
        </w:tc>
      </w:tr>
      <w:tr w14:paraId="03AE9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637" w:type="pct"/>
            <w:vMerge w:val="continue"/>
            <w:vAlign w:val="center"/>
          </w:tcPr>
          <w:p w14:paraId="327E1D45">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39534D6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4</w:t>
            </w:r>
            <w:r>
              <w:rPr>
                <w:rFonts w:ascii="Times New Roman" w:hAnsi="Times New Roman" w:eastAsia="仿宋" w:cs="Times New Roman"/>
                <w:color w:val="000000"/>
                <w:szCs w:val="21"/>
                <w:highlight w:val="none"/>
                <w:lang w:eastAsia="zh-CN"/>
              </w:rPr>
              <w:t>消化系统术后并发症发生例数和发生率</w:t>
            </w:r>
          </w:p>
        </w:tc>
        <w:tc>
          <w:tcPr>
            <w:tcW w:w="1306" w:type="pct"/>
            <w:vAlign w:val="center"/>
          </w:tcPr>
          <w:p w14:paraId="036B868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4</w:t>
            </w:r>
            <w:r>
              <w:rPr>
                <w:rFonts w:ascii="Times New Roman" w:hAnsi="Times New Roman" w:eastAsia="仿宋" w:cs="Times New Roman"/>
                <w:color w:val="000000"/>
                <w:szCs w:val="21"/>
                <w:highlight w:val="none"/>
                <w:lang w:eastAsia="zh-CN"/>
              </w:rPr>
              <w:t>.1消化系统术后并发症发生例数和发生率</w:t>
            </w:r>
          </w:p>
        </w:tc>
        <w:tc>
          <w:tcPr>
            <w:tcW w:w="1955" w:type="pct"/>
            <w:vAlign w:val="center"/>
          </w:tcPr>
          <w:p w14:paraId="5BC99D6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K91.0至K91.9的手术出院患者发生例数和发生率</w:t>
            </w:r>
          </w:p>
        </w:tc>
      </w:tr>
      <w:tr w14:paraId="434F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52CC9A9">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6DE48DA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5</w:t>
            </w:r>
            <w:r>
              <w:rPr>
                <w:rFonts w:ascii="Times New Roman" w:hAnsi="Times New Roman" w:eastAsia="仿宋" w:cs="Times New Roman"/>
                <w:color w:val="000000"/>
                <w:szCs w:val="21"/>
                <w:highlight w:val="none"/>
                <w:lang w:eastAsia="zh-CN"/>
              </w:rPr>
              <w:t>循环系统术后并发症发生例数和发生率</w:t>
            </w:r>
          </w:p>
        </w:tc>
        <w:tc>
          <w:tcPr>
            <w:tcW w:w="1306" w:type="pct"/>
            <w:vAlign w:val="center"/>
          </w:tcPr>
          <w:p w14:paraId="4D84606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5</w:t>
            </w:r>
            <w:r>
              <w:rPr>
                <w:rFonts w:ascii="Times New Roman" w:hAnsi="Times New Roman" w:eastAsia="仿宋" w:cs="Times New Roman"/>
                <w:color w:val="000000"/>
                <w:szCs w:val="21"/>
                <w:highlight w:val="none"/>
                <w:lang w:eastAsia="zh-CN"/>
              </w:rPr>
              <w:t>.1循环系统术后并发症发生例数和发生率</w:t>
            </w:r>
          </w:p>
        </w:tc>
        <w:tc>
          <w:tcPr>
            <w:tcW w:w="1955" w:type="pct"/>
            <w:vAlign w:val="center"/>
          </w:tcPr>
          <w:p w14:paraId="30E22008">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I97.0，I97.1，I97.8，I97.9的手术出院患者发生例数和发生率</w:t>
            </w:r>
          </w:p>
        </w:tc>
      </w:tr>
      <w:tr w14:paraId="4551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71864E60">
            <w:pPr>
              <w:textAlignment w:val="center"/>
              <w:rPr>
                <w:rFonts w:ascii="Times New Roman" w:hAnsi="Times New Roman" w:eastAsia="仿宋" w:cs="Times New Roman"/>
                <w:color w:val="000000"/>
                <w:szCs w:val="21"/>
                <w:highlight w:val="none"/>
              </w:rPr>
            </w:pPr>
          </w:p>
        </w:tc>
        <w:tc>
          <w:tcPr>
            <w:tcW w:w="1100" w:type="pct"/>
            <w:vAlign w:val="center"/>
          </w:tcPr>
          <w:p w14:paraId="0A4F618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6</w:t>
            </w:r>
            <w:r>
              <w:rPr>
                <w:rFonts w:ascii="Times New Roman" w:hAnsi="Times New Roman" w:eastAsia="仿宋" w:cs="Times New Roman"/>
                <w:color w:val="000000"/>
                <w:szCs w:val="21"/>
                <w:highlight w:val="none"/>
                <w:lang w:eastAsia="zh-CN"/>
              </w:rPr>
              <w:t>神经系统术后并发症发生例数和发生率</w:t>
            </w:r>
          </w:p>
        </w:tc>
        <w:tc>
          <w:tcPr>
            <w:tcW w:w="1306" w:type="pct"/>
            <w:vAlign w:val="center"/>
          </w:tcPr>
          <w:p w14:paraId="747F451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6</w:t>
            </w:r>
            <w:r>
              <w:rPr>
                <w:rFonts w:ascii="Times New Roman" w:hAnsi="Times New Roman" w:eastAsia="仿宋" w:cs="Times New Roman"/>
                <w:color w:val="000000"/>
                <w:szCs w:val="21"/>
                <w:highlight w:val="none"/>
                <w:lang w:eastAsia="zh-CN"/>
              </w:rPr>
              <w:t>.1神经系统术后并发症发生例数和发生率</w:t>
            </w:r>
          </w:p>
        </w:tc>
        <w:tc>
          <w:tcPr>
            <w:tcW w:w="1955" w:type="pct"/>
            <w:vAlign w:val="center"/>
          </w:tcPr>
          <w:p w14:paraId="26264F9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G97.0，G97.1，G97.2，G97.8，G97.9，I60至I64的手术出院患者发生例数和发生率</w:t>
            </w:r>
          </w:p>
        </w:tc>
      </w:tr>
      <w:tr w14:paraId="3A93F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52506B06">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C1EA4E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7</w:t>
            </w:r>
            <w:r>
              <w:rPr>
                <w:rFonts w:ascii="Times New Roman" w:hAnsi="Times New Roman" w:eastAsia="仿宋" w:cs="Times New Roman"/>
                <w:color w:val="000000"/>
                <w:szCs w:val="21"/>
                <w:highlight w:val="none"/>
                <w:lang w:eastAsia="zh-CN"/>
              </w:rPr>
              <w:t>眼和附器术后并发症发生例数和发生率</w:t>
            </w:r>
          </w:p>
        </w:tc>
        <w:tc>
          <w:tcPr>
            <w:tcW w:w="1306" w:type="pct"/>
            <w:vAlign w:val="center"/>
          </w:tcPr>
          <w:p w14:paraId="330BE13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7</w:t>
            </w:r>
            <w:r>
              <w:rPr>
                <w:rFonts w:ascii="Times New Roman" w:hAnsi="Times New Roman" w:eastAsia="仿宋" w:cs="Times New Roman"/>
                <w:color w:val="000000"/>
                <w:szCs w:val="21"/>
                <w:highlight w:val="none"/>
                <w:lang w:eastAsia="zh-CN"/>
              </w:rPr>
              <w:t>.1眼和附器术后并发症发生例数和发生率</w:t>
            </w:r>
          </w:p>
        </w:tc>
        <w:tc>
          <w:tcPr>
            <w:tcW w:w="1955" w:type="pct"/>
            <w:vAlign w:val="center"/>
          </w:tcPr>
          <w:p w14:paraId="60DE66A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H59.0，H59.8，H59.9的手术出院患者发生例数和发生率</w:t>
            </w:r>
          </w:p>
        </w:tc>
      </w:tr>
      <w:tr w14:paraId="09045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092913EA">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28E2A8A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8</w:t>
            </w:r>
            <w:r>
              <w:rPr>
                <w:rFonts w:ascii="Times New Roman" w:hAnsi="Times New Roman" w:eastAsia="仿宋" w:cs="Times New Roman"/>
                <w:color w:val="000000"/>
                <w:szCs w:val="21"/>
                <w:highlight w:val="none"/>
                <w:lang w:eastAsia="zh-CN"/>
              </w:rPr>
              <w:t>耳和乳突术后并发症发生例数和发生率</w:t>
            </w:r>
          </w:p>
        </w:tc>
        <w:tc>
          <w:tcPr>
            <w:tcW w:w="1306" w:type="pct"/>
            <w:vAlign w:val="center"/>
          </w:tcPr>
          <w:p w14:paraId="63CA1AC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8</w:t>
            </w:r>
            <w:r>
              <w:rPr>
                <w:rFonts w:ascii="Times New Roman" w:hAnsi="Times New Roman" w:eastAsia="仿宋" w:cs="Times New Roman"/>
                <w:color w:val="000000"/>
                <w:szCs w:val="21"/>
                <w:highlight w:val="none"/>
                <w:lang w:eastAsia="zh-CN"/>
              </w:rPr>
              <w:t>.1耳和乳突术后并发症发生例数和发生率</w:t>
            </w:r>
          </w:p>
        </w:tc>
        <w:tc>
          <w:tcPr>
            <w:tcW w:w="1955" w:type="pct"/>
            <w:vAlign w:val="center"/>
          </w:tcPr>
          <w:p w14:paraId="0AAD291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H95.0，H95.1，H95.8，H95.9的手术出院患者发生例数和发生率</w:t>
            </w:r>
          </w:p>
        </w:tc>
      </w:tr>
      <w:tr w14:paraId="20027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10E7F575">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7AFA5B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9</w:t>
            </w:r>
            <w:r>
              <w:rPr>
                <w:rFonts w:ascii="Times New Roman" w:hAnsi="Times New Roman" w:eastAsia="仿宋" w:cs="Times New Roman"/>
                <w:color w:val="000000"/>
                <w:szCs w:val="21"/>
                <w:highlight w:val="none"/>
                <w:lang w:eastAsia="zh-CN"/>
              </w:rPr>
              <w:t>肌肉骨骼术后并发症发生例数和发生率</w:t>
            </w:r>
          </w:p>
        </w:tc>
        <w:tc>
          <w:tcPr>
            <w:tcW w:w="1306" w:type="pct"/>
            <w:vAlign w:val="center"/>
          </w:tcPr>
          <w:p w14:paraId="70EA780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2.3.1</w:t>
            </w:r>
            <w:r>
              <w:rPr>
                <w:rFonts w:hint="eastAsia" w:ascii="Times New Roman" w:hAnsi="Times New Roman" w:eastAsia="仿宋" w:cs="Times New Roman"/>
                <w:color w:val="000000"/>
                <w:szCs w:val="21"/>
                <w:highlight w:val="none"/>
                <w:lang w:eastAsia="zh-CN"/>
              </w:rPr>
              <w:t>9</w:t>
            </w:r>
            <w:r>
              <w:rPr>
                <w:rFonts w:ascii="Times New Roman" w:hAnsi="Times New Roman" w:eastAsia="仿宋" w:cs="Times New Roman"/>
                <w:color w:val="000000"/>
                <w:szCs w:val="21"/>
                <w:highlight w:val="none"/>
                <w:lang w:eastAsia="zh-CN"/>
              </w:rPr>
              <w:t>.1肌肉骨骼术后并发症发生例数和发生率</w:t>
            </w:r>
          </w:p>
        </w:tc>
        <w:tc>
          <w:tcPr>
            <w:tcW w:w="1955" w:type="pct"/>
            <w:vAlign w:val="center"/>
          </w:tcPr>
          <w:p w14:paraId="6A89D3D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M96.0至M96.9的手术出院患者发生例数和发生率</w:t>
            </w:r>
          </w:p>
        </w:tc>
      </w:tr>
      <w:tr w14:paraId="77FA6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3CDCAD9D">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B25984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20</w:t>
            </w:r>
            <w:r>
              <w:rPr>
                <w:rFonts w:ascii="Times New Roman" w:hAnsi="Times New Roman" w:eastAsia="仿宋" w:cs="Times New Roman"/>
                <w:color w:val="000000"/>
                <w:szCs w:val="21"/>
                <w:highlight w:val="none"/>
                <w:lang w:eastAsia="zh-CN"/>
              </w:rPr>
              <w:t>泌尿生殖系统术后并发症发生例数和发生率</w:t>
            </w:r>
          </w:p>
        </w:tc>
        <w:tc>
          <w:tcPr>
            <w:tcW w:w="1306" w:type="pct"/>
            <w:vAlign w:val="center"/>
          </w:tcPr>
          <w:p w14:paraId="038DE1A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20</w:t>
            </w:r>
            <w:r>
              <w:rPr>
                <w:rFonts w:ascii="Times New Roman" w:hAnsi="Times New Roman" w:eastAsia="仿宋" w:cs="Times New Roman"/>
                <w:color w:val="000000"/>
                <w:szCs w:val="21"/>
                <w:highlight w:val="none"/>
                <w:lang w:eastAsia="zh-CN"/>
              </w:rPr>
              <w:t>.1泌尿生殖系统术后并发症发生例数和发生率</w:t>
            </w:r>
          </w:p>
        </w:tc>
        <w:tc>
          <w:tcPr>
            <w:tcW w:w="1955" w:type="pct"/>
            <w:vAlign w:val="center"/>
          </w:tcPr>
          <w:p w14:paraId="1F6792A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N98.0至N99.9的手术出院患者发生例数和发生率</w:t>
            </w:r>
          </w:p>
        </w:tc>
      </w:tr>
      <w:tr w14:paraId="49DB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697137C9">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706E734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21</w:t>
            </w:r>
            <w:r>
              <w:rPr>
                <w:rFonts w:ascii="Times New Roman" w:hAnsi="Times New Roman" w:eastAsia="仿宋" w:cs="Times New Roman"/>
                <w:color w:val="000000"/>
                <w:szCs w:val="21"/>
                <w:highlight w:val="none"/>
                <w:lang w:eastAsia="zh-CN"/>
              </w:rPr>
              <w:t>口腔术后并发症发生例数和发生率</w:t>
            </w:r>
          </w:p>
        </w:tc>
        <w:tc>
          <w:tcPr>
            <w:tcW w:w="1306" w:type="pct"/>
            <w:vAlign w:val="center"/>
          </w:tcPr>
          <w:p w14:paraId="77D96DA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21</w:t>
            </w:r>
            <w:r>
              <w:rPr>
                <w:rFonts w:ascii="Times New Roman" w:hAnsi="Times New Roman" w:eastAsia="仿宋" w:cs="Times New Roman"/>
                <w:color w:val="000000"/>
                <w:szCs w:val="21"/>
                <w:highlight w:val="none"/>
                <w:lang w:eastAsia="zh-CN"/>
              </w:rPr>
              <w:t>.1口腔术后并发症发生例数和发生率</w:t>
            </w:r>
          </w:p>
        </w:tc>
        <w:tc>
          <w:tcPr>
            <w:tcW w:w="1955" w:type="pct"/>
            <w:vAlign w:val="center"/>
          </w:tcPr>
          <w:p w14:paraId="5674C41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K11.4的手术出院患者发生例数和发生率</w:t>
            </w:r>
          </w:p>
        </w:tc>
      </w:tr>
      <w:tr w14:paraId="566E3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6043532">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7D07F49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2</w:t>
            </w:r>
            <w:r>
              <w:rPr>
                <w:rFonts w:ascii="Times New Roman" w:hAnsi="Times New Roman" w:eastAsia="仿宋" w:cs="Times New Roman"/>
                <w:color w:val="000000"/>
                <w:szCs w:val="21"/>
                <w:highlight w:val="none"/>
                <w:lang w:eastAsia="zh-CN"/>
              </w:rPr>
              <w:t>心脏和血管植入物的并发症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不包括脓毒症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发生例数和发生率</w:t>
            </w:r>
          </w:p>
        </w:tc>
        <w:tc>
          <w:tcPr>
            <w:tcW w:w="1306" w:type="pct"/>
            <w:vAlign w:val="center"/>
          </w:tcPr>
          <w:p w14:paraId="6B2E6D4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2</w:t>
            </w:r>
            <w:r>
              <w:rPr>
                <w:rFonts w:ascii="Times New Roman" w:hAnsi="Times New Roman" w:eastAsia="仿宋" w:cs="Times New Roman"/>
                <w:color w:val="000000"/>
                <w:szCs w:val="21"/>
                <w:highlight w:val="none"/>
                <w:lang w:eastAsia="zh-CN"/>
              </w:rPr>
              <w:t>.1心脏和血管植入物的并发症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不包括脓毒症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发生例数和发生率</w:t>
            </w:r>
          </w:p>
        </w:tc>
        <w:tc>
          <w:tcPr>
            <w:tcW w:w="1955" w:type="pct"/>
            <w:vAlign w:val="center"/>
          </w:tcPr>
          <w:p w14:paraId="2BFAE0F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T82.0至T82.9的手术出院患者发生例数和发生率</w:t>
            </w:r>
          </w:p>
        </w:tc>
      </w:tr>
      <w:tr w14:paraId="3EA43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26C07489">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58406C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3</w:t>
            </w:r>
            <w:r>
              <w:rPr>
                <w:rFonts w:ascii="Times New Roman" w:hAnsi="Times New Roman" w:eastAsia="仿宋" w:cs="Times New Roman"/>
                <w:color w:val="000000"/>
                <w:szCs w:val="21"/>
                <w:highlight w:val="none"/>
                <w:lang w:eastAsia="zh-CN"/>
              </w:rPr>
              <w:t>泌尿生殖道植入物的并发症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不包括脓毒症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发生例数和发生率</w:t>
            </w:r>
          </w:p>
        </w:tc>
        <w:tc>
          <w:tcPr>
            <w:tcW w:w="1306" w:type="pct"/>
            <w:vAlign w:val="center"/>
          </w:tcPr>
          <w:p w14:paraId="65FA1F6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3</w:t>
            </w:r>
            <w:r>
              <w:rPr>
                <w:rFonts w:ascii="Times New Roman" w:hAnsi="Times New Roman" w:eastAsia="仿宋" w:cs="Times New Roman"/>
                <w:color w:val="000000"/>
                <w:szCs w:val="21"/>
                <w:highlight w:val="none"/>
                <w:lang w:eastAsia="zh-CN"/>
              </w:rPr>
              <w:t>.1泌尿生殖道植入物的并发症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不包括脓毒症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发生例数和发生率</w:t>
            </w:r>
          </w:p>
        </w:tc>
        <w:tc>
          <w:tcPr>
            <w:tcW w:w="1955" w:type="pct"/>
            <w:vAlign w:val="center"/>
          </w:tcPr>
          <w:p w14:paraId="7952A8D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T83.0至T83.9的手术出院患者发生例数和发生率</w:t>
            </w:r>
          </w:p>
        </w:tc>
      </w:tr>
      <w:tr w14:paraId="063FC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1A7B28EF">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43CEB41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4</w:t>
            </w:r>
            <w:r>
              <w:rPr>
                <w:rFonts w:ascii="Times New Roman" w:hAnsi="Times New Roman" w:eastAsia="仿宋" w:cs="Times New Roman"/>
                <w:color w:val="000000"/>
                <w:szCs w:val="21"/>
                <w:highlight w:val="none"/>
                <w:lang w:eastAsia="zh-CN"/>
              </w:rPr>
              <w:t>骨科植入物的并发症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不包括脓毒症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发生例数和发生率</w:t>
            </w:r>
          </w:p>
        </w:tc>
        <w:tc>
          <w:tcPr>
            <w:tcW w:w="1306" w:type="pct"/>
            <w:vAlign w:val="center"/>
          </w:tcPr>
          <w:p w14:paraId="661EDB9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4</w:t>
            </w:r>
            <w:r>
              <w:rPr>
                <w:rFonts w:ascii="Times New Roman" w:hAnsi="Times New Roman" w:eastAsia="仿宋" w:cs="Times New Roman"/>
                <w:color w:val="000000"/>
                <w:szCs w:val="21"/>
                <w:highlight w:val="none"/>
                <w:lang w:eastAsia="zh-CN"/>
              </w:rPr>
              <w:t>.1骨科植入物的并发症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不包括脓毒症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发生例数和发生率</w:t>
            </w:r>
          </w:p>
        </w:tc>
        <w:tc>
          <w:tcPr>
            <w:tcW w:w="1955" w:type="pct"/>
            <w:vAlign w:val="center"/>
          </w:tcPr>
          <w:p w14:paraId="2696A50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T84.0至T84.9的手术出院患者发生例数和发生率</w:t>
            </w:r>
          </w:p>
        </w:tc>
      </w:tr>
      <w:tr w14:paraId="7C34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37" w:type="pct"/>
            <w:vMerge w:val="continue"/>
            <w:vAlign w:val="center"/>
          </w:tcPr>
          <w:p w14:paraId="6C4A481F">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3B65E186">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2.3.25其他植入</w:t>
            </w:r>
            <w:r>
              <w:rPr>
                <w:rFonts w:ascii="Times New Roman" w:hAnsi="Times New Roman" w:eastAsia="仿宋" w:cs="Times New Roman"/>
                <w:color w:val="000000"/>
                <w:szCs w:val="21"/>
                <w:highlight w:val="none"/>
                <w:lang w:eastAsia="zh-CN"/>
              </w:rPr>
              <w:t>物的并发症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不包括脓毒症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发生例数和发生率</w:t>
            </w:r>
          </w:p>
        </w:tc>
        <w:tc>
          <w:tcPr>
            <w:tcW w:w="1306" w:type="pct"/>
            <w:vAlign w:val="center"/>
          </w:tcPr>
          <w:p w14:paraId="0F6CB602">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2.3.25.1其他植入</w:t>
            </w:r>
            <w:r>
              <w:rPr>
                <w:rFonts w:ascii="Times New Roman" w:hAnsi="Times New Roman" w:eastAsia="仿宋" w:cs="Times New Roman"/>
                <w:color w:val="000000"/>
                <w:szCs w:val="21"/>
                <w:highlight w:val="none"/>
                <w:lang w:eastAsia="zh-CN"/>
              </w:rPr>
              <w:t>物的并发症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不包括脓毒症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发生例数和发生率</w:t>
            </w:r>
          </w:p>
        </w:tc>
        <w:tc>
          <w:tcPr>
            <w:tcW w:w="1955" w:type="pct"/>
            <w:vAlign w:val="center"/>
          </w:tcPr>
          <w:p w14:paraId="2647AAD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w:t>
            </w:r>
            <w:r>
              <w:rPr>
                <w:rFonts w:hint="eastAsia" w:ascii="Times New Roman" w:hAnsi="Times New Roman" w:eastAsia="仿宋" w:cs="Times New Roman"/>
                <w:color w:val="000000"/>
                <w:szCs w:val="21"/>
                <w:highlight w:val="none"/>
                <w:lang w:eastAsia="zh-CN"/>
              </w:rPr>
              <w:t>5</w:t>
            </w:r>
            <w:r>
              <w:rPr>
                <w:rFonts w:ascii="Times New Roman" w:hAnsi="Times New Roman" w:eastAsia="仿宋" w:cs="Times New Roman"/>
                <w:color w:val="000000"/>
                <w:szCs w:val="21"/>
                <w:highlight w:val="none"/>
                <w:lang w:eastAsia="zh-CN"/>
              </w:rPr>
              <w:t>.0至T8</w:t>
            </w:r>
            <w:r>
              <w:rPr>
                <w:rFonts w:hint="eastAsia" w:ascii="Times New Roman" w:hAnsi="Times New Roman" w:eastAsia="仿宋" w:cs="Times New Roman"/>
                <w:color w:val="000000"/>
                <w:szCs w:val="21"/>
                <w:highlight w:val="none"/>
                <w:lang w:eastAsia="zh-CN"/>
              </w:rPr>
              <w:t>5</w:t>
            </w:r>
            <w:r>
              <w:rPr>
                <w:rFonts w:ascii="Times New Roman" w:hAnsi="Times New Roman" w:eastAsia="仿宋" w:cs="Times New Roman"/>
                <w:color w:val="000000"/>
                <w:szCs w:val="21"/>
                <w:highlight w:val="none"/>
                <w:lang w:eastAsia="zh-CN"/>
              </w:rPr>
              <w:t>.9的手术出院患者发生例数和发生率</w:t>
            </w:r>
          </w:p>
        </w:tc>
      </w:tr>
      <w:tr w14:paraId="6DCA5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38BA2562">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5AEEDB8B">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2.3.26</w:t>
            </w:r>
            <w:r>
              <w:rPr>
                <w:rFonts w:ascii="Times New Roman" w:hAnsi="Times New Roman" w:eastAsia="仿宋" w:cs="Times New Roman"/>
                <w:color w:val="000000"/>
                <w:szCs w:val="21"/>
                <w:highlight w:val="none"/>
                <w:lang w:eastAsia="zh-CN"/>
              </w:rPr>
              <w:t>再植和截肢的并发症发生例数和发生率</w:t>
            </w:r>
          </w:p>
        </w:tc>
        <w:tc>
          <w:tcPr>
            <w:tcW w:w="1306" w:type="pct"/>
            <w:vAlign w:val="center"/>
          </w:tcPr>
          <w:p w14:paraId="05F4408A">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2.3.26.1</w:t>
            </w:r>
            <w:r>
              <w:rPr>
                <w:rFonts w:ascii="Times New Roman" w:hAnsi="Times New Roman" w:eastAsia="仿宋" w:cs="Times New Roman"/>
                <w:color w:val="000000"/>
                <w:szCs w:val="21"/>
                <w:highlight w:val="none"/>
                <w:lang w:eastAsia="zh-CN"/>
              </w:rPr>
              <w:t>再植和截肢的并发症发生例数和发生率</w:t>
            </w:r>
          </w:p>
        </w:tc>
        <w:tc>
          <w:tcPr>
            <w:tcW w:w="1955" w:type="pct"/>
            <w:vAlign w:val="center"/>
          </w:tcPr>
          <w:p w14:paraId="342C3E4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T87.0至 T87.6的手术出院患者发生例数和发生率</w:t>
            </w:r>
          </w:p>
          <w:p w14:paraId="5527C434">
            <w:pPr>
              <w:textAlignment w:val="center"/>
              <w:rPr>
                <w:rFonts w:ascii="Times New Roman" w:hAnsi="Times New Roman" w:eastAsia="仿宋" w:cs="Times New Roman"/>
                <w:color w:val="000000"/>
                <w:szCs w:val="21"/>
                <w:highlight w:val="none"/>
                <w:lang w:eastAsia="zh-CN"/>
              </w:rPr>
            </w:pPr>
          </w:p>
        </w:tc>
      </w:tr>
      <w:tr w14:paraId="5110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8506F62">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44700D6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7</w:t>
            </w:r>
            <w:r>
              <w:rPr>
                <w:rFonts w:ascii="Times New Roman" w:hAnsi="Times New Roman" w:eastAsia="仿宋" w:cs="Times New Roman"/>
                <w:color w:val="000000"/>
                <w:szCs w:val="21"/>
                <w:highlight w:val="none"/>
                <w:lang w:eastAsia="zh-CN"/>
              </w:rPr>
              <w:t>介入操作与手术后患者其他并发症发生例数和发生率</w:t>
            </w:r>
          </w:p>
        </w:tc>
        <w:tc>
          <w:tcPr>
            <w:tcW w:w="1306" w:type="pct"/>
            <w:vAlign w:val="center"/>
          </w:tcPr>
          <w:p w14:paraId="210822B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7</w:t>
            </w:r>
            <w:r>
              <w:rPr>
                <w:rFonts w:ascii="Times New Roman" w:hAnsi="Times New Roman" w:eastAsia="仿宋" w:cs="Times New Roman"/>
                <w:color w:val="000000"/>
                <w:szCs w:val="21"/>
                <w:highlight w:val="none"/>
                <w:lang w:eastAsia="zh-CN"/>
              </w:rPr>
              <w:t>.1介入操作与手术后患者其他并发症发生例数和发生率</w:t>
            </w:r>
          </w:p>
        </w:tc>
        <w:tc>
          <w:tcPr>
            <w:tcW w:w="1955" w:type="pct"/>
            <w:vAlign w:val="center"/>
          </w:tcPr>
          <w:p w14:paraId="378BC9F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T81.1，T81.7，T81.8，T81.9的介入操作及手术出院患者发生例数和发生率</w:t>
            </w:r>
          </w:p>
        </w:tc>
      </w:tr>
      <w:tr w14:paraId="7B5E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5E5B20A9">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2E6E397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8</w:t>
            </w:r>
            <w:r>
              <w:rPr>
                <w:rFonts w:ascii="Times New Roman" w:hAnsi="Times New Roman" w:eastAsia="仿宋" w:cs="Times New Roman"/>
                <w:color w:val="000000"/>
                <w:szCs w:val="21"/>
                <w:highlight w:val="none"/>
                <w:lang w:eastAsia="zh-CN"/>
              </w:rPr>
              <w:t>新生儿产伤发生例数和发生率</w:t>
            </w:r>
          </w:p>
        </w:tc>
        <w:tc>
          <w:tcPr>
            <w:tcW w:w="1306" w:type="pct"/>
            <w:vAlign w:val="center"/>
          </w:tcPr>
          <w:p w14:paraId="0185BD6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8</w:t>
            </w:r>
            <w:r>
              <w:rPr>
                <w:rFonts w:ascii="Times New Roman" w:hAnsi="Times New Roman" w:eastAsia="仿宋" w:cs="Times New Roman"/>
                <w:color w:val="000000"/>
                <w:szCs w:val="21"/>
                <w:highlight w:val="none"/>
                <w:lang w:eastAsia="zh-CN"/>
              </w:rPr>
              <w:t>.1新生儿产伤发生例数和发生率</w:t>
            </w:r>
          </w:p>
        </w:tc>
        <w:tc>
          <w:tcPr>
            <w:tcW w:w="1955" w:type="pct"/>
            <w:vAlign w:val="center"/>
          </w:tcPr>
          <w:p w14:paraId="1A0D7EA1">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P10.0至P10.9，P11.0至P11.9，P12.0至P12.9，P13.0至P13.9，P14.0至P14.9，P15.0至P15.9的新生儿发生例数和发生率</w:t>
            </w:r>
          </w:p>
        </w:tc>
      </w:tr>
      <w:tr w14:paraId="5FB96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1DC3D27C">
            <w:pPr>
              <w:textAlignment w:val="center"/>
              <w:rPr>
                <w:rFonts w:ascii="Times New Roman" w:hAnsi="Times New Roman" w:eastAsia="仿宋" w:cs="Times New Roman"/>
                <w:color w:val="000000"/>
                <w:szCs w:val="21"/>
                <w:highlight w:val="none"/>
              </w:rPr>
            </w:pPr>
          </w:p>
        </w:tc>
        <w:tc>
          <w:tcPr>
            <w:tcW w:w="1100" w:type="pct"/>
            <w:vAlign w:val="center"/>
          </w:tcPr>
          <w:p w14:paraId="2136E8D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9</w:t>
            </w:r>
            <w:r>
              <w:rPr>
                <w:rFonts w:ascii="Times New Roman" w:hAnsi="Times New Roman" w:eastAsia="仿宋" w:cs="Times New Roman"/>
                <w:color w:val="000000"/>
                <w:szCs w:val="21"/>
                <w:highlight w:val="none"/>
                <w:lang w:eastAsia="zh-CN"/>
              </w:rPr>
              <w:t>阴道分娩产妇分娩或产褥期并发症发生例数和发生率</w:t>
            </w:r>
          </w:p>
        </w:tc>
        <w:tc>
          <w:tcPr>
            <w:tcW w:w="1306" w:type="pct"/>
            <w:vAlign w:val="center"/>
          </w:tcPr>
          <w:p w14:paraId="56C194C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2.3.2</w:t>
            </w:r>
            <w:r>
              <w:rPr>
                <w:rFonts w:hint="eastAsia" w:ascii="Times New Roman" w:hAnsi="Times New Roman" w:eastAsia="仿宋" w:cs="Times New Roman"/>
                <w:color w:val="000000"/>
                <w:szCs w:val="21"/>
                <w:highlight w:val="none"/>
                <w:lang w:eastAsia="zh-CN"/>
              </w:rPr>
              <w:t>9</w:t>
            </w:r>
            <w:r>
              <w:rPr>
                <w:rFonts w:ascii="Times New Roman" w:hAnsi="Times New Roman" w:eastAsia="仿宋" w:cs="Times New Roman"/>
                <w:color w:val="000000"/>
                <w:szCs w:val="21"/>
                <w:highlight w:val="none"/>
                <w:lang w:eastAsia="zh-CN"/>
              </w:rPr>
              <w:t>.1阴道分娩产妇分娩或产褥期并发症发生例数和发生率</w:t>
            </w:r>
          </w:p>
        </w:tc>
        <w:tc>
          <w:tcPr>
            <w:tcW w:w="1955" w:type="pct"/>
            <w:vAlign w:val="center"/>
          </w:tcPr>
          <w:p w14:paraId="05598616">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O70.2，O70.3，O70.9，O71.0至O71.9，O72.0，O72.1，O72.2，O72.3，O74.0至O74.9，O75.0至O75.6，O75.8，O75.9，O85.X，O86.0至O86.8，O87.0，O87.1，O87.3至O87.9，O88.0至O88.8，O89.0至O89.9，O90.1至O90.9，O95，A34的阴道分娩产症发生例数和发生率</w:t>
            </w:r>
          </w:p>
        </w:tc>
      </w:tr>
      <w:tr w14:paraId="7D9F4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92581D6">
            <w:pPr>
              <w:textAlignment w:val="center"/>
              <w:rPr>
                <w:rFonts w:ascii="Times New Roman" w:hAnsi="Times New Roman" w:eastAsia="仿宋" w:cs="Times New Roman"/>
                <w:color w:val="000000"/>
                <w:szCs w:val="21"/>
                <w:highlight w:val="none"/>
              </w:rPr>
            </w:pPr>
          </w:p>
        </w:tc>
        <w:tc>
          <w:tcPr>
            <w:tcW w:w="1100" w:type="pct"/>
            <w:vAlign w:val="center"/>
          </w:tcPr>
          <w:p w14:paraId="6EEAC38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30</w:t>
            </w:r>
            <w:r>
              <w:rPr>
                <w:rFonts w:ascii="Times New Roman" w:hAnsi="Times New Roman" w:eastAsia="仿宋" w:cs="Times New Roman"/>
                <w:color w:val="000000"/>
                <w:szCs w:val="21"/>
                <w:highlight w:val="none"/>
                <w:lang w:eastAsia="zh-CN"/>
              </w:rPr>
              <w:t>剖宫产分娩产妇分娩或产褥期并发症发生例数和发生率</w:t>
            </w:r>
          </w:p>
        </w:tc>
        <w:tc>
          <w:tcPr>
            <w:tcW w:w="1306" w:type="pct"/>
            <w:vAlign w:val="center"/>
          </w:tcPr>
          <w:p w14:paraId="123D070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30</w:t>
            </w:r>
            <w:r>
              <w:rPr>
                <w:rFonts w:ascii="Times New Roman" w:hAnsi="Times New Roman" w:eastAsia="仿宋" w:cs="Times New Roman"/>
                <w:color w:val="000000"/>
                <w:szCs w:val="21"/>
                <w:highlight w:val="none"/>
                <w:lang w:eastAsia="zh-CN"/>
              </w:rPr>
              <w:t>.1剖宫产分娩产妇分娩或产褥期并发症发生例数和发生率</w:t>
            </w:r>
          </w:p>
        </w:tc>
        <w:tc>
          <w:tcPr>
            <w:tcW w:w="1955" w:type="pct"/>
            <w:vAlign w:val="center"/>
          </w:tcPr>
          <w:p w14:paraId="06C32682">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O71.0至</w:t>
            </w:r>
            <w:r>
              <w:rPr>
                <w:rFonts w:hint="eastAsia" w:ascii="Times New Roman" w:hAnsi="Times New Roman" w:eastAsia="仿宋" w:cs="Times New Roman"/>
                <w:color w:val="000000"/>
                <w:szCs w:val="21"/>
                <w:highlight w:val="none"/>
              </w:rPr>
              <w:t>O</w:t>
            </w:r>
            <w:r>
              <w:rPr>
                <w:rFonts w:ascii="Times New Roman" w:hAnsi="Times New Roman" w:eastAsia="仿宋" w:cs="Times New Roman"/>
                <w:color w:val="000000"/>
                <w:szCs w:val="21"/>
                <w:highlight w:val="none"/>
              </w:rPr>
              <w:t>71.9，O7</w:t>
            </w:r>
            <w:r>
              <w:rPr>
                <w:rFonts w:hint="eastAsia" w:ascii="Times New Roman" w:hAnsi="Times New Roman" w:eastAsia="仿宋" w:cs="Times New Roman"/>
                <w:color w:val="000000"/>
                <w:szCs w:val="21"/>
                <w:highlight w:val="none"/>
              </w:rPr>
              <w:t>2.</w:t>
            </w:r>
            <w:r>
              <w:rPr>
                <w:rFonts w:ascii="Times New Roman" w:hAnsi="Times New Roman" w:eastAsia="仿宋" w:cs="Times New Roman"/>
                <w:color w:val="000000"/>
                <w:szCs w:val="21"/>
                <w:highlight w:val="none"/>
              </w:rPr>
              <w:t>0，</w:t>
            </w:r>
            <w:r>
              <w:rPr>
                <w:rFonts w:hint="eastAsia" w:ascii="Times New Roman" w:hAnsi="Times New Roman" w:eastAsia="仿宋" w:cs="Times New Roman"/>
                <w:color w:val="000000"/>
                <w:szCs w:val="21"/>
                <w:highlight w:val="none"/>
              </w:rPr>
              <w:t>O72.1，</w:t>
            </w:r>
            <w:r>
              <w:rPr>
                <w:rFonts w:ascii="Times New Roman" w:hAnsi="Times New Roman" w:eastAsia="仿宋" w:cs="Times New Roman"/>
                <w:color w:val="000000"/>
                <w:szCs w:val="21"/>
                <w:highlight w:val="none"/>
              </w:rPr>
              <w:t>O72.2，O72.3，O74.0至O74.9，O75.0至O75.6，O75.8，O75.9，O85.X，O86.0至O86.8，O87.0，O87.1，O87.3至O87.9，O88.0至O88.8，O89.0至O89.9，O90.0，O90.2至O90.9，O95，A34的剖宫产分娩产妇发生例数和发生率</w:t>
            </w:r>
          </w:p>
        </w:tc>
      </w:tr>
      <w:tr w14:paraId="0C8C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E3B3325">
            <w:pPr>
              <w:textAlignment w:val="center"/>
              <w:rPr>
                <w:rFonts w:ascii="Times New Roman" w:hAnsi="Times New Roman" w:eastAsia="仿宋" w:cs="Times New Roman"/>
                <w:color w:val="000000"/>
                <w:szCs w:val="21"/>
                <w:highlight w:val="none"/>
              </w:rPr>
            </w:pPr>
          </w:p>
        </w:tc>
        <w:tc>
          <w:tcPr>
            <w:tcW w:w="1100" w:type="pct"/>
            <w:vAlign w:val="center"/>
          </w:tcPr>
          <w:p w14:paraId="5AC4D79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31</w:t>
            </w:r>
            <w:r>
              <w:rPr>
                <w:rFonts w:ascii="Times New Roman" w:hAnsi="Times New Roman" w:eastAsia="仿宋" w:cs="Times New Roman"/>
                <w:color w:val="000000"/>
                <w:szCs w:val="21"/>
                <w:highlight w:val="none"/>
                <w:lang w:eastAsia="zh-CN"/>
              </w:rPr>
              <w:t>输</w:t>
            </w:r>
            <w:r>
              <w:rPr>
                <w:rFonts w:hint="eastAsia" w:ascii="Times New Roman" w:hAnsi="Times New Roman" w:eastAsia="仿宋" w:cs="Times New Roman"/>
                <w:color w:val="000000"/>
                <w:szCs w:val="21"/>
                <w:highlight w:val="none"/>
                <w:lang w:eastAsia="zh-CN"/>
              </w:rPr>
              <w:t>注</w:t>
            </w:r>
            <w:r>
              <w:rPr>
                <w:rFonts w:ascii="Times New Roman" w:hAnsi="Times New Roman" w:eastAsia="仿宋" w:cs="Times New Roman"/>
                <w:color w:val="000000"/>
                <w:szCs w:val="21"/>
                <w:highlight w:val="none"/>
                <w:lang w:eastAsia="zh-CN"/>
              </w:rPr>
              <w:t>反应发生例数和发生率</w:t>
            </w:r>
          </w:p>
        </w:tc>
        <w:tc>
          <w:tcPr>
            <w:tcW w:w="1306" w:type="pct"/>
            <w:vAlign w:val="center"/>
          </w:tcPr>
          <w:p w14:paraId="01DBADE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31</w:t>
            </w:r>
            <w:r>
              <w:rPr>
                <w:rFonts w:ascii="Times New Roman" w:hAnsi="Times New Roman" w:eastAsia="仿宋" w:cs="Times New Roman"/>
                <w:color w:val="000000"/>
                <w:szCs w:val="21"/>
                <w:highlight w:val="none"/>
                <w:lang w:eastAsia="zh-CN"/>
              </w:rPr>
              <w:t>.1输</w:t>
            </w:r>
            <w:r>
              <w:rPr>
                <w:rFonts w:hint="eastAsia" w:ascii="Times New Roman" w:hAnsi="Times New Roman" w:eastAsia="仿宋" w:cs="Times New Roman"/>
                <w:color w:val="000000"/>
                <w:szCs w:val="21"/>
                <w:highlight w:val="none"/>
                <w:lang w:eastAsia="zh-CN"/>
              </w:rPr>
              <w:t>注</w:t>
            </w:r>
            <w:r>
              <w:rPr>
                <w:rFonts w:ascii="Times New Roman" w:hAnsi="Times New Roman" w:eastAsia="仿宋" w:cs="Times New Roman"/>
                <w:color w:val="000000"/>
                <w:szCs w:val="21"/>
                <w:highlight w:val="none"/>
                <w:lang w:eastAsia="zh-CN"/>
              </w:rPr>
              <w:t>反应发生例数和发生率</w:t>
            </w:r>
          </w:p>
        </w:tc>
        <w:tc>
          <w:tcPr>
            <w:tcW w:w="1955" w:type="pct"/>
            <w:vAlign w:val="center"/>
          </w:tcPr>
          <w:p w14:paraId="1D61EAF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T80.0</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T80.1</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T80.2</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T80.8</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T80.9 的出院患者发生例数和发生率</w:t>
            </w:r>
          </w:p>
        </w:tc>
      </w:tr>
      <w:tr w14:paraId="07E4B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69F64417">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C1B88D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32</w:t>
            </w:r>
            <w:r>
              <w:rPr>
                <w:rFonts w:ascii="Times New Roman" w:hAnsi="Times New Roman" w:eastAsia="仿宋" w:cs="Times New Roman"/>
                <w:color w:val="000000"/>
                <w:szCs w:val="21"/>
                <w:highlight w:val="none"/>
                <w:lang w:eastAsia="zh-CN"/>
              </w:rPr>
              <w:t>输血反应发生例数和发生率</w:t>
            </w:r>
          </w:p>
        </w:tc>
        <w:tc>
          <w:tcPr>
            <w:tcW w:w="1306" w:type="pct"/>
            <w:vAlign w:val="center"/>
          </w:tcPr>
          <w:p w14:paraId="4786331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32</w:t>
            </w:r>
            <w:r>
              <w:rPr>
                <w:rFonts w:ascii="Times New Roman" w:hAnsi="Times New Roman" w:eastAsia="仿宋" w:cs="Times New Roman"/>
                <w:color w:val="000000"/>
                <w:szCs w:val="21"/>
                <w:highlight w:val="none"/>
                <w:lang w:eastAsia="zh-CN"/>
              </w:rPr>
              <w:t>.1输血反应发生例数和发生率</w:t>
            </w:r>
          </w:p>
        </w:tc>
        <w:tc>
          <w:tcPr>
            <w:tcW w:w="1955" w:type="pct"/>
            <w:vAlign w:val="center"/>
          </w:tcPr>
          <w:p w14:paraId="6E86DAA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T80.0至T80.9的输血出院患者发生例数和发生率</w:t>
            </w:r>
          </w:p>
        </w:tc>
      </w:tr>
      <w:tr w14:paraId="37120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7" w:type="pct"/>
            <w:vMerge w:val="continue"/>
            <w:vAlign w:val="center"/>
          </w:tcPr>
          <w:p w14:paraId="7DC22724">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288C858">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2.3.33</w:t>
            </w:r>
            <w:r>
              <w:rPr>
                <w:rFonts w:ascii="Times New Roman" w:hAnsi="Times New Roman" w:eastAsia="仿宋" w:cs="Times New Roman"/>
                <w:color w:val="000000"/>
                <w:szCs w:val="21"/>
                <w:highlight w:val="none"/>
                <w:lang w:eastAsia="zh-CN"/>
              </w:rPr>
              <w:t>医源性气胸发生例数和发生率</w:t>
            </w:r>
          </w:p>
          <w:p w14:paraId="3808E103">
            <w:pPr>
              <w:textAlignment w:val="center"/>
              <w:rPr>
                <w:rFonts w:ascii="Times New Roman" w:hAnsi="Times New Roman" w:eastAsia="仿宋" w:cs="Times New Roman"/>
                <w:color w:val="000000"/>
                <w:szCs w:val="21"/>
                <w:highlight w:val="none"/>
                <w:lang w:eastAsia="zh-CN"/>
              </w:rPr>
            </w:pPr>
          </w:p>
        </w:tc>
        <w:tc>
          <w:tcPr>
            <w:tcW w:w="1306" w:type="pct"/>
            <w:vAlign w:val="center"/>
          </w:tcPr>
          <w:p w14:paraId="0BBD7718">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2.3.33.1</w:t>
            </w:r>
            <w:r>
              <w:rPr>
                <w:rFonts w:ascii="Times New Roman" w:hAnsi="Times New Roman" w:eastAsia="仿宋" w:cs="Times New Roman"/>
                <w:color w:val="000000"/>
                <w:szCs w:val="21"/>
                <w:highlight w:val="none"/>
                <w:lang w:eastAsia="zh-CN"/>
              </w:rPr>
              <w:t>医源性气胸发生例数和发生率</w:t>
            </w:r>
          </w:p>
        </w:tc>
        <w:tc>
          <w:tcPr>
            <w:tcW w:w="1955" w:type="pct"/>
            <w:vAlign w:val="center"/>
          </w:tcPr>
          <w:p w14:paraId="3B927B6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J93.8</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J93.9</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J95.804</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T81.218 的出院患者发生例数和发生率</w:t>
            </w:r>
          </w:p>
        </w:tc>
      </w:tr>
      <w:tr w14:paraId="3484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7" w:type="pct"/>
            <w:vMerge w:val="continue"/>
            <w:vAlign w:val="center"/>
          </w:tcPr>
          <w:p w14:paraId="733F390E">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D0B856B">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2.3.34</w:t>
            </w:r>
            <w:r>
              <w:rPr>
                <w:rFonts w:ascii="Times New Roman" w:hAnsi="Times New Roman" w:eastAsia="仿宋" w:cs="Times New Roman"/>
                <w:color w:val="000000"/>
                <w:szCs w:val="21"/>
                <w:highlight w:val="none"/>
                <w:lang w:eastAsia="zh-CN"/>
              </w:rPr>
              <w:t>全身性抗菌药物的有害效应</w:t>
            </w:r>
          </w:p>
        </w:tc>
        <w:tc>
          <w:tcPr>
            <w:tcW w:w="1306" w:type="pct"/>
            <w:vAlign w:val="center"/>
          </w:tcPr>
          <w:p w14:paraId="7D5811F3">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2.3.34.1</w:t>
            </w:r>
            <w:r>
              <w:rPr>
                <w:rFonts w:ascii="Times New Roman" w:hAnsi="Times New Roman" w:eastAsia="仿宋" w:cs="Times New Roman"/>
                <w:color w:val="000000"/>
                <w:szCs w:val="21"/>
                <w:highlight w:val="none"/>
                <w:lang w:eastAsia="zh-CN"/>
              </w:rPr>
              <w:t>全身性抗菌药物的有害效应</w:t>
            </w:r>
          </w:p>
        </w:tc>
        <w:tc>
          <w:tcPr>
            <w:tcW w:w="1955" w:type="pct"/>
            <w:vAlign w:val="center"/>
          </w:tcPr>
          <w:p w14:paraId="517A81C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Y40.0至Y40.9的出院患者发生例数和发生率</w:t>
            </w:r>
          </w:p>
          <w:p w14:paraId="19A80C24">
            <w:pPr>
              <w:textAlignment w:val="center"/>
              <w:rPr>
                <w:rFonts w:ascii="Times New Roman" w:hAnsi="Times New Roman" w:eastAsia="仿宋" w:cs="Times New Roman"/>
                <w:color w:val="000000"/>
                <w:szCs w:val="21"/>
                <w:highlight w:val="none"/>
                <w:lang w:eastAsia="zh-CN"/>
              </w:rPr>
            </w:pPr>
          </w:p>
        </w:tc>
      </w:tr>
      <w:tr w14:paraId="4B74D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7" w:type="pct"/>
            <w:vMerge w:val="continue"/>
            <w:vAlign w:val="center"/>
          </w:tcPr>
          <w:p w14:paraId="0C671FAB">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60D4E016">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2.3.35</w:t>
            </w:r>
            <w:r>
              <w:rPr>
                <w:rFonts w:ascii="Times New Roman" w:hAnsi="Times New Roman" w:eastAsia="仿宋" w:cs="Times New Roman"/>
                <w:color w:val="000000"/>
                <w:szCs w:val="21"/>
                <w:highlight w:val="none"/>
                <w:lang w:eastAsia="zh-CN"/>
              </w:rPr>
              <w:t>降血糖药物的有害效应</w:t>
            </w:r>
          </w:p>
        </w:tc>
        <w:tc>
          <w:tcPr>
            <w:tcW w:w="1306" w:type="pct"/>
            <w:vAlign w:val="center"/>
          </w:tcPr>
          <w:p w14:paraId="16EBCD49">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2.3.35.1</w:t>
            </w:r>
            <w:r>
              <w:rPr>
                <w:rFonts w:ascii="Times New Roman" w:hAnsi="Times New Roman" w:eastAsia="仿宋" w:cs="Times New Roman"/>
                <w:color w:val="000000"/>
                <w:szCs w:val="21"/>
                <w:highlight w:val="none"/>
                <w:lang w:eastAsia="zh-CN"/>
              </w:rPr>
              <w:t>降血糖药物的有害效应</w:t>
            </w:r>
          </w:p>
        </w:tc>
        <w:tc>
          <w:tcPr>
            <w:tcW w:w="1955" w:type="pct"/>
            <w:vAlign w:val="center"/>
          </w:tcPr>
          <w:p w14:paraId="55473D9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Y42.3的出院患者发生例数和发生率</w:t>
            </w:r>
          </w:p>
          <w:p w14:paraId="163F4868">
            <w:pPr>
              <w:textAlignment w:val="center"/>
              <w:rPr>
                <w:rFonts w:ascii="Times New Roman" w:hAnsi="Times New Roman" w:eastAsia="仿宋" w:cs="Times New Roman"/>
                <w:color w:val="000000"/>
                <w:szCs w:val="21"/>
                <w:highlight w:val="none"/>
                <w:lang w:eastAsia="zh-CN"/>
              </w:rPr>
            </w:pPr>
          </w:p>
        </w:tc>
      </w:tr>
      <w:tr w14:paraId="6DAFA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7" w:type="pct"/>
            <w:vMerge w:val="continue"/>
            <w:vAlign w:val="center"/>
          </w:tcPr>
          <w:p w14:paraId="27C644E8">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C6EE3EF">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2.3.36</w:t>
            </w:r>
            <w:r>
              <w:rPr>
                <w:rFonts w:ascii="Times New Roman" w:hAnsi="Times New Roman" w:eastAsia="仿宋" w:cs="Times New Roman"/>
                <w:color w:val="000000"/>
                <w:szCs w:val="21"/>
                <w:highlight w:val="none"/>
                <w:lang w:eastAsia="zh-CN"/>
              </w:rPr>
              <w:t>抗肿瘤药物的有害效应</w:t>
            </w:r>
          </w:p>
        </w:tc>
        <w:tc>
          <w:tcPr>
            <w:tcW w:w="1306" w:type="pct"/>
            <w:vAlign w:val="center"/>
          </w:tcPr>
          <w:p w14:paraId="658D5D4D">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2.3.36.1</w:t>
            </w:r>
            <w:r>
              <w:rPr>
                <w:rFonts w:ascii="Times New Roman" w:hAnsi="Times New Roman" w:eastAsia="仿宋" w:cs="Times New Roman"/>
                <w:color w:val="000000"/>
                <w:szCs w:val="21"/>
                <w:highlight w:val="none"/>
                <w:lang w:eastAsia="zh-CN"/>
              </w:rPr>
              <w:t>抗肿瘤药物的有害效应</w:t>
            </w:r>
          </w:p>
        </w:tc>
        <w:tc>
          <w:tcPr>
            <w:tcW w:w="1955" w:type="pct"/>
            <w:vAlign w:val="center"/>
          </w:tcPr>
          <w:p w14:paraId="003D1DD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Y43.1</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Y43.3的出院患者发生例数和发生率</w:t>
            </w:r>
          </w:p>
          <w:p w14:paraId="56BF65F0">
            <w:pPr>
              <w:textAlignment w:val="center"/>
              <w:rPr>
                <w:rFonts w:ascii="Times New Roman" w:hAnsi="Times New Roman" w:eastAsia="仿宋" w:cs="Times New Roman"/>
                <w:color w:val="000000"/>
                <w:szCs w:val="21"/>
                <w:highlight w:val="none"/>
                <w:lang w:eastAsia="zh-CN"/>
              </w:rPr>
            </w:pPr>
          </w:p>
        </w:tc>
      </w:tr>
      <w:tr w14:paraId="6C3EB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7" w:type="pct"/>
            <w:vMerge w:val="continue"/>
            <w:vAlign w:val="center"/>
          </w:tcPr>
          <w:p w14:paraId="27C3B38E">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5E0C96A2">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2.3.37</w:t>
            </w:r>
            <w:r>
              <w:rPr>
                <w:rFonts w:ascii="Times New Roman" w:hAnsi="Times New Roman" w:eastAsia="仿宋" w:cs="Times New Roman"/>
                <w:color w:val="000000"/>
                <w:szCs w:val="21"/>
                <w:highlight w:val="none"/>
              </w:rPr>
              <w:t>抗凝剂的有害效应</w:t>
            </w:r>
          </w:p>
        </w:tc>
        <w:tc>
          <w:tcPr>
            <w:tcW w:w="1306" w:type="pct"/>
            <w:vAlign w:val="center"/>
          </w:tcPr>
          <w:p w14:paraId="2DC6D438">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2.3.37.1</w:t>
            </w:r>
            <w:r>
              <w:rPr>
                <w:rFonts w:ascii="Times New Roman" w:hAnsi="Times New Roman" w:eastAsia="仿宋" w:cs="Times New Roman"/>
                <w:color w:val="000000"/>
                <w:szCs w:val="21"/>
                <w:highlight w:val="none"/>
              </w:rPr>
              <w:t>抗凝剂的有害效应</w:t>
            </w:r>
          </w:p>
        </w:tc>
        <w:tc>
          <w:tcPr>
            <w:tcW w:w="1955" w:type="pct"/>
            <w:vAlign w:val="center"/>
          </w:tcPr>
          <w:p w14:paraId="202B576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Y44.2</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Y44.3</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Y44.4</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Y44.5的出院患者发生例数和发生率</w:t>
            </w:r>
          </w:p>
          <w:p w14:paraId="012A392D">
            <w:pPr>
              <w:textAlignment w:val="center"/>
              <w:rPr>
                <w:rFonts w:ascii="Times New Roman" w:hAnsi="Times New Roman" w:eastAsia="仿宋" w:cs="Times New Roman"/>
                <w:color w:val="000000"/>
                <w:szCs w:val="21"/>
                <w:highlight w:val="none"/>
                <w:lang w:eastAsia="zh-CN"/>
              </w:rPr>
            </w:pPr>
          </w:p>
        </w:tc>
      </w:tr>
      <w:tr w14:paraId="3675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7" w:type="pct"/>
            <w:vMerge w:val="continue"/>
            <w:vAlign w:val="center"/>
          </w:tcPr>
          <w:p w14:paraId="1ACDEC30">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698BE2B0">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2.3.38</w:t>
            </w:r>
            <w:r>
              <w:rPr>
                <w:rFonts w:ascii="Times New Roman" w:hAnsi="Times New Roman" w:eastAsia="仿宋" w:cs="Times New Roman"/>
                <w:color w:val="000000"/>
                <w:szCs w:val="21"/>
                <w:highlight w:val="none"/>
                <w:lang w:eastAsia="zh-CN"/>
              </w:rPr>
              <w:t>镇痛药和解热药的有害效应</w:t>
            </w:r>
          </w:p>
          <w:p w14:paraId="4AB832D9">
            <w:pPr>
              <w:textAlignment w:val="center"/>
              <w:rPr>
                <w:rFonts w:ascii="Times New Roman" w:hAnsi="Times New Roman" w:eastAsia="仿宋" w:cs="Times New Roman"/>
                <w:color w:val="000000"/>
                <w:szCs w:val="21"/>
                <w:highlight w:val="none"/>
                <w:lang w:eastAsia="zh-CN"/>
              </w:rPr>
            </w:pPr>
          </w:p>
        </w:tc>
        <w:tc>
          <w:tcPr>
            <w:tcW w:w="1306" w:type="pct"/>
            <w:vAlign w:val="center"/>
          </w:tcPr>
          <w:p w14:paraId="4CEADAC7">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2.3.38.1</w:t>
            </w:r>
            <w:r>
              <w:rPr>
                <w:rFonts w:ascii="Times New Roman" w:hAnsi="Times New Roman" w:eastAsia="仿宋" w:cs="Times New Roman"/>
                <w:color w:val="000000"/>
                <w:szCs w:val="21"/>
                <w:highlight w:val="none"/>
                <w:lang w:eastAsia="zh-CN"/>
              </w:rPr>
              <w:t>镇痛药和解热药的有害效应</w:t>
            </w:r>
          </w:p>
          <w:p w14:paraId="4A8CA0DE">
            <w:pPr>
              <w:textAlignment w:val="center"/>
              <w:rPr>
                <w:rFonts w:ascii="Times New Roman" w:hAnsi="Times New Roman" w:eastAsia="仿宋" w:cs="Times New Roman"/>
                <w:color w:val="000000"/>
                <w:szCs w:val="21"/>
                <w:highlight w:val="none"/>
                <w:lang w:eastAsia="zh-CN"/>
              </w:rPr>
            </w:pPr>
          </w:p>
        </w:tc>
        <w:tc>
          <w:tcPr>
            <w:tcW w:w="1955" w:type="pct"/>
            <w:vAlign w:val="center"/>
          </w:tcPr>
          <w:p w14:paraId="2FD03A0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Y45.0至Y45.9的出院患者发生例数和发生率</w:t>
            </w:r>
          </w:p>
          <w:p w14:paraId="227BF62C">
            <w:pPr>
              <w:textAlignment w:val="center"/>
              <w:rPr>
                <w:rFonts w:ascii="Times New Roman" w:hAnsi="Times New Roman" w:eastAsia="仿宋" w:cs="Times New Roman"/>
                <w:color w:val="000000"/>
                <w:szCs w:val="21"/>
                <w:highlight w:val="none"/>
                <w:lang w:eastAsia="zh-CN"/>
              </w:rPr>
            </w:pPr>
          </w:p>
          <w:p w14:paraId="07EA72D2">
            <w:pPr>
              <w:textAlignment w:val="center"/>
              <w:rPr>
                <w:rFonts w:ascii="Times New Roman" w:hAnsi="Times New Roman" w:eastAsia="仿宋" w:cs="Times New Roman"/>
                <w:color w:val="000000"/>
                <w:szCs w:val="21"/>
                <w:highlight w:val="none"/>
                <w:lang w:eastAsia="zh-CN"/>
              </w:rPr>
            </w:pPr>
          </w:p>
        </w:tc>
      </w:tr>
      <w:tr w14:paraId="641A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7" w:type="pct"/>
            <w:vMerge w:val="continue"/>
            <w:vAlign w:val="center"/>
          </w:tcPr>
          <w:p w14:paraId="7E029ABE">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45626794">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2.3.39</w:t>
            </w:r>
            <w:r>
              <w:rPr>
                <w:rFonts w:ascii="Times New Roman" w:hAnsi="Times New Roman" w:eastAsia="仿宋" w:cs="Times New Roman"/>
                <w:color w:val="000000"/>
                <w:szCs w:val="21"/>
                <w:highlight w:val="none"/>
                <w:lang w:eastAsia="zh-CN"/>
              </w:rPr>
              <w:t>心血管系统用药的有害效应</w:t>
            </w:r>
          </w:p>
          <w:p w14:paraId="0D181B6B">
            <w:pPr>
              <w:textAlignment w:val="center"/>
              <w:rPr>
                <w:rFonts w:ascii="Times New Roman" w:hAnsi="Times New Roman" w:eastAsia="仿宋" w:cs="Times New Roman"/>
                <w:color w:val="000000"/>
                <w:szCs w:val="21"/>
                <w:highlight w:val="none"/>
                <w:lang w:eastAsia="zh-CN"/>
              </w:rPr>
            </w:pPr>
          </w:p>
        </w:tc>
        <w:tc>
          <w:tcPr>
            <w:tcW w:w="1306" w:type="pct"/>
            <w:vAlign w:val="center"/>
          </w:tcPr>
          <w:p w14:paraId="325EB38A">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2.3.39.1</w:t>
            </w:r>
            <w:r>
              <w:rPr>
                <w:rFonts w:ascii="Times New Roman" w:hAnsi="Times New Roman" w:eastAsia="仿宋" w:cs="Times New Roman"/>
                <w:color w:val="000000"/>
                <w:szCs w:val="21"/>
                <w:highlight w:val="none"/>
                <w:lang w:eastAsia="zh-CN"/>
              </w:rPr>
              <w:t>心血管系统用药的有害效应</w:t>
            </w:r>
          </w:p>
          <w:p w14:paraId="2F15128A">
            <w:pPr>
              <w:textAlignment w:val="center"/>
              <w:rPr>
                <w:rFonts w:ascii="Times New Roman" w:hAnsi="Times New Roman" w:eastAsia="仿宋" w:cs="Times New Roman"/>
                <w:color w:val="000000"/>
                <w:szCs w:val="21"/>
                <w:highlight w:val="none"/>
                <w:lang w:eastAsia="zh-CN"/>
              </w:rPr>
            </w:pPr>
          </w:p>
        </w:tc>
        <w:tc>
          <w:tcPr>
            <w:tcW w:w="1955" w:type="pct"/>
            <w:vAlign w:val="center"/>
          </w:tcPr>
          <w:p w14:paraId="30101A1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Y52.0至Y52.9的出院患者发生例数和发生率</w:t>
            </w:r>
          </w:p>
          <w:p w14:paraId="3D80D03D">
            <w:pPr>
              <w:textAlignment w:val="center"/>
              <w:rPr>
                <w:rFonts w:ascii="Times New Roman" w:hAnsi="Times New Roman" w:eastAsia="仿宋" w:cs="Times New Roman"/>
                <w:color w:val="000000"/>
                <w:szCs w:val="21"/>
                <w:highlight w:val="none"/>
                <w:lang w:eastAsia="zh-CN"/>
              </w:rPr>
            </w:pPr>
          </w:p>
          <w:p w14:paraId="4A3016A3">
            <w:pPr>
              <w:textAlignment w:val="center"/>
              <w:rPr>
                <w:rFonts w:ascii="Times New Roman" w:hAnsi="Times New Roman" w:eastAsia="仿宋" w:cs="Times New Roman"/>
                <w:color w:val="000000"/>
                <w:szCs w:val="21"/>
                <w:highlight w:val="none"/>
                <w:lang w:eastAsia="zh-CN"/>
              </w:rPr>
            </w:pPr>
          </w:p>
        </w:tc>
      </w:tr>
      <w:tr w14:paraId="6D5C2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7" w:type="pct"/>
            <w:vMerge w:val="continue"/>
            <w:vAlign w:val="center"/>
          </w:tcPr>
          <w:p w14:paraId="00D87DEA">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184DF0D3">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 xml:space="preserve">2.3.40 </w:t>
            </w:r>
            <w:r>
              <w:rPr>
                <w:rFonts w:ascii="Times New Roman" w:hAnsi="Times New Roman" w:eastAsia="仿宋" w:cs="Times New Roman"/>
                <w:color w:val="000000"/>
                <w:szCs w:val="21"/>
                <w:highlight w:val="none"/>
                <w:lang w:eastAsia="zh-CN"/>
              </w:rPr>
              <w:t>X线造影剂及其他诊断性制剂的有害效应</w:t>
            </w:r>
          </w:p>
        </w:tc>
        <w:tc>
          <w:tcPr>
            <w:tcW w:w="1306" w:type="pct"/>
            <w:vAlign w:val="center"/>
          </w:tcPr>
          <w:p w14:paraId="5204A6EC">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 xml:space="preserve"> 2.3.40.1</w:t>
            </w:r>
            <w:r>
              <w:rPr>
                <w:rFonts w:ascii="Times New Roman" w:hAnsi="Times New Roman" w:eastAsia="仿宋" w:cs="Times New Roman"/>
                <w:color w:val="000000"/>
                <w:szCs w:val="21"/>
                <w:highlight w:val="none"/>
                <w:lang w:eastAsia="zh-CN"/>
              </w:rPr>
              <w:t>X线造影剂及其他诊断性制剂的有害效</w:t>
            </w:r>
            <w:r>
              <w:rPr>
                <w:rFonts w:hint="eastAsia" w:ascii="Times New Roman" w:hAnsi="Times New Roman" w:eastAsia="仿宋" w:cs="Times New Roman"/>
                <w:color w:val="000000"/>
                <w:szCs w:val="21"/>
                <w:highlight w:val="none"/>
                <w:lang w:eastAsia="zh-CN"/>
              </w:rPr>
              <w:t>应</w:t>
            </w:r>
          </w:p>
        </w:tc>
        <w:tc>
          <w:tcPr>
            <w:tcW w:w="1955" w:type="pct"/>
            <w:vAlign w:val="center"/>
          </w:tcPr>
          <w:p w14:paraId="694AAD0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Y57.5</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Y57.6的出院患者发生例数和发生率</w:t>
            </w:r>
          </w:p>
          <w:p w14:paraId="1640BD47">
            <w:pPr>
              <w:textAlignment w:val="center"/>
              <w:rPr>
                <w:rFonts w:ascii="Times New Roman" w:hAnsi="Times New Roman" w:eastAsia="仿宋" w:cs="Times New Roman"/>
                <w:color w:val="000000"/>
                <w:szCs w:val="21"/>
                <w:highlight w:val="none"/>
                <w:lang w:eastAsia="zh-CN"/>
              </w:rPr>
            </w:pPr>
          </w:p>
        </w:tc>
      </w:tr>
      <w:tr w14:paraId="2155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37" w:type="pct"/>
            <w:vMerge w:val="continue"/>
            <w:vAlign w:val="center"/>
          </w:tcPr>
          <w:p w14:paraId="47BC3A4F">
            <w:pPr>
              <w:textAlignment w:val="center"/>
              <w:rPr>
                <w:rFonts w:ascii="Times New Roman" w:hAnsi="Times New Roman" w:eastAsia="仿宋" w:cs="Times New Roman"/>
                <w:color w:val="000000"/>
                <w:szCs w:val="21"/>
                <w:highlight w:val="none"/>
                <w:lang w:eastAsia="zh-CN"/>
              </w:rPr>
            </w:pPr>
          </w:p>
        </w:tc>
        <w:tc>
          <w:tcPr>
            <w:tcW w:w="1100" w:type="pct"/>
            <w:vAlign w:val="center"/>
          </w:tcPr>
          <w:p w14:paraId="634E65B6">
            <w:pPr>
              <w:textAlignment w:val="center"/>
              <w:rPr>
                <w:rFonts w:ascii="Times New Roman" w:hAnsi="Times New Roman" w:cs="Times New Roman"/>
                <w:color w:val="000000"/>
                <w:sz w:val="24"/>
                <w:highlight w:val="none"/>
                <w:lang w:eastAsia="zh-CN"/>
              </w:rPr>
            </w:pPr>
            <w:r>
              <w:rPr>
                <w:rFonts w:ascii="Times New Roman" w:hAnsi="Times New Roman" w:eastAsia="仿宋" w:cs="Times New Roman"/>
                <w:color w:val="000000"/>
                <w:szCs w:val="21"/>
                <w:highlight w:val="none"/>
                <w:lang w:eastAsia="zh-CN"/>
              </w:rPr>
              <w:t>2.3</w:t>
            </w:r>
            <w:r>
              <w:rPr>
                <w:rFonts w:hint="eastAsia" w:ascii="Times New Roman" w:hAnsi="Times New Roman" w:eastAsia="仿宋" w:cs="Times New Roman"/>
                <w:color w:val="000000"/>
                <w:szCs w:val="21"/>
                <w:highlight w:val="none"/>
                <w:lang w:eastAsia="zh-CN"/>
              </w:rPr>
              <w:t>.41</w:t>
            </w:r>
            <w:r>
              <w:rPr>
                <w:rFonts w:ascii="Times New Roman" w:hAnsi="Times New Roman" w:eastAsia="仿宋" w:cs="Times New Roman"/>
                <w:color w:val="000000"/>
                <w:szCs w:val="21"/>
                <w:highlight w:val="none"/>
                <w:lang w:eastAsia="zh-CN"/>
              </w:rPr>
              <w:t>血液透析所致并发症发生例数和发生率</w:t>
            </w:r>
          </w:p>
        </w:tc>
        <w:tc>
          <w:tcPr>
            <w:tcW w:w="1306" w:type="pct"/>
            <w:vAlign w:val="center"/>
          </w:tcPr>
          <w:p w14:paraId="13E6B709">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2.3.41.1</w:t>
            </w:r>
            <w:r>
              <w:rPr>
                <w:rFonts w:ascii="Times New Roman" w:hAnsi="Times New Roman" w:eastAsia="仿宋" w:cs="Times New Roman"/>
                <w:color w:val="000000"/>
                <w:szCs w:val="21"/>
                <w:highlight w:val="none"/>
                <w:lang w:eastAsia="zh-CN"/>
              </w:rPr>
              <w:t>血液透析所致并发症发生例数和发生率</w:t>
            </w:r>
          </w:p>
        </w:tc>
        <w:tc>
          <w:tcPr>
            <w:tcW w:w="1955" w:type="pct"/>
            <w:vAlign w:val="center"/>
          </w:tcPr>
          <w:p w14:paraId="4E761B8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T80.6</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T80.8</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T80.9</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T82.4</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T82.7出院患者发生例数和发生率</w:t>
            </w:r>
          </w:p>
          <w:p w14:paraId="5AED0E5D">
            <w:pPr>
              <w:textAlignment w:val="center"/>
              <w:rPr>
                <w:rFonts w:ascii="Times New Roman" w:hAnsi="Times New Roman" w:eastAsia="仿宋" w:cs="Times New Roman"/>
                <w:color w:val="000000"/>
                <w:szCs w:val="21"/>
                <w:highlight w:val="none"/>
                <w:lang w:eastAsia="zh-CN"/>
              </w:rPr>
            </w:pPr>
          </w:p>
        </w:tc>
      </w:tr>
    </w:tbl>
    <w:p w14:paraId="4430B4D7">
      <w:pPr>
        <w:rPr>
          <w:rFonts w:ascii="仿宋" w:hAnsi="仿宋" w:eastAsia="仿宋" w:cs="仿宋"/>
          <w:color w:val="000000"/>
          <w:highlight w:val="none"/>
          <w:lang w:eastAsia="zh-CN"/>
        </w:rPr>
      </w:pPr>
    </w:p>
    <w:p w14:paraId="2998709C">
      <w:pPr>
        <w:pStyle w:val="201"/>
        <w:spacing w:line="480" w:lineRule="exact"/>
        <w:ind w:firstLine="720" w:firstLineChars="3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第三章  重点专业质量控制指标</w:t>
      </w: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0"/>
        <w:gridCol w:w="1820"/>
        <w:gridCol w:w="2502"/>
        <w:gridCol w:w="3649"/>
      </w:tblGrid>
      <w:tr w14:paraId="1F60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733" w:type="pct"/>
            <w:vAlign w:val="center"/>
          </w:tcPr>
          <w:p w14:paraId="6D685AB1">
            <w:pPr>
              <w:keepNext/>
              <w:keepLines/>
              <w:tabs>
                <w:tab w:val="left" w:pos="4395"/>
                <w:tab w:val="left" w:pos="4678"/>
                <w:tab w:val="left" w:pos="4820"/>
                <w:tab w:val="left" w:pos="4962"/>
              </w:tabs>
              <w:snapToGrid w:val="0"/>
              <w:outlineLvl w:val="1"/>
              <w:rPr>
                <w:rFonts w:ascii="仿宋" w:hAnsi="仿宋" w:eastAsia="仿宋" w:cs="仿宋"/>
                <w:b/>
                <w:bCs/>
                <w:color w:val="000000"/>
                <w:szCs w:val="21"/>
                <w:highlight w:val="none"/>
              </w:rPr>
            </w:pPr>
            <w:r>
              <w:rPr>
                <w:rFonts w:hint="eastAsia" w:ascii="仿宋" w:hAnsi="仿宋" w:eastAsia="仿宋" w:cs="仿宋"/>
                <w:bCs/>
                <w:color w:val="000000"/>
                <w:kern w:val="44"/>
                <w:sz w:val="28"/>
                <w:szCs w:val="28"/>
                <w:highlight w:val="none"/>
                <w:lang w:eastAsia="zh-CN"/>
              </w:rPr>
              <w:t xml:space="preserve"> </w:t>
            </w:r>
            <w:r>
              <w:rPr>
                <w:rFonts w:hint="eastAsia" w:ascii="仿宋" w:hAnsi="仿宋" w:eastAsia="仿宋" w:cs="仿宋"/>
                <w:b/>
                <w:bCs/>
                <w:color w:val="000000"/>
                <w:szCs w:val="21"/>
                <w:highlight w:val="none"/>
              </w:rPr>
              <w:t>一级指标</w:t>
            </w:r>
          </w:p>
        </w:tc>
        <w:tc>
          <w:tcPr>
            <w:tcW w:w="974" w:type="pct"/>
            <w:vAlign w:val="center"/>
          </w:tcPr>
          <w:p w14:paraId="2957DC9A">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二级指标</w:t>
            </w:r>
          </w:p>
        </w:tc>
        <w:tc>
          <w:tcPr>
            <w:tcW w:w="1339" w:type="pct"/>
            <w:vAlign w:val="center"/>
          </w:tcPr>
          <w:p w14:paraId="0AE0E98A">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评审要点</w:t>
            </w:r>
          </w:p>
        </w:tc>
        <w:tc>
          <w:tcPr>
            <w:tcW w:w="1953" w:type="pct"/>
            <w:vAlign w:val="center"/>
          </w:tcPr>
          <w:p w14:paraId="7689700A">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释义</w:t>
            </w:r>
          </w:p>
        </w:tc>
      </w:tr>
      <w:tr w14:paraId="34B4B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0443FBB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3.1临床检验专业医疗质量控制指标</w:t>
            </w:r>
          </w:p>
        </w:tc>
        <w:tc>
          <w:tcPr>
            <w:tcW w:w="974" w:type="pct"/>
            <w:vMerge w:val="restart"/>
            <w:vAlign w:val="center"/>
          </w:tcPr>
          <w:p w14:paraId="7CD80E0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3.1.1</w:t>
            </w:r>
            <w:r>
              <w:rPr>
                <w:rFonts w:ascii="仿宋" w:hAnsi="仿宋" w:eastAsia="仿宋" w:cs="仿宋"/>
                <w:color w:val="000000"/>
                <w:szCs w:val="21"/>
                <w:highlight w:val="none"/>
                <w:lang w:eastAsia="zh-CN"/>
              </w:rPr>
              <w:t>临床检验专业医疗质量控制指标</w:t>
            </w:r>
          </w:p>
        </w:tc>
        <w:tc>
          <w:tcPr>
            <w:tcW w:w="1339" w:type="pct"/>
            <w:vAlign w:val="center"/>
          </w:tcPr>
          <w:p w14:paraId="279ACBB0">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3.1.1.1室内质控项目开展率</w:t>
            </w:r>
          </w:p>
        </w:tc>
        <w:tc>
          <w:tcPr>
            <w:tcW w:w="1953" w:type="pct"/>
            <w:vAlign w:val="center"/>
          </w:tcPr>
          <w:p w14:paraId="4AC501B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开展室内质控的检验项目数占同期检验项目总数的比例。</w:t>
            </w:r>
          </w:p>
        </w:tc>
      </w:tr>
      <w:tr w14:paraId="34FE6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789F818">
            <w:pPr>
              <w:textAlignment w:val="center"/>
              <w:rPr>
                <w:rFonts w:ascii="仿宋" w:hAnsi="仿宋" w:eastAsia="仿宋" w:cs="仿宋"/>
                <w:color w:val="000000"/>
                <w:szCs w:val="21"/>
                <w:highlight w:val="none"/>
                <w:lang w:eastAsia="zh-CN"/>
              </w:rPr>
            </w:pPr>
          </w:p>
        </w:tc>
        <w:tc>
          <w:tcPr>
            <w:tcW w:w="974" w:type="pct"/>
            <w:vMerge w:val="continue"/>
            <w:vAlign w:val="center"/>
          </w:tcPr>
          <w:p w14:paraId="28E2DB13">
            <w:pPr>
              <w:textAlignment w:val="center"/>
              <w:rPr>
                <w:rFonts w:ascii="仿宋" w:hAnsi="仿宋" w:eastAsia="仿宋" w:cs="仿宋"/>
                <w:color w:val="000000"/>
                <w:szCs w:val="21"/>
                <w:highlight w:val="none"/>
                <w:lang w:eastAsia="zh-CN"/>
              </w:rPr>
            </w:pPr>
          </w:p>
        </w:tc>
        <w:tc>
          <w:tcPr>
            <w:tcW w:w="1339" w:type="pct"/>
            <w:vAlign w:val="center"/>
          </w:tcPr>
          <w:p w14:paraId="6874922E">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1</w:t>
            </w:r>
            <w:r>
              <w:rPr>
                <w:rFonts w:ascii="仿宋" w:hAnsi="仿宋" w:eastAsia="仿宋" w:cs="仿宋"/>
                <w:color w:val="000000"/>
                <w:szCs w:val="21"/>
                <w:highlight w:val="none"/>
              </w:rPr>
              <w:t>.</w:t>
            </w:r>
            <w:r>
              <w:rPr>
                <w:rFonts w:hint="eastAsia" w:ascii="仿宋" w:hAnsi="仿宋" w:eastAsia="仿宋" w:cs="仿宋"/>
                <w:color w:val="000000"/>
                <w:szCs w:val="21"/>
                <w:highlight w:val="none"/>
              </w:rPr>
              <w:t>2</w:t>
            </w:r>
            <w:r>
              <w:rPr>
                <w:rFonts w:ascii="仿宋" w:hAnsi="仿宋" w:eastAsia="仿宋" w:cs="仿宋"/>
                <w:color w:val="000000"/>
                <w:szCs w:val="21"/>
                <w:highlight w:val="none"/>
              </w:rPr>
              <w:t>室间质评项目参加率</w:t>
            </w:r>
          </w:p>
        </w:tc>
        <w:tc>
          <w:tcPr>
            <w:tcW w:w="1953" w:type="pct"/>
            <w:vAlign w:val="center"/>
          </w:tcPr>
          <w:p w14:paraId="0BC2E81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参加国家或省级临床检验中心组织的室间质评的检验项目数占同期实验室已开展且同时国家或省级临床检验中心已组织的室间质评检验项目总数的比例。</w:t>
            </w:r>
          </w:p>
        </w:tc>
      </w:tr>
      <w:tr w14:paraId="36DF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A2A3029">
            <w:pPr>
              <w:textAlignment w:val="center"/>
              <w:rPr>
                <w:rFonts w:ascii="仿宋" w:hAnsi="仿宋" w:eastAsia="仿宋" w:cs="仿宋"/>
                <w:color w:val="000000"/>
                <w:szCs w:val="21"/>
                <w:highlight w:val="none"/>
                <w:lang w:eastAsia="zh-CN"/>
              </w:rPr>
            </w:pPr>
          </w:p>
        </w:tc>
        <w:tc>
          <w:tcPr>
            <w:tcW w:w="974" w:type="pct"/>
            <w:vMerge w:val="continue"/>
            <w:vAlign w:val="center"/>
          </w:tcPr>
          <w:p w14:paraId="4287C5EF">
            <w:pPr>
              <w:textAlignment w:val="center"/>
              <w:rPr>
                <w:rFonts w:ascii="仿宋" w:hAnsi="仿宋" w:eastAsia="仿宋" w:cs="仿宋"/>
                <w:color w:val="000000"/>
                <w:szCs w:val="21"/>
                <w:highlight w:val="none"/>
                <w:lang w:eastAsia="zh-CN"/>
              </w:rPr>
            </w:pPr>
          </w:p>
        </w:tc>
        <w:tc>
          <w:tcPr>
            <w:tcW w:w="1339" w:type="pct"/>
            <w:vAlign w:val="center"/>
          </w:tcPr>
          <w:p w14:paraId="11886D9E">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1.3</w:t>
            </w:r>
            <w:r>
              <w:rPr>
                <w:rFonts w:ascii="仿宋" w:hAnsi="仿宋" w:eastAsia="仿宋" w:cs="仿宋"/>
                <w:color w:val="000000"/>
                <w:szCs w:val="21"/>
                <w:highlight w:val="none"/>
              </w:rPr>
              <w:t>室间质评项目合格率</w:t>
            </w:r>
          </w:p>
        </w:tc>
        <w:tc>
          <w:tcPr>
            <w:tcW w:w="1953" w:type="pct"/>
            <w:vAlign w:val="center"/>
          </w:tcPr>
          <w:p w14:paraId="43D9845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参加国家或省级临床检验中心组织室间质评成绩合格的检验项目数占同期参加国家或省级临床检验中心组织的室间质评检验项目总数的比例。</w:t>
            </w:r>
          </w:p>
        </w:tc>
      </w:tr>
      <w:tr w14:paraId="6B05A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B260E32">
            <w:pPr>
              <w:textAlignment w:val="center"/>
              <w:rPr>
                <w:rFonts w:ascii="仿宋" w:hAnsi="仿宋" w:eastAsia="仿宋" w:cs="仿宋"/>
                <w:color w:val="000000"/>
                <w:szCs w:val="21"/>
                <w:highlight w:val="none"/>
                <w:lang w:eastAsia="zh-CN"/>
              </w:rPr>
            </w:pPr>
          </w:p>
        </w:tc>
        <w:tc>
          <w:tcPr>
            <w:tcW w:w="974" w:type="pct"/>
            <w:vMerge w:val="continue"/>
            <w:vAlign w:val="center"/>
          </w:tcPr>
          <w:p w14:paraId="67849CB2">
            <w:pPr>
              <w:textAlignment w:val="center"/>
              <w:rPr>
                <w:rFonts w:ascii="仿宋" w:hAnsi="仿宋" w:eastAsia="仿宋" w:cs="仿宋"/>
                <w:color w:val="000000"/>
                <w:szCs w:val="21"/>
                <w:highlight w:val="none"/>
                <w:lang w:eastAsia="zh-CN"/>
              </w:rPr>
            </w:pPr>
          </w:p>
        </w:tc>
        <w:tc>
          <w:tcPr>
            <w:tcW w:w="1339" w:type="pct"/>
            <w:vAlign w:val="center"/>
          </w:tcPr>
          <w:p w14:paraId="0E20A2E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1.4</w:t>
            </w:r>
            <w:r>
              <w:rPr>
                <w:rFonts w:ascii="仿宋" w:hAnsi="仿宋" w:eastAsia="仿宋" w:cs="仿宋"/>
                <w:color w:val="000000"/>
                <w:szCs w:val="21"/>
                <w:highlight w:val="none"/>
                <w:lang w:eastAsia="zh-CN"/>
              </w:rPr>
              <w:t>检验项目替代评价方法使用率</w:t>
            </w:r>
          </w:p>
        </w:tc>
        <w:tc>
          <w:tcPr>
            <w:tcW w:w="1953" w:type="pct"/>
            <w:vAlign w:val="center"/>
          </w:tcPr>
          <w:p w14:paraId="25F27A3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无室间质评计划检验项目中使用替代评价方法的检验项目数占同期无室间质评计划检验项目总数的比例。</w:t>
            </w:r>
          </w:p>
        </w:tc>
      </w:tr>
      <w:tr w14:paraId="6FD9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584A785">
            <w:pPr>
              <w:textAlignment w:val="center"/>
              <w:rPr>
                <w:rFonts w:ascii="仿宋" w:hAnsi="仿宋" w:eastAsia="仿宋" w:cs="仿宋"/>
                <w:color w:val="000000"/>
                <w:szCs w:val="21"/>
                <w:highlight w:val="none"/>
                <w:lang w:eastAsia="zh-CN"/>
              </w:rPr>
            </w:pPr>
          </w:p>
        </w:tc>
        <w:tc>
          <w:tcPr>
            <w:tcW w:w="974" w:type="pct"/>
            <w:vMerge w:val="continue"/>
            <w:vAlign w:val="center"/>
          </w:tcPr>
          <w:p w14:paraId="3893CD45">
            <w:pPr>
              <w:textAlignment w:val="center"/>
              <w:rPr>
                <w:rFonts w:ascii="仿宋" w:hAnsi="仿宋" w:eastAsia="仿宋" w:cs="仿宋"/>
                <w:color w:val="000000"/>
                <w:szCs w:val="21"/>
                <w:highlight w:val="none"/>
                <w:lang w:eastAsia="zh-CN"/>
              </w:rPr>
            </w:pPr>
          </w:p>
        </w:tc>
        <w:tc>
          <w:tcPr>
            <w:tcW w:w="1339" w:type="pct"/>
            <w:vAlign w:val="center"/>
          </w:tcPr>
          <w:p w14:paraId="1AD48347">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1.5</w:t>
            </w:r>
            <w:r>
              <w:rPr>
                <w:rFonts w:ascii="仿宋" w:hAnsi="仿宋" w:eastAsia="仿宋" w:cs="仿宋"/>
                <w:color w:val="000000"/>
                <w:szCs w:val="21"/>
                <w:highlight w:val="none"/>
              </w:rPr>
              <w:t>危急值通报率</w:t>
            </w:r>
          </w:p>
        </w:tc>
        <w:tc>
          <w:tcPr>
            <w:tcW w:w="1953" w:type="pct"/>
            <w:vAlign w:val="center"/>
          </w:tcPr>
          <w:p w14:paraId="03F94A4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已通报的危急值数占同期需要通报的危急值总数的比例。</w:t>
            </w:r>
          </w:p>
        </w:tc>
      </w:tr>
      <w:tr w14:paraId="6EE8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3FCFEE0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3.2临床用血质量控制指标</w:t>
            </w:r>
          </w:p>
        </w:tc>
        <w:tc>
          <w:tcPr>
            <w:tcW w:w="974" w:type="pct"/>
            <w:vMerge w:val="restart"/>
            <w:vAlign w:val="center"/>
          </w:tcPr>
          <w:p w14:paraId="3DFE021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3.2.1</w:t>
            </w:r>
            <w:r>
              <w:rPr>
                <w:rFonts w:hint="eastAsia" w:ascii="仿宋" w:hAnsi="仿宋" w:eastAsia="仿宋" w:cs="仿宋"/>
                <w:color w:val="000000"/>
                <w:szCs w:val="21"/>
                <w:highlight w:val="none"/>
                <w:lang w:eastAsia="zh-CN"/>
              </w:rPr>
              <w:t>临床用血质量控制指标</w:t>
            </w:r>
          </w:p>
        </w:tc>
        <w:tc>
          <w:tcPr>
            <w:tcW w:w="1339" w:type="pct"/>
            <w:vAlign w:val="center"/>
          </w:tcPr>
          <w:p w14:paraId="565F637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.1《临床输血申请单》合格率</w:t>
            </w:r>
          </w:p>
        </w:tc>
        <w:tc>
          <w:tcPr>
            <w:tcW w:w="1953" w:type="pct"/>
            <w:vAlign w:val="center"/>
          </w:tcPr>
          <w:p w14:paraId="6C0EB8A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填写规范且符合用血条件的《临床输血申请单》数量占同期输血科（血库）接收的《临床输血申请单》总数的百分比</w:t>
            </w:r>
          </w:p>
        </w:tc>
      </w:tr>
      <w:tr w14:paraId="7A44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C8FFB10">
            <w:pPr>
              <w:textAlignment w:val="center"/>
              <w:rPr>
                <w:rFonts w:ascii="仿宋" w:hAnsi="仿宋" w:eastAsia="仿宋" w:cs="仿宋"/>
                <w:color w:val="000000"/>
                <w:szCs w:val="21"/>
                <w:highlight w:val="none"/>
                <w:lang w:eastAsia="zh-CN"/>
              </w:rPr>
            </w:pPr>
          </w:p>
        </w:tc>
        <w:tc>
          <w:tcPr>
            <w:tcW w:w="974" w:type="pct"/>
            <w:vMerge w:val="continue"/>
            <w:vAlign w:val="center"/>
          </w:tcPr>
          <w:p w14:paraId="1AD16539">
            <w:pPr>
              <w:textAlignment w:val="center"/>
              <w:rPr>
                <w:rFonts w:ascii="仿宋" w:hAnsi="仿宋" w:eastAsia="仿宋" w:cs="仿宋"/>
                <w:color w:val="000000"/>
                <w:szCs w:val="21"/>
                <w:highlight w:val="none"/>
                <w:lang w:eastAsia="zh-CN"/>
              </w:rPr>
            </w:pPr>
          </w:p>
        </w:tc>
        <w:tc>
          <w:tcPr>
            <w:tcW w:w="1339" w:type="pct"/>
            <w:vAlign w:val="center"/>
          </w:tcPr>
          <w:p w14:paraId="59071CF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1.2</w:t>
            </w:r>
            <w:r>
              <w:rPr>
                <w:rFonts w:ascii="仿宋" w:hAnsi="仿宋" w:eastAsia="仿宋" w:cs="仿宋"/>
                <w:color w:val="000000"/>
                <w:szCs w:val="21"/>
                <w:highlight w:val="none"/>
                <w:lang w:eastAsia="zh-CN"/>
              </w:rPr>
              <w:t>输血相容性检测项目室内质控率</w:t>
            </w:r>
          </w:p>
        </w:tc>
        <w:tc>
          <w:tcPr>
            <w:tcW w:w="1953" w:type="pct"/>
            <w:vAlign w:val="center"/>
          </w:tcPr>
          <w:p w14:paraId="21EE59C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开展室内质控的输血相容性检测项目数占医疗机构开展的输血相容性检测项目总数的百分比。</w:t>
            </w:r>
          </w:p>
        </w:tc>
      </w:tr>
      <w:tr w14:paraId="398F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C5E7955">
            <w:pPr>
              <w:textAlignment w:val="center"/>
              <w:rPr>
                <w:rFonts w:ascii="仿宋" w:hAnsi="仿宋" w:eastAsia="仿宋" w:cs="仿宋"/>
                <w:color w:val="000000"/>
                <w:szCs w:val="21"/>
                <w:highlight w:val="none"/>
                <w:lang w:eastAsia="zh-CN"/>
              </w:rPr>
            </w:pPr>
          </w:p>
        </w:tc>
        <w:tc>
          <w:tcPr>
            <w:tcW w:w="974" w:type="pct"/>
            <w:vMerge w:val="continue"/>
            <w:vAlign w:val="center"/>
          </w:tcPr>
          <w:p w14:paraId="0DA30748">
            <w:pPr>
              <w:textAlignment w:val="center"/>
              <w:rPr>
                <w:rFonts w:ascii="仿宋" w:hAnsi="仿宋" w:eastAsia="仿宋" w:cs="仿宋"/>
                <w:color w:val="000000"/>
                <w:szCs w:val="21"/>
                <w:highlight w:val="none"/>
                <w:lang w:eastAsia="zh-CN"/>
              </w:rPr>
            </w:pPr>
          </w:p>
        </w:tc>
        <w:tc>
          <w:tcPr>
            <w:tcW w:w="1339" w:type="pct"/>
            <w:vAlign w:val="center"/>
          </w:tcPr>
          <w:p w14:paraId="0491CFB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输血相容性检测室间质评项目参加率</w:t>
            </w:r>
          </w:p>
        </w:tc>
        <w:tc>
          <w:tcPr>
            <w:tcW w:w="1953" w:type="pct"/>
            <w:vAlign w:val="center"/>
          </w:tcPr>
          <w:p w14:paraId="6D3F4C3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参加国家和省级室间质评的输血相容性检测项目数占所参加的室间质评机构输血相容性检测项目总数的百分比。</w:t>
            </w:r>
          </w:p>
        </w:tc>
      </w:tr>
      <w:tr w14:paraId="7429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4718E05">
            <w:pPr>
              <w:textAlignment w:val="center"/>
              <w:rPr>
                <w:rFonts w:ascii="仿宋" w:hAnsi="仿宋" w:eastAsia="仿宋" w:cs="仿宋"/>
                <w:color w:val="000000"/>
                <w:szCs w:val="21"/>
                <w:highlight w:val="none"/>
                <w:lang w:eastAsia="zh-CN"/>
              </w:rPr>
            </w:pPr>
          </w:p>
        </w:tc>
        <w:tc>
          <w:tcPr>
            <w:tcW w:w="974" w:type="pct"/>
            <w:vMerge w:val="continue"/>
            <w:vAlign w:val="center"/>
          </w:tcPr>
          <w:p w14:paraId="7F0EA772">
            <w:pPr>
              <w:textAlignment w:val="center"/>
              <w:rPr>
                <w:rFonts w:ascii="仿宋" w:hAnsi="仿宋" w:eastAsia="仿宋" w:cs="仿宋"/>
                <w:color w:val="000000"/>
                <w:szCs w:val="21"/>
                <w:highlight w:val="none"/>
                <w:lang w:eastAsia="zh-CN"/>
              </w:rPr>
            </w:pPr>
          </w:p>
        </w:tc>
        <w:tc>
          <w:tcPr>
            <w:tcW w:w="1339" w:type="pct"/>
            <w:vAlign w:val="center"/>
          </w:tcPr>
          <w:p w14:paraId="57771EB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1.4</w:t>
            </w:r>
            <w:r>
              <w:rPr>
                <w:rFonts w:ascii="仿宋" w:hAnsi="仿宋" w:eastAsia="仿宋" w:cs="仿宋"/>
                <w:color w:val="000000"/>
                <w:szCs w:val="21"/>
                <w:highlight w:val="none"/>
                <w:lang w:eastAsia="zh-CN"/>
              </w:rPr>
              <w:t>输血相容性检测室间质评项目合格率</w:t>
            </w:r>
          </w:p>
        </w:tc>
        <w:tc>
          <w:tcPr>
            <w:tcW w:w="1953" w:type="pct"/>
            <w:vAlign w:val="center"/>
          </w:tcPr>
          <w:p w14:paraId="79C5105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参加国家和省级室间质评的输血相容性检测合格项目数占所参加的室间质评机构输血相容性检测项目总数的百分比。</w:t>
            </w:r>
          </w:p>
        </w:tc>
      </w:tr>
      <w:tr w14:paraId="7C2F1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C71125C">
            <w:pPr>
              <w:textAlignment w:val="center"/>
              <w:rPr>
                <w:rFonts w:ascii="仿宋" w:hAnsi="仿宋" w:eastAsia="仿宋" w:cs="仿宋"/>
                <w:color w:val="000000"/>
                <w:szCs w:val="21"/>
                <w:highlight w:val="none"/>
                <w:lang w:eastAsia="zh-CN"/>
              </w:rPr>
            </w:pPr>
          </w:p>
        </w:tc>
        <w:tc>
          <w:tcPr>
            <w:tcW w:w="974" w:type="pct"/>
            <w:vMerge w:val="continue"/>
            <w:vAlign w:val="center"/>
          </w:tcPr>
          <w:p w14:paraId="621B7645">
            <w:pPr>
              <w:textAlignment w:val="center"/>
              <w:rPr>
                <w:rFonts w:ascii="仿宋" w:hAnsi="仿宋" w:eastAsia="仿宋" w:cs="仿宋"/>
                <w:color w:val="000000"/>
                <w:szCs w:val="21"/>
                <w:highlight w:val="none"/>
                <w:lang w:eastAsia="zh-CN"/>
              </w:rPr>
            </w:pPr>
          </w:p>
        </w:tc>
        <w:tc>
          <w:tcPr>
            <w:tcW w:w="1339" w:type="pct"/>
            <w:vAlign w:val="center"/>
          </w:tcPr>
          <w:p w14:paraId="113EB42B">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1.5</w:t>
            </w:r>
            <w:r>
              <w:rPr>
                <w:rFonts w:ascii="仿宋" w:hAnsi="仿宋" w:eastAsia="仿宋" w:cs="仿宋"/>
                <w:color w:val="000000"/>
                <w:szCs w:val="21"/>
                <w:highlight w:val="none"/>
              </w:rPr>
              <w:t>手术患者自体输血率</w:t>
            </w:r>
          </w:p>
        </w:tc>
        <w:tc>
          <w:tcPr>
            <w:tcW w:w="1953" w:type="pct"/>
            <w:vAlign w:val="center"/>
          </w:tcPr>
          <w:p w14:paraId="5E20E49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单位时间手术患者住院期间自体输血量占手术患者异体输血量和自体输血量之和的百分比。此处仅统计红细胞成分及全血用量。</w:t>
            </w:r>
          </w:p>
        </w:tc>
      </w:tr>
      <w:tr w14:paraId="2CA5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5CA4D86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3.3呼吸内科专业医疗质量控制指标</w:t>
            </w:r>
          </w:p>
        </w:tc>
        <w:tc>
          <w:tcPr>
            <w:tcW w:w="974" w:type="pct"/>
            <w:vMerge w:val="restart"/>
            <w:vAlign w:val="center"/>
          </w:tcPr>
          <w:p w14:paraId="79B8EC5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3.3.1</w:t>
            </w:r>
            <w:r>
              <w:rPr>
                <w:rFonts w:hint="eastAsia" w:ascii="仿宋" w:hAnsi="仿宋" w:eastAsia="仿宋" w:cs="仿宋"/>
                <w:color w:val="000000"/>
                <w:szCs w:val="21"/>
                <w:highlight w:val="none"/>
                <w:lang w:eastAsia="zh-CN"/>
              </w:rPr>
              <w:t>呼吸内科专业医疗质量控制指标</w:t>
            </w:r>
          </w:p>
        </w:tc>
        <w:tc>
          <w:tcPr>
            <w:tcW w:w="1339" w:type="pct"/>
            <w:vAlign w:val="center"/>
          </w:tcPr>
          <w:p w14:paraId="1A91E22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3.3.1.1急性肺血栓栓塞症（PTE）患者</w:t>
            </w:r>
            <w:r>
              <w:rPr>
                <w:rFonts w:hint="eastAsia" w:ascii="仿宋" w:hAnsi="仿宋" w:eastAsia="仿宋" w:cs="仿宋"/>
                <w:color w:val="000000"/>
                <w:szCs w:val="21"/>
                <w:highlight w:val="none"/>
                <w:lang w:eastAsia="zh-CN"/>
              </w:rPr>
              <w:t>危险分层相关检查比例</w:t>
            </w:r>
            <w:r>
              <w:rPr>
                <w:rFonts w:ascii="仿宋" w:hAnsi="仿宋" w:eastAsia="仿宋" w:cs="仿宋"/>
                <w:color w:val="000000"/>
                <w:szCs w:val="21"/>
                <w:highlight w:val="none"/>
                <w:lang w:eastAsia="zh-CN"/>
              </w:rPr>
              <w:t>急性肺血栓栓塞症（PTE）患者</w:t>
            </w:r>
            <w:r>
              <w:rPr>
                <w:rFonts w:hint="eastAsia" w:ascii="仿宋" w:hAnsi="仿宋" w:eastAsia="仿宋" w:cs="仿宋"/>
                <w:color w:val="000000"/>
                <w:szCs w:val="21"/>
                <w:highlight w:val="none"/>
                <w:lang w:eastAsia="zh-CN"/>
              </w:rPr>
              <w:t>危险分层相关检查比例</w:t>
            </w:r>
          </w:p>
        </w:tc>
        <w:tc>
          <w:tcPr>
            <w:tcW w:w="1953" w:type="pct"/>
            <w:vAlign w:val="center"/>
          </w:tcPr>
          <w:p w14:paraId="75188D1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单位时间内，急性PTE患者行</w:t>
            </w:r>
            <w:r>
              <w:rPr>
                <w:rFonts w:hint="eastAsia" w:ascii="仿宋" w:hAnsi="仿宋" w:eastAsia="仿宋" w:cs="仿宋"/>
                <w:color w:val="000000"/>
                <w:szCs w:val="21"/>
                <w:highlight w:val="none"/>
                <w:lang w:eastAsia="zh-CN"/>
              </w:rPr>
              <w:t>危险分层相关检查</w:t>
            </w:r>
            <w:r>
              <w:rPr>
                <w:rFonts w:ascii="仿宋" w:hAnsi="仿宋" w:eastAsia="仿宋" w:cs="仿宋"/>
                <w:color w:val="000000"/>
                <w:szCs w:val="21"/>
                <w:highlight w:val="none"/>
                <w:lang w:eastAsia="zh-CN"/>
              </w:rPr>
              <w:t>人数占同期急性PTE患者总数的比例。</w:t>
            </w:r>
          </w:p>
        </w:tc>
      </w:tr>
      <w:tr w14:paraId="76DFE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125F3A57">
            <w:pPr>
              <w:textAlignment w:val="center"/>
              <w:rPr>
                <w:rFonts w:ascii="仿宋" w:hAnsi="仿宋" w:eastAsia="仿宋" w:cs="仿宋"/>
                <w:color w:val="000000"/>
                <w:szCs w:val="21"/>
                <w:highlight w:val="none"/>
                <w:lang w:eastAsia="zh-CN"/>
              </w:rPr>
            </w:pPr>
          </w:p>
        </w:tc>
        <w:tc>
          <w:tcPr>
            <w:tcW w:w="974" w:type="pct"/>
            <w:vMerge w:val="continue"/>
          </w:tcPr>
          <w:p w14:paraId="3295FDAA">
            <w:pPr>
              <w:textAlignment w:val="center"/>
              <w:rPr>
                <w:rFonts w:ascii="仿宋" w:hAnsi="仿宋" w:eastAsia="仿宋" w:cs="仿宋"/>
                <w:color w:val="000000"/>
                <w:szCs w:val="21"/>
                <w:highlight w:val="none"/>
                <w:lang w:eastAsia="zh-CN"/>
              </w:rPr>
            </w:pPr>
          </w:p>
        </w:tc>
        <w:tc>
          <w:tcPr>
            <w:tcW w:w="1339" w:type="pct"/>
            <w:vAlign w:val="center"/>
          </w:tcPr>
          <w:p w14:paraId="1D33B57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3.3.</w:t>
            </w:r>
            <w:r>
              <w:rPr>
                <w:rFonts w:hint="eastAsia" w:ascii="仿宋" w:hAnsi="仿宋" w:eastAsia="仿宋" w:cs="仿宋"/>
                <w:color w:val="000000"/>
                <w:szCs w:val="21"/>
                <w:highlight w:val="none"/>
                <w:lang w:eastAsia="zh-CN"/>
              </w:rPr>
              <w:t>1.2</w:t>
            </w:r>
            <w:r>
              <w:rPr>
                <w:rFonts w:ascii="仿宋" w:hAnsi="仿宋" w:eastAsia="仿宋" w:cs="仿宋"/>
                <w:color w:val="000000"/>
                <w:szCs w:val="21"/>
                <w:highlight w:val="none"/>
                <w:lang w:eastAsia="zh-CN"/>
              </w:rPr>
              <w:t>慢阻肺急性加重患者入院病情评估比例</w:t>
            </w:r>
          </w:p>
        </w:tc>
        <w:tc>
          <w:tcPr>
            <w:tcW w:w="1953" w:type="pct"/>
            <w:vAlign w:val="center"/>
          </w:tcPr>
          <w:p w14:paraId="454DAAE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单位时间内，慢阻肺急性加重患者入院病情评估人数占同期慢阻肺急性加重患者总数的比例。</w:t>
            </w:r>
          </w:p>
        </w:tc>
      </w:tr>
      <w:tr w14:paraId="3F0C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79684A7">
            <w:pPr>
              <w:textAlignment w:val="center"/>
              <w:rPr>
                <w:rFonts w:ascii="仿宋" w:hAnsi="仿宋" w:eastAsia="仿宋" w:cs="仿宋"/>
                <w:color w:val="000000"/>
                <w:szCs w:val="21"/>
                <w:highlight w:val="none"/>
                <w:lang w:eastAsia="zh-CN"/>
              </w:rPr>
            </w:pPr>
          </w:p>
        </w:tc>
        <w:tc>
          <w:tcPr>
            <w:tcW w:w="974" w:type="pct"/>
            <w:vMerge w:val="continue"/>
            <w:vAlign w:val="center"/>
          </w:tcPr>
          <w:p w14:paraId="0AA3A986">
            <w:pPr>
              <w:textAlignment w:val="center"/>
              <w:rPr>
                <w:rFonts w:ascii="仿宋" w:hAnsi="仿宋" w:eastAsia="仿宋" w:cs="仿宋"/>
                <w:color w:val="000000"/>
                <w:szCs w:val="21"/>
                <w:highlight w:val="none"/>
                <w:lang w:eastAsia="zh-CN"/>
              </w:rPr>
            </w:pPr>
          </w:p>
        </w:tc>
        <w:tc>
          <w:tcPr>
            <w:tcW w:w="1339" w:type="pct"/>
            <w:vAlign w:val="center"/>
          </w:tcPr>
          <w:p w14:paraId="04FFE3D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3.3.</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住院成人社区获得性肺炎（CAP）患者进行CAP严重程度评估的比例</w:t>
            </w:r>
          </w:p>
        </w:tc>
        <w:tc>
          <w:tcPr>
            <w:tcW w:w="1953" w:type="pct"/>
            <w:vAlign w:val="center"/>
          </w:tcPr>
          <w:p w14:paraId="729397C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单位时间内，住院CAP患者行CAP严重程度评估人数占同期住院CAP患者总数的比例。</w:t>
            </w:r>
          </w:p>
        </w:tc>
      </w:tr>
      <w:tr w14:paraId="2B92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18D38FD">
            <w:pPr>
              <w:textAlignment w:val="center"/>
              <w:rPr>
                <w:rFonts w:ascii="仿宋" w:hAnsi="仿宋" w:eastAsia="仿宋" w:cs="仿宋"/>
                <w:color w:val="000000"/>
                <w:szCs w:val="21"/>
                <w:highlight w:val="none"/>
                <w:lang w:eastAsia="zh-CN"/>
              </w:rPr>
            </w:pPr>
          </w:p>
        </w:tc>
        <w:tc>
          <w:tcPr>
            <w:tcW w:w="974" w:type="pct"/>
            <w:vMerge w:val="continue"/>
            <w:vAlign w:val="center"/>
          </w:tcPr>
          <w:p w14:paraId="0286101A">
            <w:pPr>
              <w:textAlignment w:val="center"/>
              <w:rPr>
                <w:rFonts w:ascii="仿宋" w:hAnsi="仿宋" w:eastAsia="仿宋" w:cs="仿宋"/>
                <w:color w:val="000000"/>
                <w:szCs w:val="21"/>
                <w:highlight w:val="none"/>
                <w:lang w:eastAsia="zh-CN"/>
              </w:rPr>
            </w:pPr>
          </w:p>
        </w:tc>
        <w:tc>
          <w:tcPr>
            <w:tcW w:w="1339" w:type="pct"/>
            <w:vAlign w:val="center"/>
          </w:tcPr>
          <w:p w14:paraId="1A3D2C2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3.3.</w:t>
            </w:r>
            <w:r>
              <w:rPr>
                <w:rFonts w:hint="eastAsia" w:ascii="仿宋" w:hAnsi="仿宋" w:eastAsia="仿宋" w:cs="仿宋"/>
                <w:color w:val="000000"/>
                <w:szCs w:val="21"/>
                <w:highlight w:val="none"/>
                <w:lang w:eastAsia="zh-CN"/>
              </w:rPr>
              <w:t>1.4</w:t>
            </w:r>
            <w:r>
              <w:rPr>
                <w:rFonts w:ascii="仿宋" w:hAnsi="仿宋" w:eastAsia="仿宋" w:cs="仿宋"/>
                <w:color w:val="000000"/>
                <w:szCs w:val="21"/>
                <w:highlight w:val="none"/>
                <w:lang w:eastAsia="zh-CN"/>
              </w:rPr>
              <w:t>支气管哮喘急性发作患者病情严重程度分级比例</w:t>
            </w:r>
          </w:p>
        </w:tc>
        <w:tc>
          <w:tcPr>
            <w:tcW w:w="1953" w:type="pct"/>
            <w:vAlign w:val="center"/>
          </w:tcPr>
          <w:p w14:paraId="7317B58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单位时间内，住院期间行病情严重程度分级的哮喘患者人数占住院哮喘患者总数的比例。</w:t>
            </w:r>
          </w:p>
        </w:tc>
      </w:tr>
      <w:tr w14:paraId="5336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3BA61BE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3.4产科专业医疗质量控制指标</w:t>
            </w:r>
          </w:p>
        </w:tc>
        <w:tc>
          <w:tcPr>
            <w:tcW w:w="974" w:type="pct"/>
            <w:vMerge w:val="restart"/>
            <w:vAlign w:val="center"/>
          </w:tcPr>
          <w:p w14:paraId="0E4BEB3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3.4.1</w:t>
            </w:r>
            <w:r>
              <w:rPr>
                <w:rFonts w:hint="eastAsia" w:ascii="仿宋" w:hAnsi="仿宋" w:eastAsia="仿宋" w:cs="仿宋"/>
                <w:color w:val="000000"/>
                <w:szCs w:val="21"/>
                <w:highlight w:val="none"/>
                <w:lang w:eastAsia="zh-CN"/>
              </w:rPr>
              <w:t>产科专业医疗质量控制指标</w:t>
            </w:r>
          </w:p>
        </w:tc>
        <w:tc>
          <w:tcPr>
            <w:tcW w:w="1339" w:type="pct"/>
            <w:vAlign w:val="center"/>
          </w:tcPr>
          <w:p w14:paraId="6327C530">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3.4.1.1剖宫产率</w:t>
            </w:r>
          </w:p>
        </w:tc>
        <w:tc>
          <w:tcPr>
            <w:tcW w:w="1953" w:type="pct"/>
            <w:vAlign w:val="center"/>
          </w:tcPr>
          <w:p w14:paraId="64C715D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单位时间内，剖宫产分娩产妇人数占同期分娩产妇（分娩孕周</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28周）总人数的比例。</w:t>
            </w:r>
          </w:p>
        </w:tc>
      </w:tr>
      <w:tr w14:paraId="3116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3142DDC">
            <w:pPr>
              <w:textAlignment w:val="center"/>
              <w:rPr>
                <w:rFonts w:ascii="仿宋" w:hAnsi="仿宋" w:eastAsia="仿宋" w:cs="仿宋"/>
                <w:color w:val="000000"/>
                <w:szCs w:val="21"/>
                <w:highlight w:val="none"/>
                <w:lang w:eastAsia="zh-CN"/>
              </w:rPr>
            </w:pPr>
          </w:p>
        </w:tc>
        <w:tc>
          <w:tcPr>
            <w:tcW w:w="974" w:type="pct"/>
            <w:vMerge w:val="continue"/>
            <w:vAlign w:val="center"/>
          </w:tcPr>
          <w:p w14:paraId="1AC0A1DA">
            <w:pPr>
              <w:textAlignment w:val="center"/>
              <w:rPr>
                <w:rFonts w:ascii="仿宋" w:hAnsi="仿宋" w:eastAsia="仿宋" w:cs="仿宋"/>
                <w:color w:val="000000"/>
                <w:szCs w:val="21"/>
                <w:highlight w:val="none"/>
                <w:lang w:eastAsia="zh-CN"/>
              </w:rPr>
            </w:pPr>
          </w:p>
        </w:tc>
        <w:tc>
          <w:tcPr>
            <w:tcW w:w="1339" w:type="pct"/>
            <w:vAlign w:val="center"/>
          </w:tcPr>
          <w:p w14:paraId="53E5FA6B">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3.4.1.2初产妇剖宫产率</w:t>
            </w:r>
          </w:p>
        </w:tc>
        <w:tc>
          <w:tcPr>
            <w:tcW w:w="1953" w:type="pct"/>
            <w:vAlign w:val="center"/>
          </w:tcPr>
          <w:p w14:paraId="4412258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单位时间内，初产妇（定义：妊娠</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28周初次分娩的产妇，既往无28周及以上孕周分娩史）实施剖宫产手术人数占同期初产妇总人数的比例。</w:t>
            </w:r>
          </w:p>
        </w:tc>
      </w:tr>
      <w:tr w14:paraId="16D91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EA85E75">
            <w:pPr>
              <w:textAlignment w:val="center"/>
              <w:rPr>
                <w:rFonts w:ascii="仿宋" w:hAnsi="仿宋" w:eastAsia="仿宋" w:cs="仿宋"/>
                <w:color w:val="000000"/>
                <w:szCs w:val="21"/>
                <w:highlight w:val="none"/>
                <w:lang w:eastAsia="zh-CN"/>
              </w:rPr>
            </w:pPr>
          </w:p>
        </w:tc>
        <w:tc>
          <w:tcPr>
            <w:tcW w:w="974" w:type="pct"/>
            <w:vMerge w:val="continue"/>
            <w:vAlign w:val="center"/>
          </w:tcPr>
          <w:p w14:paraId="36DB8BD8">
            <w:pPr>
              <w:textAlignment w:val="center"/>
              <w:rPr>
                <w:rFonts w:ascii="仿宋" w:hAnsi="仿宋" w:eastAsia="仿宋" w:cs="仿宋"/>
                <w:color w:val="000000"/>
                <w:szCs w:val="21"/>
                <w:highlight w:val="none"/>
                <w:lang w:eastAsia="zh-CN"/>
              </w:rPr>
            </w:pPr>
          </w:p>
        </w:tc>
        <w:tc>
          <w:tcPr>
            <w:tcW w:w="1339" w:type="pct"/>
            <w:vAlign w:val="center"/>
          </w:tcPr>
          <w:p w14:paraId="72CC7F4D">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3.4.</w:t>
            </w:r>
            <w:r>
              <w:rPr>
                <w:rFonts w:hint="eastAsia" w:ascii="仿宋" w:hAnsi="仿宋" w:eastAsia="仿宋" w:cs="仿宋"/>
                <w:color w:val="000000"/>
                <w:szCs w:val="21"/>
                <w:highlight w:val="none"/>
              </w:rPr>
              <w:t>1</w:t>
            </w:r>
            <w:r>
              <w:rPr>
                <w:rFonts w:ascii="仿宋" w:hAnsi="仿宋" w:eastAsia="仿宋" w:cs="仿宋"/>
                <w:color w:val="000000"/>
                <w:szCs w:val="21"/>
                <w:highlight w:val="none"/>
              </w:rPr>
              <w:t>.</w:t>
            </w:r>
            <w:r>
              <w:rPr>
                <w:rFonts w:hint="eastAsia" w:ascii="仿宋" w:hAnsi="仿宋" w:eastAsia="仿宋" w:cs="仿宋"/>
                <w:color w:val="000000"/>
                <w:szCs w:val="21"/>
                <w:highlight w:val="none"/>
              </w:rPr>
              <w:t>3</w:t>
            </w:r>
            <w:r>
              <w:rPr>
                <w:rFonts w:ascii="仿宋" w:hAnsi="仿宋" w:eastAsia="仿宋" w:cs="仿宋"/>
                <w:color w:val="000000"/>
                <w:szCs w:val="21"/>
                <w:highlight w:val="none"/>
              </w:rPr>
              <w:t>巨大儿发生率</w:t>
            </w:r>
          </w:p>
        </w:tc>
        <w:tc>
          <w:tcPr>
            <w:tcW w:w="1953" w:type="pct"/>
            <w:vAlign w:val="center"/>
          </w:tcPr>
          <w:p w14:paraId="4B6BB60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单位时间内，巨大儿（出生体重</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4000g）人数占同期活产数的比例。</w:t>
            </w:r>
          </w:p>
        </w:tc>
      </w:tr>
      <w:tr w14:paraId="55D8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F4CBA77">
            <w:pPr>
              <w:textAlignment w:val="center"/>
              <w:rPr>
                <w:rFonts w:ascii="仿宋" w:hAnsi="仿宋" w:eastAsia="仿宋" w:cs="仿宋"/>
                <w:color w:val="000000"/>
                <w:szCs w:val="21"/>
                <w:highlight w:val="none"/>
                <w:lang w:eastAsia="zh-CN"/>
              </w:rPr>
            </w:pPr>
          </w:p>
        </w:tc>
        <w:tc>
          <w:tcPr>
            <w:tcW w:w="974" w:type="pct"/>
            <w:vMerge w:val="continue"/>
            <w:vAlign w:val="center"/>
          </w:tcPr>
          <w:p w14:paraId="62974798">
            <w:pPr>
              <w:textAlignment w:val="center"/>
              <w:rPr>
                <w:rFonts w:ascii="仿宋" w:hAnsi="仿宋" w:eastAsia="仿宋" w:cs="仿宋"/>
                <w:color w:val="000000"/>
                <w:szCs w:val="21"/>
                <w:highlight w:val="none"/>
                <w:lang w:eastAsia="zh-CN"/>
              </w:rPr>
            </w:pPr>
          </w:p>
        </w:tc>
        <w:tc>
          <w:tcPr>
            <w:tcW w:w="1339" w:type="pct"/>
            <w:vAlign w:val="center"/>
          </w:tcPr>
          <w:p w14:paraId="7AEA2D1A">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3.4.</w:t>
            </w:r>
            <w:r>
              <w:rPr>
                <w:rFonts w:hint="eastAsia" w:ascii="仿宋" w:hAnsi="仿宋" w:eastAsia="仿宋" w:cs="仿宋"/>
                <w:color w:val="000000"/>
                <w:szCs w:val="21"/>
                <w:highlight w:val="none"/>
              </w:rPr>
              <w:t>1</w:t>
            </w:r>
            <w:r>
              <w:rPr>
                <w:rFonts w:ascii="仿宋" w:hAnsi="仿宋" w:eastAsia="仿宋" w:cs="仿宋"/>
                <w:color w:val="000000"/>
                <w:szCs w:val="21"/>
                <w:highlight w:val="none"/>
              </w:rPr>
              <w:t>.</w:t>
            </w:r>
            <w:r>
              <w:rPr>
                <w:rFonts w:hint="eastAsia" w:ascii="仿宋" w:hAnsi="仿宋" w:eastAsia="仿宋" w:cs="仿宋"/>
                <w:color w:val="000000"/>
                <w:szCs w:val="21"/>
                <w:highlight w:val="none"/>
              </w:rPr>
              <w:t>4</w:t>
            </w:r>
            <w:r>
              <w:rPr>
                <w:rFonts w:ascii="仿宋" w:hAnsi="仿宋" w:eastAsia="仿宋" w:cs="仿宋"/>
                <w:color w:val="000000"/>
                <w:szCs w:val="21"/>
                <w:highlight w:val="none"/>
              </w:rPr>
              <w:t>严重产后出血发生率</w:t>
            </w:r>
          </w:p>
        </w:tc>
        <w:tc>
          <w:tcPr>
            <w:tcW w:w="1953" w:type="pct"/>
            <w:vAlign w:val="center"/>
          </w:tcPr>
          <w:p w14:paraId="269EE33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单位时间内，发生严重产后出血（分娩24小时内出血量</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1000ml）的产妇人数占同期分娩产妇</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分娩孕周</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28周</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总人数的比例。</w:t>
            </w:r>
          </w:p>
        </w:tc>
      </w:tr>
      <w:tr w14:paraId="50B04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E7E9471">
            <w:pPr>
              <w:textAlignment w:val="center"/>
              <w:rPr>
                <w:rFonts w:ascii="仿宋" w:hAnsi="仿宋" w:eastAsia="仿宋" w:cs="仿宋"/>
                <w:color w:val="000000"/>
                <w:szCs w:val="21"/>
                <w:highlight w:val="none"/>
                <w:lang w:eastAsia="zh-CN"/>
              </w:rPr>
            </w:pPr>
          </w:p>
        </w:tc>
        <w:tc>
          <w:tcPr>
            <w:tcW w:w="974" w:type="pct"/>
            <w:vMerge w:val="continue"/>
            <w:vAlign w:val="center"/>
          </w:tcPr>
          <w:p w14:paraId="556048A7">
            <w:pPr>
              <w:textAlignment w:val="center"/>
              <w:rPr>
                <w:rFonts w:ascii="仿宋" w:hAnsi="仿宋" w:eastAsia="仿宋" w:cs="仿宋"/>
                <w:color w:val="000000"/>
                <w:szCs w:val="21"/>
                <w:highlight w:val="none"/>
                <w:lang w:eastAsia="zh-CN"/>
              </w:rPr>
            </w:pPr>
          </w:p>
        </w:tc>
        <w:tc>
          <w:tcPr>
            <w:tcW w:w="1339" w:type="pct"/>
            <w:vAlign w:val="center"/>
          </w:tcPr>
          <w:p w14:paraId="7D071DF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3.4.</w:t>
            </w:r>
            <w:r>
              <w:rPr>
                <w:rFonts w:hint="eastAsia" w:ascii="仿宋" w:hAnsi="仿宋" w:eastAsia="仿宋" w:cs="仿宋"/>
                <w:color w:val="000000"/>
                <w:szCs w:val="21"/>
                <w:highlight w:val="none"/>
                <w:lang w:eastAsia="zh-CN"/>
              </w:rPr>
              <w:t>1.5</w:t>
            </w:r>
            <w:r>
              <w:rPr>
                <w:rFonts w:ascii="仿宋" w:hAnsi="仿宋" w:eastAsia="仿宋" w:cs="仿宋"/>
                <w:color w:val="000000"/>
                <w:szCs w:val="21"/>
                <w:highlight w:val="none"/>
                <w:lang w:eastAsia="zh-CN"/>
              </w:rPr>
              <w:t>产后或术后非计划再次手术率</w:t>
            </w:r>
          </w:p>
        </w:tc>
        <w:tc>
          <w:tcPr>
            <w:tcW w:w="1953" w:type="pct"/>
            <w:vAlign w:val="center"/>
          </w:tcPr>
          <w:p w14:paraId="017C1ED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单位时间内，产妇在同一次住院期间，因产后或术后各种原因需重返手术室进行计划外再次手术（含介入手术）的人数占同期分娩产妇（分娩孕周</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28周）总人数的比例</w:t>
            </w:r>
            <w:r>
              <w:rPr>
                <w:rFonts w:hint="eastAsia" w:ascii="仿宋" w:hAnsi="仿宋" w:eastAsia="仿宋" w:cs="仿宋"/>
                <w:color w:val="000000"/>
                <w:szCs w:val="21"/>
                <w:highlight w:val="none"/>
                <w:lang w:eastAsia="zh-CN"/>
              </w:rPr>
              <w:t>。</w:t>
            </w:r>
          </w:p>
        </w:tc>
      </w:tr>
      <w:tr w14:paraId="31CC4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38E5FC1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3.5神经系统疾病医疗质量控制指标</w:t>
            </w:r>
          </w:p>
        </w:tc>
        <w:tc>
          <w:tcPr>
            <w:tcW w:w="974" w:type="pct"/>
            <w:vMerge w:val="restart"/>
            <w:vAlign w:val="center"/>
          </w:tcPr>
          <w:p w14:paraId="2F6311B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3.5.1</w:t>
            </w:r>
            <w:r>
              <w:rPr>
                <w:rFonts w:hint="eastAsia" w:ascii="仿宋" w:hAnsi="仿宋" w:eastAsia="仿宋" w:cs="仿宋"/>
                <w:color w:val="000000"/>
                <w:szCs w:val="21"/>
                <w:highlight w:val="none"/>
                <w:lang w:eastAsia="zh-CN"/>
              </w:rPr>
              <w:t>神经系统疾病医疗质量控制指标</w:t>
            </w:r>
          </w:p>
        </w:tc>
        <w:tc>
          <w:tcPr>
            <w:tcW w:w="1339" w:type="pct"/>
            <w:vAlign w:val="center"/>
          </w:tcPr>
          <w:p w14:paraId="6079289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3.5.1.1抗癫痫药物规范服用率</w:t>
            </w:r>
          </w:p>
        </w:tc>
        <w:tc>
          <w:tcPr>
            <w:tcW w:w="1953" w:type="pct"/>
            <w:vAlign w:val="center"/>
          </w:tcPr>
          <w:p w14:paraId="5FFA133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近3月规范使用抗癫痫药物治疗的住院癫痫患者（确诊3月及以上）数占同期住院癫痫患者（确诊3月及以上）总数的比例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规范使用抗癫痫药物指患者依照发作类型服用恰当的抗癫痫药物，按照规范剂量，规律服用抗癫痫药物3月及以上。</w:t>
            </w:r>
          </w:p>
        </w:tc>
      </w:tr>
      <w:tr w14:paraId="2BDE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568031C">
            <w:pPr>
              <w:textAlignment w:val="center"/>
              <w:rPr>
                <w:rFonts w:ascii="仿宋" w:hAnsi="仿宋" w:eastAsia="仿宋" w:cs="仿宋"/>
                <w:color w:val="000000"/>
                <w:szCs w:val="21"/>
                <w:highlight w:val="none"/>
                <w:lang w:eastAsia="zh-CN"/>
              </w:rPr>
            </w:pPr>
          </w:p>
        </w:tc>
        <w:tc>
          <w:tcPr>
            <w:tcW w:w="974" w:type="pct"/>
            <w:vMerge w:val="continue"/>
            <w:vAlign w:val="center"/>
          </w:tcPr>
          <w:p w14:paraId="00F30E64">
            <w:pPr>
              <w:textAlignment w:val="center"/>
              <w:rPr>
                <w:rFonts w:ascii="仿宋" w:hAnsi="仿宋" w:eastAsia="仿宋" w:cs="仿宋"/>
                <w:color w:val="000000"/>
                <w:szCs w:val="21"/>
                <w:highlight w:val="none"/>
                <w:lang w:eastAsia="zh-CN"/>
              </w:rPr>
            </w:pPr>
          </w:p>
        </w:tc>
        <w:tc>
          <w:tcPr>
            <w:tcW w:w="1339" w:type="pct"/>
            <w:vAlign w:val="center"/>
          </w:tcPr>
          <w:p w14:paraId="64B6B57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3.5.</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2</w:t>
            </w:r>
            <w:r>
              <w:rPr>
                <w:rFonts w:ascii="仿宋" w:hAnsi="仿宋" w:eastAsia="仿宋" w:cs="仿宋"/>
                <w:color w:val="000000"/>
                <w:szCs w:val="21"/>
                <w:highlight w:val="none"/>
                <w:lang w:eastAsia="zh-CN"/>
              </w:rPr>
              <w:t>发病4.5小时内脑梗死患者静脉溶栓率</w:t>
            </w:r>
          </w:p>
        </w:tc>
        <w:tc>
          <w:tcPr>
            <w:tcW w:w="1953" w:type="pct"/>
            <w:vAlign w:val="center"/>
          </w:tcPr>
          <w:p w14:paraId="1F46826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发病4.5小时内静脉溶栓治疗的脑梗死患者数占同期发病4.5小时到院的脑梗死患者总数的比例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分子指首次病程记录中记录发病4.5小时内急诊行溶栓治疗的脑梗死患者人数</w:t>
            </w:r>
          </w:p>
        </w:tc>
      </w:tr>
      <w:tr w14:paraId="7C306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1EE42D73">
            <w:pPr>
              <w:textAlignment w:val="center"/>
              <w:rPr>
                <w:rFonts w:ascii="仿宋" w:hAnsi="仿宋" w:eastAsia="仿宋" w:cs="仿宋"/>
                <w:color w:val="000000"/>
                <w:szCs w:val="21"/>
                <w:highlight w:val="none"/>
                <w:lang w:eastAsia="zh-CN"/>
              </w:rPr>
            </w:pPr>
          </w:p>
        </w:tc>
        <w:tc>
          <w:tcPr>
            <w:tcW w:w="974" w:type="pct"/>
            <w:vMerge w:val="continue"/>
            <w:vAlign w:val="center"/>
          </w:tcPr>
          <w:p w14:paraId="744CFE24">
            <w:pPr>
              <w:textAlignment w:val="center"/>
              <w:rPr>
                <w:rFonts w:ascii="仿宋" w:hAnsi="仿宋" w:eastAsia="仿宋" w:cs="仿宋"/>
                <w:color w:val="000000"/>
                <w:szCs w:val="21"/>
                <w:highlight w:val="none"/>
                <w:lang w:eastAsia="zh-CN"/>
              </w:rPr>
            </w:pPr>
          </w:p>
        </w:tc>
        <w:tc>
          <w:tcPr>
            <w:tcW w:w="1339" w:type="pct"/>
            <w:vAlign w:val="center"/>
          </w:tcPr>
          <w:p w14:paraId="6730735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3.5.</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3</w:t>
            </w:r>
            <w:r>
              <w:rPr>
                <w:rFonts w:ascii="仿宋" w:hAnsi="仿宋" w:eastAsia="仿宋" w:cs="仿宋"/>
                <w:color w:val="000000"/>
                <w:szCs w:val="21"/>
                <w:highlight w:val="none"/>
                <w:lang w:eastAsia="zh-CN"/>
              </w:rPr>
              <w:t>静脉溶栓的脑梗死患者到院到给药时间小于60分钟的比例</w:t>
            </w:r>
          </w:p>
        </w:tc>
        <w:tc>
          <w:tcPr>
            <w:tcW w:w="1953" w:type="pct"/>
            <w:vAlign w:val="center"/>
          </w:tcPr>
          <w:p w14:paraId="2D335AD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静脉溶栓</w:t>
            </w:r>
            <w:r>
              <w:rPr>
                <w:rFonts w:hint="eastAsia" w:ascii="仿宋" w:hAnsi="仿宋" w:eastAsia="仿宋" w:cs="仿宋"/>
                <w:color w:val="000000"/>
                <w:szCs w:val="21"/>
                <w:highlight w:val="none"/>
                <w:lang w:eastAsia="zh-CN"/>
              </w:rPr>
              <w:t>入院至溶栓时间(Door-to-Needle Time，</w:t>
            </w:r>
            <w:r>
              <w:rPr>
                <w:rFonts w:ascii="仿宋" w:hAnsi="仿宋" w:eastAsia="仿宋" w:cs="仿宋"/>
                <w:color w:val="000000"/>
                <w:szCs w:val="21"/>
                <w:highlight w:val="none"/>
                <w:lang w:eastAsia="zh-CN"/>
              </w:rPr>
              <w:t>DNT</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小于60分钟的脑梗死患者数占同期给予静脉溶栓治疗的脑梗死患者总数的比例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分子指绿色通道节点表显示静脉溶栓DNT小于60分钟的脑梗死患者数。</w:t>
            </w:r>
          </w:p>
        </w:tc>
      </w:tr>
      <w:tr w14:paraId="3B8A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E075C49">
            <w:pPr>
              <w:textAlignment w:val="center"/>
              <w:rPr>
                <w:rFonts w:ascii="仿宋" w:hAnsi="仿宋" w:eastAsia="仿宋" w:cs="仿宋"/>
                <w:color w:val="000000"/>
                <w:szCs w:val="21"/>
                <w:highlight w:val="none"/>
                <w:lang w:eastAsia="zh-CN"/>
              </w:rPr>
            </w:pPr>
          </w:p>
        </w:tc>
        <w:tc>
          <w:tcPr>
            <w:tcW w:w="974" w:type="pct"/>
            <w:vMerge w:val="continue"/>
            <w:vAlign w:val="center"/>
          </w:tcPr>
          <w:p w14:paraId="3C6FF947">
            <w:pPr>
              <w:textAlignment w:val="center"/>
              <w:rPr>
                <w:rFonts w:ascii="仿宋" w:hAnsi="仿宋" w:eastAsia="仿宋" w:cs="仿宋"/>
                <w:color w:val="000000"/>
                <w:szCs w:val="21"/>
                <w:highlight w:val="none"/>
                <w:lang w:eastAsia="zh-CN"/>
              </w:rPr>
            </w:pPr>
          </w:p>
        </w:tc>
        <w:tc>
          <w:tcPr>
            <w:tcW w:w="1339" w:type="pct"/>
            <w:vAlign w:val="center"/>
          </w:tcPr>
          <w:p w14:paraId="7DA0AB2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3.5.</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颈动脉支架置入术患者卒中和死亡发生率</w:t>
            </w:r>
          </w:p>
        </w:tc>
        <w:tc>
          <w:tcPr>
            <w:tcW w:w="1953" w:type="pct"/>
            <w:vAlign w:val="center"/>
          </w:tcPr>
          <w:p w14:paraId="524D5FC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颈动脉支架置入术患者术后住院期间卒中和死亡人数占同期颈动脉支架置入术患者总数的比例</w:t>
            </w:r>
          </w:p>
        </w:tc>
      </w:tr>
      <w:tr w14:paraId="4897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7D0A7F4">
            <w:pPr>
              <w:textAlignment w:val="center"/>
              <w:rPr>
                <w:rFonts w:ascii="仿宋" w:hAnsi="仿宋" w:eastAsia="仿宋" w:cs="仿宋"/>
                <w:color w:val="000000"/>
                <w:szCs w:val="21"/>
                <w:highlight w:val="none"/>
                <w:lang w:eastAsia="zh-CN"/>
              </w:rPr>
            </w:pPr>
          </w:p>
        </w:tc>
        <w:tc>
          <w:tcPr>
            <w:tcW w:w="974" w:type="pct"/>
            <w:vMerge w:val="continue"/>
            <w:vAlign w:val="center"/>
          </w:tcPr>
          <w:p w14:paraId="6CF834C0">
            <w:pPr>
              <w:textAlignment w:val="center"/>
              <w:rPr>
                <w:rFonts w:ascii="仿宋" w:hAnsi="仿宋" w:eastAsia="仿宋" w:cs="仿宋"/>
                <w:color w:val="000000"/>
                <w:szCs w:val="21"/>
                <w:highlight w:val="none"/>
                <w:lang w:eastAsia="zh-CN"/>
              </w:rPr>
            </w:pPr>
          </w:p>
        </w:tc>
        <w:tc>
          <w:tcPr>
            <w:tcW w:w="1339" w:type="pct"/>
            <w:vAlign w:val="center"/>
          </w:tcPr>
          <w:p w14:paraId="0E644B2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3.5.</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住院帕金森病患者进行临床分期的比例</w:t>
            </w:r>
          </w:p>
        </w:tc>
        <w:tc>
          <w:tcPr>
            <w:tcW w:w="1953" w:type="pct"/>
            <w:vAlign w:val="center"/>
          </w:tcPr>
          <w:p w14:paraId="58E283D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进行临床分期的住院帕金森病患者数占同期住院帕金森病患者总数的比例</w:t>
            </w:r>
          </w:p>
        </w:tc>
      </w:tr>
      <w:tr w14:paraId="69F4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16234D9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3.6肾病专业医疗质量控制指标</w:t>
            </w:r>
          </w:p>
        </w:tc>
        <w:tc>
          <w:tcPr>
            <w:tcW w:w="974" w:type="pct"/>
            <w:vMerge w:val="restart"/>
            <w:vAlign w:val="center"/>
          </w:tcPr>
          <w:p w14:paraId="1AA2244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3.6.1</w:t>
            </w:r>
            <w:r>
              <w:rPr>
                <w:rFonts w:hint="eastAsia" w:ascii="仿宋" w:hAnsi="仿宋" w:eastAsia="仿宋" w:cs="仿宋"/>
                <w:color w:val="000000"/>
                <w:szCs w:val="21"/>
                <w:highlight w:val="none"/>
                <w:lang w:eastAsia="zh-CN"/>
              </w:rPr>
              <w:t>肾病专业医疗质量控制指标</w:t>
            </w:r>
          </w:p>
        </w:tc>
        <w:tc>
          <w:tcPr>
            <w:tcW w:w="1339" w:type="pct"/>
            <w:vAlign w:val="center"/>
          </w:tcPr>
          <w:p w14:paraId="375B83C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3.6.1.1血液透析患者每6个月血源性传染病标志物检验完成率</w:t>
            </w:r>
          </w:p>
        </w:tc>
        <w:tc>
          <w:tcPr>
            <w:tcW w:w="1953" w:type="pct"/>
            <w:vAlign w:val="center"/>
          </w:tcPr>
          <w:p w14:paraId="6496F43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血液透析患者每6个月血源性传染病标志物检验完成率：完成血源性传染病标志物检验的维持性血液透析患者数占同期门诊所有维持性血液透析患者总数的百分率</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血液透析患者血源性传染病年度转阳事件数：四项血源性传染病（乙肝、丙肝、梅毒、艾滋病）标志物任何一项由阴性转阳性的事件数</w:t>
            </w:r>
          </w:p>
        </w:tc>
      </w:tr>
      <w:tr w14:paraId="081F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CBFEDA4">
            <w:pPr>
              <w:textAlignment w:val="center"/>
              <w:rPr>
                <w:rFonts w:ascii="仿宋" w:hAnsi="仿宋" w:eastAsia="仿宋" w:cs="仿宋"/>
                <w:color w:val="000000"/>
                <w:szCs w:val="21"/>
                <w:highlight w:val="none"/>
                <w:lang w:eastAsia="zh-CN"/>
              </w:rPr>
            </w:pPr>
          </w:p>
        </w:tc>
        <w:tc>
          <w:tcPr>
            <w:tcW w:w="974" w:type="pct"/>
            <w:vMerge w:val="continue"/>
            <w:vAlign w:val="center"/>
          </w:tcPr>
          <w:p w14:paraId="3BC614D4">
            <w:pPr>
              <w:textAlignment w:val="center"/>
              <w:rPr>
                <w:rFonts w:ascii="仿宋" w:hAnsi="仿宋" w:eastAsia="仿宋" w:cs="仿宋"/>
                <w:color w:val="000000"/>
                <w:szCs w:val="21"/>
                <w:highlight w:val="none"/>
                <w:lang w:eastAsia="zh-CN"/>
              </w:rPr>
            </w:pPr>
          </w:p>
        </w:tc>
        <w:tc>
          <w:tcPr>
            <w:tcW w:w="1339" w:type="pct"/>
            <w:vAlign w:val="center"/>
          </w:tcPr>
          <w:p w14:paraId="0F74187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3.6.1.2血液净化用中心静脉导管相关血液感染发生率</w:t>
            </w:r>
          </w:p>
        </w:tc>
        <w:tc>
          <w:tcPr>
            <w:tcW w:w="1953" w:type="pct"/>
            <w:vAlign w:val="center"/>
          </w:tcPr>
          <w:p w14:paraId="122DA6D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年度统计周期内，每1000个导管留置日中新发生的、与血液净化用中心静脉导管相关的原发性血流感染频次。</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感染判定：导管留置期间或拔除后48h内出现的且与其他部位感染无关的血流感染</w:t>
            </w:r>
          </w:p>
        </w:tc>
      </w:tr>
      <w:tr w14:paraId="35DA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6AE4BCE">
            <w:pPr>
              <w:textAlignment w:val="center"/>
              <w:rPr>
                <w:rFonts w:ascii="仿宋" w:hAnsi="仿宋" w:eastAsia="仿宋" w:cs="仿宋"/>
                <w:color w:val="000000"/>
                <w:szCs w:val="21"/>
                <w:highlight w:val="none"/>
                <w:lang w:eastAsia="zh-CN"/>
              </w:rPr>
            </w:pPr>
          </w:p>
        </w:tc>
        <w:tc>
          <w:tcPr>
            <w:tcW w:w="974" w:type="pct"/>
            <w:vMerge w:val="continue"/>
            <w:vAlign w:val="center"/>
          </w:tcPr>
          <w:p w14:paraId="32ABCB6F">
            <w:pPr>
              <w:textAlignment w:val="center"/>
              <w:rPr>
                <w:rFonts w:ascii="仿宋" w:hAnsi="仿宋" w:eastAsia="仿宋" w:cs="仿宋"/>
                <w:color w:val="000000"/>
                <w:szCs w:val="21"/>
                <w:highlight w:val="none"/>
                <w:lang w:eastAsia="zh-CN"/>
              </w:rPr>
            </w:pPr>
          </w:p>
        </w:tc>
        <w:tc>
          <w:tcPr>
            <w:tcW w:w="1339" w:type="pct"/>
            <w:vAlign w:val="center"/>
          </w:tcPr>
          <w:p w14:paraId="21252AE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3.6.</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维持性透析患者肾性贫血控制率</w:t>
            </w:r>
          </w:p>
        </w:tc>
        <w:tc>
          <w:tcPr>
            <w:tcW w:w="1953" w:type="pct"/>
            <w:vAlign w:val="center"/>
          </w:tcPr>
          <w:p w14:paraId="23906D7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血红蛋白</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110g/L的维持性血液透析和维持性腹膜透析患者数占同期维持性血液透析和维持性腹膜透析患者总数的百分率</w:t>
            </w:r>
          </w:p>
        </w:tc>
      </w:tr>
      <w:tr w14:paraId="131CE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EC6FEBB">
            <w:pPr>
              <w:textAlignment w:val="center"/>
              <w:rPr>
                <w:rFonts w:ascii="仿宋" w:hAnsi="仿宋" w:eastAsia="仿宋" w:cs="仿宋"/>
                <w:color w:val="000000"/>
                <w:szCs w:val="21"/>
                <w:highlight w:val="none"/>
                <w:lang w:eastAsia="zh-CN"/>
              </w:rPr>
            </w:pPr>
          </w:p>
        </w:tc>
        <w:tc>
          <w:tcPr>
            <w:tcW w:w="974" w:type="pct"/>
            <w:vMerge w:val="continue"/>
            <w:vAlign w:val="center"/>
          </w:tcPr>
          <w:p w14:paraId="6248C6FB">
            <w:pPr>
              <w:textAlignment w:val="center"/>
              <w:rPr>
                <w:rFonts w:ascii="仿宋" w:hAnsi="仿宋" w:eastAsia="仿宋" w:cs="仿宋"/>
                <w:color w:val="000000"/>
                <w:szCs w:val="21"/>
                <w:highlight w:val="none"/>
                <w:lang w:eastAsia="zh-CN"/>
              </w:rPr>
            </w:pPr>
          </w:p>
        </w:tc>
        <w:tc>
          <w:tcPr>
            <w:tcW w:w="1339" w:type="pct"/>
            <w:vAlign w:val="center"/>
          </w:tcPr>
          <w:p w14:paraId="4417097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3.6.</w:t>
            </w:r>
            <w:r>
              <w:rPr>
                <w:rFonts w:hint="eastAsia" w:ascii="仿宋" w:hAnsi="仿宋" w:eastAsia="仿宋" w:cs="仿宋"/>
                <w:color w:val="000000"/>
                <w:szCs w:val="21"/>
                <w:highlight w:val="none"/>
                <w:lang w:eastAsia="zh-CN"/>
              </w:rPr>
              <w:t>1.4</w:t>
            </w:r>
            <w:r>
              <w:rPr>
                <w:rFonts w:ascii="仿宋" w:hAnsi="仿宋" w:eastAsia="仿宋" w:cs="仿宋"/>
                <w:color w:val="000000"/>
                <w:szCs w:val="21"/>
                <w:highlight w:val="none"/>
                <w:lang w:eastAsia="zh-CN"/>
              </w:rPr>
              <w:t>维持性透析患者血磷控制率</w:t>
            </w:r>
          </w:p>
        </w:tc>
        <w:tc>
          <w:tcPr>
            <w:tcW w:w="1953" w:type="pct"/>
            <w:vAlign w:val="center"/>
          </w:tcPr>
          <w:p w14:paraId="5AA08F4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1.78mmol/L</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血磷</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1.13mmol/L的维持性血液透析患者和维持性腹膜透析患者数占同期维持性血液透析患者和维持性腹膜透析患者总数的百分率</w:t>
            </w:r>
          </w:p>
        </w:tc>
      </w:tr>
      <w:tr w14:paraId="1D3D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6581466">
            <w:pPr>
              <w:textAlignment w:val="center"/>
              <w:rPr>
                <w:rFonts w:ascii="仿宋" w:hAnsi="仿宋" w:eastAsia="仿宋" w:cs="仿宋"/>
                <w:color w:val="000000"/>
                <w:szCs w:val="21"/>
                <w:highlight w:val="none"/>
                <w:lang w:eastAsia="zh-CN"/>
              </w:rPr>
            </w:pPr>
          </w:p>
        </w:tc>
        <w:tc>
          <w:tcPr>
            <w:tcW w:w="974" w:type="pct"/>
            <w:vMerge w:val="continue"/>
            <w:vAlign w:val="center"/>
          </w:tcPr>
          <w:p w14:paraId="17079945">
            <w:pPr>
              <w:textAlignment w:val="center"/>
              <w:rPr>
                <w:rFonts w:ascii="仿宋" w:hAnsi="仿宋" w:eastAsia="仿宋" w:cs="仿宋"/>
                <w:color w:val="000000"/>
                <w:szCs w:val="21"/>
                <w:highlight w:val="none"/>
                <w:lang w:eastAsia="zh-CN"/>
              </w:rPr>
            </w:pPr>
          </w:p>
        </w:tc>
        <w:tc>
          <w:tcPr>
            <w:tcW w:w="1339" w:type="pct"/>
            <w:vAlign w:val="center"/>
          </w:tcPr>
          <w:p w14:paraId="7B82880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3.6.</w:t>
            </w:r>
            <w:r>
              <w:rPr>
                <w:rFonts w:hint="eastAsia" w:ascii="仿宋" w:hAnsi="仿宋" w:eastAsia="仿宋" w:cs="仿宋"/>
                <w:color w:val="000000"/>
                <w:szCs w:val="21"/>
                <w:highlight w:val="none"/>
                <w:lang w:eastAsia="zh-CN"/>
              </w:rPr>
              <w:t>1.5</w:t>
            </w:r>
            <w:r>
              <w:rPr>
                <w:rFonts w:ascii="仿宋" w:hAnsi="仿宋" w:eastAsia="仿宋" w:cs="仿宋"/>
                <w:color w:val="000000"/>
                <w:szCs w:val="21"/>
                <w:highlight w:val="none"/>
                <w:lang w:eastAsia="zh-CN"/>
              </w:rPr>
              <w:t>腹膜透析患者尿素清除指数（Kt/V）及总内生肌酐清除率（Ccr）控制率</w:t>
            </w:r>
          </w:p>
        </w:tc>
        <w:tc>
          <w:tcPr>
            <w:tcW w:w="1953" w:type="pct"/>
            <w:vAlign w:val="center"/>
          </w:tcPr>
          <w:p w14:paraId="5DB5F82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Kt/V</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1.7/周且总Ccr</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50L/1.73㎡/周的腹膜透析患者数占同期检测该项指标的腹膜透析患者总数的百分率</w:t>
            </w:r>
          </w:p>
        </w:tc>
      </w:tr>
      <w:tr w14:paraId="7F488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32CEA82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3.7</w:t>
            </w:r>
            <w:r>
              <w:rPr>
                <w:rFonts w:ascii="仿宋" w:hAnsi="仿宋" w:eastAsia="仿宋" w:cs="仿宋"/>
                <w:color w:val="000000"/>
                <w:szCs w:val="21"/>
                <w:highlight w:val="none"/>
                <w:lang w:eastAsia="zh-CN"/>
              </w:rPr>
              <w:t>护理专业医疗质量控制指标</w:t>
            </w:r>
          </w:p>
        </w:tc>
        <w:tc>
          <w:tcPr>
            <w:tcW w:w="974" w:type="pct"/>
            <w:vMerge w:val="restart"/>
            <w:vAlign w:val="center"/>
          </w:tcPr>
          <w:p w14:paraId="58AA484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3.7.1护理专业医疗质量控制指标</w:t>
            </w:r>
          </w:p>
        </w:tc>
        <w:tc>
          <w:tcPr>
            <w:tcW w:w="1339" w:type="pct"/>
            <w:vAlign w:val="center"/>
          </w:tcPr>
          <w:p w14:paraId="491AAFB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3.7.1.1住院患者跌倒致</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级及以上伤害发生例数和发生率</w:t>
            </w:r>
          </w:p>
        </w:tc>
        <w:tc>
          <w:tcPr>
            <w:tcW w:w="1953" w:type="pct"/>
            <w:vAlign w:val="center"/>
          </w:tcPr>
          <w:p w14:paraId="655DD6D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统计周期内，住院患者跌倒致</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级及以上伤害总例次数与住院患者实际占用床日数的比例。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计算方法：</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住院患者跌倒致</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级及以上伤害发生率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住院患者跌倒致</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级及以上伤害总例次数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同期住院患者实际占用床日数</w:t>
            </w:r>
            <w:r>
              <w:rPr>
                <w:rFonts w:ascii="仿宋" w:hAnsi="仿宋" w:eastAsia="仿宋" w:cs="仿宋"/>
                <w:color w:val="000000"/>
                <w:szCs w:val="21"/>
                <w:highlight w:val="none"/>
                <w:lang w:eastAsia="zh-CN"/>
              </w:rPr>
              <w:t>×1000‰</w:t>
            </w:r>
          </w:p>
        </w:tc>
      </w:tr>
      <w:tr w14:paraId="411DD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94D7433">
            <w:pPr>
              <w:textAlignment w:val="center"/>
              <w:rPr>
                <w:rFonts w:ascii="仿宋" w:hAnsi="仿宋" w:eastAsia="仿宋" w:cs="仿宋"/>
                <w:color w:val="000000"/>
                <w:szCs w:val="21"/>
                <w:highlight w:val="none"/>
                <w:lang w:eastAsia="zh-CN"/>
              </w:rPr>
            </w:pPr>
          </w:p>
        </w:tc>
        <w:tc>
          <w:tcPr>
            <w:tcW w:w="974" w:type="pct"/>
            <w:vMerge w:val="continue"/>
            <w:vAlign w:val="center"/>
          </w:tcPr>
          <w:p w14:paraId="5BB5AF3D">
            <w:pPr>
              <w:textAlignment w:val="center"/>
              <w:rPr>
                <w:rFonts w:ascii="仿宋" w:hAnsi="仿宋" w:eastAsia="仿宋" w:cs="仿宋"/>
                <w:color w:val="000000"/>
                <w:szCs w:val="21"/>
                <w:highlight w:val="none"/>
                <w:lang w:eastAsia="zh-CN"/>
              </w:rPr>
            </w:pPr>
          </w:p>
        </w:tc>
        <w:tc>
          <w:tcPr>
            <w:tcW w:w="1339" w:type="pct"/>
            <w:vAlign w:val="center"/>
          </w:tcPr>
          <w:p w14:paraId="208A6F6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3.7.1.2住院患者</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期及以上院内压力性损伤发生例数和发生率</w:t>
            </w:r>
          </w:p>
        </w:tc>
        <w:tc>
          <w:tcPr>
            <w:tcW w:w="1953" w:type="pct"/>
            <w:vAlign w:val="center"/>
          </w:tcPr>
          <w:p w14:paraId="4E0E246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统计周期内，住院患者</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期及以上院内压力性损伤新发病例数与住院患者总数的比例。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计算方法：</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住院患者</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期及以上院内压力性损伤发生率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住院患者</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期及以上院内压力性损伤新发病例数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同期住院患者总数</w:t>
            </w:r>
            <w:r>
              <w:rPr>
                <w:rFonts w:ascii="仿宋" w:hAnsi="仿宋" w:eastAsia="仿宋" w:cs="仿宋"/>
                <w:color w:val="000000"/>
                <w:szCs w:val="21"/>
                <w:highlight w:val="none"/>
                <w:lang w:eastAsia="zh-CN"/>
              </w:rPr>
              <w:t>×100</w:t>
            </w:r>
            <w:r>
              <w:rPr>
                <w:rFonts w:hint="eastAsia" w:ascii="仿宋" w:hAnsi="仿宋" w:eastAsia="仿宋" w:cs="仿宋"/>
                <w:color w:val="000000"/>
                <w:szCs w:val="21"/>
                <w:highlight w:val="none"/>
                <w:lang w:eastAsia="zh-CN"/>
              </w:rPr>
              <w:t>％</w:t>
            </w:r>
          </w:p>
        </w:tc>
      </w:tr>
      <w:tr w14:paraId="47DEA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FD92C31">
            <w:pPr>
              <w:textAlignment w:val="center"/>
              <w:rPr>
                <w:rFonts w:ascii="仿宋" w:hAnsi="仿宋" w:eastAsia="仿宋" w:cs="仿宋"/>
                <w:color w:val="000000"/>
                <w:szCs w:val="21"/>
                <w:highlight w:val="none"/>
                <w:lang w:eastAsia="zh-CN"/>
              </w:rPr>
            </w:pPr>
          </w:p>
        </w:tc>
        <w:tc>
          <w:tcPr>
            <w:tcW w:w="974" w:type="pct"/>
            <w:vMerge w:val="continue"/>
            <w:vAlign w:val="center"/>
          </w:tcPr>
          <w:p w14:paraId="7DC2D06B">
            <w:pPr>
              <w:textAlignment w:val="center"/>
              <w:rPr>
                <w:rFonts w:ascii="仿宋" w:hAnsi="仿宋" w:eastAsia="仿宋" w:cs="仿宋"/>
                <w:color w:val="000000"/>
                <w:szCs w:val="21"/>
                <w:highlight w:val="none"/>
                <w:lang w:eastAsia="zh-CN"/>
              </w:rPr>
            </w:pPr>
          </w:p>
        </w:tc>
        <w:tc>
          <w:tcPr>
            <w:tcW w:w="1339" w:type="pct"/>
            <w:vAlign w:val="center"/>
          </w:tcPr>
          <w:p w14:paraId="72274FF6">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3.7.1.3气管导管（气管插管、气管切开）非计划拔管率</w:t>
            </w:r>
          </w:p>
        </w:tc>
        <w:tc>
          <w:tcPr>
            <w:tcW w:w="1953" w:type="pct"/>
            <w:vAlign w:val="center"/>
          </w:tcPr>
          <w:p w14:paraId="6D1E1FF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统计周期内，住院患者发生气管导管非计划拔管的例次数与气管导管留置总日数的比例。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计算方法：</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气管导管（气管插管、气管切开）非计划拔管率=住院患者气管导管（气管插管、气管切开）非计划拔管例次数/同期住院患者气管导管（气管插管、气管切开）留置总日数×1000‰</w:t>
            </w:r>
          </w:p>
        </w:tc>
      </w:tr>
      <w:tr w14:paraId="3909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1B13A99A">
            <w:pPr>
              <w:textAlignment w:val="center"/>
              <w:rPr>
                <w:rFonts w:ascii="仿宋" w:hAnsi="仿宋" w:eastAsia="仿宋" w:cs="仿宋"/>
                <w:color w:val="000000"/>
                <w:szCs w:val="21"/>
                <w:highlight w:val="none"/>
                <w:lang w:eastAsia="zh-CN"/>
              </w:rPr>
            </w:pPr>
          </w:p>
        </w:tc>
        <w:tc>
          <w:tcPr>
            <w:tcW w:w="974" w:type="pct"/>
            <w:vMerge w:val="continue"/>
            <w:vAlign w:val="center"/>
          </w:tcPr>
          <w:p w14:paraId="49283136">
            <w:pPr>
              <w:textAlignment w:val="center"/>
              <w:rPr>
                <w:rFonts w:ascii="仿宋" w:hAnsi="仿宋" w:eastAsia="仿宋" w:cs="仿宋"/>
                <w:color w:val="000000"/>
                <w:szCs w:val="21"/>
                <w:highlight w:val="none"/>
                <w:lang w:eastAsia="zh-CN"/>
              </w:rPr>
            </w:pPr>
          </w:p>
        </w:tc>
        <w:tc>
          <w:tcPr>
            <w:tcW w:w="1339" w:type="pct"/>
            <w:vAlign w:val="center"/>
          </w:tcPr>
          <w:p w14:paraId="1AE431D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3.7.1.4经外周置入中心静脉导管（</w:t>
            </w:r>
            <w:r>
              <w:rPr>
                <w:rFonts w:ascii="仿宋" w:hAnsi="仿宋" w:eastAsia="仿宋" w:cs="仿宋"/>
                <w:color w:val="000000"/>
                <w:szCs w:val="21"/>
                <w:highlight w:val="none"/>
                <w:lang w:eastAsia="zh-CN"/>
              </w:rPr>
              <w:t>PICC</w:t>
            </w:r>
            <w:r>
              <w:rPr>
                <w:rFonts w:hint="eastAsia" w:ascii="仿宋" w:hAnsi="仿宋" w:eastAsia="仿宋" w:cs="仿宋"/>
                <w:color w:val="000000"/>
                <w:szCs w:val="21"/>
                <w:highlight w:val="none"/>
                <w:lang w:eastAsia="zh-CN"/>
              </w:rPr>
              <w:t>）非计划拔管率</w:t>
            </w:r>
          </w:p>
        </w:tc>
        <w:tc>
          <w:tcPr>
            <w:tcW w:w="1953" w:type="pct"/>
            <w:vAlign w:val="center"/>
          </w:tcPr>
          <w:p w14:paraId="745E146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统计周期内，住院患者发生经外周置入中心静脉导管（</w:t>
            </w:r>
            <w:r>
              <w:rPr>
                <w:rFonts w:ascii="仿宋" w:hAnsi="仿宋" w:eastAsia="仿宋" w:cs="仿宋"/>
                <w:color w:val="000000"/>
                <w:szCs w:val="21"/>
                <w:highlight w:val="none"/>
                <w:lang w:eastAsia="zh-CN"/>
              </w:rPr>
              <w:t>PICC</w:t>
            </w:r>
            <w:r>
              <w:rPr>
                <w:rFonts w:hint="eastAsia" w:ascii="仿宋" w:hAnsi="仿宋" w:eastAsia="仿宋" w:cs="仿宋"/>
                <w:color w:val="000000"/>
                <w:szCs w:val="21"/>
                <w:highlight w:val="none"/>
                <w:lang w:eastAsia="zh-CN"/>
              </w:rPr>
              <w:t>）非计划拔管的例次数与经外周置入中心静脉导管（</w:t>
            </w:r>
            <w:r>
              <w:rPr>
                <w:rFonts w:ascii="仿宋" w:hAnsi="仿宋" w:eastAsia="仿宋" w:cs="仿宋"/>
                <w:color w:val="000000"/>
                <w:szCs w:val="21"/>
                <w:highlight w:val="none"/>
                <w:lang w:eastAsia="zh-CN"/>
              </w:rPr>
              <w:t>PICC</w:t>
            </w:r>
            <w:r>
              <w:rPr>
                <w:rFonts w:hint="eastAsia" w:ascii="仿宋" w:hAnsi="仿宋" w:eastAsia="仿宋" w:cs="仿宋"/>
                <w:color w:val="000000"/>
                <w:szCs w:val="21"/>
                <w:highlight w:val="none"/>
                <w:lang w:eastAsia="zh-CN"/>
              </w:rPr>
              <w:t>）留置总日数的比例。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计算方法：</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经外周置入中心静脉导管（</w:t>
            </w:r>
            <w:r>
              <w:rPr>
                <w:rFonts w:ascii="仿宋" w:hAnsi="仿宋" w:eastAsia="仿宋" w:cs="仿宋"/>
                <w:color w:val="000000"/>
                <w:szCs w:val="21"/>
                <w:highlight w:val="none"/>
                <w:lang w:eastAsia="zh-CN"/>
              </w:rPr>
              <w:t>PICC</w:t>
            </w:r>
            <w:r>
              <w:rPr>
                <w:rFonts w:hint="eastAsia" w:ascii="仿宋" w:hAnsi="仿宋" w:eastAsia="仿宋" w:cs="仿宋"/>
                <w:color w:val="000000"/>
                <w:szCs w:val="21"/>
                <w:highlight w:val="none"/>
                <w:lang w:eastAsia="zh-CN"/>
              </w:rPr>
              <w:t>）非计划拔管率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住院患者</w:t>
            </w:r>
            <w:r>
              <w:rPr>
                <w:rFonts w:ascii="仿宋" w:hAnsi="仿宋" w:eastAsia="仿宋" w:cs="仿宋"/>
                <w:color w:val="000000"/>
                <w:szCs w:val="21"/>
                <w:highlight w:val="none"/>
                <w:lang w:eastAsia="zh-CN"/>
              </w:rPr>
              <w:t>PICC</w:t>
            </w:r>
            <w:r>
              <w:rPr>
                <w:rFonts w:hint="eastAsia" w:ascii="仿宋" w:hAnsi="仿宋" w:eastAsia="仿宋" w:cs="仿宋"/>
                <w:color w:val="000000"/>
                <w:szCs w:val="21"/>
                <w:highlight w:val="none"/>
                <w:lang w:eastAsia="zh-CN"/>
              </w:rPr>
              <w:t>非计划拔管例次数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同期住院患者</w:t>
            </w:r>
            <w:r>
              <w:rPr>
                <w:rFonts w:ascii="仿宋" w:hAnsi="仿宋" w:eastAsia="仿宋" w:cs="仿宋"/>
                <w:color w:val="000000"/>
                <w:szCs w:val="21"/>
                <w:highlight w:val="none"/>
                <w:lang w:eastAsia="zh-CN"/>
              </w:rPr>
              <w:t>PICC</w:t>
            </w:r>
            <w:r>
              <w:rPr>
                <w:rFonts w:hint="eastAsia" w:ascii="仿宋" w:hAnsi="仿宋" w:eastAsia="仿宋" w:cs="仿宋"/>
                <w:color w:val="000000"/>
                <w:szCs w:val="21"/>
                <w:highlight w:val="none"/>
                <w:lang w:eastAsia="zh-CN"/>
              </w:rPr>
              <w:t>留置总日数</w:t>
            </w:r>
            <w:r>
              <w:rPr>
                <w:rFonts w:ascii="仿宋" w:hAnsi="仿宋" w:eastAsia="仿宋" w:cs="仿宋"/>
                <w:color w:val="000000"/>
                <w:szCs w:val="21"/>
                <w:highlight w:val="none"/>
                <w:lang w:eastAsia="zh-CN"/>
              </w:rPr>
              <w:t>×1000‰</w:t>
            </w:r>
          </w:p>
        </w:tc>
      </w:tr>
      <w:tr w14:paraId="21578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FCA6F6A">
            <w:pPr>
              <w:textAlignment w:val="center"/>
              <w:rPr>
                <w:rFonts w:ascii="仿宋" w:hAnsi="仿宋" w:eastAsia="仿宋" w:cs="仿宋"/>
                <w:color w:val="000000"/>
                <w:szCs w:val="21"/>
                <w:highlight w:val="none"/>
                <w:lang w:eastAsia="zh-CN"/>
              </w:rPr>
            </w:pPr>
          </w:p>
        </w:tc>
        <w:tc>
          <w:tcPr>
            <w:tcW w:w="974" w:type="pct"/>
            <w:vMerge w:val="continue"/>
            <w:vAlign w:val="center"/>
          </w:tcPr>
          <w:p w14:paraId="27E4E4D9">
            <w:pPr>
              <w:textAlignment w:val="center"/>
              <w:rPr>
                <w:rFonts w:ascii="仿宋" w:hAnsi="仿宋" w:eastAsia="仿宋" w:cs="仿宋"/>
                <w:color w:val="000000"/>
                <w:szCs w:val="21"/>
                <w:highlight w:val="none"/>
                <w:lang w:eastAsia="zh-CN"/>
              </w:rPr>
            </w:pPr>
          </w:p>
        </w:tc>
        <w:tc>
          <w:tcPr>
            <w:tcW w:w="1339" w:type="pct"/>
            <w:vAlign w:val="center"/>
          </w:tcPr>
          <w:p w14:paraId="5442CC4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3.7.1.5中心静脉导管（</w:t>
            </w:r>
            <w:r>
              <w:rPr>
                <w:rFonts w:ascii="仿宋" w:hAnsi="仿宋" w:eastAsia="仿宋" w:cs="仿宋"/>
                <w:color w:val="000000"/>
                <w:szCs w:val="21"/>
                <w:highlight w:val="none"/>
                <w:lang w:eastAsia="zh-CN"/>
              </w:rPr>
              <w:t>CVC</w:t>
            </w:r>
            <w:r>
              <w:rPr>
                <w:rFonts w:hint="eastAsia" w:ascii="仿宋" w:hAnsi="仿宋" w:eastAsia="仿宋" w:cs="仿宋"/>
                <w:color w:val="000000"/>
                <w:szCs w:val="21"/>
                <w:highlight w:val="none"/>
                <w:lang w:eastAsia="zh-CN"/>
              </w:rPr>
              <w:t>）非计划拔管率</w:t>
            </w:r>
          </w:p>
        </w:tc>
        <w:tc>
          <w:tcPr>
            <w:tcW w:w="1953" w:type="pct"/>
            <w:vAlign w:val="center"/>
          </w:tcPr>
          <w:p w14:paraId="477E800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统计周期内，住院患者发生中心静脉导管（</w:t>
            </w:r>
            <w:r>
              <w:rPr>
                <w:rFonts w:ascii="仿宋" w:hAnsi="仿宋" w:eastAsia="仿宋" w:cs="仿宋"/>
                <w:color w:val="000000"/>
                <w:szCs w:val="21"/>
                <w:highlight w:val="none"/>
                <w:lang w:eastAsia="zh-CN"/>
              </w:rPr>
              <w:t>CVC</w:t>
            </w:r>
            <w:r>
              <w:rPr>
                <w:rFonts w:hint="eastAsia" w:ascii="仿宋" w:hAnsi="仿宋" w:eastAsia="仿宋" w:cs="仿宋"/>
                <w:color w:val="000000"/>
                <w:szCs w:val="21"/>
                <w:highlight w:val="none"/>
                <w:lang w:eastAsia="zh-CN"/>
              </w:rPr>
              <w:t>）非计划拔管的例次数与中心静脉导管（</w:t>
            </w:r>
            <w:r>
              <w:rPr>
                <w:rFonts w:ascii="仿宋" w:hAnsi="仿宋" w:eastAsia="仿宋" w:cs="仿宋"/>
                <w:color w:val="000000"/>
                <w:szCs w:val="21"/>
                <w:highlight w:val="none"/>
                <w:lang w:eastAsia="zh-CN"/>
              </w:rPr>
              <w:t>CVC</w:t>
            </w:r>
            <w:r>
              <w:rPr>
                <w:rFonts w:hint="eastAsia" w:ascii="仿宋" w:hAnsi="仿宋" w:eastAsia="仿宋" w:cs="仿宋"/>
                <w:color w:val="000000"/>
                <w:szCs w:val="21"/>
                <w:highlight w:val="none"/>
                <w:lang w:eastAsia="zh-CN"/>
              </w:rPr>
              <w:t>）留置总日数的比例。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计算方法：</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中心静脉导管（</w:t>
            </w:r>
            <w:r>
              <w:rPr>
                <w:rFonts w:ascii="仿宋" w:hAnsi="仿宋" w:eastAsia="仿宋" w:cs="仿宋"/>
                <w:color w:val="000000"/>
                <w:szCs w:val="21"/>
                <w:highlight w:val="none"/>
                <w:lang w:eastAsia="zh-CN"/>
              </w:rPr>
              <w:t>CVC</w:t>
            </w:r>
            <w:r>
              <w:rPr>
                <w:rFonts w:hint="eastAsia" w:ascii="仿宋" w:hAnsi="仿宋" w:eastAsia="仿宋" w:cs="仿宋"/>
                <w:color w:val="000000"/>
                <w:szCs w:val="21"/>
                <w:highlight w:val="none"/>
                <w:lang w:eastAsia="zh-CN"/>
              </w:rPr>
              <w:t>）非计划拔管率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住院患者</w:t>
            </w:r>
            <w:r>
              <w:rPr>
                <w:rFonts w:ascii="仿宋" w:hAnsi="仿宋" w:eastAsia="仿宋" w:cs="仿宋"/>
                <w:color w:val="000000"/>
                <w:szCs w:val="21"/>
                <w:highlight w:val="none"/>
                <w:lang w:eastAsia="zh-CN"/>
              </w:rPr>
              <w:t>CVC</w:t>
            </w:r>
            <w:r>
              <w:rPr>
                <w:rFonts w:hint="eastAsia" w:ascii="仿宋" w:hAnsi="仿宋" w:eastAsia="仿宋" w:cs="仿宋"/>
                <w:color w:val="000000"/>
                <w:szCs w:val="21"/>
                <w:highlight w:val="none"/>
                <w:lang w:eastAsia="zh-CN"/>
              </w:rPr>
              <w:t>非计划拔管例次数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同期住院患者</w:t>
            </w:r>
            <w:r>
              <w:rPr>
                <w:rFonts w:ascii="仿宋" w:hAnsi="仿宋" w:eastAsia="仿宋" w:cs="仿宋"/>
                <w:color w:val="000000"/>
                <w:szCs w:val="21"/>
                <w:highlight w:val="none"/>
                <w:lang w:eastAsia="zh-CN"/>
              </w:rPr>
              <w:t>CVC</w:t>
            </w:r>
            <w:r>
              <w:rPr>
                <w:rFonts w:hint="eastAsia" w:ascii="仿宋" w:hAnsi="仿宋" w:eastAsia="仿宋" w:cs="仿宋"/>
                <w:color w:val="000000"/>
                <w:szCs w:val="21"/>
                <w:highlight w:val="none"/>
                <w:lang w:eastAsia="zh-CN"/>
              </w:rPr>
              <w:t>留置总日数</w:t>
            </w:r>
            <w:r>
              <w:rPr>
                <w:rFonts w:ascii="仿宋" w:hAnsi="仿宋" w:eastAsia="仿宋" w:cs="仿宋"/>
                <w:color w:val="000000"/>
                <w:szCs w:val="21"/>
                <w:highlight w:val="none"/>
                <w:lang w:eastAsia="zh-CN"/>
              </w:rPr>
              <w:t>×1000‰</w:t>
            </w:r>
          </w:p>
        </w:tc>
      </w:tr>
      <w:tr w14:paraId="3ABD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92A11D8">
            <w:pPr>
              <w:textAlignment w:val="center"/>
              <w:rPr>
                <w:rFonts w:ascii="仿宋" w:hAnsi="仿宋" w:eastAsia="仿宋" w:cs="仿宋"/>
                <w:color w:val="000000"/>
                <w:szCs w:val="21"/>
                <w:highlight w:val="none"/>
                <w:lang w:eastAsia="zh-CN"/>
              </w:rPr>
            </w:pPr>
          </w:p>
        </w:tc>
        <w:tc>
          <w:tcPr>
            <w:tcW w:w="974" w:type="pct"/>
            <w:vAlign w:val="center"/>
          </w:tcPr>
          <w:p w14:paraId="7BAC17F1">
            <w:pPr>
              <w:textAlignment w:val="center"/>
              <w:rPr>
                <w:rFonts w:ascii="仿宋" w:hAnsi="仿宋" w:eastAsia="仿宋" w:cs="仿宋"/>
                <w:color w:val="000000"/>
                <w:szCs w:val="21"/>
                <w:highlight w:val="none"/>
                <w:lang w:eastAsia="zh-CN"/>
              </w:rPr>
            </w:pPr>
          </w:p>
        </w:tc>
        <w:tc>
          <w:tcPr>
            <w:tcW w:w="1339" w:type="pct"/>
            <w:vAlign w:val="center"/>
          </w:tcPr>
          <w:p w14:paraId="5BEF480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3.7.1.6急性心肌梗死患者便秘发生率</w:t>
            </w:r>
          </w:p>
        </w:tc>
        <w:tc>
          <w:tcPr>
            <w:tcW w:w="1953" w:type="pct"/>
            <w:vAlign w:val="center"/>
          </w:tcPr>
          <w:p w14:paraId="3CD0AFF7">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统计周期内，急性心肌梗死住院患者发生便秘例数与急性心肌梗死住院患者总例数的比例。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计算方法：</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急性心肌梗死患者便秘发生率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急性心肌梗死住院患者发生便秘例数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同期急性心肌梗死住院患者总例数</w:t>
            </w:r>
            <w:r>
              <w:rPr>
                <w:rFonts w:ascii="仿宋" w:hAnsi="仿宋" w:eastAsia="仿宋" w:cs="仿宋"/>
                <w:color w:val="000000"/>
                <w:szCs w:val="21"/>
                <w:highlight w:val="none"/>
                <w:lang w:eastAsia="zh-CN"/>
              </w:rPr>
              <w:t>×100%</w:t>
            </w:r>
          </w:p>
        </w:tc>
      </w:tr>
      <w:tr w14:paraId="45805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211E82A">
            <w:pPr>
              <w:textAlignment w:val="center"/>
              <w:rPr>
                <w:rFonts w:ascii="仿宋" w:hAnsi="仿宋" w:eastAsia="仿宋" w:cs="仿宋"/>
                <w:color w:val="000000"/>
                <w:szCs w:val="21"/>
                <w:highlight w:val="none"/>
                <w:lang w:eastAsia="zh-CN"/>
              </w:rPr>
            </w:pPr>
          </w:p>
        </w:tc>
        <w:tc>
          <w:tcPr>
            <w:tcW w:w="974" w:type="pct"/>
            <w:vAlign w:val="center"/>
          </w:tcPr>
          <w:p w14:paraId="0380FC32">
            <w:pPr>
              <w:textAlignment w:val="center"/>
              <w:rPr>
                <w:rFonts w:ascii="仿宋" w:hAnsi="仿宋" w:eastAsia="仿宋" w:cs="仿宋"/>
                <w:color w:val="000000"/>
                <w:szCs w:val="21"/>
                <w:highlight w:val="none"/>
                <w:lang w:eastAsia="zh-CN"/>
              </w:rPr>
            </w:pPr>
          </w:p>
        </w:tc>
        <w:tc>
          <w:tcPr>
            <w:tcW w:w="1339" w:type="pct"/>
            <w:vAlign w:val="center"/>
          </w:tcPr>
          <w:p w14:paraId="0C8E0CC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3.7.1.7卒中相关性肺炎（</w:t>
            </w:r>
            <w:r>
              <w:rPr>
                <w:rFonts w:ascii="仿宋" w:hAnsi="仿宋" w:eastAsia="仿宋" w:cs="仿宋"/>
                <w:color w:val="000000"/>
                <w:szCs w:val="21"/>
                <w:highlight w:val="none"/>
                <w:lang w:eastAsia="zh-CN"/>
              </w:rPr>
              <w:t>SAP</w:t>
            </w:r>
            <w:r>
              <w:rPr>
                <w:rFonts w:hint="eastAsia" w:ascii="仿宋" w:hAnsi="仿宋" w:eastAsia="仿宋" w:cs="仿宋"/>
                <w:color w:val="000000"/>
                <w:szCs w:val="21"/>
                <w:highlight w:val="none"/>
                <w:lang w:eastAsia="zh-CN"/>
              </w:rPr>
              <w:t>）发生率</w:t>
            </w:r>
          </w:p>
        </w:tc>
        <w:tc>
          <w:tcPr>
            <w:tcW w:w="1953" w:type="pct"/>
            <w:vAlign w:val="center"/>
          </w:tcPr>
          <w:p w14:paraId="2F57F85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统计周期内，住院脑卒中患者新发生肺炎例数与住院脑卒中患者总数的比例。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卒中相关性肺炎（</w:t>
            </w:r>
            <w:r>
              <w:rPr>
                <w:rFonts w:ascii="仿宋" w:hAnsi="仿宋" w:eastAsia="仿宋" w:cs="仿宋"/>
                <w:color w:val="000000"/>
                <w:szCs w:val="21"/>
                <w:highlight w:val="none"/>
                <w:lang w:eastAsia="zh-CN"/>
              </w:rPr>
              <w:t>SAP</w:t>
            </w:r>
            <w:r>
              <w:rPr>
                <w:rFonts w:hint="eastAsia" w:ascii="仿宋" w:hAnsi="仿宋" w:eastAsia="仿宋" w:cs="仿宋"/>
                <w:color w:val="000000"/>
                <w:szCs w:val="21"/>
                <w:highlight w:val="none"/>
                <w:lang w:eastAsia="zh-CN"/>
              </w:rPr>
              <w:t>）发生率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住院脑卒中患者新发肺炎例数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同期住院脑卒中患者总数</w:t>
            </w:r>
            <w:r>
              <w:rPr>
                <w:rFonts w:ascii="仿宋" w:hAnsi="仿宋" w:eastAsia="仿宋" w:cs="仿宋"/>
                <w:color w:val="000000"/>
                <w:szCs w:val="21"/>
                <w:highlight w:val="none"/>
                <w:lang w:eastAsia="zh-CN"/>
              </w:rPr>
              <w:t>×100%</w:t>
            </w:r>
          </w:p>
        </w:tc>
      </w:tr>
      <w:tr w14:paraId="797A9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8" w:hRule="atLeast"/>
        </w:trPr>
        <w:tc>
          <w:tcPr>
            <w:tcW w:w="733" w:type="pct"/>
            <w:vMerge w:val="restart"/>
            <w:vAlign w:val="center"/>
          </w:tcPr>
          <w:p w14:paraId="66787BE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3.8药事管理专业医疗质量控制指标</w:t>
            </w:r>
          </w:p>
        </w:tc>
        <w:tc>
          <w:tcPr>
            <w:tcW w:w="974" w:type="pct"/>
            <w:vMerge w:val="restart"/>
            <w:vAlign w:val="center"/>
          </w:tcPr>
          <w:p w14:paraId="7CCB591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3.8.1药事管理专业医疗质量控制指标</w:t>
            </w:r>
          </w:p>
        </w:tc>
        <w:tc>
          <w:tcPr>
            <w:tcW w:w="1339" w:type="pct"/>
            <w:vAlign w:val="center"/>
          </w:tcPr>
          <w:p w14:paraId="0C27996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3.8.1.1严重或新的药品不良反应上报率</w:t>
            </w:r>
          </w:p>
        </w:tc>
        <w:tc>
          <w:tcPr>
            <w:tcW w:w="1953" w:type="pct"/>
            <w:vAlign w:val="center"/>
          </w:tcPr>
          <w:p w14:paraId="465AB30F">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上报的严重或新的药品不良反应例数占同期上报药品不良反应总例数的比例。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说明：</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严重药品不良反应：是指因使用药品引起以下损害情形之一的反应：①导致死亡；②危及生命；③致癌、致畸、致出生缺陷；④导致显著的或者永久的人体伤残或者器官功能的损伤；⑤导致住院或者住院时间延长；⑥导致其他重要医学事件，如不进行治疗可能出现上述所列情况的。</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新的药品不良反应：是指药品说明书中未载明的不良反应。或说明书中已有描述，但不良反应发生的性质、程度、后果或者频率与说明书描述不一致或者更严重的，按照新的药品不良反应处理。</w:t>
            </w:r>
          </w:p>
        </w:tc>
      </w:tr>
      <w:tr w14:paraId="25FD0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EF1A835">
            <w:pPr>
              <w:textAlignment w:val="center"/>
              <w:rPr>
                <w:rFonts w:ascii="仿宋" w:hAnsi="仿宋" w:eastAsia="仿宋" w:cs="仿宋"/>
                <w:color w:val="000000"/>
                <w:szCs w:val="21"/>
                <w:highlight w:val="none"/>
                <w:lang w:eastAsia="zh-CN"/>
              </w:rPr>
            </w:pPr>
          </w:p>
        </w:tc>
        <w:tc>
          <w:tcPr>
            <w:tcW w:w="974" w:type="pct"/>
            <w:vMerge w:val="continue"/>
            <w:vAlign w:val="center"/>
          </w:tcPr>
          <w:p w14:paraId="7CA78951">
            <w:pPr>
              <w:textAlignment w:val="center"/>
              <w:rPr>
                <w:rFonts w:ascii="仿宋" w:hAnsi="仿宋" w:eastAsia="仿宋" w:cs="仿宋"/>
                <w:color w:val="000000"/>
                <w:szCs w:val="21"/>
                <w:highlight w:val="none"/>
                <w:lang w:eastAsia="zh-CN"/>
              </w:rPr>
            </w:pPr>
          </w:p>
        </w:tc>
        <w:tc>
          <w:tcPr>
            <w:tcW w:w="1339" w:type="pct"/>
            <w:vAlign w:val="center"/>
          </w:tcPr>
          <w:p w14:paraId="138749AC">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3.8.1.2门急诊麻醉第一类精神药品处方</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住院患者麻醉第一类精神药品医嘱合格率</w:t>
            </w:r>
          </w:p>
        </w:tc>
        <w:tc>
          <w:tcPr>
            <w:tcW w:w="1953" w:type="pct"/>
            <w:vAlign w:val="center"/>
          </w:tcPr>
          <w:p w14:paraId="469BCA95">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lang w:eastAsia="zh-CN"/>
              </w:rPr>
              <w:t>定义：点评为合理的麻醉、第一类精神药品处方数占同期点评麻醉、第一类精神药品处方总数的比例。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rPr>
              <w:t>计算公式：</w:t>
            </w:r>
          </w:p>
          <w:p w14:paraId="6CFB76AB">
            <w:pPr>
              <w:numPr>
                <w:ilvl w:val="0"/>
                <w:numId w:val="26"/>
              </w:num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门急诊麻醉第一类精神药品处方合格率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点评为合格的麻醉第一类精神药品处方</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同期点评的麻醉第一类精神药品处方总数</w:t>
            </w:r>
            <w:r>
              <w:rPr>
                <w:rFonts w:ascii="仿宋" w:hAnsi="仿宋" w:eastAsia="仿宋" w:cs="仿宋"/>
                <w:color w:val="000000"/>
                <w:szCs w:val="21"/>
                <w:highlight w:val="none"/>
                <w:lang w:eastAsia="zh-CN"/>
              </w:rPr>
              <w:t>×100%</w:t>
            </w:r>
          </w:p>
          <w:p w14:paraId="74CD81FD">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）住院患者麻醉第一类精神药品医嘱合格率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点评为合格的麻醉第一类精神药品医嘱</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同期点评的麻醉第一类精神药品医嘱总数</w:t>
            </w:r>
            <w:r>
              <w:rPr>
                <w:rFonts w:ascii="仿宋" w:hAnsi="仿宋" w:eastAsia="仿宋" w:cs="仿宋"/>
                <w:color w:val="000000"/>
                <w:szCs w:val="21"/>
                <w:highlight w:val="none"/>
                <w:lang w:eastAsia="zh-CN"/>
              </w:rPr>
              <w:t>×100%</w:t>
            </w:r>
          </w:p>
        </w:tc>
      </w:tr>
      <w:tr w14:paraId="470B9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7D42A64">
            <w:pPr>
              <w:textAlignment w:val="center"/>
              <w:rPr>
                <w:rFonts w:ascii="仿宋" w:hAnsi="仿宋" w:eastAsia="仿宋" w:cs="仿宋"/>
                <w:color w:val="000000"/>
                <w:szCs w:val="21"/>
                <w:highlight w:val="none"/>
                <w:lang w:eastAsia="zh-CN"/>
              </w:rPr>
            </w:pPr>
          </w:p>
        </w:tc>
        <w:tc>
          <w:tcPr>
            <w:tcW w:w="974" w:type="pct"/>
            <w:vMerge w:val="continue"/>
            <w:vAlign w:val="center"/>
          </w:tcPr>
          <w:p w14:paraId="29E83EF8">
            <w:pPr>
              <w:textAlignment w:val="center"/>
              <w:rPr>
                <w:rFonts w:ascii="仿宋" w:hAnsi="仿宋" w:eastAsia="仿宋" w:cs="仿宋"/>
                <w:color w:val="000000"/>
                <w:szCs w:val="21"/>
                <w:highlight w:val="none"/>
                <w:lang w:eastAsia="zh-CN"/>
              </w:rPr>
            </w:pPr>
          </w:p>
        </w:tc>
        <w:tc>
          <w:tcPr>
            <w:tcW w:w="1339" w:type="pct"/>
            <w:vAlign w:val="center"/>
          </w:tcPr>
          <w:p w14:paraId="50F49DC6">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3.8.1.3门急诊处方</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住院患者用药医嘱审核率</w:t>
            </w:r>
          </w:p>
        </w:tc>
        <w:tc>
          <w:tcPr>
            <w:tcW w:w="1953" w:type="pct"/>
            <w:vAlign w:val="center"/>
          </w:tcPr>
          <w:p w14:paraId="6F1A82A7">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定义：药品收费前药师审核的处方数占同期处方总数的比例。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计算公式：</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）门诊处方审核率＝药品收费前药师审核门诊处方数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同期门诊处方总数</w:t>
            </w:r>
            <w:r>
              <w:rPr>
                <w:rFonts w:ascii="仿宋" w:hAnsi="仿宋" w:eastAsia="仿宋" w:cs="仿宋"/>
                <w:color w:val="000000"/>
                <w:szCs w:val="21"/>
                <w:highlight w:val="none"/>
                <w:lang w:eastAsia="zh-CN"/>
              </w:rPr>
              <w:t>×100%</w:t>
            </w:r>
          </w:p>
          <w:p w14:paraId="2C5A574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）急诊处方审核率＝药品收费前药师审核急诊处方数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同期急诊处方总数</w:t>
            </w:r>
            <w:r>
              <w:rPr>
                <w:rFonts w:ascii="仿宋" w:hAnsi="仿宋" w:eastAsia="仿宋" w:cs="仿宋"/>
                <w:color w:val="000000"/>
                <w:szCs w:val="21"/>
                <w:highlight w:val="none"/>
                <w:lang w:eastAsia="zh-CN"/>
              </w:rPr>
              <w:t>×100%</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）住院患者用药医嘱审核率＝药品收费前药师审核住院患者用药医嘱条目数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同期住院患者用药医嘱总条目数</w:t>
            </w:r>
            <w:r>
              <w:rPr>
                <w:rFonts w:ascii="仿宋" w:hAnsi="仿宋" w:eastAsia="仿宋" w:cs="仿宋"/>
                <w:color w:val="000000"/>
                <w:szCs w:val="21"/>
                <w:highlight w:val="none"/>
                <w:lang w:eastAsia="zh-CN"/>
              </w:rPr>
              <w:t>×100%</w:t>
            </w:r>
          </w:p>
        </w:tc>
      </w:tr>
      <w:tr w14:paraId="4A98C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2082E62">
            <w:pPr>
              <w:textAlignment w:val="center"/>
              <w:rPr>
                <w:rFonts w:ascii="仿宋" w:hAnsi="仿宋" w:eastAsia="仿宋" w:cs="仿宋"/>
                <w:color w:val="000000"/>
                <w:szCs w:val="21"/>
                <w:highlight w:val="none"/>
                <w:lang w:eastAsia="zh-CN"/>
              </w:rPr>
            </w:pPr>
          </w:p>
        </w:tc>
        <w:tc>
          <w:tcPr>
            <w:tcW w:w="974" w:type="pct"/>
            <w:vMerge w:val="continue"/>
            <w:vAlign w:val="center"/>
          </w:tcPr>
          <w:p w14:paraId="2B3D9BA7">
            <w:pPr>
              <w:textAlignment w:val="center"/>
              <w:rPr>
                <w:rFonts w:ascii="仿宋" w:hAnsi="仿宋" w:eastAsia="仿宋" w:cs="仿宋"/>
                <w:color w:val="000000"/>
                <w:szCs w:val="21"/>
                <w:highlight w:val="none"/>
                <w:lang w:eastAsia="zh-CN"/>
              </w:rPr>
            </w:pPr>
          </w:p>
        </w:tc>
        <w:tc>
          <w:tcPr>
            <w:tcW w:w="1339" w:type="pct"/>
            <w:vAlign w:val="center"/>
          </w:tcPr>
          <w:p w14:paraId="3749F97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3.8.1.4门急诊处方</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住院患者用药医嘱点评率</w:t>
            </w:r>
          </w:p>
        </w:tc>
        <w:tc>
          <w:tcPr>
            <w:tcW w:w="1953" w:type="pct"/>
            <w:vAlign w:val="center"/>
          </w:tcPr>
          <w:p w14:paraId="08918681">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定义：实施点评的处方数占同期处方总数的比例。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计算公式：</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）门诊处方点评率＝实施点评的门诊处方数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同期门诊处方总数</w:t>
            </w:r>
            <w:r>
              <w:rPr>
                <w:rFonts w:ascii="仿宋" w:hAnsi="仿宋" w:eastAsia="仿宋" w:cs="仿宋"/>
                <w:color w:val="000000"/>
                <w:szCs w:val="21"/>
                <w:highlight w:val="none"/>
                <w:lang w:eastAsia="zh-CN"/>
              </w:rPr>
              <w:t>×100%</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）急诊处方点评率＝实施点评的急诊处方数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同期急诊处方总数</w:t>
            </w:r>
            <w:r>
              <w:rPr>
                <w:rFonts w:ascii="仿宋" w:hAnsi="仿宋" w:eastAsia="仿宋" w:cs="仿宋"/>
                <w:color w:val="000000"/>
                <w:szCs w:val="21"/>
                <w:highlight w:val="none"/>
                <w:lang w:eastAsia="zh-CN"/>
              </w:rPr>
              <w:t>×100%</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）住院患者用药医嘱点评率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实施点评的出院病历数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同期出院病历总数</w:t>
            </w:r>
            <w:r>
              <w:rPr>
                <w:rFonts w:ascii="仿宋" w:hAnsi="仿宋" w:eastAsia="仿宋" w:cs="仿宋"/>
                <w:color w:val="000000"/>
                <w:szCs w:val="21"/>
                <w:highlight w:val="none"/>
                <w:lang w:eastAsia="zh-CN"/>
              </w:rPr>
              <w:t>×100%</w:t>
            </w:r>
          </w:p>
        </w:tc>
      </w:tr>
      <w:tr w14:paraId="71A85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4172E0E">
            <w:pPr>
              <w:textAlignment w:val="center"/>
              <w:rPr>
                <w:rFonts w:ascii="仿宋" w:hAnsi="仿宋" w:eastAsia="仿宋" w:cs="仿宋"/>
                <w:color w:val="000000"/>
                <w:szCs w:val="21"/>
                <w:highlight w:val="none"/>
                <w:lang w:eastAsia="zh-CN"/>
              </w:rPr>
            </w:pPr>
          </w:p>
        </w:tc>
        <w:tc>
          <w:tcPr>
            <w:tcW w:w="974" w:type="pct"/>
            <w:vMerge w:val="continue"/>
            <w:vAlign w:val="center"/>
          </w:tcPr>
          <w:p w14:paraId="51F63C52">
            <w:pPr>
              <w:textAlignment w:val="center"/>
              <w:rPr>
                <w:rFonts w:ascii="仿宋" w:hAnsi="仿宋" w:eastAsia="仿宋" w:cs="仿宋"/>
                <w:color w:val="000000"/>
                <w:szCs w:val="21"/>
                <w:highlight w:val="none"/>
                <w:lang w:eastAsia="zh-CN"/>
              </w:rPr>
            </w:pPr>
          </w:p>
        </w:tc>
        <w:tc>
          <w:tcPr>
            <w:tcW w:w="1339" w:type="pct"/>
            <w:vAlign w:val="center"/>
          </w:tcPr>
          <w:p w14:paraId="19774B19">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3.8.1.5住院患者抗菌药物使用强度</w:t>
            </w:r>
          </w:p>
        </w:tc>
        <w:tc>
          <w:tcPr>
            <w:tcW w:w="1953" w:type="pct"/>
            <w:vAlign w:val="center"/>
          </w:tcPr>
          <w:p w14:paraId="1C9A571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定义：住院患者平均每日每百张床位所消耗抗菌药物的</w:t>
            </w:r>
            <w:r>
              <w:rPr>
                <w:rFonts w:ascii="仿宋" w:hAnsi="仿宋" w:eastAsia="仿宋" w:cs="仿宋"/>
                <w:color w:val="000000"/>
                <w:szCs w:val="21"/>
                <w:highlight w:val="none"/>
                <w:lang w:eastAsia="zh-CN"/>
              </w:rPr>
              <w:t>DDD</w:t>
            </w:r>
            <w:r>
              <w:rPr>
                <w:rFonts w:hint="eastAsia" w:ascii="仿宋" w:hAnsi="仿宋" w:eastAsia="仿宋" w:cs="仿宋"/>
                <w:color w:val="000000"/>
                <w:szCs w:val="21"/>
                <w:highlight w:val="none"/>
                <w:lang w:eastAsia="zh-CN"/>
              </w:rPr>
              <w:t>数。</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计算公式：住院患者抗菌药物使用强度＝住院患者抗菌药物实际消耗量（累计</w:t>
            </w:r>
            <w:r>
              <w:rPr>
                <w:rFonts w:ascii="仿宋" w:hAnsi="仿宋" w:eastAsia="仿宋" w:cs="仿宋"/>
                <w:color w:val="000000"/>
                <w:szCs w:val="21"/>
                <w:highlight w:val="none"/>
                <w:lang w:eastAsia="zh-CN"/>
              </w:rPr>
              <w:t>DDD</w:t>
            </w:r>
            <w:r>
              <w:rPr>
                <w:rFonts w:hint="eastAsia" w:ascii="仿宋" w:hAnsi="仿宋" w:eastAsia="仿宋" w:cs="仿宋"/>
                <w:color w:val="000000"/>
                <w:szCs w:val="21"/>
                <w:highlight w:val="none"/>
                <w:lang w:eastAsia="zh-CN"/>
              </w:rPr>
              <w:t>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同期住院患者实际占用总床日数</w:t>
            </w:r>
            <w:r>
              <w:rPr>
                <w:rFonts w:ascii="仿宋" w:hAnsi="仿宋" w:eastAsia="仿宋" w:cs="仿宋"/>
                <w:color w:val="000000"/>
                <w:szCs w:val="21"/>
                <w:highlight w:val="none"/>
                <w:lang w:eastAsia="zh-CN"/>
              </w:rPr>
              <w:t>×100</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住院患者抗菌药物消耗量（累计</w:t>
            </w:r>
            <w:r>
              <w:rPr>
                <w:rFonts w:ascii="仿宋" w:hAnsi="仿宋" w:eastAsia="仿宋" w:cs="仿宋"/>
                <w:color w:val="000000"/>
                <w:szCs w:val="21"/>
                <w:highlight w:val="none"/>
                <w:lang w:eastAsia="zh-CN"/>
              </w:rPr>
              <w:t>DDD</w:t>
            </w:r>
            <w:r>
              <w:rPr>
                <w:rFonts w:hint="eastAsia" w:ascii="仿宋" w:hAnsi="仿宋" w:eastAsia="仿宋" w:cs="仿宋"/>
                <w:color w:val="000000"/>
                <w:szCs w:val="21"/>
                <w:highlight w:val="none"/>
                <w:lang w:eastAsia="zh-CN"/>
              </w:rPr>
              <w:t>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所有抗菌药物消耗量的总和，某个抗菌药物的消耗量</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该抗菌药物使用总量（</w:t>
            </w:r>
            <w:r>
              <w:rPr>
                <w:rFonts w:ascii="仿宋" w:hAnsi="仿宋" w:eastAsia="仿宋" w:cs="仿宋"/>
                <w:color w:val="000000"/>
                <w:szCs w:val="21"/>
                <w:highlight w:val="none"/>
                <w:lang w:eastAsia="zh-CN"/>
              </w:rPr>
              <w:t>g</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该抗菌药物</w:t>
            </w:r>
            <w:r>
              <w:rPr>
                <w:rFonts w:ascii="仿宋" w:hAnsi="仿宋" w:eastAsia="仿宋" w:cs="仿宋"/>
                <w:color w:val="000000"/>
                <w:szCs w:val="21"/>
                <w:highlight w:val="none"/>
                <w:lang w:eastAsia="zh-CN"/>
              </w:rPr>
              <w:t>DDD</w:t>
            </w:r>
            <w:r>
              <w:rPr>
                <w:rFonts w:hint="eastAsia" w:ascii="仿宋" w:hAnsi="仿宋" w:eastAsia="仿宋" w:cs="仿宋"/>
                <w:color w:val="000000"/>
                <w:szCs w:val="21"/>
                <w:highlight w:val="none"/>
                <w:lang w:eastAsia="zh-CN"/>
              </w:rPr>
              <w:t>值。</w:t>
            </w:r>
            <w:r>
              <w:rPr>
                <w:rFonts w:ascii="仿宋" w:hAnsi="仿宋" w:eastAsia="仿宋" w:cs="仿宋"/>
                <w:color w:val="000000"/>
                <w:szCs w:val="21"/>
                <w:highlight w:val="none"/>
                <w:lang w:eastAsia="zh-CN"/>
              </w:rPr>
              <w:t>DDD</w:t>
            </w:r>
            <w:r>
              <w:rPr>
                <w:rFonts w:hint="eastAsia" w:ascii="仿宋" w:hAnsi="仿宋" w:eastAsia="仿宋" w:cs="仿宋"/>
                <w:color w:val="000000"/>
                <w:szCs w:val="21"/>
                <w:highlight w:val="none"/>
                <w:lang w:eastAsia="zh-CN"/>
              </w:rPr>
              <w:t>值又称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限定日剂量</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，是指一个药品以主要适应证用于成年人的维持日</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剂量。</w:t>
            </w:r>
            <w:r>
              <w:rPr>
                <w:rFonts w:ascii="仿宋" w:hAnsi="仿宋" w:eastAsia="仿宋" w:cs="仿宋"/>
                <w:color w:val="000000"/>
                <w:szCs w:val="21"/>
                <w:highlight w:val="none"/>
                <w:lang w:eastAsia="zh-CN"/>
              </w:rPr>
              <w:t>DDD</w:t>
            </w:r>
            <w:r>
              <w:rPr>
                <w:rFonts w:hint="eastAsia" w:ascii="仿宋" w:hAnsi="仿宋" w:eastAsia="仿宋" w:cs="仿宋"/>
                <w:color w:val="000000"/>
                <w:szCs w:val="21"/>
                <w:highlight w:val="none"/>
                <w:lang w:eastAsia="zh-CN"/>
              </w:rPr>
              <w:t>值来源于</w:t>
            </w:r>
            <w:r>
              <w:rPr>
                <w:rFonts w:ascii="仿宋" w:hAnsi="仿宋" w:eastAsia="仿宋" w:cs="仿宋"/>
                <w:color w:val="000000"/>
                <w:szCs w:val="21"/>
                <w:highlight w:val="none"/>
                <w:lang w:eastAsia="zh-CN"/>
              </w:rPr>
              <w:t>WHO</w:t>
            </w:r>
            <w:r>
              <w:rPr>
                <w:rFonts w:hint="eastAsia" w:ascii="仿宋" w:hAnsi="仿宋" w:eastAsia="仿宋" w:cs="仿宋"/>
                <w:color w:val="000000"/>
                <w:szCs w:val="21"/>
                <w:highlight w:val="none"/>
                <w:lang w:eastAsia="zh-CN"/>
              </w:rPr>
              <w:t>药物统计方法合作中心提供的</w:t>
            </w:r>
            <w:r>
              <w:rPr>
                <w:rFonts w:ascii="仿宋" w:hAnsi="仿宋" w:eastAsia="仿宋" w:cs="仿宋"/>
                <w:color w:val="000000"/>
                <w:szCs w:val="21"/>
                <w:highlight w:val="none"/>
                <w:lang w:eastAsia="zh-CN"/>
              </w:rPr>
              <w:t>ATC</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Index</w:t>
            </w:r>
            <w:r>
              <w:rPr>
                <w:rFonts w:hint="eastAsia" w:ascii="仿宋" w:hAnsi="仿宋" w:eastAsia="仿宋" w:cs="仿宋"/>
                <w:color w:val="000000"/>
                <w:szCs w:val="21"/>
                <w:highlight w:val="none"/>
                <w:lang w:eastAsia="zh-CN"/>
              </w:rPr>
              <w:t>。对于未给出明确</w:t>
            </w:r>
            <w:r>
              <w:rPr>
                <w:rFonts w:ascii="仿宋" w:hAnsi="仿宋" w:eastAsia="仿宋" w:cs="仿宋"/>
                <w:color w:val="000000"/>
                <w:szCs w:val="21"/>
                <w:highlight w:val="none"/>
                <w:lang w:eastAsia="zh-CN"/>
              </w:rPr>
              <w:t>DDD</w:t>
            </w:r>
            <w:r>
              <w:rPr>
                <w:rFonts w:hint="eastAsia" w:ascii="仿宋" w:hAnsi="仿宋" w:eastAsia="仿宋" w:cs="仿宋"/>
                <w:color w:val="000000"/>
                <w:szCs w:val="21"/>
                <w:highlight w:val="none"/>
                <w:lang w:eastAsia="zh-CN"/>
              </w:rPr>
              <w:t>值的抗菌药物，参照国家卫生健康委抗菌药物临床应用监测网的说明。</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住院患者抗菌药物消耗量仅统计调查周期内住院患者在院期间抗菌药物实际消耗量情况，只用于皮试的抗菌药物使用量不纳入统计，住院患者出院带药不纳入统计。</w:t>
            </w:r>
          </w:p>
          <w:p w14:paraId="1BD86D9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3.使用强度数值：经 CMI 值校验</w:t>
            </w:r>
          </w:p>
        </w:tc>
      </w:tr>
      <w:tr w14:paraId="57EA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7FCA8B7">
            <w:pPr>
              <w:textAlignment w:val="center"/>
              <w:rPr>
                <w:rFonts w:ascii="仿宋" w:hAnsi="仿宋" w:eastAsia="仿宋" w:cs="仿宋"/>
                <w:color w:val="000000"/>
                <w:szCs w:val="21"/>
                <w:highlight w:val="none"/>
                <w:lang w:eastAsia="zh-CN"/>
              </w:rPr>
            </w:pPr>
          </w:p>
        </w:tc>
        <w:tc>
          <w:tcPr>
            <w:tcW w:w="974" w:type="pct"/>
            <w:vMerge w:val="continue"/>
            <w:vAlign w:val="center"/>
          </w:tcPr>
          <w:p w14:paraId="09FE90C8">
            <w:pPr>
              <w:textAlignment w:val="center"/>
              <w:rPr>
                <w:rFonts w:ascii="仿宋" w:hAnsi="仿宋" w:eastAsia="仿宋" w:cs="仿宋"/>
                <w:color w:val="000000"/>
                <w:szCs w:val="21"/>
                <w:highlight w:val="none"/>
                <w:lang w:eastAsia="zh-CN"/>
              </w:rPr>
            </w:pPr>
          </w:p>
        </w:tc>
        <w:tc>
          <w:tcPr>
            <w:tcW w:w="1339" w:type="pct"/>
            <w:vAlign w:val="center"/>
          </w:tcPr>
          <w:p w14:paraId="1A0A27A3">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3.8.1.6住院患者药学监护率</w:t>
            </w:r>
          </w:p>
        </w:tc>
        <w:tc>
          <w:tcPr>
            <w:tcW w:w="1953" w:type="pct"/>
            <w:vAlign w:val="center"/>
          </w:tcPr>
          <w:p w14:paraId="026ACEA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定义：实施药学监护的住院患者人次数占同期住院患者总人次数的比例。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计算公式：住院患者药学监护率＝实施药学监护的住院患者人次数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同期住院患者总人次数</w:t>
            </w:r>
            <w:r>
              <w:rPr>
                <w:rFonts w:ascii="仿宋" w:hAnsi="仿宋" w:eastAsia="仿宋" w:cs="仿宋"/>
                <w:color w:val="000000"/>
                <w:szCs w:val="21"/>
                <w:highlight w:val="none"/>
                <w:lang w:eastAsia="zh-CN"/>
              </w:rPr>
              <w:t>×100%</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药学监护主要内容包括药学查房、制订监护计划、患者用药教育、药学会诊、血药浓度监测等。本指标统计本医疗机构实施药学监护（需有药学监护记录）的住院患者人次数。</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同一住院患者一次住院期间接受药学监护计为</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人次数。</w:t>
            </w:r>
          </w:p>
        </w:tc>
      </w:tr>
      <w:tr w14:paraId="498F6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1DB742E">
            <w:pPr>
              <w:textAlignment w:val="center"/>
              <w:rPr>
                <w:rFonts w:ascii="仿宋" w:hAnsi="仿宋" w:eastAsia="仿宋" w:cs="仿宋"/>
                <w:color w:val="000000"/>
                <w:szCs w:val="21"/>
                <w:highlight w:val="none"/>
                <w:lang w:eastAsia="zh-CN"/>
              </w:rPr>
            </w:pPr>
          </w:p>
        </w:tc>
        <w:tc>
          <w:tcPr>
            <w:tcW w:w="974" w:type="pct"/>
            <w:vMerge w:val="continue"/>
            <w:vAlign w:val="center"/>
          </w:tcPr>
          <w:p w14:paraId="79963E2B">
            <w:pPr>
              <w:textAlignment w:val="center"/>
              <w:rPr>
                <w:rFonts w:ascii="仿宋" w:hAnsi="仿宋" w:eastAsia="仿宋" w:cs="仿宋"/>
                <w:color w:val="000000"/>
                <w:szCs w:val="21"/>
                <w:highlight w:val="none"/>
                <w:lang w:eastAsia="zh-CN"/>
              </w:rPr>
            </w:pPr>
          </w:p>
        </w:tc>
        <w:tc>
          <w:tcPr>
            <w:tcW w:w="1339" w:type="pct"/>
            <w:vAlign w:val="center"/>
          </w:tcPr>
          <w:p w14:paraId="0AC1444B">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3.8.1.7住院患者静脉输液使用率</w:t>
            </w:r>
          </w:p>
        </w:tc>
        <w:tc>
          <w:tcPr>
            <w:tcW w:w="1953" w:type="pct"/>
            <w:vAlign w:val="center"/>
          </w:tcPr>
          <w:p w14:paraId="31C005C4">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定义：使用静脉输液的住院患者人次数占同期住院患者总人次数的比例。</w:t>
            </w:r>
            <w:r>
              <w:rPr>
                <w:rFonts w:ascii="仿宋" w:hAnsi="仿宋" w:eastAsia="仿宋" w:cs="仿宋"/>
                <w:color w:val="000000"/>
                <w:szCs w:val="21"/>
                <w:highlight w:val="none"/>
                <w:lang w:eastAsia="zh-CN"/>
              </w:rPr>
              <w:br w:type="textWrapping"/>
            </w:r>
            <w:r>
              <w:rPr>
                <w:rFonts w:hint="eastAsia" w:ascii="仿宋" w:hAnsi="仿宋" w:eastAsia="仿宋" w:cs="仿宋"/>
                <w:color w:val="000000"/>
                <w:szCs w:val="21"/>
                <w:highlight w:val="none"/>
                <w:lang w:eastAsia="zh-CN"/>
              </w:rPr>
              <w:t>计算公式：住院患者静脉输液使用率</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使用静脉输液的住院患者人次数</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同期住院患者总人次数</w:t>
            </w:r>
            <w:r>
              <w:rPr>
                <w:rFonts w:ascii="仿宋" w:hAnsi="仿宋" w:eastAsia="仿宋" w:cs="仿宋"/>
                <w:color w:val="000000"/>
                <w:szCs w:val="21"/>
                <w:highlight w:val="none"/>
                <w:lang w:eastAsia="zh-CN"/>
              </w:rPr>
              <w:t>×100%</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静脉输液是指静脉给药≥</w:t>
            </w:r>
            <w:r>
              <w:rPr>
                <w:rFonts w:ascii="仿宋" w:hAnsi="仿宋" w:eastAsia="仿宋" w:cs="仿宋"/>
                <w:color w:val="000000"/>
                <w:szCs w:val="21"/>
                <w:highlight w:val="none"/>
                <w:lang w:eastAsia="zh-CN"/>
              </w:rPr>
              <w:t>50mL</w:t>
            </w:r>
            <w:r>
              <w:rPr>
                <w:rFonts w:hint="eastAsia" w:ascii="仿宋" w:hAnsi="仿宋" w:eastAsia="仿宋" w:cs="仿宋"/>
                <w:color w:val="000000"/>
                <w:szCs w:val="21"/>
                <w:highlight w:val="none"/>
                <w:lang w:eastAsia="zh-CN"/>
              </w:rPr>
              <w:t>的用药行为，包括静脉滴注和泵入等。对于某些特殊患者（如儿童、新生儿、肾病等对液体输入量有限制的患者）静脉输液的使用量低于</w:t>
            </w:r>
            <w:r>
              <w:rPr>
                <w:rFonts w:ascii="仿宋" w:hAnsi="仿宋" w:eastAsia="仿宋" w:cs="仿宋"/>
                <w:color w:val="000000"/>
                <w:szCs w:val="21"/>
                <w:highlight w:val="none"/>
                <w:lang w:eastAsia="zh-CN"/>
              </w:rPr>
              <w:t>50mL</w:t>
            </w:r>
            <w:r>
              <w:rPr>
                <w:rFonts w:hint="eastAsia" w:ascii="仿宋" w:hAnsi="仿宋" w:eastAsia="仿宋" w:cs="仿宋"/>
                <w:color w:val="000000"/>
                <w:szCs w:val="21"/>
                <w:highlight w:val="none"/>
                <w:lang w:eastAsia="zh-CN"/>
              </w:rPr>
              <w:t>时，仍属于静脉输液，纳入统计范围。</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本指标统计治疗性静脉输液，排除单纯用于诊断评估的静脉给药行为。</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同一位患者一次住院期间使用</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种或多种静脉输注药物，记为</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人次数。</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w:t>
            </w:r>
            <w:r>
              <w:rPr>
                <w:rFonts w:hint="eastAsia" w:ascii="仿宋" w:hAnsi="仿宋" w:eastAsia="仿宋" w:cs="仿宋"/>
                <w:color w:val="000000"/>
                <w:szCs w:val="21"/>
                <w:highlight w:val="none"/>
                <w:lang w:eastAsia="zh-CN"/>
              </w:rPr>
              <w:t>使用静脉输液的住院患者人次数和住院患者总人次数均以统计周期内</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出院患者</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的人次数计算。统计周期内同一位患者住院</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次，应记为</w:t>
            </w:r>
            <w:r>
              <w:rPr>
                <w:rFonts w:ascii="仿宋" w:hAnsi="仿宋" w:eastAsia="仿宋" w:cs="仿宋"/>
                <w:color w:val="000000"/>
                <w:szCs w:val="21"/>
                <w:highlight w:val="none"/>
                <w:lang w:eastAsia="zh-CN"/>
              </w:rPr>
              <w:t>2</w:t>
            </w:r>
            <w:r>
              <w:rPr>
                <w:rFonts w:hint="eastAsia" w:ascii="仿宋" w:hAnsi="仿宋" w:eastAsia="仿宋" w:cs="仿宋"/>
                <w:color w:val="000000"/>
                <w:szCs w:val="21"/>
                <w:highlight w:val="none"/>
                <w:lang w:eastAsia="zh-CN"/>
              </w:rPr>
              <w:t>人次。</w:t>
            </w:r>
          </w:p>
        </w:tc>
      </w:tr>
      <w:tr w14:paraId="12C1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201C090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病案管理质量控制指标</w:t>
            </w:r>
          </w:p>
        </w:tc>
        <w:tc>
          <w:tcPr>
            <w:tcW w:w="974" w:type="pct"/>
            <w:vMerge w:val="restart"/>
            <w:vAlign w:val="center"/>
          </w:tcPr>
          <w:p w14:paraId="75ABC4A7">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3.9.1</w:t>
            </w:r>
            <w:r>
              <w:rPr>
                <w:rFonts w:ascii="仿宋" w:hAnsi="仿宋" w:eastAsia="仿宋" w:cs="仿宋"/>
                <w:color w:val="000000"/>
                <w:szCs w:val="21"/>
                <w:highlight w:val="none"/>
                <w:lang w:eastAsia="zh-CN"/>
              </w:rPr>
              <w:t>病案管理质量控制指标</w:t>
            </w:r>
          </w:p>
        </w:tc>
        <w:tc>
          <w:tcPr>
            <w:tcW w:w="1339" w:type="pct"/>
            <w:vAlign w:val="center"/>
          </w:tcPr>
          <w:p w14:paraId="43CD7F8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.1.1入院记录24小时内完成率</w:t>
            </w:r>
          </w:p>
        </w:tc>
        <w:tc>
          <w:tcPr>
            <w:tcW w:w="1953" w:type="pct"/>
            <w:vAlign w:val="center"/>
          </w:tcPr>
          <w:p w14:paraId="75EEB9B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单位时间内，入院记录在患者入院24小时内完成的住院患者病历数占同期住院患者病历总数的比例。</w:t>
            </w:r>
          </w:p>
        </w:tc>
      </w:tr>
      <w:tr w14:paraId="71961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517C18C">
            <w:pPr>
              <w:textAlignment w:val="center"/>
              <w:rPr>
                <w:rFonts w:ascii="仿宋" w:hAnsi="仿宋" w:eastAsia="仿宋" w:cs="仿宋"/>
                <w:color w:val="000000"/>
                <w:szCs w:val="21"/>
                <w:highlight w:val="none"/>
                <w:lang w:eastAsia="zh-CN"/>
              </w:rPr>
            </w:pPr>
          </w:p>
        </w:tc>
        <w:tc>
          <w:tcPr>
            <w:tcW w:w="974" w:type="pct"/>
            <w:vMerge w:val="continue"/>
            <w:vAlign w:val="center"/>
          </w:tcPr>
          <w:p w14:paraId="37BF8071">
            <w:pPr>
              <w:textAlignment w:val="center"/>
              <w:rPr>
                <w:rFonts w:ascii="仿宋" w:hAnsi="仿宋" w:eastAsia="仿宋" w:cs="仿宋"/>
                <w:color w:val="000000"/>
                <w:szCs w:val="21"/>
                <w:highlight w:val="none"/>
                <w:lang w:eastAsia="zh-CN"/>
              </w:rPr>
            </w:pPr>
          </w:p>
        </w:tc>
        <w:tc>
          <w:tcPr>
            <w:tcW w:w="1339" w:type="pct"/>
            <w:vAlign w:val="center"/>
          </w:tcPr>
          <w:p w14:paraId="79FE7DE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.1.2手术记录24小时内完成率</w:t>
            </w:r>
          </w:p>
        </w:tc>
        <w:tc>
          <w:tcPr>
            <w:tcW w:w="1953" w:type="pct"/>
            <w:vAlign w:val="center"/>
          </w:tcPr>
          <w:p w14:paraId="552A7BD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单位时间内，手术记录在术后24小时内完成的住院患者病历数占同期住院手术患者病历总数的比例。</w:t>
            </w:r>
          </w:p>
        </w:tc>
      </w:tr>
      <w:tr w14:paraId="02A1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3" w:type="pct"/>
            <w:vMerge w:val="continue"/>
            <w:vAlign w:val="center"/>
          </w:tcPr>
          <w:p w14:paraId="15BF5DA7">
            <w:pPr>
              <w:textAlignment w:val="center"/>
              <w:rPr>
                <w:rFonts w:ascii="仿宋" w:hAnsi="仿宋" w:eastAsia="仿宋" w:cs="仿宋"/>
                <w:color w:val="000000"/>
                <w:szCs w:val="21"/>
                <w:highlight w:val="none"/>
                <w:lang w:eastAsia="zh-CN"/>
              </w:rPr>
            </w:pPr>
          </w:p>
        </w:tc>
        <w:tc>
          <w:tcPr>
            <w:tcW w:w="974" w:type="pct"/>
            <w:vMerge w:val="continue"/>
            <w:vAlign w:val="center"/>
          </w:tcPr>
          <w:p w14:paraId="69331996">
            <w:pPr>
              <w:textAlignment w:val="center"/>
              <w:rPr>
                <w:rFonts w:ascii="仿宋" w:hAnsi="仿宋" w:eastAsia="仿宋" w:cs="仿宋"/>
                <w:color w:val="000000"/>
                <w:szCs w:val="21"/>
                <w:highlight w:val="none"/>
                <w:lang w:eastAsia="zh-CN"/>
              </w:rPr>
            </w:pPr>
          </w:p>
        </w:tc>
        <w:tc>
          <w:tcPr>
            <w:tcW w:w="1339" w:type="pct"/>
            <w:vAlign w:val="center"/>
          </w:tcPr>
          <w:p w14:paraId="078E6A4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出院患者病历2日归档率</w:t>
            </w:r>
          </w:p>
        </w:tc>
        <w:tc>
          <w:tcPr>
            <w:tcW w:w="1953" w:type="pct"/>
            <w:vAlign w:val="center"/>
          </w:tcPr>
          <w:p w14:paraId="61FFC02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单位时间内，2个工作日内完成归档的出院患者病历数占同期出院患者病历总数的比例。</w:t>
            </w:r>
          </w:p>
        </w:tc>
      </w:tr>
      <w:tr w14:paraId="25FF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641F5A2">
            <w:pPr>
              <w:textAlignment w:val="center"/>
              <w:rPr>
                <w:rFonts w:ascii="仿宋" w:hAnsi="仿宋" w:eastAsia="仿宋" w:cs="仿宋"/>
                <w:color w:val="000000"/>
                <w:szCs w:val="21"/>
                <w:highlight w:val="none"/>
                <w:lang w:eastAsia="zh-CN"/>
              </w:rPr>
            </w:pPr>
          </w:p>
        </w:tc>
        <w:tc>
          <w:tcPr>
            <w:tcW w:w="974" w:type="pct"/>
            <w:vMerge w:val="continue"/>
            <w:vAlign w:val="center"/>
          </w:tcPr>
          <w:p w14:paraId="75C94707">
            <w:pPr>
              <w:textAlignment w:val="center"/>
              <w:rPr>
                <w:rFonts w:ascii="仿宋" w:hAnsi="仿宋" w:eastAsia="仿宋" w:cs="仿宋"/>
                <w:color w:val="000000"/>
                <w:szCs w:val="21"/>
                <w:highlight w:val="none"/>
                <w:lang w:eastAsia="zh-CN"/>
              </w:rPr>
            </w:pPr>
          </w:p>
        </w:tc>
        <w:tc>
          <w:tcPr>
            <w:tcW w:w="1339" w:type="pct"/>
            <w:vAlign w:val="center"/>
          </w:tcPr>
          <w:p w14:paraId="368F8B24">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w:t>
            </w:r>
            <w:r>
              <w:rPr>
                <w:rFonts w:hint="eastAsia" w:ascii="仿宋" w:hAnsi="仿宋" w:eastAsia="仿宋" w:cs="仿宋"/>
                <w:color w:val="000000"/>
                <w:szCs w:val="21"/>
                <w:highlight w:val="none"/>
              </w:rPr>
              <w:t>9</w:t>
            </w:r>
            <w:r>
              <w:rPr>
                <w:rFonts w:ascii="仿宋" w:hAnsi="仿宋" w:eastAsia="仿宋" w:cs="仿宋"/>
                <w:color w:val="000000"/>
                <w:szCs w:val="21"/>
                <w:highlight w:val="none"/>
              </w:rPr>
              <w:t>.</w:t>
            </w:r>
            <w:r>
              <w:rPr>
                <w:rFonts w:hint="eastAsia" w:ascii="仿宋" w:hAnsi="仿宋" w:eastAsia="仿宋" w:cs="仿宋"/>
                <w:color w:val="000000"/>
                <w:szCs w:val="21"/>
                <w:highlight w:val="none"/>
              </w:rPr>
              <w:t>1.4</w:t>
            </w:r>
            <w:r>
              <w:rPr>
                <w:rFonts w:ascii="仿宋" w:hAnsi="仿宋" w:eastAsia="仿宋" w:cs="仿宋"/>
                <w:color w:val="000000"/>
                <w:szCs w:val="21"/>
                <w:highlight w:val="none"/>
              </w:rPr>
              <w:t>主要诊断编码正确率</w:t>
            </w:r>
          </w:p>
        </w:tc>
        <w:tc>
          <w:tcPr>
            <w:tcW w:w="1953" w:type="pct"/>
            <w:vAlign w:val="center"/>
          </w:tcPr>
          <w:p w14:paraId="24F4529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单位时间内，病案首页中主要诊断编码正确的出院患者病历数占同期出院患者病历总数的比例。</w:t>
            </w:r>
          </w:p>
        </w:tc>
      </w:tr>
      <w:tr w14:paraId="38233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5878ECF">
            <w:pPr>
              <w:textAlignment w:val="center"/>
              <w:rPr>
                <w:rFonts w:ascii="仿宋" w:hAnsi="仿宋" w:eastAsia="仿宋" w:cs="仿宋"/>
                <w:color w:val="000000"/>
                <w:szCs w:val="21"/>
                <w:highlight w:val="none"/>
                <w:lang w:eastAsia="zh-CN"/>
              </w:rPr>
            </w:pPr>
          </w:p>
        </w:tc>
        <w:tc>
          <w:tcPr>
            <w:tcW w:w="974" w:type="pct"/>
            <w:vMerge w:val="continue"/>
            <w:vAlign w:val="center"/>
          </w:tcPr>
          <w:p w14:paraId="1EF168BC">
            <w:pPr>
              <w:textAlignment w:val="center"/>
              <w:rPr>
                <w:rFonts w:ascii="仿宋" w:hAnsi="仿宋" w:eastAsia="仿宋" w:cs="仿宋"/>
                <w:color w:val="000000"/>
                <w:szCs w:val="21"/>
                <w:highlight w:val="none"/>
                <w:lang w:eastAsia="zh-CN"/>
              </w:rPr>
            </w:pPr>
          </w:p>
        </w:tc>
        <w:tc>
          <w:tcPr>
            <w:tcW w:w="1339" w:type="pct"/>
            <w:vAlign w:val="center"/>
          </w:tcPr>
          <w:p w14:paraId="64F352C2">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w:t>
            </w:r>
            <w:r>
              <w:rPr>
                <w:rFonts w:hint="eastAsia" w:ascii="仿宋" w:hAnsi="仿宋" w:eastAsia="仿宋" w:cs="仿宋"/>
                <w:color w:val="000000"/>
                <w:szCs w:val="21"/>
                <w:highlight w:val="none"/>
              </w:rPr>
              <w:t>9</w:t>
            </w:r>
            <w:r>
              <w:rPr>
                <w:rFonts w:ascii="仿宋" w:hAnsi="仿宋" w:eastAsia="仿宋" w:cs="仿宋"/>
                <w:color w:val="000000"/>
                <w:szCs w:val="21"/>
                <w:highlight w:val="none"/>
              </w:rPr>
              <w:t>.</w:t>
            </w:r>
            <w:r>
              <w:rPr>
                <w:rFonts w:hint="eastAsia" w:ascii="仿宋" w:hAnsi="仿宋" w:eastAsia="仿宋" w:cs="仿宋"/>
                <w:color w:val="000000"/>
                <w:szCs w:val="21"/>
                <w:highlight w:val="none"/>
              </w:rPr>
              <w:t>1.5</w:t>
            </w:r>
            <w:r>
              <w:rPr>
                <w:rFonts w:ascii="仿宋" w:hAnsi="仿宋" w:eastAsia="仿宋" w:cs="仿宋"/>
                <w:color w:val="000000"/>
                <w:szCs w:val="21"/>
                <w:highlight w:val="none"/>
              </w:rPr>
              <w:t>主要手术编码正确率</w:t>
            </w:r>
          </w:p>
        </w:tc>
        <w:tc>
          <w:tcPr>
            <w:tcW w:w="1953" w:type="pct"/>
            <w:vAlign w:val="center"/>
          </w:tcPr>
          <w:p w14:paraId="7BE3BA3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单位时间内，病案首页中主要手术编码正确的出院患者病历数占同期出院手术患者病历总数的比例。</w:t>
            </w:r>
          </w:p>
        </w:tc>
      </w:tr>
      <w:tr w14:paraId="6EE8C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62FD729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心血管系统疾病相关专业医疗质量控制指标</w:t>
            </w:r>
          </w:p>
        </w:tc>
        <w:tc>
          <w:tcPr>
            <w:tcW w:w="974" w:type="pct"/>
            <w:vMerge w:val="restart"/>
            <w:vAlign w:val="center"/>
          </w:tcPr>
          <w:p w14:paraId="530A6E7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10.1</w:t>
            </w:r>
            <w:r>
              <w:rPr>
                <w:rFonts w:ascii="仿宋" w:hAnsi="仿宋" w:eastAsia="仿宋" w:cs="仿宋"/>
                <w:color w:val="000000"/>
                <w:szCs w:val="21"/>
                <w:highlight w:val="none"/>
                <w:lang w:eastAsia="zh-CN"/>
              </w:rPr>
              <w:t>心血管系统疾病相关专业医疗质量控制指标</w:t>
            </w:r>
          </w:p>
        </w:tc>
        <w:tc>
          <w:tcPr>
            <w:tcW w:w="1339" w:type="pct"/>
            <w:vAlign w:val="center"/>
          </w:tcPr>
          <w:p w14:paraId="0F29B5E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.1.1发病24小时内急性STEMI患者再灌注治疗率</w:t>
            </w:r>
          </w:p>
        </w:tc>
        <w:tc>
          <w:tcPr>
            <w:tcW w:w="1953" w:type="pct"/>
            <w:vAlign w:val="center"/>
          </w:tcPr>
          <w:p w14:paraId="686CA21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发病24小时内接受再灌注治疗的急性STEMI患者数，占同期发病24小时内急性STEMI患者总数的比例</w:t>
            </w:r>
          </w:p>
        </w:tc>
      </w:tr>
      <w:tr w14:paraId="63CA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9B81525">
            <w:pPr>
              <w:textAlignment w:val="center"/>
              <w:rPr>
                <w:rFonts w:ascii="仿宋" w:hAnsi="仿宋" w:eastAsia="仿宋" w:cs="仿宋"/>
                <w:color w:val="000000"/>
                <w:szCs w:val="21"/>
                <w:highlight w:val="none"/>
                <w:lang w:eastAsia="zh-CN"/>
              </w:rPr>
            </w:pPr>
          </w:p>
        </w:tc>
        <w:tc>
          <w:tcPr>
            <w:tcW w:w="974" w:type="pct"/>
            <w:vMerge w:val="continue"/>
            <w:vAlign w:val="center"/>
          </w:tcPr>
          <w:p w14:paraId="25B5DD4F">
            <w:pPr>
              <w:textAlignment w:val="center"/>
              <w:rPr>
                <w:rFonts w:ascii="仿宋" w:hAnsi="仿宋" w:eastAsia="仿宋" w:cs="仿宋"/>
                <w:color w:val="000000"/>
                <w:szCs w:val="21"/>
                <w:highlight w:val="none"/>
                <w:lang w:eastAsia="zh-CN"/>
              </w:rPr>
            </w:pPr>
          </w:p>
        </w:tc>
        <w:tc>
          <w:tcPr>
            <w:tcW w:w="1339" w:type="pct"/>
            <w:vAlign w:val="center"/>
          </w:tcPr>
          <w:p w14:paraId="7FC562B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1.2</w:t>
            </w:r>
            <w:r>
              <w:rPr>
                <w:rFonts w:ascii="仿宋" w:hAnsi="仿宋" w:eastAsia="仿宋" w:cs="仿宋"/>
                <w:color w:val="000000"/>
                <w:szCs w:val="21"/>
                <w:highlight w:val="none"/>
                <w:lang w:eastAsia="zh-CN"/>
              </w:rPr>
              <w:t>非瓣膜性心房颤动（房颤）患者血栓栓塞风险评估率</w:t>
            </w:r>
          </w:p>
        </w:tc>
        <w:tc>
          <w:tcPr>
            <w:tcW w:w="1953" w:type="pct"/>
            <w:vAlign w:val="center"/>
          </w:tcPr>
          <w:p w14:paraId="4ACE722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单位时间内，行血栓栓塞风险评估的非瓣膜性房颤患者数，占同期非瓣膜性房颤患者总数的比例。</w:t>
            </w:r>
          </w:p>
        </w:tc>
      </w:tr>
      <w:tr w14:paraId="36406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BE8DC91">
            <w:pPr>
              <w:textAlignment w:val="center"/>
              <w:rPr>
                <w:rFonts w:ascii="仿宋" w:hAnsi="仿宋" w:eastAsia="仿宋" w:cs="仿宋"/>
                <w:color w:val="000000"/>
                <w:szCs w:val="21"/>
                <w:highlight w:val="none"/>
                <w:lang w:eastAsia="zh-CN"/>
              </w:rPr>
            </w:pPr>
          </w:p>
        </w:tc>
        <w:tc>
          <w:tcPr>
            <w:tcW w:w="974" w:type="pct"/>
            <w:vMerge w:val="continue"/>
            <w:vAlign w:val="center"/>
          </w:tcPr>
          <w:p w14:paraId="5AB79375">
            <w:pPr>
              <w:textAlignment w:val="center"/>
              <w:rPr>
                <w:rFonts w:ascii="仿宋" w:hAnsi="仿宋" w:eastAsia="仿宋" w:cs="仿宋"/>
                <w:color w:val="000000"/>
                <w:szCs w:val="21"/>
                <w:highlight w:val="none"/>
                <w:lang w:eastAsia="zh-CN"/>
              </w:rPr>
            </w:pPr>
          </w:p>
        </w:tc>
        <w:tc>
          <w:tcPr>
            <w:tcW w:w="1339" w:type="pct"/>
            <w:vAlign w:val="center"/>
          </w:tcPr>
          <w:p w14:paraId="1F02271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心脏植入型电子器械（CIED）植入术严重并发症（住院死亡、导线脱位及心包填塞）发生率</w:t>
            </w:r>
          </w:p>
        </w:tc>
        <w:tc>
          <w:tcPr>
            <w:tcW w:w="1953" w:type="pct"/>
            <w:vAlign w:val="center"/>
          </w:tcPr>
          <w:p w14:paraId="5B52F37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单位时间内行心脏植入性装置治疗术中或术后发生严重并发症（住院死亡、心包填塞及导线脱位的患者数占同期行植入装置治疗的患者总数的比例。</w:t>
            </w:r>
          </w:p>
        </w:tc>
      </w:tr>
      <w:tr w14:paraId="2C9B4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C963957">
            <w:pPr>
              <w:textAlignment w:val="center"/>
              <w:rPr>
                <w:rFonts w:ascii="仿宋" w:hAnsi="仿宋" w:eastAsia="仿宋" w:cs="仿宋"/>
                <w:color w:val="000000"/>
                <w:szCs w:val="21"/>
                <w:highlight w:val="none"/>
                <w:lang w:eastAsia="zh-CN"/>
              </w:rPr>
            </w:pPr>
          </w:p>
        </w:tc>
        <w:tc>
          <w:tcPr>
            <w:tcW w:w="974" w:type="pct"/>
            <w:vMerge w:val="continue"/>
            <w:vAlign w:val="center"/>
          </w:tcPr>
          <w:p w14:paraId="40F307C7">
            <w:pPr>
              <w:textAlignment w:val="center"/>
              <w:rPr>
                <w:rFonts w:ascii="仿宋" w:hAnsi="仿宋" w:eastAsia="仿宋" w:cs="仿宋"/>
                <w:color w:val="000000"/>
                <w:szCs w:val="21"/>
                <w:highlight w:val="none"/>
                <w:lang w:eastAsia="zh-CN"/>
              </w:rPr>
            </w:pPr>
          </w:p>
        </w:tc>
        <w:tc>
          <w:tcPr>
            <w:tcW w:w="1339" w:type="pct"/>
            <w:vAlign w:val="center"/>
          </w:tcPr>
          <w:p w14:paraId="41B921F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10.1.4</w:t>
            </w:r>
            <w:r>
              <w:rPr>
                <w:rFonts w:ascii="仿宋" w:hAnsi="仿宋" w:eastAsia="仿宋" w:cs="仿宋"/>
                <w:color w:val="000000"/>
                <w:szCs w:val="21"/>
                <w:highlight w:val="none"/>
                <w:lang w:eastAsia="zh-CN"/>
              </w:rPr>
              <w:t>住院高血压患者出院血压达标率</w:t>
            </w:r>
          </w:p>
        </w:tc>
        <w:tc>
          <w:tcPr>
            <w:tcW w:w="1953" w:type="pct"/>
            <w:vAlign w:val="center"/>
          </w:tcPr>
          <w:p w14:paraId="3088706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单位时间内住院高血压患者出院时血压达标比例</w:t>
            </w:r>
            <w:r>
              <w:rPr>
                <w:rFonts w:hint="eastAsia" w:ascii="仿宋" w:hAnsi="仿宋" w:eastAsia="仿宋" w:cs="仿宋"/>
                <w:color w:val="000000"/>
                <w:szCs w:val="21"/>
                <w:highlight w:val="none"/>
                <w:lang w:eastAsia="zh-CN"/>
              </w:rPr>
              <w:t>。</w:t>
            </w:r>
          </w:p>
        </w:tc>
      </w:tr>
      <w:tr w14:paraId="1779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CD7FCBB">
            <w:pPr>
              <w:textAlignment w:val="center"/>
              <w:rPr>
                <w:rFonts w:ascii="仿宋" w:hAnsi="仿宋" w:eastAsia="仿宋" w:cs="仿宋"/>
                <w:color w:val="000000"/>
                <w:szCs w:val="21"/>
                <w:highlight w:val="none"/>
                <w:lang w:eastAsia="zh-CN"/>
              </w:rPr>
            </w:pPr>
          </w:p>
        </w:tc>
        <w:tc>
          <w:tcPr>
            <w:tcW w:w="974" w:type="pct"/>
            <w:vMerge w:val="continue"/>
            <w:vAlign w:val="center"/>
          </w:tcPr>
          <w:p w14:paraId="39664629">
            <w:pPr>
              <w:textAlignment w:val="center"/>
              <w:rPr>
                <w:rFonts w:ascii="仿宋" w:hAnsi="仿宋" w:eastAsia="仿宋" w:cs="仿宋"/>
                <w:color w:val="000000"/>
                <w:szCs w:val="21"/>
                <w:highlight w:val="none"/>
                <w:lang w:eastAsia="zh-CN"/>
              </w:rPr>
            </w:pPr>
          </w:p>
        </w:tc>
        <w:tc>
          <w:tcPr>
            <w:tcW w:w="1339" w:type="pct"/>
            <w:vAlign w:val="center"/>
          </w:tcPr>
          <w:p w14:paraId="5D82E792">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w:t>
            </w:r>
            <w:r>
              <w:rPr>
                <w:rFonts w:hint="eastAsia" w:ascii="仿宋" w:hAnsi="仿宋" w:eastAsia="仿宋" w:cs="仿宋"/>
                <w:color w:val="000000"/>
                <w:szCs w:val="21"/>
                <w:highlight w:val="none"/>
              </w:rPr>
              <w:t>10</w:t>
            </w:r>
            <w:r>
              <w:rPr>
                <w:rFonts w:ascii="仿宋" w:hAnsi="仿宋" w:eastAsia="仿宋" w:cs="仿宋"/>
                <w:color w:val="000000"/>
                <w:szCs w:val="21"/>
                <w:highlight w:val="none"/>
              </w:rPr>
              <w:t>.</w:t>
            </w:r>
            <w:r>
              <w:rPr>
                <w:rFonts w:hint="eastAsia" w:ascii="仿宋" w:hAnsi="仿宋" w:eastAsia="仿宋" w:cs="仿宋"/>
                <w:color w:val="000000"/>
                <w:szCs w:val="21"/>
                <w:highlight w:val="none"/>
              </w:rPr>
              <w:t>1.5</w:t>
            </w:r>
            <w:r>
              <w:rPr>
                <w:rFonts w:ascii="仿宋" w:hAnsi="仿宋" w:eastAsia="仿宋" w:cs="仿宋"/>
                <w:color w:val="000000"/>
                <w:szCs w:val="21"/>
                <w:highlight w:val="none"/>
              </w:rPr>
              <w:t>瓣膜手术住院死亡率</w:t>
            </w:r>
          </w:p>
        </w:tc>
        <w:tc>
          <w:tcPr>
            <w:tcW w:w="1953" w:type="pct"/>
            <w:vAlign w:val="center"/>
          </w:tcPr>
          <w:p w14:paraId="00BC409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单位时间内，行瓣膜手术住院期间死亡的患者数，占同期行瓣膜手术的患者总数的比例</w:t>
            </w:r>
            <w:r>
              <w:rPr>
                <w:rFonts w:hint="eastAsia" w:ascii="仿宋" w:hAnsi="仿宋" w:eastAsia="仿宋" w:cs="仿宋"/>
                <w:color w:val="000000"/>
                <w:szCs w:val="21"/>
                <w:highlight w:val="none"/>
                <w:lang w:eastAsia="zh-CN"/>
              </w:rPr>
              <w:t>。</w:t>
            </w:r>
          </w:p>
          <w:p w14:paraId="1F00EF5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瓣膜手术</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二尖瓣生物瓣膜置换术（保留瓣下结构）35.2300x002、二尖瓣生物瓣膜置换术35.2301、二尖瓣机械瓣膜置换术（保留瓣下结构）35.2400x002、二尖瓣机械瓣膜置换术35.2401、主动脉瓣生物瓣膜置换术35.2101、主动脉瓣机械瓣膜置换术35.2201</w:t>
            </w:r>
          </w:p>
        </w:tc>
      </w:tr>
      <w:tr w14:paraId="45015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9D4BB55">
            <w:pPr>
              <w:textAlignment w:val="center"/>
              <w:rPr>
                <w:rFonts w:ascii="仿宋" w:hAnsi="仿宋" w:eastAsia="仿宋" w:cs="仿宋"/>
                <w:color w:val="000000"/>
                <w:szCs w:val="21"/>
                <w:highlight w:val="none"/>
                <w:lang w:eastAsia="zh-CN"/>
              </w:rPr>
            </w:pPr>
          </w:p>
        </w:tc>
        <w:tc>
          <w:tcPr>
            <w:tcW w:w="974" w:type="pct"/>
            <w:vMerge w:val="continue"/>
            <w:vAlign w:val="center"/>
          </w:tcPr>
          <w:p w14:paraId="0F795671">
            <w:pPr>
              <w:textAlignment w:val="center"/>
              <w:rPr>
                <w:rFonts w:ascii="仿宋" w:hAnsi="仿宋" w:eastAsia="仿宋" w:cs="仿宋"/>
                <w:color w:val="000000"/>
                <w:szCs w:val="21"/>
                <w:highlight w:val="none"/>
                <w:lang w:eastAsia="zh-CN"/>
              </w:rPr>
            </w:pPr>
          </w:p>
        </w:tc>
        <w:tc>
          <w:tcPr>
            <w:tcW w:w="1339" w:type="pct"/>
            <w:vAlign w:val="center"/>
          </w:tcPr>
          <w:p w14:paraId="2C086F4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10.1.6</w:t>
            </w:r>
            <w:r>
              <w:rPr>
                <w:rFonts w:ascii="仿宋" w:hAnsi="仿宋" w:eastAsia="仿宋" w:cs="仿宋"/>
                <w:color w:val="000000"/>
                <w:szCs w:val="21"/>
                <w:highlight w:val="none"/>
                <w:lang w:eastAsia="zh-CN"/>
              </w:rPr>
              <w:t>单纯冠状动脉旁路移植术中乳内动脉血管桥使用率</w:t>
            </w:r>
          </w:p>
        </w:tc>
        <w:tc>
          <w:tcPr>
            <w:tcW w:w="1953" w:type="pct"/>
            <w:vAlign w:val="center"/>
          </w:tcPr>
          <w:p w14:paraId="5719F8E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单位时间内，行单纯冠状动脉旁路移植术中使用乳内动脉血管桥的患者，占同期行单纯冠状动脉旁路移植术的患者总数的比例。</w:t>
            </w:r>
          </w:p>
          <w:p w14:paraId="6CF4360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冠状动脉旁路移植术（单乳房内动脉-冠状动脉旁路移植36.1500、双乳房内动脉-冠状动脉旁路移植36.1600、一根冠状动脉的（主动脉）冠状动脉旁路移植36.1100、二根冠状动脉的（主动脉）冠状动脉旁路移植36.1200、三根冠状动脉的（主动脉）冠状动脉旁路移植36.1300、四根或以上冠状动脉的（主动脉）冠状动脉旁路移植36.1400）</w:t>
            </w:r>
          </w:p>
        </w:tc>
      </w:tr>
      <w:tr w14:paraId="7DB0D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13A1167">
            <w:pPr>
              <w:textAlignment w:val="center"/>
              <w:rPr>
                <w:rFonts w:ascii="仿宋" w:hAnsi="仿宋" w:eastAsia="仿宋" w:cs="仿宋"/>
                <w:color w:val="000000"/>
                <w:szCs w:val="21"/>
                <w:highlight w:val="none"/>
                <w:lang w:eastAsia="zh-CN"/>
              </w:rPr>
            </w:pPr>
          </w:p>
        </w:tc>
        <w:tc>
          <w:tcPr>
            <w:tcW w:w="974" w:type="pct"/>
            <w:vMerge w:val="continue"/>
            <w:vAlign w:val="center"/>
          </w:tcPr>
          <w:p w14:paraId="4AB11954">
            <w:pPr>
              <w:textAlignment w:val="center"/>
              <w:rPr>
                <w:rFonts w:ascii="仿宋" w:hAnsi="仿宋" w:eastAsia="仿宋" w:cs="仿宋"/>
                <w:color w:val="000000"/>
                <w:szCs w:val="21"/>
                <w:highlight w:val="none"/>
                <w:lang w:eastAsia="zh-CN"/>
              </w:rPr>
            </w:pPr>
          </w:p>
        </w:tc>
        <w:tc>
          <w:tcPr>
            <w:tcW w:w="1339" w:type="pct"/>
            <w:vAlign w:val="center"/>
          </w:tcPr>
          <w:p w14:paraId="03A5F19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10</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1.7</w:t>
            </w:r>
            <w:r>
              <w:rPr>
                <w:rFonts w:ascii="仿宋" w:hAnsi="仿宋" w:eastAsia="仿宋" w:cs="仿宋"/>
                <w:color w:val="000000"/>
                <w:szCs w:val="21"/>
                <w:highlight w:val="none"/>
                <w:lang w:eastAsia="zh-CN"/>
              </w:rPr>
              <w:t>主动脉腔内修复术后脑卒中发生率</w:t>
            </w:r>
          </w:p>
        </w:tc>
        <w:tc>
          <w:tcPr>
            <w:tcW w:w="1953" w:type="pct"/>
            <w:vAlign w:val="center"/>
          </w:tcPr>
          <w:p w14:paraId="2A66D79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单位时间内，行主动脉腔内修复术后发生脑卒中的患者数，占同期行主动脉腔内修复的患者总数的比例</w:t>
            </w:r>
            <w:r>
              <w:rPr>
                <w:rFonts w:hint="eastAsia" w:ascii="仿宋" w:hAnsi="仿宋" w:eastAsia="仿宋" w:cs="仿宋"/>
                <w:color w:val="000000"/>
                <w:szCs w:val="21"/>
                <w:highlight w:val="none"/>
                <w:lang w:eastAsia="zh-CN"/>
              </w:rPr>
              <w:t>。</w:t>
            </w:r>
          </w:p>
          <w:p w14:paraId="0F7B299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主动脉腔内修复术（胸主动脉覆膜支架置入术（腋-腋、腋-颈、腋-腋-颈）HYBRID</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复合手术39.7300x004、胸主动脉支架置入术39.7301、胸主动脉分支覆膜支架置入术39.7302、胸主动脉覆膜支架腔内隔绝术39.7303、胸主动脉开窗分支覆膜支架置入术39.7800x001）</w:t>
            </w:r>
          </w:p>
        </w:tc>
      </w:tr>
      <w:tr w14:paraId="13FC7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1F44C46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11</w:t>
            </w:r>
            <w:r>
              <w:rPr>
                <w:rFonts w:ascii="仿宋" w:hAnsi="仿宋" w:eastAsia="仿宋" w:cs="仿宋"/>
                <w:color w:val="000000"/>
                <w:szCs w:val="21"/>
                <w:highlight w:val="none"/>
                <w:lang w:eastAsia="zh-CN"/>
              </w:rPr>
              <w:t>超声诊断专业医疗质量控制指标</w:t>
            </w:r>
          </w:p>
        </w:tc>
        <w:tc>
          <w:tcPr>
            <w:tcW w:w="974" w:type="pct"/>
            <w:vMerge w:val="restart"/>
            <w:vAlign w:val="center"/>
          </w:tcPr>
          <w:p w14:paraId="181D70D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11.1</w:t>
            </w:r>
            <w:r>
              <w:rPr>
                <w:rFonts w:ascii="仿宋" w:hAnsi="仿宋" w:eastAsia="仿宋" w:cs="仿宋"/>
                <w:color w:val="000000"/>
                <w:szCs w:val="21"/>
                <w:highlight w:val="none"/>
                <w:lang w:eastAsia="zh-CN"/>
              </w:rPr>
              <w:t>超声诊断专业医疗质量控制指标</w:t>
            </w:r>
          </w:p>
        </w:tc>
        <w:tc>
          <w:tcPr>
            <w:tcW w:w="1339" w:type="pct"/>
            <w:vAlign w:val="center"/>
          </w:tcPr>
          <w:p w14:paraId="2A6851C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11</w:t>
            </w:r>
            <w:r>
              <w:rPr>
                <w:rFonts w:ascii="仿宋" w:hAnsi="仿宋" w:eastAsia="仿宋" w:cs="仿宋"/>
                <w:color w:val="000000"/>
                <w:szCs w:val="21"/>
                <w:highlight w:val="none"/>
                <w:lang w:eastAsia="zh-CN"/>
              </w:rPr>
              <w:t>.1.1住院超声检查48小时内完成率</w:t>
            </w:r>
          </w:p>
        </w:tc>
        <w:tc>
          <w:tcPr>
            <w:tcW w:w="1953" w:type="pct"/>
            <w:vAlign w:val="center"/>
          </w:tcPr>
          <w:p w14:paraId="4E14063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单位时间内，在临床开具住院超声检查申请48小时内完成检查并出具超声检查报告的例数，占同期临床开具住院超声检查申请单总数的比例。</w:t>
            </w:r>
          </w:p>
        </w:tc>
      </w:tr>
      <w:tr w14:paraId="780FA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36A1154">
            <w:pPr>
              <w:textAlignment w:val="center"/>
              <w:rPr>
                <w:rFonts w:ascii="仿宋" w:hAnsi="仿宋" w:eastAsia="仿宋" w:cs="仿宋"/>
                <w:color w:val="000000"/>
                <w:szCs w:val="21"/>
                <w:highlight w:val="none"/>
                <w:lang w:eastAsia="zh-CN"/>
              </w:rPr>
            </w:pPr>
          </w:p>
        </w:tc>
        <w:tc>
          <w:tcPr>
            <w:tcW w:w="974" w:type="pct"/>
            <w:vMerge w:val="continue"/>
            <w:vAlign w:val="center"/>
          </w:tcPr>
          <w:p w14:paraId="5E55A702">
            <w:pPr>
              <w:textAlignment w:val="center"/>
              <w:rPr>
                <w:rFonts w:ascii="仿宋" w:hAnsi="仿宋" w:eastAsia="仿宋" w:cs="仿宋"/>
                <w:color w:val="000000"/>
                <w:szCs w:val="21"/>
                <w:highlight w:val="none"/>
                <w:lang w:eastAsia="zh-CN"/>
              </w:rPr>
            </w:pPr>
          </w:p>
        </w:tc>
        <w:tc>
          <w:tcPr>
            <w:tcW w:w="1339" w:type="pct"/>
            <w:vAlign w:val="center"/>
          </w:tcPr>
          <w:p w14:paraId="414DBB29">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w:t>
            </w:r>
            <w:r>
              <w:rPr>
                <w:rFonts w:hint="eastAsia" w:ascii="仿宋" w:hAnsi="仿宋" w:eastAsia="仿宋" w:cs="仿宋"/>
                <w:color w:val="000000"/>
                <w:szCs w:val="21"/>
                <w:highlight w:val="none"/>
              </w:rPr>
              <w:t>11.1.2</w:t>
            </w:r>
            <w:r>
              <w:rPr>
                <w:rFonts w:ascii="仿宋" w:hAnsi="仿宋" w:eastAsia="仿宋" w:cs="仿宋"/>
                <w:color w:val="000000"/>
                <w:szCs w:val="21"/>
                <w:highlight w:val="none"/>
              </w:rPr>
              <w:t>超声报告书写合格率</w:t>
            </w:r>
          </w:p>
        </w:tc>
        <w:tc>
          <w:tcPr>
            <w:tcW w:w="1953" w:type="pct"/>
            <w:vAlign w:val="center"/>
          </w:tcPr>
          <w:p w14:paraId="55C075A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单位时间内，超声检查报告书写合格的数量，占同期超声检查报告总数的比例</w:t>
            </w:r>
            <w:r>
              <w:rPr>
                <w:rFonts w:hint="eastAsia" w:ascii="仿宋" w:hAnsi="仿宋" w:eastAsia="仿宋" w:cs="仿宋"/>
                <w:color w:val="000000"/>
                <w:szCs w:val="21"/>
                <w:highlight w:val="none"/>
                <w:lang w:eastAsia="zh-CN"/>
              </w:rPr>
              <w:t>。</w:t>
            </w:r>
          </w:p>
        </w:tc>
      </w:tr>
      <w:tr w14:paraId="7F648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0666DFC">
            <w:pPr>
              <w:textAlignment w:val="center"/>
              <w:rPr>
                <w:rFonts w:ascii="仿宋" w:hAnsi="仿宋" w:eastAsia="仿宋" w:cs="仿宋"/>
                <w:color w:val="000000"/>
                <w:szCs w:val="21"/>
                <w:highlight w:val="none"/>
                <w:lang w:eastAsia="zh-CN"/>
              </w:rPr>
            </w:pPr>
          </w:p>
        </w:tc>
        <w:tc>
          <w:tcPr>
            <w:tcW w:w="974" w:type="pct"/>
            <w:vMerge w:val="continue"/>
            <w:vAlign w:val="center"/>
          </w:tcPr>
          <w:p w14:paraId="50DEA46D">
            <w:pPr>
              <w:textAlignment w:val="center"/>
              <w:rPr>
                <w:rFonts w:ascii="仿宋" w:hAnsi="仿宋" w:eastAsia="仿宋" w:cs="仿宋"/>
                <w:color w:val="000000"/>
                <w:szCs w:val="21"/>
                <w:highlight w:val="none"/>
                <w:lang w:eastAsia="zh-CN"/>
              </w:rPr>
            </w:pPr>
          </w:p>
        </w:tc>
        <w:tc>
          <w:tcPr>
            <w:tcW w:w="1339" w:type="pct"/>
            <w:vAlign w:val="center"/>
          </w:tcPr>
          <w:p w14:paraId="752FB04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11.1.3</w:t>
            </w:r>
            <w:r>
              <w:rPr>
                <w:rFonts w:ascii="仿宋" w:hAnsi="仿宋" w:eastAsia="仿宋" w:cs="仿宋"/>
                <w:color w:val="000000"/>
                <w:szCs w:val="21"/>
                <w:highlight w:val="none"/>
                <w:lang w:eastAsia="zh-CN"/>
              </w:rPr>
              <w:t>乳腺病变超声报告进行乳腺影像报告和数据系统（BIRADS）分类率</w:t>
            </w:r>
          </w:p>
        </w:tc>
        <w:tc>
          <w:tcPr>
            <w:tcW w:w="1953" w:type="pct"/>
            <w:vAlign w:val="center"/>
          </w:tcPr>
          <w:p w14:paraId="706883F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单位时间内，进行BI-RADS分类的乳腺病变超声报告数，占同期乳腺病变超声报告总数的比例。</w:t>
            </w:r>
          </w:p>
        </w:tc>
      </w:tr>
      <w:tr w14:paraId="3AF7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6308292">
            <w:pPr>
              <w:textAlignment w:val="center"/>
              <w:rPr>
                <w:rFonts w:ascii="仿宋" w:hAnsi="仿宋" w:eastAsia="仿宋" w:cs="仿宋"/>
                <w:color w:val="000000"/>
                <w:szCs w:val="21"/>
                <w:highlight w:val="none"/>
                <w:lang w:eastAsia="zh-CN"/>
              </w:rPr>
            </w:pPr>
          </w:p>
        </w:tc>
        <w:tc>
          <w:tcPr>
            <w:tcW w:w="974" w:type="pct"/>
            <w:vMerge w:val="continue"/>
            <w:vAlign w:val="center"/>
          </w:tcPr>
          <w:p w14:paraId="132EEAB8">
            <w:pPr>
              <w:textAlignment w:val="center"/>
              <w:rPr>
                <w:rFonts w:ascii="仿宋" w:hAnsi="仿宋" w:eastAsia="仿宋" w:cs="仿宋"/>
                <w:color w:val="000000"/>
                <w:szCs w:val="21"/>
                <w:highlight w:val="none"/>
                <w:lang w:eastAsia="zh-CN"/>
              </w:rPr>
            </w:pPr>
          </w:p>
        </w:tc>
        <w:tc>
          <w:tcPr>
            <w:tcW w:w="1339" w:type="pct"/>
            <w:vAlign w:val="center"/>
          </w:tcPr>
          <w:p w14:paraId="11CEA667">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w:t>
            </w:r>
            <w:r>
              <w:rPr>
                <w:rFonts w:hint="eastAsia" w:ascii="仿宋" w:hAnsi="仿宋" w:eastAsia="仿宋" w:cs="仿宋"/>
                <w:color w:val="000000"/>
                <w:szCs w:val="21"/>
                <w:highlight w:val="none"/>
              </w:rPr>
              <w:t>11.1.4</w:t>
            </w:r>
            <w:r>
              <w:rPr>
                <w:rFonts w:ascii="仿宋" w:hAnsi="仿宋" w:eastAsia="仿宋" w:cs="仿宋"/>
                <w:color w:val="000000"/>
                <w:szCs w:val="21"/>
                <w:highlight w:val="none"/>
              </w:rPr>
              <w:t>超声诊断符合率</w:t>
            </w:r>
          </w:p>
        </w:tc>
        <w:tc>
          <w:tcPr>
            <w:tcW w:w="1953" w:type="pct"/>
            <w:vAlign w:val="center"/>
          </w:tcPr>
          <w:p w14:paraId="2DE9A57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单位时间内，超声诊断与病理或临床诊断符合的例数占同期超声诊断有对应病理或临床诊断的总例数的比例。</w:t>
            </w:r>
          </w:p>
        </w:tc>
      </w:tr>
      <w:tr w14:paraId="15257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5548B3D">
            <w:pPr>
              <w:textAlignment w:val="center"/>
              <w:rPr>
                <w:rFonts w:ascii="仿宋" w:hAnsi="仿宋" w:eastAsia="仿宋" w:cs="仿宋"/>
                <w:color w:val="000000"/>
                <w:szCs w:val="21"/>
                <w:highlight w:val="none"/>
                <w:lang w:eastAsia="zh-CN"/>
              </w:rPr>
            </w:pPr>
          </w:p>
        </w:tc>
        <w:tc>
          <w:tcPr>
            <w:tcW w:w="974" w:type="pct"/>
            <w:vMerge w:val="continue"/>
            <w:vAlign w:val="center"/>
          </w:tcPr>
          <w:p w14:paraId="57443D87">
            <w:pPr>
              <w:textAlignment w:val="center"/>
              <w:rPr>
                <w:rFonts w:ascii="仿宋" w:hAnsi="仿宋" w:eastAsia="仿宋" w:cs="仿宋"/>
                <w:color w:val="000000"/>
                <w:szCs w:val="21"/>
                <w:highlight w:val="none"/>
                <w:lang w:eastAsia="zh-CN"/>
              </w:rPr>
            </w:pPr>
          </w:p>
        </w:tc>
        <w:tc>
          <w:tcPr>
            <w:tcW w:w="1339" w:type="pct"/>
            <w:vAlign w:val="center"/>
          </w:tcPr>
          <w:p w14:paraId="70CFA5C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11.1.5卵巢-附件病变超声报告O-RADS分类率</w:t>
            </w:r>
          </w:p>
        </w:tc>
        <w:tc>
          <w:tcPr>
            <w:tcW w:w="1953" w:type="pct"/>
            <w:vAlign w:val="center"/>
          </w:tcPr>
          <w:p w14:paraId="7E35629A">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单位时间内，进行O-RADS分类的卵巢-附件病变超声报告数，占同期卵巢-附件超声报告总数的比例。</w:t>
            </w:r>
          </w:p>
        </w:tc>
      </w:tr>
      <w:tr w14:paraId="6A28E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13FEBB1">
            <w:pPr>
              <w:textAlignment w:val="center"/>
              <w:rPr>
                <w:rFonts w:ascii="仿宋" w:hAnsi="仿宋" w:eastAsia="仿宋" w:cs="仿宋"/>
                <w:color w:val="000000"/>
                <w:szCs w:val="21"/>
                <w:highlight w:val="none"/>
                <w:lang w:eastAsia="zh-CN"/>
              </w:rPr>
            </w:pPr>
          </w:p>
        </w:tc>
        <w:tc>
          <w:tcPr>
            <w:tcW w:w="974" w:type="pct"/>
            <w:vMerge w:val="continue"/>
            <w:vAlign w:val="center"/>
          </w:tcPr>
          <w:p w14:paraId="208B88E1">
            <w:pPr>
              <w:textAlignment w:val="center"/>
              <w:rPr>
                <w:rFonts w:ascii="仿宋" w:hAnsi="仿宋" w:eastAsia="仿宋" w:cs="仿宋"/>
                <w:color w:val="000000"/>
                <w:szCs w:val="21"/>
                <w:highlight w:val="none"/>
                <w:lang w:eastAsia="zh-CN"/>
              </w:rPr>
            </w:pPr>
          </w:p>
        </w:tc>
        <w:tc>
          <w:tcPr>
            <w:tcW w:w="1339" w:type="pct"/>
            <w:vAlign w:val="center"/>
          </w:tcPr>
          <w:p w14:paraId="00E3AB2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11.1.6</w:t>
            </w:r>
            <w:r>
              <w:rPr>
                <w:rFonts w:ascii="仿宋" w:hAnsi="仿宋" w:eastAsia="仿宋" w:cs="仿宋"/>
                <w:color w:val="000000"/>
                <w:szCs w:val="21"/>
                <w:highlight w:val="none"/>
                <w:lang w:eastAsia="zh-CN"/>
              </w:rPr>
              <w:t>超声介入相关主要并发症发生率</w:t>
            </w:r>
          </w:p>
        </w:tc>
        <w:tc>
          <w:tcPr>
            <w:tcW w:w="1953" w:type="pct"/>
            <w:vAlign w:val="center"/>
          </w:tcPr>
          <w:p w14:paraId="2BFC407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单位时间内，超声介入相关主要并发症发生的例数，占同期超声介入总例数的百分比。</w:t>
            </w:r>
          </w:p>
        </w:tc>
      </w:tr>
      <w:tr w14:paraId="154E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6F34A2B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2</w:t>
            </w:r>
            <w:r>
              <w:rPr>
                <w:rFonts w:ascii="仿宋" w:hAnsi="仿宋" w:eastAsia="仿宋" w:cs="仿宋"/>
                <w:color w:val="000000"/>
                <w:szCs w:val="21"/>
                <w:highlight w:val="none"/>
                <w:lang w:eastAsia="zh-CN"/>
              </w:rPr>
              <w:t>康复医学专业医疗质量控制指标</w:t>
            </w:r>
          </w:p>
        </w:tc>
        <w:tc>
          <w:tcPr>
            <w:tcW w:w="974" w:type="pct"/>
            <w:vMerge w:val="restart"/>
            <w:vAlign w:val="center"/>
          </w:tcPr>
          <w:p w14:paraId="4E5ECC8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2</w:t>
            </w:r>
            <w:r>
              <w:rPr>
                <w:rFonts w:ascii="仿宋" w:hAnsi="仿宋" w:eastAsia="仿宋" w:cs="仿宋"/>
                <w:color w:val="000000"/>
                <w:szCs w:val="21"/>
                <w:highlight w:val="none"/>
                <w:lang w:eastAsia="zh-CN"/>
              </w:rPr>
              <w:t>康复医学专业医疗质量控制指标</w:t>
            </w:r>
          </w:p>
        </w:tc>
        <w:tc>
          <w:tcPr>
            <w:tcW w:w="1339" w:type="pct"/>
            <w:vAlign w:val="center"/>
          </w:tcPr>
          <w:p w14:paraId="22E4ECE3">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2</w:t>
            </w:r>
            <w:r>
              <w:rPr>
                <w:rFonts w:ascii="仿宋" w:hAnsi="仿宋" w:eastAsia="仿宋" w:cs="仿宋"/>
                <w:color w:val="000000"/>
                <w:szCs w:val="21"/>
                <w:highlight w:val="none"/>
              </w:rPr>
              <w:t>.1.1住院患者早期康复介入率</w:t>
            </w:r>
          </w:p>
        </w:tc>
        <w:tc>
          <w:tcPr>
            <w:tcW w:w="1953" w:type="pct"/>
            <w:vAlign w:val="center"/>
          </w:tcPr>
          <w:p w14:paraId="78D496C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单位时间内，接受早期康复介入的住院患者数占同期住院康复治疗患者总数的比例。</w:t>
            </w:r>
          </w:p>
        </w:tc>
      </w:tr>
      <w:tr w14:paraId="016A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F559756">
            <w:pPr>
              <w:textAlignment w:val="center"/>
              <w:rPr>
                <w:rFonts w:ascii="仿宋" w:hAnsi="仿宋" w:eastAsia="仿宋" w:cs="仿宋"/>
                <w:color w:val="000000"/>
                <w:szCs w:val="21"/>
                <w:highlight w:val="none"/>
                <w:lang w:eastAsia="zh-CN"/>
              </w:rPr>
            </w:pPr>
          </w:p>
        </w:tc>
        <w:tc>
          <w:tcPr>
            <w:tcW w:w="974" w:type="pct"/>
            <w:vMerge w:val="continue"/>
            <w:vAlign w:val="center"/>
          </w:tcPr>
          <w:p w14:paraId="1FCD6217">
            <w:pPr>
              <w:textAlignment w:val="center"/>
              <w:rPr>
                <w:rFonts w:ascii="仿宋" w:hAnsi="仿宋" w:eastAsia="仿宋" w:cs="仿宋"/>
                <w:color w:val="000000"/>
                <w:szCs w:val="21"/>
                <w:highlight w:val="none"/>
                <w:lang w:eastAsia="zh-CN"/>
              </w:rPr>
            </w:pPr>
          </w:p>
        </w:tc>
        <w:tc>
          <w:tcPr>
            <w:tcW w:w="1339" w:type="pct"/>
            <w:vAlign w:val="center"/>
          </w:tcPr>
          <w:p w14:paraId="747F8E59">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2</w:t>
            </w:r>
            <w:r>
              <w:rPr>
                <w:rFonts w:ascii="仿宋" w:hAnsi="仿宋" w:eastAsia="仿宋" w:cs="仿宋"/>
                <w:color w:val="000000"/>
                <w:szCs w:val="21"/>
                <w:highlight w:val="none"/>
              </w:rPr>
              <w:t>.</w:t>
            </w:r>
            <w:r>
              <w:rPr>
                <w:rFonts w:hint="eastAsia" w:ascii="仿宋" w:hAnsi="仿宋" w:eastAsia="仿宋" w:cs="仿宋"/>
                <w:color w:val="000000"/>
                <w:szCs w:val="21"/>
                <w:highlight w:val="none"/>
              </w:rPr>
              <w:t>1.2</w:t>
            </w:r>
            <w:r>
              <w:rPr>
                <w:rFonts w:ascii="仿宋" w:hAnsi="仿宋" w:eastAsia="仿宋" w:cs="仿宋"/>
                <w:color w:val="000000"/>
                <w:szCs w:val="21"/>
                <w:highlight w:val="none"/>
              </w:rPr>
              <w:t>住院患者功能评定率</w:t>
            </w:r>
          </w:p>
        </w:tc>
        <w:tc>
          <w:tcPr>
            <w:tcW w:w="1953" w:type="pct"/>
            <w:vAlign w:val="center"/>
          </w:tcPr>
          <w:p w14:paraId="1B2A3FE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单位时间内，住院患者功能评定人数占同期住院康复治疗患者总数的比例</w:t>
            </w:r>
            <w:r>
              <w:rPr>
                <w:rFonts w:hint="eastAsia" w:ascii="仿宋" w:hAnsi="仿宋" w:eastAsia="仿宋" w:cs="仿宋"/>
                <w:color w:val="000000"/>
                <w:szCs w:val="21"/>
                <w:highlight w:val="none"/>
                <w:lang w:eastAsia="zh-CN"/>
              </w:rPr>
              <w:t>。</w:t>
            </w:r>
          </w:p>
        </w:tc>
      </w:tr>
      <w:tr w14:paraId="3BD5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503C74D">
            <w:pPr>
              <w:textAlignment w:val="center"/>
              <w:rPr>
                <w:rFonts w:ascii="仿宋" w:hAnsi="仿宋" w:eastAsia="仿宋" w:cs="仿宋"/>
                <w:color w:val="000000"/>
                <w:szCs w:val="21"/>
                <w:highlight w:val="none"/>
                <w:lang w:eastAsia="zh-CN"/>
              </w:rPr>
            </w:pPr>
          </w:p>
        </w:tc>
        <w:tc>
          <w:tcPr>
            <w:tcW w:w="974" w:type="pct"/>
            <w:vMerge w:val="continue"/>
            <w:vAlign w:val="center"/>
          </w:tcPr>
          <w:p w14:paraId="2D5CDB85">
            <w:pPr>
              <w:textAlignment w:val="center"/>
              <w:rPr>
                <w:rFonts w:ascii="仿宋" w:hAnsi="仿宋" w:eastAsia="仿宋" w:cs="仿宋"/>
                <w:color w:val="000000"/>
                <w:szCs w:val="21"/>
                <w:highlight w:val="none"/>
                <w:lang w:eastAsia="zh-CN"/>
              </w:rPr>
            </w:pPr>
          </w:p>
        </w:tc>
        <w:tc>
          <w:tcPr>
            <w:tcW w:w="1339" w:type="pct"/>
            <w:vAlign w:val="center"/>
          </w:tcPr>
          <w:p w14:paraId="13E3B407">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2</w:t>
            </w:r>
            <w:r>
              <w:rPr>
                <w:rFonts w:ascii="仿宋" w:hAnsi="仿宋" w:eastAsia="仿宋" w:cs="仿宋"/>
                <w:color w:val="000000"/>
                <w:szCs w:val="21"/>
                <w:highlight w:val="none"/>
              </w:rPr>
              <w:t>.</w:t>
            </w:r>
            <w:r>
              <w:rPr>
                <w:rFonts w:hint="eastAsia" w:ascii="仿宋" w:hAnsi="仿宋" w:eastAsia="仿宋" w:cs="仿宋"/>
                <w:color w:val="000000"/>
                <w:szCs w:val="21"/>
                <w:highlight w:val="none"/>
              </w:rPr>
              <w:t>1.3</w:t>
            </w:r>
            <w:r>
              <w:rPr>
                <w:rFonts w:ascii="仿宋" w:hAnsi="仿宋" w:eastAsia="仿宋" w:cs="仿宋"/>
                <w:color w:val="000000"/>
                <w:szCs w:val="21"/>
                <w:highlight w:val="none"/>
              </w:rPr>
              <w:t>出院患者治疗有效率</w:t>
            </w:r>
          </w:p>
        </w:tc>
        <w:tc>
          <w:tcPr>
            <w:tcW w:w="1953" w:type="pct"/>
            <w:vAlign w:val="center"/>
          </w:tcPr>
          <w:p w14:paraId="48B6347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单位时间内，功能障碍指标改善率</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50%的总人数占出院人数的比例。以入院录功能诊断的功能障碍指标改善率作为评判转归标准，如果涉及多个功能障碍，则以第一功能障碍作为评估对象。</w:t>
            </w:r>
          </w:p>
        </w:tc>
      </w:tr>
      <w:tr w14:paraId="3B2D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4F64F8A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3</w:t>
            </w:r>
            <w:r>
              <w:rPr>
                <w:rFonts w:ascii="仿宋" w:hAnsi="仿宋" w:eastAsia="仿宋" w:cs="仿宋"/>
                <w:color w:val="000000"/>
                <w:szCs w:val="21"/>
                <w:highlight w:val="none"/>
                <w:lang w:eastAsia="zh-CN"/>
              </w:rPr>
              <w:t>临床营养专业医疗质量控制指标</w:t>
            </w:r>
          </w:p>
        </w:tc>
        <w:tc>
          <w:tcPr>
            <w:tcW w:w="974" w:type="pct"/>
            <w:vMerge w:val="restart"/>
            <w:vAlign w:val="center"/>
          </w:tcPr>
          <w:p w14:paraId="08564D9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3</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1临床营养专业医疗质量控制指标</w:t>
            </w:r>
          </w:p>
        </w:tc>
        <w:tc>
          <w:tcPr>
            <w:tcW w:w="1339" w:type="pct"/>
            <w:vAlign w:val="center"/>
          </w:tcPr>
          <w:p w14:paraId="2B98910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.1.1住院患者营养风险筛查率</w:t>
            </w:r>
          </w:p>
        </w:tc>
        <w:tc>
          <w:tcPr>
            <w:tcW w:w="1953" w:type="pct"/>
            <w:vAlign w:val="center"/>
          </w:tcPr>
          <w:p w14:paraId="0B8F8DA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完成营养风险筛查住院患者数占同期住院患者总数的比例。</w:t>
            </w:r>
          </w:p>
        </w:tc>
      </w:tr>
      <w:tr w14:paraId="0869C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75395B9">
            <w:pPr>
              <w:textAlignment w:val="center"/>
              <w:rPr>
                <w:rFonts w:ascii="仿宋" w:hAnsi="仿宋" w:eastAsia="仿宋" w:cs="仿宋"/>
                <w:color w:val="000000"/>
                <w:szCs w:val="21"/>
                <w:highlight w:val="none"/>
                <w:lang w:eastAsia="zh-CN"/>
              </w:rPr>
            </w:pPr>
          </w:p>
        </w:tc>
        <w:tc>
          <w:tcPr>
            <w:tcW w:w="974" w:type="pct"/>
            <w:vMerge w:val="continue"/>
            <w:vAlign w:val="center"/>
          </w:tcPr>
          <w:p w14:paraId="10A8C6B8">
            <w:pPr>
              <w:textAlignment w:val="center"/>
              <w:rPr>
                <w:rFonts w:ascii="仿宋" w:hAnsi="仿宋" w:eastAsia="仿宋" w:cs="仿宋"/>
                <w:color w:val="000000"/>
                <w:szCs w:val="21"/>
                <w:highlight w:val="none"/>
                <w:lang w:eastAsia="zh-CN"/>
              </w:rPr>
            </w:pPr>
          </w:p>
        </w:tc>
        <w:tc>
          <w:tcPr>
            <w:tcW w:w="1339" w:type="pct"/>
            <w:vAlign w:val="center"/>
          </w:tcPr>
          <w:p w14:paraId="1AB071CE">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3</w:t>
            </w:r>
            <w:r>
              <w:rPr>
                <w:rFonts w:ascii="仿宋" w:hAnsi="仿宋" w:eastAsia="仿宋" w:cs="仿宋"/>
                <w:color w:val="000000"/>
                <w:szCs w:val="21"/>
                <w:highlight w:val="none"/>
              </w:rPr>
              <w:t>.</w:t>
            </w:r>
            <w:r>
              <w:rPr>
                <w:rFonts w:hint="eastAsia" w:ascii="仿宋" w:hAnsi="仿宋" w:eastAsia="仿宋" w:cs="仿宋"/>
                <w:color w:val="000000"/>
                <w:szCs w:val="21"/>
                <w:highlight w:val="none"/>
              </w:rPr>
              <w:t>1.2</w:t>
            </w:r>
            <w:r>
              <w:rPr>
                <w:rFonts w:ascii="仿宋" w:hAnsi="仿宋" w:eastAsia="仿宋" w:cs="仿宋"/>
                <w:color w:val="000000"/>
                <w:szCs w:val="21"/>
                <w:highlight w:val="none"/>
              </w:rPr>
              <w:t>住院患者营养评估率</w:t>
            </w:r>
          </w:p>
        </w:tc>
        <w:tc>
          <w:tcPr>
            <w:tcW w:w="1953" w:type="pct"/>
            <w:vAlign w:val="center"/>
          </w:tcPr>
          <w:p w14:paraId="3A71494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完成营养评估住院患者数占同期住院患者总数的比例。</w:t>
            </w:r>
          </w:p>
        </w:tc>
      </w:tr>
      <w:tr w14:paraId="382B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DF1416B">
            <w:pPr>
              <w:textAlignment w:val="center"/>
              <w:rPr>
                <w:rFonts w:ascii="仿宋" w:hAnsi="仿宋" w:eastAsia="仿宋" w:cs="仿宋"/>
                <w:color w:val="000000"/>
                <w:szCs w:val="21"/>
                <w:highlight w:val="none"/>
                <w:lang w:eastAsia="zh-CN"/>
              </w:rPr>
            </w:pPr>
          </w:p>
        </w:tc>
        <w:tc>
          <w:tcPr>
            <w:tcW w:w="974" w:type="pct"/>
            <w:vMerge w:val="continue"/>
            <w:vAlign w:val="center"/>
          </w:tcPr>
          <w:p w14:paraId="2CF120C8">
            <w:pPr>
              <w:textAlignment w:val="center"/>
              <w:rPr>
                <w:rFonts w:ascii="仿宋" w:hAnsi="仿宋" w:eastAsia="仿宋" w:cs="仿宋"/>
                <w:color w:val="000000"/>
                <w:szCs w:val="21"/>
                <w:highlight w:val="none"/>
                <w:lang w:eastAsia="zh-CN"/>
              </w:rPr>
            </w:pPr>
          </w:p>
        </w:tc>
        <w:tc>
          <w:tcPr>
            <w:tcW w:w="1339" w:type="pct"/>
            <w:vAlign w:val="center"/>
          </w:tcPr>
          <w:p w14:paraId="2617AA5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3</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住院营养风险患者营养治疗率</w:t>
            </w:r>
          </w:p>
        </w:tc>
        <w:tc>
          <w:tcPr>
            <w:tcW w:w="1953" w:type="pct"/>
            <w:vAlign w:val="center"/>
          </w:tcPr>
          <w:p w14:paraId="240A168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经营养风险筛查，存在营养风险并接受营养治疗的住院患者数占同期存在营养风险住院患者总数的比例。</w:t>
            </w:r>
          </w:p>
        </w:tc>
      </w:tr>
      <w:tr w14:paraId="48F5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2EE2341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麻醉专业医疗质量控制指标</w:t>
            </w:r>
          </w:p>
        </w:tc>
        <w:tc>
          <w:tcPr>
            <w:tcW w:w="974" w:type="pct"/>
            <w:vMerge w:val="restart"/>
            <w:vAlign w:val="center"/>
          </w:tcPr>
          <w:p w14:paraId="37C094D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麻醉专业医疗质量控制指标</w:t>
            </w:r>
          </w:p>
        </w:tc>
        <w:tc>
          <w:tcPr>
            <w:tcW w:w="1339" w:type="pct"/>
            <w:vAlign w:val="center"/>
          </w:tcPr>
          <w:p w14:paraId="5B2A761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.1.1麻醉后麻醉相关严重并发症发生率</w:t>
            </w:r>
          </w:p>
        </w:tc>
        <w:tc>
          <w:tcPr>
            <w:tcW w:w="1953" w:type="pct"/>
            <w:vAlign w:val="center"/>
          </w:tcPr>
          <w:p w14:paraId="55289E9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麻醉后麻醉相关严重并发症发生例数占同期麻醉总例数的比例。</w:t>
            </w:r>
          </w:p>
          <w:p w14:paraId="66FD211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包括严重过敏反应、区域阻滞麻醉后严重神经并发症、深静脉穿刺严重并发症、术中牙齿损伤、严重反流误吸、全麻术中知晓、麻醉后心肌梗塞、麻醉后新发昏迷、麻醉后肺栓塞等。</w:t>
            </w:r>
          </w:p>
        </w:tc>
      </w:tr>
      <w:tr w14:paraId="7831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4150FDE">
            <w:pPr>
              <w:textAlignment w:val="center"/>
              <w:rPr>
                <w:rFonts w:ascii="仿宋" w:hAnsi="仿宋" w:eastAsia="仿宋" w:cs="仿宋"/>
                <w:color w:val="000000"/>
                <w:szCs w:val="21"/>
                <w:highlight w:val="none"/>
                <w:lang w:eastAsia="zh-CN"/>
              </w:rPr>
            </w:pPr>
          </w:p>
        </w:tc>
        <w:tc>
          <w:tcPr>
            <w:tcW w:w="974" w:type="pct"/>
            <w:vMerge w:val="continue"/>
            <w:vAlign w:val="center"/>
          </w:tcPr>
          <w:p w14:paraId="1EBC92DC">
            <w:pPr>
              <w:textAlignment w:val="center"/>
              <w:rPr>
                <w:rFonts w:ascii="仿宋" w:hAnsi="仿宋" w:eastAsia="仿宋" w:cs="仿宋"/>
                <w:color w:val="000000"/>
                <w:szCs w:val="21"/>
                <w:highlight w:val="none"/>
                <w:lang w:eastAsia="zh-CN"/>
              </w:rPr>
            </w:pPr>
          </w:p>
        </w:tc>
        <w:tc>
          <w:tcPr>
            <w:tcW w:w="1339" w:type="pct"/>
            <w:vAlign w:val="center"/>
          </w:tcPr>
          <w:p w14:paraId="3E95109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1.2</w:t>
            </w:r>
            <w:r>
              <w:rPr>
                <w:rFonts w:ascii="仿宋" w:hAnsi="仿宋" w:eastAsia="仿宋" w:cs="仿宋"/>
                <w:color w:val="000000"/>
                <w:szCs w:val="21"/>
                <w:highlight w:val="none"/>
                <w:lang w:eastAsia="zh-CN"/>
              </w:rPr>
              <w:t>麻醉后PACU苏醒延迟率</w:t>
            </w:r>
          </w:p>
        </w:tc>
        <w:tc>
          <w:tcPr>
            <w:tcW w:w="1953" w:type="pct"/>
            <w:vAlign w:val="center"/>
          </w:tcPr>
          <w:p w14:paraId="0E7E897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单位时间内，入PACU超过2小时的患者数占同期入PACU患者总数的比例。</w:t>
            </w:r>
          </w:p>
        </w:tc>
      </w:tr>
      <w:tr w14:paraId="33B8D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58FBF83">
            <w:pPr>
              <w:textAlignment w:val="center"/>
              <w:rPr>
                <w:rFonts w:ascii="仿宋" w:hAnsi="仿宋" w:eastAsia="仿宋" w:cs="仿宋"/>
                <w:color w:val="000000"/>
                <w:szCs w:val="21"/>
                <w:highlight w:val="none"/>
                <w:lang w:eastAsia="zh-CN"/>
              </w:rPr>
            </w:pPr>
          </w:p>
        </w:tc>
        <w:tc>
          <w:tcPr>
            <w:tcW w:w="974" w:type="pct"/>
            <w:vMerge w:val="continue"/>
            <w:vAlign w:val="center"/>
          </w:tcPr>
          <w:p w14:paraId="093F2B3C">
            <w:pPr>
              <w:textAlignment w:val="center"/>
              <w:rPr>
                <w:rFonts w:ascii="仿宋" w:hAnsi="仿宋" w:eastAsia="仿宋" w:cs="仿宋"/>
                <w:color w:val="000000"/>
                <w:szCs w:val="21"/>
                <w:highlight w:val="none"/>
                <w:lang w:eastAsia="zh-CN"/>
              </w:rPr>
            </w:pPr>
          </w:p>
        </w:tc>
        <w:tc>
          <w:tcPr>
            <w:tcW w:w="1339" w:type="pct"/>
            <w:vAlign w:val="center"/>
          </w:tcPr>
          <w:p w14:paraId="6844B07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麻醉期间心跳骤停发生率</w:t>
            </w:r>
          </w:p>
        </w:tc>
        <w:tc>
          <w:tcPr>
            <w:tcW w:w="1953" w:type="pct"/>
            <w:vAlign w:val="center"/>
          </w:tcPr>
          <w:p w14:paraId="5F269CA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单位时间内，术中心脏骤停患者数占同期麻醉科患者总数的比例。术中心脏骤停是指麻醉开始后至患者离开手术室前非医疗目的的心脏突然停止跳动，不包括患者麻醉开始前发生的心脏骤停。</w:t>
            </w:r>
          </w:p>
        </w:tc>
      </w:tr>
      <w:tr w14:paraId="10713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B933B6E">
            <w:pPr>
              <w:textAlignment w:val="center"/>
              <w:rPr>
                <w:rFonts w:ascii="仿宋" w:hAnsi="仿宋" w:eastAsia="仿宋" w:cs="仿宋"/>
                <w:color w:val="000000"/>
                <w:szCs w:val="21"/>
                <w:highlight w:val="none"/>
                <w:lang w:eastAsia="zh-CN"/>
              </w:rPr>
            </w:pPr>
          </w:p>
        </w:tc>
        <w:tc>
          <w:tcPr>
            <w:tcW w:w="974" w:type="pct"/>
            <w:vMerge w:val="continue"/>
            <w:vAlign w:val="center"/>
          </w:tcPr>
          <w:p w14:paraId="19E1D0A4">
            <w:pPr>
              <w:textAlignment w:val="center"/>
              <w:rPr>
                <w:rFonts w:ascii="仿宋" w:hAnsi="仿宋" w:eastAsia="仿宋" w:cs="仿宋"/>
                <w:color w:val="000000"/>
                <w:szCs w:val="21"/>
                <w:highlight w:val="none"/>
                <w:lang w:eastAsia="zh-CN"/>
              </w:rPr>
            </w:pPr>
          </w:p>
        </w:tc>
        <w:tc>
          <w:tcPr>
            <w:tcW w:w="1339" w:type="pct"/>
            <w:vAlign w:val="center"/>
          </w:tcPr>
          <w:p w14:paraId="6413E0F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4</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1.4</w:t>
            </w:r>
            <w:r>
              <w:rPr>
                <w:rFonts w:ascii="仿宋" w:hAnsi="仿宋" w:eastAsia="仿宋" w:cs="仿宋"/>
                <w:color w:val="000000"/>
                <w:szCs w:val="21"/>
                <w:highlight w:val="none"/>
                <w:lang w:eastAsia="zh-CN"/>
              </w:rPr>
              <w:t>阴道分娩椎管内分娩镇痛使用率</w:t>
            </w:r>
          </w:p>
        </w:tc>
        <w:tc>
          <w:tcPr>
            <w:tcW w:w="1953" w:type="pct"/>
            <w:vAlign w:val="center"/>
          </w:tcPr>
          <w:p w14:paraId="10AD88D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单位时间内，阴道分娩接受椎管内分娩镇痛总人数（不含术中转剖宫产产妇人数）占同期阴道分娩产妇总人数（不含术中转剖宫产产妇人数）的比例</w:t>
            </w:r>
          </w:p>
        </w:tc>
      </w:tr>
      <w:tr w14:paraId="5BD01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4FA7283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肿瘤专业医疗质量控制指标</w:t>
            </w:r>
          </w:p>
        </w:tc>
        <w:tc>
          <w:tcPr>
            <w:tcW w:w="974" w:type="pct"/>
            <w:vMerge w:val="restart"/>
            <w:vAlign w:val="center"/>
          </w:tcPr>
          <w:p w14:paraId="33F1A41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肿瘤专业医疗质量控制指标</w:t>
            </w:r>
          </w:p>
        </w:tc>
        <w:tc>
          <w:tcPr>
            <w:tcW w:w="1339" w:type="pct"/>
            <w:vAlign w:val="center"/>
          </w:tcPr>
          <w:p w14:paraId="6FD0231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.1.1恶性肿瘤首次治疗前临床分期评估率</w:t>
            </w:r>
          </w:p>
        </w:tc>
        <w:tc>
          <w:tcPr>
            <w:tcW w:w="1953" w:type="pct"/>
            <w:vAlign w:val="center"/>
          </w:tcPr>
          <w:p w14:paraId="1B1475E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单位时间内，首次治疗前完成临床TNM分期诊断的恶性肿瘤患者数占接受首次治疗的恶性肿瘤患者总数的比例。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涉及癌种：乳腺癌、肺癌、肝癌、宫颈癌、胃癌、结直肠癌、食管癌、甲状腺癌、前列腺癌、肾癌。</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首次治疗指针对肿瘤开展的手术、放疗、化疗、靶向治疗、内分泌治疗、免疫治疗等，不包括为明确诊断或病情而采取的穿刺、活检、检查等诊疗措施。</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分期包括TNM/FIGO/CNLC分期。TNM分期中“X”数量不超过1，且T分期不可为“X”。</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ICD编码：乳腺癌C50</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肺癌C34</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肝癌C22</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宫颈癌C53</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胃癌C16</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结直肠癌C18-C20</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食管癌C15</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甲状腺癌C73</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前列腺癌C61</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肾癌C64</w:t>
            </w:r>
          </w:p>
        </w:tc>
      </w:tr>
      <w:tr w14:paraId="48F35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71D84FE">
            <w:pPr>
              <w:textAlignment w:val="center"/>
              <w:rPr>
                <w:rFonts w:ascii="仿宋" w:hAnsi="仿宋" w:eastAsia="仿宋" w:cs="仿宋"/>
                <w:color w:val="000000"/>
                <w:szCs w:val="21"/>
                <w:highlight w:val="none"/>
                <w:lang w:eastAsia="zh-CN"/>
              </w:rPr>
            </w:pPr>
          </w:p>
        </w:tc>
        <w:tc>
          <w:tcPr>
            <w:tcW w:w="974" w:type="pct"/>
            <w:vMerge w:val="continue"/>
            <w:vAlign w:val="center"/>
          </w:tcPr>
          <w:p w14:paraId="335D9E7D">
            <w:pPr>
              <w:textAlignment w:val="center"/>
              <w:rPr>
                <w:rFonts w:ascii="仿宋" w:hAnsi="仿宋" w:eastAsia="仿宋" w:cs="仿宋"/>
                <w:color w:val="000000"/>
                <w:szCs w:val="21"/>
                <w:highlight w:val="none"/>
                <w:lang w:eastAsia="zh-CN"/>
              </w:rPr>
            </w:pPr>
          </w:p>
        </w:tc>
        <w:tc>
          <w:tcPr>
            <w:tcW w:w="1339" w:type="pct"/>
            <w:vAlign w:val="center"/>
          </w:tcPr>
          <w:p w14:paraId="1F4E01B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1.2</w:t>
            </w:r>
            <w:r>
              <w:rPr>
                <w:rFonts w:ascii="仿宋" w:hAnsi="仿宋" w:eastAsia="仿宋" w:cs="仿宋"/>
                <w:color w:val="000000"/>
                <w:szCs w:val="21"/>
                <w:highlight w:val="none"/>
                <w:lang w:eastAsia="zh-CN"/>
              </w:rPr>
              <w:t>恶性肿瘤首次非手术治疗前病理学诊断率</w:t>
            </w:r>
          </w:p>
        </w:tc>
        <w:tc>
          <w:tcPr>
            <w:tcW w:w="1953" w:type="pct"/>
            <w:vAlign w:val="center"/>
          </w:tcPr>
          <w:p w14:paraId="4996F61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单位时间内，首次非手术治疗前完成病理学诊断的恶性肿瘤患者数占接受首次非手术治疗的恶性肿瘤患者总数的比例。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乳腺癌、肺癌、肝内胆管癌、结直肠癌、前列腺癌、肾癌为首次非手术治疗前病理学诊断率，首次非手术治疗包括放射治疗、抗肿瘤药物治疗（含化学治疗、靶向治疗、免疫治疗）等抗肿瘤治疗。</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宫颈癌、胃癌、食管癌为首次治疗前病理学诊断率，首次治疗包括手术治疗、放射治疗、抗肿瘤药物治疗（含化学治疗、靶向治疗、免疫治疗）等抗肿瘤治疗。</w:t>
            </w:r>
          </w:p>
        </w:tc>
      </w:tr>
      <w:tr w14:paraId="1F9BF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EC96919">
            <w:pPr>
              <w:textAlignment w:val="center"/>
              <w:rPr>
                <w:rFonts w:ascii="仿宋" w:hAnsi="仿宋" w:eastAsia="仿宋" w:cs="仿宋"/>
                <w:color w:val="000000"/>
                <w:szCs w:val="21"/>
                <w:highlight w:val="none"/>
                <w:lang w:eastAsia="zh-CN"/>
              </w:rPr>
            </w:pPr>
          </w:p>
        </w:tc>
        <w:tc>
          <w:tcPr>
            <w:tcW w:w="974" w:type="pct"/>
            <w:vMerge w:val="continue"/>
            <w:vAlign w:val="center"/>
          </w:tcPr>
          <w:p w14:paraId="3D9603BE">
            <w:pPr>
              <w:textAlignment w:val="center"/>
              <w:rPr>
                <w:rFonts w:ascii="仿宋" w:hAnsi="仿宋" w:eastAsia="仿宋" w:cs="仿宋"/>
                <w:color w:val="000000"/>
                <w:szCs w:val="21"/>
                <w:highlight w:val="none"/>
                <w:lang w:eastAsia="zh-CN"/>
              </w:rPr>
            </w:pPr>
          </w:p>
        </w:tc>
        <w:tc>
          <w:tcPr>
            <w:tcW w:w="1339" w:type="pct"/>
            <w:vAlign w:val="center"/>
          </w:tcPr>
          <w:p w14:paraId="42A79E9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术后病理TNM分期率</w:t>
            </w:r>
          </w:p>
        </w:tc>
        <w:tc>
          <w:tcPr>
            <w:tcW w:w="1953" w:type="pct"/>
            <w:vAlign w:val="center"/>
          </w:tcPr>
          <w:p w14:paraId="7B03521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单位时间内，恶性肿瘤患者手术治疗后完成病理TNM分期的患者数占手术治疗的恶性肿瘤患者总数的比例。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涉及癌种：乳腺癌、肺癌、肝内胆管癌、胃癌、结直肠癌、甲状腺癌、前列腺癌、肾癌。</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肺癌、乳腺癌、胃癌、结直肠癌、甲状腺癌病理TNM分期指：需明确记录pT、pN分期</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肝内胆管癌、前列腺癌、肾癌病理TNM分期指：病理报告中，允许出现Nx和Mx（可不写），其余采集来源，需写明pTNM分期。</w:t>
            </w:r>
          </w:p>
        </w:tc>
      </w:tr>
      <w:tr w14:paraId="4651C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13D047A4">
            <w:pPr>
              <w:textAlignment w:val="center"/>
              <w:rPr>
                <w:rFonts w:ascii="仿宋" w:hAnsi="仿宋" w:eastAsia="仿宋" w:cs="仿宋"/>
                <w:color w:val="000000"/>
                <w:szCs w:val="21"/>
                <w:highlight w:val="none"/>
                <w:lang w:eastAsia="zh-CN"/>
              </w:rPr>
            </w:pPr>
          </w:p>
        </w:tc>
        <w:tc>
          <w:tcPr>
            <w:tcW w:w="974" w:type="pct"/>
            <w:vAlign w:val="center"/>
          </w:tcPr>
          <w:p w14:paraId="27D9775B">
            <w:pPr>
              <w:textAlignment w:val="center"/>
              <w:rPr>
                <w:rFonts w:ascii="仿宋" w:hAnsi="仿宋" w:eastAsia="仿宋" w:cs="仿宋"/>
                <w:color w:val="000000"/>
                <w:szCs w:val="21"/>
                <w:highlight w:val="none"/>
                <w:lang w:eastAsia="zh-CN"/>
              </w:rPr>
            </w:pPr>
          </w:p>
        </w:tc>
        <w:tc>
          <w:tcPr>
            <w:tcW w:w="1339" w:type="pct"/>
            <w:vAlign w:val="center"/>
          </w:tcPr>
          <w:p w14:paraId="7F37CEF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1.4</w:t>
            </w:r>
            <w:r>
              <w:rPr>
                <w:rFonts w:ascii="仿宋" w:hAnsi="仿宋" w:eastAsia="仿宋" w:cs="仿宋"/>
                <w:color w:val="000000"/>
                <w:szCs w:val="21"/>
                <w:highlight w:val="none"/>
                <w:lang w:eastAsia="zh-CN"/>
              </w:rPr>
              <w:t>首次靶向/免疫治疗前分子病理检测率</w:t>
            </w:r>
          </w:p>
        </w:tc>
        <w:tc>
          <w:tcPr>
            <w:tcW w:w="1953" w:type="pct"/>
            <w:vAlign w:val="center"/>
          </w:tcPr>
          <w:p w14:paraId="15813C0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肺癌患者接受分子靶向治疗前基因检测显示驱动基因突变阳性的患者数占接受分子靶向治疗的肺癌患者总数的比例。基因及对应靶向药物指：（1）EGFR重排/融合/突变：吉非替尼、厄洛替尼、埃克替尼、达克替尼、阿法替尼、奥希替尼、阿美替尼、伏美替尼</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（2）ALK重排/融合/突变/阳性：阿来替尼、塞瑞替尼、克唑替尼、恩沙替尼</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（3）ROS1/ROS-1重排/融合/突变：克唑替尼</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（4）MET重排/融合/突变：克唑替尼、赛沃替尼</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（5）RET重排/融合/突变：普拉替尼</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（6）BRAFV600E重排/融合/突变：达拉非尼、曲美替尼、维罗非尼。</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单位时间内，接受抗HER-2靶向治疗且HER-2阳性的乳腺癌患者数占接受抗HER-2靶向治疗的乳腺癌患者总数的比例。抗HER-2靶向药物指：吡咯替尼、拉帕替尼、曲妥珠单抗、帕妥珠单抗、奈拉替尼、恩美曲妥珠单抗、伊尼妥单抗。</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单位时间内，结直肠癌患者靶向治疗和（或）免疫治疗前行基因检测和（或）分子检测的患者数占接受靶向治疗和（或）免疫治疗的结直肠癌患者总数的比例。靶向和（或）免疫治疗药物指：西妥昔单抗、帕托珠单抗、曲妥珠单抗、维莫非尼、达拉非尼、曲美替尼、帕博利珠单抗、纳武利尤单抗、卡瑞利珠单抗、塞普利单抗、信迪利单抗、特瑞普利单抗、替雷利珠单抗、派安普利单抗、赛帕利单抗、杰诺单抗、阿特珠单抗、德瓦鲁单抗、恩沃利单抗。</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单位时间内，晚期转移性胃癌首次抗肿瘤药物治疗前完成病理生物标志物诊断的患者数占晚期转移性胃癌首次抗肿瘤药物治疗的患者总数的比例。抗肿瘤药物指：（1）化疗药物：5-氟尿嘧啶、卡培他滨、替吉奥、顺铂、奥沙利铂、紫杉醇、多西他赛、白蛋白紫杉醇、伊立替康、表阿霉素</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（2）靶向药物：曲妥珠单抗、阿帕替尼、雷莫芦单抗</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（3）免疫药物：帕博利珠单抗、纳武利尤单抗、特瑞普利单抗、信迪利单抗、卡瑞利珠单抗、替雷利珠单抗。</w:t>
            </w:r>
          </w:p>
        </w:tc>
      </w:tr>
      <w:tr w14:paraId="03AF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5" w:hRule="atLeast"/>
        </w:trPr>
        <w:tc>
          <w:tcPr>
            <w:tcW w:w="733" w:type="pct"/>
            <w:vMerge w:val="continue"/>
            <w:vAlign w:val="center"/>
          </w:tcPr>
          <w:p w14:paraId="6051F52A">
            <w:pPr>
              <w:textAlignment w:val="center"/>
              <w:rPr>
                <w:rFonts w:ascii="仿宋" w:hAnsi="仿宋" w:eastAsia="仿宋" w:cs="仿宋"/>
                <w:color w:val="000000"/>
                <w:szCs w:val="21"/>
                <w:highlight w:val="none"/>
                <w:lang w:eastAsia="zh-CN"/>
              </w:rPr>
            </w:pPr>
          </w:p>
        </w:tc>
        <w:tc>
          <w:tcPr>
            <w:tcW w:w="974" w:type="pct"/>
            <w:vAlign w:val="center"/>
          </w:tcPr>
          <w:p w14:paraId="2EB02C7F">
            <w:pPr>
              <w:textAlignment w:val="center"/>
              <w:rPr>
                <w:rFonts w:ascii="仿宋" w:hAnsi="仿宋" w:eastAsia="仿宋" w:cs="仿宋"/>
                <w:color w:val="000000"/>
                <w:szCs w:val="21"/>
                <w:highlight w:val="none"/>
                <w:lang w:eastAsia="zh-CN"/>
              </w:rPr>
            </w:pPr>
          </w:p>
        </w:tc>
        <w:tc>
          <w:tcPr>
            <w:tcW w:w="1339" w:type="pct"/>
            <w:vAlign w:val="center"/>
          </w:tcPr>
          <w:p w14:paraId="1BE3D0C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1.5</w:t>
            </w:r>
            <w:r>
              <w:rPr>
                <w:rFonts w:ascii="仿宋" w:hAnsi="仿宋" w:eastAsia="仿宋" w:cs="仿宋"/>
                <w:color w:val="000000"/>
                <w:szCs w:val="21"/>
                <w:highlight w:val="none"/>
                <w:lang w:eastAsia="zh-CN"/>
              </w:rPr>
              <w:t>术中淋巴结清扫规范率</w:t>
            </w:r>
          </w:p>
        </w:tc>
        <w:tc>
          <w:tcPr>
            <w:tcW w:w="1953" w:type="pct"/>
            <w:vAlign w:val="center"/>
          </w:tcPr>
          <w:p w14:paraId="3AED723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单位时间内，肺癌切除术术中接受淋巴结清扫的患者数占行肺癌切除术的患者总数的比例。肺癌淋巴结清扫指在“手术记录”或“病理检查记录”中清扫或切除1站及以上的淋巴结，即视为进行了清扫。</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单位时间内，清扫腋窝淋巴结数量</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10个的乳腺癌患者数占行腋窝淋巴结清扫术的乳腺癌患者总数的比例。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单位时间内，手术切除的肝内胆管癌患者术中接受淋巴结清扫的患者数占接受手术切除的肝内胆管癌患者总数的比例。肝内胆管癌淋巴结清扫指在“手术记录”或“病理检查记录”中描述到“淋巴结清扫”情况，即视为进行了清扫。</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单位时间内，术中清扫淋巴结数量</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12枚的结直肠癌患者数占行结直肠癌手术治疗患者总数的比例。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单位时间内，食管癌根治性手术术中淋巴结清扫个数</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15枚的患者数占食管癌根治性手术患者总数的比例。</w:t>
            </w:r>
          </w:p>
        </w:tc>
      </w:tr>
      <w:tr w14:paraId="001A3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0C2825D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6</w:t>
            </w:r>
            <w:r>
              <w:rPr>
                <w:rFonts w:ascii="仿宋" w:hAnsi="仿宋" w:eastAsia="仿宋" w:cs="仿宋"/>
                <w:color w:val="000000"/>
                <w:szCs w:val="21"/>
                <w:highlight w:val="none"/>
                <w:lang w:eastAsia="zh-CN"/>
              </w:rPr>
              <w:t>感染性疾病专业医疗质量控制指标</w:t>
            </w:r>
          </w:p>
        </w:tc>
        <w:tc>
          <w:tcPr>
            <w:tcW w:w="974" w:type="pct"/>
            <w:vMerge w:val="restart"/>
            <w:vAlign w:val="center"/>
          </w:tcPr>
          <w:p w14:paraId="04714C2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6</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感染性疾病专业医疗质量控制指标</w:t>
            </w:r>
          </w:p>
        </w:tc>
        <w:tc>
          <w:tcPr>
            <w:tcW w:w="1339" w:type="pct"/>
            <w:vAlign w:val="center"/>
          </w:tcPr>
          <w:p w14:paraId="73E821D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6</w:t>
            </w:r>
            <w:r>
              <w:rPr>
                <w:rFonts w:ascii="仿宋" w:hAnsi="仿宋" w:eastAsia="仿宋" w:cs="仿宋"/>
                <w:color w:val="000000"/>
                <w:szCs w:val="21"/>
                <w:highlight w:val="none"/>
                <w:lang w:eastAsia="zh-CN"/>
              </w:rPr>
              <w:t>.1.1抗流感病毒药物使用前流感病原学诊断阳性率</w:t>
            </w:r>
          </w:p>
        </w:tc>
        <w:tc>
          <w:tcPr>
            <w:tcW w:w="1953" w:type="pct"/>
            <w:vAlign w:val="center"/>
          </w:tcPr>
          <w:p w14:paraId="79BEA6E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使用抗流感病毒药物前流感病原学诊断阳性的患者例数占使用抗流感病毒药物患者总例数的比例。</w:t>
            </w:r>
          </w:p>
        </w:tc>
      </w:tr>
      <w:tr w14:paraId="2E73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F2B10FB">
            <w:pPr>
              <w:textAlignment w:val="center"/>
              <w:rPr>
                <w:rFonts w:ascii="仿宋" w:hAnsi="仿宋" w:eastAsia="仿宋" w:cs="仿宋"/>
                <w:color w:val="000000"/>
                <w:szCs w:val="21"/>
                <w:highlight w:val="none"/>
                <w:lang w:eastAsia="zh-CN"/>
              </w:rPr>
            </w:pPr>
          </w:p>
        </w:tc>
        <w:tc>
          <w:tcPr>
            <w:tcW w:w="974" w:type="pct"/>
            <w:vMerge w:val="continue"/>
            <w:vAlign w:val="center"/>
          </w:tcPr>
          <w:p w14:paraId="40608381">
            <w:pPr>
              <w:textAlignment w:val="center"/>
              <w:rPr>
                <w:rFonts w:ascii="仿宋" w:hAnsi="仿宋" w:eastAsia="仿宋" w:cs="仿宋"/>
                <w:color w:val="000000"/>
                <w:szCs w:val="21"/>
                <w:highlight w:val="none"/>
                <w:lang w:eastAsia="zh-CN"/>
              </w:rPr>
            </w:pPr>
          </w:p>
        </w:tc>
        <w:tc>
          <w:tcPr>
            <w:tcW w:w="1339" w:type="pct"/>
            <w:vAlign w:val="center"/>
          </w:tcPr>
          <w:p w14:paraId="2911C2F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6</w:t>
            </w:r>
            <w:r>
              <w:rPr>
                <w:rFonts w:ascii="仿宋" w:hAnsi="仿宋" w:eastAsia="仿宋" w:cs="仿宋"/>
                <w:color w:val="000000"/>
                <w:szCs w:val="21"/>
                <w:highlight w:val="none"/>
                <w:lang w:eastAsia="zh-CN"/>
              </w:rPr>
              <w:t>.1.2门诊流感患者抗菌药物使用率</w:t>
            </w:r>
          </w:p>
        </w:tc>
        <w:tc>
          <w:tcPr>
            <w:tcW w:w="1953" w:type="pct"/>
            <w:vAlign w:val="center"/>
          </w:tcPr>
          <w:p w14:paraId="5D692FD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门诊流感患者使用抗菌药物治疗例数占同期门诊流感患者总例数的比例。</w:t>
            </w:r>
          </w:p>
        </w:tc>
      </w:tr>
      <w:tr w14:paraId="0C64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C64ADBD">
            <w:pPr>
              <w:textAlignment w:val="center"/>
              <w:rPr>
                <w:rFonts w:ascii="仿宋" w:hAnsi="仿宋" w:eastAsia="仿宋" w:cs="仿宋"/>
                <w:color w:val="000000"/>
                <w:szCs w:val="21"/>
                <w:highlight w:val="none"/>
                <w:lang w:eastAsia="zh-CN"/>
              </w:rPr>
            </w:pPr>
          </w:p>
        </w:tc>
        <w:tc>
          <w:tcPr>
            <w:tcW w:w="974" w:type="pct"/>
            <w:vMerge w:val="continue"/>
            <w:vAlign w:val="center"/>
          </w:tcPr>
          <w:p w14:paraId="36F3BCDD">
            <w:pPr>
              <w:textAlignment w:val="center"/>
              <w:rPr>
                <w:rFonts w:ascii="仿宋" w:hAnsi="仿宋" w:eastAsia="仿宋" w:cs="仿宋"/>
                <w:color w:val="000000"/>
                <w:szCs w:val="21"/>
                <w:highlight w:val="none"/>
                <w:lang w:eastAsia="zh-CN"/>
              </w:rPr>
            </w:pPr>
          </w:p>
        </w:tc>
        <w:tc>
          <w:tcPr>
            <w:tcW w:w="1339" w:type="pct"/>
            <w:vAlign w:val="center"/>
          </w:tcPr>
          <w:p w14:paraId="3843C78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6</w:t>
            </w:r>
            <w:r>
              <w:rPr>
                <w:rFonts w:ascii="仿宋" w:hAnsi="仿宋" w:eastAsia="仿宋" w:cs="仿宋"/>
                <w:color w:val="000000"/>
                <w:szCs w:val="21"/>
                <w:highlight w:val="none"/>
                <w:lang w:eastAsia="zh-CN"/>
              </w:rPr>
              <w:t>.1.3住院流感患者抗菌药物使用率</w:t>
            </w:r>
          </w:p>
        </w:tc>
        <w:tc>
          <w:tcPr>
            <w:tcW w:w="1953" w:type="pct"/>
            <w:vAlign w:val="center"/>
          </w:tcPr>
          <w:p w14:paraId="34ED52E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住院流感患者使用抗菌药物治疗例数占同期住院流感患者总例数的比例。</w:t>
            </w:r>
          </w:p>
        </w:tc>
      </w:tr>
      <w:tr w14:paraId="55F31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DE982E2">
            <w:pPr>
              <w:textAlignment w:val="center"/>
              <w:rPr>
                <w:rFonts w:ascii="仿宋" w:hAnsi="仿宋" w:eastAsia="仿宋" w:cs="仿宋"/>
                <w:color w:val="000000"/>
                <w:szCs w:val="21"/>
                <w:highlight w:val="none"/>
                <w:lang w:eastAsia="zh-CN"/>
              </w:rPr>
            </w:pPr>
          </w:p>
        </w:tc>
        <w:tc>
          <w:tcPr>
            <w:tcW w:w="974" w:type="pct"/>
            <w:vMerge w:val="continue"/>
            <w:vAlign w:val="center"/>
          </w:tcPr>
          <w:p w14:paraId="76A7888C">
            <w:pPr>
              <w:textAlignment w:val="center"/>
              <w:rPr>
                <w:rFonts w:ascii="仿宋" w:hAnsi="仿宋" w:eastAsia="仿宋" w:cs="仿宋"/>
                <w:color w:val="000000"/>
                <w:szCs w:val="21"/>
                <w:highlight w:val="none"/>
                <w:lang w:eastAsia="zh-CN"/>
              </w:rPr>
            </w:pPr>
          </w:p>
        </w:tc>
        <w:tc>
          <w:tcPr>
            <w:tcW w:w="1339" w:type="pct"/>
            <w:vAlign w:val="center"/>
          </w:tcPr>
          <w:p w14:paraId="09CE781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6</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1.4</w:t>
            </w:r>
            <w:r>
              <w:rPr>
                <w:rFonts w:ascii="仿宋" w:hAnsi="仿宋" w:eastAsia="仿宋" w:cs="仿宋"/>
                <w:color w:val="000000"/>
                <w:szCs w:val="21"/>
                <w:highlight w:val="none"/>
                <w:lang w:eastAsia="zh-CN"/>
              </w:rPr>
              <w:t>感染性腹泻患者病原学诊断阳性率</w:t>
            </w:r>
          </w:p>
        </w:tc>
        <w:tc>
          <w:tcPr>
            <w:tcW w:w="1953" w:type="pct"/>
            <w:vAlign w:val="center"/>
          </w:tcPr>
          <w:p w14:paraId="4A31CE5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病原学诊断结果为阳性的感染性腹泻患者例数占同期诊断为感染性腹泻的患者总例数的比例</w:t>
            </w:r>
            <w:r>
              <w:rPr>
                <w:rFonts w:hint="eastAsia" w:ascii="仿宋" w:hAnsi="仿宋" w:eastAsia="仿宋" w:cs="仿宋"/>
                <w:color w:val="000000"/>
                <w:szCs w:val="21"/>
                <w:highlight w:val="none"/>
                <w:lang w:eastAsia="zh-CN"/>
              </w:rPr>
              <w:t>。</w:t>
            </w:r>
          </w:p>
        </w:tc>
      </w:tr>
      <w:tr w14:paraId="4DF2B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E515C85">
            <w:pPr>
              <w:textAlignment w:val="center"/>
              <w:rPr>
                <w:rFonts w:ascii="仿宋" w:hAnsi="仿宋" w:eastAsia="仿宋" w:cs="仿宋"/>
                <w:color w:val="000000"/>
                <w:szCs w:val="21"/>
                <w:highlight w:val="none"/>
                <w:lang w:eastAsia="zh-CN"/>
              </w:rPr>
            </w:pPr>
          </w:p>
        </w:tc>
        <w:tc>
          <w:tcPr>
            <w:tcW w:w="974" w:type="pct"/>
            <w:vMerge w:val="continue"/>
            <w:vAlign w:val="center"/>
          </w:tcPr>
          <w:p w14:paraId="440DD986">
            <w:pPr>
              <w:textAlignment w:val="center"/>
              <w:rPr>
                <w:rFonts w:ascii="仿宋" w:hAnsi="仿宋" w:eastAsia="仿宋" w:cs="仿宋"/>
                <w:color w:val="000000"/>
                <w:szCs w:val="21"/>
                <w:highlight w:val="none"/>
                <w:lang w:eastAsia="zh-CN"/>
              </w:rPr>
            </w:pPr>
          </w:p>
        </w:tc>
        <w:tc>
          <w:tcPr>
            <w:tcW w:w="1339" w:type="pct"/>
            <w:vAlign w:val="center"/>
          </w:tcPr>
          <w:p w14:paraId="264AA27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6</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1.5</w:t>
            </w:r>
            <w:r>
              <w:rPr>
                <w:rFonts w:ascii="仿宋" w:hAnsi="仿宋" w:eastAsia="仿宋" w:cs="仿宋"/>
                <w:color w:val="000000"/>
                <w:szCs w:val="21"/>
                <w:highlight w:val="none"/>
                <w:lang w:eastAsia="zh-CN"/>
              </w:rPr>
              <w:t>丙型肝炎病毒（HCV）抗体阳性患者丙型肝炎病毒核酸（HCV-RNA）检测率</w:t>
            </w:r>
          </w:p>
        </w:tc>
        <w:tc>
          <w:tcPr>
            <w:tcW w:w="1953" w:type="pct"/>
            <w:vAlign w:val="center"/>
          </w:tcPr>
          <w:p w14:paraId="14ABE16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首次检出HCV抗体阳性的患者中行HCV-RNA检测的人数占同期在首次检出HCV抗体阳性的患者总人数的比例。</w:t>
            </w:r>
          </w:p>
        </w:tc>
      </w:tr>
      <w:tr w14:paraId="14F68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7F4DD43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7</w:t>
            </w:r>
            <w:r>
              <w:rPr>
                <w:rFonts w:ascii="仿宋" w:hAnsi="仿宋" w:eastAsia="仿宋" w:cs="仿宋"/>
                <w:color w:val="000000"/>
                <w:szCs w:val="21"/>
                <w:highlight w:val="none"/>
                <w:lang w:eastAsia="zh-CN"/>
              </w:rPr>
              <w:t>健康体检与管理专业医疗质量控制指标</w:t>
            </w:r>
          </w:p>
        </w:tc>
        <w:tc>
          <w:tcPr>
            <w:tcW w:w="974" w:type="pct"/>
            <w:vMerge w:val="restart"/>
            <w:vAlign w:val="center"/>
          </w:tcPr>
          <w:p w14:paraId="73550CB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7</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健康体检与管理专业医疗质量控制指标</w:t>
            </w:r>
          </w:p>
        </w:tc>
        <w:tc>
          <w:tcPr>
            <w:tcW w:w="1339" w:type="pct"/>
            <w:vAlign w:val="center"/>
          </w:tcPr>
          <w:p w14:paraId="2D912662">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7</w:t>
            </w:r>
            <w:r>
              <w:rPr>
                <w:rFonts w:ascii="仿宋" w:hAnsi="仿宋" w:eastAsia="仿宋" w:cs="仿宋"/>
                <w:color w:val="000000"/>
                <w:szCs w:val="21"/>
                <w:highlight w:val="none"/>
              </w:rPr>
              <w:t>.1.1健康体检问卷完成率</w:t>
            </w:r>
          </w:p>
        </w:tc>
        <w:tc>
          <w:tcPr>
            <w:tcW w:w="1953" w:type="pct"/>
            <w:vAlign w:val="center"/>
          </w:tcPr>
          <w:p w14:paraId="6DF0E3D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完成健康体检问卷人数占同期健康体检总人数的比例</w:t>
            </w:r>
            <w:r>
              <w:rPr>
                <w:rFonts w:hint="eastAsia" w:ascii="仿宋" w:hAnsi="仿宋" w:eastAsia="仿宋" w:cs="仿宋"/>
                <w:color w:val="000000"/>
                <w:szCs w:val="21"/>
                <w:highlight w:val="none"/>
                <w:lang w:eastAsia="zh-CN"/>
              </w:rPr>
              <w:t>。</w:t>
            </w:r>
          </w:p>
        </w:tc>
      </w:tr>
      <w:tr w14:paraId="467AF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88E1EA0">
            <w:pPr>
              <w:textAlignment w:val="center"/>
              <w:rPr>
                <w:rFonts w:ascii="仿宋" w:hAnsi="仿宋" w:eastAsia="仿宋" w:cs="仿宋"/>
                <w:color w:val="000000"/>
                <w:szCs w:val="21"/>
                <w:highlight w:val="none"/>
                <w:lang w:eastAsia="zh-CN"/>
              </w:rPr>
            </w:pPr>
          </w:p>
        </w:tc>
        <w:tc>
          <w:tcPr>
            <w:tcW w:w="974" w:type="pct"/>
            <w:vMerge w:val="continue"/>
            <w:vAlign w:val="center"/>
          </w:tcPr>
          <w:p w14:paraId="5732F58D">
            <w:pPr>
              <w:textAlignment w:val="center"/>
              <w:rPr>
                <w:rFonts w:ascii="仿宋" w:hAnsi="仿宋" w:eastAsia="仿宋" w:cs="仿宋"/>
                <w:color w:val="000000"/>
                <w:szCs w:val="21"/>
                <w:highlight w:val="none"/>
                <w:lang w:eastAsia="zh-CN"/>
              </w:rPr>
            </w:pPr>
          </w:p>
        </w:tc>
        <w:tc>
          <w:tcPr>
            <w:tcW w:w="1339" w:type="pct"/>
            <w:vAlign w:val="center"/>
          </w:tcPr>
          <w:p w14:paraId="695C8F3D">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7</w:t>
            </w:r>
            <w:r>
              <w:rPr>
                <w:rFonts w:ascii="仿宋" w:hAnsi="仿宋" w:eastAsia="仿宋" w:cs="仿宋"/>
                <w:color w:val="000000"/>
                <w:szCs w:val="21"/>
                <w:highlight w:val="none"/>
              </w:rPr>
              <w:t>.</w:t>
            </w:r>
            <w:r>
              <w:rPr>
                <w:rFonts w:hint="eastAsia" w:ascii="仿宋" w:hAnsi="仿宋" w:eastAsia="仿宋" w:cs="仿宋"/>
                <w:color w:val="000000"/>
                <w:szCs w:val="21"/>
                <w:highlight w:val="none"/>
              </w:rPr>
              <w:t>1.2</w:t>
            </w:r>
            <w:r>
              <w:rPr>
                <w:rFonts w:ascii="仿宋" w:hAnsi="仿宋" w:eastAsia="仿宋" w:cs="仿宋"/>
                <w:color w:val="000000"/>
                <w:szCs w:val="21"/>
                <w:highlight w:val="none"/>
              </w:rPr>
              <w:t>高危异常结果通知率</w:t>
            </w:r>
          </w:p>
        </w:tc>
        <w:tc>
          <w:tcPr>
            <w:tcW w:w="1953" w:type="pct"/>
            <w:vAlign w:val="center"/>
          </w:tcPr>
          <w:p w14:paraId="779A392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完成高危异常结果通知人数占同期检出高危异常结果总人数的比例，高危异常结果范围可参考《中华健康管理学杂志》2019年4月第13卷第2期《重要异常结果管理专家共识》A类</w:t>
            </w:r>
          </w:p>
        </w:tc>
      </w:tr>
      <w:tr w14:paraId="71B0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0BE7576">
            <w:pPr>
              <w:textAlignment w:val="center"/>
              <w:rPr>
                <w:rFonts w:ascii="仿宋" w:hAnsi="仿宋" w:eastAsia="仿宋" w:cs="仿宋"/>
                <w:color w:val="000000"/>
                <w:szCs w:val="21"/>
                <w:highlight w:val="none"/>
                <w:lang w:eastAsia="zh-CN"/>
              </w:rPr>
            </w:pPr>
          </w:p>
        </w:tc>
        <w:tc>
          <w:tcPr>
            <w:tcW w:w="974" w:type="pct"/>
            <w:vMerge w:val="continue"/>
            <w:vAlign w:val="center"/>
          </w:tcPr>
          <w:p w14:paraId="2FEE40EE">
            <w:pPr>
              <w:textAlignment w:val="center"/>
              <w:rPr>
                <w:rFonts w:ascii="仿宋" w:hAnsi="仿宋" w:eastAsia="仿宋" w:cs="仿宋"/>
                <w:color w:val="000000"/>
                <w:szCs w:val="21"/>
                <w:highlight w:val="none"/>
                <w:lang w:eastAsia="zh-CN"/>
              </w:rPr>
            </w:pPr>
          </w:p>
        </w:tc>
        <w:tc>
          <w:tcPr>
            <w:tcW w:w="1339" w:type="pct"/>
            <w:vAlign w:val="center"/>
          </w:tcPr>
          <w:p w14:paraId="079FD932">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3.17.1.3</w:t>
            </w:r>
            <w:r>
              <w:rPr>
                <w:rFonts w:ascii="仿宋" w:hAnsi="仿宋" w:eastAsia="仿宋" w:cs="仿宋"/>
                <w:color w:val="000000"/>
                <w:szCs w:val="21"/>
                <w:highlight w:val="none"/>
              </w:rPr>
              <w:t>.重要异常结果随访率</w:t>
            </w:r>
          </w:p>
        </w:tc>
        <w:tc>
          <w:tcPr>
            <w:tcW w:w="1953" w:type="pct"/>
            <w:vAlign w:val="center"/>
          </w:tcPr>
          <w:p w14:paraId="4E5A4C2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完成重要异常结果随访的人数占同期检出重要异常结果总人数的比例，重要异常结果范围可参考《中华健康管理学杂志》2019年4月第13卷第2期《重要异常结果管理专家共识》A+B类，重要异常结果包含高危异常结果</w:t>
            </w:r>
            <w:r>
              <w:rPr>
                <w:rFonts w:hint="eastAsia" w:ascii="仿宋" w:hAnsi="仿宋" w:eastAsia="仿宋" w:cs="仿宋"/>
                <w:color w:val="000000"/>
                <w:szCs w:val="21"/>
                <w:highlight w:val="none"/>
                <w:lang w:eastAsia="zh-CN"/>
              </w:rPr>
              <w:t>。</w:t>
            </w:r>
          </w:p>
        </w:tc>
      </w:tr>
      <w:tr w14:paraId="18A1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055D03B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疼痛专业医疗质量控制指标</w:t>
            </w:r>
          </w:p>
        </w:tc>
        <w:tc>
          <w:tcPr>
            <w:tcW w:w="974" w:type="pct"/>
            <w:vMerge w:val="restart"/>
            <w:vAlign w:val="center"/>
          </w:tcPr>
          <w:p w14:paraId="71AA928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疼痛专业医疗质量控制指标</w:t>
            </w:r>
          </w:p>
        </w:tc>
        <w:tc>
          <w:tcPr>
            <w:tcW w:w="1339" w:type="pct"/>
            <w:vAlign w:val="center"/>
          </w:tcPr>
          <w:p w14:paraId="4ADABA6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.1.1住院患者入院8h内疼痛程度评估完成率</w:t>
            </w:r>
          </w:p>
        </w:tc>
        <w:tc>
          <w:tcPr>
            <w:tcW w:w="1953" w:type="pct"/>
            <w:vAlign w:val="center"/>
          </w:tcPr>
          <w:p w14:paraId="09933DF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入院8小时内完成疼痛程度评估的住院患者例数占同期住院患者总例数的比例。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备注：疼痛程度评估是指采用视觉模拟评分量表（VAS）、数字评分量表（NRS）、口述分级法（VRS）、改良面部表情疼痛评估工具（FPS-R）等工具进行疼痛评估。</w:t>
            </w:r>
          </w:p>
        </w:tc>
      </w:tr>
      <w:tr w14:paraId="19A4E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3ADC16D">
            <w:pPr>
              <w:textAlignment w:val="center"/>
              <w:rPr>
                <w:rFonts w:ascii="仿宋" w:hAnsi="仿宋" w:eastAsia="仿宋" w:cs="仿宋"/>
                <w:color w:val="000000"/>
                <w:szCs w:val="21"/>
                <w:highlight w:val="none"/>
                <w:lang w:eastAsia="zh-CN"/>
              </w:rPr>
            </w:pPr>
          </w:p>
        </w:tc>
        <w:tc>
          <w:tcPr>
            <w:tcW w:w="974" w:type="pct"/>
            <w:vMerge w:val="continue"/>
            <w:vAlign w:val="center"/>
          </w:tcPr>
          <w:p w14:paraId="343AB960">
            <w:pPr>
              <w:textAlignment w:val="center"/>
              <w:rPr>
                <w:rFonts w:ascii="仿宋" w:hAnsi="仿宋" w:eastAsia="仿宋" w:cs="仿宋"/>
                <w:color w:val="000000"/>
                <w:szCs w:val="21"/>
                <w:highlight w:val="none"/>
                <w:lang w:eastAsia="zh-CN"/>
              </w:rPr>
            </w:pPr>
          </w:p>
        </w:tc>
        <w:tc>
          <w:tcPr>
            <w:tcW w:w="1339" w:type="pct"/>
            <w:vAlign w:val="center"/>
          </w:tcPr>
          <w:p w14:paraId="4E5E1B6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 xml:space="preserve">1.2 </w:t>
            </w:r>
            <w:r>
              <w:rPr>
                <w:rFonts w:ascii="仿宋" w:hAnsi="仿宋" w:eastAsia="仿宋" w:cs="仿宋"/>
                <w:color w:val="000000"/>
                <w:szCs w:val="21"/>
                <w:highlight w:val="none"/>
                <w:lang w:eastAsia="zh-CN"/>
              </w:rPr>
              <w:t>PHN患者精神心理评估率</w:t>
            </w:r>
          </w:p>
        </w:tc>
        <w:tc>
          <w:tcPr>
            <w:tcW w:w="1953" w:type="pct"/>
            <w:vAlign w:val="center"/>
          </w:tcPr>
          <w:p w14:paraId="7F7F9FE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进行精神心理评估的PHN患者例数占同期PHN的患者总例数的比例。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备注：本指标中精神心理评估是指采用焦虑筛查量表（GAD-7）、抑郁筛查量表（PHQ-9）或其他的测试量表，对PHN患者的精神心理状态进行评估。</w:t>
            </w:r>
          </w:p>
        </w:tc>
      </w:tr>
      <w:tr w14:paraId="11684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646BD43">
            <w:pPr>
              <w:textAlignment w:val="center"/>
              <w:rPr>
                <w:rFonts w:ascii="仿宋" w:hAnsi="仿宋" w:eastAsia="仿宋" w:cs="仿宋"/>
                <w:color w:val="000000"/>
                <w:szCs w:val="21"/>
                <w:highlight w:val="none"/>
                <w:lang w:eastAsia="zh-CN"/>
              </w:rPr>
            </w:pPr>
          </w:p>
        </w:tc>
        <w:tc>
          <w:tcPr>
            <w:tcW w:w="974" w:type="pct"/>
            <w:vMerge w:val="continue"/>
            <w:vAlign w:val="center"/>
          </w:tcPr>
          <w:p w14:paraId="72ECD2F2">
            <w:pPr>
              <w:textAlignment w:val="center"/>
              <w:rPr>
                <w:rFonts w:ascii="仿宋" w:hAnsi="仿宋" w:eastAsia="仿宋" w:cs="仿宋"/>
                <w:color w:val="000000"/>
                <w:szCs w:val="21"/>
                <w:highlight w:val="none"/>
                <w:lang w:eastAsia="zh-CN"/>
              </w:rPr>
            </w:pPr>
          </w:p>
        </w:tc>
        <w:tc>
          <w:tcPr>
            <w:tcW w:w="1339" w:type="pct"/>
            <w:vAlign w:val="center"/>
          </w:tcPr>
          <w:p w14:paraId="23E87BB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癌症疼痛患者24h内疼痛全面评估完成率</w:t>
            </w:r>
          </w:p>
        </w:tc>
        <w:tc>
          <w:tcPr>
            <w:tcW w:w="1953" w:type="pct"/>
            <w:vAlign w:val="center"/>
          </w:tcPr>
          <w:p w14:paraId="1744C43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入院24小时内完成疼痛全面评估的癌症疼痛患者例数占同期癌症疼痛住院患者总例数的比例。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备注：本指标中疼痛全面评估是指使用简明疼痛评估量表（BPI）等方法对患者的疼痛程度、性质、部位等方面进行全面评估。</w:t>
            </w:r>
          </w:p>
        </w:tc>
      </w:tr>
      <w:tr w14:paraId="3E0BD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0DAABA4">
            <w:pPr>
              <w:textAlignment w:val="center"/>
              <w:rPr>
                <w:rFonts w:ascii="仿宋" w:hAnsi="仿宋" w:eastAsia="仿宋" w:cs="仿宋"/>
                <w:color w:val="000000"/>
                <w:szCs w:val="21"/>
                <w:highlight w:val="none"/>
                <w:lang w:eastAsia="zh-CN"/>
              </w:rPr>
            </w:pPr>
          </w:p>
        </w:tc>
        <w:tc>
          <w:tcPr>
            <w:tcW w:w="974" w:type="pct"/>
            <w:vMerge w:val="continue"/>
            <w:vAlign w:val="center"/>
          </w:tcPr>
          <w:p w14:paraId="2DC52E83">
            <w:pPr>
              <w:textAlignment w:val="center"/>
              <w:rPr>
                <w:rFonts w:ascii="仿宋" w:hAnsi="仿宋" w:eastAsia="仿宋" w:cs="仿宋"/>
                <w:color w:val="000000"/>
                <w:szCs w:val="21"/>
                <w:highlight w:val="none"/>
                <w:lang w:eastAsia="zh-CN"/>
              </w:rPr>
            </w:pPr>
          </w:p>
        </w:tc>
        <w:tc>
          <w:tcPr>
            <w:tcW w:w="1339" w:type="pct"/>
            <w:vAlign w:val="center"/>
          </w:tcPr>
          <w:p w14:paraId="2109C012">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8</w:t>
            </w:r>
            <w:r>
              <w:rPr>
                <w:rFonts w:ascii="仿宋" w:hAnsi="仿宋" w:eastAsia="仿宋" w:cs="仿宋"/>
                <w:color w:val="000000"/>
                <w:szCs w:val="21"/>
                <w:highlight w:val="none"/>
              </w:rPr>
              <w:t>.</w:t>
            </w:r>
            <w:r>
              <w:rPr>
                <w:rFonts w:hint="eastAsia" w:ascii="仿宋" w:hAnsi="仿宋" w:eastAsia="仿宋" w:cs="仿宋"/>
                <w:color w:val="000000"/>
                <w:szCs w:val="21"/>
                <w:highlight w:val="none"/>
              </w:rPr>
              <w:t>1.4</w:t>
            </w:r>
            <w:r>
              <w:rPr>
                <w:rFonts w:ascii="仿宋" w:hAnsi="仿宋" w:eastAsia="仿宋" w:cs="仿宋"/>
                <w:color w:val="000000"/>
                <w:szCs w:val="21"/>
                <w:highlight w:val="none"/>
              </w:rPr>
              <w:t>癌症疼痛治疗有效率</w:t>
            </w:r>
          </w:p>
        </w:tc>
        <w:tc>
          <w:tcPr>
            <w:tcW w:w="1953" w:type="pct"/>
            <w:vAlign w:val="center"/>
          </w:tcPr>
          <w:p w14:paraId="666E024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治疗后有效缓解的癌症疼痛患者例数占同期治疗的癌症疼痛患者总例数的比例。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备注：本指标中有效缓解是指治疗后效果满足以下条件之一：①持续性疼痛数字化评分降低到3分以下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②持续性疼痛数字化评分降低50%以上</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③止痛药物剂量减少50%以上</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④爆发痛减少到3次/天以下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⑤功能改善（包括运动功能、消化功能改善）。</w:t>
            </w:r>
          </w:p>
        </w:tc>
      </w:tr>
      <w:tr w14:paraId="7B302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1B500237">
            <w:pPr>
              <w:textAlignment w:val="center"/>
              <w:rPr>
                <w:rFonts w:ascii="仿宋" w:hAnsi="仿宋" w:eastAsia="仿宋" w:cs="仿宋"/>
                <w:color w:val="000000"/>
                <w:szCs w:val="21"/>
                <w:highlight w:val="none"/>
                <w:lang w:eastAsia="zh-CN"/>
              </w:rPr>
            </w:pPr>
          </w:p>
        </w:tc>
        <w:tc>
          <w:tcPr>
            <w:tcW w:w="974" w:type="pct"/>
            <w:vMerge w:val="continue"/>
            <w:vAlign w:val="center"/>
          </w:tcPr>
          <w:p w14:paraId="7B1A522B">
            <w:pPr>
              <w:textAlignment w:val="center"/>
              <w:rPr>
                <w:rFonts w:ascii="仿宋" w:hAnsi="仿宋" w:eastAsia="仿宋" w:cs="仿宋"/>
                <w:color w:val="000000"/>
                <w:szCs w:val="21"/>
                <w:highlight w:val="none"/>
                <w:lang w:eastAsia="zh-CN"/>
              </w:rPr>
            </w:pPr>
          </w:p>
        </w:tc>
        <w:tc>
          <w:tcPr>
            <w:tcW w:w="1339" w:type="pct"/>
            <w:vAlign w:val="center"/>
          </w:tcPr>
          <w:p w14:paraId="204880C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8</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1.5</w:t>
            </w:r>
            <w:r>
              <w:rPr>
                <w:rFonts w:ascii="仿宋" w:hAnsi="仿宋" w:eastAsia="仿宋" w:cs="仿宋"/>
                <w:color w:val="000000"/>
                <w:szCs w:val="21"/>
                <w:highlight w:val="none"/>
                <w:lang w:eastAsia="zh-CN"/>
              </w:rPr>
              <w:t>疼痛科出院患者微创手术占比</w:t>
            </w:r>
          </w:p>
        </w:tc>
        <w:tc>
          <w:tcPr>
            <w:tcW w:w="1953" w:type="pct"/>
            <w:vAlign w:val="center"/>
          </w:tcPr>
          <w:p w14:paraId="68DFD58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疼痛科每年颈、腰椎椎间盘突出症、三叉神经痛、带状疱疹及疱疹后神经痛、椎体压缩性骨折、癌性疼痛等入院患者进行微创手术数占疼痛科年出院患者总数的比例。</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备注：本指标中的微创指疼痛科实际开展的专科基本诊疗项目除了超声引导等可视化神经阻滞技术、关节腔注射技术</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疼痛/精神心理评估</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冲击波物理治疗技术之外的9项技术。</w:t>
            </w:r>
          </w:p>
        </w:tc>
      </w:tr>
      <w:tr w14:paraId="3BC6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1912201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整形美容专业医疗质量控制指标</w:t>
            </w:r>
          </w:p>
        </w:tc>
        <w:tc>
          <w:tcPr>
            <w:tcW w:w="974" w:type="pct"/>
            <w:vMerge w:val="restart"/>
            <w:vAlign w:val="center"/>
          </w:tcPr>
          <w:p w14:paraId="5FB4251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整形美容专业医疗质量控制指标</w:t>
            </w:r>
          </w:p>
        </w:tc>
        <w:tc>
          <w:tcPr>
            <w:tcW w:w="1339" w:type="pct"/>
            <w:vAlign w:val="center"/>
          </w:tcPr>
          <w:p w14:paraId="69F63E0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9</w:t>
            </w:r>
            <w:r>
              <w:rPr>
                <w:rFonts w:ascii="仿宋" w:hAnsi="仿宋" w:eastAsia="仿宋" w:cs="仿宋"/>
                <w:color w:val="000000"/>
                <w:szCs w:val="21"/>
                <w:highlight w:val="none"/>
                <w:lang w:eastAsia="zh-CN"/>
              </w:rPr>
              <w:t>.1.1整形美容手术切口甲级愈合率</w:t>
            </w:r>
          </w:p>
        </w:tc>
        <w:tc>
          <w:tcPr>
            <w:tcW w:w="1953" w:type="pct"/>
            <w:vAlign w:val="center"/>
          </w:tcPr>
          <w:p w14:paraId="04BCE3E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整形美容手术切口甲级愈合患者例数占同期整形美容手术患者总例数的比例</w:t>
            </w:r>
            <w:r>
              <w:rPr>
                <w:rFonts w:hint="eastAsia" w:ascii="仿宋" w:hAnsi="仿宋" w:eastAsia="仿宋" w:cs="仿宋"/>
                <w:color w:val="000000"/>
                <w:szCs w:val="21"/>
                <w:highlight w:val="none"/>
                <w:lang w:eastAsia="zh-CN"/>
              </w:rPr>
              <w:t>。</w:t>
            </w:r>
          </w:p>
        </w:tc>
      </w:tr>
      <w:tr w14:paraId="36CDD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88017C3">
            <w:pPr>
              <w:textAlignment w:val="center"/>
              <w:rPr>
                <w:rFonts w:ascii="仿宋" w:hAnsi="仿宋" w:eastAsia="仿宋" w:cs="仿宋"/>
                <w:color w:val="000000"/>
                <w:szCs w:val="21"/>
                <w:highlight w:val="none"/>
                <w:lang w:eastAsia="zh-CN"/>
              </w:rPr>
            </w:pPr>
          </w:p>
        </w:tc>
        <w:tc>
          <w:tcPr>
            <w:tcW w:w="974" w:type="pct"/>
            <w:vMerge w:val="continue"/>
            <w:vAlign w:val="center"/>
          </w:tcPr>
          <w:p w14:paraId="33B050DF">
            <w:pPr>
              <w:textAlignment w:val="center"/>
              <w:rPr>
                <w:rFonts w:ascii="仿宋" w:hAnsi="仿宋" w:eastAsia="仿宋" w:cs="仿宋"/>
                <w:color w:val="000000"/>
                <w:szCs w:val="21"/>
                <w:highlight w:val="none"/>
                <w:lang w:eastAsia="zh-CN"/>
              </w:rPr>
            </w:pPr>
          </w:p>
        </w:tc>
        <w:tc>
          <w:tcPr>
            <w:tcW w:w="1339" w:type="pct"/>
            <w:vAlign w:val="center"/>
          </w:tcPr>
          <w:p w14:paraId="1AFFEF31">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9</w:t>
            </w:r>
            <w:r>
              <w:rPr>
                <w:rFonts w:ascii="仿宋" w:hAnsi="仿宋" w:eastAsia="仿宋" w:cs="仿宋"/>
                <w:color w:val="000000"/>
                <w:szCs w:val="21"/>
                <w:highlight w:val="none"/>
              </w:rPr>
              <w:t>.</w:t>
            </w:r>
            <w:r>
              <w:rPr>
                <w:rFonts w:hint="eastAsia" w:ascii="仿宋" w:hAnsi="仿宋" w:eastAsia="仿宋" w:cs="仿宋"/>
                <w:color w:val="000000"/>
                <w:szCs w:val="21"/>
                <w:highlight w:val="none"/>
              </w:rPr>
              <w:t>1.2</w:t>
            </w:r>
            <w:r>
              <w:rPr>
                <w:rFonts w:ascii="仿宋" w:hAnsi="仿宋" w:eastAsia="仿宋" w:cs="仿宋"/>
                <w:color w:val="000000"/>
                <w:szCs w:val="21"/>
                <w:highlight w:val="none"/>
              </w:rPr>
              <w:t>重睑术二次手术率</w:t>
            </w:r>
          </w:p>
        </w:tc>
        <w:tc>
          <w:tcPr>
            <w:tcW w:w="1953" w:type="pct"/>
            <w:vAlign w:val="center"/>
          </w:tcPr>
          <w:p w14:paraId="6075C32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行重睑术后二次手术修复的患者例数占同期行重睑术的患者总例数的比例</w:t>
            </w:r>
            <w:r>
              <w:rPr>
                <w:rFonts w:hint="eastAsia" w:ascii="仿宋" w:hAnsi="仿宋" w:eastAsia="仿宋" w:cs="仿宋"/>
                <w:color w:val="000000"/>
                <w:szCs w:val="21"/>
                <w:highlight w:val="none"/>
                <w:lang w:eastAsia="zh-CN"/>
              </w:rPr>
              <w:t>。</w:t>
            </w:r>
          </w:p>
        </w:tc>
      </w:tr>
      <w:tr w14:paraId="47D1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601F0F7">
            <w:pPr>
              <w:textAlignment w:val="center"/>
              <w:rPr>
                <w:rFonts w:ascii="仿宋" w:hAnsi="仿宋" w:eastAsia="仿宋" w:cs="仿宋"/>
                <w:color w:val="000000"/>
                <w:szCs w:val="21"/>
                <w:highlight w:val="none"/>
                <w:lang w:eastAsia="zh-CN"/>
              </w:rPr>
            </w:pPr>
          </w:p>
        </w:tc>
        <w:tc>
          <w:tcPr>
            <w:tcW w:w="974" w:type="pct"/>
            <w:vMerge w:val="continue"/>
            <w:vAlign w:val="center"/>
          </w:tcPr>
          <w:p w14:paraId="5085E087">
            <w:pPr>
              <w:textAlignment w:val="center"/>
              <w:rPr>
                <w:rFonts w:ascii="仿宋" w:hAnsi="仿宋" w:eastAsia="仿宋" w:cs="仿宋"/>
                <w:color w:val="000000"/>
                <w:szCs w:val="21"/>
                <w:highlight w:val="none"/>
                <w:lang w:eastAsia="zh-CN"/>
              </w:rPr>
            </w:pPr>
          </w:p>
        </w:tc>
        <w:tc>
          <w:tcPr>
            <w:tcW w:w="1339" w:type="pct"/>
            <w:vAlign w:val="center"/>
          </w:tcPr>
          <w:p w14:paraId="6B04C0E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9.1.3</w:t>
            </w:r>
            <w:r>
              <w:rPr>
                <w:rFonts w:ascii="仿宋" w:hAnsi="仿宋" w:eastAsia="仿宋" w:cs="仿宋"/>
                <w:color w:val="000000"/>
                <w:szCs w:val="21"/>
                <w:highlight w:val="none"/>
                <w:lang w:eastAsia="zh-CN"/>
              </w:rPr>
              <w:t>假体植入手术早期手术部位感染发生率</w:t>
            </w:r>
          </w:p>
        </w:tc>
        <w:tc>
          <w:tcPr>
            <w:tcW w:w="1953" w:type="pct"/>
            <w:vAlign w:val="center"/>
          </w:tcPr>
          <w:p w14:paraId="04B425B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行假体植入术后30天内发生手术部位感染的患者例数占同期行假体植入手术的患者总例数的比例</w:t>
            </w:r>
            <w:r>
              <w:rPr>
                <w:rFonts w:hint="eastAsia" w:ascii="仿宋" w:hAnsi="仿宋" w:eastAsia="仿宋" w:cs="仿宋"/>
                <w:color w:val="000000"/>
                <w:szCs w:val="21"/>
                <w:highlight w:val="none"/>
                <w:lang w:eastAsia="zh-CN"/>
              </w:rPr>
              <w:t>。</w:t>
            </w:r>
          </w:p>
        </w:tc>
      </w:tr>
      <w:tr w14:paraId="13958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4C1A1D2">
            <w:pPr>
              <w:textAlignment w:val="center"/>
              <w:rPr>
                <w:rFonts w:ascii="仿宋" w:hAnsi="仿宋" w:eastAsia="仿宋" w:cs="仿宋"/>
                <w:color w:val="000000"/>
                <w:szCs w:val="21"/>
                <w:highlight w:val="none"/>
                <w:lang w:eastAsia="zh-CN"/>
              </w:rPr>
            </w:pPr>
          </w:p>
        </w:tc>
        <w:tc>
          <w:tcPr>
            <w:tcW w:w="974" w:type="pct"/>
            <w:vMerge w:val="continue"/>
            <w:vAlign w:val="center"/>
          </w:tcPr>
          <w:p w14:paraId="77F5DA66">
            <w:pPr>
              <w:textAlignment w:val="center"/>
              <w:rPr>
                <w:rFonts w:ascii="仿宋" w:hAnsi="仿宋" w:eastAsia="仿宋" w:cs="仿宋"/>
                <w:color w:val="000000"/>
                <w:szCs w:val="21"/>
                <w:highlight w:val="none"/>
                <w:lang w:eastAsia="zh-CN"/>
              </w:rPr>
            </w:pPr>
          </w:p>
        </w:tc>
        <w:tc>
          <w:tcPr>
            <w:tcW w:w="1339" w:type="pct"/>
            <w:vAlign w:val="center"/>
          </w:tcPr>
          <w:p w14:paraId="54E3789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3.1</w:t>
            </w:r>
            <w:r>
              <w:rPr>
                <w:rFonts w:hint="eastAsia" w:ascii="仿宋" w:hAnsi="仿宋" w:eastAsia="仿宋" w:cs="仿宋"/>
                <w:color w:val="000000"/>
                <w:szCs w:val="21"/>
                <w:highlight w:val="none"/>
                <w:lang w:eastAsia="zh-CN"/>
              </w:rPr>
              <w:t>9.1.4</w:t>
            </w:r>
            <w:r>
              <w:rPr>
                <w:rFonts w:ascii="仿宋" w:hAnsi="仿宋" w:eastAsia="仿宋" w:cs="仿宋"/>
                <w:color w:val="000000"/>
                <w:szCs w:val="21"/>
                <w:highlight w:val="none"/>
                <w:lang w:eastAsia="zh-CN"/>
              </w:rPr>
              <w:t>皮瓣移植并发症发生率</w:t>
            </w:r>
          </w:p>
        </w:tc>
        <w:tc>
          <w:tcPr>
            <w:tcW w:w="1953" w:type="pct"/>
            <w:vAlign w:val="center"/>
          </w:tcPr>
          <w:p w14:paraId="6BA7C33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皮瓣移植术患者并发症发生人数占同期皮瓣移植术出院患者总人数</w:t>
            </w:r>
            <w:r>
              <w:rPr>
                <w:rFonts w:hint="eastAsia" w:ascii="仿宋" w:hAnsi="仿宋" w:eastAsia="仿宋" w:cs="仿宋"/>
                <w:color w:val="000000"/>
                <w:szCs w:val="21"/>
                <w:highlight w:val="none"/>
                <w:lang w:eastAsia="zh-CN"/>
              </w:rPr>
              <w:t>。</w:t>
            </w:r>
          </w:p>
        </w:tc>
      </w:tr>
      <w:tr w14:paraId="75B95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18528AD">
            <w:pPr>
              <w:textAlignment w:val="center"/>
              <w:rPr>
                <w:rFonts w:ascii="仿宋" w:hAnsi="仿宋" w:eastAsia="仿宋" w:cs="仿宋"/>
                <w:color w:val="000000"/>
                <w:szCs w:val="21"/>
                <w:highlight w:val="none"/>
                <w:lang w:eastAsia="zh-CN"/>
              </w:rPr>
            </w:pPr>
          </w:p>
        </w:tc>
        <w:tc>
          <w:tcPr>
            <w:tcW w:w="974" w:type="pct"/>
            <w:vMerge w:val="continue"/>
            <w:vAlign w:val="center"/>
          </w:tcPr>
          <w:p w14:paraId="0DD45F81">
            <w:pPr>
              <w:textAlignment w:val="center"/>
              <w:rPr>
                <w:rFonts w:ascii="仿宋" w:hAnsi="仿宋" w:eastAsia="仿宋" w:cs="仿宋"/>
                <w:color w:val="000000"/>
                <w:szCs w:val="21"/>
                <w:highlight w:val="none"/>
                <w:lang w:eastAsia="zh-CN"/>
              </w:rPr>
            </w:pPr>
          </w:p>
        </w:tc>
        <w:tc>
          <w:tcPr>
            <w:tcW w:w="1339" w:type="pct"/>
            <w:vAlign w:val="center"/>
          </w:tcPr>
          <w:p w14:paraId="1787E5C9">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3.1</w:t>
            </w:r>
            <w:r>
              <w:rPr>
                <w:rFonts w:hint="eastAsia" w:ascii="仿宋" w:hAnsi="仿宋" w:eastAsia="仿宋" w:cs="仿宋"/>
                <w:color w:val="000000"/>
                <w:szCs w:val="21"/>
                <w:highlight w:val="none"/>
              </w:rPr>
              <w:t>9.1.5</w:t>
            </w:r>
            <w:r>
              <w:rPr>
                <w:rFonts w:ascii="仿宋" w:hAnsi="仿宋" w:eastAsia="仿宋" w:cs="仿宋"/>
                <w:color w:val="000000"/>
                <w:szCs w:val="21"/>
                <w:highlight w:val="none"/>
              </w:rPr>
              <w:t>注射并发症发生率</w:t>
            </w:r>
          </w:p>
        </w:tc>
        <w:tc>
          <w:tcPr>
            <w:tcW w:w="1953" w:type="pct"/>
            <w:vAlign w:val="center"/>
          </w:tcPr>
          <w:p w14:paraId="3341E2B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行注射美容患者并发症例数占同期行注射美容患者总例数</w:t>
            </w:r>
            <w:r>
              <w:rPr>
                <w:rFonts w:hint="eastAsia" w:ascii="仿宋" w:hAnsi="仿宋" w:eastAsia="仿宋" w:cs="仿宋"/>
                <w:color w:val="000000"/>
                <w:szCs w:val="21"/>
                <w:highlight w:val="none"/>
                <w:lang w:eastAsia="zh-CN"/>
              </w:rPr>
              <w:t>。</w:t>
            </w:r>
          </w:p>
        </w:tc>
      </w:tr>
      <w:tr w14:paraId="1AA1D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5DDFE7E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20</w:t>
            </w:r>
            <w:r>
              <w:rPr>
                <w:rFonts w:ascii="仿宋" w:hAnsi="仿宋" w:eastAsia="仿宋" w:cs="仿宋"/>
                <w:color w:val="000000"/>
                <w:szCs w:val="21"/>
                <w:highlight w:val="none"/>
                <w:lang w:eastAsia="zh-CN"/>
              </w:rPr>
              <w:t>急诊医学专业医疗质量控制指标</w:t>
            </w:r>
          </w:p>
        </w:tc>
        <w:tc>
          <w:tcPr>
            <w:tcW w:w="974" w:type="pct"/>
            <w:vMerge w:val="restart"/>
            <w:vAlign w:val="center"/>
          </w:tcPr>
          <w:p w14:paraId="429E374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20</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急诊医学专业医疗质量控制指标</w:t>
            </w:r>
          </w:p>
        </w:tc>
        <w:tc>
          <w:tcPr>
            <w:tcW w:w="1339" w:type="pct"/>
            <w:vAlign w:val="center"/>
          </w:tcPr>
          <w:p w14:paraId="3F5F333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20</w:t>
            </w:r>
            <w:r>
              <w:rPr>
                <w:rFonts w:ascii="仿宋" w:hAnsi="仿宋" w:eastAsia="仿宋" w:cs="仿宋"/>
                <w:color w:val="000000"/>
                <w:szCs w:val="21"/>
                <w:highlight w:val="none"/>
                <w:lang w:eastAsia="zh-CN"/>
              </w:rPr>
              <w:t>.1.1院前心脏骤停ROSC成功率</w:t>
            </w:r>
          </w:p>
        </w:tc>
        <w:tc>
          <w:tcPr>
            <w:tcW w:w="1953" w:type="pct"/>
            <w:vAlign w:val="center"/>
          </w:tcPr>
          <w:p w14:paraId="0A77FF0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院前复苏成功的心脏骤停患者人数占同期行CPR的院前心脏骤停患者总人数的比例</w:t>
            </w:r>
            <w:r>
              <w:rPr>
                <w:rFonts w:hint="eastAsia" w:ascii="仿宋" w:hAnsi="仿宋" w:eastAsia="仿宋" w:cs="仿宋"/>
                <w:color w:val="000000"/>
                <w:szCs w:val="21"/>
                <w:highlight w:val="none"/>
                <w:lang w:eastAsia="zh-CN"/>
              </w:rPr>
              <w:t>。</w:t>
            </w:r>
          </w:p>
        </w:tc>
      </w:tr>
      <w:tr w14:paraId="1FA8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110AD9D9">
            <w:pPr>
              <w:textAlignment w:val="center"/>
              <w:rPr>
                <w:rFonts w:ascii="仿宋" w:hAnsi="仿宋" w:eastAsia="仿宋" w:cs="仿宋"/>
                <w:color w:val="000000"/>
                <w:szCs w:val="21"/>
                <w:highlight w:val="none"/>
                <w:lang w:eastAsia="zh-CN"/>
              </w:rPr>
            </w:pPr>
          </w:p>
        </w:tc>
        <w:tc>
          <w:tcPr>
            <w:tcW w:w="974" w:type="pct"/>
            <w:vMerge w:val="continue"/>
            <w:vAlign w:val="center"/>
          </w:tcPr>
          <w:p w14:paraId="7E8957AA">
            <w:pPr>
              <w:textAlignment w:val="center"/>
              <w:rPr>
                <w:rFonts w:ascii="仿宋" w:hAnsi="仿宋" w:eastAsia="仿宋" w:cs="仿宋"/>
                <w:color w:val="000000"/>
                <w:szCs w:val="21"/>
                <w:highlight w:val="none"/>
                <w:lang w:eastAsia="zh-CN"/>
              </w:rPr>
            </w:pPr>
          </w:p>
        </w:tc>
        <w:tc>
          <w:tcPr>
            <w:tcW w:w="1339" w:type="pct"/>
            <w:vAlign w:val="center"/>
          </w:tcPr>
          <w:p w14:paraId="4CA46AF0">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w:t>
            </w:r>
            <w:r>
              <w:rPr>
                <w:rFonts w:hint="eastAsia" w:ascii="仿宋" w:hAnsi="仿宋" w:eastAsia="仿宋" w:cs="仿宋"/>
                <w:color w:val="000000"/>
                <w:szCs w:val="21"/>
                <w:highlight w:val="none"/>
              </w:rPr>
              <w:t>20</w:t>
            </w:r>
            <w:r>
              <w:rPr>
                <w:rFonts w:ascii="仿宋" w:hAnsi="仿宋" w:eastAsia="仿宋" w:cs="仿宋"/>
                <w:color w:val="000000"/>
                <w:szCs w:val="21"/>
                <w:highlight w:val="none"/>
              </w:rPr>
              <w:t>.</w:t>
            </w:r>
            <w:r>
              <w:rPr>
                <w:rFonts w:hint="eastAsia" w:ascii="仿宋" w:hAnsi="仿宋" w:eastAsia="仿宋" w:cs="仿宋"/>
                <w:color w:val="000000"/>
                <w:szCs w:val="21"/>
                <w:highlight w:val="none"/>
              </w:rPr>
              <w:t>1.2</w:t>
            </w:r>
            <w:r>
              <w:rPr>
                <w:rFonts w:ascii="仿宋" w:hAnsi="仿宋" w:eastAsia="仿宋" w:cs="仿宋"/>
                <w:color w:val="000000"/>
                <w:szCs w:val="21"/>
                <w:highlight w:val="none"/>
              </w:rPr>
              <w:t>抢救室滞留时间</w:t>
            </w:r>
          </w:p>
        </w:tc>
        <w:tc>
          <w:tcPr>
            <w:tcW w:w="1953" w:type="pct"/>
            <w:vAlign w:val="center"/>
          </w:tcPr>
          <w:p w14:paraId="5A624C8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将患者从进入抢救室到离开抢救室（不包括死亡患者）的时间由长到短排序后取其中位数</w:t>
            </w:r>
            <w:r>
              <w:rPr>
                <w:rFonts w:hint="eastAsia" w:ascii="仿宋" w:hAnsi="仿宋" w:eastAsia="仿宋" w:cs="仿宋"/>
                <w:color w:val="000000"/>
                <w:szCs w:val="21"/>
                <w:highlight w:val="none"/>
                <w:lang w:eastAsia="zh-CN"/>
              </w:rPr>
              <w:t>。</w:t>
            </w:r>
          </w:p>
        </w:tc>
      </w:tr>
      <w:tr w14:paraId="532FA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90EC2FD">
            <w:pPr>
              <w:textAlignment w:val="center"/>
              <w:rPr>
                <w:rFonts w:ascii="仿宋" w:hAnsi="仿宋" w:eastAsia="仿宋" w:cs="仿宋"/>
                <w:color w:val="000000"/>
                <w:szCs w:val="21"/>
                <w:highlight w:val="none"/>
                <w:lang w:eastAsia="zh-CN"/>
              </w:rPr>
            </w:pPr>
          </w:p>
        </w:tc>
        <w:tc>
          <w:tcPr>
            <w:tcW w:w="974" w:type="pct"/>
            <w:vMerge w:val="continue"/>
            <w:vAlign w:val="center"/>
          </w:tcPr>
          <w:p w14:paraId="1B10EACB">
            <w:pPr>
              <w:textAlignment w:val="center"/>
              <w:rPr>
                <w:rFonts w:ascii="仿宋" w:hAnsi="仿宋" w:eastAsia="仿宋" w:cs="仿宋"/>
                <w:color w:val="000000"/>
                <w:szCs w:val="21"/>
                <w:highlight w:val="none"/>
                <w:lang w:eastAsia="zh-CN"/>
              </w:rPr>
            </w:pPr>
          </w:p>
        </w:tc>
        <w:tc>
          <w:tcPr>
            <w:tcW w:w="1339" w:type="pct"/>
            <w:vAlign w:val="center"/>
          </w:tcPr>
          <w:p w14:paraId="337753B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20</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院前心脏骤停出院存活率</w:t>
            </w:r>
          </w:p>
        </w:tc>
        <w:tc>
          <w:tcPr>
            <w:tcW w:w="1953" w:type="pct"/>
            <w:vAlign w:val="center"/>
          </w:tcPr>
          <w:p w14:paraId="07D29E0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院前心脏骤停患者出院时存活人数占同期院前心脏骤停总人数的比例。</w:t>
            </w:r>
          </w:p>
        </w:tc>
      </w:tr>
      <w:tr w14:paraId="0967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FA19464">
            <w:pPr>
              <w:textAlignment w:val="center"/>
              <w:rPr>
                <w:rFonts w:ascii="仿宋" w:hAnsi="仿宋" w:eastAsia="仿宋" w:cs="仿宋"/>
                <w:color w:val="000000"/>
                <w:szCs w:val="21"/>
                <w:highlight w:val="none"/>
                <w:lang w:eastAsia="zh-CN"/>
              </w:rPr>
            </w:pPr>
          </w:p>
        </w:tc>
        <w:tc>
          <w:tcPr>
            <w:tcW w:w="974" w:type="pct"/>
            <w:vMerge w:val="continue"/>
            <w:vAlign w:val="center"/>
          </w:tcPr>
          <w:p w14:paraId="34D019A8">
            <w:pPr>
              <w:textAlignment w:val="center"/>
              <w:rPr>
                <w:rFonts w:ascii="仿宋" w:hAnsi="仿宋" w:eastAsia="仿宋" w:cs="仿宋"/>
                <w:color w:val="000000"/>
                <w:szCs w:val="21"/>
                <w:highlight w:val="none"/>
                <w:lang w:eastAsia="zh-CN"/>
              </w:rPr>
            </w:pPr>
          </w:p>
        </w:tc>
        <w:tc>
          <w:tcPr>
            <w:tcW w:w="1339" w:type="pct"/>
            <w:vAlign w:val="center"/>
          </w:tcPr>
          <w:p w14:paraId="25FE7053">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w:t>
            </w:r>
            <w:r>
              <w:rPr>
                <w:rFonts w:hint="eastAsia" w:ascii="仿宋" w:hAnsi="仿宋" w:eastAsia="仿宋" w:cs="仿宋"/>
                <w:color w:val="000000"/>
                <w:szCs w:val="21"/>
                <w:highlight w:val="none"/>
              </w:rPr>
              <w:t>20</w:t>
            </w:r>
            <w:r>
              <w:rPr>
                <w:rFonts w:ascii="仿宋" w:hAnsi="仿宋" w:eastAsia="仿宋" w:cs="仿宋"/>
                <w:color w:val="000000"/>
                <w:szCs w:val="21"/>
                <w:highlight w:val="none"/>
              </w:rPr>
              <w:t>.</w:t>
            </w:r>
            <w:r>
              <w:rPr>
                <w:rFonts w:hint="eastAsia" w:ascii="仿宋" w:hAnsi="仿宋" w:eastAsia="仿宋" w:cs="仿宋"/>
                <w:color w:val="000000"/>
                <w:szCs w:val="21"/>
                <w:highlight w:val="none"/>
              </w:rPr>
              <w:t>1.4</w:t>
            </w:r>
            <w:r>
              <w:rPr>
                <w:rFonts w:ascii="仿宋" w:hAnsi="仿宋" w:eastAsia="仿宋" w:cs="仿宋"/>
                <w:color w:val="000000"/>
                <w:szCs w:val="21"/>
                <w:highlight w:val="none"/>
              </w:rPr>
              <w:t>急</w:t>
            </w:r>
            <w:r>
              <w:rPr>
                <w:rFonts w:hint="eastAsia" w:ascii="仿宋" w:hAnsi="仿宋" w:eastAsia="仿宋" w:cs="仿宋"/>
                <w:color w:val="000000"/>
                <w:szCs w:val="21"/>
                <w:highlight w:val="none"/>
              </w:rPr>
              <w:t>诊分级分诊</w:t>
            </w:r>
            <w:r>
              <w:rPr>
                <w:rFonts w:ascii="仿宋" w:hAnsi="仿宋" w:eastAsia="仿宋" w:cs="仿宋"/>
                <w:color w:val="000000"/>
                <w:szCs w:val="21"/>
                <w:highlight w:val="none"/>
              </w:rPr>
              <w:t>执行率</w:t>
            </w:r>
          </w:p>
        </w:tc>
        <w:tc>
          <w:tcPr>
            <w:tcW w:w="1953" w:type="pct"/>
            <w:vAlign w:val="center"/>
          </w:tcPr>
          <w:p w14:paraId="358CB9C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急诊（预检分诊）执行分级分诊的患者例次占同期急诊接诊患者总例次的比例。</w:t>
            </w:r>
          </w:p>
        </w:tc>
      </w:tr>
      <w:tr w14:paraId="1EBB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6AD074C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病理专业医疗质量控制指标</w:t>
            </w:r>
          </w:p>
        </w:tc>
        <w:tc>
          <w:tcPr>
            <w:tcW w:w="974" w:type="pct"/>
            <w:vMerge w:val="restart"/>
            <w:vAlign w:val="center"/>
          </w:tcPr>
          <w:p w14:paraId="1029680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病理专业医疗质量控制指标</w:t>
            </w:r>
          </w:p>
        </w:tc>
        <w:tc>
          <w:tcPr>
            <w:tcW w:w="1339" w:type="pct"/>
            <w:vAlign w:val="center"/>
          </w:tcPr>
          <w:p w14:paraId="57205DB9">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1</w:t>
            </w:r>
            <w:r>
              <w:rPr>
                <w:rFonts w:ascii="仿宋" w:hAnsi="仿宋" w:eastAsia="仿宋" w:cs="仿宋"/>
                <w:color w:val="000000"/>
                <w:szCs w:val="21"/>
                <w:highlight w:val="none"/>
              </w:rPr>
              <w:t>.1.1组织病理诊断及时率</w:t>
            </w:r>
          </w:p>
        </w:tc>
        <w:tc>
          <w:tcPr>
            <w:tcW w:w="1953" w:type="pct"/>
            <w:vAlign w:val="center"/>
          </w:tcPr>
          <w:p w14:paraId="57A18C1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规定时间内完成组织病理诊断的报告数占同期组织病理诊断报告总数的比例，反映组织病理诊断的及时性。规定时间是指穿刺、内窥镜钳取活检的小标本，自接收标本起，</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3个工作日发出病理报告</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各类型大标本自接收标本起，</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5个工作日发出病理报告</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需特殊处理、特殊染色、免疫组织化学染色、分子检测的病例按照有关行业标准增加相应的工作日。</w:t>
            </w:r>
          </w:p>
        </w:tc>
      </w:tr>
      <w:tr w14:paraId="621C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B6E03D0">
            <w:pPr>
              <w:textAlignment w:val="center"/>
              <w:rPr>
                <w:rFonts w:ascii="仿宋" w:hAnsi="仿宋" w:eastAsia="仿宋" w:cs="仿宋"/>
                <w:color w:val="000000"/>
                <w:szCs w:val="21"/>
                <w:highlight w:val="none"/>
                <w:lang w:eastAsia="zh-CN"/>
              </w:rPr>
            </w:pPr>
          </w:p>
        </w:tc>
        <w:tc>
          <w:tcPr>
            <w:tcW w:w="974" w:type="pct"/>
            <w:vMerge w:val="continue"/>
            <w:vAlign w:val="center"/>
          </w:tcPr>
          <w:p w14:paraId="6C86956E">
            <w:pPr>
              <w:textAlignment w:val="center"/>
              <w:rPr>
                <w:rFonts w:ascii="仿宋" w:hAnsi="仿宋" w:eastAsia="仿宋" w:cs="仿宋"/>
                <w:color w:val="000000"/>
                <w:szCs w:val="21"/>
                <w:highlight w:val="none"/>
                <w:lang w:eastAsia="zh-CN"/>
              </w:rPr>
            </w:pPr>
          </w:p>
        </w:tc>
        <w:tc>
          <w:tcPr>
            <w:tcW w:w="1339" w:type="pct"/>
            <w:vAlign w:val="center"/>
          </w:tcPr>
          <w:p w14:paraId="400E9695">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1</w:t>
            </w:r>
            <w:r>
              <w:rPr>
                <w:rFonts w:ascii="仿宋" w:hAnsi="仿宋" w:eastAsia="仿宋" w:cs="仿宋"/>
                <w:color w:val="000000"/>
                <w:szCs w:val="21"/>
                <w:highlight w:val="none"/>
              </w:rPr>
              <w:t>.1.2细胞病理诊断及时率</w:t>
            </w:r>
          </w:p>
        </w:tc>
        <w:tc>
          <w:tcPr>
            <w:tcW w:w="1953" w:type="pct"/>
            <w:vAlign w:val="center"/>
          </w:tcPr>
          <w:p w14:paraId="6492EEA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规定时间内完成细胞病理诊断的报告数占同期细胞病理诊断报告总数的比例，反映细胞病理诊断的及时性。规定时间是指病理科在收到细胞标本后2个工作日内完成诊断报告</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需特殊处理、特殊染色、免疫组化染色、分子检测的标本，按照相关指南增加相应的工作日。</w:t>
            </w:r>
          </w:p>
        </w:tc>
      </w:tr>
      <w:tr w14:paraId="33279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4720924">
            <w:pPr>
              <w:textAlignment w:val="center"/>
              <w:rPr>
                <w:rFonts w:ascii="仿宋" w:hAnsi="仿宋" w:eastAsia="仿宋" w:cs="仿宋"/>
                <w:color w:val="000000"/>
                <w:szCs w:val="21"/>
                <w:highlight w:val="none"/>
                <w:lang w:eastAsia="zh-CN"/>
              </w:rPr>
            </w:pPr>
          </w:p>
        </w:tc>
        <w:tc>
          <w:tcPr>
            <w:tcW w:w="974" w:type="pct"/>
            <w:vMerge w:val="continue"/>
            <w:vAlign w:val="center"/>
          </w:tcPr>
          <w:p w14:paraId="19B55720">
            <w:pPr>
              <w:textAlignment w:val="center"/>
              <w:rPr>
                <w:rFonts w:ascii="仿宋" w:hAnsi="仿宋" w:eastAsia="仿宋" w:cs="仿宋"/>
                <w:color w:val="000000"/>
                <w:szCs w:val="21"/>
                <w:highlight w:val="none"/>
                <w:lang w:eastAsia="zh-CN"/>
              </w:rPr>
            </w:pPr>
          </w:p>
        </w:tc>
        <w:tc>
          <w:tcPr>
            <w:tcW w:w="1339" w:type="pct"/>
            <w:vAlign w:val="center"/>
          </w:tcPr>
          <w:p w14:paraId="1198A3C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1</w:t>
            </w:r>
            <w:r>
              <w:rPr>
                <w:rFonts w:ascii="仿宋" w:hAnsi="仿宋" w:eastAsia="仿宋" w:cs="仿宋"/>
                <w:color w:val="000000"/>
                <w:szCs w:val="21"/>
                <w:highlight w:val="none"/>
                <w:lang w:eastAsia="zh-CN"/>
              </w:rPr>
              <w:t>.1.3术中快速病理诊断及时率</w:t>
            </w:r>
          </w:p>
        </w:tc>
        <w:tc>
          <w:tcPr>
            <w:tcW w:w="1953" w:type="pct"/>
            <w:vAlign w:val="center"/>
          </w:tcPr>
          <w:p w14:paraId="71BFE295">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规定时间内完成术中快速病理诊断的报告数占同期术中快速病理诊断报告总数的比例，反映术中快速病理诊断的及时性。规定时间是指病理科在收到单例标本（取材块数</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3块）后30分钟内完成诊断报告</w:t>
            </w:r>
            <w:r>
              <w:rPr>
                <w:rFonts w:hint="eastAsia" w:ascii="仿宋" w:hAnsi="仿宋" w:eastAsia="仿宋" w:cs="仿宋"/>
                <w:color w:val="000000"/>
                <w:szCs w:val="21"/>
                <w:highlight w:val="none"/>
                <w:lang w:eastAsia="zh-CN"/>
              </w:rPr>
              <w:t>；</w:t>
            </w:r>
            <w:r>
              <w:rPr>
                <w:rFonts w:ascii="仿宋" w:hAnsi="仿宋" w:eastAsia="仿宋" w:cs="仿宋"/>
                <w:color w:val="000000"/>
                <w:szCs w:val="21"/>
                <w:highlight w:val="none"/>
                <w:lang w:eastAsia="zh-CN"/>
              </w:rPr>
              <w:t>若前一例标本诊断报告未完成，新标本诊断报告应在45分钟内完成。</w:t>
            </w:r>
          </w:p>
        </w:tc>
      </w:tr>
      <w:tr w14:paraId="7E2B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C555146">
            <w:pPr>
              <w:textAlignment w:val="center"/>
              <w:rPr>
                <w:rFonts w:ascii="仿宋" w:hAnsi="仿宋" w:eastAsia="仿宋" w:cs="仿宋"/>
                <w:color w:val="000000"/>
                <w:szCs w:val="21"/>
                <w:highlight w:val="none"/>
                <w:lang w:eastAsia="zh-CN"/>
              </w:rPr>
            </w:pPr>
          </w:p>
        </w:tc>
        <w:tc>
          <w:tcPr>
            <w:tcW w:w="974" w:type="pct"/>
            <w:vMerge w:val="continue"/>
            <w:vAlign w:val="center"/>
          </w:tcPr>
          <w:p w14:paraId="2ADC32ED">
            <w:pPr>
              <w:textAlignment w:val="center"/>
              <w:rPr>
                <w:rFonts w:ascii="仿宋" w:hAnsi="仿宋" w:eastAsia="仿宋" w:cs="仿宋"/>
                <w:color w:val="000000"/>
                <w:szCs w:val="21"/>
                <w:highlight w:val="none"/>
                <w:lang w:eastAsia="zh-CN"/>
              </w:rPr>
            </w:pPr>
          </w:p>
        </w:tc>
        <w:tc>
          <w:tcPr>
            <w:tcW w:w="1339" w:type="pct"/>
            <w:vAlign w:val="center"/>
          </w:tcPr>
          <w:p w14:paraId="661432A1">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1.1.4</w:t>
            </w:r>
            <w:r>
              <w:rPr>
                <w:rFonts w:ascii="仿宋" w:hAnsi="仿宋" w:eastAsia="仿宋" w:cs="仿宋"/>
                <w:color w:val="000000"/>
                <w:szCs w:val="21"/>
                <w:highlight w:val="none"/>
              </w:rPr>
              <w:t>病理室间质评合格率</w:t>
            </w:r>
          </w:p>
        </w:tc>
        <w:tc>
          <w:tcPr>
            <w:tcW w:w="1953" w:type="pct"/>
            <w:vAlign w:val="center"/>
          </w:tcPr>
          <w:p w14:paraId="380A7B7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病理室间质评合格项目数占同期参加病理室间质评总项目数。病理室间质评合格</w:t>
            </w:r>
            <w:r>
              <w:rPr>
                <w:rFonts w:hint="eastAsia" w:ascii="仿宋" w:hAnsi="仿宋" w:eastAsia="仿宋" w:cs="仿宋"/>
                <w:color w:val="000000"/>
                <w:szCs w:val="21"/>
                <w:highlight w:val="none"/>
                <w:lang w:eastAsia="zh-CN"/>
              </w:rPr>
              <w:t>率</w:t>
            </w:r>
            <w:r>
              <w:rPr>
                <w:rFonts w:ascii="仿宋" w:hAnsi="仿宋" w:eastAsia="仿宋" w:cs="仿宋"/>
                <w:color w:val="000000"/>
                <w:szCs w:val="21"/>
                <w:highlight w:val="none"/>
                <w:lang w:eastAsia="zh-CN"/>
              </w:rPr>
              <w:t>，是指参加省级及以上病理质控中心、国际标准化组织（ISO）或中国合格评定国家认可委员会（CNAS）</w:t>
            </w:r>
            <w:r>
              <w:rPr>
                <w:rFonts w:hint="eastAsia" w:ascii="仿宋" w:hAnsi="仿宋" w:eastAsia="仿宋" w:cs="仿宋"/>
                <w:color w:val="000000"/>
                <w:szCs w:val="21"/>
                <w:highlight w:val="none"/>
                <w:lang w:eastAsia="zh-CN"/>
              </w:rPr>
              <w:t>认可的</w:t>
            </w:r>
            <w:r>
              <w:rPr>
                <w:rFonts w:ascii="仿宋" w:hAnsi="仿宋" w:eastAsia="仿宋" w:cs="仿宋"/>
                <w:color w:val="000000"/>
                <w:szCs w:val="21"/>
                <w:highlight w:val="none"/>
                <w:lang w:eastAsia="zh-CN"/>
              </w:rPr>
              <w:t>等质控机构组织的室间质评，并达到合格标准。</w:t>
            </w:r>
            <w:r>
              <w:rPr>
                <w:rFonts w:ascii="仿宋" w:hAnsi="仿宋" w:eastAsia="仿宋" w:cs="仿宋"/>
                <w:color w:val="000000"/>
                <w:szCs w:val="21"/>
                <w:highlight w:val="none"/>
                <w:lang w:eastAsia="zh-CN"/>
              </w:rPr>
              <w:br w:type="textWrapping"/>
            </w:r>
            <w:r>
              <w:rPr>
                <w:rFonts w:ascii="仿宋" w:hAnsi="仿宋" w:eastAsia="仿宋" w:cs="仿宋"/>
                <w:color w:val="000000"/>
                <w:szCs w:val="21"/>
                <w:highlight w:val="none"/>
                <w:lang w:eastAsia="zh-CN"/>
              </w:rPr>
              <w:t>病理室间质评覆盖范围：组织病理、细胞病理、常规技术、特殊染色、分子病理、免疫组化项目等。</w:t>
            </w:r>
          </w:p>
        </w:tc>
      </w:tr>
      <w:tr w14:paraId="49923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3FA4FD1">
            <w:pPr>
              <w:textAlignment w:val="center"/>
              <w:rPr>
                <w:rFonts w:ascii="仿宋" w:hAnsi="仿宋" w:eastAsia="仿宋" w:cs="仿宋"/>
                <w:color w:val="000000"/>
                <w:szCs w:val="21"/>
                <w:highlight w:val="none"/>
                <w:lang w:eastAsia="zh-CN"/>
              </w:rPr>
            </w:pPr>
          </w:p>
        </w:tc>
        <w:tc>
          <w:tcPr>
            <w:tcW w:w="974" w:type="pct"/>
            <w:vMerge w:val="continue"/>
            <w:vAlign w:val="center"/>
          </w:tcPr>
          <w:p w14:paraId="0BFA8B43">
            <w:pPr>
              <w:textAlignment w:val="center"/>
              <w:rPr>
                <w:rFonts w:ascii="仿宋" w:hAnsi="仿宋" w:eastAsia="仿宋" w:cs="仿宋"/>
                <w:color w:val="000000"/>
                <w:szCs w:val="21"/>
                <w:highlight w:val="none"/>
                <w:lang w:eastAsia="zh-CN"/>
              </w:rPr>
            </w:pPr>
          </w:p>
        </w:tc>
        <w:tc>
          <w:tcPr>
            <w:tcW w:w="1339" w:type="pct"/>
            <w:vAlign w:val="center"/>
          </w:tcPr>
          <w:p w14:paraId="0E8ECC9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1.1.5</w:t>
            </w:r>
            <w:r>
              <w:rPr>
                <w:rFonts w:ascii="仿宋" w:hAnsi="仿宋" w:eastAsia="仿宋" w:cs="仿宋"/>
                <w:color w:val="000000"/>
                <w:szCs w:val="21"/>
                <w:highlight w:val="none"/>
                <w:lang w:eastAsia="zh-CN"/>
              </w:rPr>
              <w:t>术中快速病理诊断与术后常规病理诊断符合率</w:t>
            </w:r>
          </w:p>
        </w:tc>
        <w:tc>
          <w:tcPr>
            <w:tcW w:w="1953" w:type="pct"/>
            <w:vAlign w:val="center"/>
          </w:tcPr>
          <w:p w14:paraId="68C76A2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术中快速诊断与石蜡诊断符合的报告数占同期术中快速诊断报告总数的比例。本指标中术中诊断符合是指在良恶性病变定性诊断一致，反映术中快速诊断准确性。</w:t>
            </w:r>
          </w:p>
        </w:tc>
      </w:tr>
      <w:tr w14:paraId="2CAA4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0E237D46">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2</w:t>
            </w:r>
            <w:r>
              <w:rPr>
                <w:rFonts w:ascii="仿宋" w:hAnsi="仿宋" w:eastAsia="仿宋" w:cs="仿宋"/>
                <w:color w:val="000000"/>
                <w:szCs w:val="21"/>
                <w:highlight w:val="none"/>
                <w:lang w:eastAsia="zh-CN"/>
              </w:rPr>
              <w:t>放射影像专业医疗质量控制指标</w:t>
            </w:r>
          </w:p>
        </w:tc>
        <w:tc>
          <w:tcPr>
            <w:tcW w:w="974" w:type="pct"/>
            <w:vMerge w:val="restart"/>
            <w:vAlign w:val="center"/>
          </w:tcPr>
          <w:p w14:paraId="5204899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2</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放射影像专业医疗质量控制指标</w:t>
            </w:r>
          </w:p>
        </w:tc>
        <w:tc>
          <w:tcPr>
            <w:tcW w:w="1339" w:type="pct"/>
            <w:vAlign w:val="center"/>
          </w:tcPr>
          <w:p w14:paraId="36A59A26">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2</w:t>
            </w:r>
            <w:r>
              <w:rPr>
                <w:rFonts w:ascii="仿宋" w:hAnsi="仿宋" w:eastAsia="仿宋" w:cs="仿宋"/>
                <w:color w:val="000000"/>
                <w:szCs w:val="21"/>
                <w:highlight w:val="none"/>
              </w:rPr>
              <w:t>.1.1CT检查年阳性率</w:t>
            </w:r>
          </w:p>
        </w:tc>
        <w:tc>
          <w:tcPr>
            <w:tcW w:w="1953" w:type="pct"/>
            <w:vAlign w:val="center"/>
          </w:tcPr>
          <w:p w14:paraId="43FB428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CT检查年阳性例次数占同期CT检查总例次数的比例</w:t>
            </w:r>
            <w:r>
              <w:rPr>
                <w:rFonts w:hint="eastAsia" w:ascii="仿宋" w:hAnsi="仿宋" w:eastAsia="仿宋" w:cs="仿宋"/>
                <w:color w:val="000000"/>
                <w:szCs w:val="21"/>
                <w:highlight w:val="none"/>
                <w:lang w:eastAsia="zh-CN"/>
              </w:rPr>
              <w:t>。</w:t>
            </w:r>
          </w:p>
        </w:tc>
      </w:tr>
      <w:tr w14:paraId="2D32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F611AD3">
            <w:pPr>
              <w:textAlignment w:val="center"/>
              <w:rPr>
                <w:rFonts w:ascii="仿宋" w:hAnsi="仿宋" w:eastAsia="仿宋" w:cs="仿宋"/>
                <w:color w:val="000000"/>
                <w:szCs w:val="21"/>
                <w:highlight w:val="none"/>
                <w:lang w:eastAsia="zh-CN"/>
              </w:rPr>
            </w:pPr>
          </w:p>
        </w:tc>
        <w:tc>
          <w:tcPr>
            <w:tcW w:w="974" w:type="pct"/>
            <w:vMerge w:val="continue"/>
            <w:vAlign w:val="center"/>
          </w:tcPr>
          <w:p w14:paraId="1661F717">
            <w:pPr>
              <w:textAlignment w:val="center"/>
              <w:rPr>
                <w:rFonts w:ascii="仿宋" w:hAnsi="仿宋" w:eastAsia="仿宋" w:cs="仿宋"/>
                <w:color w:val="000000"/>
                <w:szCs w:val="21"/>
                <w:highlight w:val="none"/>
                <w:lang w:eastAsia="zh-CN"/>
              </w:rPr>
            </w:pPr>
          </w:p>
        </w:tc>
        <w:tc>
          <w:tcPr>
            <w:tcW w:w="1339" w:type="pct"/>
            <w:vAlign w:val="center"/>
          </w:tcPr>
          <w:p w14:paraId="06054873">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2</w:t>
            </w:r>
            <w:r>
              <w:rPr>
                <w:rFonts w:ascii="仿宋" w:hAnsi="仿宋" w:eastAsia="仿宋" w:cs="仿宋"/>
                <w:color w:val="000000"/>
                <w:szCs w:val="21"/>
                <w:highlight w:val="none"/>
              </w:rPr>
              <w:t>.</w:t>
            </w:r>
            <w:r>
              <w:rPr>
                <w:rFonts w:hint="eastAsia" w:ascii="仿宋" w:hAnsi="仿宋" w:eastAsia="仿宋" w:cs="仿宋"/>
                <w:color w:val="000000"/>
                <w:szCs w:val="21"/>
                <w:highlight w:val="none"/>
              </w:rPr>
              <w:t>1.2</w:t>
            </w:r>
            <w:r>
              <w:rPr>
                <w:rFonts w:ascii="仿宋" w:hAnsi="仿宋" w:eastAsia="仿宋" w:cs="仿宋"/>
                <w:color w:val="000000"/>
                <w:szCs w:val="21"/>
                <w:highlight w:val="none"/>
              </w:rPr>
              <w:t>磁共振检查年阳性率</w:t>
            </w:r>
          </w:p>
        </w:tc>
        <w:tc>
          <w:tcPr>
            <w:tcW w:w="1953" w:type="pct"/>
            <w:vAlign w:val="center"/>
          </w:tcPr>
          <w:p w14:paraId="6D87339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磁共振检查年阳性例次数占同期磁共振检查总例次数的比例</w:t>
            </w:r>
            <w:r>
              <w:rPr>
                <w:rFonts w:hint="eastAsia" w:ascii="仿宋" w:hAnsi="仿宋" w:eastAsia="仿宋" w:cs="仿宋"/>
                <w:color w:val="000000"/>
                <w:szCs w:val="21"/>
                <w:highlight w:val="none"/>
                <w:lang w:eastAsia="zh-CN"/>
              </w:rPr>
              <w:t>。</w:t>
            </w:r>
          </w:p>
        </w:tc>
      </w:tr>
      <w:tr w14:paraId="1995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1CDC3B18">
            <w:pPr>
              <w:textAlignment w:val="center"/>
              <w:rPr>
                <w:rFonts w:ascii="仿宋" w:hAnsi="仿宋" w:eastAsia="仿宋" w:cs="仿宋"/>
                <w:color w:val="000000"/>
                <w:szCs w:val="21"/>
                <w:highlight w:val="none"/>
                <w:lang w:eastAsia="zh-CN"/>
              </w:rPr>
            </w:pPr>
          </w:p>
        </w:tc>
        <w:tc>
          <w:tcPr>
            <w:tcW w:w="974" w:type="pct"/>
            <w:vMerge w:val="continue"/>
            <w:vAlign w:val="center"/>
          </w:tcPr>
          <w:p w14:paraId="4D802AE7">
            <w:pPr>
              <w:textAlignment w:val="center"/>
              <w:rPr>
                <w:rFonts w:ascii="仿宋" w:hAnsi="仿宋" w:eastAsia="仿宋" w:cs="仿宋"/>
                <w:color w:val="000000"/>
                <w:szCs w:val="21"/>
                <w:highlight w:val="none"/>
                <w:lang w:eastAsia="zh-CN"/>
              </w:rPr>
            </w:pPr>
          </w:p>
        </w:tc>
        <w:tc>
          <w:tcPr>
            <w:tcW w:w="1339" w:type="pct"/>
            <w:vAlign w:val="center"/>
          </w:tcPr>
          <w:p w14:paraId="0BD8ABC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2.1.3</w:t>
            </w:r>
            <w:r>
              <w:rPr>
                <w:rFonts w:ascii="仿宋" w:hAnsi="仿宋" w:eastAsia="仿宋" w:cs="仿宋"/>
                <w:color w:val="000000"/>
                <w:szCs w:val="21"/>
                <w:highlight w:val="none"/>
                <w:lang w:eastAsia="zh-CN"/>
              </w:rPr>
              <w:t>急诊放射影像检查报告及时完成率</w:t>
            </w:r>
          </w:p>
        </w:tc>
        <w:tc>
          <w:tcPr>
            <w:tcW w:w="1953" w:type="pct"/>
            <w:vAlign w:val="center"/>
          </w:tcPr>
          <w:p w14:paraId="322C50E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2小时内完成的急诊放射影像检查报告份数占同期急诊放射影像检查报告总份数的比例</w:t>
            </w:r>
            <w:r>
              <w:rPr>
                <w:rFonts w:hint="eastAsia" w:ascii="仿宋" w:hAnsi="仿宋" w:eastAsia="仿宋" w:cs="仿宋"/>
                <w:color w:val="000000"/>
                <w:szCs w:val="21"/>
                <w:highlight w:val="none"/>
                <w:lang w:eastAsia="zh-CN"/>
              </w:rPr>
              <w:t>。</w:t>
            </w:r>
          </w:p>
        </w:tc>
      </w:tr>
      <w:tr w14:paraId="0B56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169E2EDD">
            <w:pPr>
              <w:textAlignment w:val="center"/>
              <w:rPr>
                <w:rFonts w:ascii="仿宋" w:hAnsi="仿宋" w:eastAsia="仿宋" w:cs="仿宋"/>
                <w:color w:val="000000"/>
                <w:szCs w:val="21"/>
                <w:highlight w:val="none"/>
                <w:lang w:eastAsia="zh-CN"/>
              </w:rPr>
            </w:pPr>
          </w:p>
        </w:tc>
        <w:tc>
          <w:tcPr>
            <w:tcW w:w="974" w:type="pct"/>
            <w:vMerge w:val="continue"/>
            <w:vAlign w:val="center"/>
          </w:tcPr>
          <w:p w14:paraId="548A5BDF">
            <w:pPr>
              <w:textAlignment w:val="center"/>
              <w:rPr>
                <w:rFonts w:ascii="仿宋" w:hAnsi="仿宋" w:eastAsia="仿宋" w:cs="仿宋"/>
                <w:color w:val="000000"/>
                <w:szCs w:val="21"/>
                <w:highlight w:val="none"/>
                <w:lang w:eastAsia="zh-CN"/>
              </w:rPr>
            </w:pPr>
          </w:p>
        </w:tc>
        <w:tc>
          <w:tcPr>
            <w:tcW w:w="1339" w:type="pct"/>
            <w:vAlign w:val="center"/>
          </w:tcPr>
          <w:p w14:paraId="69F1050D">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w:t>
            </w:r>
            <w:r>
              <w:rPr>
                <w:rFonts w:hint="eastAsia" w:ascii="仿宋" w:hAnsi="仿宋" w:eastAsia="仿宋" w:cs="仿宋"/>
                <w:color w:val="000000"/>
                <w:szCs w:val="21"/>
                <w:highlight w:val="none"/>
              </w:rPr>
              <w:t>22.1.4</w:t>
            </w:r>
            <w:r>
              <w:rPr>
                <w:rFonts w:ascii="仿宋" w:hAnsi="仿宋" w:eastAsia="仿宋" w:cs="仿宋"/>
                <w:color w:val="000000"/>
                <w:szCs w:val="21"/>
                <w:highlight w:val="none"/>
              </w:rPr>
              <w:t>图像质量评分</w:t>
            </w:r>
          </w:p>
        </w:tc>
        <w:tc>
          <w:tcPr>
            <w:tcW w:w="1953" w:type="pct"/>
            <w:vAlign w:val="center"/>
          </w:tcPr>
          <w:p w14:paraId="3BF88C4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对影像图像质量的综合评价，反映放射影像检查的图像质量</w:t>
            </w:r>
            <w:r>
              <w:rPr>
                <w:rFonts w:hint="eastAsia" w:ascii="仿宋" w:hAnsi="仿宋" w:eastAsia="仿宋" w:cs="仿宋"/>
                <w:color w:val="000000"/>
                <w:szCs w:val="21"/>
                <w:highlight w:val="none"/>
                <w:lang w:eastAsia="zh-CN"/>
              </w:rPr>
              <w:t>。</w:t>
            </w:r>
          </w:p>
        </w:tc>
      </w:tr>
      <w:tr w14:paraId="6BA24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F12373A">
            <w:pPr>
              <w:textAlignment w:val="center"/>
              <w:rPr>
                <w:rFonts w:ascii="仿宋" w:hAnsi="仿宋" w:eastAsia="仿宋" w:cs="仿宋"/>
                <w:color w:val="000000"/>
                <w:szCs w:val="21"/>
                <w:highlight w:val="none"/>
                <w:lang w:eastAsia="zh-CN"/>
              </w:rPr>
            </w:pPr>
          </w:p>
        </w:tc>
        <w:tc>
          <w:tcPr>
            <w:tcW w:w="974" w:type="pct"/>
            <w:vMerge w:val="continue"/>
            <w:vAlign w:val="center"/>
          </w:tcPr>
          <w:p w14:paraId="3F136B60">
            <w:pPr>
              <w:textAlignment w:val="center"/>
              <w:rPr>
                <w:rFonts w:ascii="仿宋" w:hAnsi="仿宋" w:eastAsia="仿宋" w:cs="仿宋"/>
                <w:color w:val="000000"/>
                <w:szCs w:val="21"/>
                <w:highlight w:val="none"/>
                <w:lang w:eastAsia="zh-CN"/>
              </w:rPr>
            </w:pPr>
          </w:p>
        </w:tc>
        <w:tc>
          <w:tcPr>
            <w:tcW w:w="1339" w:type="pct"/>
            <w:vAlign w:val="center"/>
          </w:tcPr>
          <w:p w14:paraId="77644138">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w:t>
            </w:r>
            <w:r>
              <w:rPr>
                <w:rFonts w:hint="eastAsia" w:ascii="仿宋" w:hAnsi="仿宋" w:eastAsia="仿宋" w:cs="仿宋"/>
                <w:color w:val="000000"/>
                <w:szCs w:val="21"/>
                <w:highlight w:val="none"/>
              </w:rPr>
              <w:t>22.1.5</w:t>
            </w:r>
            <w:r>
              <w:rPr>
                <w:rFonts w:ascii="仿宋" w:hAnsi="仿宋" w:eastAsia="仿宋" w:cs="仿宋"/>
                <w:color w:val="000000"/>
                <w:szCs w:val="21"/>
                <w:highlight w:val="none"/>
              </w:rPr>
              <w:t>报告质量评分</w:t>
            </w:r>
          </w:p>
        </w:tc>
        <w:tc>
          <w:tcPr>
            <w:tcW w:w="1953" w:type="pct"/>
            <w:vAlign w:val="center"/>
          </w:tcPr>
          <w:p w14:paraId="5AD9854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对影像报告质量的综合评价，</w:t>
            </w:r>
            <w:r>
              <w:rPr>
                <w:rFonts w:hint="eastAsia" w:ascii="仿宋" w:hAnsi="仿宋" w:eastAsia="仿宋" w:cs="仿宋"/>
                <w:color w:val="000000"/>
                <w:szCs w:val="21"/>
                <w:highlight w:val="none"/>
                <w:lang w:eastAsia="zh-CN"/>
              </w:rPr>
              <w:t>反映</w:t>
            </w:r>
            <w:r>
              <w:rPr>
                <w:rFonts w:ascii="仿宋" w:hAnsi="仿宋" w:eastAsia="仿宋" w:cs="仿宋"/>
                <w:color w:val="000000"/>
                <w:szCs w:val="21"/>
                <w:highlight w:val="none"/>
                <w:lang w:eastAsia="zh-CN"/>
              </w:rPr>
              <w:t>放射影像检查报告书写质量</w:t>
            </w:r>
            <w:r>
              <w:rPr>
                <w:rFonts w:hint="eastAsia" w:ascii="仿宋" w:hAnsi="仿宋" w:eastAsia="仿宋" w:cs="仿宋"/>
                <w:color w:val="000000"/>
                <w:szCs w:val="21"/>
                <w:highlight w:val="none"/>
                <w:lang w:eastAsia="zh-CN"/>
              </w:rPr>
              <w:t>。</w:t>
            </w:r>
          </w:p>
        </w:tc>
      </w:tr>
      <w:tr w14:paraId="7E9D4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33" w:type="pct"/>
            <w:vMerge w:val="restart"/>
            <w:vAlign w:val="center"/>
          </w:tcPr>
          <w:p w14:paraId="4A8302C7">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3</w:t>
            </w:r>
            <w:r>
              <w:rPr>
                <w:rFonts w:ascii="仿宋" w:hAnsi="仿宋" w:eastAsia="仿宋" w:cs="仿宋"/>
                <w:color w:val="000000"/>
                <w:szCs w:val="21"/>
                <w:highlight w:val="none"/>
                <w:lang w:eastAsia="zh-CN"/>
              </w:rPr>
              <w:t>门诊管理医疗质量控制指标</w:t>
            </w:r>
          </w:p>
        </w:tc>
        <w:tc>
          <w:tcPr>
            <w:tcW w:w="974" w:type="pct"/>
            <w:vMerge w:val="restart"/>
            <w:vAlign w:val="center"/>
          </w:tcPr>
          <w:p w14:paraId="4BE91C2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3</w:t>
            </w:r>
            <w:r>
              <w:rPr>
                <w:rFonts w:ascii="仿宋" w:hAnsi="仿宋" w:eastAsia="仿宋" w:cs="仿宋"/>
                <w:color w:val="000000"/>
                <w:szCs w:val="21"/>
                <w:highlight w:val="none"/>
                <w:lang w:eastAsia="zh-CN"/>
              </w:rPr>
              <w:t>.1门诊管理医疗质量控制指标</w:t>
            </w:r>
          </w:p>
        </w:tc>
        <w:tc>
          <w:tcPr>
            <w:tcW w:w="1339" w:type="pct"/>
            <w:vAlign w:val="center"/>
          </w:tcPr>
          <w:p w14:paraId="3CA8A39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3</w:t>
            </w:r>
            <w:r>
              <w:rPr>
                <w:rFonts w:ascii="仿宋" w:hAnsi="仿宋" w:eastAsia="仿宋" w:cs="仿宋"/>
                <w:color w:val="000000"/>
                <w:szCs w:val="21"/>
                <w:highlight w:val="none"/>
                <w:lang w:eastAsia="zh-CN"/>
              </w:rPr>
              <w:t>.1.1门诊标准诊断使用率（%）</w:t>
            </w:r>
          </w:p>
        </w:tc>
        <w:tc>
          <w:tcPr>
            <w:tcW w:w="1953" w:type="pct"/>
            <w:vAlign w:val="center"/>
          </w:tcPr>
          <w:p w14:paraId="4AAF35BC">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使用标准诊断的门诊病历份数占同期门诊病历总份数的比例</w:t>
            </w:r>
            <w:r>
              <w:rPr>
                <w:rFonts w:hint="eastAsia" w:ascii="仿宋" w:hAnsi="仿宋" w:eastAsia="仿宋" w:cs="仿宋"/>
                <w:color w:val="000000"/>
                <w:szCs w:val="21"/>
                <w:highlight w:val="none"/>
                <w:lang w:eastAsia="zh-CN"/>
              </w:rPr>
              <w:t>。</w:t>
            </w:r>
          </w:p>
        </w:tc>
      </w:tr>
      <w:tr w14:paraId="4DD9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4781C64">
            <w:pPr>
              <w:textAlignment w:val="center"/>
              <w:rPr>
                <w:rFonts w:ascii="仿宋" w:hAnsi="仿宋" w:eastAsia="仿宋" w:cs="仿宋"/>
                <w:color w:val="000000"/>
                <w:szCs w:val="21"/>
                <w:highlight w:val="none"/>
                <w:lang w:eastAsia="zh-CN"/>
              </w:rPr>
            </w:pPr>
          </w:p>
        </w:tc>
        <w:tc>
          <w:tcPr>
            <w:tcW w:w="974" w:type="pct"/>
            <w:vMerge w:val="continue"/>
            <w:vAlign w:val="center"/>
          </w:tcPr>
          <w:p w14:paraId="79590C0B">
            <w:pPr>
              <w:textAlignment w:val="center"/>
              <w:rPr>
                <w:rFonts w:ascii="仿宋" w:hAnsi="仿宋" w:eastAsia="仿宋" w:cs="仿宋"/>
                <w:color w:val="000000"/>
                <w:szCs w:val="21"/>
                <w:highlight w:val="none"/>
                <w:lang w:eastAsia="zh-CN"/>
              </w:rPr>
            </w:pPr>
          </w:p>
        </w:tc>
        <w:tc>
          <w:tcPr>
            <w:tcW w:w="1339" w:type="pct"/>
            <w:vAlign w:val="center"/>
          </w:tcPr>
          <w:p w14:paraId="57A61207">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3.1.2</w:t>
            </w:r>
            <w:r>
              <w:rPr>
                <w:rFonts w:ascii="仿宋" w:hAnsi="仿宋" w:eastAsia="仿宋" w:cs="仿宋"/>
                <w:color w:val="000000"/>
                <w:szCs w:val="21"/>
                <w:highlight w:val="none"/>
              </w:rPr>
              <w:t>门诊准时出诊率（%）</w:t>
            </w:r>
          </w:p>
        </w:tc>
        <w:tc>
          <w:tcPr>
            <w:tcW w:w="1953" w:type="pct"/>
            <w:vAlign w:val="center"/>
          </w:tcPr>
          <w:p w14:paraId="4371620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医务人员准时出诊的门诊单元数占同期出诊门诊单元总数的比例</w:t>
            </w:r>
            <w:r>
              <w:rPr>
                <w:rFonts w:hint="eastAsia" w:ascii="仿宋" w:hAnsi="仿宋" w:eastAsia="仿宋" w:cs="仿宋"/>
                <w:color w:val="000000"/>
                <w:szCs w:val="21"/>
                <w:highlight w:val="none"/>
                <w:lang w:eastAsia="zh-CN"/>
              </w:rPr>
              <w:t>。</w:t>
            </w:r>
          </w:p>
        </w:tc>
      </w:tr>
      <w:tr w14:paraId="72C6D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110603C3">
            <w:pPr>
              <w:textAlignment w:val="center"/>
              <w:rPr>
                <w:rFonts w:ascii="仿宋" w:hAnsi="仿宋" w:eastAsia="仿宋" w:cs="仿宋"/>
                <w:color w:val="000000"/>
                <w:szCs w:val="21"/>
                <w:highlight w:val="none"/>
                <w:lang w:eastAsia="zh-CN"/>
              </w:rPr>
            </w:pPr>
          </w:p>
        </w:tc>
        <w:tc>
          <w:tcPr>
            <w:tcW w:w="974" w:type="pct"/>
            <w:vMerge w:val="continue"/>
            <w:vAlign w:val="center"/>
          </w:tcPr>
          <w:p w14:paraId="3DA52463">
            <w:pPr>
              <w:textAlignment w:val="center"/>
              <w:rPr>
                <w:rFonts w:ascii="仿宋" w:hAnsi="仿宋" w:eastAsia="仿宋" w:cs="仿宋"/>
                <w:color w:val="000000"/>
                <w:szCs w:val="21"/>
                <w:highlight w:val="none"/>
                <w:lang w:eastAsia="zh-CN"/>
              </w:rPr>
            </w:pPr>
          </w:p>
        </w:tc>
        <w:tc>
          <w:tcPr>
            <w:tcW w:w="1339" w:type="pct"/>
            <w:vAlign w:val="center"/>
          </w:tcPr>
          <w:p w14:paraId="1E491A6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w:t>
            </w:r>
            <w:r>
              <w:rPr>
                <w:rFonts w:hint="eastAsia" w:ascii="仿宋" w:hAnsi="仿宋" w:eastAsia="仿宋" w:cs="仿宋"/>
                <w:color w:val="000000"/>
                <w:szCs w:val="21"/>
                <w:highlight w:val="none"/>
                <w:lang w:eastAsia="zh-CN"/>
              </w:rPr>
              <w:t>23.1.3</w:t>
            </w:r>
            <w:r>
              <w:rPr>
                <w:rFonts w:ascii="仿宋" w:hAnsi="仿宋" w:eastAsia="仿宋" w:cs="仿宋"/>
                <w:color w:val="000000"/>
                <w:szCs w:val="21"/>
                <w:highlight w:val="none"/>
                <w:lang w:eastAsia="zh-CN"/>
              </w:rPr>
              <w:t>门诊危急值30分钟内通报完成率（%）</w:t>
            </w:r>
          </w:p>
        </w:tc>
        <w:tc>
          <w:tcPr>
            <w:tcW w:w="1953" w:type="pct"/>
            <w:vAlign w:val="center"/>
          </w:tcPr>
          <w:p w14:paraId="38C12818">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30分钟内完成通报的门诊危急值例数占同期门诊危急值总例数的比例。</w:t>
            </w:r>
          </w:p>
        </w:tc>
      </w:tr>
      <w:tr w14:paraId="3778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5675DDB">
            <w:pPr>
              <w:textAlignment w:val="center"/>
              <w:rPr>
                <w:rFonts w:ascii="仿宋" w:hAnsi="仿宋" w:eastAsia="仿宋" w:cs="仿宋"/>
                <w:color w:val="000000"/>
                <w:szCs w:val="21"/>
                <w:highlight w:val="none"/>
                <w:lang w:eastAsia="zh-CN"/>
              </w:rPr>
            </w:pPr>
          </w:p>
        </w:tc>
        <w:tc>
          <w:tcPr>
            <w:tcW w:w="974" w:type="pct"/>
            <w:vMerge w:val="continue"/>
            <w:vAlign w:val="center"/>
          </w:tcPr>
          <w:p w14:paraId="794C9838">
            <w:pPr>
              <w:textAlignment w:val="center"/>
              <w:rPr>
                <w:rFonts w:ascii="仿宋" w:hAnsi="仿宋" w:eastAsia="仿宋" w:cs="仿宋"/>
                <w:color w:val="000000"/>
                <w:szCs w:val="21"/>
                <w:highlight w:val="none"/>
                <w:lang w:eastAsia="zh-CN"/>
              </w:rPr>
            </w:pPr>
          </w:p>
        </w:tc>
        <w:tc>
          <w:tcPr>
            <w:tcW w:w="1339" w:type="pct"/>
            <w:vAlign w:val="center"/>
          </w:tcPr>
          <w:p w14:paraId="1C853F2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3.1.4</w:t>
            </w:r>
            <w:r>
              <w:rPr>
                <w:rFonts w:ascii="仿宋" w:hAnsi="仿宋" w:eastAsia="仿宋" w:cs="仿宋"/>
                <w:color w:val="000000"/>
                <w:szCs w:val="21"/>
                <w:highlight w:val="none"/>
                <w:lang w:eastAsia="zh-CN"/>
              </w:rPr>
              <w:t>门诊患者平均预约诊疗率（%）</w:t>
            </w:r>
          </w:p>
        </w:tc>
        <w:tc>
          <w:tcPr>
            <w:tcW w:w="1953" w:type="pct"/>
            <w:vAlign w:val="center"/>
          </w:tcPr>
          <w:p w14:paraId="52A73C6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门诊患者预约诊疗人次数占总诊疗人次数的比例</w:t>
            </w:r>
            <w:r>
              <w:rPr>
                <w:rFonts w:hint="eastAsia" w:ascii="仿宋" w:hAnsi="仿宋" w:eastAsia="仿宋" w:cs="仿宋"/>
                <w:color w:val="000000"/>
                <w:szCs w:val="21"/>
                <w:highlight w:val="none"/>
                <w:lang w:eastAsia="zh-CN"/>
              </w:rPr>
              <w:t>。</w:t>
            </w:r>
          </w:p>
        </w:tc>
      </w:tr>
      <w:tr w14:paraId="50B5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654F920">
            <w:pPr>
              <w:textAlignment w:val="center"/>
              <w:rPr>
                <w:rFonts w:ascii="仿宋" w:hAnsi="仿宋" w:eastAsia="仿宋" w:cs="仿宋"/>
                <w:color w:val="000000"/>
                <w:szCs w:val="21"/>
                <w:highlight w:val="none"/>
                <w:lang w:eastAsia="zh-CN"/>
              </w:rPr>
            </w:pPr>
          </w:p>
        </w:tc>
        <w:tc>
          <w:tcPr>
            <w:tcW w:w="974" w:type="pct"/>
            <w:vMerge w:val="continue"/>
            <w:vAlign w:val="center"/>
          </w:tcPr>
          <w:p w14:paraId="3138A316">
            <w:pPr>
              <w:textAlignment w:val="center"/>
              <w:rPr>
                <w:rFonts w:ascii="仿宋" w:hAnsi="仿宋" w:eastAsia="仿宋" w:cs="仿宋"/>
                <w:color w:val="000000"/>
                <w:szCs w:val="21"/>
                <w:highlight w:val="none"/>
                <w:lang w:eastAsia="zh-CN"/>
              </w:rPr>
            </w:pPr>
          </w:p>
        </w:tc>
        <w:tc>
          <w:tcPr>
            <w:tcW w:w="1339" w:type="pct"/>
            <w:vAlign w:val="center"/>
          </w:tcPr>
          <w:p w14:paraId="1CE27B6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3.1.5</w:t>
            </w:r>
            <w:r>
              <w:rPr>
                <w:rFonts w:ascii="仿宋" w:hAnsi="仿宋" w:eastAsia="仿宋" w:cs="仿宋"/>
                <w:color w:val="000000"/>
                <w:szCs w:val="21"/>
                <w:highlight w:val="none"/>
                <w:lang w:eastAsia="zh-CN"/>
              </w:rPr>
              <w:t>门诊CT检查当日完成率（%）</w:t>
            </w:r>
          </w:p>
        </w:tc>
        <w:tc>
          <w:tcPr>
            <w:tcW w:w="1953" w:type="pct"/>
            <w:vAlign w:val="center"/>
          </w:tcPr>
          <w:p w14:paraId="22CF9C5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门诊CT检查当日完成数量占完成缴费的门诊CT检查申请单数量的比例</w:t>
            </w:r>
          </w:p>
        </w:tc>
      </w:tr>
      <w:tr w14:paraId="3F204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72687137">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3.24医院感染管理医疗质量控制指标</w:t>
            </w:r>
          </w:p>
        </w:tc>
        <w:tc>
          <w:tcPr>
            <w:tcW w:w="974" w:type="pct"/>
            <w:vMerge w:val="restart"/>
            <w:vAlign w:val="center"/>
          </w:tcPr>
          <w:p w14:paraId="1A12BD3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3.24.1医院感染管理医疗质量控制指标</w:t>
            </w:r>
          </w:p>
        </w:tc>
        <w:tc>
          <w:tcPr>
            <w:tcW w:w="1339" w:type="pct"/>
            <w:vAlign w:val="center"/>
          </w:tcPr>
          <w:p w14:paraId="0C55408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3.24.1.1</w:t>
            </w:r>
            <w:r>
              <w:rPr>
                <w:rFonts w:ascii="仿宋" w:hAnsi="仿宋" w:eastAsia="仿宋" w:cs="仿宋"/>
                <w:color w:val="000000"/>
                <w:szCs w:val="21"/>
                <w:highlight w:val="none"/>
                <w:lang w:eastAsia="zh-CN"/>
              </w:rPr>
              <w:t>千日医院感染例次发病率</w:t>
            </w:r>
          </w:p>
        </w:tc>
        <w:tc>
          <w:tcPr>
            <w:tcW w:w="1953" w:type="pct"/>
            <w:vAlign w:val="center"/>
          </w:tcPr>
          <w:p w14:paraId="05157F7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每1000个患者住院日中新发生医院感染的频次。</w:t>
            </w:r>
          </w:p>
          <w:p w14:paraId="5230112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医院感染新发病例例次数/同期住院患者累计住院天数×1000‰</w:t>
            </w:r>
          </w:p>
        </w:tc>
      </w:tr>
      <w:tr w14:paraId="16EDC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BECFC53">
            <w:pPr>
              <w:textAlignment w:val="center"/>
              <w:rPr>
                <w:rFonts w:ascii="仿宋" w:hAnsi="仿宋" w:eastAsia="仿宋" w:cs="仿宋"/>
                <w:color w:val="000000"/>
                <w:szCs w:val="21"/>
                <w:highlight w:val="none"/>
                <w:lang w:eastAsia="zh-CN"/>
              </w:rPr>
            </w:pPr>
          </w:p>
        </w:tc>
        <w:tc>
          <w:tcPr>
            <w:tcW w:w="974" w:type="pct"/>
            <w:vMerge w:val="continue"/>
            <w:vAlign w:val="center"/>
          </w:tcPr>
          <w:p w14:paraId="391FA68B">
            <w:pPr>
              <w:textAlignment w:val="center"/>
              <w:rPr>
                <w:rFonts w:ascii="仿宋" w:hAnsi="仿宋" w:eastAsia="仿宋" w:cs="仿宋"/>
                <w:color w:val="000000"/>
                <w:szCs w:val="21"/>
                <w:highlight w:val="none"/>
                <w:lang w:eastAsia="zh-CN"/>
              </w:rPr>
            </w:pPr>
          </w:p>
        </w:tc>
        <w:tc>
          <w:tcPr>
            <w:tcW w:w="1339" w:type="pct"/>
            <w:vAlign w:val="center"/>
          </w:tcPr>
          <w:p w14:paraId="4DBA8C3D">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3.24.1.2</w:t>
            </w:r>
            <w:r>
              <w:rPr>
                <w:rFonts w:ascii="仿宋" w:hAnsi="仿宋" w:eastAsia="仿宋" w:cs="仿宋"/>
                <w:color w:val="000000"/>
                <w:szCs w:val="21"/>
                <w:highlight w:val="none"/>
                <w:lang w:eastAsia="zh-CN"/>
              </w:rPr>
              <w:t>千日CRKP医院感染例次发病率</w:t>
            </w:r>
          </w:p>
        </w:tc>
        <w:tc>
          <w:tcPr>
            <w:tcW w:w="1953" w:type="pct"/>
            <w:vAlign w:val="center"/>
          </w:tcPr>
          <w:p w14:paraId="0633119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每1000个患者住院日中新发生特定多重耐药菌医院感染的频次。</w:t>
            </w:r>
          </w:p>
          <w:p w14:paraId="5923A66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CRKP医院感染新发病例例次数/同期住院患者累计住院天数×1000‰</w:t>
            </w:r>
          </w:p>
        </w:tc>
      </w:tr>
      <w:tr w14:paraId="58B2D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397A9F30">
            <w:pPr>
              <w:textAlignment w:val="center"/>
              <w:rPr>
                <w:rFonts w:ascii="仿宋" w:hAnsi="仿宋" w:eastAsia="仿宋" w:cs="仿宋"/>
                <w:color w:val="000000"/>
                <w:szCs w:val="21"/>
                <w:highlight w:val="none"/>
                <w:lang w:eastAsia="zh-CN"/>
              </w:rPr>
            </w:pPr>
          </w:p>
        </w:tc>
        <w:tc>
          <w:tcPr>
            <w:tcW w:w="974" w:type="pct"/>
            <w:vMerge w:val="continue"/>
            <w:vAlign w:val="center"/>
          </w:tcPr>
          <w:p w14:paraId="418B59FB">
            <w:pPr>
              <w:textAlignment w:val="center"/>
              <w:rPr>
                <w:rFonts w:ascii="仿宋" w:hAnsi="仿宋" w:eastAsia="仿宋" w:cs="仿宋"/>
                <w:color w:val="000000"/>
                <w:szCs w:val="21"/>
                <w:highlight w:val="none"/>
                <w:lang w:eastAsia="zh-CN"/>
              </w:rPr>
            </w:pPr>
          </w:p>
        </w:tc>
        <w:tc>
          <w:tcPr>
            <w:tcW w:w="1339" w:type="pct"/>
            <w:vAlign w:val="center"/>
          </w:tcPr>
          <w:p w14:paraId="6983C5A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3.24.1.3</w:t>
            </w:r>
            <w:r>
              <w:rPr>
                <w:rFonts w:ascii="仿宋" w:hAnsi="仿宋" w:eastAsia="仿宋" w:cs="仿宋"/>
                <w:color w:val="000000"/>
                <w:szCs w:val="21"/>
                <w:highlight w:val="none"/>
                <w:lang w:eastAsia="zh-CN"/>
              </w:rPr>
              <w:t>住院患者I类切口手术部位感染率</w:t>
            </w:r>
          </w:p>
        </w:tc>
        <w:tc>
          <w:tcPr>
            <w:tcW w:w="1953" w:type="pct"/>
            <w:vAlign w:val="center"/>
          </w:tcPr>
          <w:p w14:paraId="12D4497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住院患者I类切口手术发生手术部位感染的例次数占同期住院患者I类切口手术总例次数的比例。</w:t>
            </w:r>
          </w:p>
          <w:p w14:paraId="0078EC6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住院患者I类切口手术发生手术部位感染的例次数/同期住院患者I类切口手术总例次数×100%</w:t>
            </w:r>
          </w:p>
        </w:tc>
      </w:tr>
      <w:tr w14:paraId="5F65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1A525E5">
            <w:pPr>
              <w:textAlignment w:val="center"/>
              <w:rPr>
                <w:rFonts w:ascii="仿宋" w:hAnsi="仿宋" w:eastAsia="仿宋" w:cs="仿宋"/>
                <w:color w:val="000000"/>
                <w:szCs w:val="21"/>
                <w:highlight w:val="none"/>
                <w:lang w:eastAsia="zh-CN"/>
              </w:rPr>
            </w:pPr>
          </w:p>
        </w:tc>
        <w:tc>
          <w:tcPr>
            <w:tcW w:w="974" w:type="pct"/>
            <w:vMerge w:val="continue"/>
            <w:vAlign w:val="center"/>
          </w:tcPr>
          <w:p w14:paraId="5A3B8B1A">
            <w:pPr>
              <w:textAlignment w:val="center"/>
              <w:rPr>
                <w:rFonts w:ascii="仿宋" w:hAnsi="仿宋" w:eastAsia="仿宋" w:cs="仿宋"/>
                <w:color w:val="000000"/>
                <w:szCs w:val="21"/>
                <w:highlight w:val="none"/>
                <w:lang w:eastAsia="zh-CN"/>
              </w:rPr>
            </w:pPr>
          </w:p>
        </w:tc>
        <w:tc>
          <w:tcPr>
            <w:tcW w:w="1339" w:type="pct"/>
            <w:vAlign w:val="center"/>
          </w:tcPr>
          <w:p w14:paraId="31D9E61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3.24.1.4</w:t>
            </w:r>
            <w:r>
              <w:rPr>
                <w:rFonts w:ascii="仿宋" w:hAnsi="仿宋" w:eastAsia="仿宋" w:cs="仿宋"/>
                <w:color w:val="000000"/>
                <w:szCs w:val="21"/>
                <w:highlight w:val="none"/>
                <w:lang w:eastAsia="zh-CN"/>
              </w:rPr>
              <w:t>血管导管相关血流感染发病率</w:t>
            </w:r>
          </w:p>
        </w:tc>
        <w:tc>
          <w:tcPr>
            <w:tcW w:w="1953" w:type="pct"/>
            <w:vAlign w:val="center"/>
          </w:tcPr>
          <w:p w14:paraId="0F3AF17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每1000个血管导管使用天数中新发生相关血流感染的频次。</w:t>
            </w:r>
          </w:p>
          <w:p w14:paraId="075476B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相关血流感染新发病例例次数/同期住院患者血管导管累计使用天数×1000‰</w:t>
            </w:r>
          </w:p>
        </w:tc>
      </w:tr>
      <w:tr w14:paraId="6D0BC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6DC9EF41">
            <w:pPr>
              <w:textAlignment w:val="center"/>
              <w:rPr>
                <w:rFonts w:ascii="仿宋" w:hAnsi="仿宋" w:eastAsia="仿宋" w:cs="仿宋"/>
                <w:color w:val="000000"/>
                <w:szCs w:val="21"/>
                <w:highlight w:val="none"/>
                <w:lang w:eastAsia="zh-CN"/>
              </w:rPr>
            </w:pPr>
          </w:p>
        </w:tc>
        <w:tc>
          <w:tcPr>
            <w:tcW w:w="974" w:type="pct"/>
            <w:vMerge w:val="continue"/>
            <w:vAlign w:val="center"/>
          </w:tcPr>
          <w:p w14:paraId="4B2BA211">
            <w:pPr>
              <w:textAlignment w:val="center"/>
              <w:rPr>
                <w:rFonts w:ascii="仿宋" w:hAnsi="仿宋" w:eastAsia="仿宋" w:cs="仿宋"/>
                <w:color w:val="000000"/>
                <w:szCs w:val="21"/>
                <w:highlight w:val="none"/>
                <w:lang w:eastAsia="zh-CN"/>
              </w:rPr>
            </w:pPr>
          </w:p>
        </w:tc>
        <w:tc>
          <w:tcPr>
            <w:tcW w:w="1339" w:type="pct"/>
            <w:vAlign w:val="center"/>
          </w:tcPr>
          <w:p w14:paraId="4B160B12">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3.24.1.5</w:t>
            </w:r>
            <w:r>
              <w:rPr>
                <w:rFonts w:ascii="仿宋" w:hAnsi="仿宋" w:eastAsia="仿宋" w:cs="仿宋"/>
                <w:color w:val="000000"/>
                <w:szCs w:val="21"/>
                <w:highlight w:val="none"/>
                <w:lang w:eastAsia="zh-CN"/>
              </w:rPr>
              <w:t>呼吸机相关肺炎发病率</w:t>
            </w:r>
          </w:p>
        </w:tc>
        <w:tc>
          <w:tcPr>
            <w:tcW w:w="1953" w:type="pct"/>
            <w:vAlign w:val="center"/>
          </w:tcPr>
          <w:p w14:paraId="79519BF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每1000个有创呼吸机使用天数中新发生相关肺炎的频次。</w:t>
            </w:r>
          </w:p>
          <w:p w14:paraId="55E6CF8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相关肺炎新发病例例次数/同期住院患者有创呼吸机累计使用天数×1000‰</w:t>
            </w:r>
          </w:p>
        </w:tc>
      </w:tr>
      <w:tr w14:paraId="77FC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4370A23C">
            <w:pPr>
              <w:textAlignment w:val="center"/>
              <w:rPr>
                <w:rFonts w:ascii="仿宋" w:hAnsi="仿宋" w:eastAsia="仿宋" w:cs="仿宋"/>
                <w:color w:val="000000"/>
                <w:szCs w:val="21"/>
                <w:highlight w:val="none"/>
                <w:lang w:eastAsia="zh-CN"/>
              </w:rPr>
            </w:pPr>
          </w:p>
        </w:tc>
        <w:tc>
          <w:tcPr>
            <w:tcW w:w="974" w:type="pct"/>
            <w:vMerge w:val="continue"/>
            <w:vAlign w:val="center"/>
          </w:tcPr>
          <w:p w14:paraId="29B2C8EA">
            <w:pPr>
              <w:textAlignment w:val="center"/>
              <w:rPr>
                <w:rFonts w:ascii="仿宋" w:hAnsi="仿宋" w:eastAsia="仿宋" w:cs="仿宋"/>
                <w:color w:val="000000"/>
                <w:szCs w:val="21"/>
                <w:highlight w:val="none"/>
                <w:lang w:eastAsia="zh-CN"/>
              </w:rPr>
            </w:pPr>
          </w:p>
        </w:tc>
        <w:tc>
          <w:tcPr>
            <w:tcW w:w="1339" w:type="pct"/>
            <w:vAlign w:val="center"/>
          </w:tcPr>
          <w:p w14:paraId="6DB8C7C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3.24.1.6</w:t>
            </w:r>
            <w:r>
              <w:rPr>
                <w:rFonts w:ascii="仿宋" w:hAnsi="仿宋" w:eastAsia="仿宋" w:cs="仿宋"/>
                <w:color w:val="000000"/>
                <w:szCs w:val="21"/>
                <w:highlight w:val="none"/>
                <w:lang w:eastAsia="zh-CN"/>
              </w:rPr>
              <w:t>导尿管相关尿路感染发病率</w:t>
            </w:r>
          </w:p>
        </w:tc>
        <w:tc>
          <w:tcPr>
            <w:tcW w:w="1953" w:type="pct"/>
            <w:vAlign w:val="center"/>
          </w:tcPr>
          <w:p w14:paraId="65A4618B">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每1000个导尿管使用天数中新发生相关尿路感染的频次。</w:t>
            </w:r>
          </w:p>
          <w:p w14:paraId="6AF03250">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相关尿路感染新发病例例次数/同期住院患者导尿管累计使用天数×1000‰</w:t>
            </w:r>
          </w:p>
        </w:tc>
      </w:tr>
      <w:tr w14:paraId="2EFCD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6D713A6">
            <w:pPr>
              <w:textAlignment w:val="center"/>
              <w:rPr>
                <w:rFonts w:ascii="仿宋" w:hAnsi="仿宋" w:eastAsia="仿宋" w:cs="仿宋"/>
                <w:color w:val="000000"/>
                <w:szCs w:val="21"/>
                <w:highlight w:val="none"/>
                <w:lang w:eastAsia="zh-CN"/>
              </w:rPr>
            </w:pPr>
          </w:p>
        </w:tc>
        <w:tc>
          <w:tcPr>
            <w:tcW w:w="974" w:type="pct"/>
            <w:vMerge w:val="continue"/>
            <w:vAlign w:val="center"/>
          </w:tcPr>
          <w:p w14:paraId="3E3E75D4">
            <w:pPr>
              <w:textAlignment w:val="center"/>
              <w:rPr>
                <w:rFonts w:ascii="仿宋" w:hAnsi="仿宋" w:eastAsia="仿宋" w:cs="仿宋"/>
                <w:color w:val="000000"/>
                <w:szCs w:val="21"/>
                <w:highlight w:val="none"/>
                <w:lang w:eastAsia="zh-CN"/>
              </w:rPr>
            </w:pPr>
          </w:p>
        </w:tc>
        <w:tc>
          <w:tcPr>
            <w:tcW w:w="1339" w:type="pct"/>
            <w:vAlign w:val="center"/>
          </w:tcPr>
          <w:p w14:paraId="32F98AA5">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3.24.1.7</w:t>
            </w:r>
            <w:r>
              <w:rPr>
                <w:rFonts w:ascii="仿宋" w:hAnsi="仿宋" w:eastAsia="仿宋" w:cs="仿宋"/>
                <w:color w:val="000000"/>
                <w:szCs w:val="21"/>
                <w:highlight w:val="none"/>
                <w:lang w:eastAsia="zh-CN"/>
              </w:rPr>
              <w:t>住院患者联合使用重点抗菌药物治疗前病原学送检率</w:t>
            </w:r>
          </w:p>
        </w:tc>
        <w:tc>
          <w:tcPr>
            <w:tcW w:w="1953" w:type="pct"/>
            <w:vAlign w:val="center"/>
          </w:tcPr>
          <w:p w14:paraId="117808F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联合使用重点抗菌药物治疗前病原学送检的住院患者人数/同期联合使用重点抗菌药物治疗的住院患者总人数×100%</w:t>
            </w:r>
          </w:p>
        </w:tc>
      </w:tr>
      <w:tr w14:paraId="7D1E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EC9AD87">
            <w:pPr>
              <w:textAlignment w:val="center"/>
              <w:rPr>
                <w:rFonts w:ascii="仿宋" w:hAnsi="仿宋" w:eastAsia="仿宋" w:cs="仿宋"/>
                <w:color w:val="000000"/>
                <w:szCs w:val="21"/>
                <w:highlight w:val="none"/>
                <w:lang w:eastAsia="zh-CN"/>
              </w:rPr>
            </w:pPr>
          </w:p>
        </w:tc>
        <w:tc>
          <w:tcPr>
            <w:tcW w:w="974" w:type="pct"/>
            <w:vMerge w:val="continue"/>
            <w:vAlign w:val="center"/>
          </w:tcPr>
          <w:p w14:paraId="3A24DD57">
            <w:pPr>
              <w:textAlignment w:val="center"/>
              <w:rPr>
                <w:rFonts w:ascii="仿宋" w:hAnsi="仿宋" w:eastAsia="仿宋" w:cs="仿宋"/>
                <w:color w:val="000000"/>
                <w:szCs w:val="21"/>
                <w:highlight w:val="none"/>
                <w:lang w:eastAsia="zh-CN"/>
              </w:rPr>
            </w:pPr>
          </w:p>
        </w:tc>
        <w:tc>
          <w:tcPr>
            <w:tcW w:w="1339" w:type="pct"/>
            <w:vAlign w:val="center"/>
          </w:tcPr>
          <w:p w14:paraId="2AC01DD8">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3.24.1.8</w:t>
            </w:r>
            <w:r>
              <w:rPr>
                <w:rFonts w:ascii="仿宋" w:hAnsi="仿宋" w:eastAsia="仿宋" w:cs="仿宋"/>
                <w:color w:val="000000"/>
                <w:szCs w:val="21"/>
                <w:highlight w:val="none"/>
                <w:lang w:eastAsia="zh-CN"/>
              </w:rPr>
              <w:t>住院患者Ⅰ类切口手术抗菌药物预防使用率</w:t>
            </w:r>
          </w:p>
        </w:tc>
        <w:tc>
          <w:tcPr>
            <w:tcW w:w="1953" w:type="pct"/>
            <w:vAlign w:val="center"/>
          </w:tcPr>
          <w:p w14:paraId="4CBB546A">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预防性使用抗菌药物的Ⅰ类切口手术例次数/同期住院患者Ⅰ类切口手术总例次数×100%</w:t>
            </w:r>
          </w:p>
        </w:tc>
      </w:tr>
      <w:tr w14:paraId="7AE93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7AE32EC">
            <w:pPr>
              <w:textAlignment w:val="center"/>
              <w:rPr>
                <w:rFonts w:ascii="仿宋" w:hAnsi="仿宋" w:eastAsia="仿宋" w:cs="仿宋"/>
                <w:color w:val="000000"/>
                <w:szCs w:val="21"/>
                <w:highlight w:val="none"/>
                <w:lang w:eastAsia="zh-CN"/>
              </w:rPr>
            </w:pPr>
          </w:p>
        </w:tc>
        <w:tc>
          <w:tcPr>
            <w:tcW w:w="974" w:type="pct"/>
            <w:vMerge w:val="continue"/>
            <w:vAlign w:val="center"/>
          </w:tcPr>
          <w:p w14:paraId="7CDF1108">
            <w:pPr>
              <w:textAlignment w:val="center"/>
              <w:rPr>
                <w:rFonts w:ascii="仿宋" w:hAnsi="仿宋" w:eastAsia="仿宋" w:cs="仿宋"/>
                <w:color w:val="000000"/>
                <w:szCs w:val="21"/>
                <w:highlight w:val="none"/>
                <w:lang w:eastAsia="zh-CN"/>
              </w:rPr>
            </w:pPr>
          </w:p>
        </w:tc>
        <w:tc>
          <w:tcPr>
            <w:tcW w:w="1339" w:type="pct"/>
            <w:vAlign w:val="center"/>
          </w:tcPr>
          <w:p w14:paraId="031A4ED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3.24.1.9新生儿千日医院感染例次发病率</w:t>
            </w:r>
          </w:p>
        </w:tc>
        <w:tc>
          <w:tcPr>
            <w:tcW w:w="1953" w:type="pct"/>
            <w:vAlign w:val="center"/>
          </w:tcPr>
          <w:p w14:paraId="21C229E1">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新生儿医院感染新发病例例次数/同期新生儿住院患者累计住院天数×1000‰</w:t>
            </w:r>
          </w:p>
        </w:tc>
      </w:tr>
      <w:tr w14:paraId="400F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78B175C">
            <w:pPr>
              <w:textAlignment w:val="center"/>
              <w:rPr>
                <w:rFonts w:ascii="仿宋" w:hAnsi="仿宋" w:eastAsia="仿宋" w:cs="仿宋"/>
                <w:color w:val="000000"/>
                <w:szCs w:val="21"/>
                <w:highlight w:val="none"/>
                <w:lang w:eastAsia="zh-CN"/>
              </w:rPr>
            </w:pPr>
          </w:p>
        </w:tc>
        <w:tc>
          <w:tcPr>
            <w:tcW w:w="974" w:type="pct"/>
            <w:vMerge w:val="continue"/>
            <w:vAlign w:val="center"/>
          </w:tcPr>
          <w:p w14:paraId="1CC219BF">
            <w:pPr>
              <w:textAlignment w:val="center"/>
              <w:rPr>
                <w:rFonts w:ascii="仿宋" w:hAnsi="仿宋" w:eastAsia="仿宋" w:cs="仿宋"/>
                <w:color w:val="000000"/>
                <w:szCs w:val="21"/>
                <w:highlight w:val="none"/>
                <w:lang w:eastAsia="zh-CN"/>
              </w:rPr>
            </w:pPr>
          </w:p>
        </w:tc>
        <w:tc>
          <w:tcPr>
            <w:tcW w:w="1339" w:type="pct"/>
            <w:vAlign w:val="center"/>
          </w:tcPr>
          <w:p w14:paraId="3D1846DD">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3.24.1.10医疗机构工作人员手卫生依从率</w:t>
            </w:r>
          </w:p>
        </w:tc>
        <w:tc>
          <w:tcPr>
            <w:tcW w:w="1953" w:type="pct"/>
            <w:vAlign w:val="center"/>
          </w:tcPr>
          <w:p w14:paraId="14C2FCB9">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实际执行手卫生时机数/同期应执行手卫生时机数×100%</w:t>
            </w:r>
          </w:p>
        </w:tc>
      </w:tr>
      <w:tr w14:paraId="68F0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restart"/>
            <w:vAlign w:val="center"/>
          </w:tcPr>
          <w:p w14:paraId="34BF4E1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重症医学专业医疗质量控制指标</w:t>
            </w:r>
          </w:p>
        </w:tc>
        <w:tc>
          <w:tcPr>
            <w:tcW w:w="974" w:type="pct"/>
            <w:vMerge w:val="restart"/>
            <w:vAlign w:val="center"/>
          </w:tcPr>
          <w:p w14:paraId="2AFAB62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.1</w:t>
            </w:r>
            <w:r>
              <w:rPr>
                <w:rFonts w:hint="eastAsia" w:ascii="仿宋" w:hAnsi="仿宋" w:eastAsia="仿宋" w:cs="仿宋"/>
                <w:color w:val="000000"/>
                <w:szCs w:val="21"/>
                <w:highlight w:val="none"/>
                <w:lang w:eastAsia="zh-CN"/>
              </w:rPr>
              <w:t>重症医学专业医疗质量控制指标</w:t>
            </w:r>
          </w:p>
        </w:tc>
        <w:tc>
          <w:tcPr>
            <w:tcW w:w="1339" w:type="pct"/>
            <w:vAlign w:val="center"/>
          </w:tcPr>
          <w:p w14:paraId="1142347F">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5</w:t>
            </w:r>
            <w:r>
              <w:rPr>
                <w:rFonts w:ascii="仿宋" w:hAnsi="仿宋" w:eastAsia="仿宋" w:cs="仿宋"/>
                <w:color w:val="000000"/>
                <w:szCs w:val="21"/>
                <w:highlight w:val="none"/>
              </w:rPr>
              <w:t>.1.1ICU床位使用率</w:t>
            </w:r>
          </w:p>
        </w:tc>
        <w:tc>
          <w:tcPr>
            <w:tcW w:w="1953" w:type="pct"/>
            <w:vAlign w:val="center"/>
          </w:tcPr>
          <w:p w14:paraId="52E4A784">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ICU实际占用总床日数与同期ICU实际开放总床日数之比</w:t>
            </w:r>
            <w:r>
              <w:rPr>
                <w:rFonts w:hint="eastAsia" w:ascii="仿宋" w:hAnsi="仿宋" w:eastAsia="仿宋" w:cs="仿宋"/>
                <w:color w:val="000000"/>
                <w:szCs w:val="21"/>
                <w:highlight w:val="none"/>
                <w:lang w:eastAsia="zh-CN"/>
              </w:rPr>
              <w:t>。</w:t>
            </w:r>
          </w:p>
        </w:tc>
      </w:tr>
      <w:tr w14:paraId="3A8C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2A196346">
            <w:pPr>
              <w:textAlignment w:val="center"/>
              <w:rPr>
                <w:rFonts w:ascii="仿宋" w:hAnsi="仿宋" w:eastAsia="仿宋" w:cs="仿宋"/>
                <w:color w:val="000000"/>
                <w:szCs w:val="21"/>
                <w:highlight w:val="none"/>
                <w:lang w:eastAsia="zh-CN"/>
              </w:rPr>
            </w:pPr>
          </w:p>
        </w:tc>
        <w:tc>
          <w:tcPr>
            <w:tcW w:w="974" w:type="pct"/>
            <w:vMerge w:val="continue"/>
            <w:vAlign w:val="center"/>
          </w:tcPr>
          <w:p w14:paraId="45B6B4CA">
            <w:pPr>
              <w:textAlignment w:val="center"/>
              <w:rPr>
                <w:rFonts w:ascii="仿宋" w:hAnsi="仿宋" w:eastAsia="仿宋" w:cs="仿宋"/>
                <w:color w:val="000000"/>
                <w:szCs w:val="21"/>
                <w:highlight w:val="none"/>
                <w:lang w:eastAsia="zh-CN"/>
              </w:rPr>
            </w:pPr>
          </w:p>
        </w:tc>
        <w:tc>
          <w:tcPr>
            <w:tcW w:w="1339" w:type="pct"/>
            <w:vAlign w:val="center"/>
          </w:tcPr>
          <w:p w14:paraId="6C5DB7E0">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5</w:t>
            </w:r>
            <w:r>
              <w:rPr>
                <w:rFonts w:ascii="仿宋" w:hAnsi="仿宋" w:eastAsia="仿宋" w:cs="仿宋"/>
                <w:color w:val="000000"/>
                <w:szCs w:val="21"/>
                <w:highlight w:val="none"/>
              </w:rPr>
              <w:t>.</w:t>
            </w:r>
            <w:r>
              <w:rPr>
                <w:rFonts w:hint="eastAsia" w:ascii="仿宋" w:hAnsi="仿宋" w:eastAsia="仿宋" w:cs="仿宋"/>
                <w:color w:val="000000"/>
                <w:szCs w:val="21"/>
                <w:highlight w:val="none"/>
              </w:rPr>
              <w:t>1.2</w:t>
            </w:r>
            <w:r>
              <w:rPr>
                <w:rFonts w:ascii="仿宋" w:hAnsi="仿宋" w:eastAsia="仿宋" w:cs="仿宋"/>
                <w:color w:val="000000"/>
                <w:szCs w:val="21"/>
                <w:highlight w:val="none"/>
              </w:rPr>
              <w:t>感染性休克3h集束化治疗（bundle）完成率</w:t>
            </w:r>
          </w:p>
        </w:tc>
        <w:tc>
          <w:tcPr>
            <w:tcW w:w="1953" w:type="pct"/>
            <w:vAlign w:val="center"/>
          </w:tcPr>
          <w:p w14:paraId="7FFA7508">
            <w:pPr>
              <w:textAlignment w:val="center"/>
              <w:rPr>
                <w:rFonts w:ascii="仿宋" w:hAnsi="仿宋" w:eastAsia="仿宋" w:cs="仿宋"/>
                <w:color w:val="000000"/>
                <w:szCs w:val="21"/>
                <w:highlight w:val="none"/>
                <w:lang w:eastAsia="zh-CN"/>
              </w:rPr>
            </w:pPr>
            <w:r>
              <w:rPr>
                <w:rFonts w:ascii="Times New Roman" w:hAnsi="Times New Roman" w:eastAsia="仿宋" w:cs="Times New Roman"/>
                <w:color w:val="000000"/>
                <w:szCs w:val="21"/>
                <w:highlight w:val="none"/>
                <w:lang w:eastAsia="zh-CN"/>
              </w:rPr>
              <w:t>入ICU诊断为感染性休克并完成3小时bundle的患者人数占同期入ICU诊断为感染性休克的患者总人数的比例</w:t>
            </w:r>
          </w:p>
        </w:tc>
      </w:tr>
      <w:tr w14:paraId="6203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5BA60D94">
            <w:pPr>
              <w:textAlignment w:val="center"/>
              <w:rPr>
                <w:rFonts w:ascii="仿宋" w:hAnsi="仿宋" w:eastAsia="仿宋" w:cs="仿宋"/>
                <w:color w:val="000000"/>
                <w:szCs w:val="21"/>
                <w:highlight w:val="none"/>
                <w:lang w:eastAsia="zh-CN"/>
              </w:rPr>
            </w:pPr>
          </w:p>
        </w:tc>
        <w:tc>
          <w:tcPr>
            <w:tcW w:w="974" w:type="pct"/>
            <w:vMerge w:val="continue"/>
            <w:vAlign w:val="center"/>
          </w:tcPr>
          <w:p w14:paraId="6F022038">
            <w:pPr>
              <w:textAlignment w:val="center"/>
              <w:rPr>
                <w:rFonts w:ascii="仿宋" w:hAnsi="仿宋" w:eastAsia="仿宋" w:cs="仿宋"/>
                <w:color w:val="000000"/>
                <w:szCs w:val="21"/>
                <w:highlight w:val="none"/>
                <w:lang w:eastAsia="zh-CN"/>
              </w:rPr>
            </w:pPr>
          </w:p>
        </w:tc>
        <w:tc>
          <w:tcPr>
            <w:tcW w:w="1339" w:type="pct"/>
            <w:vAlign w:val="center"/>
          </w:tcPr>
          <w:p w14:paraId="114D549E">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3.2</w:t>
            </w:r>
            <w:r>
              <w:rPr>
                <w:rFonts w:hint="eastAsia" w:ascii="仿宋" w:hAnsi="仿宋" w:eastAsia="仿宋" w:cs="仿宋"/>
                <w:color w:val="000000"/>
                <w:szCs w:val="21"/>
                <w:highlight w:val="none"/>
                <w:lang w:eastAsia="zh-CN"/>
              </w:rPr>
              <w:t>5</w:t>
            </w:r>
            <w:r>
              <w:rPr>
                <w:rFonts w:ascii="仿宋" w:hAnsi="仿宋" w:eastAsia="仿宋" w:cs="仿宋"/>
                <w:color w:val="000000"/>
                <w:szCs w:val="21"/>
                <w:highlight w:val="none"/>
                <w:lang w:eastAsia="zh-CN"/>
              </w:rPr>
              <w:t>.</w:t>
            </w:r>
            <w:r>
              <w:rPr>
                <w:rFonts w:hint="eastAsia" w:ascii="仿宋" w:hAnsi="仿宋" w:eastAsia="仿宋" w:cs="仿宋"/>
                <w:color w:val="000000"/>
                <w:szCs w:val="21"/>
                <w:highlight w:val="none"/>
                <w:lang w:eastAsia="zh-CN"/>
              </w:rPr>
              <w:t>1.3</w:t>
            </w:r>
            <w:r>
              <w:rPr>
                <w:rFonts w:ascii="仿宋" w:hAnsi="仿宋" w:eastAsia="仿宋" w:cs="仿宋"/>
                <w:color w:val="000000"/>
                <w:szCs w:val="21"/>
                <w:highlight w:val="none"/>
                <w:lang w:eastAsia="zh-CN"/>
              </w:rPr>
              <w:t>中重度ARDS患者俯卧位通气实施率</w:t>
            </w:r>
          </w:p>
        </w:tc>
        <w:tc>
          <w:tcPr>
            <w:tcW w:w="1953" w:type="pct"/>
            <w:vAlign w:val="center"/>
          </w:tcPr>
          <w:p w14:paraId="39BD68CF">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中重度ARDS患者中实施俯卧位通气治疗的人数占应实施俯卧位通气治疗的中重度ARDS患者总人数的比例</w:t>
            </w:r>
            <w:r>
              <w:rPr>
                <w:rFonts w:hint="eastAsia" w:ascii="仿宋" w:hAnsi="仿宋" w:eastAsia="仿宋" w:cs="仿宋"/>
                <w:color w:val="000000"/>
                <w:szCs w:val="21"/>
                <w:highlight w:val="none"/>
                <w:lang w:eastAsia="zh-CN"/>
              </w:rPr>
              <w:t>。</w:t>
            </w:r>
          </w:p>
        </w:tc>
      </w:tr>
      <w:tr w14:paraId="1203C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7301BDC6">
            <w:pPr>
              <w:textAlignment w:val="center"/>
              <w:rPr>
                <w:rFonts w:ascii="仿宋" w:hAnsi="仿宋" w:eastAsia="仿宋" w:cs="仿宋"/>
                <w:color w:val="000000"/>
                <w:szCs w:val="21"/>
                <w:highlight w:val="none"/>
                <w:lang w:eastAsia="zh-CN"/>
              </w:rPr>
            </w:pPr>
          </w:p>
        </w:tc>
        <w:tc>
          <w:tcPr>
            <w:tcW w:w="974" w:type="pct"/>
            <w:vMerge w:val="continue"/>
            <w:vAlign w:val="center"/>
          </w:tcPr>
          <w:p w14:paraId="3BD03CA7">
            <w:pPr>
              <w:textAlignment w:val="center"/>
              <w:rPr>
                <w:rFonts w:ascii="仿宋" w:hAnsi="仿宋" w:eastAsia="仿宋" w:cs="仿宋"/>
                <w:color w:val="000000"/>
                <w:szCs w:val="21"/>
                <w:highlight w:val="none"/>
                <w:lang w:eastAsia="zh-CN"/>
              </w:rPr>
            </w:pPr>
          </w:p>
        </w:tc>
        <w:tc>
          <w:tcPr>
            <w:tcW w:w="1339" w:type="pct"/>
            <w:vAlign w:val="center"/>
          </w:tcPr>
          <w:p w14:paraId="319939AC">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5</w:t>
            </w:r>
            <w:r>
              <w:rPr>
                <w:rFonts w:ascii="仿宋" w:hAnsi="仿宋" w:eastAsia="仿宋" w:cs="仿宋"/>
                <w:color w:val="000000"/>
                <w:szCs w:val="21"/>
                <w:highlight w:val="none"/>
              </w:rPr>
              <w:t>.</w:t>
            </w:r>
            <w:r>
              <w:rPr>
                <w:rFonts w:hint="eastAsia" w:ascii="仿宋" w:hAnsi="仿宋" w:eastAsia="仿宋" w:cs="仿宋"/>
                <w:color w:val="000000"/>
                <w:szCs w:val="21"/>
                <w:highlight w:val="none"/>
              </w:rPr>
              <w:t>1.4</w:t>
            </w:r>
            <w:r>
              <w:rPr>
                <w:rFonts w:ascii="仿宋" w:hAnsi="仿宋" w:eastAsia="仿宋" w:cs="仿宋"/>
                <w:color w:val="000000"/>
                <w:szCs w:val="21"/>
                <w:highlight w:val="none"/>
              </w:rPr>
              <w:t>ICU标化病死指数</w:t>
            </w:r>
          </w:p>
        </w:tc>
        <w:tc>
          <w:tcPr>
            <w:tcW w:w="1953" w:type="pct"/>
            <w:vAlign w:val="center"/>
          </w:tcPr>
          <w:p w14:paraId="10164BF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ICU患者实际病死率与同期ICU患者预计病死率的比值</w:t>
            </w:r>
            <w:r>
              <w:rPr>
                <w:rFonts w:hint="eastAsia" w:ascii="仿宋" w:hAnsi="仿宋" w:eastAsia="仿宋" w:cs="仿宋"/>
                <w:color w:val="000000"/>
                <w:szCs w:val="21"/>
                <w:highlight w:val="none"/>
                <w:lang w:eastAsia="zh-CN"/>
              </w:rPr>
              <w:t>。</w:t>
            </w:r>
          </w:p>
        </w:tc>
      </w:tr>
      <w:tr w14:paraId="6B888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Merge w:val="continue"/>
            <w:vAlign w:val="center"/>
          </w:tcPr>
          <w:p w14:paraId="0A5CAF16">
            <w:pPr>
              <w:textAlignment w:val="center"/>
              <w:rPr>
                <w:rFonts w:ascii="仿宋" w:hAnsi="仿宋" w:eastAsia="仿宋" w:cs="仿宋"/>
                <w:color w:val="000000"/>
                <w:szCs w:val="21"/>
                <w:highlight w:val="none"/>
                <w:lang w:eastAsia="zh-CN"/>
              </w:rPr>
            </w:pPr>
          </w:p>
        </w:tc>
        <w:tc>
          <w:tcPr>
            <w:tcW w:w="974" w:type="pct"/>
            <w:vMerge w:val="continue"/>
            <w:vAlign w:val="center"/>
          </w:tcPr>
          <w:p w14:paraId="4210B914">
            <w:pPr>
              <w:textAlignment w:val="center"/>
              <w:rPr>
                <w:rFonts w:ascii="仿宋" w:hAnsi="仿宋" w:eastAsia="仿宋" w:cs="仿宋"/>
                <w:color w:val="000000"/>
                <w:szCs w:val="21"/>
                <w:highlight w:val="none"/>
                <w:lang w:eastAsia="zh-CN"/>
              </w:rPr>
            </w:pPr>
          </w:p>
        </w:tc>
        <w:tc>
          <w:tcPr>
            <w:tcW w:w="1339" w:type="pct"/>
            <w:vAlign w:val="center"/>
          </w:tcPr>
          <w:p w14:paraId="305332A1">
            <w:pPr>
              <w:textAlignment w:val="center"/>
              <w:rPr>
                <w:rFonts w:ascii="仿宋" w:hAnsi="仿宋" w:eastAsia="仿宋" w:cs="仿宋"/>
                <w:color w:val="000000"/>
                <w:szCs w:val="21"/>
                <w:highlight w:val="none"/>
              </w:rPr>
            </w:pPr>
            <w:r>
              <w:rPr>
                <w:rFonts w:ascii="仿宋" w:hAnsi="仿宋" w:eastAsia="仿宋" w:cs="仿宋"/>
                <w:color w:val="000000"/>
                <w:szCs w:val="21"/>
                <w:highlight w:val="none"/>
              </w:rPr>
              <w:t>3.2</w:t>
            </w:r>
            <w:r>
              <w:rPr>
                <w:rFonts w:hint="eastAsia" w:ascii="仿宋" w:hAnsi="仿宋" w:eastAsia="仿宋" w:cs="仿宋"/>
                <w:color w:val="000000"/>
                <w:szCs w:val="21"/>
                <w:highlight w:val="none"/>
              </w:rPr>
              <w:t>5</w:t>
            </w:r>
            <w:r>
              <w:rPr>
                <w:rFonts w:ascii="仿宋" w:hAnsi="仿宋" w:eastAsia="仿宋" w:cs="仿宋"/>
                <w:color w:val="000000"/>
                <w:szCs w:val="21"/>
                <w:highlight w:val="none"/>
              </w:rPr>
              <w:t>.</w:t>
            </w:r>
            <w:r>
              <w:rPr>
                <w:rFonts w:hint="eastAsia" w:ascii="仿宋" w:hAnsi="仿宋" w:eastAsia="仿宋" w:cs="仿宋"/>
                <w:color w:val="000000"/>
                <w:szCs w:val="21"/>
                <w:highlight w:val="none"/>
              </w:rPr>
              <w:t>1.5</w:t>
            </w:r>
            <w:r>
              <w:rPr>
                <w:rFonts w:ascii="仿宋" w:hAnsi="仿宋" w:eastAsia="仿宋" w:cs="仿宋"/>
                <w:color w:val="000000"/>
                <w:szCs w:val="21"/>
                <w:highlight w:val="none"/>
              </w:rPr>
              <w:t>ICU气管插管拔管后48h内再插管率</w:t>
            </w:r>
          </w:p>
        </w:tc>
        <w:tc>
          <w:tcPr>
            <w:tcW w:w="1953" w:type="pct"/>
            <w:vAlign w:val="center"/>
          </w:tcPr>
          <w:p w14:paraId="6B7160A2">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ICU患者气管插管计划拔管后48h内再插管例数占同期ICU患者气管插管拔管总例数的比例</w:t>
            </w:r>
            <w:r>
              <w:rPr>
                <w:rFonts w:hint="eastAsia" w:ascii="仿宋" w:hAnsi="仿宋" w:eastAsia="仿宋" w:cs="仿宋"/>
                <w:color w:val="000000"/>
                <w:szCs w:val="21"/>
                <w:highlight w:val="none"/>
                <w:lang w:eastAsia="zh-CN"/>
              </w:rPr>
              <w:t>。</w:t>
            </w:r>
          </w:p>
        </w:tc>
      </w:tr>
      <w:tr w14:paraId="01E1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Align w:val="center"/>
          </w:tcPr>
          <w:p w14:paraId="7723BE7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3.26</w:t>
            </w:r>
            <w:r>
              <w:rPr>
                <w:rFonts w:ascii="仿宋" w:hAnsi="仿宋" w:eastAsia="仿宋" w:cs="仿宋"/>
                <w:color w:val="000000"/>
                <w:szCs w:val="21"/>
                <w:highlight w:val="none"/>
                <w:lang w:eastAsia="zh-CN"/>
              </w:rPr>
              <w:t>核医学专业医疗质量控制指标</w:t>
            </w:r>
          </w:p>
        </w:tc>
        <w:tc>
          <w:tcPr>
            <w:tcW w:w="974" w:type="pct"/>
            <w:vAlign w:val="center"/>
          </w:tcPr>
          <w:p w14:paraId="4971E5C0">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3.26.1</w:t>
            </w:r>
            <w:r>
              <w:rPr>
                <w:rFonts w:ascii="仿宋" w:hAnsi="仿宋" w:eastAsia="仿宋" w:cs="仿宋"/>
                <w:color w:val="000000"/>
                <w:szCs w:val="21"/>
                <w:highlight w:val="none"/>
                <w:lang w:eastAsia="zh-CN"/>
              </w:rPr>
              <w:t>核医学专业医疗质量控制指标</w:t>
            </w:r>
          </w:p>
        </w:tc>
        <w:tc>
          <w:tcPr>
            <w:tcW w:w="1339" w:type="pct"/>
            <w:vAlign w:val="center"/>
          </w:tcPr>
          <w:p w14:paraId="76E836E3">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3.26.1.1</w:t>
            </w:r>
            <w:r>
              <w:rPr>
                <w:rFonts w:ascii="仿宋" w:hAnsi="仿宋" w:eastAsia="仿宋" w:cs="仿宋"/>
                <w:color w:val="000000"/>
                <w:szCs w:val="21"/>
                <w:highlight w:val="none"/>
                <w:lang w:eastAsia="zh-CN"/>
              </w:rPr>
              <w:t>反映核医学SPECT检查图像质量</w:t>
            </w:r>
          </w:p>
        </w:tc>
        <w:tc>
          <w:tcPr>
            <w:tcW w:w="1953" w:type="pct"/>
            <w:vAlign w:val="center"/>
          </w:tcPr>
          <w:p w14:paraId="44FC5EA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SPECT图像质量评价为合格的例数占同期SPECT图像质量评价总例数的比例。</w:t>
            </w:r>
          </w:p>
        </w:tc>
      </w:tr>
      <w:tr w14:paraId="1490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Align w:val="center"/>
          </w:tcPr>
          <w:p w14:paraId="575EE181">
            <w:pPr>
              <w:textAlignment w:val="center"/>
              <w:rPr>
                <w:rFonts w:ascii="仿宋" w:hAnsi="仿宋" w:eastAsia="仿宋" w:cs="仿宋"/>
                <w:color w:val="000000"/>
                <w:szCs w:val="21"/>
                <w:highlight w:val="none"/>
                <w:lang w:eastAsia="zh-CN"/>
              </w:rPr>
            </w:pPr>
          </w:p>
        </w:tc>
        <w:tc>
          <w:tcPr>
            <w:tcW w:w="974" w:type="pct"/>
            <w:vAlign w:val="center"/>
          </w:tcPr>
          <w:p w14:paraId="25A4546E">
            <w:pPr>
              <w:textAlignment w:val="center"/>
              <w:rPr>
                <w:rFonts w:ascii="仿宋" w:hAnsi="仿宋" w:eastAsia="仿宋" w:cs="仿宋"/>
                <w:color w:val="000000"/>
                <w:szCs w:val="21"/>
                <w:highlight w:val="none"/>
                <w:lang w:eastAsia="zh-CN"/>
              </w:rPr>
            </w:pPr>
          </w:p>
        </w:tc>
        <w:tc>
          <w:tcPr>
            <w:tcW w:w="1339" w:type="pct"/>
            <w:vAlign w:val="center"/>
          </w:tcPr>
          <w:p w14:paraId="727CA1AE">
            <w:pPr>
              <w:textAlignment w:val="center"/>
              <w:rPr>
                <w:rFonts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3.26.1.2</w:t>
            </w:r>
            <w:r>
              <w:rPr>
                <w:rFonts w:ascii="仿宋" w:hAnsi="仿宋" w:eastAsia="仿宋" w:cs="仿宋"/>
                <w:color w:val="000000"/>
                <w:szCs w:val="21"/>
                <w:highlight w:val="none"/>
                <w:lang w:eastAsia="zh-CN"/>
              </w:rPr>
              <w:t>反映核医学PET/CT检查图像质量</w:t>
            </w:r>
          </w:p>
        </w:tc>
        <w:tc>
          <w:tcPr>
            <w:tcW w:w="1953" w:type="pct"/>
            <w:vAlign w:val="center"/>
          </w:tcPr>
          <w:p w14:paraId="57F3737D">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PET/CT图像质量评价为合格的例数占同期PET/CT图像质量评价总例数的比例。</w:t>
            </w:r>
          </w:p>
        </w:tc>
      </w:tr>
      <w:tr w14:paraId="7E2D0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pct"/>
            <w:vAlign w:val="center"/>
          </w:tcPr>
          <w:p w14:paraId="01B195B9">
            <w:pPr>
              <w:textAlignment w:val="center"/>
              <w:rPr>
                <w:rFonts w:ascii="仿宋" w:hAnsi="仿宋" w:eastAsia="仿宋" w:cs="仿宋"/>
                <w:color w:val="000000"/>
                <w:szCs w:val="21"/>
                <w:highlight w:val="none"/>
                <w:lang w:eastAsia="zh-CN"/>
              </w:rPr>
            </w:pPr>
          </w:p>
        </w:tc>
        <w:tc>
          <w:tcPr>
            <w:tcW w:w="974" w:type="pct"/>
            <w:vAlign w:val="center"/>
          </w:tcPr>
          <w:p w14:paraId="295CB1E8">
            <w:pPr>
              <w:textAlignment w:val="center"/>
              <w:rPr>
                <w:rFonts w:ascii="仿宋" w:hAnsi="仿宋" w:eastAsia="仿宋" w:cs="仿宋"/>
                <w:color w:val="000000"/>
                <w:szCs w:val="21"/>
                <w:highlight w:val="none"/>
                <w:lang w:eastAsia="zh-CN"/>
              </w:rPr>
            </w:pPr>
          </w:p>
        </w:tc>
        <w:tc>
          <w:tcPr>
            <w:tcW w:w="1339" w:type="pct"/>
            <w:vAlign w:val="center"/>
          </w:tcPr>
          <w:p w14:paraId="4547A5B4">
            <w:pPr>
              <w:textAlignment w:val="center"/>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3.26.1.3 </w:t>
            </w:r>
            <w:r>
              <w:rPr>
                <w:rFonts w:ascii="仿宋" w:hAnsi="仿宋" w:eastAsia="仿宋" w:cs="仿宋"/>
                <w:color w:val="000000"/>
                <w:szCs w:val="21"/>
                <w:highlight w:val="none"/>
              </w:rPr>
              <w:t>SPECT/CT固有均匀性稳定性检测率</w:t>
            </w:r>
          </w:p>
        </w:tc>
        <w:tc>
          <w:tcPr>
            <w:tcW w:w="1953" w:type="pct"/>
            <w:vAlign w:val="center"/>
          </w:tcPr>
          <w:p w14:paraId="65658C73">
            <w:pPr>
              <w:textAlignment w:val="center"/>
              <w:rPr>
                <w:rFonts w:ascii="仿宋" w:hAnsi="仿宋" w:eastAsia="仿宋" w:cs="仿宋"/>
                <w:color w:val="000000"/>
                <w:szCs w:val="21"/>
                <w:highlight w:val="none"/>
                <w:lang w:eastAsia="zh-CN"/>
              </w:rPr>
            </w:pPr>
            <w:r>
              <w:rPr>
                <w:rFonts w:ascii="仿宋" w:hAnsi="仿宋" w:eastAsia="仿宋" w:cs="仿宋"/>
                <w:color w:val="000000"/>
                <w:szCs w:val="21"/>
                <w:highlight w:val="none"/>
                <w:lang w:eastAsia="zh-CN"/>
              </w:rPr>
              <w:t>SPECT/CT固有均匀性实际稳定性检测次数占SPECT/CT固有均匀性要求稳定性检测总次数的比例。</w:t>
            </w:r>
          </w:p>
        </w:tc>
      </w:tr>
    </w:tbl>
    <w:p w14:paraId="7FD3F74F">
      <w:pPr>
        <w:pStyle w:val="201"/>
        <w:spacing w:line="480" w:lineRule="exact"/>
        <w:ind w:firstLine="720" w:firstLineChars="300"/>
        <w:rPr>
          <w:rFonts w:ascii="宋体" w:hAnsi="宋体" w:eastAsia="宋体" w:cs="宋体"/>
          <w:sz w:val="24"/>
          <w:szCs w:val="24"/>
          <w:highlight w:val="none"/>
          <w:lang w:eastAsia="zh-CN"/>
        </w:rPr>
      </w:pPr>
    </w:p>
    <w:p w14:paraId="71EFF122">
      <w:pPr>
        <w:pStyle w:val="201"/>
        <w:spacing w:line="480" w:lineRule="exact"/>
        <w:ind w:firstLine="720" w:firstLineChars="300"/>
        <w:rPr>
          <w:rFonts w:ascii="宋体" w:hAnsi="宋体" w:eastAsia="宋体" w:cs="宋体"/>
          <w:sz w:val="24"/>
          <w:szCs w:val="24"/>
          <w:highlight w:val="none"/>
          <w:lang w:eastAsia="zh-CN"/>
        </w:rPr>
      </w:pPr>
    </w:p>
    <w:p w14:paraId="5F79F7AA">
      <w:pPr>
        <w:pStyle w:val="201"/>
        <w:spacing w:line="480" w:lineRule="exact"/>
        <w:ind w:firstLine="720" w:firstLineChars="3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第四章  单病种（术种）/临床路径质量控制指标</w:t>
      </w:r>
    </w:p>
    <w:p w14:paraId="45D809D0">
      <w:pPr>
        <w:pStyle w:val="201"/>
        <w:spacing w:line="480" w:lineRule="exact"/>
        <w:ind w:firstLine="960" w:firstLineChars="300"/>
        <w:rPr>
          <w:rFonts w:ascii="Times New Roman" w:hAnsi="Times New Roman" w:eastAsia="方正小标宋_GBK" w:cs="Times New Roman"/>
          <w:bCs/>
          <w:color w:val="000000"/>
          <w:kern w:val="44"/>
          <w:sz w:val="32"/>
          <w:szCs w:val="32"/>
          <w:highlight w:val="none"/>
          <w:lang w:eastAsia="zh-CN"/>
        </w:rPr>
      </w:pP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2"/>
        <w:gridCol w:w="2308"/>
        <w:gridCol w:w="2383"/>
        <w:gridCol w:w="2278"/>
      </w:tblGrid>
      <w:tr w14:paraId="67870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trPr>
        <w:tc>
          <w:tcPr>
            <w:tcW w:w="1269" w:type="pct"/>
            <w:vAlign w:val="center"/>
          </w:tcPr>
          <w:p w14:paraId="1B9EA73F">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一级指标</w:t>
            </w:r>
          </w:p>
        </w:tc>
        <w:tc>
          <w:tcPr>
            <w:tcW w:w="1235" w:type="pct"/>
            <w:vAlign w:val="center"/>
          </w:tcPr>
          <w:p w14:paraId="727D97A7">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二级指标</w:t>
            </w:r>
          </w:p>
        </w:tc>
        <w:tc>
          <w:tcPr>
            <w:tcW w:w="1275" w:type="pct"/>
            <w:vAlign w:val="center"/>
          </w:tcPr>
          <w:p w14:paraId="4F33D73A">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评审要点</w:t>
            </w:r>
          </w:p>
        </w:tc>
        <w:tc>
          <w:tcPr>
            <w:tcW w:w="1219" w:type="pct"/>
            <w:vAlign w:val="center"/>
          </w:tcPr>
          <w:p w14:paraId="0000F5CB">
            <w:pPr>
              <w:jc w:val="center"/>
              <w:textAlignment w:val="center"/>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释义</w:t>
            </w:r>
          </w:p>
        </w:tc>
      </w:tr>
      <w:tr w14:paraId="008C3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0F6219EB">
            <w:pPr>
              <w:textAlignment w:val="center"/>
              <w:rPr>
                <w:rFonts w:ascii="Times New Roman" w:hAnsi="Times New Roman" w:eastAsia="仿宋" w:cs="Times New Roman"/>
                <w:color w:val="000000"/>
                <w:szCs w:val="21"/>
                <w:highlight w:val="none"/>
                <w:lang w:eastAsia="zh-CN"/>
              </w:rPr>
            </w:pPr>
            <w:r>
              <w:rPr>
                <w:rFonts w:hint="eastAsia" w:ascii="仿宋" w:hAnsi="仿宋" w:eastAsia="仿宋" w:cs="仿宋"/>
                <w:color w:val="000000"/>
                <w:szCs w:val="21"/>
                <w:highlight w:val="none"/>
              </w:rPr>
              <w:t>4.1急性心肌梗死（ST段抬高型，首次住院）</w:t>
            </w:r>
          </w:p>
        </w:tc>
        <w:tc>
          <w:tcPr>
            <w:tcW w:w="1235" w:type="pct"/>
            <w:vAlign w:val="center"/>
          </w:tcPr>
          <w:p w14:paraId="4898F841">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4.1.1急性心肌梗死</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ST段抬高型，首次住院</w:t>
            </w:r>
            <w:r>
              <w:rPr>
                <w:rFonts w:hint="eastAsia" w:ascii="Times New Roman" w:hAnsi="Times New Roman" w:eastAsia="仿宋" w:cs="Times New Roman"/>
                <w:color w:val="000000"/>
                <w:szCs w:val="21"/>
                <w:highlight w:val="none"/>
              </w:rPr>
              <w:t>）</w:t>
            </w:r>
          </w:p>
        </w:tc>
        <w:tc>
          <w:tcPr>
            <w:tcW w:w="1275" w:type="pct"/>
            <w:vAlign w:val="center"/>
          </w:tcPr>
          <w:p w14:paraId="62122533">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4.1.1.1平均住院日、</w:t>
            </w:r>
            <w:r>
              <w:rPr>
                <w:rFonts w:hint="eastAsia" w:ascii="Times New Roman" w:hAnsi="Times New Roman" w:eastAsia="仿宋" w:cs="Times New Roman"/>
                <w:color w:val="000000"/>
                <w:szCs w:val="21"/>
                <w:highlight w:val="none"/>
                <w:lang w:eastAsia="zh-CN"/>
              </w:rPr>
              <w:t>次均费用、病死率</w:t>
            </w:r>
          </w:p>
        </w:tc>
        <w:tc>
          <w:tcPr>
            <w:tcW w:w="1219" w:type="pct"/>
            <w:vMerge w:val="restart"/>
            <w:vAlign w:val="center"/>
          </w:tcPr>
          <w:p w14:paraId="7A03CA79">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平均住院日：考核年度内符合单病种纳入条件的某病种出院患者平均住院时间。</w:t>
            </w:r>
            <w:r>
              <w:rPr>
                <w:rFonts w:hint="eastAsia" w:ascii="Times New Roman" w:hAnsi="Times New Roman" w:eastAsia="仿宋" w:cs="Times New Roman"/>
                <w:color w:val="000000"/>
                <w:szCs w:val="21"/>
                <w:highlight w:val="none"/>
                <w:lang w:eastAsia="zh-CN"/>
              </w:rPr>
              <w:t>计算方法：</w:t>
            </w:r>
            <w:r>
              <w:rPr>
                <w:rFonts w:ascii="Times New Roman" w:hAnsi="Times New Roman" w:eastAsia="仿宋" w:cs="Times New Roman"/>
                <w:color w:val="000000"/>
                <w:szCs w:val="21"/>
                <w:highlight w:val="none"/>
                <w:lang w:eastAsia="zh-CN"/>
              </w:rPr>
              <w:t>某病种出院患者占用总床日数/同期某病种例数</w:t>
            </w:r>
            <w:r>
              <w:rPr>
                <w:rFonts w:hint="eastAsia" w:ascii="Times New Roman" w:hAnsi="Times New Roman" w:eastAsia="仿宋" w:cs="Times New Roman"/>
                <w:color w:val="000000"/>
                <w:szCs w:val="21"/>
                <w:highlight w:val="none"/>
                <w:lang w:eastAsia="zh-CN"/>
              </w:rPr>
              <w:t>。</w:t>
            </w:r>
          </w:p>
          <w:p w14:paraId="131782C9">
            <w:pP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次均费用：</w:t>
            </w:r>
            <w:r>
              <w:rPr>
                <w:rFonts w:ascii="Times New Roman" w:hAnsi="Times New Roman" w:eastAsia="仿宋" w:cs="Times New Roman"/>
                <w:color w:val="000000"/>
                <w:szCs w:val="21"/>
                <w:highlight w:val="none"/>
                <w:lang w:eastAsia="zh-CN"/>
              </w:rPr>
              <w:t>考核年度内符合单病种纳入条件的某病种出院患者平均住院费用</w:t>
            </w:r>
            <w:r>
              <w:rPr>
                <w:rFonts w:hint="eastAsia" w:ascii="Times New Roman" w:hAnsi="Times New Roman" w:eastAsia="仿宋" w:cs="Times New Roman"/>
                <w:color w:val="000000"/>
                <w:szCs w:val="21"/>
                <w:highlight w:val="none"/>
                <w:lang w:eastAsia="zh-CN"/>
              </w:rPr>
              <w:t>。计算方法：</w:t>
            </w:r>
            <w:r>
              <w:rPr>
                <w:rFonts w:ascii="Times New Roman" w:hAnsi="Times New Roman" w:eastAsia="仿宋" w:cs="Times New Roman"/>
                <w:color w:val="000000"/>
                <w:szCs w:val="21"/>
                <w:highlight w:val="none"/>
                <w:lang w:eastAsia="zh-CN"/>
              </w:rPr>
              <w:t>某病种总出院费用/同期某病种例数</w:t>
            </w:r>
            <w:r>
              <w:rPr>
                <w:rFonts w:hint="eastAsia" w:ascii="Times New Roman" w:hAnsi="Times New Roman" w:eastAsia="仿宋" w:cs="Times New Roman"/>
                <w:color w:val="000000"/>
                <w:szCs w:val="21"/>
                <w:highlight w:val="none"/>
                <w:lang w:eastAsia="zh-CN"/>
              </w:rPr>
              <w:t>。</w:t>
            </w:r>
          </w:p>
          <w:p w14:paraId="5072B3C3">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病死率：考核年度内符合单病种纳入条件的某病种出院患者死亡人数占同期同病种出院人数的比例</w:t>
            </w:r>
            <w:r>
              <w:rPr>
                <w:rFonts w:hint="eastAsia" w:ascii="Times New Roman" w:hAnsi="Times New Roman" w:eastAsia="仿宋" w:cs="Times New Roman"/>
                <w:color w:val="000000"/>
                <w:szCs w:val="21"/>
                <w:highlight w:val="none"/>
                <w:lang w:eastAsia="zh-CN"/>
              </w:rPr>
              <w:t>。计算方法：</w:t>
            </w:r>
          </w:p>
          <w:p w14:paraId="178633DD">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某病种死亡人数/同期某病种例数×100%</w:t>
            </w:r>
          </w:p>
          <w:p w14:paraId="1B6CF213">
            <w:pPr>
              <w:rPr>
                <w:rFonts w:ascii="Times New Roman" w:hAnsi="Times New Roman" w:eastAsia="仿宋" w:cs="Times New Roman"/>
                <w:color w:val="000000"/>
                <w:szCs w:val="21"/>
                <w:highlight w:val="none"/>
                <w:lang w:eastAsia="zh-CN"/>
              </w:rPr>
            </w:pPr>
          </w:p>
          <w:p w14:paraId="11E5760B">
            <w:pPr>
              <w:rPr>
                <w:rFonts w:ascii="Times New Roman" w:hAnsi="Times New Roman" w:eastAsia="仿宋" w:cs="Times New Roman"/>
                <w:color w:val="000000"/>
                <w:szCs w:val="21"/>
                <w:highlight w:val="none"/>
                <w:lang w:eastAsia="zh-CN"/>
              </w:rPr>
            </w:pPr>
          </w:p>
          <w:p w14:paraId="38CF7CEB">
            <w:pPr>
              <w:rPr>
                <w:rFonts w:ascii="Times New Roman" w:hAnsi="Times New Roman" w:eastAsia="仿宋" w:cs="Times New Roman"/>
                <w:color w:val="000000"/>
                <w:szCs w:val="21"/>
                <w:highlight w:val="none"/>
                <w:lang w:eastAsia="zh-CN"/>
              </w:rPr>
            </w:pPr>
          </w:p>
          <w:p w14:paraId="7178CFCD">
            <w:pPr>
              <w:rPr>
                <w:rFonts w:ascii="Times New Roman" w:hAnsi="Times New Roman" w:eastAsia="仿宋" w:cs="Times New Roman"/>
                <w:color w:val="000000"/>
                <w:szCs w:val="21"/>
                <w:highlight w:val="none"/>
                <w:lang w:eastAsia="zh-CN"/>
              </w:rPr>
            </w:pPr>
          </w:p>
        </w:tc>
      </w:tr>
      <w:tr w14:paraId="2D3F4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058F34A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rPr>
              <w:t>4.2心力衰竭</w:t>
            </w:r>
          </w:p>
        </w:tc>
        <w:tc>
          <w:tcPr>
            <w:tcW w:w="1235" w:type="pct"/>
            <w:vAlign w:val="center"/>
          </w:tcPr>
          <w:p w14:paraId="267F01B2">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4.2.1心力衰竭</w:t>
            </w:r>
          </w:p>
        </w:tc>
        <w:tc>
          <w:tcPr>
            <w:tcW w:w="1275" w:type="pct"/>
            <w:vAlign w:val="center"/>
          </w:tcPr>
          <w:p w14:paraId="41D28BBE">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4.2.1.1平均住院日、</w:t>
            </w:r>
            <w:r>
              <w:rPr>
                <w:rFonts w:hint="eastAsia" w:ascii="Times New Roman" w:hAnsi="Times New Roman" w:eastAsia="仿宋" w:cs="Times New Roman"/>
                <w:color w:val="000000"/>
                <w:szCs w:val="21"/>
                <w:highlight w:val="none"/>
                <w:lang w:eastAsia="zh-CN"/>
              </w:rPr>
              <w:t>次均费用、病死率</w:t>
            </w:r>
          </w:p>
        </w:tc>
        <w:tc>
          <w:tcPr>
            <w:tcW w:w="1219" w:type="pct"/>
            <w:vMerge w:val="continue"/>
            <w:vAlign w:val="center"/>
          </w:tcPr>
          <w:p w14:paraId="2C0C615B">
            <w:pPr>
              <w:rPr>
                <w:rFonts w:ascii="Times New Roman" w:hAnsi="Times New Roman" w:eastAsia="仿宋" w:cs="Times New Roman"/>
                <w:color w:val="000000"/>
                <w:szCs w:val="21"/>
                <w:highlight w:val="none"/>
                <w:lang w:eastAsia="zh-CN"/>
              </w:rPr>
            </w:pPr>
          </w:p>
        </w:tc>
      </w:tr>
      <w:tr w14:paraId="6B9F1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9B8222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rPr>
              <w:t>4.3冠状动脉旁路移植术</w:t>
            </w:r>
          </w:p>
        </w:tc>
        <w:tc>
          <w:tcPr>
            <w:tcW w:w="1235" w:type="pct"/>
            <w:vAlign w:val="center"/>
          </w:tcPr>
          <w:p w14:paraId="7619185C">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4.3.1冠状动脉旁路移植术</w:t>
            </w:r>
          </w:p>
        </w:tc>
        <w:tc>
          <w:tcPr>
            <w:tcW w:w="1275" w:type="pct"/>
            <w:vAlign w:val="center"/>
          </w:tcPr>
          <w:p w14:paraId="1597801A">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4.3.1.1平均住院日、</w:t>
            </w:r>
            <w:r>
              <w:rPr>
                <w:rFonts w:hint="eastAsia" w:ascii="Times New Roman" w:hAnsi="Times New Roman" w:eastAsia="仿宋" w:cs="Times New Roman"/>
                <w:color w:val="000000"/>
                <w:szCs w:val="21"/>
                <w:highlight w:val="none"/>
                <w:lang w:eastAsia="zh-CN"/>
              </w:rPr>
              <w:t>次均费用、病死率</w:t>
            </w:r>
          </w:p>
        </w:tc>
        <w:tc>
          <w:tcPr>
            <w:tcW w:w="1219" w:type="pct"/>
            <w:vMerge w:val="continue"/>
            <w:vAlign w:val="center"/>
          </w:tcPr>
          <w:p w14:paraId="6698A031">
            <w:pPr>
              <w:rPr>
                <w:rFonts w:ascii="Times New Roman" w:hAnsi="Times New Roman" w:eastAsia="仿宋" w:cs="Times New Roman"/>
                <w:color w:val="000000"/>
                <w:szCs w:val="21"/>
                <w:highlight w:val="none"/>
                <w:lang w:eastAsia="zh-CN"/>
              </w:rPr>
            </w:pPr>
          </w:p>
        </w:tc>
      </w:tr>
      <w:tr w14:paraId="755E3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58A1204A">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4.4房颤</w:t>
            </w:r>
          </w:p>
        </w:tc>
        <w:tc>
          <w:tcPr>
            <w:tcW w:w="1235" w:type="pct"/>
            <w:vAlign w:val="center"/>
          </w:tcPr>
          <w:p w14:paraId="76C3F838">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4.4.1房颤</w:t>
            </w:r>
          </w:p>
        </w:tc>
        <w:tc>
          <w:tcPr>
            <w:tcW w:w="1275" w:type="pct"/>
            <w:vAlign w:val="center"/>
          </w:tcPr>
          <w:p w14:paraId="1538FA6A">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4.4.1.1平均住院日、</w:t>
            </w:r>
            <w:r>
              <w:rPr>
                <w:rFonts w:hint="eastAsia" w:ascii="Times New Roman" w:hAnsi="Times New Roman" w:eastAsia="仿宋" w:cs="Times New Roman"/>
                <w:color w:val="000000"/>
                <w:szCs w:val="21"/>
                <w:highlight w:val="none"/>
                <w:lang w:eastAsia="zh-CN"/>
              </w:rPr>
              <w:t>次均费用、病死率</w:t>
            </w:r>
          </w:p>
        </w:tc>
        <w:tc>
          <w:tcPr>
            <w:tcW w:w="1219" w:type="pct"/>
            <w:vMerge w:val="continue"/>
            <w:vAlign w:val="center"/>
          </w:tcPr>
          <w:p w14:paraId="6AB8F9F0">
            <w:pPr>
              <w:rPr>
                <w:rFonts w:ascii="Times New Roman" w:hAnsi="Times New Roman" w:eastAsia="仿宋" w:cs="Times New Roman"/>
                <w:color w:val="000000"/>
                <w:szCs w:val="21"/>
                <w:highlight w:val="none"/>
                <w:lang w:eastAsia="zh-CN"/>
              </w:rPr>
            </w:pPr>
          </w:p>
        </w:tc>
      </w:tr>
      <w:tr w14:paraId="5153A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1529BAC0">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4.5主动脉瓣置换术</w:t>
            </w:r>
          </w:p>
        </w:tc>
        <w:tc>
          <w:tcPr>
            <w:tcW w:w="1235" w:type="pct"/>
            <w:vAlign w:val="center"/>
          </w:tcPr>
          <w:p w14:paraId="29C2F858">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4.5.1主动脉瓣置换术</w:t>
            </w:r>
          </w:p>
        </w:tc>
        <w:tc>
          <w:tcPr>
            <w:tcW w:w="1275" w:type="pct"/>
            <w:vAlign w:val="center"/>
          </w:tcPr>
          <w:p w14:paraId="0FDD71B8">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5</w:t>
            </w:r>
            <w:r>
              <w:rPr>
                <w:rFonts w:ascii="Times New Roman" w:hAnsi="Times New Roman" w:eastAsia="仿宋" w:cs="Times New Roman"/>
                <w:color w:val="000000"/>
                <w:szCs w:val="21"/>
                <w:highlight w:val="none"/>
                <w:lang w:eastAsia="zh-CN"/>
              </w:rPr>
              <w:t>.</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.1平均住院日、</w:t>
            </w:r>
            <w:r>
              <w:rPr>
                <w:rFonts w:hint="eastAsia" w:ascii="Times New Roman" w:hAnsi="Times New Roman" w:eastAsia="仿宋" w:cs="Times New Roman"/>
                <w:color w:val="000000"/>
                <w:szCs w:val="21"/>
                <w:highlight w:val="none"/>
                <w:lang w:eastAsia="zh-CN"/>
              </w:rPr>
              <w:t>次均费用、病死率</w:t>
            </w:r>
          </w:p>
        </w:tc>
        <w:tc>
          <w:tcPr>
            <w:tcW w:w="1219" w:type="pct"/>
            <w:vMerge w:val="continue"/>
            <w:vAlign w:val="center"/>
          </w:tcPr>
          <w:p w14:paraId="2321861F">
            <w:pPr>
              <w:rPr>
                <w:rFonts w:ascii="Times New Roman" w:hAnsi="Times New Roman" w:eastAsia="仿宋" w:cs="Times New Roman"/>
                <w:color w:val="000000"/>
                <w:szCs w:val="21"/>
                <w:highlight w:val="none"/>
                <w:lang w:eastAsia="zh-CN"/>
              </w:rPr>
            </w:pPr>
          </w:p>
        </w:tc>
      </w:tr>
      <w:tr w14:paraId="2783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41E5B5B4">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4.6二尖瓣置换术</w:t>
            </w:r>
          </w:p>
        </w:tc>
        <w:tc>
          <w:tcPr>
            <w:tcW w:w="1235" w:type="pct"/>
            <w:vAlign w:val="center"/>
          </w:tcPr>
          <w:p w14:paraId="3A6A3C9E">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4.6.1二尖瓣置换术</w:t>
            </w:r>
          </w:p>
        </w:tc>
        <w:tc>
          <w:tcPr>
            <w:tcW w:w="1275" w:type="pct"/>
            <w:vAlign w:val="center"/>
          </w:tcPr>
          <w:p w14:paraId="30D0EDF4">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6</w:t>
            </w:r>
            <w:r>
              <w:rPr>
                <w:rFonts w:ascii="Times New Roman" w:hAnsi="Times New Roman" w:eastAsia="仿宋" w:cs="Times New Roman"/>
                <w:color w:val="000000"/>
                <w:szCs w:val="21"/>
                <w:highlight w:val="none"/>
                <w:lang w:eastAsia="zh-CN"/>
              </w:rPr>
              <w:t>.</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.1平均住院日、</w:t>
            </w:r>
            <w:r>
              <w:rPr>
                <w:rFonts w:hint="eastAsia" w:ascii="Times New Roman" w:hAnsi="Times New Roman" w:eastAsia="仿宋" w:cs="Times New Roman"/>
                <w:color w:val="000000"/>
                <w:szCs w:val="21"/>
                <w:highlight w:val="none"/>
                <w:lang w:eastAsia="zh-CN"/>
              </w:rPr>
              <w:t>次均费用、病死率</w:t>
            </w:r>
          </w:p>
        </w:tc>
        <w:tc>
          <w:tcPr>
            <w:tcW w:w="1219" w:type="pct"/>
            <w:vMerge w:val="continue"/>
            <w:vAlign w:val="center"/>
          </w:tcPr>
          <w:p w14:paraId="25D2E326">
            <w:pPr>
              <w:rPr>
                <w:rFonts w:ascii="Times New Roman" w:hAnsi="Times New Roman" w:eastAsia="仿宋" w:cs="Times New Roman"/>
                <w:color w:val="000000"/>
                <w:szCs w:val="21"/>
                <w:highlight w:val="none"/>
                <w:lang w:eastAsia="zh-CN"/>
              </w:rPr>
            </w:pPr>
          </w:p>
        </w:tc>
      </w:tr>
      <w:tr w14:paraId="69D90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2829250C">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4.7</w:t>
            </w:r>
            <w:r>
              <w:rPr>
                <w:rFonts w:ascii="Times New Roman" w:hAnsi="Times New Roman" w:eastAsia="仿宋" w:cs="Times New Roman"/>
                <w:color w:val="000000"/>
                <w:szCs w:val="21"/>
                <w:highlight w:val="none"/>
              </w:rPr>
              <w:t>房间隔缺损手术</w:t>
            </w:r>
          </w:p>
        </w:tc>
        <w:tc>
          <w:tcPr>
            <w:tcW w:w="1235" w:type="pct"/>
            <w:vAlign w:val="center"/>
          </w:tcPr>
          <w:p w14:paraId="1E5F2C2D">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4.</w:t>
            </w:r>
            <w:r>
              <w:rPr>
                <w:rFonts w:hint="eastAsia" w:ascii="Times New Roman" w:hAnsi="Times New Roman" w:eastAsia="仿宋" w:cs="Times New Roman"/>
                <w:color w:val="000000"/>
                <w:szCs w:val="21"/>
                <w:highlight w:val="none"/>
              </w:rPr>
              <w:t>7</w:t>
            </w:r>
            <w:r>
              <w:rPr>
                <w:rFonts w:ascii="Times New Roman" w:hAnsi="Times New Roman" w:eastAsia="仿宋" w:cs="Times New Roman"/>
                <w:color w:val="000000"/>
                <w:szCs w:val="21"/>
                <w:highlight w:val="none"/>
              </w:rPr>
              <w:t>.1房间隔缺损手术</w:t>
            </w:r>
          </w:p>
        </w:tc>
        <w:tc>
          <w:tcPr>
            <w:tcW w:w="1275" w:type="pct"/>
            <w:vAlign w:val="center"/>
          </w:tcPr>
          <w:p w14:paraId="7B0AA98F">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7.1</w:t>
            </w:r>
            <w:r>
              <w:rPr>
                <w:rFonts w:ascii="Times New Roman" w:hAnsi="Times New Roman" w:eastAsia="仿宋" w:cs="Times New Roman"/>
                <w:color w:val="000000"/>
                <w:szCs w:val="21"/>
                <w:highlight w:val="none"/>
                <w:lang w:eastAsia="zh-CN"/>
              </w:rPr>
              <w:t>.1平均住院日、</w:t>
            </w:r>
            <w:r>
              <w:rPr>
                <w:rFonts w:hint="eastAsia" w:ascii="Times New Roman" w:hAnsi="Times New Roman" w:eastAsia="仿宋" w:cs="Times New Roman"/>
                <w:color w:val="000000"/>
                <w:szCs w:val="21"/>
                <w:highlight w:val="none"/>
                <w:lang w:eastAsia="zh-CN"/>
              </w:rPr>
              <w:t>次均费用、病死率</w:t>
            </w:r>
          </w:p>
        </w:tc>
        <w:tc>
          <w:tcPr>
            <w:tcW w:w="1219" w:type="pct"/>
            <w:vMerge w:val="continue"/>
            <w:vAlign w:val="center"/>
          </w:tcPr>
          <w:p w14:paraId="6AC9C5E4">
            <w:pPr>
              <w:rPr>
                <w:rFonts w:ascii="Times New Roman" w:hAnsi="Times New Roman" w:eastAsia="仿宋" w:cs="Times New Roman"/>
                <w:color w:val="000000"/>
                <w:szCs w:val="21"/>
                <w:highlight w:val="none"/>
                <w:lang w:eastAsia="zh-CN"/>
              </w:rPr>
            </w:pPr>
          </w:p>
        </w:tc>
      </w:tr>
      <w:tr w14:paraId="274F8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059237D6">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4.8</w:t>
            </w:r>
            <w:r>
              <w:rPr>
                <w:rFonts w:ascii="Times New Roman" w:hAnsi="Times New Roman" w:eastAsia="仿宋" w:cs="Times New Roman"/>
                <w:color w:val="000000"/>
                <w:szCs w:val="21"/>
                <w:highlight w:val="none"/>
              </w:rPr>
              <w:t>室间隔缺损手术</w:t>
            </w:r>
          </w:p>
        </w:tc>
        <w:tc>
          <w:tcPr>
            <w:tcW w:w="1235" w:type="pct"/>
            <w:vAlign w:val="center"/>
          </w:tcPr>
          <w:p w14:paraId="0D356E29">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4.8.1</w:t>
            </w:r>
            <w:r>
              <w:rPr>
                <w:rFonts w:ascii="Times New Roman" w:hAnsi="Times New Roman" w:eastAsia="仿宋" w:cs="Times New Roman"/>
                <w:color w:val="000000"/>
                <w:szCs w:val="21"/>
                <w:highlight w:val="none"/>
              </w:rPr>
              <w:t>室间隔缺损手术</w:t>
            </w:r>
          </w:p>
        </w:tc>
        <w:tc>
          <w:tcPr>
            <w:tcW w:w="1275" w:type="pct"/>
            <w:vAlign w:val="center"/>
          </w:tcPr>
          <w:p w14:paraId="369710F1">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8</w:t>
            </w:r>
            <w:r>
              <w:rPr>
                <w:rFonts w:ascii="Times New Roman" w:hAnsi="Times New Roman" w:eastAsia="仿宋" w:cs="Times New Roman"/>
                <w:color w:val="000000"/>
                <w:szCs w:val="21"/>
                <w:highlight w:val="none"/>
                <w:lang w:eastAsia="zh-CN"/>
              </w:rPr>
              <w:t>.</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.1平均住院日、</w:t>
            </w:r>
            <w:r>
              <w:rPr>
                <w:rFonts w:hint="eastAsia" w:ascii="Times New Roman" w:hAnsi="Times New Roman" w:eastAsia="仿宋" w:cs="Times New Roman"/>
                <w:color w:val="000000"/>
                <w:szCs w:val="21"/>
                <w:highlight w:val="none"/>
                <w:lang w:eastAsia="zh-CN"/>
              </w:rPr>
              <w:t>次均费用、病死率</w:t>
            </w:r>
          </w:p>
        </w:tc>
        <w:tc>
          <w:tcPr>
            <w:tcW w:w="1219" w:type="pct"/>
            <w:vMerge w:val="continue"/>
            <w:vAlign w:val="center"/>
          </w:tcPr>
          <w:p w14:paraId="580C7120">
            <w:pPr>
              <w:rPr>
                <w:rFonts w:ascii="Times New Roman" w:hAnsi="Times New Roman" w:eastAsia="仿宋" w:cs="Times New Roman"/>
                <w:color w:val="000000"/>
                <w:szCs w:val="21"/>
                <w:highlight w:val="none"/>
                <w:lang w:eastAsia="zh-CN"/>
              </w:rPr>
            </w:pPr>
          </w:p>
        </w:tc>
      </w:tr>
      <w:tr w14:paraId="151D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4744C307">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4.9</w:t>
            </w:r>
            <w:r>
              <w:rPr>
                <w:rFonts w:ascii="Times New Roman" w:hAnsi="Times New Roman" w:eastAsia="仿宋" w:cs="Times New Roman"/>
                <w:color w:val="000000"/>
                <w:szCs w:val="21"/>
                <w:highlight w:val="none"/>
              </w:rPr>
              <w:t>主动脉腔内修复术</w:t>
            </w:r>
          </w:p>
        </w:tc>
        <w:tc>
          <w:tcPr>
            <w:tcW w:w="1235" w:type="pct"/>
            <w:vAlign w:val="center"/>
          </w:tcPr>
          <w:p w14:paraId="57EB323F">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4.9.1</w:t>
            </w:r>
            <w:r>
              <w:rPr>
                <w:rFonts w:ascii="Times New Roman" w:hAnsi="Times New Roman" w:eastAsia="仿宋" w:cs="Times New Roman"/>
                <w:color w:val="000000"/>
                <w:szCs w:val="21"/>
                <w:highlight w:val="none"/>
              </w:rPr>
              <w:t>主动脉腔内修复术</w:t>
            </w:r>
          </w:p>
        </w:tc>
        <w:tc>
          <w:tcPr>
            <w:tcW w:w="1275" w:type="pct"/>
            <w:vAlign w:val="center"/>
          </w:tcPr>
          <w:p w14:paraId="6AE93DEA">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9</w:t>
            </w:r>
            <w:r>
              <w:rPr>
                <w:rFonts w:ascii="Times New Roman" w:hAnsi="Times New Roman" w:eastAsia="仿宋" w:cs="Times New Roman"/>
                <w:color w:val="000000"/>
                <w:szCs w:val="21"/>
                <w:highlight w:val="none"/>
                <w:lang w:eastAsia="zh-CN"/>
              </w:rPr>
              <w:t>.</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.1平均住院日、</w:t>
            </w:r>
            <w:r>
              <w:rPr>
                <w:rFonts w:hint="eastAsia" w:ascii="Times New Roman" w:hAnsi="Times New Roman" w:eastAsia="仿宋" w:cs="Times New Roman"/>
                <w:color w:val="000000"/>
                <w:szCs w:val="21"/>
                <w:highlight w:val="none"/>
                <w:lang w:eastAsia="zh-CN"/>
              </w:rPr>
              <w:t>次均费用、病死率</w:t>
            </w:r>
          </w:p>
        </w:tc>
        <w:tc>
          <w:tcPr>
            <w:tcW w:w="1219" w:type="pct"/>
            <w:vMerge w:val="continue"/>
            <w:vAlign w:val="center"/>
          </w:tcPr>
          <w:p w14:paraId="61368D32">
            <w:pPr>
              <w:rPr>
                <w:rFonts w:ascii="Times New Roman" w:hAnsi="Times New Roman" w:eastAsia="仿宋" w:cs="Times New Roman"/>
                <w:color w:val="000000"/>
                <w:szCs w:val="21"/>
                <w:highlight w:val="none"/>
                <w:lang w:eastAsia="zh-CN"/>
              </w:rPr>
            </w:pPr>
          </w:p>
        </w:tc>
      </w:tr>
      <w:tr w14:paraId="0E70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4F73160F">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rPr>
              <w:t>4.10</w:t>
            </w:r>
            <w:r>
              <w:rPr>
                <w:rFonts w:ascii="Times New Roman" w:hAnsi="Times New Roman" w:eastAsia="仿宋" w:cs="Times New Roman"/>
                <w:color w:val="000000"/>
                <w:szCs w:val="21"/>
                <w:highlight w:val="none"/>
              </w:rPr>
              <w:t>脑梗死</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首次住院</w:t>
            </w:r>
            <w:r>
              <w:rPr>
                <w:rFonts w:hint="eastAsia" w:ascii="Times New Roman" w:hAnsi="Times New Roman" w:eastAsia="仿宋" w:cs="Times New Roman"/>
                <w:color w:val="000000"/>
                <w:szCs w:val="21"/>
                <w:highlight w:val="none"/>
              </w:rPr>
              <w:t>）</w:t>
            </w:r>
          </w:p>
        </w:tc>
        <w:tc>
          <w:tcPr>
            <w:tcW w:w="1235" w:type="pct"/>
            <w:vAlign w:val="center"/>
          </w:tcPr>
          <w:p w14:paraId="021BA6D5">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4.10.1</w:t>
            </w:r>
            <w:r>
              <w:rPr>
                <w:rFonts w:ascii="Times New Roman" w:hAnsi="Times New Roman" w:eastAsia="仿宋" w:cs="Times New Roman"/>
                <w:color w:val="000000"/>
                <w:szCs w:val="21"/>
                <w:highlight w:val="none"/>
              </w:rPr>
              <w:t>脑梗死</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首次住院</w:t>
            </w:r>
            <w:r>
              <w:rPr>
                <w:rFonts w:hint="eastAsia" w:ascii="Times New Roman" w:hAnsi="Times New Roman" w:eastAsia="仿宋" w:cs="Times New Roman"/>
                <w:color w:val="000000"/>
                <w:szCs w:val="21"/>
                <w:highlight w:val="none"/>
              </w:rPr>
              <w:t>）</w:t>
            </w:r>
          </w:p>
        </w:tc>
        <w:tc>
          <w:tcPr>
            <w:tcW w:w="1275" w:type="pct"/>
            <w:vAlign w:val="center"/>
          </w:tcPr>
          <w:p w14:paraId="5E6E88E4">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10</w:t>
            </w:r>
            <w:r>
              <w:rPr>
                <w:rFonts w:ascii="Times New Roman" w:hAnsi="Times New Roman" w:eastAsia="仿宋" w:cs="Times New Roman"/>
                <w:color w:val="000000"/>
                <w:szCs w:val="21"/>
                <w:highlight w:val="none"/>
                <w:lang w:eastAsia="zh-CN"/>
              </w:rPr>
              <w:t>.</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4EB1C41">
            <w:pPr>
              <w:rPr>
                <w:rFonts w:ascii="Times New Roman" w:hAnsi="Times New Roman" w:eastAsia="仿宋" w:cs="Times New Roman"/>
                <w:color w:val="000000"/>
                <w:szCs w:val="21"/>
                <w:highlight w:val="none"/>
                <w:lang w:eastAsia="zh-CN"/>
              </w:rPr>
            </w:pPr>
          </w:p>
        </w:tc>
      </w:tr>
      <w:tr w14:paraId="6B6CB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676046E9">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4.11</w:t>
            </w:r>
            <w:r>
              <w:rPr>
                <w:rFonts w:ascii="Times New Roman" w:hAnsi="Times New Roman" w:eastAsia="仿宋" w:cs="Times New Roman"/>
                <w:color w:val="000000"/>
                <w:szCs w:val="21"/>
                <w:highlight w:val="none"/>
              </w:rPr>
              <w:t>短暂性脑缺血发作</w:t>
            </w:r>
          </w:p>
        </w:tc>
        <w:tc>
          <w:tcPr>
            <w:tcW w:w="1235" w:type="pct"/>
            <w:vAlign w:val="center"/>
          </w:tcPr>
          <w:p w14:paraId="01B67AF8">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4.11.1</w:t>
            </w:r>
            <w:r>
              <w:rPr>
                <w:rFonts w:ascii="Times New Roman" w:hAnsi="Times New Roman" w:eastAsia="仿宋" w:cs="Times New Roman"/>
                <w:color w:val="000000"/>
                <w:szCs w:val="21"/>
                <w:highlight w:val="none"/>
              </w:rPr>
              <w:t>短暂性脑缺血发作</w:t>
            </w:r>
          </w:p>
        </w:tc>
        <w:tc>
          <w:tcPr>
            <w:tcW w:w="1275" w:type="pct"/>
            <w:vAlign w:val="center"/>
          </w:tcPr>
          <w:p w14:paraId="4F61EF3C">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11</w:t>
            </w:r>
            <w:r>
              <w:rPr>
                <w:rFonts w:ascii="Times New Roman" w:hAnsi="Times New Roman" w:eastAsia="仿宋" w:cs="Times New Roman"/>
                <w:color w:val="000000"/>
                <w:szCs w:val="21"/>
                <w:highlight w:val="none"/>
                <w:lang w:eastAsia="zh-CN"/>
              </w:rPr>
              <w:t>.</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E841681">
            <w:pPr>
              <w:rPr>
                <w:rFonts w:ascii="Times New Roman" w:hAnsi="Times New Roman" w:eastAsia="仿宋" w:cs="Times New Roman"/>
                <w:color w:val="000000"/>
                <w:szCs w:val="21"/>
                <w:highlight w:val="none"/>
                <w:lang w:eastAsia="zh-CN"/>
              </w:rPr>
            </w:pPr>
          </w:p>
        </w:tc>
      </w:tr>
      <w:tr w14:paraId="516AB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1C06F94A">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4.12</w:t>
            </w:r>
            <w:r>
              <w:rPr>
                <w:rFonts w:ascii="Times New Roman" w:hAnsi="Times New Roman" w:eastAsia="仿宋" w:cs="Times New Roman"/>
                <w:color w:val="000000"/>
                <w:szCs w:val="21"/>
                <w:highlight w:val="none"/>
              </w:rPr>
              <w:t>脑出血</w:t>
            </w:r>
          </w:p>
        </w:tc>
        <w:tc>
          <w:tcPr>
            <w:tcW w:w="1235" w:type="pct"/>
            <w:vAlign w:val="center"/>
          </w:tcPr>
          <w:p w14:paraId="6FBBE404">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4.12.1</w:t>
            </w:r>
            <w:r>
              <w:rPr>
                <w:rFonts w:ascii="Times New Roman" w:hAnsi="Times New Roman" w:eastAsia="仿宋" w:cs="Times New Roman"/>
                <w:color w:val="000000"/>
                <w:szCs w:val="21"/>
                <w:highlight w:val="none"/>
              </w:rPr>
              <w:t>脑出血</w:t>
            </w:r>
          </w:p>
        </w:tc>
        <w:tc>
          <w:tcPr>
            <w:tcW w:w="1275" w:type="pct"/>
            <w:vAlign w:val="center"/>
          </w:tcPr>
          <w:p w14:paraId="665B0007">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12</w:t>
            </w:r>
            <w:r>
              <w:rPr>
                <w:rFonts w:ascii="Times New Roman" w:hAnsi="Times New Roman" w:eastAsia="仿宋" w:cs="Times New Roman"/>
                <w:color w:val="000000"/>
                <w:szCs w:val="21"/>
                <w:highlight w:val="none"/>
                <w:lang w:eastAsia="zh-CN"/>
              </w:rPr>
              <w:t>.</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E549C9A">
            <w:pPr>
              <w:rPr>
                <w:rFonts w:ascii="Times New Roman" w:hAnsi="Times New Roman" w:eastAsia="仿宋" w:cs="Times New Roman"/>
                <w:color w:val="000000"/>
                <w:szCs w:val="21"/>
                <w:highlight w:val="none"/>
                <w:lang w:eastAsia="zh-CN"/>
              </w:rPr>
            </w:pPr>
          </w:p>
        </w:tc>
      </w:tr>
      <w:tr w14:paraId="7B292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09799172">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4.13</w:t>
            </w:r>
            <w:r>
              <w:rPr>
                <w:rFonts w:ascii="Times New Roman" w:hAnsi="Times New Roman" w:eastAsia="仿宋" w:cs="Times New Roman"/>
                <w:color w:val="000000"/>
                <w:szCs w:val="21"/>
                <w:highlight w:val="none"/>
                <w:lang w:eastAsia="zh-CN"/>
              </w:rPr>
              <w:t>脑膜瘤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初发，手术治疗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1213C0A0">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4.13.1</w:t>
            </w:r>
            <w:r>
              <w:rPr>
                <w:rFonts w:ascii="Times New Roman" w:hAnsi="Times New Roman" w:eastAsia="仿宋" w:cs="Times New Roman"/>
                <w:color w:val="000000"/>
                <w:szCs w:val="21"/>
                <w:highlight w:val="none"/>
                <w:lang w:eastAsia="zh-CN"/>
              </w:rPr>
              <w:t>脑膜瘤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初发，手术治疗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5501DD88">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13</w:t>
            </w:r>
            <w:r>
              <w:rPr>
                <w:rFonts w:ascii="Times New Roman" w:hAnsi="Times New Roman" w:eastAsia="仿宋" w:cs="Times New Roman"/>
                <w:color w:val="000000"/>
                <w:szCs w:val="21"/>
                <w:highlight w:val="none"/>
                <w:lang w:eastAsia="zh-CN"/>
              </w:rPr>
              <w:t>.</w:t>
            </w:r>
            <w:r>
              <w:rPr>
                <w:rFonts w:hint="eastAsia" w:ascii="Times New Roman" w:hAnsi="Times New Roman" w:eastAsia="仿宋" w:cs="Times New Roman"/>
                <w:color w:val="000000"/>
                <w:szCs w:val="21"/>
                <w:highlight w:val="none"/>
                <w:lang w:eastAsia="zh-CN"/>
              </w:rPr>
              <w:t>1</w:t>
            </w:r>
            <w:r>
              <w:rPr>
                <w:rFonts w:ascii="Times New Roman" w:hAnsi="Times New Roman" w:eastAsia="仿宋" w:cs="Times New Roman"/>
                <w:color w:val="000000"/>
                <w:szCs w:val="21"/>
                <w:highlight w:val="none"/>
                <w:lang w:eastAsia="zh-CN"/>
              </w:rPr>
              <w:t>.1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6C5AD61B">
            <w:pPr>
              <w:rPr>
                <w:rFonts w:ascii="Times New Roman" w:hAnsi="Times New Roman" w:eastAsia="仿宋" w:cs="Times New Roman"/>
                <w:color w:val="000000"/>
                <w:szCs w:val="21"/>
                <w:highlight w:val="none"/>
                <w:lang w:eastAsia="zh-CN"/>
              </w:rPr>
            </w:pPr>
          </w:p>
        </w:tc>
      </w:tr>
      <w:tr w14:paraId="306BC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3821CF80">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4.14</w:t>
            </w:r>
            <w:r>
              <w:rPr>
                <w:rFonts w:ascii="Times New Roman" w:hAnsi="Times New Roman" w:eastAsia="仿宋" w:cs="Times New Roman"/>
                <w:color w:val="000000"/>
                <w:szCs w:val="21"/>
                <w:highlight w:val="none"/>
                <w:lang w:eastAsia="zh-CN"/>
              </w:rPr>
              <w:t>胶质瘤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初发，手术治疗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68ECEBB8">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4.14.1</w:t>
            </w:r>
            <w:r>
              <w:rPr>
                <w:rFonts w:ascii="Times New Roman" w:hAnsi="Times New Roman" w:eastAsia="仿宋" w:cs="Times New Roman"/>
                <w:color w:val="000000"/>
                <w:szCs w:val="21"/>
                <w:highlight w:val="none"/>
                <w:lang w:eastAsia="zh-CN"/>
              </w:rPr>
              <w:t>胶质瘤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初发，手术治疗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03D68F28">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14</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D151C1D">
            <w:pPr>
              <w:rPr>
                <w:rFonts w:ascii="Times New Roman" w:hAnsi="Times New Roman" w:eastAsia="仿宋" w:cs="Times New Roman"/>
                <w:color w:val="000000"/>
                <w:szCs w:val="21"/>
                <w:highlight w:val="none"/>
                <w:lang w:eastAsia="zh-CN"/>
              </w:rPr>
            </w:pPr>
          </w:p>
        </w:tc>
      </w:tr>
      <w:tr w14:paraId="02CEA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F853A16">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4.15</w:t>
            </w:r>
            <w:r>
              <w:rPr>
                <w:rFonts w:ascii="Times New Roman" w:hAnsi="Times New Roman" w:eastAsia="仿宋" w:cs="Times New Roman"/>
                <w:color w:val="000000"/>
                <w:szCs w:val="21"/>
                <w:highlight w:val="none"/>
                <w:lang w:eastAsia="zh-CN"/>
              </w:rPr>
              <w:t>垂体腺瘤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初发，手术治疗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0E6F7342">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4.15.1</w:t>
            </w:r>
            <w:r>
              <w:rPr>
                <w:rFonts w:ascii="Times New Roman" w:hAnsi="Times New Roman" w:eastAsia="仿宋" w:cs="Times New Roman"/>
                <w:color w:val="000000"/>
                <w:szCs w:val="21"/>
                <w:highlight w:val="none"/>
                <w:lang w:eastAsia="zh-CN"/>
              </w:rPr>
              <w:t>垂体腺瘤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初发，手术治疗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6EC47D2C">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15</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4D8527F5">
            <w:pPr>
              <w:rPr>
                <w:rFonts w:ascii="Times New Roman" w:hAnsi="Times New Roman" w:eastAsia="仿宋" w:cs="Times New Roman"/>
                <w:color w:val="000000"/>
                <w:szCs w:val="21"/>
                <w:highlight w:val="none"/>
                <w:lang w:eastAsia="zh-CN"/>
              </w:rPr>
            </w:pPr>
          </w:p>
        </w:tc>
      </w:tr>
      <w:tr w14:paraId="5E17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3218A3AC">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4.16</w:t>
            </w:r>
            <w:r>
              <w:rPr>
                <w:rFonts w:ascii="Times New Roman" w:hAnsi="Times New Roman" w:eastAsia="仿宋" w:cs="Times New Roman"/>
                <w:color w:val="000000"/>
                <w:szCs w:val="21"/>
                <w:highlight w:val="none"/>
                <w:lang w:eastAsia="zh-CN"/>
              </w:rPr>
              <w:t>急性动脉瘤性蛛网膜下腔出血</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初发，手术治疗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4521B1C4">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4.16.1</w:t>
            </w:r>
            <w:r>
              <w:rPr>
                <w:rFonts w:ascii="Times New Roman" w:hAnsi="Times New Roman" w:eastAsia="仿宋" w:cs="Times New Roman"/>
                <w:color w:val="000000"/>
                <w:szCs w:val="21"/>
                <w:highlight w:val="none"/>
                <w:lang w:eastAsia="zh-CN"/>
              </w:rPr>
              <w:t>急性动脉瘤性蛛网膜下腔出血</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初发，手术治疗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3253D9A7">
            <w:pP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16</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676A9817">
            <w:pPr>
              <w:rPr>
                <w:rFonts w:ascii="Times New Roman" w:hAnsi="Times New Roman" w:eastAsia="仿宋" w:cs="Times New Roman"/>
                <w:color w:val="000000"/>
                <w:szCs w:val="21"/>
                <w:highlight w:val="none"/>
                <w:lang w:eastAsia="zh-CN"/>
              </w:rPr>
            </w:pPr>
          </w:p>
        </w:tc>
      </w:tr>
      <w:tr w14:paraId="32F9C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51BA7441">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4.17</w:t>
            </w:r>
            <w:r>
              <w:rPr>
                <w:rFonts w:ascii="Times New Roman" w:hAnsi="Times New Roman" w:eastAsia="仿宋" w:cs="Times New Roman"/>
                <w:color w:val="000000"/>
                <w:szCs w:val="21"/>
                <w:highlight w:val="none"/>
              </w:rPr>
              <w:t>惊厥性癫痫持续状态</w:t>
            </w:r>
          </w:p>
        </w:tc>
        <w:tc>
          <w:tcPr>
            <w:tcW w:w="1235" w:type="pct"/>
            <w:vAlign w:val="center"/>
          </w:tcPr>
          <w:p w14:paraId="610EB25B">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4.17.1</w:t>
            </w:r>
            <w:r>
              <w:rPr>
                <w:rFonts w:ascii="Times New Roman" w:hAnsi="Times New Roman" w:eastAsia="仿宋" w:cs="Times New Roman"/>
                <w:color w:val="000000"/>
                <w:szCs w:val="21"/>
                <w:highlight w:val="none"/>
              </w:rPr>
              <w:t>惊厥性癫痫持续状态</w:t>
            </w:r>
          </w:p>
        </w:tc>
        <w:tc>
          <w:tcPr>
            <w:tcW w:w="1275" w:type="pct"/>
            <w:vAlign w:val="center"/>
          </w:tcPr>
          <w:p w14:paraId="40248B0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17</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29D33181">
            <w:pPr>
              <w:textAlignment w:val="center"/>
              <w:rPr>
                <w:rFonts w:ascii="仿宋" w:hAnsi="仿宋" w:eastAsia="仿宋" w:cs="仿宋"/>
                <w:color w:val="000000"/>
                <w:sz w:val="18"/>
                <w:szCs w:val="18"/>
                <w:highlight w:val="none"/>
                <w:lang w:eastAsia="zh-CN"/>
              </w:rPr>
            </w:pPr>
          </w:p>
        </w:tc>
      </w:tr>
      <w:tr w14:paraId="588EB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1363934B">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4.18</w:t>
            </w:r>
            <w:r>
              <w:rPr>
                <w:rFonts w:ascii="Times New Roman" w:hAnsi="Times New Roman" w:eastAsia="仿宋" w:cs="Times New Roman"/>
                <w:color w:val="000000"/>
                <w:szCs w:val="21"/>
                <w:highlight w:val="none"/>
              </w:rPr>
              <w:t>帕金森病</w:t>
            </w:r>
          </w:p>
        </w:tc>
        <w:tc>
          <w:tcPr>
            <w:tcW w:w="1235" w:type="pct"/>
            <w:vAlign w:val="center"/>
          </w:tcPr>
          <w:p w14:paraId="35101E7F">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4.18.1</w:t>
            </w:r>
            <w:r>
              <w:rPr>
                <w:rFonts w:ascii="Times New Roman" w:hAnsi="Times New Roman" w:eastAsia="仿宋" w:cs="Times New Roman"/>
                <w:color w:val="000000"/>
                <w:szCs w:val="21"/>
                <w:highlight w:val="none"/>
              </w:rPr>
              <w:t>帕金森病</w:t>
            </w:r>
          </w:p>
        </w:tc>
        <w:tc>
          <w:tcPr>
            <w:tcW w:w="1275" w:type="pct"/>
            <w:vAlign w:val="center"/>
          </w:tcPr>
          <w:p w14:paraId="3AAB6A6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18</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550BD5D6">
            <w:pPr>
              <w:textAlignment w:val="center"/>
              <w:rPr>
                <w:rFonts w:ascii="仿宋" w:hAnsi="仿宋" w:eastAsia="仿宋" w:cs="仿宋"/>
                <w:color w:val="000000"/>
                <w:sz w:val="18"/>
                <w:szCs w:val="18"/>
                <w:highlight w:val="none"/>
                <w:lang w:eastAsia="zh-CN"/>
              </w:rPr>
            </w:pPr>
          </w:p>
        </w:tc>
      </w:tr>
      <w:tr w14:paraId="11D8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3476123B">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4.19</w:t>
            </w:r>
            <w:r>
              <w:rPr>
                <w:rFonts w:ascii="Times New Roman" w:hAnsi="Times New Roman" w:eastAsia="仿宋" w:cs="Times New Roman"/>
                <w:color w:val="000000"/>
                <w:szCs w:val="21"/>
                <w:highlight w:val="none"/>
                <w:lang w:eastAsia="zh-CN"/>
              </w:rPr>
              <w:t>社区获得性肺炎</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成人，首次住院</w:t>
            </w:r>
            <w:r>
              <w:rPr>
                <w:rFonts w:hint="eastAsia" w:ascii="Times New Roman" w:hAnsi="Times New Roman" w:eastAsia="仿宋" w:cs="Times New Roman"/>
                <w:color w:val="000000"/>
                <w:szCs w:val="21"/>
                <w:highlight w:val="none"/>
                <w:lang w:eastAsia="zh-CN"/>
              </w:rPr>
              <w:t>）</w:t>
            </w:r>
          </w:p>
        </w:tc>
        <w:tc>
          <w:tcPr>
            <w:tcW w:w="1235" w:type="pct"/>
            <w:vAlign w:val="center"/>
          </w:tcPr>
          <w:p w14:paraId="77EBC3FF">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4.19.1</w:t>
            </w:r>
            <w:r>
              <w:rPr>
                <w:rFonts w:ascii="Times New Roman" w:hAnsi="Times New Roman" w:eastAsia="仿宋" w:cs="Times New Roman"/>
                <w:color w:val="000000"/>
                <w:szCs w:val="21"/>
                <w:highlight w:val="none"/>
                <w:lang w:eastAsia="zh-CN"/>
              </w:rPr>
              <w:t>社区获得性肺炎</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成人，首次住院</w:t>
            </w:r>
            <w:r>
              <w:rPr>
                <w:rFonts w:hint="eastAsia" w:ascii="Times New Roman" w:hAnsi="Times New Roman" w:eastAsia="仿宋" w:cs="Times New Roman"/>
                <w:color w:val="000000"/>
                <w:szCs w:val="21"/>
                <w:highlight w:val="none"/>
                <w:lang w:eastAsia="zh-CN"/>
              </w:rPr>
              <w:t>）</w:t>
            </w:r>
          </w:p>
        </w:tc>
        <w:tc>
          <w:tcPr>
            <w:tcW w:w="1275" w:type="pct"/>
            <w:vAlign w:val="center"/>
          </w:tcPr>
          <w:p w14:paraId="40E28FA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19</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4AD3A3B7">
            <w:pPr>
              <w:textAlignment w:val="center"/>
              <w:rPr>
                <w:rFonts w:ascii="仿宋" w:hAnsi="仿宋" w:eastAsia="仿宋" w:cs="仿宋"/>
                <w:color w:val="000000"/>
                <w:sz w:val="18"/>
                <w:szCs w:val="18"/>
                <w:highlight w:val="none"/>
                <w:lang w:eastAsia="zh-CN"/>
              </w:rPr>
            </w:pPr>
          </w:p>
        </w:tc>
      </w:tr>
      <w:tr w14:paraId="574F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559076E">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4.20</w:t>
            </w:r>
            <w:r>
              <w:rPr>
                <w:rFonts w:ascii="Times New Roman" w:hAnsi="Times New Roman" w:eastAsia="仿宋" w:cs="Times New Roman"/>
                <w:color w:val="000000"/>
                <w:szCs w:val="21"/>
                <w:highlight w:val="none"/>
                <w:lang w:eastAsia="zh-CN"/>
              </w:rPr>
              <w:t>社区获得性肺炎</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儿童，首次住院</w:t>
            </w:r>
            <w:r>
              <w:rPr>
                <w:rFonts w:hint="eastAsia" w:ascii="Times New Roman" w:hAnsi="Times New Roman" w:eastAsia="仿宋" w:cs="Times New Roman"/>
                <w:color w:val="000000"/>
                <w:szCs w:val="21"/>
                <w:highlight w:val="none"/>
                <w:lang w:eastAsia="zh-CN"/>
              </w:rPr>
              <w:t>）</w:t>
            </w:r>
          </w:p>
        </w:tc>
        <w:tc>
          <w:tcPr>
            <w:tcW w:w="1235" w:type="pct"/>
            <w:vAlign w:val="center"/>
          </w:tcPr>
          <w:p w14:paraId="52B451F1">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4.20.1</w:t>
            </w:r>
            <w:r>
              <w:rPr>
                <w:rFonts w:ascii="Times New Roman" w:hAnsi="Times New Roman" w:eastAsia="仿宋" w:cs="Times New Roman"/>
                <w:color w:val="000000"/>
                <w:szCs w:val="21"/>
                <w:highlight w:val="none"/>
                <w:lang w:eastAsia="zh-CN"/>
              </w:rPr>
              <w:t>社区获得性肺炎</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儿童，首次住院</w:t>
            </w:r>
            <w:r>
              <w:rPr>
                <w:rFonts w:hint="eastAsia" w:ascii="Times New Roman" w:hAnsi="Times New Roman" w:eastAsia="仿宋" w:cs="Times New Roman"/>
                <w:color w:val="000000"/>
                <w:szCs w:val="21"/>
                <w:highlight w:val="none"/>
                <w:lang w:eastAsia="zh-CN"/>
              </w:rPr>
              <w:t>）</w:t>
            </w:r>
          </w:p>
        </w:tc>
        <w:tc>
          <w:tcPr>
            <w:tcW w:w="1275" w:type="pct"/>
            <w:vAlign w:val="center"/>
          </w:tcPr>
          <w:p w14:paraId="31C59D8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20</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534D8C2F">
            <w:pPr>
              <w:textAlignment w:val="center"/>
              <w:rPr>
                <w:rFonts w:ascii="仿宋" w:hAnsi="仿宋" w:eastAsia="仿宋" w:cs="仿宋"/>
                <w:color w:val="000000"/>
                <w:sz w:val="18"/>
                <w:szCs w:val="18"/>
                <w:highlight w:val="none"/>
                <w:lang w:eastAsia="zh-CN"/>
              </w:rPr>
            </w:pPr>
          </w:p>
        </w:tc>
      </w:tr>
      <w:tr w14:paraId="0F70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6CBB4106">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4.21</w:t>
            </w:r>
            <w:r>
              <w:rPr>
                <w:rFonts w:ascii="Times New Roman" w:hAnsi="Times New Roman" w:eastAsia="仿宋" w:cs="Times New Roman"/>
                <w:color w:val="000000"/>
                <w:szCs w:val="21"/>
                <w:highlight w:val="none"/>
                <w:lang w:eastAsia="zh-CN"/>
              </w:rPr>
              <w:t>慢性阻塞性肺疾病</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急性发作，住院</w:t>
            </w:r>
            <w:r>
              <w:rPr>
                <w:rFonts w:hint="eastAsia" w:ascii="Times New Roman" w:hAnsi="Times New Roman" w:eastAsia="仿宋" w:cs="Times New Roman"/>
                <w:color w:val="000000"/>
                <w:szCs w:val="21"/>
                <w:highlight w:val="none"/>
                <w:lang w:eastAsia="zh-CN"/>
              </w:rPr>
              <w:t>）</w:t>
            </w:r>
          </w:p>
        </w:tc>
        <w:tc>
          <w:tcPr>
            <w:tcW w:w="1235" w:type="pct"/>
            <w:vAlign w:val="center"/>
          </w:tcPr>
          <w:p w14:paraId="7AF05523">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4.21.1</w:t>
            </w:r>
            <w:r>
              <w:rPr>
                <w:rFonts w:ascii="Times New Roman" w:hAnsi="Times New Roman" w:eastAsia="仿宋" w:cs="Times New Roman"/>
                <w:color w:val="000000"/>
                <w:szCs w:val="21"/>
                <w:highlight w:val="none"/>
                <w:lang w:eastAsia="zh-CN"/>
              </w:rPr>
              <w:t>慢性阻塞性肺疾病</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急性发作，住院</w:t>
            </w:r>
            <w:r>
              <w:rPr>
                <w:rFonts w:hint="eastAsia" w:ascii="Times New Roman" w:hAnsi="Times New Roman" w:eastAsia="仿宋" w:cs="Times New Roman"/>
                <w:color w:val="000000"/>
                <w:szCs w:val="21"/>
                <w:highlight w:val="none"/>
                <w:lang w:eastAsia="zh-CN"/>
              </w:rPr>
              <w:t>）</w:t>
            </w:r>
          </w:p>
        </w:tc>
        <w:tc>
          <w:tcPr>
            <w:tcW w:w="1275" w:type="pct"/>
            <w:vAlign w:val="center"/>
          </w:tcPr>
          <w:p w14:paraId="173E7E7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21</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AACFF62">
            <w:pPr>
              <w:textAlignment w:val="center"/>
              <w:rPr>
                <w:rFonts w:ascii="仿宋" w:hAnsi="仿宋" w:eastAsia="仿宋" w:cs="仿宋"/>
                <w:color w:val="000000"/>
                <w:sz w:val="18"/>
                <w:szCs w:val="18"/>
                <w:highlight w:val="none"/>
                <w:lang w:eastAsia="zh-CN"/>
              </w:rPr>
            </w:pPr>
          </w:p>
        </w:tc>
      </w:tr>
      <w:tr w14:paraId="15C4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4F0809F6">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4.22</w:t>
            </w:r>
            <w:r>
              <w:rPr>
                <w:rFonts w:ascii="Times New Roman" w:hAnsi="Times New Roman" w:eastAsia="仿宋" w:cs="Times New Roman"/>
                <w:color w:val="000000"/>
                <w:szCs w:val="21"/>
                <w:highlight w:val="none"/>
              </w:rPr>
              <w:t>急性肺血栓栓塞症</w:t>
            </w:r>
          </w:p>
        </w:tc>
        <w:tc>
          <w:tcPr>
            <w:tcW w:w="1235" w:type="pct"/>
            <w:vAlign w:val="center"/>
          </w:tcPr>
          <w:p w14:paraId="185EA2D2">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4.22.1</w:t>
            </w:r>
            <w:r>
              <w:rPr>
                <w:rFonts w:ascii="Times New Roman" w:hAnsi="Times New Roman" w:eastAsia="仿宋" w:cs="Times New Roman"/>
                <w:color w:val="000000"/>
                <w:szCs w:val="21"/>
                <w:highlight w:val="none"/>
              </w:rPr>
              <w:t>急性肺血栓栓塞症</w:t>
            </w:r>
          </w:p>
        </w:tc>
        <w:tc>
          <w:tcPr>
            <w:tcW w:w="1275" w:type="pct"/>
            <w:vAlign w:val="center"/>
          </w:tcPr>
          <w:p w14:paraId="2ABED79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22</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E8E50AB">
            <w:pPr>
              <w:textAlignment w:val="center"/>
              <w:rPr>
                <w:rFonts w:ascii="仿宋" w:hAnsi="仿宋" w:eastAsia="仿宋" w:cs="仿宋"/>
                <w:color w:val="000000"/>
                <w:sz w:val="18"/>
                <w:szCs w:val="18"/>
                <w:highlight w:val="none"/>
                <w:lang w:eastAsia="zh-CN"/>
              </w:rPr>
            </w:pPr>
          </w:p>
        </w:tc>
      </w:tr>
      <w:tr w14:paraId="1681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1901918">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4.23</w:t>
            </w:r>
            <w:r>
              <w:rPr>
                <w:rFonts w:ascii="Times New Roman" w:hAnsi="Times New Roman" w:eastAsia="仿宋" w:cs="Times New Roman"/>
                <w:color w:val="000000"/>
                <w:szCs w:val="21"/>
                <w:highlight w:val="none"/>
                <w:lang w:eastAsia="zh-CN"/>
              </w:rPr>
              <w:t>哮喘</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成人，急性发作，住院</w:t>
            </w:r>
            <w:r>
              <w:rPr>
                <w:rFonts w:hint="eastAsia" w:ascii="Times New Roman" w:hAnsi="Times New Roman" w:eastAsia="仿宋" w:cs="Times New Roman"/>
                <w:color w:val="000000"/>
                <w:szCs w:val="21"/>
                <w:highlight w:val="none"/>
                <w:lang w:eastAsia="zh-CN"/>
              </w:rPr>
              <w:t>）</w:t>
            </w:r>
          </w:p>
        </w:tc>
        <w:tc>
          <w:tcPr>
            <w:tcW w:w="1235" w:type="pct"/>
            <w:vAlign w:val="center"/>
          </w:tcPr>
          <w:p w14:paraId="6071BBFF">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4.23.1</w:t>
            </w:r>
            <w:r>
              <w:rPr>
                <w:rFonts w:ascii="Times New Roman" w:hAnsi="Times New Roman" w:eastAsia="仿宋" w:cs="Times New Roman"/>
                <w:color w:val="000000"/>
                <w:szCs w:val="21"/>
                <w:highlight w:val="none"/>
                <w:lang w:eastAsia="zh-CN"/>
              </w:rPr>
              <w:t>哮喘</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成人，急性发作，住院</w:t>
            </w:r>
            <w:r>
              <w:rPr>
                <w:rFonts w:hint="eastAsia" w:ascii="Times New Roman" w:hAnsi="Times New Roman" w:eastAsia="仿宋" w:cs="Times New Roman"/>
                <w:color w:val="000000"/>
                <w:szCs w:val="21"/>
                <w:highlight w:val="none"/>
                <w:lang w:eastAsia="zh-CN"/>
              </w:rPr>
              <w:t>）</w:t>
            </w:r>
          </w:p>
        </w:tc>
        <w:tc>
          <w:tcPr>
            <w:tcW w:w="1275" w:type="pct"/>
            <w:vAlign w:val="center"/>
          </w:tcPr>
          <w:p w14:paraId="0CCD9F5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23</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913DC49">
            <w:pPr>
              <w:textAlignment w:val="center"/>
              <w:rPr>
                <w:rFonts w:ascii="仿宋" w:hAnsi="仿宋" w:eastAsia="仿宋" w:cs="仿宋"/>
                <w:color w:val="000000"/>
                <w:sz w:val="18"/>
                <w:szCs w:val="18"/>
                <w:highlight w:val="none"/>
                <w:lang w:eastAsia="zh-CN"/>
              </w:rPr>
            </w:pPr>
          </w:p>
        </w:tc>
      </w:tr>
      <w:tr w14:paraId="1410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60533143">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4.24</w:t>
            </w:r>
            <w:r>
              <w:rPr>
                <w:rFonts w:ascii="Times New Roman" w:hAnsi="Times New Roman" w:eastAsia="仿宋" w:cs="Times New Roman"/>
                <w:color w:val="000000"/>
                <w:szCs w:val="21"/>
                <w:highlight w:val="none"/>
              </w:rPr>
              <w:t>哮喘</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儿童，住院</w:t>
            </w:r>
            <w:r>
              <w:rPr>
                <w:rFonts w:hint="eastAsia" w:ascii="Times New Roman" w:hAnsi="Times New Roman" w:eastAsia="仿宋" w:cs="Times New Roman"/>
                <w:color w:val="000000"/>
                <w:szCs w:val="21"/>
                <w:highlight w:val="none"/>
              </w:rPr>
              <w:t>）</w:t>
            </w:r>
          </w:p>
        </w:tc>
        <w:tc>
          <w:tcPr>
            <w:tcW w:w="1235" w:type="pct"/>
            <w:vAlign w:val="center"/>
          </w:tcPr>
          <w:p w14:paraId="0B199885">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4.24.1</w:t>
            </w:r>
            <w:r>
              <w:rPr>
                <w:rFonts w:ascii="Times New Roman" w:hAnsi="Times New Roman" w:eastAsia="仿宋" w:cs="Times New Roman"/>
                <w:color w:val="000000"/>
                <w:szCs w:val="21"/>
                <w:highlight w:val="none"/>
              </w:rPr>
              <w:t>哮喘</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儿童，住院</w:t>
            </w:r>
            <w:r>
              <w:rPr>
                <w:rFonts w:hint="eastAsia" w:ascii="Times New Roman" w:hAnsi="Times New Roman" w:eastAsia="仿宋" w:cs="Times New Roman"/>
                <w:color w:val="000000"/>
                <w:szCs w:val="21"/>
                <w:highlight w:val="none"/>
              </w:rPr>
              <w:t>）</w:t>
            </w:r>
          </w:p>
        </w:tc>
        <w:tc>
          <w:tcPr>
            <w:tcW w:w="1275" w:type="pct"/>
            <w:vAlign w:val="center"/>
          </w:tcPr>
          <w:p w14:paraId="5C717F0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24</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228C228C">
            <w:pPr>
              <w:textAlignment w:val="center"/>
              <w:rPr>
                <w:rFonts w:ascii="仿宋" w:hAnsi="仿宋" w:eastAsia="仿宋" w:cs="仿宋"/>
                <w:color w:val="000000"/>
                <w:sz w:val="18"/>
                <w:szCs w:val="18"/>
                <w:highlight w:val="none"/>
                <w:lang w:eastAsia="zh-CN"/>
              </w:rPr>
            </w:pPr>
          </w:p>
        </w:tc>
      </w:tr>
      <w:tr w14:paraId="5CDC8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20EFA01C">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rPr>
              <w:t>4.25</w:t>
            </w:r>
            <w:r>
              <w:rPr>
                <w:rFonts w:ascii="Times New Roman" w:hAnsi="Times New Roman" w:eastAsia="仿宋" w:cs="Times New Roman"/>
                <w:color w:val="000000"/>
                <w:szCs w:val="21"/>
                <w:highlight w:val="none"/>
              </w:rPr>
              <w:t>髋关节置换术</w:t>
            </w:r>
          </w:p>
        </w:tc>
        <w:tc>
          <w:tcPr>
            <w:tcW w:w="1235" w:type="pct"/>
            <w:vAlign w:val="center"/>
          </w:tcPr>
          <w:p w14:paraId="14CA2680">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4.25.1</w:t>
            </w:r>
            <w:r>
              <w:rPr>
                <w:rFonts w:ascii="Times New Roman" w:hAnsi="Times New Roman" w:eastAsia="仿宋" w:cs="Times New Roman"/>
                <w:color w:val="000000"/>
                <w:szCs w:val="21"/>
                <w:highlight w:val="none"/>
              </w:rPr>
              <w:t>髋关节置换术</w:t>
            </w:r>
          </w:p>
        </w:tc>
        <w:tc>
          <w:tcPr>
            <w:tcW w:w="1275" w:type="pct"/>
            <w:vAlign w:val="center"/>
          </w:tcPr>
          <w:p w14:paraId="2FA3F5D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25</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69626E49">
            <w:pPr>
              <w:textAlignment w:val="center"/>
              <w:rPr>
                <w:rFonts w:ascii="仿宋" w:hAnsi="仿宋" w:eastAsia="仿宋" w:cs="仿宋"/>
                <w:color w:val="000000"/>
                <w:sz w:val="18"/>
                <w:szCs w:val="18"/>
                <w:highlight w:val="none"/>
                <w:lang w:eastAsia="zh-CN"/>
              </w:rPr>
            </w:pPr>
          </w:p>
        </w:tc>
      </w:tr>
      <w:tr w14:paraId="1A01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4DC15984">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rPr>
              <w:t>4.26</w:t>
            </w:r>
            <w:r>
              <w:rPr>
                <w:rFonts w:ascii="Times New Roman" w:hAnsi="Times New Roman" w:eastAsia="仿宋" w:cs="Times New Roman"/>
                <w:color w:val="000000"/>
                <w:szCs w:val="21"/>
                <w:highlight w:val="none"/>
              </w:rPr>
              <w:t>膝关节置换术</w:t>
            </w:r>
          </w:p>
        </w:tc>
        <w:tc>
          <w:tcPr>
            <w:tcW w:w="1235" w:type="pct"/>
            <w:vAlign w:val="center"/>
          </w:tcPr>
          <w:p w14:paraId="5236D0D3">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4.26.1</w:t>
            </w:r>
            <w:r>
              <w:rPr>
                <w:rFonts w:ascii="Times New Roman" w:hAnsi="Times New Roman" w:eastAsia="仿宋" w:cs="Times New Roman"/>
                <w:color w:val="000000"/>
                <w:szCs w:val="21"/>
                <w:highlight w:val="none"/>
              </w:rPr>
              <w:t>膝关节置换术</w:t>
            </w:r>
          </w:p>
        </w:tc>
        <w:tc>
          <w:tcPr>
            <w:tcW w:w="1275" w:type="pct"/>
            <w:vAlign w:val="center"/>
          </w:tcPr>
          <w:p w14:paraId="5F8D50B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26</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2100936D">
            <w:pPr>
              <w:textAlignment w:val="center"/>
              <w:rPr>
                <w:rFonts w:ascii="仿宋" w:hAnsi="仿宋" w:eastAsia="仿宋" w:cs="仿宋"/>
                <w:color w:val="000000"/>
                <w:sz w:val="18"/>
                <w:szCs w:val="18"/>
                <w:highlight w:val="none"/>
                <w:lang w:eastAsia="zh-CN"/>
              </w:rPr>
            </w:pPr>
          </w:p>
        </w:tc>
      </w:tr>
      <w:tr w14:paraId="54C21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248339CB">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4.27</w:t>
            </w:r>
            <w:r>
              <w:rPr>
                <w:rFonts w:ascii="Times New Roman" w:hAnsi="Times New Roman" w:eastAsia="仿宋" w:cs="Times New Roman"/>
                <w:color w:val="000000"/>
                <w:szCs w:val="21"/>
                <w:highlight w:val="none"/>
                <w:lang w:eastAsia="zh-CN"/>
              </w:rPr>
              <w:t>发育性髋关节发育不良</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14F3A54F">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4.27.1</w:t>
            </w:r>
            <w:r>
              <w:rPr>
                <w:rFonts w:ascii="Times New Roman" w:hAnsi="Times New Roman" w:eastAsia="仿宋" w:cs="Times New Roman"/>
                <w:color w:val="000000"/>
                <w:szCs w:val="21"/>
                <w:highlight w:val="none"/>
                <w:lang w:eastAsia="zh-CN"/>
              </w:rPr>
              <w:t>发育性髋关节发育不良</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798AD56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27</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4CFF3DAB">
            <w:pPr>
              <w:textAlignment w:val="center"/>
              <w:rPr>
                <w:rFonts w:ascii="仿宋" w:hAnsi="仿宋" w:eastAsia="仿宋" w:cs="仿宋"/>
                <w:color w:val="000000"/>
                <w:sz w:val="18"/>
                <w:szCs w:val="18"/>
                <w:highlight w:val="none"/>
                <w:lang w:eastAsia="zh-CN"/>
              </w:rPr>
            </w:pPr>
          </w:p>
        </w:tc>
      </w:tr>
      <w:tr w14:paraId="15A67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21DDD60F">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rPr>
              <w:t>4.28</w:t>
            </w:r>
            <w:r>
              <w:rPr>
                <w:rFonts w:ascii="Times New Roman" w:hAnsi="Times New Roman" w:eastAsia="仿宋" w:cs="Times New Roman"/>
                <w:color w:val="000000"/>
                <w:szCs w:val="21"/>
                <w:highlight w:val="none"/>
              </w:rPr>
              <w:t>剖宫产</w:t>
            </w:r>
          </w:p>
        </w:tc>
        <w:tc>
          <w:tcPr>
            <w:tcW w:w="1235" w:type="pct"/>
            <w:vAlign w:val="center"/>
          </w:tcPr>
          <w:p w14:paraId="1B98FFE4">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4.28.1</w:t>
            </w:r>
            <w:r>
              <w:rPr>
                <w:rFonts w:ascii="Times New Roman" w:hAnsi="Times New Roman" w:eastAsia="仿宋" w:cs="Times New Roman"/>
                <w:color w:val="000000"/>
                <w:szCs w:val="21"/>
                <w:highlight w:val="none"/>
              </w:rPr>
              <w:t>剖宫产</w:t>
            </w:r>
          </w:p>
        </w:tc>
        <w:tc>
          <w:tcPr>
            <w:tcW w:w="1275" w:type="pct"/>
            <w:vAlign w:val="center"/>
          </w:tcPr>
          <w:p w14:paraId="00B6A41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28</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15E2771">
            <w:pPr>
              <w:textAlignment w:val="center"/>
              <w:rPr>
                <w:rFonts w:ascii="仿宋" w:hAnsi="仿宋" w:eastAsia="仿宋" w:cs="仿宋"/>
                <w:color w:val="000000"/>
                <w:sz w:val="18"/>
                <w:szCs w:val="18"/>
                <w:highlight w:val="none"/>
                <w:lang w:eastAsia="zh-CN"/>
              </w:rPr>
            </w:pPr>
          </w:p>
        </w:tc>
      </w:tr>
      <w:tr w14:paraId="01EAC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09762079">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4.29</w:t>
            </w:r>
            <w:r>
              <w:rPr>
                <w:rFonts w:ascii="Times New Roman" w:hAnsi="Times New Roman" w:eastAsia="仿宋" w:cs="Times New Roman"/>
                <w:color w:val="000000"/>
                <w:szCs w:val="21"/>
                <w:highlight w:val="none"/>
                <w:lang w:eastAsia="zh-CN"/>
              </w:rPr>
              <w:t>异位妊娠</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142953E8">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4.29.1</w:t>
            </w:r>
            <w:r>
              <w:rPr>
                <w:rFonts w:ascii="Times New Roman" w:hAnsi="Times New Roman" w:eastAsia="仿宋" w:cs="Times New Roman"/>
                <w:color w:val="000000"/>
                <w:szCs w:val="21"/>
                <w:highlight w:val="none"/>
                <w:lang w:eastAsia="zh-CN"/>
              </w:rPr>
              <w:t>异位妊娠</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0C7C11E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29</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E2FAA64">
            <w:pPr>
              <w:textAlignment w:val="center"/>
              <w:rPr>
                <w:rFonts w:ascii="仿宋" w:hAnsi="仿宋" w:eastAsia="仿宋" w:cs="仿宋"/>
                <w:color w:val="000000"/>
                <w:sz w:val="18"/>
                <w:szCs w:val="18"/>
                <w:highlight w:val="none"/>
                <w:lang w:eastAsia="zh-CN"/>
              </w:rPr>
            </w:pPr>
          </w:p>
        </w:tc>
      </w:tr>
      <w:tr w14:paraId="6ADF7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2F8A0E12">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4.30</w:t>
            </w:r>
            <w:r>
              <w:rPr>
                <w:rFonts w:ascii="Times New Roman" w:hAnsi="Times New Roman" w:eastAsia="仿宋" w:cs="Times New Roman"/>
                <w:color w:val="000000"/>
                <w:szCs w:val="21"/>
                <w:highlight w:val="none"/>
                <w:lang w:eastAsia="zh-CN"/>
              </w:rPr>
              <w:t>子宫肌瘤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7716141B">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4.30.1</w:t>
            </w:r>
            <w:r>
              <w:rPr>
                <w:rFonts w:ascii="Times New Roman" w:hAnsi="Times New Roman" w:eastAsia="仿宋" w:cs="Times New Roman"/>
                <w:color w:val="000000"/>
                <w:szCs w:val="21"/>
                <w:highlight w:val="none"/>
                <w:lang w:eastAsia="zh-CN"/>
              </w:rPr>
              <w:t>子宫肌瘤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4EB97AF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30</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80D7862">
            <w:pPr>
              <w:textAlignment w:val="center"/>
              <w:rPr>
                <w:rFonts w:ascii="仿宋" w:hAnsi="仿宋" w:eastAsia="仿宋" w:cs="仿宋"/>
                <w:color w:val="000000"/>
                <w:sz w:val="18"/>
                <w:szCs w:val="18"/>
                <w:highlight w:val="none"/>
                <w:lang w:eastAsia="zh-CN"/>
              </w:rPr>
            </w:pPr>
          </w:p>
        </w:tc>
      </w:tr>
      <w:tr w14:paraId="37B69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5386D9B">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4.31</w:t>
            </w:r>
            <w:r>
              <w:rPr>
                <w:rFonts w:ascii="Times New Roman" w:hAnsi="Times New Roman" w:eastAsia="仿宋" w:cs="Times New Roman"/>
                <w:color w:val="000000"/>
                <w:szCs w:val="21"/>
                <w:highlight w:val="none"/>
              </w:rPr>
              <w:t>肺癌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35" w:type="pct"/>
            <w:vAlign w:val="center"/>
          </w:tcPr>
          <w:p w14:paraId="0F9D4279">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4.31.1</w:t>
            </w:r>
            <w:r>
              <w:rPr>
                <w:rFonts w:ascii="Times New Roman" w:hAnsi="Times New Roman" w:eastAsia="仿宋" w:cs="Times New Roman"/>
                <w:color w:val="000000"/>
                <w:szCs w:val="21"/>
                <w:highlight w:val="none"/>
              </w:rPr>
              <w:t>肺癌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75" w:type="pct"/>
            <w:vAlign w:val="center"/>
          </w:tcPr>
          <w:p w14:paraId="73CAF78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31</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30B75B9F">
            <w:pPr>
              <w:textAlignment w:val="center"/>
              <w:rPr>
                <w:rFonts w:ascii="仿宋" w:hAnsi="仿宋" w:eastAsia="仿宋" w:cs="仿宋"/>
                <w:color w:val="000000"/>
                <w:sz w:val="18"/>
                <w:szCs w:val="18"/>
                <w:highlight w:val="none"/>
                <w:lang w:eastAsia="zh-CN"/>
              </w:rPr>
            </w:pPr>
          </w:p>
        </w:tc>
      </w:tr>
      <w:tr w14:paraId="4921D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11E645E8">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4.32</w:t>
            </w:r>
            <w:r>
              <w:rPr>
                <w:rFonts w:ascii="Times New Roman" w:hAnsi="Times New Roman" w:eastAsia="仿宋" w:cs="Times New Roman"/>
                <w:color w:val="000000"/>
                <w:szCs w:val="21"/>
                <w:highlight w:val="none"/>
                <w:lang w:eastAsia="zh-CN"/>
              </w:rPr>
              <w:t>甲状腺癌</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33ECAC90">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4.32.1</w:t>
            </w:r>
            <w:r>
              <w:rPr>
                <w:rFonts w:ascii="Times New Roman" w:hAnsi="Times New Roman" w:eastAsia="仿宋" w:cs="Times New Roman"/>
                <w:color w:val="000000"/>
                <w:szCs w:val="21"/>
                <w:highlight w:val="none"/>
                <w:lang w:eastAsia="zh-CN"/>
              </w:rPr>
              <w:t>甲状腺癌</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0CB0AB8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32</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631E402F">
            <w:pPr>
              <w:textAlignment w:val="center"/>
              <w:rPr>
                <w:rFonts w:ascii="仿宋" w:hAnsi="仿宋" w:eastAsia="仿宋" w:cs="仿宋"/>
                <w:color w:val="000000"/>
                <w:sz w:val="18"/>
                <w:szCs w:val="18"/>
                <w:highlight w:val="none"/>
                <w:lang w:eastAsia="zh-CN"/>
              </w:rPr>
            </w:pPr>
          </w:p>
        </w:tc>
      </w:tr>
      <w:tr w14:paraId="07966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0BCBBA93">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4.33</w:t>
            </w:r>
            <w:r>
              <w:rPr>
                <w:rFonts w:ascii="Times New Roman" w:hAnsi="Times New Roman" w:eastAsia="仿宋" w:cs="Times New Roman"/>
                <w:color w:val="000000"/>
                <w:szCs w:val="21"/>
                <w:highlight w:val="none"/>
              </w:rPr>
              <w:t>乳腺癌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35" w:type="pct"/>
            <w:vAlign w:val="center"/>
          </w:tcPr>
          <w:p w14:paraId="1946B7E5">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4.33.1</w:t>
            </w:r>
            <w:r>
              <w:rPr>
                <w:rFonts w:ascii="Times New Roman" w:hAnsi="Times New Roman" w:eastAsia="仿宋" w:cs="Times New Roman"/>
                <w:color w:val="000000"/>
                <w:szCs w:val="21"/>
                <w:highlight w:val="none"/>
              </w:rPr>
              <w:t>乳腺癌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75" w:type="pct"/>
            <w:vAlign w:val="center"/>
          </w:tcPr>
          <w:p w14:paraId="61A8CC8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33</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2E8C986">
            <w:pPr>
              <w:textAlignment w:val="center"/>
              <w:rPr>
                <w:rFonts w:ascii="仿宋" w:hAnsi="仿宋" w:eastAsia="仿宋" w:cs="仿宋"/>
                <w:color w:val="000000"/>
                <w:sz w:val="18"/>
                <w:szCs w:val="18"/>
                <w:highlight w:val="none"/>
                <w:lang w:eastAsia="zh-CN"/>
              </w:rPr>
            </w:pPr>
          </w:p>
        </w:tc>
      </w:tr>
      <w:tr w14:paraId="7D599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2F8EE223">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4.34</w:t>
            </w:r>
            <w:r>
              <w:rPr>
                <w:rFonts w:ascii="Times New Roman" w:hAnsi="Times New Roman" w:eastAsia="仿宋" w:cs="Times New Roman"/>
                <w:color w:val="000000"/>
                <w:szCs w:val="21"/>
                <w:highlight w:val="none"/>
              </w:rPr>
              <w:t>胃癌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35" w:type="pct"/>
            <w:vAlign w:val="center"/>
          </w:tcPr>
          <w:p w14:paraId="559C327B">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4.34.1</w:t>
            </w:r>
            <w:r>
              <w:rPr>
                <w:rFonts w:ascii="Times New Roman" w:hAnsi="Times New Roman" w:eastAsia="仿宋" w:cs="Times New Roman"/>
                <w:color w:val="000000"/>
                <w:szCs w:val="21"/>
                <w:highlight w:val="none"/>
              </w:rPr>
              <w:t>胃癌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75" w:type="pct"/>
            <w:vAlign w:val="center"/>
          </w:tcPr>
          <w:p w14:paraId="2A58476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34</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3BC48D5">
            <w:pPr>
              <w:textAlignment w:val="center"/>
              <w:rPr>
                <w:rFonts w:ascii="仿宋" w:hAnsi="仿宋" w:eastAsia="仿宋" w:cs="仿宋"/>
                <w:color w:val="000000"/>
                <w:sz w:val="18"/>
                <w:szCs w:val="18"/>
                <w:highlight w:val="none"/>
                <w:lang w:eastAsia="zh-CN"/>
              </w:rPr>
            </w:pPr>
          </w:p>
        </w:tc>
      </w:tr>
      <w:tr w14:paraId="51B7D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29C30B30">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4.35</w:t>
            </w:r>
            <w:r>
              <w:rPr>
                <w:rFonts w:ascii="Times New Roman" w:hAnsi="Times New Roman" w:eastAsia="仿宋" w:cs="Times New Roman"/>
                <w:color w:val="000000"/>
                <w:szCs w:val="21"/>
                <w:highlight w:val="none"/>
              </w:rPr>
              <w:t>结肠癌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35" w:type="pct"/>
            <w:vAlign w:val="center"/>
          </w:tcPr>
          <w:p w14:paraId="5BE5537F">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4.35.1</w:t>
            </w:r>
            <w:r>
              <w:rPr>
                <w:rFonts w:ascii="Times New Roman" w:hAnsi="Times New Roman" w:eastAsia="仿宋" w:cs="Times New Roman"/>
                <w:color w:val="000000"/>
                <w:szCs w:val="21"/>
                <w:highlight w:val="none"/>
              </w:rPr>
              <w:t>结肠癌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75" w:type="pct"/>
            <w:vAlign w:val="center"/>
          </w:tcPr>
          <w:p w14:paraId="24AA65E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35</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9C4C671">
            <w:pPr>
              <w:textAlignment w:val="center"/>
              <w:rPr>
                <w:rFonts w:ascii="仿宋" w:hAnsi="仿宋" w:eastAsia="仿宋" w:cs="仿宋"/>
                <w:color w:val="000000"/>
                <w:sz w:val="18"/>
                <w:szCs w:val="18"/>
                <w:highlight w:val="none"/>
                <w:lang w:eastAsia="zh-CN"/>
              </w:rPr>
            </w:pPr>
          </w:p>
        </w:tc>
      </w:tr>
      <w:tr w14:paraId="277C6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3C0EF968">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4.36</w:t>
            </w:r>
            <w:r>
              <w:rPr>
                <w:rFonts w:ascii="Times New Roman" w:hAnsi="Times New Roman" w:eastAsia="仿宋" w:cs="Times New Roman"/>
                <w:color w:val="000000"/>
                <w:szCs w:val="21"/>
                <w:highlight w:val="none"/>
              </w:rPr>
              <w:t>宫颈癌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35" w:type="pct"/>
            <w:vAlign w:val="center"/>
          </w:tcPr>
          <w:p w14:paraId="27D246B4">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4.36.1</w:t>
            </w:r>
            <w:r>
              <w:rPr>
                <w:rFonts w:ascii="Times New Roman" w:hAnsi="Times New Roman" w:eastAsia="仿宋" w:cs="Times New Roman"/>
                <w:color w:val="000000"/>
                <w:szCs w:val="21"/>
                <w:highlight w:val="none"/>
              </w:rPr>
              <w:t>宫颈癌</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手术治疗</w:t>
            </w:r>
            <w:r>
              <w:rPr>
                <w:rFonts w:hint="eastAsia" w:ascii="Times New Roman" w:hAnsi="Times New Roman" w:eastAsia="仿宋" w:cs="Times New Roman"/>
                <w:color w:val="000000"/>
                <w:szCs w:val="21"/>
                <w:highlight w:val="none"/>
              </w:rPr>
              <w:t>）</w:t>
            </w:r>
          </w:p>
        </w:tc>
        <w:tc>
          <w:tcPr>
            <w:tcW w:w="1275" w:type="pct"/>
            <w:vAlign w:val="center"/>
          </w:tcPr>
          <w:p w14:paraId="571C921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36</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3B0229B">
            <w:pPr>
              <w:textAlignment w:val="center"/>
              <w:rPr>
                <w:rFonts w:ascii="仿宋" w:hAnsi="仿宋" w:eastAsia="仿宋" w:cs="仿宋"/>
                <w:color w:val="000000"/>
                <w:sz w:val="18"/>
                <w:szCs w:val="18"/>
                <w:highlight w:val="none"/>
                <w:lang w:eastAsia="zh-CN"/>
              </w:rPr>
            </w:pPr>
          </w:p>
        </w:tc>
      </w:tr>
      <w:tr w14:paraId="789F0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DFA159C">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4.37</w:t>
            </w:r>
            <w:r>
              <w:rPr>
                <w:rFonts w:ascii="Times New Roman" w:hAnsi="Times New Roman" w:eastAsia="仿宋" w:cs="Times New Roman"/>
                <w:color w:val="000000"/>
                <w:szCs w:val="21"/>
                <w:highlight w:val="none"/>
              </w:rPr>
              <w:t>糖尿病肾病</w:t>
            </w:r>
          </w:p>
        </w:tc>
        <w:tc>
          <w:tcPr>
            <w:tcW w:w="1235" w:type="pct"/>
            <w:vAlign w:val="center"/>
          </w:tcPr>
          <w:p w14:paraId="0887206E">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4.37.1</w:t>
            </w:r>
            <w:r>
              <w:rPr>
                <w:rFonts w:ascii="Times New Roman" w:hAnsi="Times New Roman" w:eastAsia="仿宋" w:cs="Times New Roman"/>
                <w:color w:val="000000"/>
                <w:szCs w:val="21"/>
                <w:highlight w:val="none"/>
              </w:rPr>
              <w:t>糖尿病肾病</w:t>
            </w:r>
          </w:p>
        </w:tc>
        <w:tc>
          <w:tcPr>
            <w:tcW w:w="1275" w:type="pct"/>
            <w:vAlign w:val="center"/>
          </w:tcPr>
          <w:p w14:paraId="6637C87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37</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6E1CC2E">
            <w:pPr>
              <w:textAlignment w:val="center"/>
              <w:rPr>
                <w:rFonts w:ascii="仿宋" w:hAnsi="仿宋" w:eastAsia="仿宋" w:cs="仿宋"/>
                <w:color w:val="000000"/>
                <w:sz w:val="18"/>
                <w:szCs w:val="18"/>
                <w:highlight w:val="none"/>
                <w:lang w:eastAsia="zh-CN"/>
              </w:rPr>
            </w:pPr>
          </w:p>
        </w:tc>
      </w:tr>
      <w:tr w14:paraId="7E07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08A49E18">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4.38</w:t>
            </w:r>
            <w:r>
              <w:rPr>
                <w:rFonts w:ascii="Times New Roman" w:hAnsi="Times New Roman" w:eastAsia="仿宋" w:cs="Times New Roman"/>
                <w:color w:val="000000"/>
                <w:szCs w:val="21"/>
                <w:highlight w:val="none"/>
              </w:rPr>
              <w:t>终末期肾病血液透析</w:t>
            </w:r>
          </w:p>
        </w:tc>
        <w:tc>
          <w:tcPr>
            <w:tcW w:w="1235" w:type="pct"/>
            <w:vAlign w:val="center"/>
          </w:tcPr>
          <w:p w14:paraId="336C2D15">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4.38.1</w:t>
            </w:r>
            <w:r>
              <w:rPr>
                <w:rFonts w:ascii="Times New Roman" w:hAnsi="Times New Roman" w:eastAsia="仿宋" w:cs="Times New Roman"/>
                <w:color w:val="000000"/>
                <w:szCs w:val="21"/>
                <w:highlight w:val="none"/>
              </w:rPr>
              <w:t>终末期肾病血液透析</w:t>
            </w:r>
          </w:p>
        </w:tc>
        <w:tc>
          <w:tcPr>
            <w:tcW w:w="1275" w:type="pct"/>
            <w:vAlign w:val="center"/>
          </w:tcPr>
          <w:p w14:paraId="401359C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38</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FD0BA06">
            <w:pPr>
              <w:textAlignment w:val="center"/>
              <w:rPr>
                <w:rFonts w:ascii="仿宋" w:hAnsi="仿宋" w:eastAsia="仿宋" w:cs="仿宋"/>
                <w:color w:val="000000"/>
                <w:sz w:val="18"/>
                <w:szCs w:val="18"/>
                <w:highlight w:val="none"/>
                <w:lang w:eastAsia="zh-CN"/>
              </w:rPr>
            </w:pPr>
          </w:p>
        </w:tc>
      </w:tr>
      <w:tr w14:paraId="3189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4350AB58">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4.39</w:t>
            </w:r>
            <w:r>
              <w:rPr>
                <w:rFonts w:ascii="Times New Roman" w:hAnsi="Times New Roman" w:eastAsia="仿宋" w:cs="Times New Roman"/>
                <w:color w:val="000000"/>
                <w:szCs w:val="21"/>
                <w:highlight w:val="none"/>
              </w:rPr>
              <w:t>终末期肾病腹膜透析</w:t>
            </w:r>
          </w:p>
        </w:tc>
        <w:tc>
          <w:tcPr>
            <w:tcW w:w="1235" w:type="pct"/>
            <w:vAlign w:val="center"/>
          </w:tcPr>
          <w:p w14:paraId="61293228">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4.39.1</w:t>
            </w:r>
            <w:r>
              <w:rPr>
                <w:rFonts w:ascii="Times New Roman" w:hAnsi="Times New Roman" w:eastAsia="仿宋" w:cs="Times New Roman"/>
                <w:color w:val="000000"/>
                <w:szCs w:val="21"/>
                <w:highlight w:val="none"/>
              </w:rPr>
              <w:t>终末期肾病腹膜透析</w:t>
            </w:r>
          </w:p>
        </w:tc>
        <w:tc>
          <w:tcPr>
            <w:tcW w:w="1275" w:type="pct"/>
            <w:vAlign w:val="center"/>
          </w:tcPr>
          <w:p w14:paraId="0840C4F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.39</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6089EEA1">
            <w:pPr>
              <w:textAlignment w:val="center"/>
              <w:rPr>
                <w:rFonts w:ascii="仿宋" w:hAnsi="仿宋" w:eastAsia="仿宋" w:cs="仿宋"/>
                <w:color w:val="000000"/>
                <w:sz w:val="18"/>
                <w:szCs w:val="18"/>
                <w:highlight w:val="none"/>
                <w:lang w:eastAsia="zh-CN"/>
              </w:rPr>
            </w:pPr>
          </w:p>
        </w:tc>
      </w:tr>
      <w:tr w14:paraId="20AC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35283564">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4.40</w:t>
            </w:r>
            <w:r>
              <w:rPr>
                <w:rFonts w:ascii="Times New Roman" w:hAnsi="Times New Roman" w:eastAsia="仿宋" w:cs="Times New Roman"/>
                <w:color w:val="000000"/>
                <w:szCs w:val="21"/>
                <w:highlight w:val="none"/>
                <w:lang w:eastAsia="zh-CN"/>
              </w:rPr>
              <w:t>舌鳞状细胞癌</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44954ED3">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4.40.1</w:t>
            </w:r>
            <w:r>
              <w:rPr>
                <w:rFonts w:ascii="Times New Roman" w:hAnsi="Times New Roman" w:eastAsia="仿宋" w:cs="Times New Roman"/>
                <w:color w:val="000000"/>
                <w:szCs w:val="21"/>
                <w:highlight w:val="none"/>
                <w:lang w:eastAsia="zh-CN"/>
              </w:rPr>
              <w:t>舌鳞状细胞癌</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3C50559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40</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2445A3C9">
            <w:pPr>
              <w:textAlignment w:val="center"/>
              <w:rPr>
                <w:rFonts w:ascii="仿宋" w:hAnsi="仿宋" w:eastAsia="仿宋" w:cs="仿宋"/>
                <w:color w:val="000000"/>
                <w:sz w:val="18"/>
                <w:szCs w:val="18"/>
                <w:highlight w:val="none"/>
                <w:lang w:eastAsia="zh-CN"/>
              </w:rPr>
            </w:pPr>
          </w:p>
        </w:tc>
      </w:tr>
      <w:tr w14:paraId="4D56F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2ABDAFD9">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4.41</w:t>
            </w:r>
            <w:r>
              <w:rPr>
                <w:rFonts w:ascii="Times New Roman" w:hAnsi="Times New Roman" w:eastAsia="仿宋" w:cs="Times New Roman"/>
                <w:color w:val="000000"/>
                <w:szCs w:val="21"/>
                <w:highlight w:val="none"/>
                <w:lang w:eastAsia="zh-CN"/>
              </w:rPr>
              <w:t>腮腺肿瘤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7868D4C1">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4.41.1</w:t>
            </w:r>
            <w:r>
              <w:rPr>
                <w:rFonts w:ascii="Times New Roman" w:hAnsi="Times New Roman" w:eastAsia="仿宋" w:cs="Times New Roman"/>
                <w:color w:val="000000"/>
                <w:szCs w:val="21"/>
                <w:highlight w:val="none"/>
                <w:lang w:eastAsia="zh-CN"/>
              </w:rPr>
              <w:t>腮腺肿瘤</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0A49FB4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41</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6B6F8E75">
            <w:pPr>
              <w:textAlignment w:val="center"/>
              <w:rPr>
                <w:rFonts w:ascii="仿宋" w:hAnsi="仿宋" w:eastAsia="仿宋" w:cs="仿宋"/>
                <w:color w:val="000000"/>
                <w:sz w:val="18"/>
                <w:szCs w:val="18"/>
                <w:highlight w:val="none"/>
                <w:lang w:eastAsia="zh-CN"/>
              </w:rPr>
            </w:pPr>
          </w:p>
        </w:tc>
      </w:tr>
      <w:tr w14:paraId="6C3CA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32EB6642">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4.42</w:t>
            </w:r>
            <w:r>
              <w:rPr>
                <w:rFonts w:ascii="Times New Roman" w:hAnsi="Times New Roman" w:eastAsia="仿宋" w:cs="Times New Roman"/>
                <w:color w:val="000000"/>
                <w:szCs w:val="21"/>
                <w:highlight w:val="none"/>
              </w:rPr>
              <w:t>口腔种植术</w:t>
            </w:r>
          </w:p>
        </w:tc>
        <w:tc>
          <w:tcPr>
            <w:tcW w:w="1235" w:type="pct"/>
            <w:vAlign w:val="center"/>
          </w:tcPr>
          <w:p w14:paraId="3575D25E">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4.42.1</w:t>
            </w:r>
            <w:r>
              <w:rPr>
                <w:rFonts w:ascii="Times New Roman" w:hAnsi="Times New Roman" w:eastAsia="仿宋" w:cs="Times New Roman"/>
                <w:color w:val="000000"/>
                <w:szCs w:val="21"/>
                <w:highlight w:val="none"/>
              </w:rPr>
              <w:t>口腔种植术</w:t>
            </w:r>
          </w:p>
        </w:tc>
        <w:tc>
          <w:tcPr>
            <w:tcW w:w="1275" w:type="pct"/>
            <w:vAlign w:val="center"/>
          </w:tcPr>
          <w:p w14:paraId="038B5F6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42</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014E064F">
            <w:pPr>
              <w:textAlignment w:val="center"/>
              <w:rPr>
                <w:rFonts w:ascii="仿宋" w:hAnsi="仿宋" w:eastAsia="仿宋" w:cs="仿宋"/>
                <w:color w:val="000000"/>
                <w:sz w:val="18"/>
                <w:szCs w:val="18"/>
                <w:highlight w:val="none"/>
                <w:lang w:eastAsia="zh-CN"/>
              </w:rPr>
            </w:pPr>
          </w:p>
        </w:tc>
      </w:tr>
      <w:tr w14:paraId="52BEE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42FDFBA">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4.43</w:t>
            </w:r>
            <w:r>
              <w:rPr>
                <w:rFonts w:ascii="Times New Roman" w:hAnsi="Times New Roman" w:eastAsia="仿宋" w:cs="Times New Roman"/>
                <w:color w:val="000000"/>
                <w:szCs w:val="21"/>
                <w:highlight w:val="none"/>
                <w:lang w:eastAsia="zh-CN"/>
              </w:rPr>
              <w:t>原发性急性闭角型青光眼</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37CD994B">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4.43.1</w:t>
            </w:r>
            <w:r>
              <w:rPr>
                <w:rFonts w:ascii="Times New Roman" w:hAnsi="Times New Roman" w:eastAsia="仿宋" w:cs="Times New Roman"/>
                <w:color w:val="000000"/>
                <w:szCs w:val="21"/>
                <w:highlight w:val="none"/>
                <w:lang w:eastAsia="zh-CN"/>
              </w:rPr>
              <w:t>原发性急性闭角型青光眼</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1FC8941B">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43</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64B44A39">
            <w:pPr>
              <w:textAlignment w:val="center"/>
              <w:rPr>
                <w:rFonts w:ascii="仿宋" w:hAnsi="仿宋" w:eastAsia="仿宋" w:cs="仿宋"/>
                <w:color w:val="000000"/>
                <w:sz w:val="18"/>
                <w:szCs w:val="18"/>
                <w:highlight w:val="none"/>
                <w:lang w:eastAsia="zh-CN"/>
              </w:rPr>
            </w:pPr>
          </w:p>
        </w:tc>
      </w:tr>
      <w:tr w14:paraId="25771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1F584B50">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4.44</w:t>
            </w:r>
            <w:r>
              <w:rPr>
                <w:rFonts w:ascii="Times New Roman" w:hAnsi="Times New Roman" w:eastAsia="仿宋" w:cs="Times New Roman"/>
                <w:color w:val="000000"/>
                <w:szCs w:val="21"/>
                <w:highlight w:val="none"/>
                <w:lang w:eastAsia="zh-CN"/>
              </w:rPr>
              <w:t>复杂性视网膜脱离</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0C24FAFC">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4.44.1</w:t>
            </w:r>
            <w:r>
              <w:rPr>
                <w:rFonts w:ascii="Times New Roman" w:hAnsi="Times New Roman" w:eastAsia="仿宋" w:cs="Times New Roman"/>
                <w:color w:val="000000"/>
                <w:szCs w:val="21"/>
                <w:highlight w:val="none"/>
                <w:lang w:eastAsia="zh-CN"/>
              </w:rPr>
              <w:t>复杂性视网膜脱离</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2C75015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44</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6B5A8586">
            <w:pPr>
              <w:textAlignment w:val="center"/>
              <w:rPr>
                <w:rFonts w:ascii="仿宋" w:hAnsi="仿宋" w:eastAsia="仿宋" w:cs="仿宋"/>
                <w:color w:val="000000"/>
                <w:sz w:val="18"/>
                <w:szCs w:val="18"/>
                <w:highlight w:val="none"/>
                <w:lang w:eastAsia="zh-CN"/>
              </w:rPr>
            </w:pPr>
          </w:p>
        </w:tc>
      </w:tr>
      <w:tr w14:paraId="4F3F4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081EE5C">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4.45</w:t>
            </w:r>
            <w:r>
              <w:rPr>
                <w:rFonts w:ascii="Times New Roman" w:hAnsi="Times New Roman" w:eastAsia="仿宋" w:cs="Times New Roman"/>
                <w:color w:val="000000"/>
                <w:szCs w:val="21"/>
                <w:highlight w:val="none"/>
              </w:rPr>
              <w:t>围手术期预防感染</w:t>
            </w:r>
          </w:p>
        </w:tc>
        <w:tc>
          <w:tcPr>
            <w:tcW w:w="1235" w:type="pct"/>
            <w:vAlign w:val="center"/>
          </w:tcPr>
          <w:p w14:paraId="247A8675">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4.45.1</w:t>
            </w:r>
            <w:r>
              <w:rPr>
                <w:rFonts w:ascii="Times New Roman" w:hAnsi="Times New Roman" w:eastAsia="仿宋" w:cs="Times New Roman"/>
                <w:color w:val="000000"/>
                <w:szCs w:val="21"/>
                <w:highlight w:val="none"/>
              </w:rPr>
              <w:t>围手术期预防感染</w:t>
            </w:r>
          </w:p>
        </w:tc>
        <w:tc>
          <w:tcPr>
            <w:tcW w:w="1275" w:type="pct"/>
            <w:vAlign w:val="center"/>
          </w:tcPr>
          <w:p w14:paraId="6EAC3A8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45</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F06FA27">
            <w:pPr>
              <w:textAlignment w:val="center"/>
              <w:rPr>
                <w:rFonts w:ascii="仿宋" w:hAnsi="仿宋" w:eastAsia="仿宋" w:cs="仿宋"/>
                <w:color w:val="000000"/>
                <w:sz w:val="18"/>
                <w:szCs w:val="18"/>
                <w:highlight w:val="none"/>
                <w:lang w:eastAsia="zh-CN"/>
              </w:rPr>
            </w:pPr>
          </w:p>
        </w:tc>
      </w:tr>
      <w:tr w14:paraId="3D897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1F4CE34F">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4.46</w:t>
            </w:r>
            <w:r>
              <w:rPr>
                <w:rFonts w:ascii="Times New Roman" w:hAnsi="Times New Roman" w:eastAsia="仿宋" w:cs="Times New Roman"/>
                <w:color w:val="000000"/>
                <w:szCs w:val="21"/>
                <w:highlight w:val="none"/>
                <w:lang w:eastAsia="zh-CN"/>
              </w:rPr>
              <w:t>围手术期预防深静脉血栓栓塞</w:t>
            </w:r>
          </w:p>
        </w:tc>
        <w:tc>
          <w:tcPr>
            <w:tcW w:w="1235" w:type="pct"/>
            <w:vAlign w:val="center"/>
          </w:tcPr>
          <w:p w14:paraId="405E77A6">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4.46.1</w:t>
            </w:r>
            <w:r>
              <w:rPr>
                <w:rFonts w:ascii="Times New Roman" w:hAnsi="Times New Roman" w:eastAsia="仿宋" w:cs="Times New Roman"/>
                <w:color w:val="000000"/>
                <w:szCs w:val="21"/>
                <w:highlight w:val="none"/>
                <w:lang w:eastAsia="zh-CN"/>
              </w:rPr>
              <w:t>围手术期预防深静脉血栓栓塞</w:t>
            </w:r>
          </w:p>
        </w:tc>
        <w:tc>
          <w:tcPr>
            <w:tcW w:w="1275" w:type="pct"/>
            <w:vAlign w:val="center"/>
          </w:tcPr>
          <w:p w14:paraId="66B0E3F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46</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DF95D34">
            <w:pPr>
              <w:textAlignment w:val="center"/>
              <w:rPr>
                <w:rFonts w:ascii="仿宋" w:hAnsi="仿宋" w:eastAsia="仿宋" w:cs="仿宋"/>
                <w:color w:val="000000"/>
                <w:sz w:val="18"/>
                <w:szCs w:val="18"/>
                <w:highlight w:val="none"/>
                <w:lang w:eastAsia="zh-CN"/>
              </w:rPr>
            </w:pPr>
          </w:p>
        </w:tc>
      </w:tr>
      <w:tr w14:paraId="50A45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3632122">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4.47</w:t>
            </w:r>
            <w:r>
              <w:rPr>
                <w:rFonts w:ascii="Times New Roman" w:hAnsi="Times New Roman" w:eastAsia="仿宋" w:cs="Times New Roman"/>
                <w:color w:val="000000"/>
                <w:szCs w:val="21"/>
                <w:highlight w:val="none"/>
              </w:rPr>
              <w:t>住院精神疾病</w:t>
            </w:r>
          </w:p>
        </w:tc>
        <w:tc>
          <w:tcPr>
            <w:tcW w:w="1235" w:type="pct"/>
            <w:vAlign w:val="center"/>
          </w:tcPr>
          <w:p w14:paraId="57ACBD31">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4.47.1</w:t>
            </w:r>
            <w:r>
              <w:rPr>
                <w:rFonts w:ascii="Times New Roman" w:hAnsi="Times New Roman" w:eastAsia="仿宋" w:cs="Times New Roman"/>
                <w:color w:val="000000"/>
                <w:szCs w:val="21"/>
                <w:highlight w:val="none"/>
              </w:rPr>
              <w:t>住院精神疾病</w:t>
            </w:r>
          </w:p>
        </w:tc>
        <w:tc>
          <w:tcPr>
            <w:tcW w:w="1275" w:type="pct"/>
            <w:vAlign w:val="center"/>
          </w:tcPr>
          <w:p w14:paraId="4C5477B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47</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3CD68B39">
            <w:pPr>
              <w:textAlignment w:val="center"/>
              <w:rPr>
                <w:rFonts w:ascii="仿宋" w:hAnsi="仿宋" w:eastAsia="仿宋" w:cs="仿宋"/>
                <w:color w:val="000000"/>
                <w:sz w:val="18"/>
                <w:szCs w:val="18"/>
                <w:highlight w:val="none"/>
                <w:lang w:eastAsia="zh-CN"/>
              </w:rPr>
            </w:pPr>
          </w:p>
        </w:tc>
      </w:tr>
      <w:tr w14:paraId="0AB6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0FB59C71">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4.48</w:t>
            </w:r>
            <w:r>
              <w:rPr>
                <w:rFonts w:ascii="Times New Roman" w:hAnsi="Times New Roman" w:eastAsia="仿宋" w:cs="Times New Roman"/>
                <w:color w:val="000000"/>
                <w:szCs w:val="21"/>
                <w:highlight w:val="none"/>
                <w:lang w:eastAsia="zh-CN"/>
              </w:rPr>
              <w:t>中高危风险患者预防静脉血栓栓塞症</w:t>
            </w:r>
          </w:p>
        </w:tc>
        <w:tc>
          <w:tcPr>
            <w:tcW w:w="1235" w:type="pct"/>
            <w:vAlign w:val="center"/>
          </w:tcPr>
          <w:p w14:paraId="1E2E896C">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4.48.1</w:t>
            </w:r>
            <w:r>
              <w:rPr>
                <w:rFonts w:ascii="Times New Roman" w:hAnsi="Times New Roman" w:eastAsia="仿宋" w:cs="Times New Roman"/>
                <w:color w:val="000000"/>
                <w:szCs w:val="21"/>
                <w:highlight w:val="none"/>
                <w:lang w:eastAsia="zh-CN"/>
              </w:rPr>
              <w:t>中高危风险患者预防静脉血栓栓塞症</w:t>
            </w:r>
          </w:p>
        </w:tc>
        <w:tc>
          <w:tcPr>
            <w:tcW w:w="1275" w:type="pct"/>
            <w:vAlign w:val="center"/>
          </w:tcPr>
          <w:p w14:paraId="1E6640D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48</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F169545">
            <w:pPr>
              <w:textAlignment w:val="center"/>
              <w:rPr>
                <w:rFonts w:ascii="仿宋" w:hAnsi="仿宋" w:eastAsia="仿宋" w:cs="仿宋"/>
                <w:color w:val="000000"/>
                <w:sz w:val="18"/>
                <w:szCs w:val="18"/>
                <w:highlight w:val="none"/>
                <w:lang w:eastAsia="zh-CN"/>
              </w:rPr>
            </w:pPr>
          </w:p>
        </w:tc>
      </w:tr>
      <w:tr w14:paraId="51234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1AB52EE8">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4.49</w:t>
            </w:r>
            <w:r>
              <w:rPr>
                <w:rFonts w:ascii="Times New Roman" w:hAnsi="Times New Roman" w:eastAsia="仿宋" w:cs="Times New Roman"/>
                <w:color w:val="000000"/>
                <w:szCs w:val="21"/>
                <w:highlight w:val="none"/>
                <w:lang w:eastAsia="zh-CN"/>
              </w:rPr>
              <w:t>感染性休克</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早期治疗</w:t>
            </w:r>
          </w:p>
        </w:tc>
        <w:tc>
          <w:tcPr>
            <w:tcW w:w="1235" w:type="pct"/>
            <w:vAlign w:val="center"/>
          </w:tcPr>
          <w:p w14:paraId="468B4350">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4.49.1</w:t>
            </w:r>
            <w:r>
              <w:rPr>
                <w:rFonts w:ascii="Times New Roman" w:hAnsi="Times New Roman" w:eastAsia="仿宋" w:cs="Times New Roman"/>
                <w:color w:val="000000"/>
                <w:szCs w:val="21"/>
                <w:highlight w:val="none"/>
                <w:lang w:eastAsia="zh-CN"/>
              </w:rPr>
              <w:t>感染性休克</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脓毒症</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早期治疗</w:t>
            </w:r>
          </w:p>
        </w:tc>
        <w:tc>
          <w:tcPr>
            <w:tcW w:w="1275" w:type="pct"/>
            <w:vAlign w:val="center"/>
          </w:tcPr>
          <w:p w14:paraId="5B77249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49</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8886E6F">
            <w:pPr>
              <w:textAlignment w:val="center"/>
              <w:rPr>
                <w:rFonts w:ascii="仿宋" w:hAnsi="仿宋" w:eastAsia="仿宋" w:cs="仿宋"/>
                <w:color w:val="000000"/>
                <w:sz w:val="18"/>
                <w:szCs w:val="18"/>
                <w:highlight w:val="none"/>
                <w:lang w:eastAsia="zh-CN"/>
              </w:rPr>
            </w:pPr>
          </w:p>
        </w:tc>
      </w:tr>
      <w:tr w14:paraId="08476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573A301E">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4.50</w:t>
            </w:r>
            <w:r>
              <w:rPr>
                <w:rFonts w:ascii="Times New Roman" w:hAnsi="Times New Roman" w:eastAsia="仿宋" w:cs="Times New Roman"/>
                <w:color w:val="000000"/>
                <w:szCs w:val="21"/>
                <w:highlight w:val="none"/>
              </w:rPr>
              <w:t>急性呼吸窘迫综合征</w:t>
            </w:r>
          </w:p>
        </w:tc>
        <w:tc>
          <w:tcPr>
            <w:tcW w:w="1235" w:type="pct"/>
            <w:vAlign w:val="center"/>
          </w:tcPr>
          <w:p w14:paraId="77F52072">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4.50.1</w:t>
            </w:r>
            <w:r>
              <w:rPr>
                <w:rFonts w:ascii="Times New Roman" w:hAnsi="Times New Roman" w:eastAsia="仿宋" w:cs="Times New Roman"/>
                <w:color w:val="000000"/>
                <w:szCs w:val="21"/>
                <w:highlight w:val="none"/>
              </w:rPr>
              <w:t>急性呼吸窘迫综合征</w:t>
            </w:r>
          </w:p>
        </w:tc>
        <w:tc>
          <w:tcPr>
            <w:tcW w:w="1275" w:type="pct"/>
            <w:vAlign w:val="center"/>
          </w:tcPr>
          <w:p w14:paraId="4527301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50</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41362FC6">
            <w:pPr>
              <w:textAlignment w:val="center"/>
              <w:rPr>
                <w:rFonts w:ascii="仿宋" w:hAnsi="仿宋" w:eastAsia="仿宋" w:cs="仿宋"/>
                <w:color w:val="000000"/>
                <w:sz w:val="18"/>
                <w:szCs w:val="18"/>
                <w:highlight w:val="none"/>
                <w:lang w:eastAsia="zh-CN"/>
              </w:rPr>
            </w:pPr>
          </w:p>
        </w:tc>
      </w:tr>
      <w:tr w14:paraId="60A25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6B8D1146">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4.51</w:t>
            </w:r>
            <w:r>
              <w:rPr>
                <w:rFonts w:ascii="Times New Roman" w:hAnsi="Times New Roman" w:eastAsia="仿宋" w:cs="Times New Roman"/>
                <w:color w:val="000000"/>
                <w:szCs w:val="21"/>
                <w:highlight w:val="none"/>
                <w:lang w:eastAsia="zh-CN"/>
              </w:rPr>
              <w:t>重症急性胰腺炎</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初始治疗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5F353296">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4.51.1</w:t>
            </w:r>
            <w:r>
              <w:rPr>
                <w:rFonts w:ascii="Times New Roman" w:hAnsi="Times New Roman" w:eastAsia="仿宋" w:cs="Times New Roman"/>
                <w:color w:val="000000"/>
                <w:szCs w:val="21"/>
                <w:highlight w:val="none"/>
                <w:lang w:eastAsia="zh-CN"/>
              </w:rPr>
              <w:t>重症急性胰腺炎</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初始治疗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2F15767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51</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ED17FF4">
            <w:pPr>
              <w:textAlignment w:val="center"/>
              <w:rPr>
                <w:rFonts w:ascii="仿宋" w:hAnsi="仿宋" w:eastAsia="仿宋" w:cs="仿宋"/>
                <w:color w:val="000000"/>
                <w:sz w:val="18"/>
                <w:szCs w:val="18"/>
                <w:highlight w:val="none"/>
                <w:lang w:eastAsia="zh-CN"/>
              </w:rPr>
            </w:pPr>
          </w:p>
        </w:tc>
      </w:tr>
      <w:tr w14:paraId="3EAE3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BC81FE5">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4.52</w:t>
            </w:r>
            <w:r>
              <w:rPr>
                <w:rFonts w:ascii="Times New Roman" w:hAnsi="Times New Roman" w:eastAsia="仿宋" w:cs="Times New Roman"/>
                <w:color w:val="000000"/>
                <w:szCs w:val="21"/>
                <w:highlight w:val="none"/>
                <w:lang w:eastAsia="zh-CN"/>
              </w:rPr>
              <w:t>儿童急性淋巴细胞白血病</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初始诱导化疗</w:t>
            </w:r>
            <w:r>
              <w:rPr>
                <w:rFonts w:hint="eastAsia" w:ascii="Times New Roman" w:hAnsi="Times New Roman" w:eastAsia="仿宋" w:cs="Times New Roman"/>
                <w:color w:val="000000"/>
                <w:szCs w:val="21"/>
                <w:highlight w:val="none"/>
                <w:lang w:eastAsia="zh-CN"/>
              </w:rPr>
              <w:t>）</w:t>
            </w:r>
          </w:p>
        </w:tc>
        <w:tc>
          <w:tcPr>
            <w:tcW w:w="1235" w:type="pct"/>
            <w:vAlign w:val="center"/>
          </w:tcPr>
          <w:p w14:paraId="693B08C0">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4.52.1</w:t>
            </w:r>
            <w:r>
              <w:rPr>
                <w:rFonts w:ascii="Times New Roman" w:hAnsi="Times New Roman" w:eastAsia="仿宋" w:cs="Times New Roman"/>
                <w:color w:val="000000"/>
                <w:szCs w:val="21"/>
                <w:highlight w:val="none"/>
                <w:lang w:eastAsia="zh-CN"/>
              </w:rPr>
              <w:t>儿童急性淋巴细胞白血病</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初始诱导化疗</w:t>
            </w:r>
            <w:r>
              <w:rPr>
                <w:rFonts w:hint="eastAsia" w:ascii="Times New Roman" w:hAnsi="Times New Roman" w:eastAsia="仿宋" w:cs="Times New Roman"/>
                <w:color w:val="000000"/>
                <w:szCs w:val="21"/>
                <w:highlight w:val="none"/>
                <w:lang w:eastAsia="zh-CN"/>
              </w:rPr>
              <w:t>）</w:t>
            </w:r>
          </w:p>
        </w:tc>
        <w:tc>
          <w:tcPr>
            <w:tcW w:w="1275" w:type="pct"/>
            <w:vAlign w:val="center"/>
          </w:tcPr>
          <w:p w14:paraId="01755FB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52</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2738164">
            <w:pPr>
              <w:textAlignment w:val="center"/>
              <w:rPr>
                <w:rFonts w:ascii="仿宋" w:hAnsi="仿宋" w:eastAsia="仿宋" w:cs="仿宋"/>
                <w:color w:val="000000"/>
                <w:sz w:val="18"/>
                <w:szCs w:val="18"/>
                <w:highlight w:val="none"/>
                <w:lang w:eastAsia="zh-CN"/>
              </w:rPr>
            </w:pPr>
          </w:p>
        </w:tc>
      </w:tr>
      <w:tr w14:paraId="580C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4E2DCC85">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4.53</w:t>
            </w:r>
            <w:r>
              <w:rPr>
                <w:rFonts w:ascii="Times New Roman" w:hAnsi="Times New Roman" w:eastAsia="仿宋" w:cs="Times New Roman"/>
                <w:color w:val="000000"/>
                <w:szCs w:val="21"/>
                <w:highlight w:val="none"/>
                <w:lang w:eastAsia="zh-CN"/>
              </w:rPr>
              <w:t>儿童急性早幼粒细胞白血病</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初始化疗</w:t>
            </w:r>
            <w:r>
              <w:rPr>
                <w:rFonts w:hint="eastAsia" w:ascii="Times New Roman" w:hAnsi="Times New Roman" w:eastAsia="仿宋" w:cs="Times New Roman"/>
                <w:color w:val="000000"/>
                <w:szCs w:val="21"/>
                <w:highlight w:val="none"/>
                <w:lang w:eastAsia="zh-CN"/>
              </w:rPr>
              <w:t>）</w:t>
            </w:r>
          </w:p>
        </w:tc>
        <w:tc>
          <w:tcPr>
            <w:tcW w:w="1235" w:type="pct"/>
            <w:vAlign w:val="center"/>
          </w:tcPr>
          <w:p w14:paraId="52BF0331">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4.53.1</w:t>
            </w:r>
            <w:r>
              <w:rPr>
                <w:rFonts w:ascii="Times New Roman" w:hAnsi="Times New Roman" w:eastAsia="仿宋" w:cs="Times New Roman"/>
                <w:color w:val="000000"/>
                <w:szCs w:val="21"/>
                <w:highlight w:val="none"/>
                <w:lang w:eastAsia="zh-CN"/>
              </w:rPr>
              <w:t>儿童急性早幼粒细胞白血病</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初始化疗</w:t>
            </w:r>
            <w:r>
              <w:rPr>
                <w:rFonts w:hint="eastAsia" w:ascii="Times New Roman" w:hAnsi="Times New Roman" w:eastAsia="仿宋" w:cs="Times New Roman"/>
                <w:color w:val="000000"/>
                <w:szCs w:val="21"/>
                <w:highlight w:val="none"/>
                <w:lang w:eastAsia="zh-CN"/>
              </w:rPr>
              <w:t>）</w:t>
            </w:r>
          </w:p>
        </w:tc>
        <w:tc>
          <w:tcPr>
            <w:tcW w:w="1275" w:type="pct"/>
            <w:vAlign w:val="center"/>
          </w:tcPr>
          <w:p w14:paraId="0FAAB38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53</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1956EA5C">
            <w:pPr>
              <w:rPr>
                <w:rFonts w:ascii="仿宋" w:hAnsi="仿宋" w:eastAsia="仿宋" w:cs="仿宋"/>
                <w:b/>
                <w:bCs/>
                <w:color w:val="000000"/>
                <w:szCs w:val="21"/>
                <w:highlight w:val="none"/>
                <w:lang w:eastAsia="zh-CN"/>
              </w:rPr>
            </w:pPr>
          </w:p>
        </w:tc>
      </w:tr>
      <w:tr w14:paraId="7C04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3B617EB7">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4.54</w:t>
            </w:r>
            <w:r>
              <w:rPr>
                <w:rFonts w:ascii="Times New Roman" w:hAnsi="Times New Roman" w:eastAsia="仿宋" w:cs="Times New Roman"/>
                <w:color w:val="000000"/>
                <w:szCs w:val="21"/>
                <w:highlight w:val="none"/>
                <w:lang w:eastAsia="zh-CN"/>
              </w:rPr>
              <w:t>甲状腺结节</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35" w:type="pct"/>
            <w:vAlign w:val="center"/>
          </w:tcPr>
          <w:p w14:paraId="13CA4FDB">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4.54.1</w:t>
            </w:r>
            <w:r>
              <w:rPr>
                <w:rFonts w:ascii="Times New Roman" w:hAnsi="Times New Roman" w:eastAsia="仿宋" w:cs="Times New Roman"/>
                <w:color w:val="000000"/>
                <w:szCs w:val="21"/>
                <w:highlight w:val="none"/>
                <w:lang w:eastAsia="zh-CN"/>
              </w:rPr>
              <w:t>甲状腺结节</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手术治疗</w:t>
            </w:r>
            <w:r>
              <w:rPr>
                <w:rFonts w:hint="eastAsia" w:ascii="Times New Roman" w:hAnsi="Times New Roman" w:eastAsia="仿宋" w:cs="Times New Roman"/>
                <w:color w:val="000000"/>
                <w:szCs w:val="21"/>
                <w:highlight w:val="none"/>
                <w:lang w:eastAsia="zh-CN"/>
              </w:rPr>
              <w:t>）</w:t>
            </w:r>
          </w:p>
        </w:tc>
        <w:tc>
          <w:tcPr>
            <w:tcW w:w="1275" w:type="pct"/>
            <w:vAlign w:val="center"/>
          </w:tcPr>
          <w:p w14:paraId="4638992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.54</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948C2AF">
            <w:pPr>
              <w:rPr>
                <w:rFonts w:ascii="仿宋" w:hAnsi="仿宋" w:eastAsia="仿宋" w:cs="仿宋"/>
                <w:b/>
                <w:bCs/>
                <w:color w:val="000000"/>
                <w:szCs w:val="21"/>
                <w:highlight w:val="none"/>
                <w:lang w:eastAsia="zh-CN"/>
              </w:rPr>
            </w:pPr>
          </w:p>
        </w:tc>
      </w:tr>
      <w:tr w14:paraId="09BCB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2345CE2A">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4.55</w:t>
            </w:r>
            <w:r>
              <w:rPr>
                <w:rFonts w:ascii="Times New Roman" w:hAnsi="Times New Roman" w:eastAsia="仿宋" w:cs="Times New Roman"/>
                <w:color w:val="000000"/>
                <w:szCs w:val="21"/>
                <w:highlight w:val="none"/>
                <w:lang w:eastAsia="zh-CN"/>
              </w:rPr>
              <w:t>HBV感染分娩母婴阻断</w:t>
            </w:r>
          </w:p>
        </w:tc>
        <w:tc>
          <w:tcPr>
            <w:tcW w:w="1235" w:type="pct"/>
            <w:vAlign w:val="center"/>
          </w:tcPr>
          <w:p w14:paraId="7F2FAD09">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4.55.1</w:t>
            </w:r>
            <w:r>
              <w:rPr>
                <w:rFonts w:ascii="Times New Roman" w:hAnsi="Times New Roman" w:eastAsia="仿宋" w:cs="Times New Roman"/>
                <w:color w:val="000000"/>
                <w:szCs w:val="21"/>
                <w:highlight w:val="none"/>
                <w:lang w:eastAsia="zh-CN"/>
              </w:rPr>
              <w:t>HBV感染分娩母婴阻断</w:t>
            </w:r>
          </w:p>
        </w:tc>
        <w:tc>
          <w:tcPr>
            <w:tcW w:w="1275" w:type="pct"/>
            <w:vAlign w:val="center"/>
          </w:tcPr>
          <w:p w14:paraId="35925ED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4.</w:t>
            </w:r>
            <w:r>
              <w:rPr>
                <w:rFonts w:hint="eastAsia" w:ascii="Times New Roman" w:hAnsi="Times New Roman" w:eastAsia="仿宋" w:cs="Times New Roman"/>
                <w:color w:val="000000"/>
                <w:szCs w:val="21"/>
                <w:highlight w:val="none"/>
                <w:lang w:eastAsia="zh-CN"/>
              </w:rPr>
              <w:t>55</w:t>
            </w:r>
            <w:r>
              <w:rPr>
                <w:rFonts w:ascii="Times New Roman" w:hAnsi="Times New Roman" w:eastAsia="仿宋" w:cs="Times New Roman"/>
                <w:color w:val="000000"/>
                <w:szCs w:val="21"/>
                <w:highlight w:val="none"/>
                <w:lang w:eastAsia="zh-CN"/>
              </w:rPr>
              <w:t>.1.1</w:t>
            </w:r>
            <w:r>
              <w:rPr>
                <w:rFonts w:hint="eastAsia" w:ascii="Times New Roman" w:hAnsi="Times New Roman" w:eastAsia="仿宋" w:cs="Times New Roman"/>
                <w:color w:val="000000"/>
                <w:szCs w:val="21"/>
                <w:highlight w:val="none"/>
                <w:lang w:eastAsia="zh-CN"/>
              </w:rPr>
              <w:t>平均住院日、次均费用、病死率</w:t>
            </w:r>
          </w:p>
        </w:tc>
        <w:tc>
          <w:tcPr>
            <w:tcW w:w="1219" w:type="pct"/>
            <w:vMerge w:val="continue"/>
            <w:vAlign w:val="center"/>
          </w:tcPr>
          <w:p w14:paraId="732A3E64">
            <w:pPr>
              <w:rPr>
                <w:rFonts w:ascii="仿宋" w:hAnsi="仿宋" w:eastAsia="仿宋" w:cs="仿宋"/>
                <w:b/>
                <w:bCs/>
                <w:color w:val="000000"/>
                <w:szCs w:val="21"/>
                <w:highlight w:val="none"/>
                <w:lang w:eastAsia="zh-CN"/>
              </w:rPr>
            </w:pPr>
          </w:p>
        </w:tc>
      </w:tr>
      <w:tr w14:paraId="4A6D7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69" w:type="pct"/>
            <w:vAlign w:val="center"/>
          </w:tcPr>
          <w:p w14:paraId="7849DDA2">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4.56 临床路径管理</w:t>
            </w:r>
          </w:p>
        </w:tc>
        <w:tc>
          <w:tcPr>
            <w:tcW w:w="1235" w:type="pct"/>
            <w:vAlign w:val="center"/>
          </w:tcPr>
          <w:p w14:paraId="42031913">
            <w:pPr>
              <w:textAlignment w:val="center"/>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rPr>
              <w:t>4.56.1 临床路径管理</w:t>
            </w:r>
          </w:p>
        </w:tc>
        <w:tc>
          <w:tcPr>
            <w:tcW w:w="1275" w:type="pct"/>
            <w:vAlign w:val="center"/>
          </w:tcPr>
          <w:p w14:paraId="4CEEBD9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临床路径管理病种的覆盖率、</w:t>
            </w:r>
            <w:r>
              <w:rPr>
                <w:rFonts w:hint="eastAsia" w:ascii="Times New Roman" w:hAnsi="Times New Roman" w:eastAsia="仿宋" w:cs="Times New Roman"/>
                <w:color w:val="000000"/>
                <w:szCs w:val="21"/>
                <w:highlight w:val="none"/>
                <w:lang w:eastAsia="zh-CN"/>
              </w:rPr>
              <w:t>入径</w:t>
            </w:r>
            <w:r>
              <w:rPr>
                <w:rFonts w:ascii="Times New Roman" w:hAnsi="Times New Roman" w:eastAsia="仿宋" w:cs="Times New Roman"/>
                <w:color w:val="000000"/>
                <w:szCs w:val="21"/>
                <w:highlight w:val="none"/>
                <w:lang w:eastAsia="zh-CN"/>
              </w:rPr>
              <w:t>率、完成率</w:t>
            </w:r>
          </w:p>
        </w:tc>
        <w:tc>
          <w:tcPr>
            <w:tcW w:w="1219" w:type="pct"/>
            <w:vAlign w:val="center"/>
          </w:tcPr>
          <w:p w14:paraId="03B92774">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覆盖率：医院收治的前200位病种中，开展</w:t>
            </w:r>
            <w:r>
              <w:rPr>
                <w:rFonts w:ascii="Times New Roman" w:hAnsi="Times New Roman" w:eastAsia="仿宋" w:cs="Times New Roman"/>
                <w:color w:val="000000"/>
                <w:szCs w:val="21"/>
                <w:highlight w:val="none"/>
                <w:lang w:eastAsia="zh-CN"/>
              </w:rPr>
              <w:t>临床路径管理的</w:t>
            </w:r>
            <w:r>
              <w:rPr>
                <w:rFonts w:hint="eastAsia" w:ascii="Times New Roman" w:hAnsi="Times New Roman" w:eastAsia="仿宋" w:cs="Times New Roman"/>
                <w:color w:val="000000"/>
                <w:szCs w:val="21"/>
                <w:highlight w:val="none"/>
                <w:lang w:eastAsia="zh-CN"/>
              </w:rPr>
              <w:t>病种</w:t>
            </w:r>
            <w:r>
              <w:rPr>
                <w:rFonts w:ascii="Times New Roman" w:hAnsi="Times New Roman" w:eastAsia="仿宋" w:cs="Times New Roman"/>
                <w:color w:val="000000"/>
                <w:szCs w:val="21"/>
                <w:highlight w:val="none"/>
                <w:lang w:eastAsia="zh-CN"/>
              </w:rPr>
              <w:t>的</w:t>
            </w:r>
            <w:r>
              <w:rPr>
                <w:rFonts w:hint="eastAsia" w:ascii="Times New Roman" w:hAnsi="Times New Roman" w:eastAsia="仿宋" w:cs="Times New Roman"/>
                <w:color w:val="000000"/>
                <w:szCs w:val="21"/>
                <w:highlight w:val="none"/>
                <w:lang w:eastAsia="zh-CN"/>
              </w:rPr>
              <w:t xml:space="preserve">占比；                  入径率：进入临床路径的患者人数占该病种同期所有出院患者总人数的比例； </w:t>
            </w:r>
          </w:p>
          <w:p w14:paraId="7A329DA5">
            <w:pPr>
              <w:textAlignment w:val="center"/>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完成率：入径后按标准路径治疗完成的患者人数占进入该临床路径入径的患者总人数的比例</w:t>
            </w:r>
          </w:p>
        </w:tc>
      </w:tr>
    </w:tbl>
    <w:p w14:paraId="3C5BB72D">
      <w:pPr>
        <w:pStyle w:val="201"/>
        <w:spacing w:line="480" w:lineRule="exact"/>
        <w:ind w:firstLine="630" w:firstLineChars="300"/>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第五章   重点医疗技术临床应用质量控制指标</w:t>
      </w:r>
    </w:p>
    <w:p w14:paraId="5A42C071">
      <w:pPr>
        <w:pStyle w:val="201"/>
        <w:spacing w:line="480" w:lineRule="exact"/>
        <w:ind w:firstLine="630" w:firstLineChars="300"/>
        <w:rPr>
          <w:rFonts w:ascii="宋体" w:hAnsi="宋体" w:eastAsia="宋体" w:cs="宋体"/>
          <w:sz w:val="21"/>
          <w:szCs w:val="21"/>
          <w:highlight w:val="none"/>
          <w:lang w:eastAsia="zh-CN"/>
        </w:rPr>
      </w:pPr>
    </w:p>
    <w:tbl>
      <w:tblPr>
        <w:tblStyle w:val="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864"/>
        <w:gridCol w:w="2169"/>
        <w:gridCol w:w="4298"/>
      </w:tblGrid>
      <w:tr w14:paraId="67F9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blHeader/>
        </w:trPr>
        <w:tc>
          <w:tcPr>
            <w:tcW w:w="542" w:type="pct"/>
            <w:vAlign w:val="center"/>
          </w:tcPr>
          <w:p w14:paraId="404DB529">
            <w:pPr>
              <w:jc w:val="center"/>
              <w:textAlignment w:val="center"/>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一级指标</w:t>
            </w:r>
          </w:p>
        </w:tc>
        <w:tc>
          <w:tcPr>
            <w:tcW w:w="997" w:type="pct"/>
            <w:vAlign w:val="center"/>
          </w:tcPr>
          <w:p w14:paraId="76A16B23">
            <w:pPr>
              <w:jc w:val="center"/>
              <w:textAlignment w:val="center"/>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二级指标</w:t>
            </w:r>
          </w:p>
        </w:tc>
        <w:tc>
          <w:tcPr>
            <w:tcW w:w="1160" w:type="pct"/>
            <w:vAlign w:val="center"/>
          </w:tcPr>
          <w:p w14:paraId="5AA12BB4">
            <w:pPr>
              <w:jc w:val="center"/>
              <w:textAlignment w:val="center"/>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评审要点</w:t>
            </w:r>
          </w:p>
        </w:tc>
        <w:tc>
          <w:tcPr>
            <w:tcW w:w="2299" w:type="pct"/>
            <w:vAlign w:val="center"/>
          </w:tcPr>
          <w:p w14:paraId="7AFE498C">
            <w:pPr>
              <w:jc w:val="center"/>
              <w:textAlignment w:val="center"/>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释义</w:t>
            </w:r>
          </w:p>
        </w:tc>
      </w:tr>
      <w:tr w14:paraId="64494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restart"/>
            <w:vAlign w:val="center"/>
          </w:tcPr>
          <w:p w14:paraId="41F3D32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5.1国家限制类医疗技术质控指标</w:t>
            </w:r>
          </w:p>
        </w:tc>
        <w:tc>
          <w:tcPr>
            <w:tcW w:w="997" w:type="pct"/>
            <w:vMerge w:val="restart"/>
            <w:vAlign w:val="center"/>
          </w:tcPr>
          <w:p w14:paraId="2B62168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5.1.1限制性医疗技术临床应用</w:t>
            </w:r>
          </w:p>
        </w:tc>
        <w:tc>
          <w:tcPr>
            <w:tcW w:w="1160" w:type="pct"/>
            <w:vAlign w:val="center"/>
          </w:tcPr>
          <w:p w14:paraId="5B534CD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5.1.1.1依法依规开展限制性医疗技术</w:t>
            </w:r>
          </w:p>
        </w:tc>
        <w:tc>
          <w:tcPr>
            <w:tcW w:w="2299" w:type="pct"/>
            <w:vAlign w:val="center"/>
          </w:tcPr>
          <w:p w14:paraId="168DBD6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医疗机构开展限制性医疗技术前需向省级卫生行政部门备案并获批准。</w:t>
            </w:r>
          </w:p>
        </w:tc>
      </w:tr>
      <w:tr w14:paraId="4F6F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79345D12">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3EE36D23">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6AE679B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5.1.1.2医院开展的限制性医疗技术数量</w:t>
            </w:r>
          </w:p>
        </w:tc>
        <w:tc>
          <w:tcPr>
            <w:tcW w:w="2299" w:type="pct"/>
            <w:vAlign w:val="center"/>
          </w:tcPr>
          <w:p w14:paraId="0D6A85B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医疗机构开展的国家规定的限制性医疗技术的数量。</w:t>
            </w:r>
          </w:p>
        </w:tc>
      </w:tr>
      <w:tr w14:paraId="6973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C94ADE7">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014B258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5.1.2限制性医疗技术数据质量控制</w:t>
            </w:r>
          </w:p>
        </w:tc>
        <w:tc>
          <w:tcPr>
            <w:tcW w:w="1160" w:type="pct"/>
            <w:vAlign w:val="center"/>
          </w:tcPr>
          <w:p w14:paraId="5A36E56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5.1.2.1限制性医疗技术质控数据上报的完整率</w:t>
            </w:r>
          </w:p>
        </w:tc>
        <w:tc>
          <w:tcPr>
            <w:tcW w:w="2299" w:type="pct"/>
            <w:vAlign w:val="center"/>
          </w:tcPr>
          <w:p w14:paraId="52EA745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实际上报的指标数量/同期应报指标数量×100%</w:t>
            </w:r>
            <w:r>
              <w:rPr>
                <w:rFonts w:hint="eastAsia" w:ascii="Times New Roman" w:hAnsi="Times New Roman" w:eastAsia="仿宋" w:cs="Times New Roman"/>
                <w:color w:val="000000"/>
                <w:szCs w:val="21"/>
                <w:highlight w:val="none"/>
                <w:lang w:eastAsia="zh-CN"/>
              </w:rPr>
              <w:t>。</w:t>
            </w:r>
          </w:p>
        </w:tc>
      </w:tr>
      <w:tr w14:paraId="6E5E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60CC3ED4">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6E9B6835">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68C856C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5.1.2.2限制性医疗技术质控数据上报的及时率</w:t>
            </w:r>
          </w:p>
        </w:tc>
        <w:tc>
          <w:tcPr>
            <w:tcW w:w="2299" w:type="pct"/>
            <w:vAlign w:val="center"/>
          </w:tcPr>
          <w:p w14:paraId="20E464B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规定时间内实际上报的指标数量/同期应报指标数量×100%</w:t>
            </w:r>
            <w:r>
              <w:rPr>
                <w:rFonts w:hint="eastAsia" w:ascii="Times New Roman" w:hAnsi="Times New Roman" w:eastAsia="仿宋" w:cs="Times New Roman"/>
                <w:color w:val="000000"/>
                <w:szCs w:val="21"/>
                <w:highlight w:val="none"/>
                <w:lang w:eastAsia="zh-CN"/>
              </w:rPr>
              <w:t>。</w:t>
            </w:r>
          </w:p>
        </w:tc>
      </w:tr>
      <w:tr w14:paraId="6CA54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630CA056">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1B115BCB">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33BB444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5.1.2.3限制性医疗技术质控数据上报的准确率</w:t>
            </w:r>
          </w:p>
        </w:tc>
        <w:tc>
          <w:tcPr>
            <w:tcW w:w="2299" w:type="pct"/>
            <w:vAlign w:val="center"/>
          </w:tcPr>
          <w:p w14:paraId="69CF1A1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规定时间内上报的正确的指标数量/同期应报指标数量×100%</w:t>
            </w:r>
            <w:r>
              <w:rPr>
                <w:rFonts w:hint="eastAsia" w:ascii="Times New Roman" w:hAnsi="Times New Roman" w:eastAsia="仿宋" w:cs="Times New Roman"/>
                <w:color w:val="000000"/>
                <w:szCs w:val="21"/>
                <w:highlight w:val="none"/>
                <w:lang w:eastAsia="zh-CN"/>
              </w:rPr>
              <w:t>。</w:t>
            </w:r>
          </w:p>
        </w:tc>
      </w:tr>
      <w:tr w14:paraId="7645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0D057F5">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4A60294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5.1.3异基因造血干细胞移植技术</w:t>
            </w:r>
          </w:p>
        </w:tc>
        <w:tc>
          <w:tcPr>
            <w:tcW w:w="1160" w:type="pct"/>
            <w:vAlign w:val="center"/>
          </w:tcPr>
          <w:p w14:paraId="0B6B44CD">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5.1.3.1适应证符合率</w:t>
            </w:r>
          </w:p>
        </w:tc>
        <w:tc>
          <w:tcPr>
            <w:tcW w:w="2299" w:type="pct"/>
            <w:vAlign w:val="center"/>
          </w:tcPr>
          <w:p w14:paraId="7EA0804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异基因造血干细胞移植术适应证选择正确的例数占同期异基因造血干细胞移植术总例数的比例</w:t>
            </w:r>
            <w:r>
              <w:rPr>
                <w:rFonts w:hint="eastAsia" w:ascii="Times New Roman" w:hAnsi="Times New Roman" w:eastAsia="仿宋" w:cs="Times New Roman"/>
                <w:color w:val="000000"/>
                <w:szCs w:val="21"/>
                <w:highlight w:val="none"/>
                <w:lang w:eastAsia="zh-CN"/>
              </w:rPr>
              <w:t>。</w:t>
            </w:r>
          </w:p>
        </w:tc>
      </w:tr>
      <w:tr w14:paraId="194E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0D9688D">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FE775D1">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250193DB">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5.1.3.2知情同意书签署率</w:t>
            </w:r>
          </w:p>
        </w:tc>
        <w:tc>
          <w:tcPr>
            <w:tcW w:w="2299" w:type="pct"/>
            <w:vAlign w:val="center"/>
          </w:tcPr>
          <w:p w14:paraId="6147D88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0A00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923EBCC">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D2F713B">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30C910C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5.1.3.3重度（Ⅲ-Ⅳ度）急性移植物抗宿主病发生率</w:t>
            </w:r>
          </w:p>
        </w:tc>
        <w:tc>
          <w:tcPr>
            <w:tcW w:w="2299" w:type="pct"/>
            <w:vAlign w:val="center"/>
          </w:tcPr>
          <w:p w14:paraId="0689D4A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是指异基因造血干细胞移植术后发生重度（Ⅲ-Ⅳ度）急性移植物抗宿主病患者例次数占同期异基因造血干细胞移植患者总例次数的比例。</w:t>
            </w:r>
          </w:p>
        </w:tc>
      </w:tr>
      <w:tr w14:paraId="083C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3C3E322">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02E9B77B">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3A2D5FA1">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5.1.3.4死亡率</w:t>
            </w:r>
          </w:p>
        </w:tc>
        <w:tc>
          <w:tcPr>
            <w:tcW w:w="2299" w:type="pct"/>
            <w:vAlign w:val="center"/>
          </w:tcPr>
          <w:p w14:paraId="5E632B1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异基因造血干细胞移植术后100天内非复发死亡患者数占同期异基因造血干细胞移植患者总数的比例。</w:t>
            </w:r>
          </w:p>
        </w:tc>
      </w:tr>
      <w:tr w14:paraId="77D74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1321055">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6A56479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5.1.4同种胰岛移植技术临床应用质量控制指标</w:t>
            </w:r>
          </w:p>
        </w:tc>
        <w:tc>
          <w:tcPr>
            <w:tcW w:w="1160" w:type="pct"/>
            <w:vAlign w:val="center"/>
          </w:tcPr>
          <w:p w14:paraId="54C5AC8E">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5.1.4.1适应证符合率</w:t>
            </w:r>
          </w:p>
        </w:tc>
        <w:tc>
          <w:tcPr>
            <w:tcW w:w="2299" w:type="pct"/>
            <w:vAlign w:val="center"/>
          </w:tcPr>
          <w:p w14:paraId="0D705AC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同种胰岛移植技术适应证选择正确的例数占同期同种胰岛移植技术总例数的比例</w:t>
            </w:r>
            <w:r>
              <w:rPr>
                <w:rFonts w:hint="eastAsia" w:ascii="Times New Roman" w:hAnsi="Times New Roman" w:eastAsia="仿宋" w:cs="Times New Roman"/>
                <w:color w:val="000000"/>
                <w:szCs w:val="21"/>
                <w:highlight w:val="none"/>
                <w:lang w:eastAsia="zh-CN"/>
              </w:rPr>
              <w:t>。</w:t>
            </w:r>
          </w:p>
        </w:tc>
      </w:tr>
      <w:tr w14:paraId="1713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CB4CFFF">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53027E6">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0221B3A0">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5.1.4.2知情同意书签署率</w:t>
            </w:r>
          </w:p>
        </w:tc>
        <w:tc>
          <w:tcPr>
            <w:tcW w:w="2299" w:type="pct"/>
            <w:vAlign w:val="center"/>
          </w:tcPr>
          <w:p w14:paraId="789A613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52D73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09B885B">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EDBA0F0">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0B93B2C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5.1.4.3围手术期并发症发生率</w:t>
            </w:r>
          </w:p>
        </w:tc>
        <w:tc>
          <w:tcPr>
            <w:tcW w:w="2299" w:type="pct"/>
            <w:vAlign w:val="center"/>
          </w:tcPr>
          <w:p w14:paraId="6E5CA72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同种胰岛移植治疗术后30天内发生的并发症，包括出血、感染、门静脉血栓形成等。围手术期并发症发生率是指围手术期并发症发生的例次数占同期同种胰岛移植治疗总例次数的比例。</w:t>
            </w:r>
          </w:p>
        </w:tc>
      </w:tr>
      <w:tr w14:paraId="7A6E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0FCF09A">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17F9E264">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0D095CCE">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5.1.4.4术后死亡率</w:t>
            </w:r>
          </w:p>
        </w:tc>
        <w:tc>
          <w:tcPr>
            <w:tcW w:w="2299" w:type="pct"/>
            <w:vAlign w:val="center"/>
          </w:tcPr>
          <w:p w14:paraId="4796E1E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术后死亡率是指术后死亡患者人数占同期同种胰岛移植治疗患者总数的比例。</w:t>
            </w:r>
          </w:p>
        </w:tc>
      </w:tr>
      <w:tr w14:paraId="3146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E81277C">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09A97E9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5.1.5同种异体运动系统结构性组织移植技术临床应用质量控制指标</w:t>
            </w:r>
          </w:p>
        </w:tc>
        <w:tc>
          <w:tcPr>
            <w:tcW w:w="1160" w:type="pct"/>
            <w:vAlign w:val="center"/>
          </w:tcPr>
          <w:p w14:paraId="7744BB70">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5.1.5.1适应证符合率</w:t>
            </w:r>
          </w:p>
        </w:tc>
        <w:tc>
          <w:tcPr>
            <w:tcW w:w="2299" w:type="pct"/>
            <w:vAlign w:val="center"/>
          </w:tcPr>
          <w:p w14:paraId="599BC4C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同种异体运动系统结构性组织移植术适应证选择正确的例数占同期同种异体运动系统结构性组织移植术总例数的比例</w:t>
            </w:r>
            <w:r>
              <w:rPr>
                <w:rFonts w:hint="eastAsia" w:ascii="Times New Roman" w:hAnsi="Times New Roman" w:eastAsia="仿宋" w:cs="Times New Roman"/>
                <w:color w:val="000000"/>
                <w:szCs w:val="21"/>
                <w:highlight w:val="none"/>
                <w:lang w:eastAsia="zh-CN"/>
              </w:rPr>
              <w:t>。</w:t>
            </w:r>
          </w:p>
        </w:tc>
      </w:tr>
      <w:tr w14:paraId="5ADF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29E1A929">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36870F53">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1D4B44B">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5.1.5.2知情同意书签署率</w:t>
            </w:r>
          </w:p>
        </w:tc>
        <w:tc>
          <w:tcPr>
            <w:tcW w:w="2299" w:type="pct"/>
            <w:vAlign w:val="center"/>
          </w:tcPr>
          <w:p w14:paraId="1DDD190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72F4F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62668F3">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6C413158">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7EE72C6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5.1.5.3围手术期并发症发生率</w:t>
            </w:r>
          </w:p>
        </w:tc>
        <w:tc>
          <w:tcPr>
            <w:tcW w:w="2299" w:type="pct"/>
            <w:vAlign w:val="center"/>
          </w:tcPr>
          <w:p w14:paraId="4575500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围手术期并发症发生的例次数占同期同种异体运动系统结构性组织移植手术总例次数的比例。</w:t>
            </w:r>
          </w:p>
        </w:tc>
      </w:tr>
      <w:tr w14:paraId="57392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71B2BE78">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14EA17B">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44A248C">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5.1.5.4死亡率</w:t>
            </w:r>
          </w:p>
        </w:tc>
        <w:tc>
          <w:tcPr>
            <w:tcW w:w="2299" w:type="pct"/>
            <w:vAlign w:val="center"/>
          </w:tcPr>
          <w:p w14:paraId="4E99164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接受该技术治疗后死亡发生的例次数占同期同种异体运动系统结构性组织移植手术总例次数的比例。</w:t>
            </w:r>
          </w:p>
        </w:tc>
      </w:tr>
      <w:tr w14:paraId="18179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4D6DF096">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269C902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5.1.6同种异体角膜移植技术临床应用质量控制指标</w:t>
            </w:r>
          </w:p>
        </w:tc>
        <w:tc>
          <w:tcPr>
            <w:tcW w:w="1160" w:type="pct"/>
            <w:vAlign w:val="center"/>
          </w:tcPr>
          <w:p w14:paraId="6E7DA233">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5.1.6.1适应证符合率</w:t>
            </w:r>
          </w:p>
        </w:tc>
        <w:tc>
          <w:tcPr>
            <w:tcW w:w="2299" w:type="pct"/>
            <w:vAlign w:val="center"/>
          </w:tcPr>
          <w:p w14:paraId="493DB38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同种异体角膜移植术适应证选择正确的例数占同种异体角膜移植术总例数的比例</w:t>
            </w:r>
            <w:r>
              <w:rPr>
                <w:rFonts w:hint="eastAsia" w:ascii="Times New Roman" w:hAnsi="Times New Roman" w:eastAsia="仿宋" w:cs="Times New Roman"/>
                <w:color w:val="000000"/>
                <w:szCs w:val="21"/>
                <w:highlight w:val="none"/>
                <w:lang w:eastAsia="zh-CN"/>
              </w:rPr>
              <w:t>。</w:t>
            </w:r>
          </w:p>
        </w:tc>
      </w:tr>
      <w:tr w14:paraId="7ADB1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A11C511">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17547D25">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5495EC97">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5.1.6.2知情同意书签署率</w:t>
            </w:r>
          </w:p>
        </w:tc>
        <w:tc>
          <w:tcPr>
            <w:tcW w:w="2299" w:type="pct"/>
            <w:vAlign w:val="center"/>
          </w:tcPr>
          <w:p w14:paraId="2002260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7828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F2FB26E">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5CFD09B2">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20C53741">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5.1.6.3并发症发生率</w:t>
            </w:r>
          </w:p>
        </w:tc>
        <w:tc>
          <w:tcPr>
            <w:tcW w:w="2299" w:type="pct"/>
            <w:vAlign w:val="center"/>
          </w:tcPr>
          <w:p w14:paraId="332766E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同种异体角膜移植术后发生并发症（排斥反应、眼部感染、青光眼等）的例数占同期同种异体角膜移植总例数的比例</w:t>
            </w:r>
            <w:r>
              <w:rPr>
                <w:rFonts w:hint="eastAsia" w:ascii="Times New Roman" w:hAnsi="Times New Roman" w:eastAsia="仿宋" w:cs="Times New Roman"/>
                <w:color w:val="000000"/>
                <w:szCs w:val="21"/>
                <w:highlight w:val="none"/>
                <w:lang w:eastAsia="zh-CN"/>
              </w:rPr>
              <w:t>。</w:t>
            </w:r>
          </w:p>
        </w:tc>
      </w:tr>
      <w:tr w14:paraId="10934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8236C73">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3FAD0DB6">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7AAE9626">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5.1.6.4角膜组织存活率</w:t>
            </w:r>
          </w:p>
        </w:tc>
        <w:tc>
          <w:tcPr>
            <w:tcW w:w="2299" w:type="pct"/>
            <w:vAlign w:val="center"/>
          </w:tcPr>
          <w:p w14:paraId="7D2056C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同种异体角膜移植术后一定时间内随访尚存活的角膜组织数占同期同种异体角膜移植角膜组织总数的比例。</w:t>
            </w:r>
          </w:p>
        </w:tc>
      </w:tr>
      <w:tr w14:paraId="5AAF8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666DA077">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2B67306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5.1.7性别重置技术临床应用质量控制指标</w:t>
            </w:r>
          </w:p>
        </w:tc>
        <w:tc>
          <w:tcPr>
            <w:tcW w:w="1160" w:type="pct"/>
            <w:vAlign w:val="center"/>
          </w:tcPr>
          <w:p w14:paraId="69784B1E">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5.1.7.1适应证符合率</w:t>
            </w:r>
          </w:p>
        </w:tc>
        <w:tc>
          <w:tcPr>
            <w:tcW w:w="2299" w:type="pct"/>
            <w:vAlign w:val="center"/>
          </w:tcPr>
          <w:p w14:paraId="790F7EA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性别重置技术适应证选择正确的例数占性别重置技术总例数的比例</w:t>
            </w:r>
            <w:r>
              <w:rPr>
                <w:rFonts w:hint="eastAsia" w:ascii="Times New Roman" w:hAnsi="Times New Roman" w:eastAsia="仿宋" w:cs="Times New Roman"/>
                <w:color w:val="000000"/>
                <w:szCs w:val="21"/>
                <w:highlight w:val="none"/>
                <w:lang w:eastAsia="zh-CN"/>
              </w:rPr>
              <w:t>。</w:t>
            </w:r>
          </w:p>
        </w:tc>
      </w:tr>
      <w:tr w14:paraId="377E4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D9B4E64">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7782472D">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0EBC7007">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5.1.7.2知情同意书签署率</w:t>
            </w:r>
          </w:p>
        </w:tc>
        <w:tc>
          <w:tcPr>
            <w:tcW w:w="2299" w:type="pct"/>
            <w:vAlign w:val="center"/>
          </w:tcPr>
          <w:p w14:paraId="22FDF8A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4B18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6848B106">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6A478CBC">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7DA999F2">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5.1.7.3并发症发生率</w:t>
            </w:r>
          </w:p>
        </w:tc>
        <w:tc>
          <w:tcPr>
            <w:tcW w:w="2299" w:type="pct"/>
            <w:vAlign w:val="center"/>
          </w:tcPr>
          <w:p w14:paraId="46B4420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并发症包括：术后2周内发生感染、尿瘘、再造尿道狭窄、再造阴道狭窄、直肠阴道瘘、皮瓣坏死。并发症发生率指性别重置术后，再造器官发生并发症的例数占同期性别重置手术总例数的比例。</w:t>
            </w:r>
          </w:p>
        </w:tc>
      </w:tr>
      <w:tr w14:paraId="220F1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7E28469A">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ADCC6C5">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8BC2E0E">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5.1.7.4术后1周内死亡率</w:t>
            </w:r>
          </w:p>
        </w:tc>
        <w:tc>
          <w:tcPr>
            <w:tcW w:w="2299" w:type="pct"/>
            <w:vAlign w:val="center"/>
          </w:tcPr>
          <w:p w14:paraId="684C528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术后1周内手术对象死亡人数占同期性别重置手术对象总数的比例。</w:t>
            </w:r>
          </w:p>
        </w:tc>
      </w:tr>
      <w:tr w14:paraId="4BF18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B6732E2">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12EE7DD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5.1.8质子和重离子加速器放射治疗技术临床应用质量控制指标</w:t>
            </w:r>
          </w:p>
        </w:tc>
        <w:tc>
          <w:tcPr>
            <w:tcW w:w="1160" w:type="pct"/>
            <w:vAlign w:val="center"/>
          </w:tcPr>
          <w:p w14:paraId="5EBEC240">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5.1.8.1适应证符合率</w:t>
            </w:r>
          </w:p>
        </w:tc>
        <w:tc>
          <w:tcPr>
            <w:tcW w:w="2299" w:type="pct"/>
            <w:vAlign w:val="center"/>
          </w:tcPr>
          <w:p w14:paraId="34ACDF9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质子和重离子加速器放射治疗技术适应证选择正确的例数占质子和重离子加速器放射治疗技术总例数的比例</w:t>
            </w:r>
            <w:r>
              <w:rPr>
                <w:rFonts w:hint="eastAsia" w:ascii="Times New Roman" w:hAnsi="Times New Roman" w:eastAsia="仿宋" w:cs="Times New Roman"/>
                <w:color w:val="000000"/>
                <w:szCs w:val="21"/>
                <w:highlight w:val="none"/>
                <w:lang w:eastAsia="zh-CN"/>
              </w:rPr>
              <w:t>。</w:t>
            </w:r>
          </w:p>
        </w:tc>
      </w:tr>
      <w:tr w14:paraId="7465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D003222">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7040DDD0">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1AE1130D">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5.1.8.2知情同意书签署率</w:t>
            </w:r>
          </w:p>
        </w:tc>
        <w:tc>
          <w:tcPr>
            <w:tcW w:w="2299" w:type="pct"/>
            <w:vAlign w:val="center"/>
          </w:tcPr>
          <w:p w14:paraId="7BFD1A7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2534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227C55C6">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7BD6E404">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1F21E901">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5.1.8.3不良反应发生率</w:t>
            </w:r>
          </w:p>
        </w:tc>
        <w:tc>
          <w:tcPr>
            <w:tcW w:w="2299" w:type="pct"/>
            <w:vAlign w:val="center"/>
          </w:tcPr>
          <w:p w14:paraId="0F7B6B9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按照放射治疗协作组</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3级的副反应。不良反应发生率是指实施质子或重离子放射治疗的患者，发生不良反应的患者数占同期质子或重离子放射治疗患者总数的比例。</w:t>
            </w:r>
          </w:p>
        </w:tc>
      </w:tr>
      <w:tr w14:paraId="730DB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1EA8030">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0319006E">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1C8EA887">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5.1.8.4 6个月内死亡率</w:t>
            </w:r>
          </w:p>
        </w:tc>
        <w:tc>
          <w:tcPr>
            <w:tcW w:w="2299" w:type="pct"/>
            <w:vAlign w:val="center"/>
          </w:tcPr>
          <w:p w14:paraId="1DC9D27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是指患者从第一次接受质子或重离子放射治疗起，6个月之内死亡。6个月内死亡率是指实施质子或重离子放射治疗的患者，6个月内死亡的患者数占同期质子或重离子放射治疗患者总数的比例。</w:t>
            </w:r>
          </w:p>
        </w:tc>
      </w:tr>
      <w:tr w14:paraId="0E0AA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975BEAE">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3E6D143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5.1.9放射性粒子植入治疗技术临床应用质量控制指标</w:t>
            </w:r>
          </w:p>
        </w:tc>
        <w:tc>
          <w:tcPr>
            <w:tcW w:w="1160" w:type="pct"/>
            <w:vAlign w:val="center"/>
          </w:tcPr>
          <w:p w14:paraId="228D4143">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5.1.9.1适应证符合率</w:t>
            </w:r>
          </w:p>
        </w:tc>
        <w:tc>
          <w:tcPr>
            <w:tcW w:w="2299" w:type="pct"/>
            <w:vAlign w:val="center"/>
          </w:tcPr>
          <w:p w14:paraId="6DCD982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放射性粒子植入治疗技术适应证选择正确的例数占放射性粒子植入治疗技术总例数的比例</w:t>
            </w:r>
            <w:r>
              <w:rPr>
                <w:rFonts w:hint="eastAsia" w:ascii="Times New Roman" w:hAnsi="Times New Roman" w:eastAsia="仿宋" w:cs="Times New Roman"/>
                <w:color w:val="000000"/>
                <w:szCs w:val="21"/>
                <w:highlight w:val="none"/>
                <w:lang w:eastAsia="zh-CN"/>
              </w:rPr>
              <w:t>。</w:t>
            </w:r>
          </w:p>
        </w:tc>
      </w:tr>
      <w:tr w14:paraId="07DD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6F132B3">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127586F8">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528CB46F">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5.1.9.2知情同意书签署率</w:t>
            </w:r>
          </w:p>
        </w:tc>
        <w:tc>
          <w:tcPr>
            <w:tcW w:w="2299" w:type="pct"/>
            <w:vAlign w:val="center"/>
          </w:tcPr>
          <w:p w14:paraId="5380EDB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08F68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6B461A9">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7AD9B74">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1D169B6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5.1.9.3术中及术后30天内主要并发症发生率</w:t>
            </w:r>
          </w:p>
        </w:tc>
        <w:tc>
          <w:tcPr>
            <w:tcW w:w="2299" w:type="pct"/>
            <w:vAlign w:val="center"/>
          </w:tcPr>
          <w:p w14:paraId="29CDF49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放射性粒子植入术中及术后30天内发生主要并发症的例数占同期放射性粒子植入治疗总例数的比例。</w:t>
            </w:r>
          </w:p>
        </w:tc>
      </w:tr>
      <w:tr w14:paraId="26836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79E5C8C">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7DB89AF8">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248F6C2B">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5.1.9.4术后30天内全因死亡率</w:t>
            </w:r>
          </w:p>
        </w:tc>
        <w:tc>
          <w:tcPr>
            <w:tcW w:w="2299" w:type="pct"/>
            <w:vAlign w:val="center"/>
          </w:tcPr>
          <w:p w14:paraId="2F0497E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放射性粒子植入术后30天内死亡患者（不论何种原因）例数占同期放射性粒子植入治疗总例数的比例。</w:t>
            </w:r>
          </w:p>
        </w:tc>
      </w:tr>
      <w:tr w14:paraId="2BB3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2FADDC5B">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0BAC504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5.1.10肿瘤消融治疗技术临床应用质量控制指标</w:t>
            </w:r>
          </w:p>
        </w:tc>
        <w:tc>
          <w:tcPr>
            <w:tcW w:w="1160" w:type="pct"/>
            <w:vAlign w:val="center"/>
          </w:tcPr>
          <w:p w14:paraId="5F2CFD76">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5.1.10.1适应证符合率</w:t>
            </w:r>
          </w:p>
        </w:tc>
        <w:tc>
          <w:tcPr>
            <w:tcW w:w="2299" w:type="pct"/>
            <w:vAlign w:val="center"/>
          </w:tcPr>
          <w:p w14:paraId="38C13E4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肿瘤消融治疗技术适应证选择正确的例数占肿瘤消融治疗技术总例数的比例。</w:t>
            </w:r>
          </w:p>
        </w:tc>
      </w:tr>
      <w:tr w14:paraId="3A7C5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71281AA7">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4432CB8">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76195B7">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5.1.10.2知情同意书签署率</w:t>
            </w:r>
          </w:p>
        </w:tc>
        <w:tc>
          <w:tcPr>
            <w:tcW w:w="2299" w:type="pct"/>
            <w:vAlign w:val="center"/>
          </w:tcPr>
          <w:p w14:paraId="7F7FAEB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11F5B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71B88A7A">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80C36CA">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0D62029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5.1.10.3肿瘤消融治疗后30天内严重并发症发生率</w:t>
            </w:r>
          </w:p>
        </w:tc>
        <w:tc>
          <w:tcPr>
            <w:tcW w:w="2299" w:type="pct"/>
            <w:vAlign w:val="center"/>
          </w:tcPr>
          <w:p w14:paraId="3AAE75D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肿瘤消融治疗后30天内严重并发症发生率是指肿瘤消融治疗后30天内严重并发症发生的例次数占同期肿瘤消融治疗总例次数的比例。</w:t>
            </w:r>
          </w:p>
        </w:tc>
      </w:tr>
      <w:tr w14:paraId="5FE5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6244FE5">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1CDA8007">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19DDF36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5.1.10.4肿瘤消融治疗后30天内死亡率</w:t>
            </w:r>
          </w:p>
        </w:tc>
        <w:tc>
          <w:tcPr>
            <w:tcW w:w="2299" w:type="pct"/>
            <w:vAlign w:val="center"/>
          </w:tcPr>
          <w:p w14:paraId="4C520BD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肿瘤消融治疗后30天内死亡（包括因不可逆疾病而自动出院的患者）患者数占同期肿瘤消融治疗患者总数的比例。</w:t>
            </w:r>
          </w:p>
        </w:tc>
      </w:tr>
      <w:tr w14:paraId="1B91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4D93361">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4A74433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5.1.11心室辅助技术临床应用质量控制指标</w:t>
            </w:r>
          </w:p>
        </w:tc>
        <w:tc>
          <w:tcPr>
            <w:tcW w:w="1160" w:type="pct"/>
            <w:vAlign w:val="center"/>
          </w:tcPr>
          <w:p w14:paraId="204A2BEB">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5.1.11.1适应证符合率</w:t>
            </w:r>
          </w:p>
        </w:tc>
        <w:tc>
          <w:tcPr>
            <w:tcW w:w="2299" w:type="pct"/>
            <w:vAlign w:val="center"/>
          </w:tcPr>
          <w:p w14:paraId="518D2E3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心室辅助技术适应证选择正确的例数占心室辅助技术总例数的比例。</w:t>
            </w:r>
          </w:p>
        </w:tc>
      </w:tr>
      <w:tr w14:paraId="498F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8BC9808">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13FC9FD9">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2D9AB2B5">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5.1.11.2知情同意书签署率</w:t>
            </w:r>
          </w:p>
        </w:tc>
        <w:tc>
          <w:tcPr>
            <w:tcW w:w="2299" w:type="pct"/>
            <w:vAlign w:val="center"/>
          </w:tcPr>
          <w:p w14:paraId="0ADD71A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160D5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4CC8D5CB">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6972413A">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EE6CDA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5.1.11.3术中及术后30天内主要并发症发生率</w:t>
            </w:r>
          </w:p>
        </w:tc>
        <w:tc>
          <w:tcPr>
            <w:tcW w:w="2299" w:type="pct"/>
            <w:vAlign w:val="center"/>
          </w:tcPr>
          <w:p w14:paraId="737EC31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心室辅助装置植（介）入术中及术后30天内，发生主要并发症的患者数占同期心室辅助装置植（介）入患者总数的比例。</w:t>
            </w:r>
          </w:p>
        </w:tc>
      </w:tr>
      <w:tr w14:paraId="4E862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3360226">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5643D776">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6E3EA6C4">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5.1.11.4术后30天死亡率</w:t>
            </w:r>
          </w:p>
        </w:tc>
        <w:tc>
          <w:tcPr>
            <w:tcW w:w="2299" w:type="pct"/>
            <w:vAlign w:val="center"/>
          </w:tcPr>
          <w:p w14:paraId="376C3C9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心室辅助装置植（介）入术后30天内死亡患者数（不论何种原因）占同期心室辅助装置植（介）入患者总数的比例。</w:t>
            </w:r>
          </w:p>
        </w:tc>
      </w:tr>
      <w:tr w14:paraId="456E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738F09AC">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1027F13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5.1.12人工智能辅助治疗技术临床应用质量控制指标</w:t>
            </w:r>
          </w:p>
        </w:tc>
        <w:tc>
          <w:tcPr>
            <w:tcW w:w="1160" w:type="pct"/>
            <w:vAlign w:val="center"/>
          </w:tcPr>
          <w:p w14:paraId="4E275EE2">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5.1.12.1适应证符合率</w:t>
            </w:r>
          </w:p>
        </w:tc>
        <w:tc>
          <w:tcPr>
            <w:tcW w:w="2299" w:type="pct"/>
            <w:vAlign w:val="center"/>
          </w:tcPr>
          <w:p w14:paraId="623EB16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人工智能辅助治疗技术适应证选择正确的例数占人工智能辅助治疗技术总例数的比例</w:t>
            </w:r>
            <w:r>
              <w:rPr>
                <w:rFonts w:hint="eastAsia" w:ascii="Times New Roman" w:hAnsi="Times New Roman" w:eastAsia="仿宋" w:cs="Times New Roman"/>
                <w:color w:val="000000"/>
                <w:szCs w:val="21"/>
                <w:highlight w:val="none"/>
                <w:lang w:eastAsia="zh-CN"/>
              </w:rPr>
              <w:t>。</w:t>
            </w:r>
          </w:p>
        </w:tc>
      </w:tr>
      <w:tr w14:paraId="5B214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2039A7CF">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360FD594">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054F49ED">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5.1.12.2知情同意书签署率</w:t>
            </w:r>
          </w:p>
        </w:tc>
        <w:tc>
          <w:tcPr>
            <w:tcW w:w="2299" w:type="pct"/>
            <w:vAlign w:val="center"/>
          </w:tcPr>
          <w:p w14:paraId="0C2A963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547A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3B6C48C">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03D6249C">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279729A1">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5.1.12.3重大并发症发生率</w:t>
            </w:r>
          </w:p>
        </w:tc>
        <w:tc>
          <w:tcPr>
            <w:tcW w:w="2299" w:type="pct"/>
            <w:vAlign w:val="center"/>
          </w:tcPr>
          <w:p w14:paraId="768984F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同一术种实施人工智能辅助治疗技术的患者，术中、术后（住院期间内）发生重大并发症（包括需有创处理的术后出血、重要脏器损伤及功能不全、重症感染、吻合口瘘、麻醉意外等）的例数占同期人工智能辅助治疗技术总例数的比例。</w:t>
            </w:r>
          </w:p>
        </w:tc>
      </w:tr>
      <w:tr w14:paraId="7082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3C6FDCB">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5793CB43">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27BFB637">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5.1.12.4术中及术后死亡率</w:t>
            </w:r>
          </w:p>
        </w:tc>
        <w:tc>
          <w:tcPr>
            <w:tcW w:w="2299" w:type="pct"/>
            <w:vAlign w:val="center"/>
          </w:tcPr>
          <w:p w14:paraId="5818D9D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同一术种术中及术后患者死亡人数占同期实施人工智能辅助治疗技术患者总数的比例。</w:t>
            </w:r>
          </w:p>
        </w:tc>
      </w:tr>
      <w:tr w14:paraId="53386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9868A6C">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11AF5CF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5.1.13体外膜肺氧合</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ECMO</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技术临床应用质量控制指标</w:t>
            </w:r>
          </w:p>
        </w:tc>
        <w:tc>
          <w:tcPr>
            <w:tcW w:w="1160" w:type="pct"/>
            <w:vAlign w:val="center"/>
          </w:tcPr>
          <w:p w14:paraId="6C33794B">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5.1.13.1适应证符合率</w:t>
            </w:r>
          </w:p>
        </w:tc>
        <w:tc>
          <w:tcPr>
            <w:tcW w:w="2299" w:type="pct"/>
            <w:vAlign w:val="center"/>
          </w:tcPr>
          <w:p w14:paraId="6DD5B83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体外膜肺氧合</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ECMO</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技术适应证选择正确的例数占体外膜肺氧合</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ECMO</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技术总例数的比例</w:t>
            </w:r>
            <w:r>
              <w:rPr>
                <w:rFonts w:hint="eastAsia" w:ascii="Times New Roman" w:hAnsi="Times New Roman" w:eastAsia="仿宋" w:cs="Times New Roman"/>
                <w:color w:val="000000"/>
                <w:szCs w:val="21"/>
                <w:highlight w:val="none"/>
                <w:lang w:eastAsia="zh-CN"/>
              </w:rPr>
              <w:t>。</w:t>
            </w:r>
          </w:p>
        </w:tc>
      </w:tr>
      <w:tr w14:paraId="72E4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6F7407E7">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7AFFB90B">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679DF40">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5.1.13.2知情同意书签署率</w:t>
            </w:r>
          </w:p>
        </w:tc>
        <w:tc>
          <w:tcPr>
            <w:tcW w:w="2299" w:type="pct"/>
            <w:vAlign w:val="center"/>
          </w:tcPr>
          <w:p w14:paraId="26EB6FA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w:t>
            </w:r>
            <w:r>
              <w:rPr>
                <w:rFonts w:hint="eastAsia" w:ascii="Times New Roman" w:hAnsi="Times New Roman" w:eastAsia="仿宋" w:cs="Times New Roman"/>
                <w:color w:val="000000"/>
                <w:szCs w:val="21"/>
                <w:highlight w:val="none"/>
                <w:lang w:eastAsia="zh-CN"/>
              </w:rPr>
              <w:t>同意</w:t>
            </w:r>
            <w:r>
              <w:rPr>
                <w:rFonts w:ascii="Times New Roman" w:hAnsi="Times New Roman" w:eastAsia="仿宋" w:cs="Times New Roman"/>
                <w:color w:val="000000"/>
                <w:szCs w:val="21"/>
                <w:highlight w:val="none"/>
                <w:lang w:eastAsia="zh-CN"/>
              </w:rPr>
              <w:t>书的患者数与同期接受该技术治疗患者出院人数之比。</w:t>
            </w:r>
          </w:p>
        </w:tc>
      </w:tr>
      <w:tr w14:paraId="5AD4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7564F85D">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14CCF55E">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3E0580E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5.1.13.3术中及术后30天内患者主要并发症发生率</w:t>
            </w:r>
          </w:p>
        </w:tc>
        <w:tc>
          <w:tcPr>
            <w:tcW w:w="2299" w:type="pct"/>
            <w:vAlign w:val="center"/>
          </w:tcPr>
          <w:p w14:paraId="06E73F1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ECMO术中及术后30天内，发生主要并发症的患者数占同期ECMO应用例次数的比例。</w:t>
            </w:r>
          </w:p>
        </w:tc>
      </w:tr>
      <w:tr w14:paraId="6D956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D400E37">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599B209">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52236C75">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5.1.13.4</w:t>
            </w:r>
            <w:r>
              <w:rPr>
                <w:rFonts w:hint="eastAsia"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t>30天全因死亡率</w:t>
            </w:r>
          </w:p>
        </w:tc>
        <w:tc>
          <w:tcPr>
            <w:tcW w:w="2299" w:type="pct"/>
            <w:vAlign w:val="center"/>
          </w:tcPr>
          <w:p w14:paraId="6738173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ECMO应用后30天内死亡患者数（不论何种原因）占同期ECMO应用患者总数的比例。</w:t>
            </w:r>
          </w:p>
        </w:tc>
      </w:tr>
      <w:tr w14:paraId="16C37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72C24A2">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5A6BA74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5.1.14自体器官移植技术临床应用质量控制指标</w:t>
            </w:r>
          </w:p>
        </w:tc>
        <w:tc>
          <w:tcPr>
            <w:tcW w:w="1160" w:type="pct"/>
            <w:vAlign w:val="center"/>
          </w:tcPr>
          <w:p w14:paraId="0BAB834B">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5.1.14.1适应证符合率</w:t>
            </w:r>
          </w:p>
        </w:tc>
        <w:tc>
          <w:tcPr>
            <w:tcW w:w="2299" w:type="pct"/>
            <w:vAlign w:val="center"/>
          </w:tcPr>
          <w:p w14:paraId="41AD80D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自体器官移植技术适应证选择正确的例数占自体器官移植技术总例数的比例</w:t>
            </w:r>
            <w:r>
              <w:rPr>
                <w:rFonts w:hint="eastAsia" w:ascii="Times New Roman" w:hAnsi="Times New Roman" w:eastAsia="仿宋" w:cs="Times New Roman"/>
                <w:color w:val="000000"/>
                <w:szCs w:val="21"/>
                <w:highlight w:val="none"/>
                <w:lang w:eastAsia="zh-CN"/>
              </w:rPr>
              <w:t>。</w:t>
            </w:r>
          </w:p>
        </w:tc>
      </w:tr>
      <w:tr w14:paraId="7DD1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4B732DD">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7AB9688">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613EF2C2">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5.1.14.2知情同意书签署率</w:t>
            </w:r>
          </w:p>
        </w:tc>
        <w:tc>
          <w:tcPr>
            <w:tcW w:w="2299" w:type="pct"/>
            <w:vAlign w:val="center"/>
          </w:tcPr>
          <w:p w14:paraId="77D3F7D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实施该技术治疗前签署知情同意书的患者数与同期接受该技术治疗患者出院人数之比。</w:t>
            </w:r>
          </w:p>
        </w:tc>
      </w:tr>
      <w:tr w14:paraId="75C9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6EDF4A6">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3D1DBA51">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3BA3E75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5.1.14.3术后全身系统严重并发症发生率</w:t>
            </w:r>
          </w:p>
        </w:tc>
        <w:tc>
          <w:tcPr>
            <w:tcW w:w="2299" w:type="pct"/>
            <w:vAlign w:val="center"/>
          </w:tcPr>
          <w:p w14:paraId="1BDB9C7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术后发生全身系统严重并发症的患者数占同期自体器官移植术患者总数的比例。</w:t>
            </w:r>
          </w:p>
        </w:tc>
      </w:tr>
      <w:tr w14:paraId="4D91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6D441F4">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C802F7C">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0D722E2">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5.1.14.4术后早期死亡率</w:t>
            </w:r>
          </w:p>
        </w:tc>
        <w:tc>
          <w:tcPr>
            <w:tcW w:w="2299" w:type="pct"/>
            <w:vAlign w:val="center"/>
          </w:tcPr>
          <w:p w14:paraId="37EE8F3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自体器官移植术后30天内患者全因（不论何种原因）死亡例数占同期自体器官移植术总例数的比例。</w:t>
            </w:r>
          </w:p>
        </w:tc>
      </w:tr>
      <w:tr w14:paraId="033D7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restart"/>
            <w:vAlign w:val="center"/>
          </w:tcPr>
          <w:p w14:paraId="2CFD91F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5.2人体器官捐献、获取与移植技术</w:t>
            </w:r>
          </w:p>
        </w:tc>
        <w:tc>
          <w:tcPr>
            <w:tcW w:w="997" w:type="pct"/>
            <w:vMerge w:val="restart"/>
            <w:vAlign w:val="center"/>
          </w:tcPr>
          <w:p w14:paraId="7D8704E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5.2.1非移植医院及其医务人员参与的人体器官捐献工作</w:t>
            </w:r>
          </w:p>
        </w:tc>
        <w:tc>
          <w:tcPr>
            <w:tcW w:w="1160" w:type="pct"/>
            <w:vAlign w:val="center"/>
          </w:tcPr>
          <w:p w14:paraId="028EEFB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5.2.1.1向人体器官获取组织报送潜在器官捐献者死亡人数比</w:t>
            </w:r>
          </w:p>
        </w:tc>
        <w:tc>
          <w:tcPr>
            <w:tcW w:w="2299" w:type="pct"/>
            <w:vAlign w:val="center"/>
          </w:tcPr>
          <w:p w14:paraId="39E7BEC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年度向OPO报送的潜在器官捐献者人数/同期院内死亡人数×100%</w:t>
            </w:r>
            <w:r>
              <w:rPr>
                <w:rFonts w:hint="eastAsia" w:ascii="Times New Roman" w:hAnsi="Times New Roman" w:eastAsia="仿宋" w:cs="Times New Roman"/>
                <w:color w:val="000000"/>
                <w:szCs w:val="21"/>
                <w:highlight w:val="none"/>
                <w:lang w:eastAsia="zh-CN"/>
              </w:rPr>
              <w:t>。</w:t>
            </w:r>
          </w:p>
        </w:tc>
      </w:tr>
      <w:tr w14:paraId="40E7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5B14564">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3F9AB28D">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6B47F91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5.2.1.2实现器官捐献的人数与院内死亡人数比例</w:t>
            </w:r>
          </w:p>
        </w:tc>
        <w:tc>
          <w:tcPr>
            <w:tcW w:w="2299" w:type="pct"/>
            <w:vAlign w:val="center"/>
          </w:tcPr>
          <w:p w14:paraId="1C2DD793">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年度院内完成器官捐献的人数/同期院内死亡人数×100%</w:t>
            </w:r>
            <w:r>
              <w:rPr>
                <w:rFonts w:hint="eastAsia" w:ascii="Times New Roman" w:hAnsi="Times New Roman" w:eastAsia="仿宋" w:cs="Times New Roman"/>
                <w:color w:val="000000"/>
                <w:szCs w:val="21"/>
                <w:highlight w:val="none"/>
                <w:lang w:eastAsia="zh-CN"/>
              </w:rPr>
              <w:t>。</w:t>
            </w:r>
          </w:p>
        </w:tc>
      </w:tr>
      <w:tr w14:paraId="62F7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7CF44F8">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3E9AA53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5.2.2移植医院及其医务人员参与的人体器官捐献工作</w:t>
            </w:r>
          </w:p>
        </w:tc>
        <w:tc>
          <w:tcPr>
            <w:tcW w:w="1160" w:type="pct"/>
            <w:vAlign w:val="center"/>
          </w:tcPr>
          <w:p w14:paraId="2BD424B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5.2.2.1向人体器官获取组织报送潜在器官捐献者死亡人数比例</w:t>
            </w:r>
          </w:p>
        </w:tc>
        <w:tc>
          <w:tcPr>
            <w:tcW w:w="2299" w:type="pct"/>
            <w:vAlign w:val="center"/>
          </w:tcPr>
          <w:p w14:paraId="69250C1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年度向OPO报送的潜在器官捐献者人数/同期院内死亡人数×100%</w:t>
            </w:r>
            <w:r>
              <w:rPr>
                <w:rFonts w:hint="eastAsia" w:ascii="Times New Roman" w:hAnsi="Times New Roman" w:eastAsia="仿宋" w:cs="Times New Roman"/>
                <w:color w:val="000000"/>
                <w:szCs w:val="21"/>
                <w:highlight w:val="none"/>
                <w:lang w:eastAsia="zh-CN"/>
              </w:rPr>
              <w:t>。</w:t>
            </w:r>
          </w:p>
        </w:tc>
      </w:tr>
      <w:tr w14:paraId="5A76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3078694">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37715AB">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197D55E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5.2.2.2实现器官捐献的人数与院内死亡人数比例</w:t>
            </w:r>
          </w:p>
        </w:tc>
        <w:tc>
          <w:tcPr>
            <w:tcW w:w="2299" w:type="pct"/>
            <w:vAlign w:val="center"/>
          </w:tcPr>
          <w:p w14:paraId="511CBC2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年度院内完成器官捐献的人数/同期院内死亡人数×100%</w:t>
            </w:r>
            <w:r>
              <w:rPr>
                <w:rFonts w:hint="eastAsia" w:ascii="Times New Roman" w:hAnsi="Times New Roman" w:eastAsia="仿宋" w:cs="Times New Roman"/>
                <w:color w:val="000000"/>
                <w:szCs w:val="21"/>
                <w:highlight w:val="none"/>
                <w:lang w:eastAsia="zh-CN"/>
              </w:rPr>
              <w:t>。</w:t>
            </w:r>
          </w:p>
        </w:tc>
      </w:tr>
      <w:tr w14:paraId="40D99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40F37C95">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7186A71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5.2.3肝脏移植技术医疗质量控制指标</w:t>
            </w:r>
          </w:p>
        </w:tc>
        <w:tc>
          <w:tcPr>
            <w:tcW w:w="1160" w:type="pct"/>
            <w:vAlign w:val="center"/>
          </w:tcPr>
          <w:p w14:paraId="6D88CA1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5.2.3.1.肝脏移植平均手术时间比例</w:t>
            </w:r>
          </w:p>
        </w:tc>
        <w:tc>
          <w:tcPr>
            <w:tcW w:w="2299" w:type="pct"/>
            <w:vAlign w:val="center"/>
          </w:tcPr>
          <w:p w14:paraId="7C2B41D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手术时间比例为手术时间在不超过6h，6-10h和10h以上三个时间段中的肝脏移植手术人数分别占同期肝脏移植手术总人数的比例。</w:t>
            </w:r>
          </w:p>
        </w:tc>
      </w:tr>
      <w:tr w14:paraId="0EEA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4C6C23C6">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38066782">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74005189">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5.2.3.2.肝脏移植术中大出血发生率</w:t>
            </w:r>
          </w:p>
        </w:tc>
        <w:tc>
          <w:tcPr>
            <w:tcW w:w="2299" w:type="pct"/>
            <w:vAlign w:val="center"/>
          </w:tcPr>
          <w:p w14:paraId="715F715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成人肝脏移植手术受者术中出血量在3000ml及以上的手术人数占同期成人肝脏移植手术总人数的比例。</w:t>
            </w:r>
          </w:p>
        </w:tc>
      </w:tr>
      <w:tr w14:paraId="2D19F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F23FE10">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DE4F080">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5FE55AD">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5.2.3.3.术后30天内并发症率</w:t>
            </w:r>
          </w:p>
        </w:tc>
        <w:tc>
          <w:tcPr>
            <w:tcW w:w="2299" w:type="pct"/>
            <w:vAlign w:val="center"/>
          </w:tcPr>
          <w:p w14:paraId="6B439A2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年度30天内肝脏移植累计并发症人数/同期肝移植总数×100（反映的是术后并发症发生比例，用于评价医疗机构肝脏移植技术的安全性）</w:t>
            </w:r>
            <w:r>
              <w:rPr>
                <w:rFonts w:hint="eastAsia" w:ascii="Times New Roman" w:hAnsi="Times New Roman" w:eastAsia="仿宋" w:cs="Times New Roman"/>
                <w:color w:val="000000"/>
                <w:szCs w:val="21"/>
                <w:highlight w:val="none"/>
                <w:lang w:eastAsia="zh-CN"/>
              </w:rPr>
              <w:t>。</w:t>
            </w:r>
          </w:p>
        </w:tc>
      </w:tr>
      <w:tr w14:paraId="3705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D87C6F3">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7F85161">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16EF1F12">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5.2.3.4.术后早期死亡率</w:t>
            </w:r>
          </w:p>
        </w:tc>
        <w:tc>
          <w:tcPr>
            <w:tcW w:w="2299" w:type="pct"/>
            <w:vAlign w:val="center"/>
          </w:tcPr>
          <w:p w14:paraId="6A00888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肝脏移植术后30天内受者全因死亡人数占同期肝脏移植手术受者总人数的比例。</w:t>
            </w:r>
          </w:p>
        </w:tc>
      </w:tr>
      <w:tr w14:paraId="5E3D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782DEB31">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2C215BA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5.2.4肾脏移植技术医疗质量控制指标</w:t>
            </w:r>
          </w:p>
        </w:tc>
        <w:tc>
          <w:tcPr>
            <w:tcW w:w="1160" w:type="pct"/>
            <w:vAlign w:val="center"/>
          </w:tcPr>
          <w:p w14:paraId="3C3160B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5.2.4.1活检证实的急性排斥反应发生率</w:t>
            </w:r>
          </w:p>
        </w:tc>
        <w:tc>
          <w:tcPr>
            <w:tcW w:w="2299" w:type="pct"/>
            <w:vAlign w:val="center"/>
          </w:tcPr>
          <w:p w14:paraId="2D37E38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肾脏移植术后1年内发生活检证实的急性排斥反应受者人数占同期肾脏移植总人数的比例。</w:t>
            </w:r>
          </w:p>
        </w:tc>
      </w:tr>
      <w:tr w14:paraId="525A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3ADD652">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79057748">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3141F1A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5.2.4.2肾脏移植术后功能延迟性恢复发生率</w:t>
            </w:r>
          </w:p>
        </w:tc>
        <w:tc>
          <w:tcPr>
            <w:tcW w:w="2299" w:type="pct"/>
            <w:vAlign w:val="center"/>
          </w:tcPr>
          <w:p w14:paraId="55DDCA2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肾脏移植术后发生移植肾功能延迟恢复</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DGF</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的受者人数占同期肾脏移植总人数的比例。</w:t>
            </w:r>
          </w:p>
        </w:tc>
      </w:tr>
      <w:tr w14:paraId="7B3B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01F3612">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E22F6E1">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79BA5A3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5.2.4.3肾脏移植术后感染发生率</w:t>
            </w:r>
          </w:p>
        </w:tc>
        <w:tc>
          <w:tcPr>
            <w:tcW w:w="2299" w:type="pct"/>
            <w:vAlign w:val="center"/>
          </w:tcPr>
          <w:p w14:paraId="20AD586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肾脏移植术后100天内发生感染的受者人数占同期肾脏移植总人数的比例。</w:t>
            </w:r>
          </w:p>
        </w:tc>
      </w:tr>
      <w:tr w14:paraId="35B1B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D4AF43B">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3E47EDB2">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36983FDA">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5.2.4.4术后30天内死亡率</w:t>
            </w:r>
          </w:p>
        </w:tc>
        <w:tc>
          <w:tcPr>
            <w:tcW w:w="2299" w:type="pct"/>
            <w:vAlign w:val="center"/>
          </w:tcPr>
          <w:p w14:paraId="47EE8A6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肾脏移植术后30天内受者全因死亡人数占同期肾脏移植总人数的比例。</w:t>
            </w:r>
          </w:p>
        </w:tc>
      </w:tr>
      <w:tr w14:paraId="42F24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F7A779A">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29044431">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5.2.5心脏移植技术医疗质量控制指标</w:t>
            </w:r>
          </w:p>
        </w:tc>
        <w:tc>
          <w:tcPr>
            <w:tcW w:w="1160" w:type="pct"/>
            <w:vAlign w:val="center"/>
          </w:tcPr>
          <w:p w14:paraId="2F9AEF0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5.2.5.1术前心肺运动试验检查率</w:t>
            </w:r>
          </w:p>
        </w:tc>
        <w:tc>
          <w:tcPr>
            <w:tcW w:w="2299" w:type="pct"/>
            <w:vAlign w:val="center"/>
          </w:tcPr>
          <w:p w14:paraId="108B398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单位时间内，术前进行心肺运动试验（CPET）检查的心脏移植人数占同期心脏移植总人数的比例。</w:t>
            </w:r>
          </w:p>
        </w:tc>
      </w:tr>
      <w:tr w14:paraId="69474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9F8CB7C">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51DBB48">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5DA572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5.2.5.2供体心脏缺血时间</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6小时的比例</w:t>
            </w:r>
          </w:p>
        </w:tc>
        <w:tc>
          <w:tcPr>
            <w:tcW w:w="2299" w:type="pct"/>
            <w:vAlign w:val="center"/>
          </w:tcPr>
          <w:p w14:paraId="22D0F61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单位时间内，医疗机构获取的供体心脏的缺血时间</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6小时的心脏移植人数占同期心脏移植总人数的比例。</w:t>
            </w:r>
          </w:p>
        </w:tc>
      </w:tr>
      <w:tr w14:paraId="492CC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56392FD">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1DC4DD1B">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770768BA">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5.2.5.3术后并发症发生率</w:t>
            </w:r>
          </w:p>
        </w:tc>
        <w:tc>
          <w:tcPr>
            <w:tcW w:w="2299" w:type="pct"/>
            <w:vAlign w:val="center"/>
          </w:tcPr>
          <w:p w14:paraId="61FDC83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单位时间内，心脏移植手术受者术后（自手术开始至出院）发生的手术相关并发症人数占同期心脏移植总人数的比例。</w:t>
            </w:r>
          </w:p>
        </w:tc>
      </w:tr>
      <w:tr w14:paraId="6F21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4D6389E5">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03FB629F">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6536AFD6">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5.2.5.4术后30天死亡率</w:t>
            </w:r>
          </w:p>
        </w:tc>
        <w:tc>
          <w:tcPr>
            <w:tcW w:w="2299" w:type="pct"/>
            <w:vAlign w:val="center"/>
          </w:tcPr>
          <w:p w14:paraId="182174ED">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单位时间内，心脏移植手术受者术后全因死亡人数占同期心脏移植总人数的比例。</w:t>
            </w:r>
          </w:p>
        </w:tc>
      </w:tr>
      <w:tr w14:paraId="4EE7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878EFF2">
            <w:pPr>
              <w:textAlignment w:val="center"/>
              <w:rPr>
                <w:rFonts w:ascii="Times New Roman" w:hAnsi="Times New Roman" w:eastAsia="仿宋" w:cs="Times New Roman"/>
                <w:color w:val="000000"/>
                <w:szCs w:val="21"/>
                <w:highlight w:val="none"/>
                <w:lang w:eastAsia="zh-CN"/>
              </w:rPr>
            </w:pPr>
          </w:p>
        </w:tc>
        <w:tc>
          <w:tcPr>
            <w:tcW w:w="997" w:type="pct"/>
            <w:vMerge w:val="restart"/>
            <w:vAlign w:val="center"/>
          </w:tcPr>
          <w:p w14:paraId="6C7D4FC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5.2.6肺脏移植技术医疗质量控制指标</w:t>
            </w:r>
          </w:p>
        </w:tc>
        <w:tc>
          <w:tcPr>
            <w:tcW w:w="1160" w:type="pct"/>
            <w:vAlign w:val="center"/>
          </w:tcPr>
          <w:p w14:paraId="38C1DEDF">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5.2.6.1双肺移植供肺冷缺血时间</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8小时（h）比例</w:t>
            </w:r>
          </w:p>
        </w:tc>
        <w:tc>
          <w:tcPr>
            <w:tcW w:w="2299" w:type="pct"/>
            <w:vAlign w:val="center"/>
          </w:tcPr>
          <w:p w14:paraId="7DEB9DD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供肺冷缺血时间</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8小时的双肺移植手术人数占同期双肺移植手术总人数的比例。</w:t>
            </w:r>
          </w:p>
        </w:tc>
      </w:tr>
      <w:tr w14:paraId="7D71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01948C76">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580A788D">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0C308DA5">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5.2.6.2术中异体输血</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800毫升（ml）手术比例</w:t>
            </w:r>
          </w:p>
        </w:tc>
        <w:tc>
          <w:tcPr>
            <w:tcW w:w="2299" w:type="pct"/>
            <w:vAlign w:val="center"/>
          </w:tcPr>
          <w:p w14:paraId="065FB5A4">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术中输入异体血</w:t>
            </w:r>
            <w:r>
              <w:rPr>
                <w:rFonts w:hint="eastAsia" w:ascii="Times New Roman" w:hAnsi="Times New Roman" w:eastAsia="仿宋" w:cs="Times New Roman"/>
                <w:color w:val="000000"/>
                <w:szCs w:val="21"/>
                <w:highlight w:val="none"/>
                <w:lang w:eastAsia="zh-CN"/>
              </w:rPr>
              <w:t>≤</w:t>
            </w:r>
            <w:r>
              <w:rPr>
                <w:rFonts w:ascii="Times New Roman" w:hAnsi="Times New Roman" w:eastAsia="仿宋" w:cs="Times New Roman"/>
                <w:color w:val="000000"/>
                <w:szCs w:val="21"/>
                <w:highlight w:val="none"/>
                <w:lang w:eastAsia="zh-CN"/>
              </w:rPr>
              <w:t>800ml的肺脏移植手术例数（包括未输血例数）占同期肺脏移植手术例数的比例。</w:t>
            </w:r>
          </w:p>
        </w:tc>
      </w:tr>
      <w:tr w14:paraId="7E751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C4E5C29">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5D8196F1">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7E5D1B2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5.2.6.3术后出院前感染发生率</w:t>
            </w:r>
          </w:p>
        </w:tc>
        <w:tc>
          <w:tcPr>
            <w:tcW w:w="2299" w:type="pct"/>
            <w:vAlign w:val="center"/>
          </w:tcPr>
          <w:p w14:paraId="39F3921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肺脏移植术后至出院前发生感染的人数占同期肺脏移植总人数的比例。</w:t>
            </w:r>
          </w:p>
        </w:tc>
      </w:tr>
      <w:tr w14:paraId="71A4F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779465E6">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5A22C9FD">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4F298733">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5.2.6.4围术期</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30天</w:t>
            </w:r>
            <w:r>
              <w:rPr>
                <w:rFonts w:hint="eastAsia" w:ascii="Times New Roman" w:hAnsi="Times New Roman" w:eastAsia="仿宋" w:cs="Times New Roman"/>
                <w:color w:val="000000"/>
                <w:szCs w:val="21"/>
                <w:highlight w:val="none"/>
              </w:rPr>
              <w:t>）</w:t>
            </w:r>
            <w:r>
              <w:rPr>
                <w:rFonts w:ascii="Times New Roman" w:hAnsi="Times New Roman" w:eastAsia="仿宋" w:cs="Times New Roman"/>
                <w:color w:val="000000"/>
                <w:szCs w:val="21"/>
                <w:highlight w:val="none"/>
              </w:rPr>
              <w:t>存活率</w:t>
            </w:r>
          </w:p>
        </w:tc>
        <w:tc>
          <w:tcPr>
            <w:tcW w:w="2299" w:type="pct"/>
            <w:vAlign w:val="center"/>
          </w:tcPr>
          <w:p w14:paraId="0640BCB6">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肺脏移植术后（30天）随访（失访者按未存活统计）尚存活的肺脏移植患者数占同期肺脏移植总人数的比例。</w:t>
            </w:r>
          </w:p>
        </w:tc>
      </w:tr>
      <w:tr w14:paraId="072F8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restart"/>
            <w:vAlign w:val="center"/>
          </w:tcPr>
          <w:p w14:paraId="6979254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5.3消化内镜诊疗技术医疗质量控制指标</w:t>
            </w:r>
          </w:p>
        </w:tc>
        <w:tc>
          <w:tcPr>
            <w:tcW w:w="997" w:type="pct"/>
            <w:vMerge w:val="restart"/>
            <w:vAlign w:val="center"/>
          </w:tcPr>
          <w:p w14:paraId="40A05C2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5.3.1消化内镜诊疗技术医疗质量控制指标</w:t>
            </w:r>
          </w:p>
        </w:tc>
        <w:tc>
          <w:tcPr>
            <w:tcW w:w="1160" w:type="pct"/>
            <w:vAlign w:val="center"/>
          </w:tcPr>
          <w:p w14:paraId="0F994ABC">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5.3.1.1食管癌早期诊断率</w:t>
            </w:r>
          </w:p>
        </w:tc>
        <w:tc>
          <w:tcPr>
            <w:tcW w:w="2299" w:type="pct"/>
            <w:vAlign w:val="center"/>
          </w:tcPr>
          <w:p w14:paraId="7B8C987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单位时间内上消化道内镜检查发现早期食管癌患者/同期上消化道内镜检查发现食管癌患者总数</w:t>
            </w:r>
            <w:r>
              <w:rPr>
                <w:rFonts w:hint="eastAsia" w:ascii="Times New Roman" w:hAnsi="Times New Roman" w:eastAsia="仿宋" w:cs="Times New Roman"/>
                <w:color w:val="000000"/>
                <w:szCs w:val="21"/>
                <w:highlight w:val="none"/>
                <w:lang w:eastAsia="zh-CN"/>
              </w:rPr>
              <w:t>。</w:t>
            </w:r>
          </w:p>
        </w:tc>
      </w:tr>
      <w:tr w14:paraId="38A92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663749E5">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72EEBB0">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3DBEB84A">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5.3.1.2结肠镜检查肠道准备优良率</w:t>
            </w:r>
          </w:p>
        </w:tc>
        <w:tc>
          <w:tcPr>
            <w:tcW w:w="2299" w:type="pct"/>
            <w:vAlign w:val="center"/>
          </w:tcPr>
          <w:p w14:paraId="39F79A7E">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单位时间内，肠道准备优良的结肠镜检查例次数占同期结肠镜检查总例次数的比例</w:t>
            </w:r>
            <w:r>
              <w:rPr>
                <w:rFonts w:hint="eastAsia" w:ascii="Times New Roman" w:hAnsi="Times New Roman" w:eastAsia="仿宋" w:cs="Times New Roman"/>
                <w:color w:val="000000"/>
                <w:szCs w:val="21"/>
                <w:highlight w:val="none"/>
                <w:lang w:eastAsia="zh-CN"/>
              </w:rPr>
              <w:t>。</w:t>
            </w:r>
          </w:p>
        </w:tc>
      </w:tr>
      <w:tr w14:paraId="6ECFF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5563CB2F">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3A8722A1">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6C4E63D5">
            <w:pPr>
              <w:textAlignment w:val="center"/>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5.3.1.3结直肠腺瘤检出率</w:t>
            </w:r>
          </w:p>
        </w:tc>
        <w:tc>
          <w:tcPr>
            <w:tcW w:w="2299" w:type="pct"/>
            <w:vAlign w:val="center"/>
          </w:tcPr>
          <w:p w14:paraId="46F30F37">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单位时间内，至少检出一枚结直肠腺瘤的结肠镜检查患者数占同期结肠镜检查患者总数的比例</w:t>
            </w:r>
            <w:r>
              <w:rPr>
                <w:rFonts w:hint="eastAsia" w:ascii="Times New Roman" w:hAnsi="Times New Roman" w:eastAsia="仿宋" w:cs="Times New Roman"/>
                <w:color w:val="000000"/>
                <w:szCs w:val="21"/>
                <w:highlight w:val="none"/>
                <w:lang w:eastAsia="zh-CN"/>
              </w:rPr>
              <w:t>。</w:t>
            </w:r>
          </w:p>
        </w:tc>
      </w:tr>
      <w:tr w14:paraId="31FA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39BA6B44">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4FEF7F19">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7F3D4F00">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5.3.1.4消化道早癌粘膜下剥离术（ESD）完整切除率</w:t>
            </w:r>
          </w:p>
        </w:tc>
        <w:tc>
          <w:tcPr>
            <w:tcW w:w="2299" w:type="pct"/>
            <w:vAlign w:val="center"/>
          </w:tcPr>
          <w:p w14:paraId="45CE846C">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单位时间内，消化道早癌ESD完整切除的例次数占同期消化道早癌ESD总例次数的比例</w:t>
            </w:r>
            <w:r>
              <w:rPr>
                <w:rFonts w:hint="eastAsia" w:ascii="Times New Roman" w:hAnsi="Times New Roman" w:eastAsia="仿宋" w:cs="Times New Roman"/>
                <w:color w:val="000000"/>
                <w:szCs w:val="21"/>
                <w:highlight w:val="none"/>
                <w:lang w:eastAsia="zh-CN"/>
              </w:rPr>
              <w:t>。</w:t>
            </w:r>
          </w:p>
        </w:tc>
      </w:tr>
      <w:tr w14:paraId="4883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542" w:type="pct"/>
            <w:vMerge w:val="continue"/>
            <w:vAlign w:val="center"/>
          </w:tcPr>
          <w:p w14:paraId="11A84E7E">
            <w:pPr>
              <w:textAlignment w:val="center"/>
              <w:rPr>
                <w:rFonts w:ascii="Times New Roman" w:hAnsi="Times New Roman" w:eastAsia="仿宋" w:cs="Times New Roman"/>
                <w:color w:val="000000"/>
                <w:szCs w:val="21"/>
                <w:highlight w:val="none"/>
                <w:lang w:eastAsia="zh-CN"/>
              </w:rPr>
            </w:pPr>
          </w:p>
        </w:tc>
        <w:tc>
          <w:tcPr>
            <w:tcW w:w="997" w:type="pct"/>
            <w:vMerge w:val="continue"/>
            <w:vAlign w:val="center"/>
          </w:tcPr>
          <w:p w14:paraId="22AE6498">
            <w:pPr>
              <w:textAlignment w:val="center"/>
              <w:rPr>
                <w:rFonts w:ascii="Times New Roman" w:hAnsi="Times New Roman" w:eastAsia="仿宋" w:cs="Times New Roman"/>
                <w:color w:val="000000"/>
                <w:szCs w:val="21"/>
                <w:highlight w:val="none"/>
                <w:lang w:eastAsia="zh-CN"/>
              </w:rPr>
            </w:pPr>
          </w:p>
        </w:tc>
        <w:tc>
          <w:tcPr>
            <w:tcW w:w="1160" w:type="pct"/>
            <w:vAlign w:val="center"/>
          </w:tcPr>
          <w:p w14:paraId="1B448318">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5.3.1.5 内镜下逆行胰胆管造影术（ERCP）选择性深插管成功率</w:t>
            </w:r>
          </w:p>
        </w:tc>
        <w:tc>
          <w:tcPr>
            <w:tcW w:w="2299" w:type="pct"/>
            <w:vAlign w:val="center"/>
          </w:tcPr>
          <w:p w14:paraId="42072602">
            <w:pPr>
              <w:textAlignment w:val="center"/>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单位时间内，ERCP选择性深插管成功的例次数占同期ERCP总例次数的比例</w:t>
            </w:r>
            <w:r>
              <w:rPr>
                <w:rFonts w:hint="eastAsia" w:ascii="Times New Roman" w:hAnsi="Times New Roman" w:eastAsia="仿宋" w:cs="Times New Roman"/>
                <w:color w:val="000000"/>
                <w:szCs w:val="21"/>
                <w:highlight w:val="none"/>
                <w:lang w:eastAsia="zh-CN"/>
              </w:rPr>
              <w:t>。</w:t>
            </w:r>
          </w:p>
        </w:tc>
      </w:tr>
    </w:tbl>
    <w:p w14:paraId="23136235">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3142F2E0">
      <w:pPr>
        <w:spacing w:line="240" w:lineRule="auto"/>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r>
    </w:p>
    <w:p w14:paraId="34C3EE4E">
      <w:pPr>
        <w:spacing w:line="50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附件2服务类项目履约验收方案</w:t>
      </w:r>
      <w:r>
        <w:rPr>
          <w:rFonts w:hint="eastAsia" w:ascii="宋体" w:hAnsi="宋体" w:eastAsia="宋体" w:cs="宋体"/>
          <w:sz w:val="24"/>
          <w:szCs w:val="24"/>
          <w:highlight w:val="none"/>
          <w:lang w:eastAsia="zh-CN"/>
        </w:rPr>
        <w:t>（模板，具体验收方案以本项目管理考核办法为准）</w:t>
      </w:r>
    </w:p>
    <w:p w14:paraId="1D93E608">
      <w:pPr>
        <w:pStyle w:val="201"/>
        <w:spacing w:line="500" w:lineRule="exact"/>
        <w:rPr>
          <w:rFonts w:ascii="宋体" w:hAnsi="宋体" w:eastAsia="宋体" w:cs="宋体"/>
          <w:sz w:val="24"/>
          <w:szCs w:val="24"/>
          <w:highlight w:val="none"/>
          <w:lang w:eastAsia="zh-CN"/>
        </w:rPr>
      </w:pPr>
    </w:p>
    <w:p w14:paraId="053109C2">
      <w:pPr>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一、项目概况</w:t>
      </w:r>
    </w:p>
    <w:p w14:paraId="29F34BFC">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p>
    <w:p w14:paraId="3D9EAE5A">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p w14:paraId="62D86EA1">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供应商名称：</w:t>
      </w:r>
    </w:p>
    <w:p w14:paraId="170D0F31">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合同金额：</w:t>
      </w:r>
    </w:p>
    <w:p w14:paraId="79EBA26F">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验收主体：</w:t>
      </w:r>
    </w:p>
    <w:p w14:paraId="5F3BA4EF">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二、验收目的</w:t>
      </w:r>
    </w:p>
    <w:p w14:paraId="00706BF5">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481CF6D8">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三、验收依据</w:t>
      </w:r>
    </w:p>
    <w:p w14:paraId="3CC3A68E">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2F6089F1">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四、验收责任主体</w:t>
      </w:r>
    </w:p>
    <w:p w14:paraId="7F89EC6E">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0D724B98">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五、验收准备</w:t>
      </w:r>
    </w:p>
    <w:p w14:paraId="4D2B009D">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5.1、验收准备</w:t>
      </w:r>
    </w:p>
    <w:p w14:paraId="061A232A">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5.1.1、政府采购合同约定的履约验收条件达到，采购人应当在5个工作 日内启动履约验收工作，并向供应商发出政府采购履约验收通知单。</w:t>
      </w:r>
    </w:p>
    <w:p w14:paraId="3BE3CB0A">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37599528">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5.2、验收小组</w:t>
      </w:r>
    </w:p>
    <w:p w14:paraId="45493F02">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1C12D1B1">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398DFCC2">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5.3、参与验收人员</w:t>
      </w:r>
    </w:p>
    <w:p w14:paraId="564E34ED">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5.3.1、技术复杂或专业性强的政府采购项目，可以邀请有资质的第三方专业机构参加验收并出具专业意见。</w:t>
      </w:r>
    </w:p>
    <w:p w14:paraId="3866D4FD">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5.3.2、对于采购人和使用人分离的采购项目，采购人或其委托的采购代理机构应当邀请实际使用人参与验收。</w:t>
      </w:r>
    </w:p>
    <w:p w14:paraId="4726C791">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5.3.3、政府向社会公众提供的公共服务项目，验收时应当邀请服务对象进行公共服务项目满意度评价，评价结果作为履约验收的参考依据。</w:t>
      </w:r>
    </w:p>
    <w:p w14:paraId="4BECFBCF">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六、验收方式(形式)</w:t>
      </w:r>
    </w:p>
    <w:p w14:paraId="4BE99AF7">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6.1、日常考核、分段验收</w:t>
      </w:r>
    </w:p>
    <w:p w14:paraId="17D14442">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1551D094">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七、验收内容：</w:t>
      </w:r>
    </w:p>
    <w:p w14:paraId="34C67107">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7.1、验收内容</w:t>
      </w:r>
    </w:p>
    <w:p w14:paraId="17A7B1DF">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p>
    <w:p w14:paraId="34DF5D7D">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7.1.2、项目验收范围应当完整，与采购合同一致，不得省略、遗漏和缺失，也不得擅自扩大范围。</w:t>
      </w:r>
    </w:p>
    <w:p w14:paraId="376FC929">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2EF5951C">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7.1.4、项目验收意见应当客观真实。验收小组成员意见不一致时，按照少数服从多数的原则作出验收意见。</w:t>
      </w:r>
    </w:p>
    <w:p w14:paraId="6124DB56">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7.2、验收记录</w:t>
      </w:r>
    </w:p>
    <w:p w14:paraId="3C895056">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7.2.1、验收小组应当要求参与验收的供应商、专业机构、专家和服务对象等出具书面意见，作为验收书的重要组成部分。</w:t>
      </w:r>
    </w:p>
    <w:p w14:paraId="51ABF12B">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2E2BB244">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5B59A34A">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八、验收结果</w:t>
      </w:r>
    </w:p>
    <w:p w14:paraId="6D11E262">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27ED9044">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8.2项目履约验收合格的，采购人应当根据政府采购合同约定及时向供应商支付采购资金、退还履约保证金，不得拖延、拖欠或非法扣留。</w:t>
      </w:r>
    </w:p>
    <w:p w14:paraId="0F49D3B0">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8.3项目验收不合格的，采购人应当停止支付采购资金，并按照政府采购合同约定追究供应商违约责任。</w:t>
      </w:r>
    </w:p>
    <w:p w14:paraId="4538B72F">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8.4涉及分期（分段）验收的项目，采购人应当开展阶段性验收，并出具阶段性验收意见，最后形成总验收意见。</w:t>
      </w:r>
    </w:p>
    <w:p w14:paraId="1FC6C57C">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九、验收资料归档</w:t>
      </w:r>
    </w:p>
    <w:p w14:paraId="0915CA28">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5255ACDE">
      <w:pPr>
        <w:pStyle w:val="201"/>
        <w:spacing w:line="460" w:lineRule="exact"/>
        <w:rPr>
          <w:rFonts w:ascii="宋体" w:hAnsi="宋体" w:eastAsia="宋体" w:cs="宋体"/>
          <w:spacing w:val="9"/>
          <w:sz w:val="24"/>
          <w:szCs w:val="24"/>
          <w:highlight w:val="none"/>
          <w:lang w:eastAsia="zh-CN"/>
        </w:rPr>
      </w:pPr>
    </w:p>
    <w:p w14:paraId="658043F5">
      <w:pPr>
        <w:pStyle w:val="201"/>
        <w:spacing w:line="460" w:lineRule="exact"/>
        <w:rPr>
          <w:rFonts w:ascii="宋体" w:hAnsi="宋体" w:eastAsia="宋体" w:cs="宋体"/>
          <w:spacing w:val="9"/>
          <w:sz w:val="24"/>
          <w:szCs w:val="24"/>
          <w:highlight w:val="none"/>
          <w:lang w:eastAsia="zh-CN"/>
        </w:rPr>
      </w:pPr>
    </w:p>
    <w:p w14:paraId="750AF35C">
      <w:pPr>
        <w:pStyle w:val="201"/>
        <w:spacing w:line="460" w:lineRule="exact"/>
        <w:rPr>
          <w:rFonts w:ascii="宋体" w:hAnsi="宋体" w:eastAsia="宋体" w:cs="宋体"/>
          <w:spacing w:val="9"/>
          <w:sz w:val="24"/>
          <w:szCs w:val="24"/>
          <w:highlight w:val="none"/>
          <w:lang w:eastAsia="zh-CN"/>
        </w:rPr>
      </w:pPr>
    </w:p>
    <w:p w14:paraId="1243AA2E">
      <w:pPr>
        <w:pStyle w:val="201"/>
        <w:spacing w:line="460" w:lineRule="exact"/>
        <w:rPr>
          <w:rFonts w:ascii="宋体" w:hAnsi="宋体" w:eastAsia="宋体" w:cs="宋体"/>
          <w:spacing w:val="9"/>
          <w:sz w:val="24"/>
          <w:szCs w:val="24"/>
          <w:highlight w:val="none"/>
          <w:lang w:eastAsia="zh-CN"/>
        </w:rPr>
      </w:pPr>
    </w:p>
    <w:p w14:paraId="48C5DF4A">
      <w:pPr>
        <w:pStyle w:val="201"/>
        <w:spacing w:line="460" w:lineRule="exact"/>
        <w:rPr>
          <w:rFonts w:ascii="宋体" w:hAnsi="宋体" w:eastAsia="宋体" w:cs="宋体"/>
          <w:spacing w:val="9"/>
          <w:sz w:val="24"/>
          <w:szCs w:val="24"/>
          <w:highlight w:val="none"/>
          <w:lang w:eastAsia="zh-CN"/>
        </w:rPr>
      </w:pPr>
    </w:p>
    <w:p w14:paraId="3F9455FA">
      <w:pPr>
        <w:spacing w:after="0" w:line="240" w:lineRule="auto"/>
        <w:rPr>
          <w:rFonts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r>
    </w:p>
    <w:p w14:paraId="741175A2">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highlight w:val="none"/>
          <w:lang w:eastAsia="zh-CN"/>
        </w:rPr>
      </w:pPr>
      <w:r>
        <w:rPr>
          <w:rFonts w:hint="eastAsia" w:ascii="宋体" w:hAnsi="宋体" w:eastAsia="宋体" w:cs="宋体"/>
          <w:b/>
          <w:spacing w:val="9"/>
          <w:sz w:val="36"/>
          <w:szCs w:val="36"/>
          <w:highlight w:val="none"/>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6C83F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4CF081B">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0FCE74B">
            <w:pPr>
              <w:spacing w:line="300" w:lineRule="exact"/>
              <w:jc w:val="center"/>
              <w:rPr>
                <w:rFonts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D10E12B">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6AB297E0">
            <w:pPr>
              <w:spacing w:line="300" w:lineRule="exact"/>
              <w:jc w:val="center"/>
              <w:rPr>
                <w:rFonts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47F7F47">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463F250A">
            <w:pPr>
              <w:spacing w:line="300" w:lineRule="exact"/>
              <w:jc w:val="center"/>
              <w:rPr>
                <w:rFonts w:ascii="宋体" w:hAnsi="宋体" w:eastAsia="宋体" w:cs="宋体"/>
                <w:sz w:val="18"/>
                <w:szCs w:val="18"/>
                <w:highlight w:val="none"/>
                <w:lang w:bidi="ar"/>
              </w:rPr>
            </w:pPr>
          </w:p>
        </w:tc>
      </w:tr>
      <w:tr w14:paraId="2AD6C1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AA02FE6">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FDC8CF7">
            <w:pPr>
              <w:spacing w:line="300" w:lineRule="exact"/>
              <w:jc w:val="center"/>
              <w:rPr>
                <w:rFonts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42BAEA9F">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7F6EF4D1">
            <w:pPr>
              <w:spacing w:line="300" w:lineRule="exact"/>
              <w:jc w:val="center"/>
              <w:rPr>
                <w:rFonts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07222200">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4C5F4AEF">
            <w:pPr>
              <w:spacing w:line="300" w:lineRule="exact"/>
              <w:jc w:val="center"/>
              <w:rPr>
                <w:rFonts w:ascii="宋体" w:hAnsi="宋体" w:eastAsia="宋体" w:cs="宋体"/>
                <w:sz w:val="18"/>
                <w:szCs w:val="18"/>
                <w:highlight w:val="none"/>
                <w:lang w:bidi="ar"/>
              </w:rPr>
            </w:pPr>
          </w:p>
        </w:tc>
      </w:tr>
      <w:tr w14:paraId="7FEA1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3588E08">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628A475E">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020D28EA">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6F604B97">
            <w:pPr>
              <w:spacing w:line="300" w:lineRule="exact"/>
              <w:jc w:val="center"/>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共分   期（段），此为第   期（段）验收</w:t>
            </w:r>
          </w:p>
        </w:tc>
      </w:tr>
      <w:tr w14:paraId="2B254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AF2AB1E">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1BFE16FA">
            <w:pPr>
              <w:spacing w:line="300" w:lineRule="exact"/>
              <w:jc w:val="center"/>
              <w:rPr>
                <w:rFonts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7B4F3AB">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1827A25C">
            <w:pPr>
              <w:spacing w:line="300" w:lineRule="exact"/>
              <w:jc w:val="center"/>
              <w:rPr>
                <w:rFonts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E607B91">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60B0E0C5">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□自行简易验收</w:t>
            </w:r>
          </w:p>
          <w:p w14:paraId="4E31FC61">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□验收小组验收</w:t>
            </w:r>
          </w:p>
          <w:p w14:paraId="4A0B06AD">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3A990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28B1E04F">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47819900">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2B7D6CE7">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3687AE50">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6C92D3F">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260F9260">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5153A4A3">
            <w:pPr>
              <w:spacing w:line="300" w:lineRule="exact"/>
              <w:jc w:val="center"/>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合同履约时间、 地点、方式</w:t>
            </w:r>
          </w:p>
        </w:tc>
      </w:tr>
      <w:tr w14:paraId="1C5E7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264E4BD2">
            <w:pPr>
              <w:spacing w:line="300" w:lineRule="exact"/>
              <w:jc w:val="center"/>
              <w:rPr>
                <w:rFonts w:ascii="宋体" w:hAnsi="宋体" w:eastAsia="宋体" w:cs="宋体"/>
                <w:sz w:val="18"/>
                <w:szCs w:val="18"/>
                <w:highlight w:val="none"/>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7920041E">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B425695">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258F2265">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48E2B6A6">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776B34F7">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C65179D">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07850D3B">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2393A342">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BE8B6C3">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48E12F4D">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30D57D57">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5132180">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48346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59433B8">
            <w:pPr>
              <w:spacing w:line="300" w:lineRule="exact"/>
              <w:jc w:val="center"/>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218EB7B">
            <w:pPr>
              <w:spacing w:line="300" w:lineRule="exact"/>
              <w:jc w:val="center"/>
              <w:rPr>
                <w:rFonts w:ascii="宋体" w:hAnsi="宋体" w:eastAsia="宋体" w:cs="宋体"/>
                <w:sz w:val="18"/>
                <w:szCs w:val="18"/>
                <w:highlight w:val="none"/>
                <w:lang w:eastAsia="zh-CN" w:bidi="ar"/>
              </w:rPr>
            </w:pPr>
          </w:p>
        </w:tc>
      </w:tr>
      <w:tr w14:paraId="18DE9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8987299">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4CE54622">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C99311C">
            <w:pPr>
              <w:spacing w:line="300" w:lineRule="exact"/>
              <w:jc w:val="center"/>
              <w:rPr>
                <w:rFonts w:ascii="宋体" w:hAnsi="宋体" w:eastAsia="宋体" w:cs="宋体"/>
                <w:sz w:val="18"/>
                <w:szCs w:val="18"/>
                <w:highlight w:val="none"/>
                <w:lang w:bidi="ar"/>
              </w:rPr>
            </w:pPr>
          </w:p>
        </w:tc>
      </w:tr>
      <w:tr w14:paraId="320FC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CDFF6C1">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4BB06399">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33632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82E4BFE">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25F5CFAD">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4DF3EF5F">
            <w:pPr>
              <w:spacing w:line="300" w:lineRule="exact"/>
              <w:jc w:val="center"/>
              <w:rPr>
                <w:rFonts w:ascii="宋体" w:hAnsi="宋体" w:eastAsia="宋体" w:cs="宋体"/>
                <w:sz w:val="18"/>
                <w:szCs w:val="18"/>
                <w:highlight w:val="none"/>
                <w:lang w:bidi="ar"/>
              </w:rPr>
            </w:pPr>
          </w:p>
        </w:tc>
      </w:tr>
      <w:tr w14:paraId="7B699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55F3732A">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53C94929">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30C08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0F6936F3">
            <w:pPr>
              <w:spacing w:line="300" w:lineRule="exact"/>
              <w:rPr>
                <w:rFonts w:ascii="宋体" w:hAnsi="宋体" w:eastAsia="宋体" w:cs="宋体"/>
                <w:sz w:val="18"/>
                <w:szCs w:val="18"/>
                <w:highlight w:val="none"/>
                <w:lang w:eastAsia="zh-CN" w:bidi="ar"/>
              </w:rPr>
            </w:pPr>
          </w:p>
          <w:p w14:paraId="6665B90D">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554B10F0">
            <w:pPr>
              <w:spacing w:line="300" w:lineRule="exact"/>
              <w:rPr>
                <w:rFonts w:ascii="宋体" w:hAnsi="宋体" w:eastAsia="宋体" w:cs="宋体"/>
                <w:sz w:val="18"/>
                <w:szCs w:val="18"/>
                <w:highlight w:val="none"/>
                <w:lang w:eastAsia="zh-CN" w:bidi="ar"/>
              </w:rPr>
            </w:pPr>
          </w:p>
          <w:p w14:paraId="36FF7098">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（采购人公章）</w:t>
            </w:r>
          </w:p>
        </w:tc>
      </w:tr>
      <w:tr w14:paraId="138308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47C4088C">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供应商确认：</w:t>
            </w:r>
          </w:p>
          <w:p w14:paraId="493D246F">
            <w:pPr>
              <w:spacing w:line="300" w:lineRule="exact"/>
              <w:rPr>
                <w:rFonts w:ascii="宋体" w:hAnsi="宋体" w:eastAsia="宋体" w:cs="宋体"/>
                <w:sz w:val="18"/>
                <w:szCs w:val="18"/>
                <w:highlight w:val="none"/>
                <w:lang w:eastAsia="zh-CN" w:bidi="ar"/>
              </w:rPr>
            </w:pPr>
          </w:p>
          <w:p w14:paraId="384F293D">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（单位公章或授权代表签字）</w:t>
            </w:r>
          </w:p>
        </w:tc>
      </w:tr>
    </w:tbl>
    <w:p w14:paraId="237A2CE4">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tbl>
      <w:tblPr>
        <w:tblStyle w:val="45"/>
        <w:tblW w:w="4714" w:type="pct"/>
        <w:tblInd w:w="174" w:type="dxa"/>
        <w:tblLayout w:type="autofit"/>
        <w:tblCellMar>
          <w:top w:w="0" w:type="dxa"/>
          <w:left w:w="108" w:type="dxa"/>
          <w:bottom w:w="0" w:type="dxa"/>
          <w:right w:w="108" w:type="dxa"/>
        </w:tblCellMar>
      </w:tblPr>
      <w:tblGrid>
        <w:gridCol w:w="3757"/>
        <w:gridCol w:w="734"/>
        <w:gridCol w:w="2595"/>
        <w:gridCol w:w="1734"/>
      </w:tblGrid>
      <w:tr w14:paraId="11B3F87D">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373B11C0">
            <w:pPr>
              <w:jc w:val="center"/>
              <w:textAlignment w:val="center"/>
              <w:rPr>
                <w:rFonts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政府采购履约验收通知单</w:t>
            </w:r>
          </w:p>
        </w:tc>
      </w:tr>
      <w:tr w14:paraId="42E8E189">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noWrap/>
            <w:vAlign w:val="center"/>
          </w:tcPr>
          <w:p w14:paraId="7F3F569E">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供应商：</w:t>
            </w:r>
          </w:p>
        </w:tc>
        <w:tc>
          <w:tcPr>
            <w:tcW w:w="416" w:type="pct"/>
            <w:tcBorders>
              <w:top w:val="nil"/>
              <w:left w:val="nil"/>
              <w:bottom w:val="nil"/>
              <w:right w:val="nil"/>
            </w:tcBorders>
            <w:noWrap/>
            <w:vAlign w:val="center"/>
          </w:tcPr>
          <w:p w14:paraId="2B31966F">
            <w:pPr>
              <w:jc w:val="center"/>
              <w:rPr>
                <w:rFonts w:ascii="宋体" w:hAnsi="宋体" w:eastAsia="宋体" w:cs="宋体"/>
                <w:sz w:val="24"/>
                <w:szCs w:val="24"/>
                <w:highlight w:val="none"/>
              </w:rPr>
            </w:pPr>
          </w:p>
        </w:tc>
        <w:tc>
          <w:tcPr>
            <w:tcW w:w="1471" w:type="pct"/>
            <w:tcBorders>
              <w:top w:val="nil"/>
              <w:left w:val="nil"/>
              <w:bottom w:val="nil"/>
              <w:right w:val="nil"/>
            </w:tcBorders>
            <w:noWrap/>
            <w:vAlign w:val="center"/>
          </w:tcPr>
          <w:p w14:paraId="36C6E8B8">
            <w:pPr>
              <w:jc w:val="center"/>
              <w:rPr>
                <w:rFonts w:ascii="宋体" w:hAnsi="宋体" w:eastAsia="宋体" w:cs="宋体"/>
                <w:sz w:val="24"/>
                <w:szCs w:val="24"/>
                <w:highlight w:val="none"/>
              </w:rPr>
            </w:pPr>
          </w:p>
        </w:tc>
        <w:tc>
          <w:tcPr>
            <w:tcW w:w="981" w:type="pct"/>
            <w:tcBorders>
              <w:top w:val="nil"/>
              <w:left w:val="nil"/>
              <w:bottom w:val="nil"/>
              <w:right w:val="nil"/>
            </w:tcBorders>
            <w:noWrap/>
            <w:vAlign w:val="center"/>
          </w:tcPr>
          <w:p w14:paraId="4C50E33F">
            <w:pPr>
              <w:jc w:val="center"/>
              <w:rPr>
                <w:rFonts w:ascii="宋体" w:hAnsi="宋体" w:eastAsia="宋体" w:cs="宋体"/>
                <w:sz w:val="24"/>
                <w:szCs w:val="24"/>
                <w:highlight w:val="none"/>
              </w:rPr>
            </w:pPr>
          </w:p>
        </w:tc>
      </w:tr>
      <w:tr w14:paraId="35914628">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51467EDA">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24C9F5DB">
            <w:pPr>
              <w:jc w:val="center"/>
              <w:rPr>
                <w:rFonts w:ascii="宋体" w:hAnsi="宋体" w:eastAsia="宋体" w:cs="宋体"/>
                <w:sz w:val="24"/>
                <w:szCs w:val="24"/>
                <w:highlight w:val="none"/>
              </w:rPr>
            </w:pPr>
          </w:p>
        </w:tc>
      </w:tr>
      <w:tr w14:paraId="76379783">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6941FE5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2191113B">
            <w:pPr>
              <w:jc w:val="center"/>
              <w:rPr>
                <w:rFonts w:ascii="宋体" w:hAnsi="宋体" w:eastAsia="宋体" w:cs="宋体"/>
                <w:sz w:val="24"/>
                <w:szCs w:val="24"/>
                <w:highlight w:val="none"/>
              </w:rPr>
            </w:pPr>
          </w:p>
        </w:tc>
      </w:tr>
      <w:tr w14:paraId="7E844882">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14AC4FD4">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5253BDDA">
            <w:pPr>
              <w:jc w:val="center"/>
              <w:rPr>
                <w:rFonts w:ascii="宋体" w:hAnsi="宋体" w:eastAsia="宋体" w:cs="宋体"/>
                <w:sz w:val="24"/>
                <w:szCs w:val="24"/>
                <w:highlight w:val="none"/>
              </w:rPr>
            </w:pPr>
          </w:p>
        </w:tc>
      </w:tr>
      <w:tr w14:paraId="572D091A">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5B65D16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358DC232">
            <w:pPr>
              <w:jc w:val="center"/>
              <w:rPr>
                <w:rFonts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4DD1B49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721A705C">
            <w:pPr>
              <w:jc w:val="center"/>
              <w:rPr>
                <w:rFonts w:ascii="宋体" w:hAnsi="宋体" w:eastAsia="宋体" w:cs="宋体"/>
                <w:sz w:val="24"/>
                <w:szCs w:val="24"/>
                <w:highlight w:val="none"/>
              </w:rPr>
            </w:pPr>
          </w:p>
        </w:tc>
      </w:tr>
      <w:tr w14:paraId="5B3441B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59023EA">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1648AE37">
            <w:pPr>
              <w:jc w:val="center"/>
              <w:rPr>
                <w:rFonts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5C52DB2D">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70EB4973">
            <w:pPr>
              <w:jc w:val="center"/>
              <w:rPr>
                <w:rFonts w:ascii="宋体" w:hAnsi="宋体" w:eastAsia="宋体" w:cs="宋体"/>
                <w:sz w:val="24"/>
                <w:szCs w:val="24"/>
                <w:highlight w:val="none"/>
              </w:rPr>
            </w:pPr>
          </w:p>
        </w:tc>
      </w:tr>
      <w:tr w14:paraId="2856070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5BAB8C5">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53572FF1">
            <w:pPr>
              <w:jc w:val="center"/>
              <w:rPr>
                <w:rFonts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7CF6D78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46A7F887">
            <w:pPr>
              <w:jc w:val="center"/>
              <w:rPr>
                <w:rFonts w:ascii="宋体" w:hAnsi="宋体" w:eastAsia="宋体" w:cs="宋体"/>
                <w:sz w:val="24"/>
                <w:szCs w:val="24"/>
                <w:highlight w:val="none"/>
              </w:rPr>
            </w:pPr>
          </w:p>
        </w:tc>
      </w:tr>
      <w:tr w14:paraId="543A0A33">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3F13DE89">
            <w:pPr>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履约验收方案及工作要求</w:t>
            </w:r>
          </w:p>
        </w:tc>
      </w:tr>
      <w:tr w14:paraId="2CFE91FD">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09CD42F9">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p>
          <w:p w14:paraId="28571F0E">
            <w:pPr>
              <w:jc w:val="center"/>
              <w:textAlignment w:val="center"/>
              <w:rPr>
                <w:rFonts w:ascii="宋体" w:hAnsi="宋体" w:eastAsia="宋体" w:cs="宋体"/>
                <w:sz w:val="24"/>
                <w:szCs w:val="24"/>
                <w:highlight w:val="none"/>
                <w:lang w:eastAsia="zh-CN" w:bidi="ar"/>
              </w:rPr>
            </w:pPr>
          </w:p>
          <w:p w14:paraId="45155EF5">
            <w:pPr>
              <w:jc w:val="center"/>
              <w:textAlignment w:val="center"/>
              <w:rPr>
                <w:rFonts w:ascii="宋体" w:hAnsi="宋体" w:eastAsia="宋体" w:cs="宋体"/>
                <w:sz w:val="24"/>
                <w:szCs w:val="24"/>
                <w:highlight w:val="none"/>
                <w:lang w:eastAsia="zh-CN" w:bidi="ar"/>
              </w:rPr>
            </w:pPr>
          </w:p>
          <w:p w14:paraId="7BA333C8">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p>
          <w:p w14:paraId="0E1EA80D">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年 月 日</w:t>
            </w:r>
          </w:p>
        </w:tc>
      </w:tr>
      <w:tr w14:paraId="004A553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8736DC8">
            <w:pPr>
              <w:jc w:val="center"/>
              <w:rPr>
                <w:rFonts w:ascii="宋体" w:hAnsi="宋体" w:eastAsia="宋体" w:cs="宋体"/>
                <w:sz w:val="24"/>
                <w:szCs w:val="24"/>
                <w:highlight w:val="none"/>
              </w:rPr>
            </w:pPr>
          </w:p>
        </w:tc>
      </w:tr>
      <w:tr w14:paraId="7A14656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F5977A8">
            <w:pPr>
              <w:jc w:val="center"/>
              <w:rPr>
                <w:rFonts w:ascii="宋体" w:hAnsi="宋体" w:eastAsia="宋体" w:cs="宋体"/>
                <w:sz w:val="24"/>
                <w:szCs w:val="24"/>
                <w:highlight w:val="none"/>
              </w:rPr>
            </w:pPr>
          </w:p>
        </w:tc>
      </w:tr>
      <w:tr w14:paraId="6E4C5E3A">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71FA00F">
            <w:pPr>
              <w:jc w:val="center"/>
              <w:rPr>
                <w:rFonts w:ascii="宋体" w:hAnsi="宋体" w:eastAsia="宋体" w:cs="宋体"/>
                <w:sz w:val="24"/>
                <w:szCs w:val="24"/>
                <w:highlight w:val="none"/>
              </w:rPr>
            </w:pPr>
          </w:p>
        </w:tc>
      </w:tr>
      <w:tr w14:paraId="25AAB852">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8F88958">
            <w:pPr>
              <w:jc w:val="center"/>
              <w:rPr>
                <w:rFonts w:ascii="宋体" w:hAnsi="宋体" w:eastAsia="宋体" w:cs="宋体"/>
                <w:sz w:val="24"/>
                <w:szCs w:val="24"/>
                <w:highlight w:val="none"/>
              </w:rPr>
            </w:pPr>
          </w:p>
        </w:tc>
      </w:tr>
      <w:tr w14:paraId="79B2DBC2">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130254E">
            <w:pPr>
              <w:jc w:val="center"/>
              <w:rPr>
                <w:rFonts w:ascii="宋体" w:hAnsi="宋体" w:eastAsia="宋体" w:cs="宋体"/>
                <w:sz w:val="24"/>
                <w:szCs w:val="24"/>
                <w:highlight w:val="none"/>
              </w:rPr>
            </w:pPr>
          </w:p>
        </w:tc>
      </w:tr>
      <w:tr w14:paraId="39DA68B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B5C8E50">
            <w:pPr>
              <w:jc w:val="center"/>
              <w:rPr>
                <w:rFonts w:ascii="宋体" w:hAnsi="宋体" w:eastAsia="宋体" w:cs="宋体"/>
                <w:sz w:val="24"/>
                <w:szCs w:val="24"/>
                <w:highlight w:val="none"/>
              </w:rPr>
            </w:pPr>
          </w:p>
        </w:tc>
      </w:tr>
      <w:tr w14:paraId="7FFC070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0AB74FB">
            <w:pPr>
              <w:jc w:val="center"/>
              <w:rPr>
                <w:rFonts w:ascii="宋体" w:hAnsi="宋体" w:eastAsia="宋体" w:cs="宋体"/>
                <w:sz w:val="24"/>
                <w:szCs w:val="24"/>
                <w:highlight w:val="none"/>
              </w:rPr>
            </w:pPr>
          </w:p>
        </w:tc>
      </w:tr>
      <w:tr w14:paraId="2007F2E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0DCCE1D">
            <w:pPr>
              <w:jc w:val="center"/>
              <w:rPr>
                <w:rFonts w:ascii="宋体" w:hAnsi="宋体" w:eastAsia="宋体" w:cs="宋体"/>
                <w:sz w:val="24"/>
                <w:szCs w:val="24"/>
                <w:highlight w:val="none"/>
              </w:rPr>
            </w:pPr>
          </w:p>
        </w:tc>
      </w:tr>
      <w:tr w14:paraId="4267420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007ACF4">
            <w:pPr>
              <w:jc w:val="center"/>
              <w:rPr>
                <w:rFonts w:ascii="宋体" w:hAnsi="宋体" w:eastAsia="宋体" w:cs="宋体"/>
                <w:sz w:val="24"/>
                <w:szCs w:val="24"/>
                <w:highlight w:val="none"/>
              </w:rPr>
            </w:pPr>
          </w:p>
        </w:tc>
      </w:tr>
      <w:tr w14:paraId="1263104E">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3C8E25C">
            <w:pPr>
              <w:jc w:val="center"/>
              <w:rPr>
                <w:rFonts w:ascii="宋体" w:hAnsi="宋体" w:eastAsia="宋体" w:cs="宋体"/>
                <w:sz w:val="24"/>
                <w:szCs w:val="24"/>
                <w:highlight w:val="none"/>
              </w:rPr>
            </w:pPr>
          </w:p>
        </w:tc>
      </w:tr>
    </w:tbl>
    <w:p w14:paraId="417FBAE0">
      <w:pPr>
        <w:rPr>
          <w:rFonts w:ascii="宋体" w:hAnsi="宋体" w:eastAsia="宋体" w:cs="宋体"/>
          <w:highlight w:val="none"/>
          <w:lang w:eastAsia="zh-CN"/>
        </w:rPr>
      </w:pPr>
    </w:p>
    <w:p w14:paraId="723FC0F1">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p w14:paraId="367609C8">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p w14:paraId="11657DFE">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p w14:paraId="01A6749A">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第四部分 投标文件格式</w:t>
      </w:r>
    </w:p>
    <w:p w14:paraId="5BC84BBB">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1B406F3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AF54081">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highlight w:val="none"/>
          <w:lang w:eastAsia="zh-CN"/>
        </w:rPr>
      </w:pPr>
      <w:r>
        <w:rPr>
          <w:rFonts w:hint="eastAsia" w:ascii="宋体" w:hAnsi="宋体" w:eastAsia="宋体" w:cs="宋体"/>
          <w:color w:val="000000"/>
          <w:sz w:val="24"/>
          <w:highlight w:val="none"/>
          <w:lang w:eastAsia="zh-CN"/>
        </w:rPr>
        <w:t>说明：</w:t>
      </w:r>
    </w:p>
    <w:p w14:paraId="631B0B8F">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highlight w:val="none"/>
          <w:lang w:eastAsia="zh-CN"/>
        </w:rPr>
      </w:pPr>
      <w:r>
        <w:rPr>
          <w:rFonts w:hint="eastAsia" w:ascii="宋体" w:hAnsi="宋体" w:eastAsia="宋体" w:cs="宋体"/>
          <w:color w:val="000000"/>
          <w:sz w:val="24"/>
          <w:highlight w:val="none"/>
          <w:lang w:eastAsia="zh-CN"/>
        </w:rPr>
        <w:t>对本章所有的投标书格式，投标方可根据自身情况进行补充和修改，但补充和修改不得造成与本格式内容有实质性的违背。</w:t>
      </w:r>
    </w:p>
    <w:p w14:paraId="7674BC76">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03E99EC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w:t>
      </w:r>
      <w:r>
        <w:rPr>
          <w:rFonts w:hint="eastAsia" w:ascii="宋体" w:hAnsi="宋体" w:eastAsia="宋体" w:cs="宋体"/>
          <w:b/>
          <w:color w:val="000000"/>
          <w:sz w:val="28"/>
          <w:highlight w:val="none"/>
          <w:lang w:eastAsia="zh-CN"/>
        </w:rPr>
        <w:t>关于资格文件的声明函</w:t>
      </w:r>
    </w:p>
    <w:p w14:paraId="79F3E3B4">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41B8FE74">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7BC0BB45">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关于资格文件的声明函</w:t>
      </w:r>
    </w:p>
    <w:p w14:paraId="605D14DE">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046480D">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highlight w:val="none"/>
          <w:lang w:eastAsia="zh-CN"/>
        </w:rPr>
      </w:pPr>
      <w:r>
        <w:rPr>
          <w:rFonts w:hint="eastAsia" w:ascii="宋体" w:hAnsi="宋体" w:eastAsia="宋体" w:cs="宋体"/>
          <w:color w:val="000000"/>
          <w:sz w:val="24"/>
          <w:highlight w:val="none"/>
          <w:u w:val="single"/>
          <w:lang w:eastAsia="zh-CN"/>
        </w:rPr>
        <w:t>苏州市公共资源交易中心太仓分中心</w:t>
      </w:r>
      <w:r>
        <w:rPr>
          <w:rFonts w:hint="eastAsia" w:ascii="宋体" w:hAnsi="宋体" w:eastAsia="宋体" w:cs="宋体"/>
          <w:color w:val="000000"/>
          <w:sz w:val="24"/>
          <w:highlight w:val="none"/>
          <w:lang w:eastAsia="zh-CN"/>
        </w:rPr>
        <w:t>：</w:t>
      </w:r>
    </w:p>
    <w:p w14:paraId="3E9B3F33">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highlight w:val="none"/>
          <w:lang w:eastAsia="zh-CN"/>
        </w:rPr>
      </w:pPr>
      <w:r>
        <w:rPr>
          <w:rFonts w:hint="eastAsia" w:ascii="宋体" w:hAnsi="宋体" w:eastAsia="宋体" w:cs="宋体"/>
          <w:color w:val="000000"/>
          <w:sz w:val="24"/>
          <w:highlight w:val="none"/>
          <w:lang w:eastAsia="zh-CN"/>
        </w:rPr>
        <w:t>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JSZC-320585-JZCG-G2026-0088</w:t>
      </w:r>
      <w:r>
        <w:rPr>
          <w:rFonts w:hint="eastAsia" w:ascii="宋体" w:hAnsi="宋体" w:eastAsia="宋体" w:cs="宋体"/>
          <w:color w:val="000000"/>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400F0554">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F99F53E">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582C33D">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75092A61">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67C011DA">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0F70558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2537E6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8FA4C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52E417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0D69C9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A84326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FC8E7D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6E04E1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1B738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EF75D0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7E8AFEF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7B802C2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56D73C0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51FB1C7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6DEB24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043577F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0836BCD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586E49B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4339D1D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2D0627A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7FF3018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8"/>
          <w:highlight w:val="none"/>
          <w:lang w:eastAsia="zh-CN"/>
        </w:rPr>
        <w:t>2、投标承诺函</w:t>
      </w:r>
    </w:p>
    <w:p w14:paraId="4DB4929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lang w:eastAsia="zh-CN"/>
        </w:rPr>
      </w:pPr>
      <w:r>
        <w:rPr>
          <w:rFonts w:hint="eastAsia" w:ascii="宋体" w:hAnsi="宋体" w:eastAsia="宋体" w:cs="宋体"/>
          <w:b/>
          <w:color w:val="000000"/>
          <w:sz w:val="32"/>
          <w:highlight w:val="none"/>
          <w:lang w:eastAsia="zh-CN"/>
        </w:rPr>
        <w:t>投标承诺函</w:t>
      </w:r>
    </w:p>
    <w:p w14:paraId="574D4ADD">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u w:val="single"/>
          <w:lang w:eastAsia="zh-CN"/>
        </w:rPr>
        <w:t xml:space="preserve">苏州市公共资源交易中心太仓分中心 </w:t>
      </w:r>
      <w:r>
        <w:rPr>
          <w:rFonts w:hint="eastAsia" w:ascii="宋体" w:hAnsi="宋体" w:eastAsia="宋体" w:cs="宋体"/>
          <w:color w:val="000000"/>
          <w:sz w:val="24"/>
          <w:highlight w:val="none"/>
          <w:lang w:eastAsia="zh-CN"/>
        </w:rPr>
        <w:t xml:space="preserve">：       </w:t>
      </w:r>
    </w:p>
    <w:p w14:paraId="4D88B597">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A1F806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我们收到贵单位</w:t>
      </w:r>
      <w:r>
        <w:rPr>
          <w:rFonts w:hint="eastAsia" w:ascii="宋体" w:hAnsi="宋体" w:eastAsia="宋体" w:cs="宋体"/>
          <w:b/>
          <w:color w:val="000000"/>
          <w:sz w:val="24"/>
          <w:highlight w:val="none"/>
          <w:u w:val="single"/>
          <w:lang w:eastAsia="zh-CN"/>
        </w:rPr>
        <w:t xml:space="preserve"> </w:t>
      </w:r>
      <w:r>
        <w:rPr>
          <w:rFonts w:hint="eastAsia" w:ascii="宋体" w:hAnsi="宋体" w:eastAsia="宋体" w:cs="宋体"/>
          <w:b/>
          <w:sz w:val="24"/>
          <w:szCs w:val="24"/>
          <w:highlight w:val="none"/>
          <w:u w:val="single"/>
          <w:lang w:eastAsia="zh-CN"/>
        </w:rPr>
        <w:t>移动运营指挥舱及三级公立医院绩效及评审管理系统建设项目</w:t>
      </w:r>
      <w:r>
        <w:rPr>
          <w:rFonts w:hint="eastAsia" w:ascii="宋体" w:hAnsi="宋体" w:eastAsia="宋体" w:cs="宋体"/>
          <w:color w:val="000000"/>
          <w:sz w:val="24"/>
          <w:highlight w:val="none"/>
          <w:lang w:eastAsia="zh-CN"/>
        </w:rPr>
        <w:t>招标文件（项目编号：</w:t>
      </w:r>
      <w:r>
        <w:rPr>
          <w:rFonts w:hint="eastAsia" w:ascii="宋体" w:hAnsi="宋体" w:eastAsia="宋体" w:cs="宋体"/>
          <w:b/>
          <w:sz w:val="24"/>
          <w:szCs w:val="24"/>
          <w:highlight w:val="none"/>
          <w:u w:val="single"/>
          <w:lang w:eastAsia="zh-CN"/>
        </w:rPr>
        <w:t>JSZC-320585-JZCG-G2026-0088</w:t>
      </w:r>
      <w:r>
        <w:rPr>
          <w:rFonts w:hint="eastAsia" w:ascii="宋体" w:hAnsi="宋体" w:eastAsia="宋体" w:cs="宋体"/>
          <w:color w:val="000000"/>
          <w:sz w:val="24"/>
          <w:highlight w:val="none"/>
          <w:lang w:eastAsia="zh-CN"/>
        </w:rPr>
        <w:t>），经仔细阅读和研究，我们决定参加投标。</w:t>
      </w:r>
    </w:p>
    <w:p w14:paraId="0D246433">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1、我们愿意按照招标文件的一切要求，提供包括完成该项目全部内容的材料及人工、机械、保险、劳保、各种税费以及质保期间的一切费用。</w:t>
      </w:r>
    </w:p>
    <w:p w14:paraId="545602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2、如果我们的投标书被接受，我们将严格履行招标文件中规定的每一项要求，按期、按质、按量履行合同的义务。</w:t>
      </w:r>
    </w:p>
    <w:p w14:paraId="6F046C9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3、我们同意按招标文件中的规定，本投标书的有效期限为开标后</w:t>
      </w:r>
      <w:r>
        <w:rPr>
          <w:rFonts w:hint="eastAsia" w:ascii="宋体" w:hAnsi="宋体" w:eastAsia="宋体" w:cs="宋体"/>
          <w:b/>
          <w:color w:val="000000"/>
          <w:sz w:val="24"/>
          <w:highlight w:val="none"/>
          <w:u w:val="single"/>
          <w:lang w:eastAsia="zh-CN"/>
        </w:rPr>
        <w:t>90</w:t>
      </w:r>
      <w:r>
        <w:rPr>
          <w:rFonts w:hint="eastAsia" w:ascii="宋体" w:hAnsi="宋体" w:eastAsia="宋体" w:cs="宋体"/>
          <w:color w:val="000000"/>
          <w:sz w:val="24"/>
          <w:highlight w:val="none"/>
          <w:lang w:eastAsia="zh-CN"/>
        </w:rPr>
        <w:t>天。</w:t>
      </w:r>
    </w:p>
    <w:p w14:paraId="7C3B275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4、我们愿意提供招标方在招标文件中要求的所有资料。</w:t>
      </w:r>
    </w:p>
    <w:p w14:paraId="2BAA899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5、我们认为你们有权决定中标者，还认为你们有权接受或拒绝所有的投标者。</w:t>
      </w:r>
    </w:p>
    <w:p w14:paraId="4FDF0E3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6、我们完全理解贵方不一定要接受最低报价的投标或收到的任何投标。</w:t>
      </w:r>
    </w:p>
    <w:p w14:paraId="29E9692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7、我们承诺该项投标在开标后的全过程中保持有效，不作任何更改和变动。</w:t>
      </w:r>
    </w:p>
    <w:p w14:paraId="10426BF9">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8、</w:t>
      </w:r>
      <w:r>
        <w:rPr>
          <w:rFonts w:hint="eastAsia" w:ascii="宋体" w:hAnsi="宋体" w:eastAsia="宋体" w:cs="宋体"/>
          <w:b/>
          <w:color w:val="000000"/>
          <w:sz w:val="24"/>
          <w:highlight w:val="none"/>
          <w:lang w:eastAsia="zh-CN"/>
        </w:rPr>
        <w:t>如果中标，我们同意并知晓中标通知书发出方式及发出时间，遵守招标文件和中标通知书规定，在指定时间和地点和采购人签订合同。</w:t>
      </w:r>
    </w:p>
    <w:p w14:paraId="4740B6FD">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9、综合说明：</w:t>
      </w:r>
    </w:p>
    <w:p w14:paraId="6911339B">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（1）伴随服务及配合措施；</w:t>
      </w:r>
    </w:p>
    <w:p w14:paraId="21B11435">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（2）要求甲方提供的配合；</w:t>
      </w:r>
    </w:p>
    <w:p w14:paraId="66CF90F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（3）对招标文件有不同意见的偏离说明；</w:t>
      </w:r>
    </w:p>
    <w:p w14:paraId="44BEC656">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（4）其它说明。</w:t>
      </w:r>
    </w:p>
    <w:p w14:paraId="3791C96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所有有关标书的函电，请按下列地址联系：</w:t>
      </w:r>
    </w:p>
    <w:p w14:paraId="39F66746">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单位：联系人：</w:t>
      </w:r>
    </w:p>
    <w:p w14:paraId="27D4F46C">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地址：邮政编码：</w:t>
      </w:r>
    </w:p>
    <w:p w14:paraId="0CC2C26D">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联系电话：传真：</w:t>
      </w:r>
    </w:p>
    <w:p w14:paraId="342C4985">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60798B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0A56092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0051E38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22832C29">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3A24E3B8">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3、参加政府采购活动前三年内，在经营活动中没有重大违法记录声明</w:t>
      </w:r>
    </w:p>
    <w:p w14:paraId="2AE7F1E5">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69118970">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highlight w:val="none"/>
          <w:lang w:eastAsia="zh-CN"/>
        </w:rPr>
      </w:pPr>
      <w:r>
        <w:rPr>
          <w:rFonts w:hint="eastAsia" w:ascii="宋体" w:hAnsi="宋体" w:eastAsia="宋体" w:cs="宋体"/>
          <w:b/>
          <w:color w:val="000000"/>
          <w:sz w:val="24"/>
          <w:highlight w:val="none"/>
          <w:lang w:eastAsia="zh-CN"/>
        </w:rPr>
        <w:t>参加政府采购活动前三年内，在经营活动中没有重大违法记录声明</w:t>
      </w:r>
    </w:p>
    <w:p w14:paraId="5BF818E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330D38B">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致：苏州市公共资源交易中心太仓分中心：</w:t>
      </w:r>
    </w:p>
    <w:p w14:paraId="2F6BF5E2">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我单位</w:t>
      </w:r>
      <w:r>
        <w:rPr>
          <w:rFonts w:hint="eastAsia" w:ascii="宋体" w:hAnsi="宋体" w:eastAsia="宋体" w:cs="宋体"/>
          <w:sz w:val="24"/>
          <w:highlight w:val="none"/>
          <w:u w:val="single"/>
          <w:lang w:eastAsia="zh-CN"/>
        </w:rPr>
        <w:t>         </w:t>
      </w:r>
      <w:r>
        <w:rPr>
          <w:rFonts w:hint="eastAsia" w:ascii="宋体" w:hAnsi="宋体" w:eastAsia="宋体" w:cs="宋体"/>
          <w:sz w:val="24"/>
          <w:highlight w:val="none"/>
          <w:lang w:eastAsia="zh-CN"/>
        </w:rPr>
        <w:t>（供应商名称）在参加政府采购活动前三年内，没有重大违法记录，特此声明。</w:t>
      </w:r>
    </w:p>
    <w:p w14:paraId="296B5AD5">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若采购代理机构在本项目采购过程中发现我单位近三年内在经营活动中有重大违法记录，我单位将无条件退出本项目的招标，并承担因此引起的一起后果。</w:t>
      </w:r>
    </w:p>
    <w:p w14:paraId="7DAF6E6D">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 </w:t>
      </w:r>
    </w:p>
    <w:p w14:paraId="4EF2A66C">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供应商名称（单位公章）：</w:t>
      </w:r>
    </w:p>
    <w:p w14:paraId="6D264BFC">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法定代表人（负责人）或代理人（签字或盖章）：</w:t>
      </w:r>
    </w:p>
    <w:p w14:paraId="78CF06D3">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投标日期： 年 月 日</w:t>
      </w:r>
    </w:p>
    <w:p w14:paraId="4F9E6E7C">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0ECA25B5">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highlight w:val="none"/>
          <w:lang w:eastAsia="zh-CN"/>
        </w:rPr>
      </w:pPr>
      <w:r>
        <w:rPr>
          <w:rFonts w:hint="eastAsia" w:ascii="宋体" w:hAnsi="宋体" w:eastAsia="宋体" w:cs="宋体"/>
          <w:b/>
          <w:color w:val="000000"/>
          <w:sz w:val="28"/>
          <w:highlight w:val="none"/>
          <w:lang w:eastAsia="zh-CN"/>
        </w:rPr>
        <w:t>4、投标单位情况表</w:t>
      </w:r>
    </w:p>
    <w:p w14:paraId="410EAA0C">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投标单位情况表</w:t>
      </w:r>
    </w:p>
    <w:p w14:paraId="4B3C1831">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单位名称（盖章）：</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45D637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B2C0EB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6F8DC3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6D2744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DD1E2E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374727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0006C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C61CD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C5D6C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04E0F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         万元</w:t>
            </w:r>
          </w:p>
        </w:tc>
      </w:tr>
      <w:tr w14:paraId="075C13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617ED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829CB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29716B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1014E9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A42A3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B6A8AB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ED07A73">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2A3AD1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37E92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B58235">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highlight w:val="none"/>
              </w:rPr>
            </w:pPr>
            <w:r>
              <w:rPr>
                <w:rFonts w:hint="eastAsia" w:ascii="宋体" w:hAnsi="宋体" w:eastAsia="宋体" w:cs="宋体"/>
                <w:color w:val="000000"/>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B2634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717BB3">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highlight w:val="none"/>
              </w:rPr>
            </w:pPr>
            <w:r>
              <w:rPr>
                <w:rFonts w:hint="eastAsia" w:ascii="宋体" w:hAnsi="宋体" w:eastAsia="宋体" w:cs="宋体"/>
                <w:color w:val="000000"/>
                <w:sz w:val="24"/>
                <w:highlight w:val="none"/>
              </w:rPr>
              <w:t>  万元</w:t>
            </w:r>
          </w:p>
        </w:tc>
      </w:tr>
      <w:tr w14:paraId="481795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DA095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13C7F44">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highlight w:val="none"/>
              </w:rPr>
            </w:pPr>
            <w:r>
              <w:rPr>
                <w:rFonts w:hint="eastAsia" w:ascii="宋体" w:hAnsi="宋体" w:eastAsia="宋体" w:cs="宋体"/>
                <w:color w:val="000000"/>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A400D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7B2EE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b/>
                <w:color w:val="000000"/>
                <w:sz w:val="24"/>
                <w:highlight w:val="none"/>
                <w:lang w:eastAsia="zh-CN"/>
              </w:rPr>
              <w:t>2025</w:t>
            </w:r>
            <w:r>
              <w:rPr>
                <w:rFonts w:hint="eastAsia" w:ascii="宋体" w:hAnsi="宋体" w:eastAsia="宋体" w:cs="宋体"/>
                <w:b/>
                <w:color w:val="000000"/>
                <w:sz w:val="24"/>
                <w:highlight w:val="none"/>
              </w:rPr>
              <w:t>年 万元</w:t>
            </w:r>
          </w:p>
        </w:tc>
      </w:tr>
      <w:tr w14:paraId="5B4D6C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3EA6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7645A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b/>
                <w:color w:val="000000"/>
                <w:sz w:val="24"/>
                <w:highlight w:val="none"/>
                <w:lang w:eastAsia="zh-CN"/>
              </w:rPr>
              <w:t>2025</w:t>
            </w:r>
            <w:r>
              <w:rPr>
                <w:rFonts w:hint="eastAsia" w:ascii="宋体" w:hAnsi="宋体" w:eastAsia="宋体" w:cs="宋体"/>
                <w:b/>
                <w:color w:val="000000"/>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C8E341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07E40C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110821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E91ED5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7995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lang w:eastAsia="zh-CN"/>
              </w:rPr>
              <w:t>    </w:t>
            </w:r>
            <w:r>
              <w:rPr>
                <w:rFonts w:hint="eastAsia" w:ascii="宋体" w:hAnsi="宋体" w:eastAsia="宋体" w:cs="宋体"/>
                <w:color w:val="000000"/>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AB39E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6C30C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自有面积    平方米</w:t>
            </w:r>
          </w:p>
          <w:p w14:paraId="7CE6709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承租面积    平方米</w:t>
            </w:r>
          </w:p>
        </w:tc>
      </w:tr>
      <w:tr w14:paraId="4133FD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5B14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3289E1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3F62BA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A7A70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BE224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24F404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8FFF8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3C57B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634002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72A263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6D5A1D7">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BE5AC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D54C5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22FB7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41E448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935D8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F9A2AC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1169E6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E09336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3577A7">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5B6C11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EC46E0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032F1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bl>
    <w:p w14:paraId="73F2AE9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highlight w:val="none"/>
        </w:rPr>
        <w:br w:type="page" w:clear="all"/>
      </w:r>
    </w:p>
    <w:p w14:paraId="1029A2A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5、法定代表人授权委托书 （如有）</w:t>
      </w:r>
    </w:p>
    <w:p w14:paraId="51428416">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137DBA8">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10B0C51">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highlight w:val="none"/>
          <w:lang w:eastAsia="zh-CN"/>
        </w:rPr>
      </w:pPr>
      <w:r>
        <w:rPr>
          <w:rFonts w:hint="eastAsia" w:ascii="宋体" w:hAnsi="宋体" w:eastAsia="宋体" w:cs="宋体"/>
          <w:color w:val="000000"/>
          <w:sz w:val="32"/>
          <w:highlight w:val="none"/>
          <w:lang w:eastAsia="zh-CN"/>
        </w:rPr>
        <w:t>授权委托书</w:t>
      </w:r>
    </w:p>
    <w:p w14:paraId="14905083">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03E1118">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3A9636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本授权委托书声明：我</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系</w:t>
      </w:r>
      <w:r>
        <w:rPr>
          <w:rFonts w:hint="eastAsia" w:ascii="宋体" w:hAnsi="宋体" w:eastAsia="宋体" w:cs="宋体"/>
          <w:color w:val="000000"/>
          <w:sz w:val="24"/>
          <w:highlight w:val="none"/>
          <w:u w:val="single"/>
          <w:lang w:eastAsia="zh-CN"/>
        </w:rPr>
        <w:t>（投标单位名称）</w:t>
      </w:r>
      <w:r>
        <w:rPr>
          <w:rFonts w:hint="eastAsia" w:ascii="宋体" w:hAnsi="宋体" w:eastAsia="宋体" w:cs="宋体"/>
          <w:color w:val="000000"/>
          <w:sz w:val="24"/>
          <w:highlight w:val="none"/>
          <w:lang w:eastAsia="zh-CN"/>
        </w:rPr>
        <w:t>的法定代表人，现授权委托</w:t>
      </w:r>
      <w:r>
        <w:rPr>
          <w:rFonts w:hint="eastAsia" w:ascii="宋体" w:hAnsi="宋体" w:eastAsia="宋体" w:cs="宋体"/>
          <w:color w:val="000000"/>
          <w:sz w:val="24"/>
          <w:highlight w:val="none"/>
          <w:u w:val="single"/>
          <w:lang w:eastAsia="zh-CN"/>
        </w:rPr>
        <w:t>（单位名称）</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为我公司代理人，以本公司的名义参加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JSZC-320585-JZCG-G2026-0088</w:t>
      </w:r>
      <w:r>
        <w:rPr>
          <w:rFonts w:hint="eastAsia" w:ascii="宋体" w:hAnsi="宋体" w:eastAsia="宋体" w:cs="宋体"/>
          <w:color w:val="000000"/>
          <w:sz w:val="24"/>
          <w:highlight w:val="none"/>
          <w:lang w:eastAsia="zh-CN"/>
        </w:rPr>
        <w:t>号的招标活动。代理人在开标、评标、合同谈判过程中所签署的一切文件和处理与这有关的一切事务，我均予以承认。</w:t>
      </w:r>
    </w:p>
    <w:p w14:paraId="4DEC1677">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代理人在授权委托书有效期内签署的所有文件不因授权委托的撤销而失效，除非有撤销授权委托的书面通知，本授权委托书自投标开始至合同履行完毕止。</w:t>
      </w:r>
    </w:p>
    <w:p w14:paraId="541DF68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代理人无转委托权。特此委托！</w:t>
      </w:r>
    </w:p>
    <w:p w14:paraId="4C2CA89F">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4829659">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投标单位：（盖章）</w:t>
      </w:r>
    </w:p>
    <w:p w14:paraId="1CBDAA99">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法定代表人：（签字或盖章）</w:t>
      </w:r>
    </w:p>
    <w:p w14:paraId="196E587A">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授权代理人：（签字或盖章）</w:t>
      </w:r>
    </w:p>
    <w:p w14:paraId="297304DA">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196D0FEB">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42308202">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6、开标一览表</w:t>
      </w:r>
    </w:p>
    <w:p w14:paraId="0555D9B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1"/>
          <w:highlight w:val="none"/>
          <w:lang w:eastAsia="zh-CN"/>
        </w:rPr>
        <w:t> </w:t>
      </w:r>
    </w:p>
    <w:p w14:paraId="0F33AEC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highlight w:val="none"/>
          <w:lang w:eastAsia="zh-CN"/>
        </w:rPr>
      </w:pPr>
      <w:r>
        <w:rPr>
          <w:rFonts w:hint="eastAsia" w:ascii="宋体" w:hAnsi="宋体" w:eastAsia="宋体" w:cs="宋体"/>
          <w:color w:val="000000"/>
          <w:sz w:val="21"/>
          <w:highlight w:val="none"/>
          <w:lang w:eastAsia="zh-CN"/>
        </w:rPr>
        <w:t> </w:t>
      </w:r>
    </w:p>
    <w:p w14:paraId="263C580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highlight w:val="none"/>
          <w:lang w:eastAsia="zh-CN"/>
        </w:rPr>
      </w:pPr>
      <w:r>
        <w:rPr>
          <w:rFonts w:hint="eastAsia" w:ascii="宋体" w:hAnsi="宋体" w:eastAsia="宋体" w:cs="宋体"/>
          <w:b/>
          <w:color w:val="000000"/>
          <w:sz w:val="32"/>
          <w:highlight w:val="none"/>
          <w:lang w:eastAsia="zh-CN"/>
        </w:rPr>
        <w:t>开标一览表</w:t>
      </w:r>
    </w:p>
    <w:p w14:paraId="538B1D1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C43EB80">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投标人全称（加盖公章）：供应商名称</w:t>
      </w:r>
    </w:p>
    <w:p w14:paraId="1ABA3F20">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highlight w:val="none"/>
          <w:lang w:eastAsia="zh-CN"/>
        </w:rPr>
      </w:pPr>
      <w:r>
        <w:rPr>
          <w:rFonts w:hint="eastAsia" w:ascii="宋体" w:hAnsi="宋体" w:eastAsia="宋体" w:cs="宋体"/>
          <w:color w:val="000000"/>
          <w:sz w:val="24"/>
          <w:highlight w:val="none"/>
          <w:lang w:eastAsia="zh-CN"/>
        </w:rPr>
        <w:t>项目编号：</w:t>
      </w:r>
      <w:r>
        <w:rPr>
          <w:rFonts w:hint="eastAsia" w:ascii="宋体" w:hAnsi="宋体" w:eastAsia="宋体" w:cs="宋体"/>
          <w:b/>
          <w:sz w:val="24"/>
          <w:szCs w:val="24"/>
          <w:highlight w:val="none"/>
          <w:lang w:eastAsia="zh-CN"/>
        </w:rPr>
        <w:t>JSZC-320585-JZCG-G2026-0088</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19C5DE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330B08">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color w:val="000000"/>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037B5D">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color w:val="000000"/>
                <w:sz w:val="24"/>
                <w:highlight w:val="none"/>
              </w:rPr>
              <w:t>投标总价</w:t>
            </w:r>
          </w:p>
        </w:tc>
      </w:tr>
      <w:tr w14:paraId="7C894E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0C8EEC">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lang w:eastAsia="zh-CN"/>
              </w:rPr>
            </w:pPr>
            <w:r>
              <w:rPr>
                <w:rFonts w:hint="eastAsia" w:ascii="宋体" w:hAnsi="宋体" w:eastAsia="宋体" w:cs="宋体"/>
                <w:b/>
                <w:bCs/>
                <w:color w:val="000000"/>
                <w:sz w:val="24"/>
                <w:highlight w:val="none"/>
                <w:lang w:eastAsia="zh-CN"/>
              </w:rPr>
              <w:t>移动运营指挥舱及三级公立医院绩效及评审管理系统建设项目</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4A6FBD">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highlight w:val="none"/>
              </w:rPr>
            </w:pPr>
            <w:r>
              <w:rPr>
                <w:rFonts w:hint="eastAsia" w:ascii="宋体" w:hAnsi="宋体" w:eastAsia="宋体" w:cs="宋体"/>
                <w:color w:val="000000"/>
                <w:sz w:val="24"/>
                <w:highlight w:val="none"/>
              </w:rPr>
              <w:t>小写          （元人民币）</w:t>
            </w:r>
          </w:p>
        </w:tc>
      </w:tr>
      <w:tr w14:paraId="6F2551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5709FF">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color w:val="000000"/>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6527D69">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highlight w:val="none"/>
              </w:rPr>
            </w:pPr>
            <w:r>
              <w:rPr>
                <w:rFonts w:hint="eastAsia" w:ascii="宋体" w:hAnsi="宋体" w:eastAsia="宋体" w:cs="宋体"/>
                <w:color w:val="000000"/>
                <w:sz w:val="24"/>
                <w:highlight w:val="none"/>
              </w:rPr>
              <w:t>金额大写：</w:t>
            </w:r>
          </w:p>
        </w:tc>
      </w:tr>
    </w:tbl>
    <w:p w14:paraId="4F5E4819">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highlight w:val="none"/>
        </w:rPr>
      </w:pPr>
      <w:r>
        <w:rPr>
          <w:rFonts w:hint="eastAsia" w:ascii="宋体" w:hAnsi="宋体" w:eastAsia="宋体" w:cs="宋体"/>
          <w:b/>
          <w:color w:val="000000"/>
          <w:sz w:val="24"/>
          <w:highlight w:val="none"/>
        </w:rPr>
        <w:t> </w:t>
      </w:r>
    </w:p>
    <w:p w14:paraId="7914E3DF">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highlight w:val="none"/>
        </w:rPr>
      </w:pPr>
      <w:r>
        <w:rPr>
          <w:rFonts w:hint="eastAsia" w:ascii="宋体" w:hAnsi="宋体" w:eastAsia="宋体" w:cs="宋体"/>
          <w:color w:val="000000"/>
          <w:sz w:val="24"/>
          <w:highlight w:val="none"/>
        </w:rPr>
        <w:t>日期：年月日</w:t>
      </w:r>
    </w:p>
    <w:p w14:paraId="335330EF">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rPr>
      </w:pPr>
      <w:r>
        <w:rPr>
          <w:rFonts w:hint="eastAsia" w:ascii="宋体" w:hAnsi="宋体" w:eastAsia="宋体" w:cs="宋体"/>
          <w:b/>
          <w:color w:val="000000"/>
          <w:sz w:val="24"/>
          <w:highlight w:val="none"/>
        </w:rPr>
        <w:t> </w:t>
      </w:r>
    </w:p>
    <w:p w14:paraId="68017D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highlight w:val="none"/>
        </w:rPr>
        <w:br w:type="page" w:clear="all"/>
      </w:r>
    </w:p>
    <w:p w14:paraId="334CB7F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b/>
          <w:color w:val="000000"/>
          <w:sz w:val="28"/>
          <w:highlight w:val="none"/>
        </w:rPr>
        <w:t>7、投标报价明细表</w:t>
      </w:r>
    </w:p>
    <w:p w14:paraId="597CA6E9">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highlight w:val="none"/>
        </w:rPr>
      </w:pPr>
      <w:r>
        <w:rPr>
          <w:rFonts w:hint="eastAsia" w:ascii="宋体" w:hAnsi="宋体" w:eastAsia="宋体" w:cs="宋体"/>
          <w:b/>
          <w:color w:val="000000"/>
          <w:sz w:val="30"/>
          <w:highlight w:val="none"/>
        </w:rPr>
        <w:t> </w:t>
      </w:r>
    </w:p>
    <w:p w14:paraId="26E56924">
      <w:pPr>
        <w:pBdr>
          <w:top w:val="none" w:color="000000" w:sz="0" w:space="0"/>
          <w:left w:val="none" w:color="000000" w:sz="0" w:space="0"/>
          <w:bottom w:val="none" w:color="000000" w:sz="0" w:space="0"/>
          <w:right w:val="none" w:color="000000" w:sz="0" w:space="0"/>
        </w:pBdr>
        <w:ind w:firstLine="2811"/>
        <w:rPr>
          <w:highlight w:val="none"/>
        </w:rPr>
      </w:pPr>
      <w:bookmarkStart w:id="9" w:name="OLE_LINK57"/>
      <w:r>
        <w:rPr>
          <w:rFonts w:ascii="宋体" w:hAnsi="宋体" w:cs="宋体"/>
          <w:b/>
          <w:sz w:val="28"/>
          <w:highlight w:val="none"/>
        </w:rPr>
        <w:t>（一）投标报价明细表</w:t>
      </w:r>
    </w:p>
    <w:p w14:paraId="145E6AFA">
      <w:pPr>
        <w:pBdr>
          <w:top w:val="none" w:color="000000" w:sz="0" w:space="0"/>
          <w:left w:val="none" w:color="000000" w:sz="0" w:space="0"/>
          <w:bottom w:val="none" w:color="000000" w:sz="0" w:space="0"/>
          <w:right w:val="none" w:color="000000" w:sz="0" w:space="0"/>
        </w:pBdr>
        <w:ind w:firstLine="3012"/>
        <w:rPr>
          <w:highlight w:val="none"/>
        </w:rPr>
      </w:pPr>
      <w:r>
        <w:rPr>
          <w:rFonts w:ascii="宋体" w:hAnsi="宋体" w:cs="宋体"/>
          <w:b/>
          <w:sz w:val="30"/>
          <w:highlight w:val="none"/>
        </w:rPr>
        <w:t> </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2027"/>
        <w:gridCol w:w="1260"/>
        <w:gridCol w:w="1332"/>
        <w:gridCol w:w="1500"/>
        <w:gridCol w:w="1416"/>
        <w:gridCol w:w="1140"/>
      </w:tblGrid>
      <w:tr w14:paraId="1FDFB4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53C406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序号</w:t>
            </w:r>
          </w:p>
        </w:tc>
        <w:tc>
          <w:tcPr>
            <w:tcW w:w="20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11A2797">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分项名称</w:t>
            </w:r>
          </w:p>
        </w:tc>
        <w:tc>
          <w:tcPr>
            <w:tcW w:w="1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2C632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数量</w:t>
            </w:r>
          </w:p>
        </w:tc>
        <w:tc>
          <w:tcPr>
            <w:tcW w:w="133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3E1EB1D">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单位</w:t>
            </w:r>
          </w:p>
        </w:tc>
        <w:tc>
          <w:tcPr>
            <w:tcW w:w="150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00E34B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单价</w:t>
            </w:r>
          </w:p>
        </w:tc>
        <w:tc>
          <w:tcPr>
            <w:tcW w:w="141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815105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总价</w:t>
            </w:r>
          </w:p>
        </w:tc>
        <w:tc>
          <w:tcPr>
            <w:tcW w:w="114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19B89D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备注</w:t>
            </w:r>
          </w:p>
        </w:tc>
      </w:tr>
      <w:tr w14:paraId="502ABB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566DB3">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1</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DBD0E16">
            <w:pPr>
              <w:pBdr>
                <w:top w:val="none" w:color="000000" w:sz="0" w:space="0"/>
                <w:left w:val="none" w:color="000000" w:sz="0" w:space="0"/>
                <w:bottom w:val="none" w:color="000000" w:sz="0" w:space="0"/>
                <w:right w:val="none" w:color="000000" w:sz="0" w:space="0"/>
              </w:pBdr>
              <w:spacing w:after="0" w:line="380" w:lineRule="atLeast"/>
              <w:ind w:right="-199"/>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3CA3BB">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DB4D9A1">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6E5160D">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08DB7F">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B5D4237">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r>
      <w:tr w14:paraId="452C8C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8F7AD7">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2</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BC100C9">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222DFD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AA8811">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BF5D6BC">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92C78A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F534E8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70B690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052A7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3</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AF6A296">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6A99A0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DABCE6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247C6DF">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847FA4">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5FAEF9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435013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54ECFC">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8BD213F">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610E597">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A76C45D">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FF7D078">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98A67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FF08DA">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7F7638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0894A3">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投标总报价</w:t>
            </w:r>
          </w:p>
        </w:tc>
        <w:tc>
          <w:tcPr>
            <w:tcW w:w="6648"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6B0AA23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大写：元；小写：元</w:t>
            </w:r>
          </w:p>
        </w:tc>
      </w:tr>
    </w:tbl>
    <w:p w14:paraId="06B24A3A">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lang w:eastAsia="zh-CN"/>
        </w:rPr>
      </w:pPr>
      <w:r>
        <w:rPr>
          <w:rFonts w:ascii="宋体" w:hAnsi="宋体" w:cs="宋体"/>
          <w:sz w:val="24"/>
          <w:highlight w:val="none"/>
          <w:lang w:eastAsia="zh-CN"/>
        </w:rPr>
        <w:t>注：</w:t>
      </w:r>
    </w:p>
    <w:p w14:paraId="27E76F55">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lang w:eastAsia="zh-CN"/>
        </w:rPr>
      </w:pPr>
      <w:r>
        <w:rPr>
          <w:rFonts w:hint="eastAsia" w:ascii="宋体" w:hAnsi="宋体" w:cs="宋体"/>
          <w:sz w:val="24"/>
          <w:highlight w:val="none"/>
          <w:lang w:eastAsia="zh-CN"/>
        </w:rPr>
        <w:t>1、</w:t>
      </w:r>
      <w:r>
        <w:rPr>
          <w:rFonts w:ascii="宋体" w:hAnsi="宋体" w:cs="宋体"/>
          <w:sz w:val="24"/>
          <w:highlight w:val="none"/>
          <w:lang w:eastAsia="zh-CN"/>
        </w:rPr>
        <w:t>本表报价的合计金额应与开标一览表报价一致</w:t>
      </w:r>
    </w:p>
    <w:p w14:paraId="7123A064">
      <w:pPr>
        <w:pBdr>
          <w:top w:val="none" w:color="000000" w:sz="0" w:space="0"/>
          <w:left w:val="none" w:color="000000" w:sz="0" w:space="0"/>
          <w:bottom w:val="none" w:color="000000" w:sz="0" w:space="0"/>
          <w:right w:val="none" w:color="000000" w:sz="0" w:space="0"/>
        </w:pBdr>
        <w:spacing w:line="499" w:lineRule="atLeast"/>
        <w:rPr>
          <w:highlight w:val="none"/>
          <w:lang w:eastAsia="zh-CN"/>
        </w:rPr>
      </w:pPr>
      <w:r>
        <w:rPr>
          <w:rFonts w:ascii="宋体" w:hAnsi="宋体" w:cs="宋体"/>
          <w:sz w:val="24"/>
          <w:highlight w:val="none"/>
          <w:lang w:eastAsia="zh-CN"/>
        </w:rPr>
        <w:t>投标单位：（公章）</w:t>
      </w:r>
    </w:p>
    <w:p w14:paraId="047517DF">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lang w:eastAsia="zh-CN"/>
        </w:rPr>
      </w:pPr>
      <w:r>
        <w:rPr>
          <w:rFonts w:ascii="宋体" w:hAnsi="宋体" w:cs="宋体"/>
          <w:sz w:val="24"/>
          <w:highlight w:val="none"/>
          <w:lang w:eastAsia="zh-CN"/>
        </w:rPr>
        <w:t xml:space="preserve">法定代表人或委托代理人（签字或盖章）： </w:t>
      </w:r>
    </w:p>
    <w:p w14:paraId="2D9B7BE9">
      <w:pPr>
        <w:pBdr>
          <w:top w:val="none" w:color="000000" w:sz="0" w:space="0"/>
          <w:left w:val="none" w:color="000000" w:sz="0" w:space="0"/>
          <w:bottom w:val="none" w:color="000000" w:sz="0" w:space="0"/>
          <w:right w:val="none" w:color="000000" w:sz="0" w:space="0"/>
        </w:pBdr>
        <w:spacing w:line="499" w:lineRule="atLeast"/>
        <w:rPr>
          <w:rFonts w:ascii="Times New Roman" w:hAnsi="Times New Roman" w:eastAsia="Times New Roman"/>
          <w:szCs w:val="21"/>
          <w:highlight w:val="none"/>
          <w:lang w:eastAsia="zh-CN"/>
        </w:rPr>
      </w:pPr>
      <w:r>
        <w:rPr>
          <w:rFonts w:ascii="宋体" w:hAnsi="宋体" w:cs="宋体"/>
          <w:sz w:val="24"/>
          <w:highlight w:val="none"/>
          <w:lang w:eastAsia="zh-CN"/>
        </w:rPr>
        <w:t>投标日期： 年 月 日</w:t>
      </w:r>
    </w:p>
    <w:p w14:paraId="45FBB84B">
      <w:pPr>
        <w:ind w:firstLine="1506" w:firstLineChars="500"/>
        <w:rPr>
          <w:rFonts w:ascii="宋体" w:hAnsi="宋体" w:eastAsia="宋体" w:cs="宋体"/>
          <w:b/>
          <w:sz w:val="30"/>
          <w:szCs w:val="30"/>
          <w:highlight w:val="none"/>
          <w:lang w:eastAsia="zh-CN"/>
        </w:rPr>
      </w:pPr>
    </w:p>
    <w:p w14:paraId="0943DFE3">
      <w:pPr>
        <w:ind w:firstLine="1506" w:firstLineChars="500"/>
        <w:rPr>
          <w:rFonts w:ascii="宋体" w:hAnsi="宋体" w:eastAsia="宋体" w:cs="宋体"/>
          <w:b/>
          <w:sz w:val="30"/>
          <w:szCs w:val="30"/>
          <w:highlight w:val="none"/>
          <w:lang w:eastAsia="zh-CN"/>
        </w:rPr>
      </w:pPr>
    </w:p>
    <w:p w14:paraId="287D9D9E">
      <w:pPr>
        <w:ind w:firstLine="1506" w:firstLineChars="500"/>
        <w:rPr>
          <w:rFonts w:ascii="宋体" w:hAnsi="宋体" w:eastAsia="宋体" w:cs="宋体"/>
          <w:b/>
          <w:sz w:val="30"/>
          <w:szCs w:val="30"/>
          <w:highlight w:val="none"/>
          <w:lang w:eastAsia="zh-CN"/>
        </w:rPr>
      </w:pPr>
    </w:p>
    <w:p w14:paraId="29F885C4">
      <w:pPr>
        <w:ind w:firstLine="1506" w:firstLineChars="500"/>
        <w:rPr>
          <w:rFonts w:ascii="宋体" w:hAnsi="宋体" w:eastAsia="宋体" w:cs="宋体"/>
          <w:b/>
          <w:bCs/>
          <w:sz w:val="24"/>
          <w:szCs w:val="24"/>
          <w:highlight w:val="none"/>
          <w:lang w:eastAsia="zh-CN"/>
        </w:rPr>
      </w:pPr>
      <w:r>
        <w:rPr>
          <w:rFonts w:hint="eastAsia" w:ascii="宋体" w:hAnsi="宋体" w:eastAsia="宋体" w:cs="宋体"/>
          <w:b/>
          <w:sz w:val="30"/>
          <w:szCs w:val="30"/>
          <w:highlight w:val="none"/>
          <w:lang w:eastAsia="zh-CN"/>
        </w:rPr>
        <w:t>（二）投标报价合理性说明（如有）</w:t>
      </w:r>
    </w:p>
    <w:p w14:paraId="75AD2C0D">
      <w:pPr>
        <w:spacing w:line="420" w:lineRule="exact"/>
        <w:rPr>
          <w:rFonts w:ascii="宋体" w:hAnsi="宋体" w:eastAsia="宋体" w:cs="宋体"/>
          <w:b/>
          <w:sz w:val="24"/>
          <w:szCs w:val="24"/>
          <w:highlight w:val="none"/>
          <w:lang w:eastAsia="zh-CN"/>
        </w:rPr>
      </w:pPr>
    </w:p>
    <w:p w14:paraId="49DA168F">
      <w:pPr>
        <w:spacing w:line="420" w:lineRule="exact"/>
        <w:rPr>
          <w:rFonts w:ascii="宋体" w:hAnsi="宋体"/>
          <w:b/>
          <w:highlight w:val="none"/>
          <w:lang w:eastAsia="zh-CN"/>
        </w:rPr>
      </w:pPr>
    </w:p>
    <w:p w14:paraId="73B530A5">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注：根据</w:t>
      </w:r>
      <w:r>
        <w:rPr>
          <w:rFonts w:hint="eastAsia" w:cs="微软雅黑" w:asciiTheme="minorEastAsia" w:hAnsiTheme="minorEastAsia" w:eastAsiaTheme="minorEastAsia"/>
          <w:b/>
          <w:sz w:val="24"/>
          <w:szCs w:val="24"/>
          <w:highlight w:val="none"/>
          <w:lang w:eastAsia="zh-CN"/>
        </w:rPr>
        <w:t>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w:t>
      </w:r>
      <w:r>
        <w:rPr>
          <w:rFonts w:hint="eastAsia" w:ascii="宋体" w:hAnsi="宋体" w:cs="宋体"/>
          <w:b/>
          <w:sz w:val="24"/>
          <w:highlight w:val="none"/>
          <w:lang w:eastAsia="zh-CN"/>
        </w:rPr>
        <w:t xml:space="preserve"> ，若投标人的投标（响应）报价满足以下任一条件：</w:t>
      </w:r>
    </w:p>
    <w:p w14:paraId="2B040134">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1）</w:t>
      </w:r>
      <w:r>
        <w:rPr>
          <w:rFonts w:ascii="宋体" w:hAnsi="宋体" w:eastAsia="宋体" w:cs="宋体"/>
          <w:b/>
          <w:bCs/>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lang w:eastAsia="zh-CN"/>
        </w:rPr>
        <w:br w:type="textWrapping"/>
      </w:r>
      <w:r>
        <w:rPr>
          <w:rFonts w:hint="eastAsia" w:ascii="宋体" w:hAnsi="宋体" w:cs="宋体"/>
          <w:b/>
          <w:sz w:val="24"/>
          <w:highlight w:val="none"/>
          <w:lang w:eastAsia="zh-CN"/>
        </w:rPr>
        <w:t>；</w:t>
      </w:r>
    </w:p>
    <w:p w14:paraId="509809DC">
      <w:pPr>
        <w:spacing w:line="420" w:lineRule="exact"/>
        <w:ind w:firstLine="480" w:firstLineChars="200"/>
        <w:rPr>
          <w:rFonts w:ascii="宋体" w:hAnsi="宋体" w:eastAsia="宋体" w:cs="宋体"/>
          <w:b/>
          <w:sz w:val="24"/>
          <w:highlight w:val="none"/>
          <w:lang w:eastAsia="zh-CN"/>
        </w:rPr>
      </w:pPr>
      <w:r>
        <w:rPr>
          <w:rFonts w:hint="eastAsia" w:ascii="宋体" w:hAnsi="宋体" w:cs="宋体"/>
          <w:b/>
          <w:sz w:val="24"/>
          <w:highlight w:val="none"/>
          <w:lang w:eastAsia="zh-CN"/>
        </w:rPr>
        <w:t>2）</w:t>
      </w:r>
      <w:r>
        <w:rPr>
          <w:rFonts w:ascii="宋体" w:hAnsi="宋体" w:eastAsia="宋体" w:cs="宋体"/>
          <w:b/>
          <w:bCs/>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w:t>
      </w:r>
    </w:p>
    <w:p w14:paraId="31C3B878">
      <w:pPr>
        <w:spacing w:line="420" w:lineRule="exact"/>
        <w:ind w:firstLine="480" w:firstLineChars="200"/>
        <w:rPr>
          <w:rFonts w:ascii="宋体" w:hAnsi="宋体" w:cs="宋体"/>
          <w:b/>
          <w:sz w:val="24"/>
          <w:highlight w:val="none"/>
          <w:lang w:eastAsia="zh-CN"/>
        </w:rPr>
      </w:pPr>
      <w:r>
        <w:rPr>
          <w:rFonts w:hint="eastAsia" w:ascii="宋体" w:hAnsi="宋体" w:cs="宋体"/>
          <w:b/>
          <w:bCs/>
          <w:sz w:val="24"/>
          <w:highlight w:val="none"/>
          <w:lang w:eastAsia="zh-CN"/>
        </w:rPr>
        <w:t>3）</w:t>
      </w:r>
      <w:r>
        <w:rPr>
          <w:rFonts w:ascii="宋体" w:hAnsi="宋体" w:eastAsia="宋体" w:cs="宋体"/>
          <w:b/>
          <w:bCs/>
          <w:sz w:val="24"/>
          <w:highlight w:val="none"/>
          <w:lang w:eastAsia="zh-CN"/>
        </w:rPr>
        <w:t>投标（响应）报价低于采购项目最高限价45%的，即投标（响应）报价&lt;采购项目最高限价×45%；</w:t>
      </w:r>
      <w:r>
        <w:rPr>
          <w:rFonts w:ascii="宋体" w:hAnsi="宋体" w:eastAsia="宋体" w:cs="宋体"/>
          <w:b/>
          <w:bCs/>
          <w:sz w:val="24"/>
          <w:highlight w:val="none"/>
          <w:lang w:eastAsia="zh-CN"/>
        </w:rPr>
        <w:br w:type="textWrapping"/>
      </w:r>
      <w:r>
        <w:rPr>
          <w:rFonts w:hint="eastAsia" w:ascii="宋体" w:hAnsi="宋体" w:eastAsia="宋体" w:cs="宋体"/>
          <w:b/>
          <w:bCs/>
          <w:sz w:val="24"/>
          <w:highlight w:val="none"/>
          <w:lang w:eastAsia="zh-CN"/>
        </w:rPr>
        <w:t xml:space="preserve">   </w:t>
      </w:r>
      <w:r>
        <w:rPr>
          <w:rFonts w:hint="eastAsia" w:ascii="宋体" w:hAnsi="宋体" w:cs="宋体"/>
          <w:b/>
          <w:bCs/>
          <w:sz w:val="24"/>
          <w:highlight w:val="none"/>
          <w:lang w:eastAsia="zh-CN"/>
        </w:rPr>
        <w:t>4）</w:t>
      </w:r>
      <w:r>
        <w:rPr>
          <w:rFonts w:ascii="宋体" w:hAnsi="宋体" w:eastAsia="宋体" w:cs="宋体"/>
          <w:b/>
          <w:bCs/>
          <w:sz w:val="24"/>
          <w:highlight w:val="none"/>
          <w:lang w:eastAsia="zh-CN"/>
        </w:rPr>
        <w:t>评审委员会基于专业判断，认为供应商报价过低，有可能影响产品质量或者不能诚信履约的其他情形。</w:t>
      </w:r>
      <w:r>
        <w:rPr>
          <w:rFonts w:ascii="宋体" w:hAnsi="宋体" w:eastAsia="宋体" w:cs="宋体"/>
          <w:b/>
          <w:bCs/>
          <w:sz w:val="24"/>
          <w:highlight w:val="none"/>
          <w:lang w:eastAsia="zh-CN"/>
        </w:rPr>
        <w:br w:type="textWrapping"/>
      </w:r>
      <w:r>
        <w:rPr>
          <w:rFonts w:hint="eastAsia" w:ascii="宋体" w:hAnsi="宋体" w:cs="宋体"/>
          <w:b/>
          <w:bCs/>
          <w:sz w:val="24"/>
          <w:highlight w:val="none"/>
          <w:lang w:eastAsia="zh-CN"/>
        </w:rPr>
        <w:t xml:space="preserve">    </w:t>
      </w:r>
      <w:r>
        <w:rPr>
          <w:rFonts w:ascii="宋体" w:hAnsi="宋体" w:eastAsia="宋体" w:cs="宋体"/>
          <w:b/>
          <w:bCs/>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lang w:eastAsia="zh-CN"/>
        </w:rPr>
        <w:br w:type="textWrapping"/>
      </w:r>
    </w:p>
    <w:p w14:paraId="6149DC97">
      <w:pPr>
        <w:spacing w:line="420" w:lineRule="exact"/>
        <w:rPr>
          <w:rFonts w:ascii="宋体" w:hAnsi="宋体"/>
          <w:b/>
          <w:highlight w:val="none"/>
          <w:lang w:eastAsia="zh-CN"/>
        </w:rPr>
      </w:pPr>
    </w:p>
    <w:p w14:paraId="58988234">
      <w:pPr>
        <w:spacing w:line="420" w:lineRule="exact"/>
        <w:rPr>
          <w:rFonts w:ascii="宋体" w:hAnsi="宋体"/>
          <w:b/>
          <w:highlight w:val="none"/>
          <w:lang w:eastAsia="zh-CN"/>
        </w:rPr>
      </w:pPr>
    </w:p>
    <w:p w14:paraId="5697A822">
      <w:pPr>
        <w:adjustRightInd w:val="0"/>
        <w:spacing w:line="500" w:lineRule="exact"/>
        <w:textAlignment w:val="baseline"/>
        <w:rPr>
          <w:rFonts w:ascii="宋体" w:hAnsi="宋体" w:eastAsia="宋体" w:cs="宋体"/>
          <w:sz w:val="24"/>
          <w:highlight w:val="none"/>
          <w:lang w:eastAsia="zh-CN"/>
        </w:rPr>
      </w:pPr>
      <w:r>
        <w:rPr>
          <w:rFonts w:hint="eastAsia" w:ascii="宋体" w:hAnsi="宋体" w:eastAsia="宋体" w:cs="宋体"/>
          <w:sz w:val="24"/>
          <w:highlight w:val="none"/>
          <w:lang w:eastAsia="zh-CN"/>
        </w:rPr>
        <w:t>投标单位：（公章）</w:t>
      </w:r>
    </w:p>
    <w:p w14:paraId="0E314AE7">
      <w:pPr>
        <w:adjustRightInd w:val="0"/>
        <w:spacing w:line="500" w:lineRule="exact"/>
        <w:textAlignment w:val="baseline"/>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p>
    <w:p w14:paraId="318EDD94">
      <w:pPr>
        <w:pStyle w:val="20"/>
        <w:ind w:firstLine="0"/>
        <w:rPr>
          <w:rFonts w:hAnsi="宋体" w:eastAsia="宋体" w:cs="宋体"/>
          <w:highlight w:val="none"/>
          <w:lang w:eastAsia="zh-CN"/>
        </w:rPr>
      </w:pPr>
      <w:r>
        <w:rPr>
          <w:rFonts w:hint="eastAsia" w:hAnsi="宋体" w:eastAsia="宋体" w:cs="宋体"/>
          <w:sz w:val="24"/>
          <w:highlight w:val="none"/>
          <w:lang w:eastAsia="zh-CN"/>
        </w:rPr>
        <w:t>日期：      年     月     日</w:t>
      </w:r>
      <w:bookmarkEnd w:id="9"/>
    </w:p>
    <w:p w14:paraId="4F824B3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46540C1A">
      <w:pPr>
        <w:pBdr>
          <w:top w:val="none" w:color="000000" w:sz="0" w:space="0"/>
          <w:left w:val="none" w:color="000000" w:sz="0" w:space="0"/>
          <w:bottom w:val="none" w:color="000000" w:sz="0" w:space="0"/>
          <w:right w:val="none" w:color="000000" w:sz="0" w:space="0"/>
        </w:pBdr>
        <w:spacing w:after="0"/>
        <w:jc w:val="both"/>
        <w:outlineLvl w:val="1"/>
        <w:rPr>
          <w:highlight w:val="none"/>
          <w:lang w:eastAsia="zh-CN"/>
        </w:rPr>
      </w:pPr>
      <w:r>
        <w:rPr>
          <w:rFonts w:hint="eastAsia" w:ascii="宋体" w:hAnsi="宋体" w:eastAsia="宋体" w:cs="宋体"/>
          <w:b/>
          <w:color w:val="000000"/>
          <w:sz w:val="32"/>
          <w:highlight w:val="none"/>
          <w:lang w:eastAsia="zh-CN"/>
        </w:rPr>
        <w:t>8、</w:t>
      </w:r>
      <w:r>
        <w:rPr>
          <w:rFonts w:ascii="宋体" w:hAnsi="宋体" w:eastAsia="宋体" w:cs="宋体"/>
          <w:b/>
          <w:sz w:val="32"/>
          <w:highlight w:val="none"/>
          <w:lang w:eastAsia="zh-CN"/>
        </w:rPr>
        <w:t>服务要求偏离表</w:t>
      </w:r>
    </w:p>
    <w:p w14:paraId="3182B36F">
      <w:pPr>
        <w:jc w:val="center"/>
        <w:rPr>
          <w:rFonts w:ascii="宋体" w:hAnsi="宋体" w:eastAsia="宋体" w:cs="宋体"/>
          <w:b/>
          <w:sz w:val="30"/>
          <w:szCs w:val="30"/>
          <w:highlight w:val="none"/>
          <w:lang w:eastAsia="zh-CN"/>
        </w:rPr>
      </w:pPr>
    </w:p>
    <w:p w14:paraId="6AC3DBED">
      <w:pPr>
        <w:jc w:val="center"/>
        <w:rPr>
          <w:rFonts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服务要求偏离表</w:t>
      </w:r>
    </w:p>
    <w:p w14:paraId="1F6AA9F9">
      <w:pPr>
        <w:pStyle w:val="18"/>
        <w:spacing w:after="0" w:line="360" w:lineRule="auto"/>
        <w:ind w:left="22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招标文件编号： </w:t>
      </w:r>
    </w:p>
    <w:tbl>
      <w:tblPr>
        <w:tblStyle w:val="45"/>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42BBF28F">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vAlign w:val="center"/>
          </w:tcPr>
          <w:p w14:paraId="1D5893C9">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 </w:t>
            </w:r>
          </w:p>
        </w:tc>
        <w:tc>
          <w:tcPr>
            <w:tcW w:w="1417" w:type="dxa"/>
            <w:tcBorders>
              <w:top w:val="single" w:color="auto" w:sz="4" w:space="0"/>
              <w:left w:val="nil"/>
              <w:bottom w:val="single" w:color="auto" w:sz="4" w:space="0"/>
              <w:right w:val="single" w:color="auto" w:sz="4" w:space="0"/>
            </w:tcBorders>
            <w:vAlign w:val="center"/>
          </w:tcPr>
          <w:p w14:paraId="468129C2">
            <w:pPr>
              <w:jc w:val="center"/>
              <w:rPr>
                <w:rFonts w:ascii="宋体" w:hAnsi="宋体" w:eastAsia="宋体" w:cs="宋体"/>
                <w:sz w:val="24"/>
                <w:szCs w:val="24"/>
                <w:highlight w:val="none"/>
              </w:rPr>
            </w:pPr>
            <w:r>
              <w:rPr>
                <w:rFonts w:hint="eastAsia" w:ascii="宋体" w:hAnsi="宋体" w:eastAsia="宋体" w:cs="宋体"/>
                <w:sz w:val="24"/>
                <w:szCs w:val="24"/>
                <w:highlight w:val="none"/>
              </w:rPr>
              <w:t>标的名称</w:t>
            </w:r>
          </w:p>
        </w:tc>
        <w:tc>
          <w:tcPr>
            <w:tcW w:w="1560" w:type="dxa"/>
            <w:tcBorders>
              <w:top w:val="single" w:color="auto" w:sz="4" w:space="0"/>
              <w:left w:val="nil"/>
              <w:bottom w:val="single" w:color="auto" w:sz="4" w:space="0"/>
              <w:right w:val="single" w:color="auto" w:sz="4" w:space="0"/>
            </w:tcBorders>
            <w:vAlign w:val="center"/>
          </w:tcPr>
          <w:p w14:paraId="0A2DD4D0">
            <w:pPr>
              <w:jc w:val="center"/>
              <w:rPr>
                <w:rFonts w:ascii="宋体" w:hAnsi="宋体" w:eastAsia="宋体" w:cs="宋体"/>
                <w:sz w:val="24"/>
                <w:szCs w:val="24"/>
                <w:highlight w:val="none"/>
              </w:rPr>
            </w:pPr>
            <w:r>
              <w:rPr>
                <w:rFonts w:hint="eastAsia" w:ascii="宋体" w:hAnsi="宋体" w:eastAsia="宋体" w:cs="宋体"/>
                <w:sz w:val="24"/>
                <w:szCs w:val="24"/>
                <w:highlight w:val="none"/>
              </w:rPr>
              <w:t>招标文件</w:t>
            </w:r>
          </w:p>
          <w:p w14:paraId="1B52B140">
            <w:pPr>
              <w:jc w:val="center"/>
              <w:rPr>
                <w:rFonts w:ascii="宋体" w:hAnsi="宋体" w:eastAsia="宋体" w:cs="宋体"/>
                <w:sz w:val="24"/>
                <w:szCs w:val="24"/>
                <w:highlight w:val="none"/>
              </w:rPr>
            </w:pPr>
            <w:r>
              <w:rPr>
                <w:rFonts w:hint="eastAsia" w:ascii="宋体" w:hAnsi="宋体" w:eastAsia="宋体" w:cs="宋体"/>
                <w:sz w:val="24"/>
                <w:szCs w:val="24"/>
                <w:highlight w:val="none"/>
              </w:rPr>
              <w:t>技术要求</w:t>
            </w:r>
          </w:p>
        </w:tc>
        <w:tc>
          <w:tcPr>
            <w:tcW w:w="1417" w:type="dxa"/>
            <w:tcBorders>
              <w:top w:val="single" w:color="auto" w:sz="4" w:space="0"/>
              <w:left w:val="nil"/>
              <w:bottom w:val="single" w:color="auto" w:sz="4" w:space="0"/>
              <w:right w:val="single" w:color="auto" w:sz="4" w:space="0"/>
            </w:tcBorders>
            <w:vAlign w:val="center"/>
          </w:tcPr>
          <w:p w14:paraId="5190D7AF">
            <w:pPr>
              <w:jc w:val="center"/>
              <w:rPr>
                <w:rFonts w:ascii="宋体" w:hAnsi="宋体" w:eastAsia="宋体" w:cs="宋体"/>
                <w:sz w:val="24"/>
                <w:szCs w:val="24"/>
                <w:highlight w:val="none"/>
              </w:rPr>
            </w:pPr>
            <w:r>
              <w:rPr>
                <w:rFonts w:hint="eastAsia" w:ascii="宋体" w:hAnsi="宋体" w:eastAsia="宋体" w:cs="宋体"/>
                <w:sz w:val="24"/>
                <w:szCs w:val="24"/>
                <w:highlight w:val="none"/>
              </w:rPr>
              <w:t>投标文件</w:t>
            </w:r>
          </w:p>
          <w:p w14:paraId="497280AC">
            <w:pPr>
              <w:jc w:val="center"/>
              <w:rPr>
                <w:rFonts w:ascii="宋体" w:hAnsi="宋体" w:eastAsia="宋体" w:cs="宋体"/>
                <w:sz w:val="24"/>
                <w:szCs w:val="24"/>
                <w:highlight w:val="none"/>
              </w:rPr>
            </w:pPr>
            <w:r>
              <w:rPr>
                <w:rFonts w:hint="eastAsia" w:ascii="宋体" w:hAnsi="宋体" w:eastAsia="宋体" w:cs="宋体"/>
                <w:sz w:val="24"/>
                <w:szCs w:val="24"/>
                <w:highlight w:val="none"/>
              </w:rPr>
              <w:t>响应要求</w:t>
            </w:r>
          </w:p>
        </w:tc>
        <w:tc>
          <w:tcPr>
            <w:tcW w:w="1985" w:type="dxa"/>
            <w:tcBorders>
              <w:top w:val="single" w:color="auto" w:sz="4" w:space="0"/>
              <w:left w:val="nil"/>
              <w:bottom w:val="single" w:color="auto" w:sz="4" w:space="0"/>
              <w:right w:val="single" w:color="auto" w:sz="4" w:space="0"/>
            </w:tcBorders>
            <w:vAlign w:val="center"/>
          </w:tcPr>
          <w:p w14:paraId="3AE26C85">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偏离情况(正偏离/无偏离/负偏离)</w:t>
            </w:r>
          </w:p>
        </w:tc>
        <w:tc>
          <w:tcPr>
            <w:tcW w:w="1843" w:type="dxa"/>
            <w:tcBorders>
              <w:top w:val="single" w:color="auto" w:sz="4" w:space="0"/>
              <w:left w:val="nil"/>
              <w:bottom w:val="single" w:color="auto" w:sz="4" w:space="0"/>
              <w:right w:val="single" w:color="auto" w:sz="4" w:space="0"/>
            </w:tcBorders>
            <w:vAlign w:val="center"/>
          </w:tcPr>
          <w:p w14:paraId="1F8A5A02">
            <w:pPr>
              <w:rPr>
                <w:rFonts w:ascii="宋体" w:hAnsi="宋体" w:eastAsia="宋体" w:cs="宋体"/>
                <w:sz w:val="24"/>
                <w:szCs w:val="24"/>
                <w:highlight w:val="none"/>
              </w:rPr>
            </w:pPr>
            <w:r>
              <w:rPr>
                <w:rFonts w:hint="eastAsia" w:ascii="宋体" w:hAnsi="宋体" w:eastAsia="宋体" w:cs="宋体"/>
                <w:sz w:val="24"/>
                <w:szCs w:val="24"/>
                <w:highlight w:val="none"/>
              </w:rPr>
              <w:t>备注(证明材料位置)</w:t>
            </w:r>
          </w:p>
        </w:tc>
      </w:tr>
      <w:tr w14:paraId="58A6A6A8">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616D602E">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7E9DFA64">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38B9DD99">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3FF5F5FA">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0D4D9B91">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19736CC5">
            <w:pPr>
              <w:jc w:val="center"/>
              <w:rPr>
                <w:rFonts w:ascii="宋体" w:hAnsi="宋体" w:eastAsia="宋体" w:cs="宋体"/>
                <w:sz w:val="24"/>
                <w:szCs w:val="24"/>
                <w:highlight w:val="none"/>
              </w:rPr>
            </w:pPr>
          </w:p>
        </w:tc>
      </w:tr>
      <w:tr w14:paraId="256FCF24">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0CF4DC54">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6946CBBC">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6D3F0074">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5D576DAB">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3503A7E7">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4562390D">
            <w:pPr>
              <w:jc w:val="center"/>
              <w:rPr>
                <w:rFonts w:ascii="宋体" w:hAnsi="宋体" w:eastAsia="宋体" w:cs="宋体"/>
                <w:sz w:val="24"/>
                <w:szCs w:val="24"/>
                <w:highlight w:val="none"/>
              </w:rPr>
            </w:pPr>
          </w:p>
        </w:tc>
      </w:tr>
      <w:tr w14:paraId="728EC20F">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3102079">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07D712B9">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6A08FFCB">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51C5355E">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3BA31A10">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31FD8E77">
            <w:pPr>
              <w:jc w:val="center"/>
              <w:rPr>
                <w:rFonts w:ascii="宋体" w:hAnsi="宋体" w:eastAsia="宋体" w:cs="宋体"/>
                <w:sz w:val="24"/>
                <w:szCs w:val="24"/>
                <w:highlight w:val="none"/>
              </w:rPr>
            </w:pPr>
          </w:p>
        </w:tc>
      </w:tr>
      <w:tr w14:paraId="549BB6EE">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45EF178C">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48691BD4">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4AF66345">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09FD3131">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0C1939E8">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6539A56D">
            <w:pPr>
              <w:jc w:val="center"/>
              <w:rPr>
                <w:rFonts w:ascii="宋体" w:hAnsi="宋体" w:eastAsia="宋体" w:cs="宋体"/>
                <w:sz w:val="24"/>
                <w:szCs w:val="24"/>
                <w:highlight w:val="none"/>
              </w:rPr>
            </w:pPr>
          </w:p>
        </w:tc>
      </w:tr>
      <w:tr w14:paraId="101B074B">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407C231B">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0F03E48E">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33127315">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30F2B227">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2A15B5BC">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466D4BB8">
            <w:pPr>
              <w:jc w:val="center"/>
              <w:rPr>
                <w:rFonts w:ascii="宋体" w:hAnsi="宋体" w:eastAsia="宋体" w:cs="宋体"/>
                <w:sz w:val="24"/>
                <w:szCs w:val="24"/>
                <w:highlight w:val="none"/>
              </w:rPr>
            </w:pPr>
          </w:p>
        </w:tc>
      </w:tr>
    </w:tbl>
    <w:p w14:paraId="3D79D373">
      <w:pPr>
        <w:rPr>
          <w:rFonts w:ascii="宋体" w:hAnsi="宋体" w:eastAsia="宋体" w:cs="宋体"/>
          <w:b/>
          <w:sz w:val="24"/>
          <w:szCs w:val="24"/>
          <w:highlight w:val="none"/>
        </w:rPr>
      </w:pPr>
    </w:p>
    <w:p w14:paraId="50F40EF7">
      <w:pP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注：</w:t>
      </w:r>
    </w:p>
    <w:p w14:paraId="4A16C565">
      <w:pPr>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应在本表中对照招标文件技术要求（包括服务要求）与实际投标技术要求（包括服务要求）逐项对应列出，并在“偏离说明”项下填写以下内容：优于的，填写“正偏离”；符合的，填写“无偏离”；低于的，填写“负偏离”。</w:t>
      </w:r>
    </w:p>
    <w:p w14:paraId="0EF1A5D9">
      <w:pPr>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46F120DB">
      <w:pPr>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3.上表所指证明材料为项目需求中要求提供的检测报告、截图、各类证书或其他形式的材料，证明材料附后。</w:t>
      </w:r>
    </w:p>
    <w:p w14:paraId="2F900C01">
      <w:pPr>
        <w:rPr>
          <w:rFonts w:ascii="宋体" w:hAnsi="宋体" w:eastAsia="宋体" w:cs="宋体"/>
          <w:sz w:val="24"/>
          <w:szCs w:val="24"/>
          <w:highlight w:val="none"/>
          <w:lang w:eastAsia="zh-CN"/>
        </w:rPr>
      </w:pPr>
    </w:p>
    <w:p w14:paraId="4F0B110F">
      <w:pPr>
        <w:rPr>
          <w:rFonts w:ascii="宋体" w:hAnsi="宋体" w:eastAsia="宋体" w:cs="宋体"/>
          <w:sz w:val="24"/>
          <w:szCs w:val="24"/>
          <w:highlight w:val="none"/>
          <w:lang w:eastAsia="zh-CN"/>
        </w:rPr>
      </w:pPr>
    </w:p>
    <w:p w14:paraId="661692D7">
      <w:pPr>
        <w:rPr>
          <w:rFonts w:ascii="宋体" w:hAnsi="宋体" w:eastAsia="宋体" w:cs="宋体"/>
          <w:sz w:val="24"/>
          <w:szCs w:val="24"/>
          <w:highlight w:val="none"/>
          <w:lang w:eastAsia="zh-CN"/>
        </w:rPr>
      </w:pPr>
    </w:p>
    <w:p w14:paraId="4A5CFEC8">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投标单位：（单位盖章）</w:t>
      </w:r>
    </w:p>
    <w:p w14:paraId="2C24CF7B">
      <w:pPr>
        <w:rPr>
          <w:rFonts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188230EF">
      <w:pPr>
        <w:pBdr>
          <w:top w:val="none" w:color="000000" w:sz="0" w:space="0"/>
          <w:left w:val="none" w:color="000000" w:sz="0" w:space="0"/>
          <w:bottom w:val="none" w:color="000000" w:sz="0" w:space="0"/>
          <w:right w:val="none" w:color="000000" w:sz="0" w:space="0"/>
        </w:pBd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投标日期：   年   月   日</w:t>
      </w:r>
    </w:p>
    <w:p w14:paraId="38CD34D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p>
    <w:p w14:paraId="658F1682">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A41221C">
      <w:pPr>
        <w:snapToGrid w:val="0"/>
        <w:spacing w:line="360" w:lineRule="auto"/>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9、商务要求偏离表</w:t>
      </w:r>
    </w:p>
    <w:p w14:paraId="63E58404">
      <w:pPr>
        <w:snapToGrid w:val="0"/>
        <w:spacing w:line="360" w:lineRule="auto"/>
        <w:jc w:val="center"/>
        <w:rPr>
          <w:rFonts w:ascii="宋体" w:hAnsi="宋体" w:eastAsia="宋体" w:cs="宋体"/>
          <w:b/>
          <w:spacing w:val="20"/>
          <w:sz w:val="32"/>
          <w:szCs w:val="32"/>
          <w:highlight w:val="none"/>
        </w:rPr>
      </w:pPr>
      <w:r>
        <w:rPr>
          <w:rFonts w:hint="eastAsia" w:ascii="宋体" w:hAnsi="宋体" w:eastAsia="宋体" w:cs="宋体"/>
          <w:b/>
          <w:spacing w:val="20"/>
          <w:sz w:val="32"/>
          <w:szCs w:val="32"/>
          <w:highlight w:val="none"/>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44B90D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03796005">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6D3823F0">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379E7352">
            <w:pPr>
              <w:snapToGrid w:val="0"/>
              <w:spacing w:line="360" w:lineRule="auto"/>
              <w:jc w:val="center"/>
              <w:rPr>
                <w:rFonts w:ascii="宋体" w:hAnsi="宋体" w:eastAsia="宋体" w:cs="宋体"/>
                <w:bCs/>
                <w:sz w:val="24"/>
                <w:szCs w:val="24"/>
                <w:highlight w:val="none"/>
              </w:rPr>
            </w:pPr>
            <w:r>
              <w:rPr>
                <w:rFonts w:hint="eastAsia" w:ascii="宋体" w:hAnsi="宋体" w:eastAsia="宋体" w:cs="宋体"/>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4C87FD53">
            <w:pPr>
              <w:snapToGrid w:val="0"/>
              <w:spacing w:line="360" w:lineRule="auto"/>
              <w:jc w:val="center"/>
              <w:rPr>
                <w:rFonts w:ascii="宋体" w:hAnsi="宋体" w:eastAsia="宋体" w:cs="宋体"/>
                <w:bCs/>
                <w:sz w:val="24"/>
                <w:szCs w:val="24"/>
                <w:highlight w:val="none"/>
              </w:rPr>
            </w:pPr>
            <w:r>
              <w:rPr>
                <w:rFonts w:hint="eastAsia" w:ascii="宋体" w:hAnsi="宋体" w:eastAsia="宋体" w:cs="宋体"/>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503F39CB">
            <w:pPr>
              <w:snapToGrid w:val="0"/>
              <w:spacing w:line="360" w:lineRule="auto"/>
              <w:jc w:val="center"/>
              <w:rPr>
                <w:rFonts w:ascii="宋体" w:hAnsi="宋体" w:eastAsia="宋体" w:cs="宋体"/>
                <w:kern w:val="1"/>
                <w:sz w:val="24"/>
                <w:szCs w:val="24"/>
                <w:highlight w:val="none"/>
              </w:rPr>
            </w:pPr>
            <w:r>
              <w:rPr>
                <w:rFonts w:hint="eastAsia" w:ascii="宋体" w:hAnsi="宋体" w:eastAsia="宋体" w:cs="宋体"/>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40BBCFB3">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备注</w:t>
            </w:r>
          </w:p>
        </w:tc>
      </w:tr>
      <w:tr w14:paraId="065512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996CD1F">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7E39BBD1">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2F96959A">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6B23BF0">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82D7D2B">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2A73CC8">
            <w:pPr>
              <w:snapToGrid w:val="0"/>
              <w:spacing w:line="360" w:lineRule="auto"/>
              <w:rPr>
                <w:rFonts w:ascii="宋体" w:hAnsi="宋体" w:eastAsia="宋体" w:cs="宋体"/>
                <w:sz w:val="24"/>
                <w:szCs w:val="24"/>
                <w:highlight w:val="none"/>
              </w:rPr>
            </w:pPr>
          </w:p>
        </w:tc>
      </w:tr>
      <w:tr w14:paraId="2ADCEC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B47FD53">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3044FFB2">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057BF550">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536687A">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F86498A">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B16E9DA">
            <w:pPr>
              <w:snapToGrid w:val="0"/>
              <w:spacing w:line="360" w:lineRule="auto"/>
              <w:rPr>
                <w:rFonts w:ascii="宋体" w:hAnsi="宋体" w:eastAsia="宋体" w:cs="宋体"/>
                <w:sz w:val="24"/>
                <w:szCs w:val="24"/>
                <w:highlight w:val="none"/>
              </w:rPr>
            </w:pPr>
          </w:p>
        </w:tc>
      </w:tr>
      <w:tr w14:paraId="31EF8C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29C5943">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20267272">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53D482BF">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B5BD56D">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A6365AF">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E9ABE58">
            <w:pPr>
              <w:snapToGrid w:val="0"/>
              <w:spacing w:line="360" w:lineRule="auto"/>
              <w:rPr>
                <w:rFonts w:ascii="宋体" w:hAnsi="宋体" w:eastAsia="宋体" w:cs="宋体"/>
                <w:sz w:val="24"/>
                <w:szCs w:val="24"/>
                <w:highlight w:val="none"/>
              </w:rPr>
            </w:pPr>
          </w:p>
        </w:tc>
      </w:tr>
      <w:tr w14:paraId="04344A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BB17A51">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146CB159">
            <w:pPr>
              <w:snapToGrid w:val="0"/>
              <w:spacing w:line="360" w:lineRule="auto"/>
              <w:rPr>
                <w:rFonts w:ascii="宋体" w:hAnsi="宋体" w:eastAsia="宋体" w:cs="宋体"/>
                <w:bCs/>
                <w:sz w:val="24"/>
                <w:szCs w:val="24"/>
                <w:highlight w:val="none"/>
              </w:rPr>
            </w:pPr>
            <w:r>
              <w:rPr>
                <w:rFonts w:hint="eastAsia" w:ascii="宋体" w:hAnsi="宋体" w:eastAsia="宋体" w:cs="宋体"/>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6C0537DF">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DD5593B">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480991D">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372E39A">
            <w:pPr>
              <w:snapToGrid w:val="0"/>
              <w:spacing w:line="360" w:lineRule="auto"/>
              <w:rPr>
                <w:rFonts w:ascii="宋体" w:hAnsi="宋体" w:eastAsia="宋体" w:cs="宋体"/>
                <w:sz w:val="24"/>
                <w:szCs w:val="24"/>
                <w:highlight w:val="none"/>
              </w:rPr>
            </w:pPr>
          </w:p>
        </w:tc>
      </w:tr>
      <w:tr w14:paraId="78608D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2C1DC88">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4E0297B3">
            <w:pPr>
              <w:snapToGrid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23BE465B">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D19B937">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7E3F448">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46E2241B">
            <w:pPr>
              <w:snapToGrid w:val="0"/>
              <w:spacing w:line="360" w:lineRule="auto"/>
              <w:rPr>
                <w:rFonts w:ascii="宋体" w:hAnsi="宋体" w:eastAsia="宋体" w:cs="宋体"/>
                <w:sz w:val="24"/>
                <w:szCs w:val="24"/>
                <w:highlight w:val="none"/>
              </w:rPr>
            </w:pPr>
          </w:p>
        </w:tc>
      </w:tr>
      <w:tr w14:paraId="1C0E8E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24AF485">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4F5D9BE8">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C986310">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80157AC">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6B4D9D3">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D20F9BA">
            <w:pPr>
              <w:snapToGrid w:val="0"/>
              <w:spacing w:line="360" w:lineRule="auto"/>
              <w:rPr>
                <w:rFonts w:ascii="宋体" w:hAnsi="宋体" w:eastAsia="宋体" w:cs="宋体"/>
                <w:sz w:val="24"/>
                <w:szCs w:val="24"/>
                <w:highlight w:val="none"/>
              </w:rPr>
            </w:pPr>
          </w:p>
        </w:tc>
      </w:tr>
      <w:tr w14:paraId="30C99D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260FFA4">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7EA1A5B1">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06A83D81">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F8C0CB3">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0E4614A">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F685D87">
            <w:pPr>
              <w:snapToGrid w:val="0"/>
              <w:spacing w:line="360" w:lineRule="auto"/>
              <w:rPr>
                <w:rFonts w:ascii="宋体" w:hAnsi="宋体" w:eastAsia="宋体" w:cs="宋体"/>
                <w:sz w:val="24"/>
                <w:szCs w:val="24"/>
                <w:highlight w:val="none"/>
              </w:rPr>
            </w:pPr>
          </w:p>
        </w:tc>
      </w:tr>
      <w:tr w14:paraId="69C855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A477888">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65E05D8B">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7CA72102">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3960E9C5">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19FEE87">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18339A2">
            <w:pPr>
              <w:snapToGrid w:val="0"/>
              <w:spacing w:line="360" w:lineRule="auto"/>
              <w:rPr>
                <w:rFonts w:ascii="宋体" w:hAnsi="宋体" w:eastAsia="宋体" w:cs="宋体"/>
                <w:sz w:val="24"/>
                <w:szCs w:val="24"/>
                <w:highlight w:val="none"/>
              </w:rPr>
            </w:pPr>
          </w:p>
        </w:tc>
      </w:tr>
      <w:tr w14:paraId="70C562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42128FC">
            <w:pPr>
              <w:snapToGrid w:val="0"/>
              <w:spacing w:line="360" w:lineRule="auto"/>
              <w:jc w:val="center"/>
              <w:rPr>
                <w:rFonts w:ascii="宋体" w:hAnsi="宋体" w:eastAsia="宋体" w:cs="宋体"/>
                <w:bCs/>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64F3E2E3">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275C999E">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C2E4AC2">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A69FED8">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B69F98C">
            <w:pPr>
              <w:snapToGrid w:val="0"/>
              <w:spacing w:line="360" w:lineRule="auto"/>
              <w:rPr>
                <w:rFonts w:ascii="宋体" w:hAnsi="宋体" w:eastAsia="宋体" w:cs="宋体"/>
                <w:sz w:val="24"/>
                <w:szCs w:val="24"/>
                <w:highlight w:val="none"/>
              </w:rPr>
            </w:pPr>
          </w:p>
        </w:tc>
      </w:tr>
    </w:tbl>
    <w:p w14:paraId="2D1E935F">
      <w:pPr>
        <w:snapToGrid w:val="0"/>
        <w:spacing w:line="360" w:lineRule="auto"/>
        <w:ind w:firstLine="482" w:firstLineChars="200"/>
        <w:rPr>
          <w:rFonts w:ascii="宋体" w:hAnsi="宋体" w:eastAsia="宋体" w:cs="宋体"/>
          <w:b/>
          <w:sz w:val="24"/>
          <w:szCs w:val="24"/>
          <w:highlight w:val="none"/>
        </w:rPr>
      </w:pPr>
    </w:p>
    <w:p w14:paraId="66E73127">
      <w:pPr>
        <w:autoSpaceDE w:val="0"/>
        <w:autoSpaceDN w:val="0"/>
        <w:adjustRightInd w:val="0"/>
        <w:snapToGrid w:val="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注：</w:t>
      </w:r>
      <w:r>
        <w:rPr>
          <w:rFonts w:hint="eastAsia" w:ascii="宋体" w:hAnsi="宋体" w:eastAsia="宋体" w:cs="宋体"/>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7A5C2E7D">
      <w:pPr>
        <w:pStyle w:val="14"/>
        <w:overflowPunct w:val="0"/>
        <w:spacing w:line="360" w:lineRule="auto"/>
        <w:ind w:firstLine="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066DD03D">
      <w:pPr>
        <w:adjustRightInd w:val="0"/>
        <w:snapToGrid w:val="0"/>
        <w:spacing w:line="360" w:lineRule="auto"/>
        <w:ind w:firstLine="480" w:firstLineChars="200"/>
        <w:rPr>
          <w:rFonts w:ascii="宋体" w:hAnsi="宋体" w:eastAsia="宋体" w:cs="宋体"/>
          <w:sz w:val="24"/>
          <w:szCs w:val="24"/>
          <w:highlight w:val="none"/>
          <w:lang w:eastAsia="zh-CN"/>
        </w:rPr>
      </w:pPr>
    </w:p>
    <w:p w14:paraId="0F003B8D">
      <w:pPr>
        <w:adjustRightInd w:val="0"/>
        <w:snapToGrid w:val="0"/>
        <w:spacing w:line="360" w:lineRule="auto"/>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供应商：（公章）</w:t>
      </w:r>
    </w:p>
    <w:p w14:paraId="0E9E55E3">
      <w:pPr>
        <w:adjustRightInd w:val="0"/>
        <w:snapToGrid w:val="0"/>
        <w:spacing w:line="360" w:lineRule="auto"/>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3C152709">
      <w:pPr>
        <w:adjustRightInd w:val="0"/>
        <w:snapToGrid w:val="0"/>
        <w:spacing w:line="360" w:lineRule="auto"/>
        <w:ind w:firstLine="480" w:firstLineChars="200"/>
        <w:rPr>
          <w:rFonts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投标日期:  年  月   日</w:t>
      </w:r>
    </w:p>
    <w:p w14:paraId="0A09C4B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10、项目技术方案及服务方案</w:t>
      </w:r>
    </w:p>
    <w:p w14:paraId="13108FA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66E6B63">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投标人根据项目需求编写针对本项目的技术方案及服务方案</w:t>
      </w:r>
    </w:p>
    <w:p w14:paraId="52853C1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254A35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B1334B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61ECA3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261A65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FEE744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042CFB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11、项目实施方案及进度方案</w:t>
      </w:r>
    </w:p>
    <w:p w14:paraId="0BBEBDD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F181C8D">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投标人根据项目需求编写针对本项目的实施方案及进度方案</w:t>
      </w:r>
    </w:p>
    <w:p w14:paraId="3907672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DC868E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73A714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7B2CA6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D9353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BEC24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12、项目质量保证措施及承诺</w:t>
      </w:r>
    </w:p>
    <w:p w14:paraId="2E16ABC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B3BFB3B">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投标人根据项目需求编写针对本项目的质量保证措施及承诺</w:t>
      </w:r>
    </w:p>
    <w:p w14:paraId="4FF2711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4E35D12">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48E86EC">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A46DC80">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453FDB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13、项目售后服务方案</w:t>
      </w:r>
    </w:p>
    <w:p w14:paraId="79037CB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E1DCFA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投标人根据项目需求编写针对本项目的售后服务方案</w:t>
      </w:r>
    </w:p>
    <w:p w14:paraId="73D9A06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A99840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780D93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7746CD6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187B8DA2">
      <w:pPr>
        <w:snapToGrid w:val="0"/>
        <w:rPr>
          <w:rFonts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14、</w:t>
      </w:r>
      <w:r>
        <w:rPr>
          <w:rFonts w:hint="eastAsia" w:ascii="宋体" w:hAnsi="宋体" w:eastAsia="宋体" w:cs="宋体"/>
          <w:b/>
          <w:sz w:val="32"/>
          <w:szCs w:val="32"/>
          <w:highlight w:val="none"/>
          <w:lang w:eastAsia="zh-CN"/>
        </w:rPr>
        <w:t>企业类似业绩一览表</w:t>
      </w:r>
    </w:p>
    <w:p w14:paraId="37E508D7">
      <w:pPr>
        <w:spacing w:line="360" w:lineRule="auto"/>
        <w:jc w:val="center"/>
        <w:rPr>
          <w:rFonts w:ascii="宋体" w:hAnsi="宋体" w:eastAsia="宋体" w:cs="宋体"/>
          <w:b/>
          <w:sz w:val="28"/>
          <w:szCs w:val="28"/>
          <w:highlight w:val="none"/>
          <w:lang w:eastAsia="zh-CN"/>
        </w:rPr>
      </w:pPr>
    </w:p>
    <w:p w14:paraId="0FAC8A55">
      <w:pPr>
        <w:spacing w:line="360" w:lineRule="auto"/>
        <w:jc w:val="center"/>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0046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BA2C75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序号</w:t>
            </w:r>
          </w:p>
        </w:tc>
        <w:tc>
          <w:tcPr>
            <w:tcW w:w="1356" w:type="dxa"/>
            <w:vAlign w:val="center"/>
          </w:tcPr>
          <w:p w14:paraId="28F1D36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项目名称</w:t>
            </w:r>
          </w:p>
        </w:tc>
        <w:tc>
          <w:tcPr>
            <w:tcW w:w="1327" w:type="dxa"/>
            <w:vAlign w:val="center"/>
          </w:tcPr>
          <w:p w14:paraId="2485E995">
            <w:pPr>
              <w:spacing w:line="360" w:lineRule="auto"/>
              <w:jc w:val="center"/>
              <w:rPr>
                <w:rFonts w:ascii="宋体" w:hAnsi="宋体" w:eastAsia="宋体" w:cs="宋体"/>
                <w:sz w:val="24"/>
                <w:highlight w:val="none"/>
              </w:rPr>
            </w:pPr>
            <w:r>
              <w:rPr>
                <w:rFonts w:hint="eastAsia" w:ascii="宋体" w:hAnsi="宋体" w:eastAsia="宋体" w:cs="宋体"/>
                <w:sz w:val="24"/>
                <w:highlight w:val="none"/>
              </w:rPr>
              <w:t>项目时间</w:t>
            </w:r>
          </w:p>
        </w:tc>
        <w:tc>
          <w:tcPr>
            <w:tcW w:w="1347" w:type="dxa"/>
            <w:vAlign w:val="center"/>
          </w:tcPr>
          <w:p w14:paraId="735559A7">
            <w:pPr>
              <w:tabs>
                <w:tab w:val="left" w:pos="6252"/>
              </w:tabs>
              <w:jc w:val="center"/>
              <w:rPr>
                <w:rFonts w:ascii="宋体" w:hAnsi="宋体" w:eastAsia="宋体" w:cs="宋体"/>
                <w:sz w:val="24"/>
                <w:highlight w:val="none"/>
              </w:rPr>
            </w:pPr>
            <w:r>
              <w:rPr>
                <w:rFonts w:hint="eastAsia" w:ascii="宋体" w:hAnsi="宋体" w:eastAsia="宋体" w:cs="宋体"/>
                <w:sz w:val="24"/>
                <w:highlight w:val="none"/>
              </w:rPr>
              <w:t>合同金额</w:t>
            </w:r>
          </w:p>
          <w:p w14:paraId="6A0B935B">
            <w:pPr>
              <w:tabs>
                <w:tab w:val="left" w:pos="6252"/>
              </w:tabs>
              <w:jc w:val="center"/>
              <w:rPr>
                <w:rFonts w:ascii="宋体" w:hAnsi="宋体" w:eastAsia="宋体" w:cs="宋体"/>
                <w:sz w:val="24"/>
                <w:highlight w:val="none"/>
              </w:rPr>
            </w:pPr>
            <w:r>
              <w:rPr>
                <w:rFonts w:hint="eastAsia" w:ascii="宋体" w:hAnsi="宋体" w:eastAsia="宋体" w:cs="宋体"/>
                <w:sz w:val="24"/>
                <w:highlight w:val="none"/>
              </w:rPr>
              <w:t>（人民币）</w:t>
            </w:r>
          </w:p>
        </w:tc>
        <w:tc>
          <w:tcPr>
            <w:tcW w:w="1965" w:type="dxa"/>
            <w:vAlign w:val="center"/>
          </w:tcPr>
          <w:p w14:paraId="139D5F1D">
            <w:pPr>
              <w:spacing w:line="360" w:lineRule="auto"/>
              <w:jc w:val="center"/>
              <w:rPr>
                <w:rFonts w:ascii="宋体" w:hAnsi="宋体" w:eastAsia="宋体" w:cs="宋体"/>
                <w:sz w:val="24"/>
                <w:highlight w:val="none"/>
              </w:rPr>
            </w:pPr>
            <w:r>
              <w:rPr>
                <w:rFonts w:hint="eastAsia" w:ascii="宋体" w:hAnsi="宋体" w:eastAsia="宋体" w:cs="宋体"/>
                <w:sz w:val="24"/>
                <w:highlight w:val="none"/>
              </w:rPr>
              <w:t>业主单位</w:t>
            </w:r>
          </w:p>
        </w:tc>
        <w:tc>
          <w:tcPr>
            <w:tcW w:w="1274" w:type="dxa"/>
            <w:vAlign w:val="center"/>
          </w:tcPr>
          <w:p w14:paraId="02381966">
            <w:pPr>
              <w:spacing w:line="360" w:lineRule="auto"/>
              <w:jc w:val="center"/>
              <w:rPr>
                <w:rFonts w:ascii="宋体" w:hAnsi="宋体" w:eastAsia="宋体" w:cs="宋体"/>
                <w:sz w:val="24"/>
                <w:highlight w:val="none"/>
              </w:rPr>
            </w:pPr>
            <w:r>
              <w:rPr>
                <w:rFonts w:hint="eastAsia" w:ascii="宋体" w:hAnsi="宋体" w:eastAsia="宋体" w:cs="宋体"/>
                <w:sz w:val="24"/>
                <w:highlight w:val="none"/>
              </w:rPr>
              <w:t>备注</w:t>
            </w:r>
          </w:p>
        </w:tc>
      </w:tr>
      <w:tr w14:paraId="0770C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6543A1C">
            <w:pPr>
              <w:spacing w:line="360" w:lineRule="auto"/>
              <w:jc w:val="center"/>
              <w:rPr>
                <w:rFonts w:ascii="宋体" w:hAnsi="宋体" w:eastAsia="宋体" w:cs="宋体"/>
                <w:sz w:val="24"/>
                <w:highlight w:val="none"/>
              </w:rPr>
            </w:pPr>
            <w:r>
              <w:rPr>
                <w:rFonts w:hint="eastAsia" w:ascii="宋体" w:hAnsi="宋体" w:eastAsia="宋体" w:cs="宋体"/>
                <w:sz w:val="24"/>
                <w:highlight w:val="none"/>
              </w:rPr>
              <w:t>1</w:t>
            </w:r>
          </w:p>
        </w:tc>
        <w:tc>
          <w:tcPr>
            <w:tcW w:w="1356" w:type="dxa"/>
            <w:vAlign w:val="center"/>
          </w:tcPr>
          <w:p w14:paraId="4402A3DC">
            <w:pPr>
              <w:spacing w:line="360" w:lineRule="auto"/>
              <w:jc w:val="center"/>
              <w:rPr>
                <w:rFonts w:ascii="宋体" w:hAnsi="宋体" w:eastAsia="宋体" w:cs="宋体"/>
                <w:sz w:val="24"/>
                <w:highlight w:val="none"/>
              </w:rPr>
            </w:pPr>
          </w:p>
        </w:tc>
        <w:tc>
          <w:tcPr>
            <w:tcW w:w="1327" w:type="dxa"/>
          </w:tcPr>
          <w:p w14:paraId="0464402E">
            <w:pPr>
              <w:spacing w:line="360" w:lineRule="auto"/>
              <w:jc w:val="center"/>
              <w:rPr>
                <w:rFonts w:ascii="宋体" w:hAnsi="宋体" w:eastAsia="宋体" w:cs="宋体"/>
                <w:sz w:val="24"/>
                <w:highlight w:val="none"/>
              </w:rPr>
            </w:pPr>
          </w:p>
        </w:tc>
        <w:tc>
          <w:tcPr>
            <w:tcW w:w="1347" w:type="dxa"/>
            <w:vAlign w:val="center"/>
          </w:tcPr>
          <w:p w14:paraId="0D4CC7C9">
            <w:pPr>
              <w:spacing w:line="360" w:lineRule="auto"/>
              <w:jc w:val="center"/>
              <w:rPr>
                <w:rFonts w:ascii="宋体" w:hAnsi="宋体" w:eastAsia="宋体" w:cs="宋体"/>
                <w:sz w:val="24"/>
                <w:highlight w:val="none"/>
              </w:rPr>
            </w:pPr>
          </w:p>
        </w:tc>
        <w:tc>
          <w:tcPr>
            <w:tcW w:w="1965" w:type="dxa"/>
            <w:vAlign w:val="center"/>
          </w:tcPr>
          <w:p w14:paraId="6F5F795F">
            <w:pPr>
              <w:spacing w:line="360" w:lineRule="auto"/>
              <w:jc w:val="center"/>
              <w:rPr>
                <w:rFonts w:ascii="宋体" w:hAnsi="宋体" w:eastAsia="宋体" w:cs="宋体"/>
                <w:sz w:val="24"/>
                <w:highlight w:val="none"/>
              </w:rPr>
            </w:pPr>
          </w:p>
        </w:tc>
        <w:tc>
          <w:tcPr>
            <w:tcW w:w="1274" w:type="dxa"/>
            <w:vAlign w:val="center"/>
          </w:tcPr>
          <w:p w14:paraId="039FC831">
            <w:pPr>
              <w:spacing w:line="360" w:lineRule="auto"/>
              <w:jc w:val="center"/>
              <w:rPr>
                <w:rFonts w:ascii="宋体" w:hAnsi="宋体" w:eastAsia="宋体" w:cs="宋体"/>
                <w:sz w:val="24"/>
                <w:highlight w:val="none"/>
              </w:rPr>
            </w:pPr>
          </w:p>
        </w:tc>
      </w:tr>
      <w:tr w14:paraId="38AD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A82C6F3">
            <w:pPr>
              <w:spacing w:line="360" w:lineRule="auto"/>
              <w:jc w:val="center"/>
              <w:rPr>
                <w:rFonts w:ascii="宋体" w:hAnsi="宋体" w:eastAsia="宋体" w:cs="宋体"/>
                <w:sz w:val="24"/>
                <w:highlight w:val="none"/>
              </w:rPr>
            </w:pPr>
            <w:r>
              <w:rPr>
                <w:rFonts w:hint="eastAsia" w:ascii="宋体" w:hAnsi="宋体" w:eastAsia="宋体" w:cs="宋体"/>
                <w:sz w:val="24"/>
                <w:highlight w:val="none"/>
              </w:rPr>
              <w:t>2</w:t>
            </w:r>
          </w:p>
        </w:tc>
        <w:tc>
          <w:tcPr>
            <w:tcW w:w="1356" w:type="dxa"/>
            <w:vAlign w:val="center"/>
          </w:tcPr>
          <w:p w14:paraId="51740C34">
            <w:pPr>
              <w:spacing w:line="360" w:lineRule="auto"/>
              <w:jc w:val="center"/>
              <w:rPr>
                <w:rFonts w:ascii="宋体" w:hAnsi="宋体" w:eastAsia="宋体" w:cs="宋体"/>
                <w:sz w:val="24"/>
                <w:highlight w:val="none"/>
              </w:rPr>
            </w:pPr>
          </w:p>
        </w:tc>
        <w:tc>
          <w:tcPr>
            <w:tcW w:w="1327" w:type="dxa"/>
          </w:tcPr>
          <w:p w14:paraId="3C2A37DD">
            <w:pPr>
              <w:spacing w:line="360" w:lineRule="auto"/>
              <w:jc w:val="center"/>
              <w:rPr>
                <w:rFonts w:ascii="宋体" w:hAnsi="宋体" w:eastAsia="宋体" w:cs="宋体"/>
                <w:sz w:val="24"/>
                <w:highlight w:val="none"/>
              </w:rPr>
            </w:pPr>
          </w:p>
        </w:tc>
        <w:tc>
          <w:tcPr>
            <w:tcW w:w="1347" w:type="dxa"/>
            <w:vAlign w:val="center"/>
          </w:tcPr>
          <w:p w14:paraId="7B414324">
            <w:pPr>
              <w:spacing w:line="360" w:lineRule="auto"/>
              <w:jc w:val="center"/>
              <w:rPr>
                <w:rFonts w:ascii="宋体" w:hAnsi="宋体" w:eastAsia="宋体" w:cs="宋体"/>
                <w:sz w:val="24"/>
                <w:highlight w:val="none"/>
              </w:rPr>
            </w:pPr>
          </w:p>
        </w:tc>
        <w:tc>
          <w:tcPr>
            <w:tcW w:w="1965" w:type="dxa"/>
            <w:vAlign w:val="center"/>
          </w:tcPr>
          <w:p w14:paraId="3F7C04FC">
            <w:pPr>
              <w:spacing w:line="360" w:lineRule="auto"/>
              <w:jc w:val="center"/>
              <w:rPr>
                <w:rFonts w:ascii="宋体" w:hAnsi="宋体" w:eastAsia="宋体" w:cs="宋体"/>
                <w:sz w:val="24"/>
                <w:highlight w:val="none"/>
              </w:rPr>
            </w:pPr>
          </w:p>
        </w:tc>
        <w:tc>
          <w:tcPr>
            <w:tcW w:w="1274" w:type="dxa"/>
            <w:vAlign w:val="center"/>
          </w:tcPr>
          <w:p w14:paraId="1AFB5714">
            <w:pPr>
              <w:spacing w:line="360" w:lineRule="auto"/>
              <w:jc w:val="center"/>
              <w:rPr>
                <w:rFonts w:ascii="宋体" w:hAnsi="宋体" w:eastAsia="宋体" w:cs="宋体"/>
                <w:sz w:val="24"/>
                <w:highlight w:val="none"/>
              </w:rPr>
            </w:pPr>
          </w:p>
        </w:tc>
      </w:tr>
      <w:tr w14:paraId="1FC5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C65B8CA">
            <w:pPr>
              <w:spacing w:line="360" w:lineRule="auto"/>
              <w:jc w:val="center"/>
              <w:rPr>
                <w:rFonts w:ascii="宋体" w:hAnsi="宋体" w:eastAsia="宋体" w:cs="宋体"/>
                <w:sz w:val="24"/>
                <w:highlight w:val="none"/>
              </w:rPr>
            </w:pPr>
            <w:r>
              <w:rPr>
                <w:rFonts w:hint="eastAsia" w:ascii="宋体" w:hAnsi="宋体" w:eastAsia="宋体" w:cs="宋体"/>
                <w:sz w:val="24"/>
                <w:highlight w:val="none"/>
              </w:rPr>
              <w:t>3</w:t>
            </w:r>
          </w:p>
        </w:tc>
        <w:tc>
          <w:tcPr>
            <w:tcW w:w="1356" w:type="dxa"/>
            <w:vAlign w:val="center"/>
          </w:tcPr>
          <w:p w14:paraId="7B0195AB">
            <w:pPr>
              <w:spacing w:line="360" w:lineRule="auto"/>
              <w:jc w:val="center"/>
              <w:rPr>
                <w:rFonts w:ascii="宋体" w:hAnsi="宋体" w:eastAsia="宋体" w:cs="宋体"/>
                <w:sz w:val="24"/>
                <w:highlight w:val="none"/>
              </w:rPr>
            </w:pPr>
          </w:p>
        </w:tc>
        <w:tc>
          <w:tcPr>
            <w:tcW w:w="1327" w:type="dxa"/>
          </w:tcPr>
          <w:p w14:paraId="725A3E8A">
            <w:pPr>
              <w:spacing w:line="360" w:lineRule="auto"/>
              <w:jc w:val="center"/>
              <w:rPr>
                <w:rFonts w:ascii="宋体" w:hAnsi="宋体" w:eastAsia="宋体" w:cs="宋体"/>
                <w:sz w:val="24"/>
                <w:highlight w:val="none"/>
              </w:rPr>
            </w:pPr>
          </w:p>
        </w:tc>
        <w:tc>
          <w:tcPr>
            <w:tcW w:w="1347" w:type="dxa"/>
            <w:vAlign w:val="center"/>
          </w:tcPr>
          <w:p w14:paraId="3D4FBCA1">
            <w:pPr>
              <w:spacing w:line="360" w:lineRule="auto"/>
              <w:jc w:val="center"/>
              <w:rPr>
                <w:rFonts w:ascii="宋体" w:hAnsi="宋体" w:eastAsia="宋体" w:cs="宋体"/>
                <w:sz w:val="24"/>
                <w:highlight w:val="none"/>
              </w:rPr>
            </w:pPr>
          </w:p>
        </w:tc>
        <w:tc>
          <w:tcPr>
            <w:tcW w:w="1965" w:type="dxa"/>
            <w:vAlign w:val="center"/>
          </w:tcPr>
          <w:p w14:paraId="6B1ECD2B">
            <w:pPr>
              <w:spacing w:line="360" w:lineRule="auto"/>
              <w:jc w:val="center"/>
              <w:rPr>
                <w:rFonts w:ascii="宋体" w:hAnsi="宋体" w:eastAsia="宋体" w:cs="宋体"/>
                <w:sz w:val="24"/>
                <w:highlight w:val="none"/>
              </w:rPr>
            </w:pPr>
          </w:p>
        </w:tc>
        <w:tc>
          <w:tcPr>
            <w:tcW w:w="1274" w:type="dxa"/>
            <w:vAlign w:val="center"/>
          </w:tcPr>
          <w:p w14:paraId="1052DFDF">
            <w:pPr>
              <w:spacing w:line="360" w:lineRule="auto"/>
              <w:jc w:val="center"/>
              <w:rPr>
                <w:rFonts w:ascii="宋体" w:hAnsi="宋体" w:eastAsia="宋体" w:cs="宋体"/>
                <w:sz w:val="24"/>
                <w:highlight w:val="none"/>
              </w:rPr>
            </w:pPr>
          </w:p>
        </w:tc>
      </w:tr>
      <w:tr w14:paraId="0E501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9C8879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4</w:t>
            </w:r>
          </w:p>
        </w:tc>
        <w:tc>
          <w:tcPr>
            <w:tcW w:w="1356" w:type="dxa"/>
            <w:vAlign w:val="center"/>
          </w:tcPr>
          <w:p w14:paraId="148CAA6B">
            <w:pPr>
              <w:spacing w:line="360" w:lineRule="auto"/>
              <w:jc w:val="center"/>
              <w:rPr>
                <w:rFonts w:ascii="宋体" w:hAnsi="宋体" w:eastAsia="宋体" w:cs="宋体"/>
                <w:sz w:val="24"/>
                <w:highlight w:val="none"/>
              </w:rPr>
            </w:pPr>
          </w:p>
        </w:tc>
        <w:tc>
          <w:tcPr>
            <w:tcW w:w="1327" w:type="dxa"/>
          </w:tcPr>
          <w:p w14:paraId="53011B7B">
            <w:pPr>
              <w:spacing w:line="360" w:lineRule="auto"/>
              <w:jc w:val="center"/>
              <w:rPr>
                <w:rFonts w:ascii="宋体" w:hAnsi="宋体" w:eastAsia="宋体" w:cs="宋体"/>
                <w:sz w:val="24"/>
                <w:highlight w:val="none"/>
              </w:rPr>
            </w:pPr>
          </w:p>
        </w:tc>
        <w:tc>
          <w:tcPr>
            <w:tcW w:w="1347" w:type="dxa"/>
            <w:vAlign w:val="center"/>
          </w:tcPr>
          <w:p w14:paraId="0AD98F03">
            <w:pPr>
              <w:spacing w:line="360" w:lineRule="auto"/>
              <w:jc w:val="center"/>
              <w:rPr>
                <w:rFonts w:ascii="宋体" w:hAnsi="宋体" w:eastAsia="宋体" w:cs="宋体"/>
                <w:sz w:val="24"/>
                <w:highlight w:val="none"/>
              </w:rPr>
            </w:pPr>
          </w:p>
        </w:tc>
        <w:tc>
          <w:tcPr>
            <w:tcW w:w="1965" w:type="dxa"/>
            <w:vAlign w:val="center"/>
          </w:tcPr>
          <w:p w14:paraId="08DBE240">
            <w:pPr>
              <w:spacing w:line="360" w:lineRule="auto"/>
              <w:jc w:val="center"/>
              <w:rPr>
                <w:rFonts w:ascii="宋体" w:hAnsi="宋体" w:eastAsia="宋体" w:cs="宋体"/>
                <w:sz w:val="24"/>
                <w:highlight w:val="none"/>
              </w:rPr>
            </w:pPr>
          </w:p>
        </w:tc>
        <w:tc>
          <w:tcPr>
            <w:tcW w:w="1274" w:type="dxa"/>
            <w:vAlign w:val="center"/>
          </w:tcPr>
          <w:p w14:paraId="47625AEA">
            <w:pPr>
              <w:spacing w:line="360" w:lineRule="auto"/>
              <w:jc w:val="center"/>
              <w:rPr>
                <w:rFonts w:ascii="宋体" w:hAnsi="宋体" w:eastAsia="宋体" w:cs="宋体"/>
                <w:sz w:val="24"/>
                <w:highlight w:val="none"/>
              </w:rPr>
            </w:pPr>
          </w:p>
        </w:tc>
      </w:tr>
      <w:tr w14:paraId="51BC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11B16B3">
            <w:pPr>
              <w:spacing w:line="360" w:lineRule="auto"/>
              <w:jc w:val="center"/>
              <w:rPr>
                <w:rFonts w:ascii="宋体" w:hAnsi="宋体" w:eastAsia="宋体" w:cs="宋体"/>
                <w:sz w:val="24"/>
                <w:highlight w:val="none"/>
              </w:rPr>
            </w:pPr>
            <w:r>
              <w:rPr>
                <w:rFonts w:hint="eastAsia" w:ascii="宋体" w:hAnsi="宋体" w:eastAsia="宋体" w:cs="宋体"/>
                <w:sz w:val="24"/>
                <w:highlight w:val="none"/>
              </w:rPr>
              <w:t>5</w:t>
            </w:r>
          </w:p>
        </w:tc>
        <w:tc>
          <w:tcPr>
            <w:tcW w:w="1356" w:type="dxa"/>
            <w:vAlign w:val="center"/>
          </w:tcPr>
          <w:p w14:paraId="4012ADE0">
            <w:pPr>
              <w:spacing w:line="360" w:lineRule="auto"/>
              <w:jc w:val="center"/>
              <w:rPr>
                <w:rFonts w:ascii="宋体" w:hAnsi="宋体" w:eastAsia="宋体" w:cs="宋体"/>
                <w:sz w:val="24"/>
                <w:highlight w:val="none"/>
              </w:rPr>
            </w:pPr>
          </w:p>
        </w:tc>
        <w:tc>
          <w:tcPr>
            <w:tcW w:w="1327" w:type="dxa"/>
          </w:tcPr>
          <w:p w14:paraId="251CA81C">
            <w:pPr>
              <w:spacing w:line="360" w:lineRule="auto"/>
              <w:jc w:val="center"/>
              <w:rPr>
                <w:rFonts w:ascii="宋体" w:hAnsi="宋体" w:eastAsia="宋体" w:cs="宋体"/>
                <w:sz w:val="24"/>
                <w:highlight w:val="none"/>
              </w:rPr>
            </w:pPr>
          </w:p>
        </w:tc>
        <w:tc>
          <w:tcPr>
            <w:tcW w:w="1347" w:type="dxa"/>
            <w:vAlign w:val="center"/>
          </w:tcPr>
          <w:p w14:paraId="23F36EAA">
            <w:pPr>
              <w:spacing w:line="360" w:lineRule="auto"/>
              <w:jc w:val="center"/>
              <w:rPr>
                <w:rFonts w:ascii="宋体" w:hAnsi="宋体" w:eastAsia="宋体" w:cs="宋体"/>
                <w:sz w:val="24"/>
                <w:highlight w:val="none"/>
              </w:rPr>
            </w:pPr>
          </w:p>
        </w:tc>
        <w:tc>
          <w:tcPr>
            <w:tcW w:w="1965" w:type="dxa"/>
            <w:vAlign w:val="center"/>
          </w:tcPr>
          <w:p w14:paraId="27B9E42D">
            <w:pPr>
              <w:spacing w:line="360" w:lineRule="auto"/>
              <w:jc w:val="center"/>
              <w:rPr>
                <w:rFonts w:ascii="宋体" w:hAnsi="宋体" w:eastAsia="宋体" w:cs="宋体"/>
                <w:sz w:val="24"/>
                <w:highlight w:val="none"/>
              </w:rPr>
            </w:pPr>
          </w:p>
        </w:tc>
        <w:tc>
          <w:tcPr>
            <w:tcW w:w="1274" w:type="dxa"/>
            <w:vAlign w:val="center"/>
          </w:tcPr>
          <w:p w14:paraId="396A9FD7">
            <w:pPr>
              <w:spacing w:line="360" w:lineRule="auto"/>
              <w:jc w:val="center"/>
              <w:rPr>
                <w:rFonts w:ascii="宋体" w:hAnsi="宋体" w:eastAsia="宋体" w:cs="宋体"/>
                <w:sz w:val="24"/>
                <w:highlight w:val="none"/>
              </w:rPr>
            </w:pPr>
          </w:p>
        </w:tc>
      </w:tr>
      <w:tr w14:paraId="285D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B8A9AEA">
            <w:pPr>
              <w:spacing w:line="360" w:lineRule="auto"/>
              <w:jc w:val="center"/>
              <w:rPr>
                <w:rFonts w:ascii="宋体" w:hAnsi="宋体" w:eastAsia="宋体" w:cs="宋体"/>
                <w:sz w:val="24"/>
                <w:highlight w:val="none"/>
              </w:rPr>
            </w:pPr>
            <w:r>
              <w:rPr>
                <w:rFonts w:hint="eastAsia" w:ascii="宋体" w:hAnsi="宋体" w:eastAsia="宋体" w:cs="宋体"/>
                <w:sz w:val="24"/>
                <w:highlight w:val="none"/>
              </w:rPr>
              <w:t>6</w:t>
            </w:r>
          </w:p>
        </w:tc>
        <w:tc>
          <w:tcPr>
            <w:tcW w:w="1356" w:type="dxa"/>
            <w:vAlign w:val="center"/>
          </w:tcPr>
          <w:p w14:paraId="593C0A3A">
            <w:pPr>
              <w:spacing w:line="360" w:lineRule="auto"/>
              <w:jc w:val="center"/>
              <w:rPr>
                <w:rFonts w:ascii="宋体" w:hAnsi="宋体" w:eastAsia="宋体" w:cs="宋体"/>
                <w:sz w:val="24"/>
                <w:highlight w:val="none"/>
              </w:rPr>
            </w:pPr>
          </w:p>
        </w:tc>
        <w:tc>
          <w:tcPr>
            <w:tcW w:w="1327" w:type="dxa"/>
          </w:tcPr>
          <w:p w14:paraId="41CA873B">
            <w:pPr>
              <w:spacing w:line="360" w:lineRule="auto"/>
              <w:jc w:val="center"/>
              <w:rPr>
                <w:rFonts w:ascii="宋体" w:hAnsi="宋体" w:eastAsia="宋体" w:cs="宋体"/>
                <w:sz w:val="24"/>
                <w:highlight w:val="none"/>
              </w:rPr>
            </w:pPr>
          </w:p>
        </w:tc>
        <w:tc>
          <w:tcPr>
            <w:tcW w:w="1347" w:type="dxa"/>
            <w:vAlign w:val="center"/>
          </w:tcPr>
          <w:p w14:paraId="3947535E">
            <w:pPr>
              <w:spacing w:line="360" w:lineRule="auto"/>
              <w:jc w:val="center"/>
              <w:rPr>
                <w:rFonts w:ascii="宋体" w:hAnsi="宋体" w:eastAsia="宋体" w:cs="宋体"/>
                <w:sz w:val="24"/>
                <w:highlight w:val="none"/>
              </w:rPr>
            </w:pPr>
          </w:p>
        </w:tc>
        <w:tc>
          <w:tcPr>
            <w:tcW w:w="1965" w:type="dxa"/>
            <w:vAlign w:val="center"/>
          </w:tcPr>
          <w:p w14:paraId="434C4BBF">
            <w:pPr>
              <w:spacing w:line="360" w:lineRule="auto"/>
              <w:jc w:val="center"/>
              <w:rPr>
                <w:rFonts w:ascii="宋体" w:hAnsi="宋体" w:eastAsia="宋体" w:cs="宋体"/>
                <w:sz w:val="24"/>
                <w:highlight w:val="none"/>
              </w:rPr>
            </w:pPr>
          </w:p>
        </w:tc>
        <w:tc>
          <w:tcPr>
            <w:tcW w:w="1274" w:type="dxa"/>
            <w:vAlign w:val="center"/>
          </w:tcPr>
          <w:p w14:paraId="57B67E7D">
            <w:pPr>
              <w:spacing w:line="360" w:lineRule="auto"/>
              <w:jc w:val="center"/>
              <w:rPr>
                <w:rFonts w:ascii="宋体" w:hAnsi="宋体" w:eastAsia="宋体" w:cs="宋体"/>
                <w:sz w:val="24"/>
                <w:highlight w:val="none"/>
              </w:rPr>
            </w:pPr>
          </w:p>
        </w:tc>
      </w:tr>
      <w:tr w14:paraId="5553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0DEB3B1">
            <w:pPr>
              <w:spacing w:line="360" w:lineRule="auto"/>
              <w:jc w:val="center"/>
              <w:rPr>
                <w:rFonts w:ascii="宋体" w:hAnsi="宋体" w:eastAsia="宋体" w:cs="宋体"/>
                <w:sz w:val="24"/>
                <w:highlight w:val="none"/>
              </w:rPr>
            </w:pPr>
            <w:r>
              <w:rPr>
                <w:rFonts w:hint="eastAsia" w:ascii="宋体" w:hAnsi="宋体" w:eastAsia="宋体" w:cs="宋体"/>
                <w:sz w:val="24"/>
                <w:highlight w:val="none"/>
              </w:rPr>
              <w:t>……</w:t>
            </w:r>
          </w:p>
        </w:tc>
        <w:tc>
          <w:tcPr>
            <w:tcW w:w="1356" w:type="dxa"/>
            <w:vAlign w:val="center"/>
          </w:tcPr>
          <w:p w14:paraId="54F6C5CD">
            <w:pPr>
              <w:spacing w:line="360" w:lineRule="auto"/>
              <w:jc w:val="center"/>
              <w:rPr>
                <w:rFonts w:ascii="宋体" w:hAnsi="宋体" w:eastAsia="宋体" w:cs="宋体"/>
                <w:sz w:val="24"/>
                <w:highlight w:val="none"/>
              </w:rPr>
            </w:pPr>
          </w:p>
        </w:tc>
        <w:tc>
          <w:tcPr>
            <w:tcW w:w="1327" w:type="dxa"/>
          </w:tcPr>
          <w:p w14:paraId="2F047F8A">
            <w:pPr>
              <w:spacing w:line="360" w:lineRule="auto"/>
              <w:jc w:val="center"/>
              <w:rPr>
                <w:rFonts w:ascii="宋体" w:hAnsi="宋体" w:eastAsia="宋体" w:cs="宋体"/>
                <w:sz w:val="24"/>
                <w:highlight w:val="none"/>
              </w:rPr>
            </w:pPr>
          </w:p>
        </w:tc>
        <w:tc>
          <w:tcPr>
            <w:tcW w:w="1347" w:type="dxa"/>
            <w:vAlign w:val="center"/>
          </w:tcPr>
          <w:p w14:paraId="30BE8CF7">
            <w:pPr>
              <w:spacing w:line="360" w:lineRule="auto"/>
              <w:jc w:val="center"/>
              <w:rPr>
                <w:rFonts w:ascii="宋体" w:hAnsi="宋体" w:eastAsia="宋体" w:cs="宋体"/>
                <w:sz w:val="24"/>
                <w:highlight w:val="none"/>
              </w:rPr>
            </w:pPr>
          </w:p>
        </w:tc>
        <w:tc>
          <w:tcPr>
            <w:tcW w:w="1965" w:type="dxa"/>
            <w:vAlign w:val="center"/>
          </w:tcPr>
          <w:p w14:paraId="3075BF3B">
            <w:pPr>
              <w:spacing w:line="360" w:lineRule="auto"/>
              <w:jc w:val="center"/>
              <w:rPr>
                <w:rFonts w:ascii="宋体" w:hAnsi="宋体" w:eastAsia="宋体" w:cs="宋体"/>
                <w:sz w:val="24"/>
                <w:highlight w:val="none"/>
              </w:rPr>
            </w:pPr>
          </w:p>
        </w:tc>
        <w:tc>
          <w:tcPr>
            <w:tcW w:w="1274" w:type="dxa"/>
            <w:vAlign w:val="center"/>
          </w:tcPr>
          <w:p w14:paraId="2556C54E">
            <w:pPr>
              <w:spacing w:line="360" w:lineRule="auto"/>
              <w:jc w:val="center"/>
              <w:rPr>
                <w:rFonts w:ascii="宋体" w:hAnsi="宋体" w:eastAsia="宋体" w:cs="宋体"/>
                <w:sz w:val="24"/>
                <w:highlight w:val="none"/>
              </w:rPr>
            </w:pPr>
          </w:p>
        </w:tc>
      </w:tr>
    </w:tbl>
    <w:p w14:paraId="0381671D">
      <w:pPr>
        <w:spacing w:line="440" w:lineRule="exact"/>
        <w:ind w:firstLine="240" w:firstLineChars="100"/>
        <w:rPr>
          <w:rFonts w:ascii="宋体" w:hAnsi="宋体" w:eastAsia="宋体" w:cs="宋体"/>
          <w:sz w:val="24"/>
          <w:highlight w:val="none"/>
          <w:lang w:eastAsia="zh-CN"/>
        </w:rPr>
      </w:pPr>
      <w:r>
        <w:rPr>
          <w:rFonts w:hint="eastAsia" w:ascii="宋体" w:hAnsi="宋体" w:eastAsia="宋体" w:cs="宋体"/>
          <w:sz w:val="24"/>
          <w:highlight w:val="none"/>
          <w:lang w:eastAsia="zh-CN"/>
        </w:rPr>
        <w:t>附：按照招标文件要求及评分标准提供相应证明材料</w:t>
      </w:r>
    </w:p>
    <w:p w14:paraId="6D632E3B">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55A27005">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6C24C619">
      <w:pPr>
        <w:ind w:firstLine="480" w:firstLineChars="200"/>
        <w:rPr>
          <w:rFonts w:ascii="宋体" w:hAnsi="宋体" w:eastAsia="宋体" w:cs="宋体"/>
          <w:highlight w:val="none"/>
          <w:lang w:eastAsia="zh-CN"/>
        </w:rPr>
      </w:pPr>
      <w:r>
        <w:rPr>
          <w:rFonts w:hint="eastAsia" w:ascii="宋体" w:hAnsi="宋体" w:eastAsia="宋体" w:cs="宋体"/>
          <w:sz w:val="24"/>
          <w:szCs w:val="24"/>
          <w:highlight w:val="none"/>
          <w:lang w:eastAsia="zh-CN"/>
        </w:rPr>
        <w:t>日期：         年         月       日</w:t>
      </w:r>
    </w:p>
    <w:p w14:paraId="4AB3AF5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20163A63">
      <w:pPr>
        <w:snapToGrid w:val="0"/>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15、拟投入本项目的专业技术（服务）人员情况一览表</w:t>
      </w:r>
    </w:p>
    <w:p w14:paraId="281AE17B">
      <w:pPr>
        <w:pStyle w:val="205"/>
        <w:ind w:firstLine="1043" w:firstLineChars="371"/>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1B7D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5BE74B4E">
            <w:pPr>
              <w:jc w:val="center"/>
              <w:rPr>
                <w:rFonts w:ascii="宋体" w:hAnsi="宋体" w:eastAsia="宋体" w:cs="宋体"/>
                <w:b/>
                <w:highlight w:val="none"/>
              </w:rPr>
            </w:pPr>
            <w:r>
              <w:rPr>
                <w:rFonts w:hint="eastAsia" w:ascii="宋体" w:hAnsi="宋体" w:eastAsia="宋体" w:cs="宋体"/>
                <w:b/>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65B027C5">
            <w:pPr>
              <w:jc w:val="center"/>
              <w:rPr>
                <w:rFonts w:ascii="宋体" w:hAnsi="宋体" w:eastAsia="宋体" w:cs="宋体"/>
                <w:b/>
                <w:highlight w:val="none"/>
              </w:rPr>
            </w:pPr>
            <w:r>
              <w:rPr>
                <w:rFonts w:hint="eastAsia" w:ascii="宋体" w:hAnsi="宋体" w:eastAsia="宋体" w:cs="宋体"/>
                <w:b/>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5A318E1A">
            <w:pPr>
              <w:jc w:val="center"/>
              <w:rPr>
                <w:rFonts w:ascii="宋体" w:hAnsi="宋体" w:eastAsia="宋体" w:cs="宋体"/>
                <w:b/>
                <w:highlight w:val="none"/>
              </w:rPr>
            </w:pPr>
            <w:r>
              <w:rPr>
                <w:rFonts w:hint="eastAsia" w:ascii="宋体" w:hAnsi="宋体" w:eastAsia="宋体" w:cs="宋体"/>
                <w:b/>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5CD8B73C">
            <w:pPr>
              <w:jc w:val="center"/>
              <w:rPr>
                <w:rFonts w:ascii="宋体" w:hAnsi="宋体" w:eastAsia="宋体" w:cs="宋体"/>
                <w:b/>
                <w:highlight w:val="none"/>
              </w:rPr>
            </w:pPr>
            <w:r>
              <w:rPr>
                <w:rFonts w:hint="eastAsia" w:ascii="宋体" w:hAnsi="宋体" w:eastAsia="宋体" w:cs="宋体"/>
                <w:b/>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6CFB621F">
            <w:pPr>
              <w:jc w:val="center"/>
              <w:rPr>
                <w:rFonts w:ascii="宋体" w:hAnsi="宋体" w:eastAsia="宋体" w:cs="宋体"/>
                <w:b/>
                <w:highlight w:val="none"/>
              </w:rPr>
            </w:pPr>
            <w:r>
              <w:rPr>
                <w:rFonts w:hint="eastAsia" w:ascii="宋体" w:hAnsi="宋体" w:eastAsia="宋体" w:cs="宋体"/>
                <w:b/>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7A3161D0">
            <w:pPr>
              <w:jc w:val="center"/>
              <w:rPr>
                <w:rFonts w:ascii="宋体" w:hAnsi="宋体" w:eastAsia="宋体" w:cs="宋体"/>
                <w:b/>
                <w:highlight w:val="none"/>
              </w:rPr>
            </w:pPr>
            <w:r>
              <w:rPr>
                <w:rFonts w:hint="eastAsia" w:ascii="宋体" w:hAnsi="宋体" w:eastAsia="宋体" w:cs="宋体"/>
                <w:b/>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5FE5596C">
            <w:pPr>
              <w:jc w:val="center"/>
              <w:rPr>
                <w:rFonts w:ascii="宋体" w:hAnsi="宋体" w:eastAsia="宋体" w:cs="宋体"/>
                <w:b/>
                <w:highlight w:val="none"/>
              </w:rPr>
            </w:pPr>
            <w:r>
              <w:rPr>
                <w:rFonts w:hint="eastAsia" w:ascii="宋体" w:hAnsi="宋体" w:eastAsia="宋体" w:cs="宋体"/>
                <w:b/>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3A1F8803">
            <w:pPr>
              <w:ind w:firstLine="221" w:firstLineChars="100"/>
              <w:rPr>
                <w:rFonts w:ascii="宋体" w:hAnsi="宋体" w:eastAsia="宋体" w:cs="宋体"/>
                <w:b/>
                <w:highlight w:val="none"/>
              </w:rPr>
            </w:pPr>
            <w:r>
              <w:rPr>
                <w:rFonts w:hint="eastAsia" w:ascii="宋体" w:hAnsi="宋体" w:eastAsia="宋体" w:cs="宋体"/>
                <w:b/>
                <w:highlight w:val="none"/>
              </w:rPr>
              <w:t>备注</w:t>
            </w:r>
          </w:p>
        </w:tc>
      </w:tr>
      <w:tr w14:paraId="07678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A58A00F">
            <w:pPr>
              <w:snapToGrid w:val="0"/>
              <w:ind w:firstLine="220" w:firstLineChars="100"/>
              <w:rPr>
                <w:rFonts w:ascii="宋体" w:hAnsi="宋体" w:eastAsia="宋体" w:cs="宋体"/>
                <w:highlight w:val="none"/>
              </w:rPr>
            </w:pPr>
            <w:r>
              <w:rPr>
                <w:rFonts w:hint="eastAsia" w:ascii="宋体" w:hAnsi="宋体" w:eastAsia="宋体" w:cs="宋体"/>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07EFA289">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48521F8">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1D22956">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3BDD493">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A28F096">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F362B93">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1FB678D">
            <w:pPr>
              <w:snapToGrid w:val="0"/>
              <w:ind w:firstLine="480"/>
              <w:jc w:val="center"/>
              <w:rPr>
                <w:rFonts w:ascii="宋体" w:hAnsi="宋体" w:eastAsia="宋体" w:cs="宋体"/>
                <w:highlight w:val="none"/>
              </w:rPr>
            </w:pPr>
          </w:p>
        </w:tc>
      </w:tr>
      <w:tr w14:paraId="2658A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2AACE02">
            <w:pPr>
              <w:snapToGrid w:val="0"/>
              <w:ind w:firstLine="220" w:firstLineChars="100"/>
              <w:rPr>
                <w:rFonts w:ascii="宋体" w:hAnsi="宋体" w:eastAsia="宋体" w:cs="宋体"/>
                <w:highlight w:val="none"/>
              </w:rPr>
            </w:pPr>
            <w:r>
              <w:rPr>
                <w:rFonts w:hint="eastAsia" w:ascii="宋体" w:hAnsi="宋体" w:eastAsia="宋体" w:cs="宋体"/>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1D4D1106">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6AA3650">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6DE2AFD">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15144689">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B232B35">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9F2EAAB">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885E5B2">
            <w:pPr>
              <w:snapToGrid w:val="0"/>
              <w:ind w:firstLine="480"/>
              <w:jc w:val="center"/>
              <w:rPr>
                <w:rFonts w:ascii="宋体" w:hAnsi="宋体" w:eastAsia="宋体" w:cs="宋体"/>
                <w:highlight w:val="none"/>
              </w:rPr>
            </w:pPr>
          </w:p>
        </w:tc>
      </w:tr>
      <w:tr w14:paraId="55FE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D9BECB3">
            <w:pPr>
              <w:snapToGrid w:val="0"/>
              <w:ind w:firstLine="220" w:firstLineChars="100"/>
              <w:rPr>
                <w:rFonts w:ascii="宋体" w:hAnsi="宋体" w:eastAsia="宋体" w:cs="宋体"/>
                <w:highlight w:val="none"/>
              </w:rPr>
            </w:pPr>
            <w:r>
              <w:rPr>
                <w:rFonts w:hint="eastAsia" w:ascii="宋体" w:hAnsi="宋体" w:eastAsia="宋体" w:cs="宋体"/>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790ABBD3">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791F0D52">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EDF4FA0">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F1DCF12">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11DE1EA">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34D0F4E">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040076D">
            <w:pPr>
              <w:snapToGrid w:val="0"/>
              <w:ind w:firstLine="480"/>
              <w:jc w:val="center"/>
              <w:rPr>
                <w:rFonts w:ascii="宋体" w:hAnsi="宋体" w:eastAsia="宋体" w:cs="宋体"/>
                <w:highlight w:val="none"/>
              </w:rPr>
            </w:pPr>
          </w:p>
        </w:tc>
      </w:tr>
      <w:tr w14:paraId="5160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B97D710">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67E509BB">
            <w:pPr>
              <w:snapToGrid w:val="0"/>
              <w:ind w:firstLine="480"/>
              <w:rPr>
                <w:rFonts w:ascii="宋体" w:hAnsi="宋体" w:eastAsia="宋体" w:cs="宋体"/>
                <w:highlight w:val="none"/>
              </w:rPr>
            </w:pPr>
            <w:r>
              <w:rPr>
                <w:rFonts w:hint="eastAsia" w:ascii="宋体" w:hAnsi="宋体" w:eastAsia="宋体" w:cs="宋体"/>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35E26ACF">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A00AE12">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D4012B6">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60CFD83">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BBB0453">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BE59D7E">
            <w:pPr>
              <w:snapToGrid w:val="0"/>
              <w:ind w:firstLine="480"/>
              <w:rPr>
                <w:rFonts w:ascii="宋体" w:hAnsi="宋体" w:eastAsia="宋体" w:cs="宋体"/>
                <w:highlight w:val="none"/>
              </w:rPr>
            </w:pPr>
          </w:p>
        </w:tc>
      </w:tr>
      <w:tr w14:paraId="4A2FB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400728E">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52571B11">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F35C80F">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1AB1E46">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1F2EEAF">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8EA70ED">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6A617B37">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258358A4">
            <w:pPr>
              <w:snapToGrid w:val="0"/>
              <w:ind w:firstLine="480"/>
              <w:rPr>
                <w:rFonts w:ascii="宋体" w:hAnsi="宋体" w:eastAsia="宋体" w:cs="宋体"/>
                <w:highlight w:val="none"/>
              </w:rPr>
            </w:pPr>
          </w:p>
        </w:tc>
      </w:tr>
      <w:tr w14:paraId="76FE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EBD9002">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615273C">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C337037">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A7436CD">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D07C39E">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E6B46CA">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802DA4A">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F77BB0A">
            <w:pPr>
              <w:snapToGrid w:val="0"/>
              <w:ind w:firstLine="480"/>
              <w:rPr>
                <w:rFonts w:ascii="宋体" w:hAnsi="宋体" w:eastAsia="宋体" w:cs="宋体"/>
                <w:highlight w:val="none"/>
              </w:rPr>
            </w:pPr>
          </w:p>
        </w:tc>
      </w:tr>
      <w:tr w14:paraId="24BF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819B192">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62AEBBC">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71DB0BDB">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7EC64F0">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08478F6">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82DE750">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208ED74">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72C264F">
            <w:pPr>
              <w:snapToGrid w:val="0"/>
              <w:ind w:firstLine="480"/>
              <w:rPr>
                <w:rFonts w:ascii="宋体" w:hAnsi="宋体" w:eastAsia="宋体" w:cs="宋体"/>
                <w:highlight w:val="none"/>
              </w:rPr>
            </w:pPr>
          </w:p>
        </w:tc>
      </w:tr>
      <w:tr w14:paraId="7F1BA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00E325D">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4077E820">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66AB7C17">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BB622E1">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0D55C33">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5047F03">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681AEB69">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2B79B584">
            <w:pPr>
              <w:snapToGrid w:val="0"/>
              <w:ind w:firstLine="480"/>
              <w:rPr>
                <w:rFonts w:ascii="宋体" w:hAnsi="宋体" w:eastAsia="宋体" w:cs="宋体"/>
                <w:highlight w:val="none"/>
              </w:rPr>
            </w:pPr>
          </w:p>
        </w:tc>
      </w:tr>
      <w:tr w14:paraId="6E998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2F5AFC0">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E9FE721">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9C1E779">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2707B77">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77D6E48">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6EAC81E">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AABD093">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AA41833">
            <w:pPr>
              <w:snapToGrid w:val="0"/>
              <w:ind w:firstLine="480"/>
              <w:rPr>
                <w:rFonts w:ascii="宋体" w:hAnsi="宋体" w:eastAsia="宋体" w:cs="宋体"/>
                <w:highlight w:val="none"/>
              </w:rPr>
            </w:pPr>
          </w:p>
        </w:tc>
      </w:tr>
    </w:tbl>
    <w:p w14:paraId="3DDEAD3A">
      <w:pPr>
        <w:spacing w:line="42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附：1、按照招标文件要求提供相应资质证明材料。</w:t>
      </w:r>
    </w:p>
    <w:p w14:paraId="053666C6">
      <w:pPr>
        <w:spacing w:line="420" w:lineRule="exact"/>
        <w:rPr>
          <w:rFonts w:ascii="宋体" w:hAnsi="宋体" w:eastAsia="宋体" w:cs="宋体"/>
          <w:sz w:val="24"/>
          <w:highlight w:val="none"/>
          <w:lang w:eastAsia="zh-CN"/>
        </w:rPr>
      </w:pPr>
    </w:p>
    <w:p w14:paraId="796693DD">
      <w:pPr>
        <w:pStyle w:val="20"/>
        <w:rPr>
          <w:rFonts w:hAnsi="宋体" w:eastAsia="宋体" w:cs="宋体"/>
          <w:highlight w:val="none"/>
          <w:lang w:eastAsia="zh-CN"/>
        </w:rPr>
      </w:pPr>
    </w:p>
    <w:p w14:paraId="540FFE4B">
      <w:pPr>
        <w:pStyle w:val="20"/>
        <w:rPr>
          <w:rFonts w:hAnsi="宋体" w:eastAsia="宋体" w:cs="宋体"/>
          <w:highlight w:val="none"/>
          <w:lang w:eastAsia="zh-CN"/>
        </w:rPr>
      </w:pPr>
    </w:p>
    <w:p w14:paraId="0A8CE332">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2620A877">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656D7D5E">
      <w:pPr>
        <w:pStyle w:val="20"/>
        <w:rPr>
          <w:rFonts w:hAnsi="宋体" w:eastAsia="宋体" w:cs="宋体"/>
          <w:sz w:val="24"/>
          <w:highlight w:val="none"/>
          <w:lang w:eastAsia="zh-CN"/>
        </w:rPr>
      </w:pPr>
      <w:r>
        <w:rPr>
          <w:rFonts w:hint="eastAsia" w:hAnsi="宋体" w:eastAsia="宋体" w:cs="宋体"/>
          <w:sz w:val="24"/>
          <w:szCs w:val="24"/>
          <w:highlight w:val="none"/>
          <w:lang w:eastAsia="zh-CN"/>
        </w:rPr>
        <w:t>日期：    年    月    日</w:t>
      </w:r>
    </w:p>
    <w:p w14:paraId="2D5FC36E">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6AA87F1D">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0F2514DA">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2CF29767">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2896A2DC">
      <w:pPr>
        <w:spacing w:line="360" w:lineRule="auto"/>
        <w:rPr>
          <w:rFonts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p>
    <w:p w14:paraId="6E506DEF">
      <w:pPr>
        <w:autoSpaceDE w:val="0"/>
        <w:autoSpaceDN w:val="0"/>
        <w:adjustRightInd w:val="0"/>
        <w:spacing w:line="400" w:lineRule="exact"/>
        <w:rPr>
          <w:rFonts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中小企业声明函（服务）</w:t>
      </w:r>
    </w:p>
    <w:p w14:paraId="658558E1">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太仓市娄江新城医院（瑞金医院太仓分院）  </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移动运营指挥舱及三级公立医院绩效及评审管理系统建设项目</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JSZC-320585-JZCG-G2026-0088</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号采购活动，服务全部由符合政策要求的中小企业承接。相关企业的具体情况如下：</w:t>
      </w:r>
    </w:p>
    <w:p w14:paraId="3B6ED877">
      <w:pPr>
        <w:numPr>
          <w:ilvl w:val="0"/>
          <w:numId w:val="27"/>
        </w:numPr>
        <w:spacing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（标的名称）</w:t>
      </w:r>
      <w:r>
        <w:rPr>
          <w:rFonts w:hint="eastAsia" w:ascii="宋体" w:hAnsi="宋体" w:eastAsia="宋体" w:cs="宋体"/>
          <w:sz w:val="24"/>
          <w:szCs w:val="24"/>
          <w:highlight w:val="none"/>
          <w:lang w:eastAsia="zh-CN"/>
        </w:rPr>
        <w:t>，属于</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bCs/>
          <w:sz w:val="24"/>
          <w:highlight w:val="none"/>
          <w:u w:val="single"/>
          <w:lang w:eastAsia="zh-CN"/>
        </w:rPr>
        <w:t>软件和信息服务业</w:t>
      </w:r>
      <w:r>
        <w:rPr>
          <w:rFonts w:hint="eastAsia" w:ascii="宋体" w:hAnsi="宋体" w:eastAsia="宋体" w:cs="宋体"/>
          <w:b/>
          <w:bCs/>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i/>
          <w:sz w:val="24"/>
          <w:szCs w:val="24"/>
          <w:highlight w:val="none"/>
          <w:lang w:eastAsia="zh-CN"/>
        </w:rPr>
        <w:t>行业</w:t>
      </w:r>
      <w:r>
        <w:rPr>
          <w:rFonts w:hint="eastAsia" w:ascii="宋体" w:hAnsi="宋体" w:eastAsia="宋体" w:cs="宋体"/>
          <w:sz w:val="24"/>
          <w:szCs w:val="24"/>
          <w:highlight w:val="none"/>
          <w:lang w:eastAsia="zh-CN"/>
        </w:rPr>
        <w:t>；承接企业为</w:t>
      </w:r>
      <w:r>
        <w:rPr>
          <w:rFonts w:hint="eastAsia" w:ascii="宋体" w:hAnsi="宋体" w:eastAsia="宋体" w:cs="宋体"/>
          <w:i/>
          <w:sz w:val="24"/>
          <w:szCs w:val="24"/>
          <w:highlight w:val="none"/>
          <w:u w:val="single"/>
          <w:lang w:eastAsia="zh-CN"/>
        </w:rPr>
        <w:t>（企业名称）</w:t>
      </w:r>
      <w:r>
        <w:rPr>
          <w:rFonts w:hint="eastAsia" w:ascii="宋体" w:hAnsi="宋体" w:eastAsia="宋体" w:cs="宋体"/>
          <w:sz w:val="24"/>
          <w:szCs w:val="24"/>
          <w:highlight w:val="none"/>
          <w:lang w:eastAsia="zh-CN"/>
        </w:rPr>
        <w:t>，从业人员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i/>
          <w:sz w:val="24"/>
          <w:szCs w:val="24"/>
          <w:highlight w:val="none"/>
          <w:lang w:eastAsia="zh-CN"/>
        </w:rPr>
        <w:t>（中型企业、小型企业、微型企业，</w:t>
      </w:r>
      <w:r>
        <w:rPr>
          <w:rFonts w:hint="eastAsia" w:ascii="宋体" w:hAnsi="宋体" w:eastAsia="宋体" w:cs="宋体"/>
          <w:b/>
          <w:bCs/>
          <w:i/>
          <w:sz w:val="24"/>
          <w:szCs w:val="24"/>
          <w:highlight w:val="none"/>
          <w:lang w:eastAsia="zh-CN"/>
        </w:rPr>
        <w:t>三者选一填写</w:t>
      </w:r>
      <w:r>
        <w:rPr>
          <w:rFonts w:hint="eastAsia" w:ascii="宋体" w:hAnsi="宋体" w:eastAsia="宋体" w:cs="宋体"/>
          <w:i/>
          <w:sz w:val="24"/>
          <w:szCs w:val="24"/>
          <w:highlight w:val="none"/>
          <w:lang w:eastAsia="zh-CN"/>
        </w:rPr>
        <w:t>）</w:t>
      </w:r>
      <w:r>
        <w:rPr>
          <w:rFonts w:hint="eastAsia" w:ascii="宋体" w:hAnsi="宋体" w:eastAsia="宋体" w:cs="宋体"/>
          <w:sz w:val="24"/>
          <w:szCs w:val="24"/>
          <w:highlight w:val="none"/>
          <w:lang w:eastAsia="zh-CN"/>
        </w:rPr>
        <w:t>；</w:t>
      </w:r>
    </w:p>
    <w:p w14:paraId="2BA41FBF">
      <w:pPr>
        <w:spacing w:line="440" w:lineRule="exact"/>
        <w:ind w:firstLine="480" w:firstLineChars="200"/>
        <w:rPr>
          <w:rFonts w:ascii="宋体" w:hAnsi="宋体"/>
          <w:sz w:val="24"/>
          <w:highlight w:val="none"/>
          <w:lang w:eastAsia="zh-CN"/>
        </w:rPr>
      </w:pPr>
      <w:r>
        <w:rPr>
          <w:rFonts w:ascii="宋体" w:hAnsi="宋体"/>
          <w:sz w:val="24"/>
          <w:highlight w:val="none"/>
          <w:lang w:eastAsia="zh-CN"/>
        </w:rPr>
        <w:t>……</w:t>
      </w:r>
    </w:p>
    <w:p w14:paraId="23E3729F">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以上企业，不属于大企业的分支机构，不存在控股股东为大企业的情形，也不存在与大企业的负责人为同一人的情形。</w:t>
      </w:r>
    </w:p>
    <w:p w14:paraId="7020FA8B">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本企业对上述声明内容的真实性负责。如有虚假，将依法承担相应责任。</w:t>
      </w:r>
    </w:p>
    <w:p w14:paraId="7C5C44A8">
      <w:pPr>
        <w:spacing w:line="440" w:lineRule="exact"/>
        <w:ind w:right="960" w:firstLine="4800" w:firstLineChars="2000"/>
        <w:rPr>
          <w:rFonts w:ascii="宋体" w:hAnsi="宋体"/>
          <w:sz w:val="24"/>
          <w:highlight w:val="none"/>
          <w:lang w:eastAsia="zh-CN"/>
        </w:rPr>
      </w:pPr>
      <w:r>
        <w:rPr>
          <w:rFonts w:hint="eastAsia" w:ascii="宋体" w:hAnsi="宋体"/>
          <w:sz w:val="24"/>
          <w:highlight w:val="none"/>
          <w:lang w:eastAsia="zh-CN"/>
        </w:rPr>
        <w:t>企业名称（盖章）：</w:t>
      </w:r>
    </w:p>
    <w:p w14:paraId="069F804B">
      <w:pPr>
        <w:spacing w:line="440" w:lineRule="exact"/>
        <w:ind w:right="1120" w:firstLine="4800" w:firstLineChars="2000"/>
        <w:rPr>
          <w:rFonts w:ascii="宋体" w:hAnsi="宋体"/>
          <w:sz w:val="24"/>
          <w:highlight w:val="none"/>
          <w:lang w:eastAsia="zh-CN"/>
        </w:rPr>
      </w:pPr>
      <w:r>
        <w:rPr>
          <w:rFonts w:hint="eastAsia" w:ascii="宋体" w:hAnsi="宋体"/>
          <w:sz w:val="24"/>
          <w:highlight w:val="none"/>
          <w:lang w:eastAsia="zh-CN"/>
        </w:rPr>
        <w:t>日期：</w:t>
      </w:r>
    </w:p>
    <w:p w14:paraId="6D4DF2A3">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sz w:val="24"/>
          <w:highlight w:val="none"/>
          <w:lang w:eastAsia="zh-CN"/>
        </w:rPr>
        <w:t>从</w:t>
      </w:r>
      <w:r>
        <w:rPr>
          <w:rFonts w:hint="eastAsia" w:ascii="宋体" w:hAnsi="宋体" w:eastAsia="宋体" w:cs="宋体"/>
          <w:sz w:val="24"/>
          <w:szCs w:val="24"/>
          <w:highlight w:val="none"/>
          <w:lang w:eastAsia="zh-CN"/>
        </w:rPr>
        <w:t>业人员、营业收入、资产总额填报上一年度数据，无上一年度数据的新成立企业可不填报。</w:t>
      </w:r>
    </w:p>
    <w:p w14:paraId="51621261">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备注：</w:t>
      </w:r>
    </w:p>
    <w:p w14:paraId="603314D4">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w:t>
      </w:r>
      <w:r>
        <w:rPr>
          <w:rFonts w:hint="eastAsia" w:ascii="宋体" w:hAnsi="宋体" w:eastAsia="宋体" w:cs="宋体"/>
          <w:b/>
          <w:bCs/>
          <w:sz w:val="24"/>
          <w:szCs w:val="24"/>
          <w:highlight w:val="none"/>
          <w:lang w:eastAsia="zh-CN"/>
        </w:rPr>
        <w:t>专门面向</w:t>
      </w:r>
      <w:r>
        <w:rPr>
          <w:rFonts w:hint="eastAsia" w:ascii="宋体" w:hAnsi="宋体" w:eastAsia="宋体" w:cs="宋体"/>
          <w:sz w:val="24"/>
          <w:szCs w:val="24"/>
          <w:highlight w:val="none"/>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highlight w:val="none"/>
          <w:lang w:eastAsia="zh-CN"/>
        </w:rPr>
        <w:t>否则视为投标无效</w:t>
      </w:r>
    </w:p>
    <w:p w14:paraId="03B9C6D3">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2、投标人提供的中小企业声明函必须包含本项目所有服务及其服务承接企业，并按照声明函格式填写完整、明确，否则视为未按规定提供声明函，投标无效。</w:t>
      </w:r>
    </w:p>
    <w:p w14:paraId="39DACB4E">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3、中标、成交供应商享受规定的中小企业扶持政策的，《中小企业声明函》应当随中标、成交结果同时公告，接受社会监督。</w:t>
      </w:r>
    </w:p>
    <w:p w14:paraId="3AE1B2B5">
      <w:pPr>
        <w:pBdr>
          <w:top w:val="none" w:color="000000" w:sz="0" w:space="0"/>
          <w:left w:val="none" w:color="000000" w:sz="0" w:space="0"/>
          <w:bottom w:val="none" w:color="000000" w:sz="0" w:space="0"/>
          <w:right w:val="none" w:color="000000" w:sz="0" w:space="0"/>
        </w:pBdr>
        <w:spacing w:line="439" w:lineRule="atLeast"/>
        <w:ind w:firstLine="640" w:firstLineChars="200"/>
        <w:rPr>
          <w:rFonts w:ascii="宋体" w:hAnsi="宋体" w:cs="宋体"/>
          <w:b/>
          <w:sz w:val="32"/>
          <w:highlight w:val="none"/>
          <w:lang w:eastAsia="zh-CN"/>
        </w:rPr>
      </w:pPr>
      <w:r>
        <w:rPr>
          <w:rFonts w:hint="eastAsia" w:ascii="宋体" w:hAnsi="宋体" w:cs="宋体"/>
          <w:b/>
          <w:sz w:val="32"/>
          <w:highlight w:val="none"/>
          <w:lang w:eastAsia="zh-CN"/>
        </w:rPr>
        <w:t> </w:t>
      </w:r>
    </w:p>
    <w:p w14:paraId="5F80406D">
      <w:pPr>
        <w:adjustRightInd w:val="0"/>
        <w:snapToGrid w:val="0"/>
        <w:spacing w:line="400" w:lineRule="exact"/>
        <w:ind w:firstLine="480" w:firstLineChars="200"/>
        <w:rPr>
          <w:rFonts w:ascii="仿宋" w:hAnsi="仿宋" w:eastAsia="仿宋" w:cs="仿宋"/>
          <w:sz w:val="24"/>
          <w:szCs w:val="24"/>
          <w:highlight w:val="none"/>
          <w:lang w:eastAsia="zh-CN"/>
        </w:rPr>
      </w:pPr>
    </w:p>
    <w:p w14:paraId="4525153E">
      <w:pPr>
        <w:spacing w:after="0" w:line="440" w:lineRule="exact"/>
        <w:ind w:firstLine="480" w:firstLineChars="200"/>
        <w:rPr>
          <w:rFonts w:ascii="宋体" w:hAnsi="宋体" w:eastAsia="宋体" w:cs="宋体"/>
          <w:sz w:val="24"/>
          <w:szCs w:val="24"/>
          <w:highlight w:val="none"/>
          <w:lang w:eastAsia="zh-CN"/>
        </w:rPr>
      </w:pPr>
    </w:p>
    <w:p w14:paraId="1807F73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w:t>
      </w:r>
    </w:p>
    <w:p w14:paraId="6540D37F">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highlight w:val="none"/>
          <w:lang w:eastAsia="zh-CN"/>
        </w:rPr>
      </w:pPr>
    </w:p>
    <w:p w14:paraId="0B8A9352">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highlight w:val="none"/>
          <w:lang w:eastAsia="zh-CN"/>
        </w:rPr>
      </w:pPr>
    </w:p>
    <w:p w14:paraId="02A9A8FB">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sz w:val="32"/>
          <w:szCs w:val="32"/>
          <w:highlight w:val="none"/>
          <w:lang w:eastAsia="zh-CN"/>
        </w:rPr>
      </w:pPr>
      <w:r>
        <w:rPr>
          <w:rFonts w:hint="eastAsia" w:ascii="宋体" w:hAnsi="宋体" w:eastAsia="宋体" w:cs="宋体"/>
          <w:b/>
          <w:color w:val="000000"/>
          <w:sz w:val="32"/>
          <w:highlight w:val="none"/>
          <w:lang w:eastAsia="zh-CN"/>
        </w:rPr>
        <w:t>17、</w:t>
      </w:r>
      <w:r>
        <w:rPr>
          <w:rFonts w:hint="eastAsia" w:ascii="宋体" w:hAnsi="宋体" w:eastAsia="宋体" w:cs="宋体"/>
          <w:b/>
          <w:sz w:val="32"/>
          <w:highlight w:val="none"/>
          <w:lang w:eastAsia="zh-CN"/>
        </w:rPr>
        <w:t>残疾人福利性单位声明函（如有）</w:t>
      </w:r>
    </w:p>
    <w:p w14:paraId="0C5724F2">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4DAA15D0">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highlight w:val="none"/>
          <w:lang w:eastAsia="zh-CN"/>
        </w:rPr>
      </w:pPr>
      <w:r>
        <w:rPr>
          <w:rFonts w:hint="eastAsia" w:ascii="宋体" w:hAnsi="宋体" w:eastAsia="宋体" w:cs="宋体"/>
          <w:sz w:val="32"/>
          <w:highlight w:val="none"/>
          <w:lang w:eastAsia="zh-CN"/>
        </w:rPr>
        <w:t>残疾人福利性单位声明函</w:t>
      </w:r>
    </w:p>
    <w:p w14:paraId="2DD374B7">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7E594258">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highlight w:val="none"/>
          <w:lang w:eastAsia="zh-CN"/>
        </w:rPr>
      </w:pPr>
      <w:r>
        <w:rPr>
          <w:rFonts w:hint="eastAsia" w:ascii="宋体" w:hAnsi="宋体" w:eastAsia="宋体" w:cs="宋体"/>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BAA1F2D">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highlight w:val="none"/>
          <w:lang w:eastAsia="zh-CN"/>
        </w:rPr>
      </w:pPr>
      <w:r>
        <w:rPr>
          <w:rFonts w:hint="eastAsia" w:ascii="宋体" w:hAnsi="宋体" w:eastAsia="宋体" w:cs="宋体"/>
          <w:sz w:val="24"/>
          <w:highlight w:val="none"/>
          <w:lang w:eastAsia="zh-CN"/>
        </w:rPr>
        <w:t>本单位对上述声明的真实性负责。如有虚假，将依法承担相应责任。</w:t>
      </w:r>
    </w:p>
    <w:p w14:paraId="68A38D7C">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w:t>
      </w:r>
    </w:p>
    <w:p w14:paraId="0FF9195A">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w:t>
      </w:r>
    </w:p>
    <w:p w14:paraId="684E9E02">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单位名称（盖章）：</w:t>
      </w:r>
    </w:p>
    <w:p w14:paraId="39CAB130">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p>
    <w:p w14:paraId="538FD1B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33C243C9">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7DAF975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28A3D6C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0435A8F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0192B07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12B61B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49FF56A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554BEF2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18921F9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5436502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5E8650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63656F3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59221C75">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72BD78DD">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76B7E2B5">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07EE8E1A">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18、监狱企业证明文件（如有）</w:t>
      </w:r>
    </w:p>
    <w:p w14:paraId="712E735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759AE6E8">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3FEF49AD">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监狱企业证明文件</w:t>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4ECF7717">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24"/>
          <w:highlight w:val="none"/>
          <w:lang w:eastAsia="zh-CN"/>
        </w:rPr>
      </w:pPr>
    </w:p>
    <w:p w14:paraId="1BEF9F19">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4F1D2776">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1B495C5C">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24DF6EE5">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65609D89">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71209842">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53D3B792">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73636555">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124E614B">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273083E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0505FC3C">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704AE742">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548B8A0D">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3B8F5F3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第五部分  评标方法与评标标准</w:t>
      </w:r>
    </w:p>
    <w:p w14:paraId="2A365CA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评标方法</w:t>
      </w:r>
    </w:p>
    <w:p w14:paraId="3E52071F">
      <w:pPr>
        <w:pStyle w:val="201"/>
        <w:spacing w:line="480" w:lineRule="exact"/>
        <w:ind w:firstLine="480"/>
        <w:rPr>
          <w:rFonts w:ascii="宋体" w:hAnsi="宋体" w:eastAsia="宋体" w:cs="宋体"/>
          <w:sz w:val="24"/>
          <w:szCs w:val="24"/>
          <w:highlight w:val="none"/>
          <w:lang w:eastAsia="zh-CN"/>
        </w:rPr>
      </w:pPr>
      <w:r>
        <w:rPr>
          <w:rFonts w:hint="eastAsia" w:ascii="宋体" w:hAnsi="宋体" w:eastAsia="宋体" w:cs="宋体"/>
          <w:sz w:val="24"/>
          <w:highlight w:val="none"/>
          <w:lang w:eastAsia="zh-CN"/>
        </w:rPr>
        <w:t>一、</w:t>
      </w:r>
      <w:r>
        <w:rPr>
          <w:rFonts w:hint="eastAsia" w:ascii="宋体" w:hAnsi="宋体" w:cs="宋体"/>
          <w:sz w:val="24"/>
          <w:highlight w:val="none"/>
          <w:lang w:eastAsia="zh-CN"/>
        </w:rPr>
        <w:t>本次招标评标采用为综合评分法，即在满足招标文件实质性要求前提下，按照招标文件中规定的评分标准和各项因素进行综合评审，</w:t>
      </w:r>
      <w:r>
        <w:rPr>
          <w:rFonts w:hint="eastAsia" w:ascii="宋体" w:hAnsi="宋体"/>
          <w:b/>
          <w:sz w:val="24"/>
          <w:highlight w:val="none"/>
          <w:lang w:eastAsia="zh-CN"/>
        </w:rPr>
        <w:t>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p>
    <w:p w14:paraId="5A1B156E">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3ED2EDA3">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7203D5E">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四、如出现评审得分最高的投标人有两个或两个以上的，以投标报价较低者优先作为该标段中标候选人，如果投标报价也相同的，则由公证机构组织以抽签方式确定中标候选人。</w:t>
      </w:r>
    </w:p>
    <w:p w14:paraId="2866F0D9">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28D7D86">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highlight w:val="none"/>
          <w:lang w:eastAsia="zh-CN"/>
        </w:rPr>
      </w:pPr>
      <w:r>
        <w:rPr>
          <w:rFonts w:hint="eastAsia" w:ascii="宋体" w:hAnsi="宋体" w:eastAsia="宋体" w:cs="宋体"/>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1F5C6D99">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highlight w:val="none"/>
          <w:lang w:eastAsia="zh-CN"/>
        </w:rPr>
      </w:pPr>
      <w:r>
        <w:rPr>
          <w:rFonts w:hint="eastAsia" w:ascii="宋体" w:hAnsi="宋体" w:eastAsia="宋体" w:cs="宋体"/>
          <w:sz w:val="24"/>
          <w:highlight w:val="none"/>
          <w:lang w:eastAsia="zh-CN"/>
        </w:rPr>
        <w:t>七、中小企业相关政策：</w:t>
      </w:r>
    </w:p>
    <w:p w14:paraId="635D7CEB">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lang w:eastAsia="zh-CN"/>
        </w:rPr>
        <w:t>但与大企业的负责人为同一人，或者与大企业存在直接控股、管理关系的除外。</w:t>
      </w:r>
      <w:r>
        <w:rPr>
          <w:rFonts w:hint="eastAsia" w:ascii="宋体" w:hAnsi="宋体" w:eastAsia="宋体" w:cs="宋体"/>
          <w:sz w:val="24"/>
          <w:highlight w:val="none"/>
          <w:lang w:eastAsia="zh-CN"/>
        </w:rPr>
        <w:t>符合中小企业划分标准的个体工商户，在政府采购活动中视同中小企业.</w:t>
      </w:r>
    </w:p>
    <w:p w14:paraId="095B982D">
      <w:pP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2F988F1D">
      <w:pP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专门面向中小企业采购的项目，不再执行价格评审优惠的扶持政策。</w:t>
      </w:r>
    </w:p>
    <w:p w14:paraId="09737F9A">
      <w:pPr>
        <w:pStyle w:val="201"/>
        <w:spacing w:line="500" w:lineRule="exact"/>
        <w:rPr>
          <w:rFonts w:asciiTheme="minorEastAsia" w:hAnsiTheme="minorEastAsia" w:eastAsiaTheme="minorEastAsia"/>
          <w:b/>
          <w:sz w:val="24"/>
          <w:szCs w:val="24"/>
          <w:highlight w:val="none"/>
          <w:lang w:eastAsia="zh-CN"/>
        </w:rPr>
      </w:pPr>
      <w:bookmarkStart w:id="10" w:name="_Hlk166575460"/>
      <w:bookmarkStart w:id="11" w:name="OLE_LINK22"/>
    </w:p>
    <w:p w14:paraId="5B36BF2B">
      <w:pPr>
        <w:pStyle w:val="201"/>
        <w:spacing w:line="500" w:lineRule="exact"/>
        <w:rPr>
          <w:rFonts w:asciiTheme="minorEastAsia" w:hAnsiTheme="minorEastAsia" w:eastAsiaTheme="minorEastAsia"/>
          <w:b/>
          <w:sz w:val="24"/>
          <w:szCs w:val="24"/>
          <w:highlight w:val="none"/>
          <w:lang w:eastAsia="zh-CN"/>
        </w:rPr>
      </w:pPr>
    </w:p>
    <w:p w14:paraId="19896F62">
      <w:pPr>
        <w:pStyle w:val="201"/>
        <w:spacing w:line="500" w:lineRule="exact"/>
        <w:rPr>
          <w:rFonts w:asciiTheme="minorEastAsia" w:hAnsiTheme="minorEastAsia" w:eastAsiaTheme="minorEastAsia"/>
          <w:b/>
          <w:sz w:val="24"/>
          <w:szCs w:val="24"/>
          <w:highlight w:val="none"/>
          <w:lang w:eastAsia="zh-CN"/>
        </w:rPr>
      </w:pPr>
    </w:p>
    <w:p w14:paraId="5B8170EA">
      <w:pPr>
        <w:pStyle w:val="201"/>
        <w:spacing w:line="500" w:lineRule="exact"/>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24"/>
          <w:szCs w:val="24"/>
          <w:highlight w:val="none"/>
          <w:lang w:eastAsia="zh-CN"/>
        </w:rPr>
        <w:t>评分标准</w:t>
      </w:r>
    </w:p>
    <w:p w14:paraId="093D667B">
      <w:pPr>
        <w:pStyle w:val="201"/>
        <w:spacing w:line="50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一、价格分（20分）</w:t>
      </w:r>
    </w:p>
    <w:p w14:paraId="56F27366">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第一步：投标报价低于或等于财政预算价格的，为有效投标报价。超财政预算的投标报价为无效投标报价。</w:t>
      </w:r>
    </w:p>
    <w:p w14:paraId="336EC49A">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第二步：在所有有效投标报价中满足采购文件要求，且投标价格最低的投标报价为评标基准价，其他投标人的价格分按照下列公式计算（计算结果四舍五入保留两位小数）。</w:t>
      </w:r>
    </w:p>
    <w:p w14:paraId="0AD494F8">
      <w:pPr>
        <w:pStyle w:val="201"/>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报价得分=(评标基准价/投标报价)×20%×100</w:t>
      </w:r>
    </w:p>
    <w:p w14:paraId="39ED82F6">
      <w:pPr>
        <w:pStyle w:val="201"/>
        <w:spacing w:line="500" w:lineRule="exact"/>
        <w:rPr>
          <w:rFonts w:ascii="宋体" w:hAnsi="宋体" w:cs="宋体" w:eastAsiaTheme="minorEastAsia"/>
          <w:b/>
          <w:bCs/>
          <w:color w:val="000000"/>
          <w:sz w:val="24"/>
          <w:szCs w:val="24"/>
          <w:highlight w:val="none"/>
          <w:lang w:eastAsia="zh-CN"/>
        </w:rPr>
      </w:pPr>
      <w:bookmarkStart w:id="12" w:name="OLE_LINK3"/>
      <w:bookmarkStart w:id="13" w:name="OLE_LINK2"/>
      <w:r>
        <w:rPr>
          <w:rFonts w:hint="eastAsia" w:ascii="宋体" w:hAnsi="宋体" w:eastAsia="宋体" w:cs="宋体"/>
          <w:b/>
          <w:bCs/>
          <w:color w:val="000000"/>
          <w:sz w:val="24"/>
          <w:szCs w:val="24"/>
          <w:highlight w:val="none"/>
          <w:lang w:eastAsia="zh-CN"/>
        </w:rPr>
        <w:t>二、</w:t>
      </w:r>
      <w:r>
        <w:rPr>
          <w:rFonts w:hint="eastAsia" w:ascii="宋体" w:hAnsi="宋体" w:cs="宋体"/>
          <w:b/>
          <w:bCs/>
          <w:color w:val="000000"/>
          <w:sz w:val="24"/>
          <w:szCs w:val="24"/>
          <w:highlight w:val="none"/>
          <w:lang w:eastAsia="zh-CN"/>
        </w:rPr>
        <w:t>技术评分（40分）</w:t>
      </w:r>
    </w:p>
    <w:p w14:paraId="795FD845">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b/>
          <w:sz w:val="24"/>
          <w:szCs w:val="24"/>
          <w:highlight w:val="none"/>
          <w:lang w:eastAsia="zh-CN"/>
        </w:rPr>
        <w:t>（一）▲项重点参数技术响应（20分）</w:t>
      </w:r>
      <w:bookmarkStart w:id="14" w:name="OLE_LINK15"/>
      <w:bookmarkStart w:id="15" w:name="OLE_LINK13"/>
    </w:p>
    <w:p w14:paraId="778DAD29">
      <w:pPr>
        <w:pStyle w:val="201"/>
        <w:spacing w:line="500" w:lineRule="exact"/>
        <w:ind w:firstLine="480"/>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根据招标文件第三部分 项目需求 </w:t>
      </w:r>
      <w:r>
        <w:rPr>
          <w:rFonts w:hint="eastAsia" w:ascii="宋体" w:hAnsi="宋体" w:eastAsia="宋体" w:cs="宋体"/>
          <w:b/>
          <w:bCs/>
          <w:sz w:val="24"/>
          <w:szCs w:val="24"/>
          <w:highlight w:val="none"/>
          <w:lang w:eastAsia="zh-CN"/>
        </w:rPr>
        <w:t>(二）</w:t>
      </w:r>
      <w:r>
        <w:rPr>
          <w:rStyle w:val="216"/>
          <w:rFonts w:hint="eastAsia" w:ascii="宋体" w:hAnsi="宋体" w:eastAsia="宋体" w:cs="宋体"/>
          <w:b/>
          <w:color w:val="000000"/>
          <w:sz w:val="24"/>
          <w:szCs w:val="24"/>
          <w:highlight w:val="none"/>
          <w:lang w:eastAsia="zh-CN"/>
        </w:rPr>
        <w:t>系统功能技术参数内容，</w:t>
      </w:r>
      <w:r>
        <w:rPr>
          <w:rFonts w:hint="eastAsia" w:ascii="宋体" w:hAnsi="宋体" w:eastAsia="宋体" w:cs="宋体"/>
          <w:color w:val="000000"/>
          <w:sz w:val="24"/>
          <w:szCs w:val="24"/>
          <w:highlight w:val="none"/>
          <w:lang w:eastAsia="zh-CN"/>
        </w:rPr>
        <w:t>标注“▲”技术参数共2</w:t>
      </w:r>
      <w:r>
        <w:rPr>
          <w:rFonts w:ascii="宋体" w:hAnsi="宋体" w:eastAsia="宋体" w:cs="宋体"/>
          <w:color w:val="000000"/>
          <w:sz w:val="24"/>
          <w:szCs w:val="24"/>
          <w:highlight w:val="none"/>
          <w:lang w:eastAsia="zh-CN"/>
        </w:rPr>
        <w:t>0项，每</w:t>
      </w:r>
      <w:r>
        <w:rPr>
          <w:rFonts w:hint="eastAsia" w:ascii="宋体" w:hAnsi="宋体" w:eastAsia="宋体" w:cs="宋体"/>
          <w:color w:val="000000"/>
          <w:sz w:val="24"/>
          <w:szCs w:val="24"/>
          <w:highlight w:val="none"/>
          <w:lang w:eastAsia="zh-CN"/>
        </w:rPr>
        <w:t>满足1项的，得1分，共2</w:t>
      </w:r>
      <w:r>
        <w:rPr>
          <w:rFonts w:ascii="宋体" w:hAnsi="宋体" w:eastAsia="宋体" w:cs="宋体"/>
          <w:color w:val="000000"/>
          <w:sz w:val="24"/>
          <w:szCs w:val="24"/>
          <w:highlight w:val="none"/>
          <w:lang w:eastAsia="zh-CN"/>
        </w:rPr>
        <w:t>0分。</w:t>
      </w:r>
    </w:p>
    <w:p w14:paraId="500572A9">
      <w:pPr>
        <w:pStyle w:val="201"/>
        <w:spacing w:line="500" w:lineRule="exact"/>
        <w:ind w:firstLine="480"/>
        <w:rPr>
          <w:rFonts w:hint="eastAsia" w:asciiTheme="minorEastAsia" w:hAnsiTheme="minorEastAsia" w:eastAsiaTheme="minorEastAsia"/>
          <w:sz w:val="24"/>
          <w:szCs w:val="24"/>
          <w:highlight w:val="none"/>
          <w:lang w:eastAsia="zh-CN"/>
        </w:rPr>
      </w:pPr>
      <w:r>
        <w:rPr>
          <w:rFonts w:hint="eastAsia" w:ascii="宋体" w:hAnsi="宋体" w:eastAsia="宋体" w:cs="宋体"/>
          <w:color w:val="000000"/>
          <w:sz w:val="24"/>
          <w:szCs w:val="24"/>
          <w:highlight w:val="none"/>
          <w:lang w:eastAsia="zh-CN"/>
        </w:rPr>
        <w:t>标注“▲”的技术参数须提供满足要求的系统功能截图，否则不得分。</w:t>
      </w:r>
      <w:bookmarkEnd w:id="14"/>
      <w:bookmarkEnd w:id="15"/>
    </w:p>
    <w:p w14:paraId="2934E1BA">
      <w:pPr>
        <w:pStyle w:val="201"/>
        <w:spacing w:line="500" w:lineRule="exact"/>
        <w:ind w:firstLine="480"/>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24"/>
          <w:szCs w:val="24"/>
          <w:highlight w:val="none"/>
          <w:lang w:eastAsia="zh-CN"/>
        </w:rPr>
        <w:t>（二）系统演示（20分）：</w:t>
      </w:r>
      <w:r>
        <w:rPr>
          <w:rFonts w:hint="eastAsia" w:ascii="宋体" w:hAnsi="宋体" w:cs="宋体"/>
          <w:b/>
          <w:bCs/>
          <w:kern w:val="2"/>
          <w:sz w:val="24"/>
          <w:highlight w:val="none"/>
          <w:lang w:eastAsia="zh-CN"/>
        </w:rPr>
        <w:t>以视频演示的方式上传平台，演示时长不超过15分钟。</w:t>
      </w:r>
    </w:p>
    <w:p w14:paraId="18F8FB23">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根据招标文件要求和投标人提供的系统演示进行评分，共10项功能点演示，提供系统演示且功能完整，符合技术参数的每项得2分，共20分，每缺少一项功能演示，或演示功能不能满足本项目需求的，该项不得分。</w:t>
      </w:r>
    </w:p>
    <w:p w14:paraId="72F1A498">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演示功能点：</w:t>
      </w:r>
    </w:p>
    <w:p w14:paraId="6B2EDA3D">
      <w:pPr>
        <w:pStyle w:val="201"/>
        <w:spacing w:line="480" w:lineRule="exact"/>
        <w:ind w:firstLine="480" w:firstLineChars="200"/>
        <w:rPr>
          <w:rFonts w:asciiTheme="minorEastAsia" w:hAnsiTheme="minorEastAsia" w:eastAsiaTheme="minorEastAsia"/>
          <w:b/>
          <w:bCs/>
          <w:sz w:val="24"/>
          <w:szCs w:val="24"/>
          <w:highlight w:val="none"/>
          <w:lang w:eastAsia="zh-CN"/>
        </w:rPr>
      </w:pPr>
      <w:bookmarkStart w:id="16" w:name="OLE_LINK5"/>
      <w:bookmarkStart w:id="17" w:name="OLE_LINK6"/>
      <w:r>
        <w:rPr>
          <w:rFonts w:hint="eastAsia" w:asciiTheme="minorEastAsia" w:hAnsiTheme="minorEastAsia" w:eastAsiaTheme="minorEastAsia"/>
          <w:sz w:val="24"/>
          <w:szCs w:val="24"/>
          <w:highlight w:val="none"/>
          <w:lang w:eastAsia="zh-CN"/>
        </w:rPr>
        <w:t>1、数据采集需支持源表结构</w:t>
      </w:r>
      <w:bookmarkEnd w:id="16"/>
      <w:bookmarkEnd w:id="17"/>
      <w:r>
        <w:rPr>
          <w:rFonts w:hint="eastAsia" w:asciiTheme="minorEastAsia" w:hAnsiTheme="minorEastAsia" w:eastAsiaTheme="minorEastAsia"/>
          <w:sz w:val="24"/>
          <w:szCs w:val="24"/>
          <w:highlight w:val="none"/>
          <w:lang w:eastAsia="zh-CN"/>
        </w:rPr>
        <w:t>、目标表结构的实时更新，当源表发生变化时，目标表可自动同步；支持一源多端数据接入，确保医院业务数据正常接入和医院数据中心的持续建设。</w:t>
      </w:r>
    </w:p>
    <w:p w14:paraId="0EEE2CDE">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数据质量管理需支持针对数据质量校验异常结果创建工单，将数据质量校验出的问题规则作为附件添加到工单中。支持工单目标分解任务，一个问题可以拆解多个任务目标，并指定相应的负责人进行跟进和处理，实现PDCA管理流程。</w:t>
      </w:r>
    </w:p>
    <w:p w14:paraId="64B8FF42">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AI运营决策智能体需支持语音/文字两种提问方式，系统须支持移动端基于语音输入的AI智能指标查询与分析。用户通过移动端语音输入业务问题，系统自动完成语音识别、意图解析与指标匹配，以可视化图表形式返回分析结果</w:t>
      </w:r>
    </w:p>
    <w:p w14:paraId="60514980">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4、系统须支持移动端基于语音指令自动生成AI智能分析报告。用户通过移动端语音输入报告生成需求，系统自动完成语音识别、意图解析，调取最新数据生成图文并茂的运营分析报告并在移动端展示。</w:t>
      </w:r>
    </w:p>
    <w:p w14:paraId="03E02700">
      <w:pPr>
        <w:pStyle w:val="201"/>
        <w:spacing w:line="48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5、智能预警功能，预警规则配置需支持按照不同的条件进行自由组合，可根据配置数据集的字段任意组合；支持配置预警级别（红，橙，黄，绿），根据不同的预警级别，配置不同的规则。</w:t>
      </w:r>
    </w:p>
    <w:p w14:paraId="01361058">
      <w:pPr>
        <w:pStyle w:val="201"/>
        <w:spacing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6、三级公立医院绩效评价系统支持对上报数据进行修正，用户可根据授予的指标权限，查看负责指标的原始值、修正值和目标值，并对修正值进行调整。支持所有已经修正的指标进行提交审核、撤销审核等操作。支持原始值的下钻分析，支持下钻到科室及医生维度</w:t>
      </w:r>
    </w:p>
    <w:p w14:paraId="7AB8CECD">
      <w:pPr>
        <w:pStyle w:val="201"/>
        <w:spacing w:line="48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7、三级医院等级评审系统需提供患者标签管理，对于无法直接从结构化数据提取的指标，可以支持按照患者进行数据标记，进一步对标记患者进行统计分析从而得到对应的指标数值；同时，系统需提供各类筛选条件，方便患者数据批量导入功能。</w:t>
      </w:r>
    </w:p>
    <w:p w14:paraId="49A3659C">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8、系统需提供对国考和评审指标进行自助分析的功能，支持通过可视化界面通过拖拽方式即可完成分析界面的配置及发布，支持基于指标、维度、过滤条件的拖拽；自助分析界面支持自主新增筛选条件，所有筛选条件都可以设置默认值和控制数据权限，方面不同角色查看不同指标。</w:t>
      </w:r>
    </w:p>
    <w:p w14:paraId="0D552037">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9、系统需提供灵活的可视化仪表板设计能力，支持用户通过拖拽式操作自由布局各类图表组件，并可基于指标平台中的指标，通过拖拽方式完成数据绑定，实现零代码可视化开发。配置完成的仪表板组件原生支持联动下钻功能，可依据指标平台预定义的下钻路径逐层深入，并最终下钻至患者级明细数据，满足多维度数据分析需求。此外，系统支持科室账单、职工账单等定制化模板设计，模板内可嵌入文字、可视化图表、音乐、图片等多元元素，并支持通过拖拽绑定指标或变量数据。模板生成后，可根据预设调度计划定期自动生成账单，并支持以单发或批量推送方式发送至员工微信端，实现数据服务的便捷触达。</w:t>
      </w:r>
    </w:p>
    <w:p w14:paraId="017AD4CA">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10、移动分析界面，支持对界面的指标，图表发起督办单，能够将异常的图表进行自动截图，并支持填写相应的督办说明，督办科室，督办人等信息。督办人可对异常数据进行跟进反馈处理结果。</w:t>
      </w:r>
    </w:p>
    <w:p w14:paraId="41DF2EAE">
      <w:pPr>
        <w:pStyle w:val="201"/>
        <w:spacing w:line="500" w:lineRule="exact"/>
        <w:rPr>
          <w:rFonts w:ascii="宋体" w:hAnsi="宋体" w:cs="宋体" w:eastAsiaTheme="minorEastAsia"/>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三、项目服务方案（30</w:t>
      </w:r>
      <w:r>
        <w:rPr>
          <w:rFonts w:hint="eastAsia" w:ascii="宋体" w:hAnsi="宋体" w:cs="宋体"/>
          <w:b/>
          <w:bCs/>
          <w:color w:val="000000"/>
          <w:sz w:val="24"/>
          <w:szCs w:val="24"/>
          <w:highlight w:val="none"/>
          <w:lang w:eastAsia="zh-CN"/>
        </w:rPr>
        <w:t>分）</w:t>
      </w:r>
    </w:p>
    <w:p w14:paraId="6C703C86">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1、项目需求理解（6分）</w:t>
      </w:r>
    </w:p>
    <w:p w14:paraId="6832D031">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项目需求的内容，投标人结合本项目实际情况，提供针对本项目的项目需求理解，内容至少包含：①项目建设需求分析；②项目建设范围及必要性分析。方案内容每有一项内容针对本项目且符合本项目实际需求的，得3分，满分6分。每缺少一项内容，或内容非专门针对本项目，或内容不能满足本项目实际需求的，不得分。</w:t>
      </w:r>
    </w:p>
    <w:p w14:paraId="06B88200">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2、项目具体建设方案（24分）</w:t>
      </w:r>
    </w:p>
    <w:p w14:paraId="03A21067">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（1）系统设计方案（10分）</w:t>
      </w:r>
    </w:p>
    <w:p w14:paraId="1C3682CA">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系统架构需综合考虑信息分析与业务需求、信息服务需求与整体决策需求。围绕项目的建设方向综合设计模型架构，提供对应①项目总体设计方案；②项目建设方案。方案内容每有一项内容针对本项目且符合本项目实际需求的，得5分，满分10分。每缺少一项内容，或内容非专门针对本项目，或内容不能满足本项目实际需求的，不得分。</w:t>
      </w:r>
    </w:p>
    <w:p w14:paraId="48F576ED">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（2）项目实施方案及进度方案（6分）</w:t>
      </w:r>
    </w:p>
    <w:p w14:paraId="5451E72A">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项目需求的内容，投标人结合本项目实际情况，提供针对本项目的项目实施方案及进度方案，内容至少包含：①项目实施及人员规划组织方案；②项目实施进度计划；③应急保障方案等。方案内容每有一项内容针对本项目且符合本项目实际需求的，得2分，满分6分。每缺少一项内容，或内容非专门针对本项目，或内容不能满足本项目实际需求的，不得分。</w:t>
      </w:r>
    </w:p>
    <w:p w14:paraId="2ECEC8AB">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（3）项目质量管理方案及培训方案（4分）</w:t>
      </w:r>
    </w:p>
    <w:p w14:paraId="7E7065DA">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为保障项目实施质量及人员操作熟练性，投标人需制定详细的质量管理控制与培训方案，至少包括：①质量管理控制方案；②培训方案等。方案内容每有一项内容针对本项目且符合本项目实际需求的，得2分，满分4分。每缺少一项内容，或内容非专门针对本项目，或内容不能满足本项目实际需求的，不得分。</w:t>
      </w:r>
    </w:p>
    <w:p w14:paraId="400AA1DC">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（4）项目售后服务方案（4分）</w:t>
      </w:r>
    </w:p>
    <w:p w14:paraId="09810164">
      <w:pPr>
        <w:pStyle w:val="201"/>
        <w:spacing w:line="500" w:lineRule="exact"/>
        <w:ind w:firstLine="480"/>
        <w:rPr>
          <w:rFonts w:ascii="宋体" w:hAnsi="宋体" w:cs="宋体" w:eastAsiaTheme="minorEastAsia"/>
          <w:b/>
          <w:bCs/>
          <w:color w:val="000000"/>
          <w:sz w:val="24"/>
          <w:szCs w:val="24"/>
          <w:highlight w:val="none"/>
          <w:lang w:eastAsia="zh-CN"/>
        </w:rPr>
      </w:pPr>
      <w:r>
        <w:rPr>
          <w:rFonts w:hint="eastAsia" w:asciiTheme="minorEastAsia" w:hAnsiTheme="minorEastAsia" w:eastAsiaTheme="minorEastAsia"/>
          <w:sz w:val="24"/>
          <w:szCs w:val="24"/>
          <w:highlight w:val="none"/>
          <w:lang w:eastAsia="zh-CN"/>
        </w:rPr>
        <w:t>为了保证项目的售后服务质量，投标人需制定详细的售后服务方案，至少包括：①售后服务内容；②售后服务故障响应时间和方式等。方案内容每有一项内容针对本项目且符合本项目实际需求的，得2分，满分4分。每缺少一项内容，或内容非专门针对本项目，或内容不能满足本项目实际需求的，不得分。</w:t>
      </w:r>
      <w:bookmarkEnd w:id="12"/>
      <w:bookmarkEnd w:id="13"/>
    </w:p>
    <w:p w14:paraId="2144A664">
      <w:pPr>
        <w:pStyle w:val="201"/>
        <w:spacing w:line="50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四、</w:t>
      </w:r>
      <w:r>
        <w:rPr>
          <w:rFonts w:hint="eastAsia" w:ascii="宋体" w:hAnsi="宋体" w:cs="宋体"/>
          <w:b/>
          <w:bCs/>
          <w:color w:val="000000"/>
          <w:sz w:val="24"/>
          <w:szCs w:val="24"/>
          <w:highlight w:val="none"/>
          <w:lang w:eastAsia="zh-CN"/>
        </w:rPr>
        <w:t>商务评分（1</w:t>
      </w:r>
      <w:r>
        <w:rPr>
          <w:rFonts w:hint="eastAsia" w:ascii="宋体" w:hAnsi="宋体" w:cs="宋体" w:eastAsiaTheme="minorEastAsia"/>
          <w:b/>
          <w:bCs/>
          <w:color w:val="000000"/>
          <w:sz w:val="24"/>
          <w:szCs w:val="24"/>
          <w:highlight w:val="none"/>
          <w:lang w:eastAsia="zh-CN"/>
        </w:rPr>
        <w:t>0</w:t>
      </w:r>
      <w:r>
        <w:rPr>
          <w:rFonts w:hint="eastAsia" w:ascii="宋体" w:hAnsi="宋体" w:cs="宋体"/>
          <w:b/>
          <w:bCs/>
          <w:color w:val="000000"/>
          <w:sz w:val="24"/>
          <w:szCs w:val="24"/>
          <w:highlight w:val="none"/>
          <w:lang w:eastAsia="zh-CN"/>
        </w:rPr>
        <w:t>分）</w:t>
      </w:r>
    </w:p>
    <w:p w14:paraId="3650C558">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1、与本项目相关业绩案例（6分）</w:t>
      </w:r>
    </w:p>
    <w:p w14:paraId="7558FFC8">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投标人自2023年1月1日起，与本项目类似的软件信息化项目案例，每提供一项得2分，最高不超过6分。</w:t>
      </w:r>
    </w:p>
    <w:p w14:paraId="394E15D7">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注：投标文件中提供合同的复印件或扫描件并加盖公章，不提供不得分。</w:t>
      </w:r>
    </w:p>
    <w:p w14:paraId="38196D1C">
      <w:pPr>
        <w:pStyle w:val="201"/>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2、针对本项目的人员配备（4分）</w:t>
      </w:r>
    </w:p>
    <w:p w14:paraId="35FC10CE">
      <w:pPr>
        <w:pStyle w:val="201"/>
        <w:spacing w:line="500" w:lineRule="exact"/>
        <w:ind w:firstLine="480"/>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（1）投标人为本项目配备的核心人员中，</w:t>
      </w:r>
      <w:r>
        <w:rPr>
          <w:rFonts w:hint="eastAsia" w:asciiTheme="minorEastAsia" w:hAnsiTheme="minorEastAsia" w:eastAsiaTheme="minorEastAsia"/>
          <w:sz w:val="24"/>
          <w:szCs w:val="24"/>
          <w:highlight w:val="none"/>
          <w:lang w:eastAsia="zh-CN"/>
        </w:rPr>
        <w:t>项目经理具有人社部门颁发的信息系统项目管理师证书的得2分，项目成员中具有人社部门颁发的系统集成项目管理工程师证书的得2分；</w:t>
      </w:r>
    </w:p>
    <w:p w14:paraId="7D349F16">
      <w:pPr>
        <w:pStyle w:val="201"/>
        <w:spacing w:line="500" w:lineRule="exact"/>
        <w:ind w:firstLine="480"/>
        <w:rPr>
          <w:rFonts w:ascii="宋体" w:hAnsi="宋体" w:cs="宋体" w:eastAsiaTheme="minorEastAsia"/>
          <w:b/>
          <w:bCs/>
          <w:color w:val="000000"/>
          <w:sz w:val="24"/>
          <w:szCs w:val="24"/>
          <w:highlight w:val="none"/>
          <w:lang w:eastAsia="zh-CN"/>
        </w:rPr>
      </w:pPr>
      <w:r>
        <w:rPr>
          <w:rFonts w:hint="eastAsia" w:asciiTheme="minorEastAsia" w:hAnsiTheme="minorEastAsia" w:eastAsiaTheme="minorEastAsia"/>
          <w:sz w:val="24"/>
          <w:szCs w:val="24"/>
          <w:highlight w:val="none"/>
          <w:lang w:eastAsia="zh-CN"/>
        </w:rPr>
        <w:t>提供</w:t>
      </w:r>
      <w:r>
        <w:rPr>
          <w:rFonts w:asciiTheme="minorEastAsia" w:hAnsiTheme="minorEastAsia" w:eastAsiaTheme="minorEastAsia"/>
          <w:sz w:val="24"/>
          <w:szCs w:val="24"/>
          <w:highlight w:val="none"/>
          <w:lang w:eastAsia="zh-CN"/>
        </w:rPr>
        <w:t>1名符合要求的人员，</w:t>
      </w:r>
      <w:r>
        <w:rPr>
          <w:rFonts w:hint="eastAsia" w:asciiTheme="minorEastAsia" w:hAnsiTheme="minorEastAsia" w:eastAsiaTheme="minorEastAsia"/>
          <w:sz w:val="24"/>
          <w:szCs w:val="24"/>
          <w:highlight w:val="none"/>
          <w:lang w:eastAsia="zh-CN"/>
        </w:rPr>
        <w:t>得</w:t>
      </w:r>
      <w:r>
        <w:rPr>
          <w:rFonts w:asciiTheme="minorEastAsia" w:hAnsiTheme="minorEastAsia" w:eastAsiaTheme="minorEastAsia"/>
          <w:sz w:val="24"/>
          <w:szCs w:val="24"/>
          <w:highlight w:val="none"/>
          <w:lang w:eastAsia="zh-CN"/>
        </w:rPr>
        <w:t>2分。全部满足上述要求得</w:t>
      </w:r>
      <w:r>
        <w:rPr>
          <w:rFonts w:hint="eastAsia" w:asciiTheme="minorEastAsia" w:hAnsiTheme="minorEastAsia" w:eastAsiaTheme="minorEastAsia"/>
          <w:sz w:val="24"/>
          <w:szCs w:val="24"/>
          <w:highlight w:val="none"/>
          <w:lang w:eastAsia="zh-CN"/>
        </w:rPr>
        <w:t>4</w:t>
      </w:r>
      <w:r>
        <w:rPr>
          <w:rFonts w:asciiTheme="minorEastAsia" w:hAnsiTheme="minorEastAsia" w:eastAsiaTheme="minorEastAsia"/>
          <w:sz w:val="24"/>
          <w:szCs w:val="24"/>
          <w:highlight w:val="none"/>
          <w:lang w:eastAsia="zh-CN"/>
        </w:rPr>
        <w:t>分；</w:t>
      </w:r>
    </w:p>
    <w:p w14:paraId="38DD480A">
      <w:pPr>
        <w:spacing w:after="0" w:line="500" w:lineRule="exact"/>
        <w:ind w:firstLine="480" w:firstLineChars="200"/>
        <w:jc w:val="both"/>
        <w:rPr>
          <w:rFonts w:ascii="宋体" w:hAnsi="宋体" w:eastAsia="宋体" w:cs="宋体"/>
          <w:color w:val="FF0000"/>
          <w:sz w:val="24"/>
          <w:szCs w:val="24"/>
          <w:highlight w:val="none"/>
          <w:lang w:eastAsia="zh-CN"/>
        </w:rPr>
      </w:pPr>
    </w:p>
    <w:p w14:paraId="217EAAA3">
      <w:pPr>
        <w:spacing w:after="0" w:line="500" w:lineRule="exact"/>
        <w:jc w:val="both"/>
        <w:rPr>
          <w:rFonts w:ascii="宋体" w:hAnsi="宋体" w:eastAsia="宋体" w:cs="宋体"/>
          <w:color w:val="FF0000"/>
          <w:sz w:val="24"/>
          <w:szCs w:val="24"/>
          <w:highlight w:val="none"/>
          <w:lang w:eastAsia="zh-CN"/>
        </w:rPr>
      </w:pPr>
    </w:p>
    <w:bookmarkEnd w:id="10"/>
    <w:bookmarkEnd w:id="11"/>
    <w:p w14:paraId="4E4C2A8C">
      <w:pPr>
        <w:pStyle w:val="201"/>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 1、报价超过采购预算的为无效投标。</w:t>
      </w:r>
    </w:p>
    <w:p w14:paraId="18E8E133">
      <w:pPr>
        <w:pStyle w:val="201"/>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04715E76">
      <w:pPr>
        <w:pStyle w:val="201"/>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3、所有复印件字迹须复印清晰可见,复印不全或字迹不清晰的，视为未提供。</w:t>
      </w:r>
    </w:p>
    <w:p w14:paraId="7F00DE4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5531412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325AE2FC">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1BBA24E2">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bookmarkStart w:id="18" w:name="_GoBack"/>
      <w:bookmarkEnd w:id="18"/>
      <w:r>
        <w:rPr>
          <w:rFonts w:hint="eastAsia" w:ascii="宋体" w:hAnsi="宋体" w:eastAsia="宋体" w:cs="宋体"/>
          <w:b/>
          <w:color w:val="000000"/>
          <w:sz w:val="44"/>
          <w:highlight w:val="none"/>
          <w:lang w:eastAsia="zh-CN"/>
        </w:rPr>
        <w:t>第六部分 合同格式</w:t>
      </w:r>
    </w:p>
    <w:p w14:paraId="5CF85927">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highlight w:val="none"/>
          <w:lang w:eastAsia="zh-CN"/>
        </w:rPr>
      </w:pPr>
      <w:r>
        <w:rPr>
          <w:rFonts w:hint="eastAsia" w:ascii="宋体" w:hAnsi="宋体" w:eastAsia="宋体" w:cs="宋体"/>
          <w:b/>
          <w:color w:val="000000"/>
          <w:sz w:val="32"/>
          <w:highlight w:val="none"/>
          <w:lang w:eastAsia="zh-CN"/>
        </w:rPr>
        <w:t>合同主要条款</w:t>
      </w:r>
    </w:p>
    <w:p w14:paraId="4032A462">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采购人（以下称甲方）供应商：（以下称乙方）</w:t>
      </w:r>
    </w:p>
    <w:p w14:paraId="2CA05D4C">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地址：地址：</w:t>
      </w:r>
    </w:p>
    <w:p w14:paraId="711CB1B4">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电话：电话：</w:t>
      </w:r>
    </w:p>
    <w:p w14:paraId="29B77A11">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highlight w:val="none"/>
          <w:lang w:eastAsia="zh-CN"/>
        </w:rPr>
      </w:pPr>
      <w:r>
        <w:rPr>
          <w:rFonts w:hint="eastAsia" w:ascii="宋体" w:hAnsi="宋体" w:eastAsia="宋体" w:cs="宋体"/>
          <w:color w:val="000000"/>
          <w:sz w:val="24"/>
          <w:highlight w:val="none"/>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highlight w:val="none"/>
          <w:u w:val="single"/>
          <w:lang w:eastAsia="zh-CN"/>
        </w:rPr>
        <w:t>移动运营指挥舱及三级公立医院绩效及评审管理系统建设项目</w:t>
      </w:r>
      <w:r>
        <w:rPr>
          <w:rFonts w:hint="eastAsia" w:ascii="宋体" w:hAnsi="宋体" w:eastAsia="宋体" w:cs="宋体"/>
          <w:color w:val="000000"/>
          <w:sz w:val="24"/>
          <w:highlight w:val="none"/>
          <w:lang w:eastAsia="zh-CN"/>
        </w:rPr>
        <w:t>（</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JSZC-320585-JZCG-G2026-0088</w:t>
      </w:r>
      <w:r>
        <w:rPr>
          <w:rFonts w:hint="eastAsia" w:ascii="宋体" w:hAnsi="宋体" w:eastAsia="宋体" w:cs="宋体"/>
          <w:color w:val="000000"/>
          <w:sz w:val="24"/>
          <w:highlight w:val="none"/>
          <w:lang w:eastAsia="zh-CN"/>
        </w:rPr>
        <w:t>）的招标结果，签订本合同。</w:t>
      </w:r>
    </w:p>
    <w:p w14:paraId="41BD4AEF">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第一条 服务范围</w:t>
      </w:r>
    </w:p>
    <w:p w14:paraId="57CD67AF">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甲方聘请乙方提供以下服务：</w:t>
      </w:r>
    </w:p>
    <w:p w14:paraId="7205361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（1）本合同项下的服务指：</w:t>
      </w:r>
    </w:p>
    <w:p w14:paraId="4518E2E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（2）服务内容：</w:t>
      </w:r>
    </w:p>
    <w:p w14:paraId="781CB25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（3）服务标准：</w:t>
      </w:r>
    </w:p>
    <w:p w14:paraId="5B4FDEB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（4）交付时间、地点：甲方指定。</w:t>
      </w:r>
    </w:p>
    <w:p w14:paraId="54272634">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第二条 组成本合同的有关文件 </w:t>
      </w:r>
    </w:p>
    <w:p w14:paraId="5C34541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下列与本次采购活动有关的文件及有关附件是本合同不可分割的组成部分，与本合同具有同等法律效力，这些文件包括但不限于：</w:t>
      </w:r>
    </w:p>
    <w:p w14:paraId="0F4BD5B8">
      <w:pPr>
        <w:numPr>
          <w:ilvl w:val="0"/>
          <w:numId w:val="28"/>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招标采购文件（</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JSZC-320585-JZCG-G2026-0088</w:t>
      </w:r>
      <w:r>
        <w:rPr>
          <w:rFonts w:hint="eastAsia" w:ascii="宋体" w:hAnsi="宋体" w:eastAsia="宋体" w:cs="宋体"/>
          <w:color w:val="000000"/>
          <w:sz w:val="24"/>
          <w:highlight w:val="none"/>
          <w:lang w:eastAsia="zh-CN"/>
        </w:rPr>
        <w:t>）</w:t>
      </w:r>
    </w:p>
    <w:p w14:paraId="41D4CD03">
      <w:pPr>
        <w:numPr>
          <w:ilvl w:val="0"/>
          <w:numId w:val="28"/>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乙方提供的投标文件和投标报价表；</w:t>
      </w:r>
    </w:p>
    <w:p w14:paraId="3664AF1B">
      <w:pPr>
        <w:numPr>
          <w:ilvl w:val="0"/>
          <w:numId w:val="28"/>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乙方在投标过程中所作的其他承诺、声明、书面澄清等；</w:t>
      </w:r>
    </w:p>
    <w:p w14:paraId="60DB2B63">
      <w:pPr>
        <w:numPr>
          <w:ilvl w:val="0"/>
          <w:numId w:val="28"/>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rPr>
      </w:pPr>
      <w:r>
        <w:rPr>
          <w:rFonts w:hint="eastAsia" w:ascii="宋体" w:hAnsi="宋体" w:eastAsia="宋体" w:cs="宋体"/>
          <w:color w:val="000000"/>
          <w:sz w:val="24"/>
          <w:highlight w:val="none"/>
        </w:rPr>
        <w:t>中标通知书；</w:t>
      </w:r>
    </w:p>
    <w:p w14:paraId="62209BFA">
      <w:pPr>
        <w:numPr>
          <w:ilvl w:val="0"/>
          <w:numId w:val="28"/>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甲乙双方商定的其他文件等。</w:t>
      </w:r>
    </w:p>
    <w:p w14:paraId="21F541A3">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第三条 合同总价款 </w:t>
      </w:r>
    </w:p>
    <w:p w14:paraId="3826625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合同价格按此次成交价格执行，合同总金额为人民币___________（大写）人民币，小写：（￥：）元整。</w:t>
      </w:r>
    </w:p>
    <w:p w14:paraId="2E72767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6A2D2EB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除非合同条款中另有规定，本合同执行期间合同总价款不变。</w:t>
      </w:r>
    </w:p>
    <w:p w14:paraId="39A61FD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第四条 合同款支付</w:t>
      </w:r>
    </w:p>
    <w:p w14:paraId="7042704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1、本合同项下所有款项均以人民币支付。</w:t>
      </w:r>
    </w:p>
    <w:p w14:paraId="439E020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2、本合同项下的采购资金由甲方自行支付，乙方向甲方开具发票。</w:t>
      </w:r>
    </w:p>
    <w:p w14:paraId="1307027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3、根据现行税法对乙方征收的与本合同有关的一切税费均由乙方承担。</w:t>
      </w:r>
    </w:p>
    <w:p w14:paraId="02B79E8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4、付款步骤：</w:t>
      </w:r>
    </w:p>
    <w:p w14:paraId="3EA91C71">
      <w:pPr>
        <w:pStyle w:val="18"/>
        <w:rPr>
          <w:rFonts w:ascii="宋体" w:hAnsi="宋体" w:eastAsia="宋体" w:cs="宋体"/>
          <w:highlight w:val="none"/>
          <w:lang w:eastAsia="zh-CN"/>
        </w:rPr>
      </w:pPr>
    </w:p>
    <w:p w14:paraId="42BAE290">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highlight w:val="none"/>
          <w:lang w:eastAsia="zh-CN"/>
        </w:rPr>
      </w:pPr>
      <w:r>
        <w:rPr>
          <w:rFonts w:hint="eastAsia" w:ascii="宋体" w:hAnsi="宋体" w:eastAsia="宋体" w:cs="宋体"/>
          <w:b/>
          <w:sz w:val="24"/>
          <w:highlight w:val="none"/>
          <w:lang w:eastAsia="zh-CN"/>
        </w:rPr>
        <w:t>第五条 服务质量、成果要求</w:t>
      </w:r>
    </w:p>
    <w:p w14:paraId="1205ED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1、项目完成后甲方将组织专业人员进行项目的验收工作，如存在问题，乙方应进行改进，直至验收合格为止；</w:t>
      </w:r>
    </w:p>
    <w:p w14:paraId="3CFC809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2、验收标准: 按采购文件要求、乙方的投标承诺或国家相关标准。</w:t>
      </w:r>
    </w:p>
    <w:p w14:paraId="6B35C77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第六条 甲、乙双方权利义务</w:t>
      </w:r>
    </w:p>
    <w:p w14:paraId="0883893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1、甲方应当为保证项目服务的完成，给予乙方积极支持，为乙方提供项目实施的必要条件；</w:t>
      </w:r>
    </w:p>
    <w:p w14:paraId="5BB2EC5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2、甲方应当按照本合同约定按时支付合同金额。</w:t>
      </w:r>
    </w:p>
    <w:p w14:paraId="68CFF6B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3、乙方提交的服务成果未经甲方书面许可，不得向任何第三方泄露。</w:t>
      </w:r>
    </w:p>
    <w:p w14:paraId="1CAE9FA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4、乙方提供必要的技术培训，协助甲方完成其他需要中标单位配合的服务。</w:t>
      </w:r>
    </w:p>
    <w:p w14:paraId="7C97D1D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5、乙方根据国家标准、行业标准和规范要求及标书规定的服务质量标准和有关要求，保质保量地完成服务工作。</w:t>
      </w:r>
    </w:p>
    <w:p w14:paraId="7D4F1703">
      <w:pPr>
        <w:pStyle w:val="18"/>
        <w:ind w:firstLine="480" w:firstLineChars="200"/>
        <w:rPr>
          <w:rFonts w:ascii="宋体" w:hAnsi="宋体" w:eastAsia="宋体" w:cs="宋体"/>
          <w:highlight w:val="none"/>
          <w:lang w:eastAsia="zh-CN"/>
        </w:rPr>
      </w:pPr>
      <w:r>
        <w:rPr>
          <w:rFonts w:hint="eastAsia" w:ascii="宋体" w:hAnsi="宋体" w:eastAsia="宋体" w:cs="宋体"/>
          <w:color w:val="000000"/>
          <w:sz w:val="24"/>
          <w:highlight w:val="none"/>
          <w:lang w:eastAsia="zh-CN"/>
        </w:rPr>
        <w:t>6、</w:t>
      </w:r>
      <w:r>
        <w:rPr>
          <w:rFonts w:hint="eastAsia" w:ascii="宋体" w:hAnsi="宋体" w:eastAsia="宋体" w:cs="宋体"/>
          <w:bCs/>
          <w:kern w:val="1"/>
          <w:sz w:val="21"/>
          <w:szCs w:val="21"/>
          <w:highlight w:val="none"/>
          <w:lang w:eastAsia="zh-CN"/>
        </w:rPr>
        <w:t>服务期内，乙方应承诺免费提供二次移机服务。</w:t>
      </w:r>
    </w:p>
    <w:p w14:paraId="4C9A04B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第七条 知识产权</w:t>
      </w:r>
    </w:p>
    <w:p w14:paraId="6DF3399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1、在合同履行过程中，由甲方向乙方提供的资料－－包括但不限于程序、文件、报告、说明、图表等均归甲方所有。</w:t>
      </w:r>
    </w:p>
    <w:p w14:paraId="442CD9E6">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2078B92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第八条 保密条款</w:t>
      </w:r>
    </w:p>
    <w:p w14:paraId="2E4250B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74CF4BD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第九条 风险责任</w:t>
      </w:r>
    </w:p>
    <w:p w14:paraId="720F0E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58E800F4">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第十条 履约保证金（本项目不涉及）</w:t>
      </w:r>
    </w:p>
    <w:p w14:paraId="70A6322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1、乙方应按招标文件的约定要求提供相应的履约保证金。</w:t>
      </w:r>
    </w:p>
    <w:p w14:paraId="16051AD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2、履约保证金的有效期为合同生效之日起至合同主要义务履行完毕止。</w:t>
      </w:r>
    </w:p>
    <w:p w14:paraId="7AD433E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3、如乙方未能履行合同规定的义务，或因乙方责任应由乙方承担的赔偿未完成，甲方有权从履约保证金中取得补偿。</w:t>
      </w:r>
    </w:p>
    <w:p w14:paraId="2A25929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4、履约保证金待合同主要义务全部履行完毕后全额退回（不计息）。</w:t>
      </w:r>
    </w:p>
    <w:p w14:paraId="187CD58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第十一条 合同的变更和终止</w:t>
      </w:r>
    </w:p>
    <w:p w14:paraId="0B9A105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1、本合同一经签订，甲乙双方不得擅自变更、中止或终止合同。</w:t>
      </w:r>
    </w:p>
    <w:p w14:paraId="1183719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2、除发生法律规定的不能预见、不能避免并不能克服的客观情况外，甲乙双方不得放弃或拒绝履行合同。乙方放弃或拒绝履行合同，保证金不予退还。</w:t>
      </w:r>
    </w:p>
    <w:p w14:paraId="2C79AF3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第十二条 合同的转让</w:t>
      </w:r>
    </w:p>
    <w:p w14:paraId="2580553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1、乙方不得擅自部分或全部转让其应履行的合同义务。    </w:t>
      </w:r>
    </w:p>
    <w:p w14:paraId="79E51A7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2、乙方在履行合同过程中，不得将服务项目委托给第三方。</w:t>
      </w:r>
    </w:p>
    <w:p w14:paraId="23DA025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第十三条 违约责任</w:t>
      </w:r>
    </w:p>
    <w:p w14:paraId="1E0E77A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1、在合同生效后，甲方无理由要求终止服务的，应向乙方偿付合同总价款的5%，作为违约金，违约金不足以补偿损失的，乙方有权要求甲方补足。</w:t>
      </w:r>
    </w:p>
    <w:p w14:paraId="5270C68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2、甲方逾期付款的，应按照逾期付款金额的每天万分之四支付逾期付款违约金。</w:t>
      </w:r>
    </w:p>
    <w:p w14:paraId="3D126E2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768C2E7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4、乙方项目组成员须按招标文件承诺人员配备，未经甲方同意不得擅自更换；如更换需向甲方支付赔偿金。</w:t>
      </w:r>
    </w:p>
    <w:p w14:paraId="0E24B32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16D7DC2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6、其他未尽事宜，以《民法典》和《政府采购法》等有关法律法规规定为准，无相关规定的，双方协商解决。</w:t>
      </w:r>
    </w:p>
    <w:p w14:paraId="5BDC2B5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第十四条 不可抗力</w:t>
      </w:r>
    </w:p>
    <w:p w14:paraId="6183A0B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54EFE1C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因合同一方迟延履行后发生不可抗力的，不能免除责任。</w:t>
      </w:r>
    </w:p>
    <w:p w14:paraId="30652FBD">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第十五条 索赔</w:t>
      </w:r>
    </w:p>
    <w:p w14:paraId="764112F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4646B44A">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第十六条 争议的解决</w:t>
      </w:r>
    </w:p>
    <w:p w14:paraId="67C3891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1、因服务的质量问题发生争议的，应当邀请国家认可的质量检测机构对服务项目质量进行鉴定。项目符合标准的，鉴定费由甲方承担；项目不符合质量标准的，鉴定费由乙方承担。</w:t>
      </w:r>
    </w:p>
    <w:p w14:paraId="156ECE0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2、因履行本合同引起的或与本合同有关的争议，甲、乙双方应首先通过友好协商解决，如果协商不能解决争议，则向甲方所在地有管辖权的人民法院提起诉讼；</w:t>
      </w:r>
    </w:p>
    <w:p w14:paraId="0D333FB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3、在法院审理和仲裁期间，除有争议部分外，本合同其他部分应继续履行。</w:t>
      </w:r>
    </w:p>
    <w:p w14:paraId="154CED6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第十七条 诚实信用 </w:t>
      </w:r>
    </w:p>
    <w:p w14:paraId="4E31E4D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乙方应诚实信用，严格按照招标文件要求和投标承诺履行合同，不向甲方进行商业贿赂或者提供不正当利益。</w:t>
      </w:r>
    </w:p>
    <w:p w14:paraId="04F99C6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第十八条 合同生效及其他</w:t>
      </w:r>
    </w:p>
    <w:p w14:paraId="32F8518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1、本合同自经甲乙双方授权代表签订并加盖公章后，自签订之日起生效。</w:t>
      </w:r>
    </w:p>
    <w:p w14:paraId="70A61A8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2、本合同一式肆份，甲乙双方各执贰份。</w:t>
      </w:r>
    </w:p>
    <w:p w14:paraId="4E57EDA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3、本合同应按照中华人民共和国的现行法律进行解释。</w:t>
      </w:r>
    </w:p>
    <w:p w14:paraId="1C93DAF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8C84A0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甲方（采购人）：（盖章）                     乙方（供应商）：（盖章）</w:t>
      </w:r>
    </w:p>
    <w:p w14:paraId="0859380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代表人：                   代表人：</w:t>
      </w:r>
    </w:p>
    <w:p w14:paraId="350017F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电话：                    电话：</w:t>
      </w:r>
    </w:p>
    <w:p w14:paraId="0E5AF5F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开户银行：                                   开户银行：</w:t>
      </w:r>
    </w:p>
    <w:p w14:paraId="2F9F6D1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帐号：                                       帐号：</w:t>
      </w:r>
    </w:p>
    <w:p w14:paraId="2673D7E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日期： 年 月  日                             日期：    年  月   日</w:t>
      </w:r>
    </w:p>
    <w:p w14:paraId="5AABCC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3AEA384">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p>
    <w:p w14:paraId="577EA64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9B9612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466A36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xml:space="preserve"> </w:t>
      </w:r>
    </w:p>
    <w:p w14:paraId="5313EFD7">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EFF7AB8">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06DB9E7">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（全文完）</w:t>
      </w:r>
    </w:p>
    <w:p w14:paraId="08658101">
      <w:pPr>
        <w:rPr>
          <w:rFonts w:ascii="宋体" w:hAnsi="宋体" w:eastAsia="宋体" w:cs="宋体"/>
          <w:highlight w:val="none"/>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35DC14A-EF6E-4CE7-944A-83E9A8AA389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2" w:fontKey="{8A9FB333-C96D-4B47-8378-019F568C4BF2}"/>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3" w:fontKey="{CA19F158-B35E-4A04-A896-16B719F9C3F4}"/>
  </w:font>
  <w:font w:name="仿宋_GB2312">
    <w:altName w:val="仿宋"/>
    <w:panose1 w:val="00000000000000000000"/>
    <w:charset w:val="86"/>
    <w:family w:val="modern"/>
    <w:pitch w:val="default"/>
    <w:sig w:usb0="00000000" w:usb1="00000000" w:usb2="00000010" w:usb3="00000000" w:csb0="00040000" w:csb1="00000000"/>
  </w:font>
  <w:font w:name="鸿蒙黑体">
    <w:altName w:val="黑体"/>
    <w:panose1 w:val="00000000000000000000"/>
    <w:charset w:val="86"/>
    <w:family w:val="auto"/>
    <w:pitch w:val="default"/>
    <w:sig w:usb0="00000000" w:usb1="00000000" w:usb2="00000016" w:usb3="00000000" w:csb0="00040001" w:csb1="00000000"/>
  </w:font>
  <w:font w:name="FT Thymes">
    <w:altName w:val="Segoe Print"/>
    <w:panose1 w:val="00000000000000000000"/>
    <w:charset w:val="00"/>
    <w:family w:val="auto"/>
    <w:pitch w:val="default"/>
    <w:sig w:usb0="00000000" w:usb1="00000000" w:usb2="00000009" w:usb3="00000000" w:csb0="00000001" w:csb1="00000000"/>
  </w:font>
  <w:font w:name="方正小标宋_GBK">
    <w:altName w:val="微软雅黑"/>
    <w:panose1 w:val="00000000000000000000"/>
    <w:charset w:val="86"/>
    <w:family w:val="auto"/>
    <w:pitch w:val="default"/>
    <w:sig w:usb0="00000000" w:usb1="00000000" w:usb2="00000000" w:usb3="00000000" w:csb0="00040000" w:csb1="00000000"/>
    <w:embedRegular r:id="rId4" w:fontKey="{B65AD739-05F7-415F-B134-7EE3DE6E3B2B}"/>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D728EA"/>
    <w:multiLevelType w:val="singleLevel"/>
    <w:tmpl w:val="86D728EA"/>
    <w:lvl w:ilvl="0" w:tentative="0">
      <w:start w:val="1"/>
      <w:numFmt w:val="decimalEnclosedCircleChinese"/>
      <w:suff w:val="nothing"/>
      <w:lvlText w:val="%1　"/>
      <w:lvlJc w:val="left"/>
      <w:pPr>
        <w:ind w:left="0" w:firstLine="400"/>
      </w:pPr>
      <w:rPr>
        <w:rFonts w:hint="eastAsia"/>
      </w:rPr>
    </w:lvl>
  </w:abstractNum>
  <w:abstractNum w:abstractNumId="1">
    <w:nsid w:val="8CCF8AF6"/>
    <w:multiLevelType w:val="singleLevel"/>
    <w:tmpl w:val="8CCF8AF6"/>
    <w:lvl w:ilvl="0" w:tentative="0">
      <w:start w:val="1"/>
      <w:numFmt w:val="decimal"/>
      <w:suff w:val="nothing"/>
      <w:lvlText w:val="%1)"/>
      <w:lvlJc w:val="left"/>
      <w:pPr>
        <w:ind w:left="425" w:hanging="425"/>
      </w:pPr>
      <w:rPr>
        <w:rFonts w:hint="default"/>
      </w:rPr>
    </w:lvl>
  </w:abstractNum>
  <w:abstractNum w:abstractNumId="2">
    <w:nsid w:val="8E227D2F"/>
    <w:multiLevelType w:val="singleLevel"/>
    <w:tmpl w:val="8E227D2F"/>
    <w:lvl w:ilvl="0" w:tentative="0">
      <w:start w:val="1"/>
      <w:numFmt w:val="decimal"/>
      <w:suff w:val="nothing"/>
      <w:lvlText w:val="%1)"/>
      <w:lvlJc w:val="left"/>
      <w:pPr>
        <w:ind w:left="425" w:hanging="425"/>
      </w:pPr>
      <w:rPr>
        <w:rFonts w:hint="default"/>
      </w:rPr>
    </w:lvl>
  </w:abstractNum>
  <w:abstractNum w:abstractNumId="3">
    <w:nsid w:val="904D102F"/>
    <w:multiLevelType w:val="singleLevel"/>
    <w:tmpl w:val="904D102F"/>
    <w:lvl w:ilvl="0" w:tentative="0">
      <w:start w:val="1"/>
      <w:numFmt w:val="decimal"/>
      <w:suff w:val="nothing"/>
      <w:lvlText w:val="%1)"/>
      <w:lvlJc w:val="left"/>
      <w:pPr>
        <w:ind w:left="440" w:hanging="425"/>
      </w:pPr>
      <w:rPr>
        <w:rFonts w:hint="default"/>
        <w:color w:val="000000" w:themeColor="text1"/>
        <w:highlight w:val="none"/>
        <w14:textFill>
          <w14:solidFill>
            <w14:schemeClr w14:val="tx1"/>
          </w14:solidFill>
        </w14:textFill>
      </w:rPr>
    </w:lvl>
  </w:abstractNum>
  <w:abstractNum w:abstractNumId="4">
    <w:nsid w:val="9FF1053B"/>
    <w:multiLevelType w:val="singleLevel"/>
    <w:tmpl w:val="9FF1053B"/>
    <w:lvl w:ilvl="0" w:tentative="0">
      <w:start w:val="1"/>
      <w:numFmt w:val="decimal"/>
      <w:suff w:val="nothing"/>
      <w:lvlText w:val="%1)"/>
      <w:lvlJc w:val="left"/>
      <w:pPr>
        <w:ind w:left="425" w:hanging="425"/>
      </w:pPr>
      <w:rPr>
        <w:rFonts w:hint="default"/>
      </w:rPr>
    </w:lvl>
  </w:abstractNum>
  <w:abstractNum w:abstractNumId="5">
    <w:nsid w:val="A53BE443"/>
    <w:multiLevelType w:val="singleLevel"/>
    <w:tmpl w:val="A53BE443"/>
    <w:lvl w:ilvl="0" w:tentative="0">
      <w:start w:val="1"/>
      <w:numFmt w:val="decimal"/>
      <w:suff w:val="nothing"/>
      <w:lvlText w:val="%1)"/>
      <w:lvlJc w:val="left"/>
      <w:pPr>
        <w:ind w:left="425" w:hanging="425"/>
      </w:pPr>
      <w:rPr>
        <w:rFonts w:hint="default"/>
      </w:rPr>
    </w:lvl>
  </w:abstractNum>
  <w:abstractNum w:abstractNumId="6">
    <w:nsid w:val="B3961216"/>
    <w:multiLevelType w:val="singleLevel"/>
    <w:tmpl w:val="B3961216"/>
    <w:lvl w:ilvl="0" w:tentative="0">
      <w:start w:val="1"/>
      <w:numFmt w:val="decimalEnclosedCircleChinese"/>
      <w:suff w:val="nothing"/>
      <w:lvlText w:val="%1　"/>
      <w:lvlJc w:val="left"/>
      <w:pPr>
        <w:ind w:left="0" w:firstLine="400"/>
      </w:pPr>
      <w:rPr>
        <w:rFonts w:hint="eastAsia"/>
      </w:rPr>
    </w:lvl>
  </w:abstractNum>
  <w:abstractNum w:abstractNumId="7">
    <w:nsid w:val="B6E304E5"/>
    <w:multiLevelType w:val="singleLevel"/>
    <w:tmpl w:val="B6E304E5"/>
    <w:lvl w:ilvl="0" w:tentative="0">
      <w:start w:val="1"/>
      <w:numFmt w:val="decimal"/>
      <w:suff w:val="nothing"/>
      <w:lvlText w:val="%1)"/>
      <w:lvlJc w:val="left"/>
      <w:pPr>
        <w:ind w:left="425" w:hanging="425"/>
      </w:pPr>
      <w:rPr>
        <w:rFonts w:hint="default"/>
      </w:rPr>
    </w:lvl>
  </w:abstractNum>
  <w:abstractNum w:abstractNumId="8">
    <w:nsid w:val="C56E24A1"/>
    <w:multiLevelType w:val="singleLevel"/>
    <w:tmpl w:val="C56E24A1"/>
    <w:lvl w:ilvl="0" w:tentative="0">
      <w:start w:val="1"/>
      <w:numFmt w:val="decimal"/>
      <w:suff w:val="nothing"/>
      <w:lvlText w:val="%1)"/>
      <w:lvlJc w:val="left"/>
      <w:pPr>
        <w:ind w:left="425" w:hanging="425"/>
      </w:pPr>
      <w:rPr>
        <w:rFonts w:hint="default"/>
      </w:rPr>
    </w:lvl>
  </w:abstractNum>
  <w:abstractNum w:abstractNumId="9">
    <w:nsid w:val="CA34776B"/>
    <w:multiLevelType w:val="singleLevel"/>
    <w:tmpl w:val="CA34776B"/>
    <w:lvl w:ilvl="0" w:tentative="0">
      <w:start w:val="1"/>
      <w:numFmt w:val="decimal"/>
      <w:suff w:val="nothing"/>
      <w:lvlText w:val="%1)"/>
      <w:lvlJc w:val="left"/>
      <w:pPr>
        <w:ind w:left="425" w:hanging="425"/>
      </w:pPr>
      <w:rPr>
        <w:rFonts w:hint="default"/>
      </w:rPr>
    </w:lvl>
  </w:abstractNum>
  <w:abstractNum w:abstractNumId="10">
    <w:nsid w:val="CDAF233B"/>
    <w:multiLevelType w:val="singleLevel"/>
    <w:tmpl w:val="CDAF233B"/>
    <w:lvl w:ilvl="0" w:tentative="0">
      <w:start w:val="1"/>
      <w:numFmt w:val="decimalEnclosedCircleChinese"/>
      <w:suff w:val="nothing"/>
      <w:lvlText w:val="%1　"/>
      <w:lvlJc w:val="left"/>
      <w:pPr>
        <w:ind w:left="0" w:firstLine="400"/>
      </w:pPr>
      <w:rPr>
        <w:rFonts w:hint="eastAsia"/>
      </w:rPr>
    </w:lvl>
  </w:abstractNum>
  <w:abstractNum w:abstractNumId="11">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D8C950A4"/>
    <w:multiLevelType w:val="singleLevel"/>
    <w:tmpl w:val="D8C950A4"/>
    <w:lvl w:ilvl="0" w:tentative="0">
      <w:start w:val="1"/>
      <w:numFmt w:val="decimal"/>
      <w:suff w:val="nothing"/>
      <w:lvlText w:val="%1)"/>
      <w:lvlJc w:val="left"/>
      <w:pPr>
        <w:ind w:left="425" w:hanging="425"/>
      </w:pPr>
      <w:rPr>
        <w:rFonts w:hint="default"/>
      </w:rPr>
    </w:lvl>
  </w:abstractNum>
  <w:abstractNum w:abstractNumId="13">
    <w:nsid w:val="E1D0E78A"/>
    <w:multiLevelType w:val="singleLevel"/>
    <w:tmpl w:val="E1D0E78A"/>
    <w:lvl w:ilvl="0" w:tentative="0">
      <w:start w:val="1"/>
      <w:numFmt w:val="decimal"/>
      <w:suff w:val="nothing"/>
      <w:lvlText w:val="%1)"/>
      <w:lvlJc w:val="left"/>
      <w:pPr>
        <w:ind w:left="425" w:hanging="425"/>
      </w:pPr>
      <w:rPr>
        <w:rFonts w:hint="default"/>
      </w:rPr>
    </w:lvl>
  </w:abstractNum>
  <w:abstractNum w:abstractNumId="14">
    <w:nsid w:val="FA19AF0B"/>
    <w:multiLevelType w:val="singleLevel"/>
    <w:tmpl w:val="FA19AF0B"/>
    <w:lvl w:ilvl="0" w:tentative="0">
      <w:start w:val="1"/>
      <w:numFmt w:val="decimal"/>
      <w:suff w:val="nothing"/>
      <w:lvlText w:val="%1)"/>
      <w:lvlJc w:val="left"/>
      <w:pPr>
        <w:ind w:left="425" w:hanging="425"/>
      </w:pPr>
      <w:rPr>
        <w:rFonts w:hint="default"/>
      </w:rPr>
    </w:lvl>
  </w:abstractNum>
  <w:abstractNum w:abstractNumId="15">
    <w:nsid w:val="00000002"/>
    <w:multiLevelType w:val="multilevel"/>
    <w:tmpl w:val="00000002"/>
    <w:lvl w:ilvl="0" w:tentative="0">
      <w:start w:val="1"/>
      <w:numFmt w:val="decimal"/>
      <w:lvlText w:val="%1."/>
      <w:lvlJc w:val="left"/>
      <w:pPr>
        <w:tabs>
          <w:tab w:val="left" w:pos="312"/>
        </w:tabs>
      </w:pPr>
    </w:lvl>
    <w:lvl w:ilvl="1" w:tentative="0">
      <w:start w:val="1"/>
      <w:numFmt w:val="decimal"/>
      <w:lvlText w:val="%1.%2."/>
      <w:lvlJc w:val="left"/>
      <w:pPr>
        <w:tabs>
          <w:tab w:val="left" w:pos="312"/>
        </w:tabs>
        <w:ind w:left="0" w:firstLine="0"/>
      </w:pPr>
      <w:rPr>
        <w:rFonts w:hint="default"/>
      </w:rPr>
    </w:lvl>
    <w:lvl w:ilvl="2" w:tentative="0">
      <w:start w:val="1"/>
      <w:numFmt w:val="decimal"/>
      <w:lvlText w:val="%1.%2.%3."/>
      <w:lvlJc w:val="left"/>
      <w:pPr>
        <w:tabs>
          <w:tab w:val="left" w:pos="312"/>
        </w:tabs>
        <w:ind w:left="0" w:firstLine="0"/>
      </w:pPr>
      <w:rPr>
        <w:rFonts w:hint="default"/>
      </w:rPr>
    </w:lvl>
    <w:lvl w:ilvl="3" w:tentative="0">
      <w:start w:val="1"/>
      <w:numFmt w:val="decimal"/>
      <w:lvlText w:val="%1.%2.%3.%4."/>
      <w:lvlJc w:val="left"/>
      <w:pPr>
        <w:tabs>
          <w:tab w:val="left" w:pos="312"/>
        </w:tabs>
        <w:ind w:left="0" w:firstLine="0"/>
      </w:pPr>
      <w:rPr>
        <w:rFonts w:hint="default"/>
      </w:rPr>
    </w:lvl>
    <w:lvl w:ilvl="4" w:tentative="0">
      <w:start w:val="1"/>
      <w:numFmt w:val="decimal"/>
      <w:lvlText w:val="%1.%2.%3.%4.%5."/>
      <w:lvlJc w:val="left"/>
      <w:pPr>
        <w:tabs>
          <w:tab w:val="left" w:pos="312"/>
        </w:tabs>
        <w:ind w:left="0" w:firstLine="0"/>
      </w:pPr>
      <w:rPr>
        <w:rFonts w:hint="default"/>
      </w:rPr>
    </w:lvl>
    <w:lvl w:ilvl="5" w:tentative="0">
      <w:start w:val="1"/>
      <w:numFmt w:val="decimal"/>
      <w:lvlText w:val="%1.%2.%3.%4.%5.%6."/>
      <w:lvlJc w:val="left"/>
      <w:pPr>
        <w:tabs>
          <w:tab w:val="left" w:pos="312"/>
        </w:tabs>
        <w:ind w:left="0" w:firstLine="0"/>
      </w:pPr>
      <w:rPr>
        <w:rFonts w:hint="default"/>
      </w:rPr>
    </w:lvl>
    <w:lvl w:ilvl="6" w:tentative="0">
      <w:start w:val="1"/>
      <w:numFmt w:val="decimal"/>
      <w:lvlText w:val="%1.%2.%3.%4.%5.%6.%7."/>
      <w:lvlJc w:val="left"/>
      <w:pPr>
        <w:tabs>
          <w:tab w:val="left" w:pos="312"/>
        </w:tabs>
        <w:ind w:left="0" w:firstLine="0"/>
      </w:pPr>
      <w:rPr>
        <w:rFonts w:hint="default"/>
      </w:rPr>
    </w:lvl>
    <w:lvl w:ilvl="7" w:tentative="0">
      <w:start w:val="1"/>
      <w:numFmt w:val="decimal"/>
      <w:lvlText w:val="%1.%2.%3.%4.%5.%6.%7.%8."/>
      <w:lvlJc w:val="left"/>
      <w:pPr>
        <w:tabs>
          <w:tab w:val="left" w:pos="312"/>
        </w:tabs>
        <w:ind w:left="0" w:firstLine="0"/>
      </w:pPr>
      <w:rPr>
        <w:rFonts w:hint="default"/>
      </w:rPr>
    </w:lvl>
    <w:lvl w:ilvl="8" w:tentative="0">
      <w:start w:val="1"/>
      <w:numFmt w:val="decimal"/>
      <w:lvlText w:val="%1.%2.%3.%4.%5.%6.%7.%8.%9."/>
      <w:lvlJc w:val="left"/>
      <w:pPr>
        <w:tabs>
          <w:tab w:val="left" w:pos="312"/>
        </w:tabs>
        <w:ind w:left="0" w:firstLine="0"/>
      </w:pPr>
      <w:rPr>
        <w:rFonts w:hint="default"/>
      </w:rPr>
    </w:lvl>
  </w:abstractNum>
  <w:abstractNum w:abstractNumId="16">
    <w:nsid w:val="00000003"/>
    <w:multiLevelType w:val="singleLevel"/>
    <w:tmpl w:val="00000003"/>
    <w:lvl w:ilvl="0" w:tentative="0">
      <w:start w:val="1"/>
      <w:numFmt w:val="decimal"/>
      <w:suff w:val="nothing"/>
      <w:lvlText w:val="（%1）"/>
      <w:lvlJc w:val="left"/>
    </w:lvl>
  </w:abstractNum>
  <w:abstractNum w:abstractNumId="17">
    <w:nsid w:val="041C5EC3"/>
    <w:multiLevelType w:val="singleLevel"/>
    <w:tmpl w:val="041C5EC3"/>
    <w:lvl w:ilvl="0" w:tentative="0">
      <w:start w:val="1"/>
      <w:numFmt w:val="decimal"/>
      <w:suff w:val="nothing"/>
      <w:lvlText w:val="%1)"/>
      <w:lvlJc w:val="left"/>
      <w:pPr>
        <w:ind w:left="425" w:hanging="425"/>
      </w:pPr>
      <w:rPr>
        <w:rFonts w:hint="default"/>
      </w:rPr>
    </w:lvl>
  </w:abstractNum>
  <w:abstractNum w:abstractNumId="18">
    <w:nsid w:val="1808C010"/>
    <w:multiLevelType w:val="singleLevel"/>
    <w:tmpl w:val="1808C010"/>
    <w:lvl w:ilvl="0" w:tentative="0">
      <w:start w:val="1"/>
      <w:numFmt w:val="decimalEnclosedCircleChinese"/>
      <w:suff w:val="nothing"/>
      <w:lvlText w:val="%1　"/>
      <w:lvlJc w:val="left"/>
      <w:pPr>
        <w:ind w:left="0" w:firstLine="400"/>
      </w:pPr>
      <w:rPr>
        <w:rFonts w:hint="eastAsia"/>
      </w:rPr>
    </w:lvl>
  </w:abstractNum>
  <w:abstractNum w:abstractNumId="19">
    <w:nsid w:val="1F927492"/>
    <w:multiLevelType w:val="singleLevel"/>
    <w:tmpl w:val="1F927492"/>
    <w:lvl w:ilvl="0" w:tentative="0">
      <w:start w:val="1"/>
      <w:numFmt w:val="decimal"/>
      <w:suff w:val="nothing"/>
      <w:lvlText w:val="%1)"/>
      <w:lvlJc w:val="left"/>
      <w:pPr>
        <w:ind w:left="425" w:hanging="425"/>
      </w:pPr>
      <w:rPr>
        <w:rFonts w:hint="default"/>
      </w:rPr>
    </w:lvl>
  </w:abstractNum>
  <w:abstractNum w:abstractNumId="20">
    <w:nsid w:val="3A8BDA54"/>
    <w:multiLevelType w:val="singleLevel"/>
    <w:tmpl w:val="3A8BDA54"/>
    <w:lvl w:ilvl="0" w:tentative="0">
      <w:start w:val="1"/>
      <w:numFmt w:val="decimal"/>
      <w:suff w:val="nothing"/>
      <w:lvlText w:val="%1)"/>
      <w:lvlJc w:val="left"/>
      <w:pPr>
        <w:ind w:left="425" w:hanging="425"/>
      </w:pPr>
      <w:rPr>
        <w:rFonts w:hint="default"/>
      </w:rPr>
    </w:lvl>
  </w:abstractNum>
  <w:abstractNum w:abstractNumId="21">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5436A618"/>
    <w:multiLevelType w:val="singleLevel"/>
    <w:tmpl w:val="5436A618"/>
    <w:lvl w:ilvl="0" w:tentative="0">
      <w:start w:val="1"/>
      <w:numFmt w:val="decimal"/>
      <w:suff w:val="nothing"/>
      <w:lvlText w:val="%1)"/>
      <w:lvlJc w:val="left"/>
      <w:pPr>
        <w:ind w:left="425" w:hanging="425"/>
      </w:pPr>
      <w:rPr>
        <w:rFonts w:hint="default"/>
      </w:rPr>
    </w:lvl>
  </w:abstractNum>
  <w:abstractNum w:abstractNumId="23">
    <w:nsid w:val="5498ACF2"/>
    <w:multiLevelType w:val="singleLevel"/>
    <w:tmpl w:val="5498ACF2"/>
    <w:lvl w:ilvl="0" w:tentative="0">
      <w:start w:val="1"/>
      <w:numFmt w:val="decimalEnclosedCircleChinese"/>
      <w:suff w:val="nothing"/>
      <w:lvlText w:val="%1　"/>
      <w:lvlJc w:val="left"/>
      <w:pPr>
        <w:ind w:left="0" w:firstLine="400"/>
      </w:pPr>
      <w:rPr>
        <w:rFonts w:hint="eastAsia"/>
      </w:rPr>
    </w:lvl>
  </w:abstractNum>
  <w:abstractNum w:abstractNumId="24">
    <w:nsid w:val="59874CB8"/>
    <w:multiLevelType w:val="singleLevel"/>
    <w:tmpl w:val="59874CB8"/>
    <w:lvl w:ilvl="0" w:tentative="0">
      <w:start w:val="1"/>
      <w:numFmt w:val="decimal"/>
      <w:suff w:val="nothing"/>
      <w:lvlText w:val="%1)"/>
      <w:lvlJc w:val="left"/>
      <w:pPr>
        <w:ind w:left="425" w:hanging="425"/>
      </w:pPr>
      <w:rPr>
        <w:rFonts w:hint="default"/>
      </w:rPr>
    </w:lvl>
  </w:abstractNum>
  <w:abstractNum w:abstractNumId="25">
    <w:nsid w:val="653FA1EC"/>
    <w:multiLevelType w:val="singleLevel"/>
    <w:tmpl w:val="653FA1EC"/>
    <w:lvl w:ilvl="0" w:tentative="0">
      <w:start w:val="1"/>
      <w:numFmt w:val="decimal"/>
      <w:suff w:val="nothing"/>
      <w:lvlText w:val="（%1）"/>
      <w:lvlJc w:val="left"/>
    </w:lvl>
  </w:abstractNum>
  <w:abstractNum w:abstractNumId="26">
    <w:nsid w:val="700F940D"/>
    <w:multiLevelType w:val="singleLevel"/>
    <w:tmpl w:val="700F940D"/>
    <w:lvl w:ilvl="0" w:tentative="0">
      <w:start w:val="1"/>
      <w:numFmt w:val="decimal"/>
      <w:suff w:val="nothing"/>
      <w:lvlText w:val="%1、"/>
      <w:lvlJc w:val="left"/>
    </w:lvl>
  </w:abstractNum>
  <w:abstractNum w:abstractNumId="27">
    <w:nsid w:val="744199EB"/>
    <w:multiLevelType w:val="singleLevel"/>
    <w:tmpl w:val="744199EB"/>
    <w:lvl w:ilvl="0" w:tentative="0">
      <w:start w:val="1"/>
      <w:numFmt w:val="decimal"/>
      <w:suff w:val="nothing"/>
      <w:lvlText w:val="%1)"/>
      <w:lvlJc w:val="left"/>
      <w:pPr>
        <w:ind w:left="425" w:hanging="425"/>
      </w:pPr>
      <w:rPr>
        <w:rFonts w:hint="default"/>
      </w:rPr>
    </w:lvl>
  </w:abstractNum>
  <w:num w:numId="1">
    <w:abstractNumId w:val="21"/>
  </w:num>
  <w:num w:numId="2">
    <w:abstractNumId w:val="14"/>
  </w:num>
  <w:num w:numId="3">
    <w:abstractNumId w:val="8"/>
  </w:num>
  <w:num w:numId="4">
    <w:abstractNumId w:val="1"/>
  </w:num>
  <w:num w:numId="5">
    <w:abstractNumId w:val="9"/>
  </w:num>
  <w:num w:numId="6">
    <w:abstractNumId w:val="5"/>
  </w:num>
  <w:num w:numId="7">
    <w:abstractNumId w:val="20"/>
  </w:num>
  <w:num w:numId="8">
    <w:abstractNumId w:val="7"/>
  </w:num>
  <w:num w:numId="9">
    <w:abstractNumId w:val="2"/>
  </w:num>
  <w:num w:numId="10">
    <w:abstractNumId w:val="17"/>
  </w:num>
  <w:num w:numId="11">
    <w:abstractNumId w:val="4"/>
  </w:num>
  <w:num w:numId="12">
    <w:abstractNumId w:val="22"/>
  </w:num>
  <w:num w:numId="13">
    <w:abstractNumId w:val="25"/>
  </w:num>
  <w:num w:numId="14">
    <w:abstractNumId w:val="24"/>
  </w:num>
  <w:num w:numId="15">
    <w:abstractNumId w:val="12"/>
  </w:num>
  <w:num w:numId="16">
    <w:abstractNumId w:val="3"/>
  </w:num>
  <w:num w:numId="17">
    <w:abstractNumId w:val="13"/>
  </w:num>
  <w:num w:numId="18">
    <w:abstractNumId w:val="27"/>
  </w:num>
  <w:num w:numId="19">
    <w:abstractNumId w:val="19"/>
  </w:num>
  <w:num w:numId="20">
    <w:abstractNumId w:val="10"/>
  </w:num>
  <w:num w:numId="21">
    <w:abstractNumId w:val="18"/>
  </w:num>
  <w:num w:numId="22">
    <w:abstractNumId w:val="23"/>
  </w:num>
  <w:num w:numId="23">
    <w:abstractNumId w:val="0"/>
  </w:num>
  <w:num w:numId="24">
    <w:abstractNumId w:val="6"/>
  </w:num>
  <w:num w:numId="25">
    <w:abstractNumId w:val="15"/>
  </w:num>
  <w:num w:numId="26">
    <w:abstractNumId w:val="16"/>
  </w:num>
  <w:num w:numId="27">
    <w:abstractNumId w:val="26"/>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hideSpellingErrors/>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wMjE2NTg3NmQ5OGFlNmI5NjU3MmMzODI4MTg5NGYifQ=="/>
  </w:docVars>
  <w:rsids>
    <w:rsidRoot w:val="007F0DE6"/>
    <w:rsid w:val="00010B6B"/>
    <w:rsid w:val="000277C4"/>
    <w:rsid w:val="00036C66"/>
    <w:rsid w:val="00041FC6"/>
    <w:rsid w:val="0004479D"/>
    <w:rsid w:val="0007014C"/>
    <w:rsid w:val="000729B7"/>
    <w:rsid w:val="00075F06"/>
    <w:rsid w:val="00083134"/>
    <w:rsid w:val="00083CEF"/>
    <w:rsid w:val="00091A06"/>
    <w:rsid w:val="000A59D2"/>
    <w:rsid w:val="000B2774"/>
    <w:rsid w:val="000D53C5"/>
    <w:rsid w:val="000E11FC"/>
    <w:rsid w:val="000E2B67"/>
    <w:rsid w:val="0010056D"/>
    <w:rsid w:val="00114B08"/>
    <w:rsid w:val="00115263"/>
    <w:rsid w:val="001316C0"/>
    <w:rsid w:val="00142C8E"/>
    <w:rsid w:val="00151A29"/>
    <w:rsid w:val="00155E38"/>
    <w:rsid w:val="00157EAC"/>
    <w:rsid w:val="0016197C"/>
    <w:rsid w:val="00162CCC"/>
    <w:rsid w:val="00174989"/>
    <w:rsid w:val="001818D4"/>
    <w:rsid w:val="001B07CF"/>
    <w:rsid w:val="001B3E8E"/>
    <w:rsid w:val="001C3306"/>
    <w:rsid w:val="001E2034"/>
    <w:rsid w:val="001E232E"/>
    <w:rsid w:val="001E2706"/>
    <w:rsid w:val="00210BBC"/>
    <w:rsid w:val="00214F01"/>
    <w:rsid w:val="00223343"/>
    <w:rsid w:val="00236AAA"/>
    <w:rsid w:val="00252087"/>
    <w:rsid w:val="00255EDA"/>
    <w:rsid w:val="00256906"/>
    <w:rsid w:val="00266D48"/>
    <w:rsid w:val="0027354F"/>
    <w:rsid w:val="00273F62"/>
    <w:rsid w:val="00285A4E"/>
    <w:rsid w:val="0028764F"/>
    <w:rsid w:val="00294C0A"/>
    <w:rsid w:val="002B77CB"/>
    <w:rsid w:val="002C4198"/>
    <w:rsid w:val="002C4AD5"/>
    <w:rsid w:val="00301F91"/>
    <w:rsid w:val="0030724E"/>
    <w:rsid w:val="003257DC"/>
    <w:rsid w:val="003301EA"/>
    <w:rsid w:val="00333A07"/>
    <w:rsid w:val="003416B0"/>
    <w:rsid w:val="003606C2"/>
    <w:rsid w:val="003755BF"/>
    <w:rsid w:val="0038564D"/>
    <w:rsid w:val="0038756E"/>
    <w:rsid w:val="00394D7E"/>
    <w:rsid w:val="0039535E"/>
    <w:rsid w:val="003A3F86"/>
    <w:rsid w:val="003C7CE9"/>
    <w:rsid w:val="003F2D59"/>
    <w:rsid w:val="00434066"/>
    <w:rsid w:val="0044379B"/>
    <w:rsid w:val="00445CE4"/>
    <w:rsid w:val="00446EFD"/>
    <w:rsid w:val="00464508"/>
    <w:rsid w:val="004716E5"/>
    <w:rsid w:val="004746F4"/>
    <w:rsid w:val="004779B7"/>
    <w:rsid w:val="004A60E4"/>
    <w:rsid w:val="004F0272"/>
    <w:rsid w:val="004F19E8"/>
    <w:rsid w:val="005105A1"/>
    <w:rsid w:val="0051084E"/>
    <w:rsid w:val="00516C43"/>
    <w:rsid w:val="00517E59"/>
    <w:rsid w:val="00543FC8"/>
    <w:rsid w:val="00547239"/>
    <w:rsid w:val="00552F0D"/>
    <w:rsid w:val="00563AE9"/>
    <w:rsid w:val="005669B5"/>
    <w:rsid w:val="005704EB"/>
    <w:rsid w:val="00573A8F"/>
    <w:rsid w:val="00586530"/>
    <w:rsid w:val="005B374D"/>
    <w:rsid w:val="005B4D1E"/>
    <w:rsid w:val="005B5AD8"/>
    <w:rsid w:val="005B655F"/>
    <w:rsid w:val="005C6EC5"/>
    <w:rsid w:val="005E5A6C"/>
    <w:rsid w:val="005F70DF"/>
    <w:rsid w:val="00611EC1"/>
    <w:rsid w:val="0061491B"/>
    <w:rsid w:val="00624508"/>
    <w:rsid w:val="0063339A"/>
    <w:rsid w:val="006431FF"/>
    <w:rsid w:val="00657435"/>
    <w:rsid w:val="00667104"/>
    <w:rsid w:val="00670957"/>
    <w:rsid w:val="006723B2"/>
    <w:rsid w:val="00676780"/>
    <w:rsid w:val="0068271F"/>
    <w:rsid w:val="006B5ED2"/>
    <w:rsid w:val="006B790A"/>
    <w:rsid w:val="006D2CEE"/>
    <w:rsid w:val="006D54EE"/>
    <w:rsid w:val="006E0068"/>
    <w:rsid w:val="006F50E8"/>
    <w:rsid w:val="00704F2B"/>
    <w:rsid w:val="00710B80"/>
    <w:rsid w:val="00714B0F"/>
    <w:rsid w:val="00730946"/>
    <w:rsid w:val="00735AA7"/>
    <w:rsid w:val="00735C13"/>
    <w:rsid w:val="007451F9"/>
    <w:rsid w:val="00753620"/>
    <w:rsid w:val="007538D2"/>
    <w:rsid w:val="00761877"/>
    <w:rsid w:val="0077248C"/>
    <w:rsid w:val="0077294B"/>
    <w:rsid w:val="00776716"/>
    <w:rsid w:val="00784319"/>
    <w:rsid w:val="00786FD7"/>
    <w:rsid w:val="007B3402"/>
    <w:rsid w:val="007B4D8B"/>
    <w:rsid w:val="007B7EC5"/>
    <w:rsid w:val="007C11A7"/>
    <w:rsid w:val="007D5EBD"/>
    <w:rsid w:val="007E1BF7"/>
    <w:rsid w:val="007E5911"/>
    <w:rsid w:val="007F0DE6"/>
    <w:rsid w:val="0080702D"/>
    <w:rsid w:val="00814CA2"/>
    <w:rsid w:val="00816015"/>
    <w:rsid w:val="0082769A"/>
    <w:rsid w:val="00831EA0"/>
    <w:rsid w:val="00845D80"/>
    <w:rsid w:val="008474ED"/>
    <w:rsid w:val="0087086C"/>
    <w:rsid w:val="008A37EA"/>
    <w:rsid w:val="008C1DA5"/>
    <w:rsid w:val="008D2F90"/>
    <w:rsid w:val="008E50B7"/>
    <w:rsid w:val="008F2AD1"/>
    <w:rsid w:val="008F4677"/>
    <w:rsid w:val="008F4D1E"/>
    <w:rsid w:val="00902E58"/>
    <w:rsid w:val="00905DA5"/>
    <w:rsid w:val="00910A95"/>
    <w:rsid w:val="009154D1"/>
    <w:rsid w:val="0092301D"/>
    <w:rsid w:val="009310ED"/>
    <w:rsid w:val="00933B66"/>
    <w:rsid w:val="0093550D"/>
    <w:rsid w:val="00937BE4"/>
    <w:rsid w:val="00944CF3"/>
    <w:rsid w:val="00954F53"/>
    <w:rsid w:val="00955A38"/>
    <w:rsid w:val="00964CE0"/>
    <w:rsid w:val="00970D4F"/>
    <w:rsid w:val="0097284A"/>
    <w:rsid w:val="00972AB0"/>
    <w:rsid w:val="00976B3A"/>
    <w:rsid w:val="009836E2"/>
    <w:rsid w:val="00987C09"/>
    <w:rsid w:val="00994646"/>
    <w:rsid w:val="009A3B6C"/>
    <w:rsid w:val="009B3FDF"/>
    <w:rsid w:val="009D5F79"/>
    <w:rsid w:val="009E2347"/>
    <w:rsid w:val="00A03019"/>
    <w:rsid w:val="00A15ABA"/>
    <w:rsid w:val="00A17D9C"/>
    <w:rsid w:val="00A26497"/>
    <w:rsid w:val="00A26A71"/>
    <w:rsid w:val="00A36FB2"/>
    <w:rsid w:val="00A437C8"/>
    <w:rsid w:val="00A5470E"/>
    <w:rsid w:val="00A6462C"/>
    <w:rsid w:val="00A67FB4"/>
    <w:rsid w:val="00A73014"/>
    <w:rsid w:val="00AC4642"/>
    <w:rsid w:val="00AC4F98"/>
    <w:rsid w:val="00AD27E1"/>
    <w:rsid w:val="00AE47A1"/>
    <w:rsid w:val="00AF2E16"/>
    <w:rsid w:val="00AF3487"/>
    <w:rsid w:val="00AF79C2"/>
    <w:rsid w:val="00B02A01"/>
    <w:rsid w:val="00B156C9"/>
    <w:rsid w:val="00B21B08"/>
    <w:rsid w:val="00B241AA"/>
    <w:rsid w:val="00B33CCF"/>
    <w:rsid w:val="00B37F16"/>
    <w:rsid w:val="00B475D8"/>
    <w:rsid w:val="00B61844"/>
    <w:rsid w:val="00B628B1"/>
    <w:rsid w:val="00B72DC6"/>
    <w:rsid w:val="00B77710"/>
    <w:rsid w:val="00B8203A"/>
    <w:rsid w:val="00B8708C"/>
    <w:rsid w:val="00B878A3"/>
    <w:rsid w:val="00B93981"/>
    <w:rsid w:val="00B96740"/>
    <w:rsid w:val="00BB2ABD"/>
    <w:rsid w:val="00BC1F45"/>
    <w:rsid w:val="00BD5048"/>
    <w:rsid w:val="00BF0525"/>
    <w:rsid w:val="00BF402F"/>
    <w:rsid w:val="00C04AF5"/>
    <w:rsid w:val="00C17033"/>
    <w:rsid w:val="00C30EF1"/>
    <w:rsid w:val="00C3330E"/>
    <w:rsid w:val="00C4062E"/>
    <w:rsid w:val="00C416AE"/>
    <w:rsid w:val="00C45F8E"/>
    <w:rsid w:val="00C830F4"/>
    <w:rsid w:val="00CB2A2F"/>
    <w:rsid w:val="00CB2D12"/>
    <w:rsid w:val="00CB79AF"/>
    <w:rsid w:val="00CC26BF"/>
    <w:rsid w:val="00CC658F"/>
    <w:rsid w:val="00CD5937"/>
    <w:rsid w:val="00CE2B25"/>
    <w:rsid w:val="00CE6466"/>
    <w:rsid w:val="00CF5237"/>
    <w:rsid w:val="00D05536"/>
    <w:rsid w:val="00D0587C"/>
    <w:rsid w:val="00D062A3"/>
    <w:rsid w:val="00D2649C"/>
    <w:rsid w:val="00D27D43"/>
    <w:rsid w:val="00D35971"/>
    <w:rsid w:val="00D43AA6"/>
    <w:rsid w:val="00D45B2D"/>
    <w:rsid w:val="00D4688E"/>
    <w:rsid w:val="00D46B3E"/>
    <w:rsid w:val="00D517D5"/>
    <w:rsid w:val="00D52C59"/>
    <w:rsid w:val="00D81227"/>
    <w:rsid w:val="00DA25D4"/>
    <w:rsid w:val="00DD4534"/>
    <w:rsid w:val="00DD465E"/>
    <w:rsid w:val="00DE2BD4"/>
    <w:rsid w:val="00DE387B"/>
    <w:rsid w:val="00DE62F3"/>
    <w:rsid w:val="00DF0BA5"/>
    <w:rsid w:val="00DF49B9"/>
    <w:rsid w:val="00DF4F6A"/>
    <w:rsid w:val="00DF691C"/>
    <w:rsid w:val="00E01B1C"/>
    <w:rsid w:val="00E02EAC"/>
    <w:rsid w:val="00E129F1"/>
    <w:rsid w:val="00E217B4"/>
    <w:rsid w:val="00E35A81"/>
    <w:rsid w:val="00E37ACA"/>
    <w:rsid w:val="00E567D4"/>
    <w:rsid w:val="00E60CEE"/>
    <w:rsid w:val="00E66CB5"/>
    <w:rsid w:val="00E80838"/>
    <w:rsid w:val="00E8090E"/>
    <w:rsid w:val="00EA0414"/>
    <w:rsid w:val="00F038D7"/>
    <w:rsid w:val="00F37CD1"/>
    <w:rsid w:val="00F75474"/>
    <w:rsid w:val="00F947DB"/>
    <w:rsid w:val="00FB0237"/>
    <w:rsid w:val="00FD243C"/>
    <w:rsid w:val="00FD69BC"/>
    <w:rsid w:val="0108045C"/>
    <w:rsid w:val="01352A75"/>
    <w:rsid w:val="013C690E"/>
    <w:rsid w:val="0143023E"/>
    <w:rsid w:val="01594127"/>
    <w:rsid w:val="015A37EA"/>
    <w:rsid w:val="01607B27"/>
    <w:rsid w:val="016B5866"/>
    <w:rsid w:val="017E6F26"/>
    <w:rsid w:val="01816CCD"/>
    <w:rsid w:val="01850A77"/>
    <w:rsid w:val="018A439F"/>
    <w:rsid w:val="018C3C07"/>
    <w:rsid w:val="01902A68"/>
    <w:rsid w:val="019A16C2"/>
    <w:rsid w:val="01B05289"/>
    <w:rsid w:val="01BD6FEA"/>
    <w:rsid w:val="01BE5EE2"/>
    <w:rsid w:val="01D362E5"/>
    <w:rsid w:val="01EF7A4A"/>
    <w:rsid w:val="01F95D80"/>
    <w:rsid w:val="01FB0577"/>
    <w:rsid w:val="020656B2"/>
    <w:rsid w:val="022C3D13"/>
    <w:rsid w:val="023849B2"/>
    <w:rsid w:val="023F0464"/>
    <w:rsid w:val="02685C0C"/>
    <w:rsid w:val="028247A5"/>
    <w:rsid w:val="028401BC"/>
    <w:rsid w:val="028D7194"/>
    <w:rsid w:val="02902EC5"/>
    <w:rsid w:val="02AD379B"/>
    <w:rsid w:val="02D346D0"/>
    <w:rsid w:val="02DC29E0"/>
    <w:rsid w:val="02F246D9"/>
    <w:rsid w:val="02F81F47"/>
    <w:rsid w:val="03047538"/>
    <w:rsid w:val="03233E3F"/>
    <w:rsid w:val="032D1344"/>
    <w:rsid w:val="032F65C6"/>
    <w:rsid w:val="03363C91"/>
    <w:rsid w:val="0341020B"/>
    <w:rsid w:val="03506E80"/>
    <w:rsid w:val="035F0913"/>
    <w:rsid w:val="03682B63"/>
    <w:rsid w:val="037F533E"/>
    <w:rsid w:val="038C4E6B"/>
    <w:rsid w:val="0398305C"/>
    <w:rsid w:val="039D4518"/>
    <w:rsid w:val="03D80B70"/>
    <w:rsid w:val="03DD7476"/>
    <w:rsid w:val="03E2554B"/>
    <w:rsid w:val="03FF5FEC"/>
    <w:rsid w:val="04022533"/>
    <w:rsid w:val="040352F1"/>
    <w:rsid w:val="0409246F"/>
    <w:rsid w:val="042518DB"/>
    <w:rsid w:val="042625A3"/>
    <w:rsid w:val="042942EB"/>
    <w:rsid w:val="042E253E"/>
    <w:rsid w:val="04312BCD"/>
    <w:rsid w:val="04386104"/>
    <w:rsid w:val="043B4BCF"/>
    <w:rsid w:val="043D53C4"/>
    <w:rsid w:val="044F7A70"/>
    <w:rsid w:val="04885A51"/>
    <w:rsid w:val="04953B87"/>
    <w:rsid w:val="0495752E"/>
    <w:rsid w:val="049A4F9F"/>
    <w:rsid w:val="049F59C7"/>
    <w:rsid w:val="04A5420D"/>
    <w:rsid w:val="04B675AB"/>
    <w:rsid w:val="04B847F1"/>
    <w:rsid w:val="04C63673"/>
    <w:rsid w:val="04D24225"/>
    <w:rsid w:val="04DB3D54"/>
    <w:rsid w:val="04DC7356"/>
    <w:rsid w:val="052D0A47"/>
    <w:rsid w:val="053E7B62"/>
    <w:rsid w:val="054860FE"/>
    <w:rsid w:val="05574109"/>
    <w:rsid w:val="05584545"/>
    <w:rsid w:val="05706B86"/>
    <w:rsid w:val="059B2032"/>
    <w:rsid w:val="05CA1591"/>
    <w:rsid w:val="05CD2772"/>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6E81C59"/>
    <w:rsid w:val="0708351A"/>
    <w:rsid w:val="07130AA2"/>
    <w:rsid w:val="0726165F"/>
    <w:rsid w:val="072A4378"/>
    <w:rsid w:val="07411695"/>
    <w:rsid w:val="07413D40"/>
    <w:rsid w:val="07485C35"/>
    <w:rsid w:val="075616D4"/>
    <w:rsid w:val="07572F4B"/>
    <w:rsid w:val="0763471D"/>
    <w:rsid w:val="07723F20"/>
    <w:rsid w:val="07850796"/>
    <w:rsid w:val="07902912"/>
    <w:rsid w:val="07B938EB"/>
    <w:rsid w:val="07BE784C"/>
    <w:rsid w:val="07D654D5"/>
    <w:rsid w:val="07DA0F85"/>
    <w:rsid w:val="07F58830"/>
    <w:rsid w:val="07FE5F67"/>
    <w:rsid w:val="08063F32"/>
    <w:rsid w:val="08070DBA"/>
    <w:rsid w:val="08080C8D"/>
    <w:rsid w:val="080A371B"/>
    <w:rsid w:val="08206DC6"/>
    <w:rsid w:val="082475F1"/>
    <w:rsid w:val="08360F6E"/>
    <w:rsid w:val="08414B1F"/>
    <w:rsid w:val="088071AD"/>
    <w:rsid w:val="088817F5"/>
    <w:rsid w:val="088E20A6"/>
    <w:rsid w:val="088F4F0F"/>
    <w:rsid w:val="08AB2262"/>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4725AB"/>
    <w:rsid w:val="0A68783C"/>
    <w:rsid w:val="0A897917"/>
    <w:rsid w:val="0ABE2077"/>
    <w:rsid w:val="0AC83D78"/>
    <w:rsid w:val="0AD007F3"/>
    <w:rsid w:val="0ADB2E37"/>
    <w:rsid w:val="0AE73BFA"/>
    <w:rsid w:val="0AEB75F3"/>
    <w:rsid w:val="0AF67721"/>
    <w:rsid w:val="0B0B4F80"/>
    <w:rsid w:val="0B0E6CE7"/>
    <w:rsid w:val="0B14133A"/>
    <w:rsid w:val="0B3D6F23"/>
    <w:rsid w:val="0B5168CC"/>
    <w:rsid w:val="0B5944A0"/>
    <w:rsid w:val="0B79797A"/>
    <w:rsid w:val="0B8209C4"/>
    <w:rsid w:val="0B8B27F2"/>
    <w:rsid w:val="0B8C42E9"/>
    <w:rsid w:val="0BA164E4"/>
    <w:rsid w:val="0BA34338"/>
    <w:rsid w:val="0BA91206"/>
    <w:rsid w:val="0BBE20FB"/>
    <w:rsid w:val="0BCF4FF5"/>
    <w:rsid w:val="0BD95485"/>
    <w:rsid w:val="0BE5451F"/>
    <w:rsid w:val="0BF65812"/>
    <w:rsid w:val="0BF815F9"/>
    <w:rsid w:val="0C013567"/>
    <w:rsid w:val="0C187AD8"/>
    <w:rsid w:val="0C1B5A9E"/>
    <w:rsid w:val="0C3454F2"/>
    <w:rsid w:val="0C3639BD"/>
    <w:rsid w:val="0C50326D"/>
    <w:rsid w:val="0C585ACF"/>
    <w:rsid w:val="0C704BA0"/>
    <w:rsid w:val="0C75510F"/>
    <w:rsid w:val="0C77725A"/>
    <w:rsid w:val="0C7F1F92"/>
    <w:rsid w:val="0C967A0F"/>
    <w:rsid w:val="0C99484A"/>
    <w:rsid w:val="0CB5172B"/>
    <w:rsid w:val="0CB851D1"/>
    <w:rsid w:val="0CC14427"/>
    <w:rsid w:val="0CD42055"/>
    <w:rsid w:val="0CD43E9E"/>
    <w:rsid w:val="0CE12497"/>
    <w:rsid w:val="0CF719AC"/>
    <w:rsid w:val="0D1D75F3"/>
    <w:rsid w:val="0D2C3290"/>
    <w:rsid w:val="0D47180A"/>
    <w:rsid w:val="0D481FE1"/>
    <w:rsid w:val="0D4D288D"/>
    <w:rsid w:val="0D655436"/>
    <w:rsid w:val="0D801513"/>
    <w:rsid w:val="0D8B0691"/>
    <w:rsid w:val="0DA91FA5"/>
    <w:rsid w:val="0DBF06AB"/>
    <w:rsid w:val="0DCE43DC"/>
    <w:rsid w:val="0DD34156"/>
    <w:rsid w:val="0DDA49A4"/>
    <w:rsid w:val="0DDE1683"/>
    <w:rsid w:val="0DEF6B59"/>
    <w:rsid w:val="0DF207C8"/>
    <w:rsid w:val="0E041D4A"/>
    <w:rsid w:val="0E0C6F4D"/>
    <w:rsid w:val="0E0F135C"/>
    <w:rsid w:val="0E1636C8"/>
    <w:rsid w:val="0E16687D"/>
    <w:rsid w:val="0E320F7E"/>
    <w:rsid w:val="0E3C1B66"/>
    <w:rsid w:val="0E3E1F96"/>
    <w:rsid w:val="0E430CAE"/>
    <w:rsid w:val="0E8C7A87"/>
    <w:rsid w:val="0E974001"/>
    <w:rsid w:val="0E9C7E08"/>
    <w:rsid w:val="0E9E0861"/>
    <w:rsid w:val="0EC463B8"/>
    <w:rsid w:val="0EDA2902"/>
    <w:rsid w:val="0EDF093D"/>
    <w:rsid w:val="0EEF6789"/>
    <w:rsid w:val="0F0A5113"/>
    <w:rsid w:val="0F0C11A0"/>
    <w:rsid w:val="0F4200B5"/>
    <w:rsid w:val="0F5D0E70"/>
    <w:rsid w:val="0F627A6F"/>
    <w:rsid w:val="0F674F99"/>
    <w:rsid w:val="0F6E0A41"/>
    <w:rsid w:val="0F6F14C5"/>
    <w:rsid w:val="0F903819"/>
    <w:rsid w:val="0F917D0E"/>
    <w:rsid w:val="0F957915"/>
    <w:rsid w:val="0F9964C0"/>
    <w:rsid w:val="0F9D08A1"/>
    <w:rsid w:val="0FB7217C"/>
    <w:rsid w:val="0FBB2C2E"/>
    <w:rsid w:val="0FC274B4"/>
    <w:rsid w:val="0FCB598A"/>
    <w:rsid w:val="0FE47D6F"/>
    <w:rsid w:val="0FE633CA"/>
    <w:rsid w:val="10056E5C"/>
    <w:rsid w:val="100E2CD2"/>
    <w:rsid w:val="101C1378"/>
    <w:rsid w:val="101E0636"/>
    <w:rsid w:val="101E40A6"/>
    <w:rsid w:val="102462FF"/>
    <w:rsid w:val="103F0E1E"/>
    <w:rsid w:val="10414E9E"/>
    <w:rsid w:val="104657FA"/>
    <w:rsid w:val="1056672C"/>
    <w:rsid w:val="10615C9F"/>
    <w:rsid w:val="108E13AA"/>
    <w:rsid w:val="10A3244C"/>
    <w:rsid w:val="10A52ACF"/>
    <w:rsid w:val="10B60D4A"/>
    <w:rsid w:val="10B8469B"/>
    <w:rsid w:val="10C06C14"/>
    <w:rsid w:val="110118F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1F76665"/>
    <w:rsid w:val="12085E44"/>
    <w:rsid w:val="121305AE"/>
    <w:rsid w:val="121E1571"/>
    <w:rsid w:val="122E5FCD"/>
    <w:rsid w:val="123A2749"/>
    <w:rsid w:val="1241385E"/>
    <w:rsid w:val="12480044"/>
    <w:rsid w:val="125308C6"/>
    <w:rsid w:val="125D2A83"/>
    <w:rsid w:val="1265240A"/>
    <w:rsid w:val="1269663E"/>
    <w:rsid w:val="127748BA"/>
    <w:rsid w:val="127B0070"/>
    <w:rsid w:val="12872B83"/>
    <w:rsid w:val="129F0AAB"/>
    <w:rsid w:val="12B446BB"/>
    <w:rsid w:val="12BF6EC2"/>
    <w:rsid w:val="12EC63AE"/>
    <w:rsid w:val="12F232D0"/>
    <w:rsid w:val="12F26C28"/>
    <w:rsid w:val="13161EAC"/>
    <w:rsid w:val="131B5031"/>
    <w:rsid w:val="131E7C21"/>
    <w:rsid w:val="1348744A"/>
    <w:rsid w:val="13685340"/>
    <w:rsid w:val="1369446C"/>
    <w:rsid w:val="1395739F"/>
    <w:rsid w:val="13985350"/>
    <w:rsid w:val="13A36513"/>
    <w:rsid w:val="13CA09F7"/>
    <w:rsid w:val="13CA6201"/>
    <w:rsid w:val="13EE1CEA"/>
    <w:rsid w:val="14146680"/>
    <w:rsid w:val="14200360"/>
    <w:rsid w:val="14284B77"/>
    <w:rsid w:val="142E0338"/>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6A222E"/>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B6FF4"/>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11DA8"/>
    <w:rsid w:val="17F92A70"/>
    <w:rsid w:val="17FD0AB3"/>
    <w:rsid w:val="180D5BB3"/>
    <w:rsid w:val="180F1083"/>
    <w:rsid w:val="181A6957"/>
    <w:rsid w:val="1826172F"/>
    <w:rsid w:val="182D1DAB"/>
    <w:rsid w:val="183B76C1"/>
    <w:rsid w:val="18534811"/>
    <w:rsid w:val="18610453"/>
    <w:rsid w:val="186F2E51"/>
    <w:rsid w:val="187666DE"/>
    <w:rsid w:val="187D2C11"/>
    <w:rsid w:val="189B710E"/>
    <w:rsid w:val="189D1976"/>
    <w:rsid w:val="18C16049"/>
    <w:rsid w:val="18C17C9F"/>
    <w:rsid w:val="18C474BD"/>
    <w:rsid w:val="18C7725A"/>
    <w:rsid w:val="19097208"/>
    <w:rsid w:val="19121EB7"/>
    <w:rsid w:val="19131A6C"/>
    <w:rsid w:val="19411E32"/>
    <w:rsid w:val="195E352F"/>
    <w:rsid w:val="1986426C"/>
    <w:rsid w:val="199D2648"/>
    <w:rsid w:val="199F5D7D"/>
    <w:rsid w:val="19A41797"/>
    <w:rsid w:val="19B03E18"/>
    <w:rsid w:val="19BA54DF"/>
    <w:rsid w:val="19E31C94"/>
    <w:rsid w:val="19E45FFF"/>
    <w:rsid w:val="19E60C62"/>
    <w:rsid w:val="19ED69C8"/>
    <w:rsid w:val="1A013E92"/>
    <w:rsid w:val="1A295B46"/>
    <w:rsid w:val="1A412A41"/>
    <w:rsid w:val="1A6127ED"/>
    <w:rsid w:val="1A663A40"/>
    <w:rsid w:val="1A696A42"/>
    <w:rsid w:val="1A7E3DF2"/>
    <w:rsid w:val="1A907657"/>
    <w:rsid w:val="1AA72884"/>
    <w:rsid w:val="1AA94BBC"/>
    <w:rsid w:val="1AD2534F"/>
    <w:rsid w:val="1AD322CA"/>
    <w:rsid w:val="1AEF5429"/>
    <w:rsid w:val="1AF244DC"/>
    <w:rsid w:val="1AF26ABB"/>
    <w:rsid w:val="1B0F0870"/>
    <w:rsid w:val="1B1A05D7"/>
    <w:rsid w:val="1B1F2A60"/>
    <w:rsid w:val="1B266CCF"/>
    <w:rsid w:val="1B2D3BD8"/>
    <w:rsid w:val="1B3724DE"/>
    <w:rsid w:val="1B3967A2"/>
    <w:rsid w:val="1B4B60AB"/>
    <w:rsid w:val="1B4E1A56"/>
    <w:rsid w:val="1B5740D5"/>
    <w:rsid w:val="1B600016"/>
    <w:rsid w:val="1B6228FE"/>
    <w:rsid w:val="1B6D6CE7"/>
    <w:rsid w:val="1B7309A0"/>
    <w:rsid w:val="1B835140"/>
    <w:rsid w:val="1B862808"/>
    <w:rsid w:val="1B931E27"/>
    <w:rsid w:val="1BA3021E"/>
    <w:rsid w:val="1BBA2C80"/>
    <w:rsid w:val="1BD9657D"/>
    <w:rsid w:val="1BDB6ED7"/>
    <w:rsid w:val="1BDE43F2"/>
    <w:rsid w:val="1BE151AB"/>
    <w:rsid w:val="1BEF4FC5"/>
    <w:rsid w:val="1BEF6F05"/>
    <w:rsid w:val="1C057B1D"/>
    <w:rsid w:val="1C180642"/>
    <w:rsid w:val="1C211761"/>
    <w:rsid w:val="1C24274C"/>
    <w:rsid w:val="1C3A2374"/>
    <w:rsid w:val="1C506F2C"/>
    <w:rsid w:val="1C570813"/>
    <w:rsid w:val="1C693C06"/>
    <w:rsid w:val="1CA078F9"/>
    <w:rsid w:val="1CAB6228"/>
    <w:rsid w:val="1CB570DB"/>
    <w:rsid w:val="1CC23D13"/>
    <w:rsid w:val="1CCE2310"/>
    <w:rsid w:val="1CD122BF"/>
    <w:rsid w:val="1CD35F20"/>
    <w:rsid w:val="1CEA219E"/>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BF6C6C"/>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8717C"/>
    <w:rsid w:val="1EB94157"/>
    <w:rsid w:val="1EDC65DA"/>
    <w:rsid w:val="1EE5554D"/>
    <w:rsid w:val="1EEC32CA"/>
    <w:rsid w:val="1EF07AD2"/>
    <w:rsid w:val="1F023B78"/>
    <w:rsid w:val="1F0506DA"/>
    <w:rsid w:val="1F513E7C"/>
    <w:rsid w:val="1F5E2AD1"/>
    <w:rsid w:val="1F614B27"/>
    <w:rsid w:val="1F615A66"/>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47DAF"/>
    <w:rsid w:val="209764D5"/>
    <w:rsid w:val="209B47E6"/>
    <w:rsid w:val="209E4EDF"/>
    <w:rsid w:val="20AB20EA"/>
    <w:rsid w:val="20AF45AF"/>
    <w:rsid w:val="20B509DC"/>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CD2F3E"/>
    <w:rsid w:val="21DA2D2D"/>
    <w:rsid w:val="21DC7A2C"/>
    <w:rsid w:val="21E604A4"/>
    <w:rsid w:val="21E90A15"/>
    <w:rsid w:val="222018DF"/>
    <w:rsid w:val="22285AC3"/>
    <w:rsid w:val="222C0A77"/>
    <w:rsid w:val="223E60B1"/>
    <w:rsid w:val="22431347"/>
    <w:rsid w:val="22584856"/>
    <w:rsid w:val="226838C5"/>
    <w:rsid w:val="227504D7"/>
    <w:rsid w:val="2279312F"/>
    <w:rsid w:val="227A269D"/>
    <w:rsid w:val="22857651"/>
    <w:rsid w:val="2288155B"/>
    <w:rsid w:val="2295149B"/>
    <w:rsid w:val="22EB547C"/>
    <w:rsid w:val="22F04641"/>
    <w:rsid w:val="22FB7F7F"/>
    <w:rsid w:val="23031EF6"/>
    <w:rsid w:val="23150F4C"/>
    <w:rsid w:val="2344433B"/>
    <w:rsid w:val="234A61BC"/>
    <w:rsid w:val="2359307A"/>
    <w:rsid w:val="235A165B"/>
    <w:rsid w:val="235B27CC"/>
    <w:rsid w:val="236C5BC2"/>
    <w:rsid w:val="23750563"/>
    <w:rsid w:val="2384113B"/>
    <w:rsid w:val="23AE4698"/>
    <w:rsid w:val="23C84743"/>
    <w:rsid w:val="23C924EF"/>
    <w:rsid w:val="23D11896"/>
    <w:rsid w:val="23D43437"/>
    <w:rsid w:val="23E15DC6"/>
    <w:rsid w:val="23F34004"/>
    <w:rsid w:val="23F84282"/>
    <w:rsid w:val="24170D14"/>
    <w:rsid w:val="241A26A8"/>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86BC6"/>
    <w:rsid w:val="251F0FA4"/>
    <w:rsid w:val="25333EDC"/>
    <w:rsid w:val="253D662D"/>
    <w:rsid w:val="25402452"/>
    <w:rsid w:val="2548687D"/>
    <w:rsid w:val="25610B70"/>
    <w:rsid w:val="256242E5"/>
    <w:rsid w:val="25712922"/>
    <w:rsid w:val="258C10A9"/>
    <w:rsid w:val="258C61DC"/>
    <w:rsid w:val="25953661"/>
    <w:rsid w:val="25990692"/>
    <w:rsid w:val="25A25AF3"/>
    <w:rsid w:val="25AE72F7"/>
    <w:rsid w:val="25B50131"/>
    <w:rsid w:val="25C81AD7"/>
    <w:rsid w:val="25D15F3A"/>
    <w:rsid w:val="25DF3269"/>
    <w:rsid w:val="25EA1E95"/>
    <w:rsid w:val="25EB6089"/>
    <w:rsid w:val="25F01153"/>
    <w:rsid w:val="25F43BD8"/>
    <w:rsid w:val="25F5515A"/>
    <w:rsid w:val="26057907"/>
    <w:rsid w:val="26391E74"/>
    <w:rsid w:val="2644443D"/>
    <w:rsid w:val="26574EA4"/>
    <w:rsid w:val="26671C07"/>
    <w:rsid w:val="26960C7A"/>
    <w:rsid w:val="26A83F7A"/>
    <w:rsid w:val="26A91BA1"/>
    <w:rsid w:val="26AB7124"/>
    <w:rsid w:val="26AF11EF"/>
    <w:rsid w:val="26DE174A"/>
    <w:rsid w:val="26F92AA3"/>
    <w:rsid w:val="27064F08"/>
    <w:rsid w:val="27104A8F"/>
    <w:rsid w:val="271733B6"/>
    <w:rsid w:val="271F432B"/>
    <w:rsid w:val="273744E1"/>
    <w:rsid w:val="27394DE2"/>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7180C"/>
    <w:rsid w:val="28095660"/>
    <w:rsid w:val="2813684C"/>
    <w:rsid w:val="282E6701"/>
    <w:rsid w:val="284157D3"/>
    <w:rsid w:val="284E1E85"/>
    <w:rsid w:val="284E4D34"/>
    <w:rsid w:val="2860696E"/>
    <w:rsid w:val="286D7033"/>
    <w:rsid w:val="28763096"/>
    <w:rsid w:val="287727C3"/>
    <w:rsid w:val="28924D94"/>
    <w:rsid w:val="289D2D0E"/>
    <w:rsid w:val="289E5635"/>
    <w:rsid w:val="28B77DA5"/>
    <w:rsid w:val="28CC13F6"/>
    <w:rsid w:val="28D252DE"/>
    <w:rsid w:val="28E01B29"/>
    <w:rsid w:val="28FC212B"/>
    <w:rsid w:val="290066D8"/>
    <w:rsid w:val="293B5F86"/>
    <w:rsid w:val="296138D0"/>
    <w:rsid w:val="29820B83"/>
    <w:rsid w:val="29920799"/>
    <w:rsid w:val="29974552"/>
    <w:rsid w:val="299D7D8A"/>
    <w:rsid w:val="29A547A1"/>
    <w:rsid w:val="29A95E08"/>
    <w:rsid w:val="29AF6880"/>
    <w:rsid w:val="29C61EF4"/>
    <w:rsid w:val="29D33005"/>
    <w:rsid w:val="2A005E7B"/>
    <w:rsid w:val="2A085306"/>
    <w:rsid w:val="2A115A11"/>
    <w:rsid w:val="2A2E29E8"/>
    <w:rsid w:val="2A4558DD"/>
    <w:rsid w:val="2A5B2A6E"/>
    <w:rsid w:val="2A6A2869"/>
    <w:rsid w:val="2A70161A"/>
    <w:rsid w:val="2A930FD0"/>
    <w:rsid w:val="2A993FBF"/>
    <w:rsid w:val="2AA66977"/>
    <w:rsid w:val="2AAF553D"/>
    <w:rsid w:val="2AF63103"/>
    <w:rsid w:val="2AFA2AC3"/>
    <w:rsid w:val="2B0014CC"/>
    <w:rsid w:val="2B077644"/>
    <w:rsid w:val="2B182B8B"/>
    <w:rsid w:val="2B182F87"/>
    <w:rsid w:val="2B280AAA"/>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35005E"/>
    <w:rsid w:val="2C4E35B4"/>
    <w:rsid w:val="2C5A3F68"/>
    <w:rsid w:val="2C662511"/>
    <w:rsid w:val="2C6B3A80"/>
    <w:rsid w:val="2C6D5CA7"/>
    <w:rsid w:val="2C7C5FF8"/>
    <w:rsid w:val="2C8421F8"/>
    <w:rsid w:val="2C8F50CC"/>
    <w:rsid w:val="2C9372C3"/>
    <w:rsid w:val="2C990D4C"/>
    <w:rsid w:val="2C99144E"/>
    <w:rsid w:val="2CA033FE"/>
    <w:rsid w:val="2CB649CD"/>
    <w:rsid w:val="2CB7174F"/>
    <w:rsid w:val="2CC34636"/>
    <w:rsid w:val="2CCF0BEF"/>
    <w:rsid w:val="2CDE49A3"/>
    <w:rsid w:val="2CEA7B60"/>
    <w:rsid w:val="2CFE6975"/>
    <w:rsid w:val="2D006EBF"/>
    <w:rsid w:val="2D0B6241"/>
    <w:rsid w:val="2D182DED"/>
    <w:rsid w:val="2D2F3858"/>
    <w:rsid w:val="2D3111D5"/>
    <w:rsid w:val="2D314CC9"/>
    <w:rsid w:val="2D3C541C"/>
    <w:rsid w:val="2D454ECA"/>
    <w:rsid w:val="2D470CFE"/>
    <w:rsid w:val="2D5D46E4"/>
    <w:rsid w:val="2D626010"/>
    <w:rsid w:val="2D6A64F5"/>
    <w:rsid w:val="2D74081D"/>
    <w:rsid w:val="2D753CFA"/>
    <w:rsid w:val="2D833E1B"/>
    <w:rsid w:val="2DA0726B"/>
    <w:rsid w:val="2DB229EA"/>
    <w:rsid w:val="2DB32C12"/>
    <w:rsid w:val="2DC109C9"/>
    <w:rsid w:val="2DC873F9"/>
    <w:rsid w:val="2DDE4C78"/>
    <w:rsid w:val="2DF40C52"/>
    <w:rsid w:val="2DF56325"/>
    <w:rsid w:val="2E1A1487"/>
    <w:rsid w:val="2E24482E"/>
    <w:rsid w:val="2E2503A7"/>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ED27DE6"/>
    <w:rsid w:val="2F032695"/>
    <w:rsid w:val="2F243B16"/>
    <w:rsid w:val="2F37573D"/>
    <w:rsid w:val="2F540BF7"/>
    <w:rsid w:val="2F592EEF"/>
    <w:rsid w:val="2F652A42"/>
    <w:rsid w:val="2F7556D3"/>
    <w:rsid w:val="2F826C7E"/>
    <w:rsid w:val="2F8E0352"/>
    <w:rsid w:val="2F982F1C"/>
    <w:rsid w:val="2F9C4573"/>
    <w:rsid w:val="2F9E7B1A"/>
    <w:rsid w:val="2FA11305"/>
    <w:rsid w:val="2FAA5090"/>
    <w:rsid w:val="2FF32805"/>
    <w:rsid w:val="3002278F"/>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013C75"/>
    <w:rsid w:val="31131BA9"/>
    <w:rsid w:val="311C44E5"/>
    <w:rsid w:val="31264419"/>
    <w:rsid w:val="312B3E8C"/>
    <w:rsid w:val="313A5D95"/>
    <w:rsid w:val="314827FE"/>
    <w:rsid w:val="31505DB0"/>
    <w:rsid w:val="31540D79"/>
    <w:rsid w:val="31551D13"/>
    <w:rsid w:val="31563118"/>
    <w:rsid w:val="31717246"/>
    <w:rsid w:val="3174012A"/>
    <w:rsid w:val="318F4926"/>
    <w:rsid w:val="3197003B"/>
    <w:rsid w:val="31A0481E"/>
    <w:rsid w:val="31B7039B"/>
    <w:rsid w:val="31B7111A"/>
    <w:rsid w:val="31B71515"/>
    <w:rsid w:val="31BD078C"/>
    <w:rsid w:val="31CA6854"/>
    <w:rsid w:val="31D44B61"/>
    <w:rsid w:val="31D8547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1F3816"/>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32A95"/>
    <w:rsid w:val="33E74A98"/>
    <w:rsid w:val="33EF143A"/>
    <w:rsid w:val="33F063D8"/>
    <w:rsid w:val="33F3440D"/>
    <w:rsid w:val="33FA021C"/>
    <w:rsid w:val="340115C5"/>
    <w:rsid w:val="340A4636"/>
    <w:rsid w:val="343165C7"/>
    <w:rsid w:val="34517138"/>
    <w:rsid w:val="34607C42"/>
    <w:rsid w:val="34682F8F"/>
    <w:rsid w:val="346B5EFB"/>
    <w:rsid w:val="347F2BF4"/>
    <w:rsid w:val="34895E96"/>
    <w:rsid w:val="348B44B6"/>
    <w:rsid w:val="3491604D"/>
    <w:rsid w:val="34970E33"/>
    <w:rsid w:val="34995170"/>
    <w:rsid w:val="349F38B6"/>
    <w:rsid w:val="34A776C4"/>
    <w:rsid w:val="34B169C9"/>
    <w:rsid w:val="34DE60C9"/>
    <w:rsid w:val="34EA59CF"/>
    <w:rsid w:val="34EE5D24"/>
    <w:rsid w:val="34F11E28"/>
    <w:rsid w:val="34F27E01"/>
    <w:rsid w:val="351630D6"/>
    <w:rsid w:val="35243365"/>
    <w:rsid w:val="356E5F25"/>
    <w:rsid w:val="35A32465"/>
    <w:rsid w:val="35A51958"/>
    <w:rsid w:val="35A61A02"/>
    <w:rsid w:val="35AB2023"/>
    <w:rsid w:val="35B5088A"/>
    <w:rsid w:val="35C32630"/>
    <w:rsid w:val="35D159BB"/>
    <w:rsid w:val="35D37A1A"/>
    <w:rsid w:val="35D505D5"/>
    <w:rsid w:val="35D629F5"/>
    <w:rsid w:val="35E5729A"/>
    <w:rsid w:val="35F66AB0"/>
    <w:rsid w:val="35F70337"/>
    <w:rsid w:val="35F8578A"/>
    <w:rsid w:val="35FA386B"/>
    <w:rsid w:val="36005014"/>
    <w:rsid w:val="36116644"/>
    <w:rsid w:val="362B3C79"/>
    <w:rsid w:val="365329C9"/>
    <w:rsid w:val="366D1C32"/>
    <w:rsid w:val="3698771E"/>
    <w:rsid w:val="36BE3E5D"/>
    <w:rsid w:val="36C24BE4"/>
    <w:rsid w:val="36C5697A"/>
    <w:rsid w:val="3702081D"/>
    <w:rsid w:val="37033A44"/>
    <w:rsid w:val="371E359A"/>
    <w:rsid w:val="37225306"/>
    <w:rsid w:val="37227933"/>
    <w:rsid w:val="3725736F"/>
    <w:rsid w:val="374970B3"/>
    <w:rsid w:val="377238F0"/>
    <w:rsid w:val="37735DD8"/>
    <w:rsid w:val="37AF584B"/>
    <w:rsid w:val="37B87E84"/>
    <w:rsid w:val="37BF2ED1"/>
    <w:rsid w:val="37DA0B41"/>
    <w:rsid w:val="37DD191E"/>
    <w:rsid w:val="37E515AE"/>
    <w:rsid w:val="37F81DC8"/>
    <w:rsid w:val="380C7912"/>
    <w:rsid w:val="381846B4"/>
    <w:rsid w:val="38236F89"/>
    <w:rsid w:val="382D21BA"/>
    <w:rsid w:val="38303DCF"/>
    <w:rsid w:val="38377F09"/>
    <w:rsid w:val="38383D3E"/>
    <w:rsid w:val="38385EF5"/>
    <w:rsid w:val="385C2123"/>
    <w:rsid w:val="38637074"/>
    <w:rsid w:val="38697A82"/>
    <w:rsid w:val="387E180D"/>
    <w:rsid w:val="38B1249D"/>
    <w:rsid w:val="38B406FE"/>
    <w:rsid w:val="38B43A06"/>
    <w:rsid w:val="38BF212A"/>
    <w:rsid w:val="38DC599E"/>
    <w:rsid w:val="38F10CF9"/>
    <w:rsid w:val="38F664F4"/>
    <w:rsid w:val="38FF481D"/>
    <w:rsid w:val="39185737"/>
    <w:rsid w:val="39233807"/>
    <w:rsid w:val="39334BF1"/>
    <w:rsid w:val="393F72EF"/>
    <w:rsid w:val="39432FF0"/>
    <w:rsid w:val="394C2E8B"/>
    <w:rsid w:val="394F5B57"/>
    <w:rsid w:val="396B5856"/>
    <w:rsid w:val="396E021D"/>
    <w:rsid w:val="39756F5A"/>
    <w:rsid w:val="3994521D"/>
    <w:rsid w:val="39957901"/>
    <w:rsid w:val="39A9494A"/>
    <w:rsid w:val="39BA7180"/>
    <w:rsid w:val="39CB4426"/>
    <w:rsid w:val="39E6217A"/>
    <w:rsid w:val="39E972FE"/>
    <w:rsid w:val="39F3426D"/>
    <w:rsid w:val="39FF53B9"/>
    <w:rsid w:val="3A027683"/>
    <w:rsid w:val="3A1120C1"/>
    <w:rsid w:val="3A1A4D37"/>
    <w:rsid w:val="3A1F06C9"/>
    <w:rsid w:val="3A46610D"/>
    <w:rsid w:val="3A5C534F"/>
    <w:rsid w:val="3A86181E"/>
    <w:rsid w:val="3A8C21FC"/>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CA3066"/>
    <w:rsid w:val="3BEC425C"/>
    <w:rsid w:val="3C0A03A8"/>
    <w:rsid w:val="3C0E3C43"/>
    <w:rsid w:val="3C1F03E3"/>
    <w:rsid w:val="3C207376"/>
    <w:rsid w:val="3C26487D"/>
    <w:rsid w:val="3C2F7D87"/>
    <w:rsid w:val="3C377CDA"/>
    <w:rsid w:val="3C3B0276"/>
    <w:rsid w:val="3C485B8B"/>
    <w:rsid w:val="3C580D2F"/>
    <w:rsid w:val="3C6009E1"/>
    <w:rsid w:val="3C601127"/>
    <w:rsid w:val="3C662C8F"/>
    <w:rsid w:val="3C727FFF"/>
    <w:rsid w:val="3C7544A7"/>
    <w:rsid w:val="3C793F97"/>
    <w:rsid w:val="3C805325"/>
    <w:rsid w:val="3CB216F4"/>
    <w:rsid w:val="3CBD684B"/>
    <w:rsid w:val="3CEB058C"/>
    <w:rsid w:val="3CF3591C"/>
    <w:rsid w:val="3CF63160"/>
    <w:rsid w:val="3CFE6938"/>
    <w:rsid w:val="3D010F7C"/>
    <w:rsid w:val="3D3D7634"/>
    <w:rsid w:val="3D401C1C"/>
    <w:rsid w:val="3D473543"/>
    <w:rsid w:val="3D6F3A0F"/>
    <w:rsid w:val="3D6F7EA4"/>
    <w:rsid w:val="3D7A4060"/>
    <w:rsid w:val="3D7A4B49"/>
    <w:rsid w:val="3D923A0C"/>
    <w:rsid w:val="3D9537E3"/>
    <w:rsid w:val="3D9A20BC"/>
    <w:rsid w:val="3DAE590C"/>
    <w:rsid w:val="3DC7569D"/>
    <w:rsid w:val="3DD903F7"/>
    <w:rsid w:val="3DDC249D"/>
    <w:rsid w:val="3DF40654"/>
    <w:rsid w:val="3DF83775"/>
    <w:rsid w:val="3E065C4A"/>
    <w:rsid w:val="3E2B306F"/>
    <w:rsid w:val="3E394CB4"/>
    <w:rsid w:val="3E476558"/>
    <w:rsid w:val="3E4C5014"/>
    <w:rsid w:val="3E512E53"/>
    <w:rsid w:val="3E520883"/>
    <w:rsid w:val="3E652396"/>
    <w:rsid w:val="3E7A2248"/>
    <w:rsid w:val="3E906C09"/>
    <w:rsid w:val="3EA370A9"/>
    <w:rsid w:val="3EB2415C"/>
    <w:rsid w:val="3EC568C6"/>
    <w:rsid w:val="3ECD587E"/>
    <w:rsid w:val="3EE07916"/>
    <w:rsid w:val="3EF063A7"/>
    <w:rsid w:val="3EF85B60"/>
    <w:rsid w:val="3EFF66C6"/>
    <w:rsid w:val="3F07087A"/>
    <w:rsid w:val="3F0763D8"/>
    <w:rsid w:val="3F164A3D"/>
    <w:rsid w:val="3F1B30E3"/>
    <w:rsid w:val="3F1E5052"/>
    <w:rsid w:val="3F21580C"/>
    <w:rsid w:val="3F2808C8"/>
    <w:rsid w:val="3F291D8B"/>
    <w:rsid w:val="3F3270CF"/>
    <w:rsid w:val="3F45436B"/>
    <w:rsid w:val="3F4B0A57"/>
    <w:rsid w:val="3F6211A5"/>
    <w:rsid w:val="3F626D3A"/>
    <w:rsid w:val="3F6D2C48"/>
    <w:rsid w:val="3F956391"/>
    <w:rsid w:val="3F9A3D5F"/>
    <w:rsid w:val="3FA9558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9F5F96"/>
    <w:rsid w:val="40A05660"/>
    <w:rsid w:val="40C03776"/>
    <w:rsid w:val="40C36BE9"/>
    <w:rsid w:val="40DC2D46"/>
    <w:rsid w:val="40EF29B0"/>
    <w:rsid w:val="40F36F47"/>
    <w:rsid w:val="41181BEA"/>
    <w:rsid w:val="41231E08"/>
    <w:rsid w:val="413B58D0"/>
    <w:rsid w:val="414C0395"/>
    <w:rsid w:val="414E5376"/>
    <w:rsid w:val="414E7502"/>
    <w:rsid w:val="41606318"/>
    <w:rsid w:val="41630D72"/>
    <w:rsid w:val="41683285"/>
    <w:rsid w:val="417C1E33"/>
    <w:rsid w:val="419F0609"/>
    <w:rsid w:val="41A67CE3"/>
    <w:rsid w:val="41A90609"/>
    <w:rsid w:val="41C55060"/>
    <w:rsid w:val="41DA68BA"/>
    <w:rsid w:val="41DC3706"/>
    <w:rsid w:val="41DF1BFB"/>
    <w:rsid w:val="41EC1C89"/>
    <w:rsid w:val="41F87F1F"/>
    <w:rsid w:val="41FA3722"/>
    <w:rsid w:val="42002DE8"/>
    <w:rsid w:val="420966BB"/>
    <w:rsid w:val="424C6C0A"/>
    <w:rsid w:val="42557E28"/>
    <w:rsid w:val="425767DC"/>
    <w:rsid w:val="425E43CE"/>
    <w:rsid w:val="42645240"/>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CB6BC1"/>
    <w:rsid w:val="43CE4BD3"/>
    <w:rsid w:val="43F138B1"/>
    <w:rsid w:val="43F33102"/>
    <w:rsid w:val="440C3942"/>
    <w:rsid w:val="443459F8"/>
    <w:rsid w:val="445C0661"/>
    <w:rsid w:val="44683560"/>
    <w:rsid w:val="446B594A"/>
    <w:rsid w:val="447A08AC"/>
    <w:rsid w:val="447D65EE"/>
    <w:rsid w:val="44B87F40"/>
    <w:rsid w:val="44BC4E35"/>
    <w:rsid w:val="44C86176"/>
    <w:rsid w:val="44DF2E05"/>
    <w:rsid w:val="44F90386"/>
    <w:rsid w:val="44FC5765"/>
    <w:rsid w:val="45041A1C"/>
    <w:rsid w:val="451707F1"/>
    <w:rsid w:val="452366F3"/>
    <w:rsid w:val="4534316D"/>
    <w:rsid w:val="45371EF3"/>
    <w:rsid w:val="45392618"/>
    <w:rsid w:val="45402545"/>
    <w:rsid w:val="4555414A"/>
    <w:rsid w:val="4560294A"/>
    <w:rsid w:val="45637592"/>
    <w:rsid w:val="45833FED"/>
    <w:rsid w:val="45A373E2"/>
    <w:rsid w:val="45B60AD7"/>
    <w:rsid w:val="45BE0849"/>
    <w:rsid w:val="45C2086C"/>
    <w:rsid w:val="45C225FA"/>
    <w:rsid w:val="45C239A0"/>
    <w:rsid w:val="45E76A91"/>
    <w:rsid w:val="45F730E2"/>
    <w:rsid w:val="45F804FD"/>
    <w:rsid w:val="460E39A2"/>
    <w:rsid w:val="46100BB2"/>
    <w:rsid w:val="464D66FD"/>
    <w:rsid w:val="4668065B"/>
    <w:rsid w:val="46687D40"/>
    <w:rsid w:val="46714440"/>
    <w:rsid w:val="467153EA"/>
    <w:rsid w:val="468F3F55"/>
    <w:rsid w:val="469311A1"/>
    <w:rsid w:val="46972481"/>
    <w:rsid w:val="469C0491"/>
    <w:rsid w:val="46B0631F"/>
    <w:rsid w:val="46B40B62"/>
    <w:rsid w:val="46B92938"/>
    <w:rsid w:val="46DF10ED"/>
    <w:rsid w:val="46E60531"/>
    <w:rsid w:val="46F54466"/>
    <w:rsid w:val="46F5747F"/>
    <w:rsid w:val="470D5947"/>
    <w:rsid w:val="471C502F"/>
    <w:rsid w:val="472351FF"/>
    <w:rsid w:val="472A1C2F"/>
    <w:rsid w:val="473A7B31"/>
    <w:rsid w:val="473F2A28"/>
    <w:rsid w:val="47461C71"/>
    <w:rsid w:val="47490241"/>
    <w:rsid w:val="47522510"/>
    <w:rsid w:val="475226B7"/>
    <w:rsid w:val="476B2426"/>
    <w:rsid w:val="477B7BF9"/>
    <w:rsid w:val="478C7274"/>
    <w:rsid w:val="47975C19"/>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2052D"/>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9F2339B"/>
    <w:rsid w:val="4A1B6B46"/>
    <w:rsid w:val="4A201680"/>
    <w:rsid w:val="4A3B4335"/>
    <w:rsid w:val="4A445061"/>
    <w:rsid w:val="4A544A27"/>
    <w:rsid w:val="4A7315C2"/>
    <w:rsid w:val="4A7D2570"/>
    <w:rsid w:val="4A86077A"/>
    <w:rsid w:val="4A89557F"/>
    <w:rsid w:val="4A9F092F"/>
    <w:rsid w:val="4AB34ACD"/>
    <w:rsid w:val="4AD40242"/>
    <w:rsid w:val="4ADA5F2B"/>
    <w:rsid w:val="4AE64A75"/>
    <w:rsid w:val="4B185C3F"/>
    <w:rsid w:val="4B2A6428"/>
    <w:rsid w:val="4B35CA88"/>
    <w:rsid w:val="4B603761"/>
    <w:rsid w:val="4B747171"/>
    <w:rsid w:val="4B767E95"/>
    <w:rsid w:val="4B7B4D7B"/>
    <w:rsid w:val="4B8450D0"/>
    <w:rsid w:val="4B845F72"/>
    <w:rsid w:val="4B871B00"/>
    <w:rsid w:val="4B964F6D"/>
    <w:rsid w:val="4B9D78B2"/>
    <w:rsid w:val="4BA00395"/>
    <w:rsid w:val="4BA16EFA"/>
    <w:rsid w:val="4BA34617"/>
    <w:rsid w:val="4BBB6E8D"/>
    <w:rsid w:val="4BC474BD"/>
    <w:rsid w:val="4BCC0FEE"/>
    <w:rsid w:val="4BCD3735"/>
    <w:rsid w:val="4BD11AEB"/>
    <w:rsid w:val="4BD35B9A"/>
    <w:rsid w:val="4BE14B27"/>
    <w:rsid w:val="4BE20065"/>
    <w:rsid w:val="4C0112BA"/>
    <w:rsid w:val="4C0B480F"/>
    <w:rsid w:val="4C1D1C48"/>
    <w:rsid w:val="4C256F9D"/>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16B1F"/>
    <w:rsid w:val="4D336BF4"/>
    <w:rsid w:val="4D4203D5"/>
    <w:rsid w:val="4D4E1D6A"/>
    <w:rsid w:val="4D5919D7"/>
    <w:rsid w:val="4D5B161B"/>
    <w:rsid w:val="4D676599"/>
    <w:rsid w:val="4D6F3665"/>
    <w:rsid w:val="4D737DF8"/>
    <w:rsid w:val="4D8E361A"/>
    <w:rsid w:val="4DA24324"/>
    <w:rsid w:val="4DAD3044"/>
    <w:rsid w:val="4DBB41D6"/>
    <w:rsid w:val="4DED1250"/>
    <w:rsid w:val="4DED5C61"/>
    <w:rsid w:val="4DF07B9B"/>
    <w:rsid w:val="4DF21B45"/>
    <w:rsid w:val="4DF41387"/>
    <w:rsid w:val="4E056021"/>
    <w:rsid w:val="4E083C63"/>
    <w:rsid w:val="4E1B3100"/>
    <w:rsid w:val="4E2B2C17"/>
    <w:rsid w:val="4E2D1DF5"/>
    <w:rsid w:val="4E305E8F"/>
    <w:rsid w:val="4E3E6654"/>
    <w:rsid w:val="4E44189E"/>
    <w:rsid w:val="4E5616EC"/>
    <w:rsid w:val="4E5976A9"/>
    <w:rsid w:val="4E59789B"/>
    <w:rsid w:val="4E8F351A"/>
    <w:rsid w:val="4EA002DA"/>
    <w:rsid w:val="4EA12ED9"/>
    <w:rsid w:val="4EA4544E"/>
    <w:rsid w:val="4EA81D39"/>
    <w:rsid w:val="4EB642D5"/>
    <w:rsid w:val="4EC21913"/>
    <w:rsid w:val="4EE103BD"/>
    <w:rsid w:val="4F124412"/>
    <w:rsid w:val="4F141422"/>
    <w:rsid w:val="4F1E5564"/>
    <w:rsid w:val="4F2D7873"/>
    <w:rsid w:val="4F2FBB1E"/>
    <w:rsid w:val="4F312180"/>
    <w:rsid w:val="4F32668A"/>
    <w:rsid w:val="4F443F90"/>
    <w:rsid w:val="4F53261D"/>
    <w:rsid w:val="4F6C1DA7"/>
    <w:rsid w:val="4F72007F"/>
    <w:rsid w:val="4F74161A"/>
    <w:rsid w:val="4F793519"/>
    <w:rsid w:val="4F7A15B8"/>
    <w:rsid w:val="4F7B14BC"/>
    <w:rsid w:val="4F924F20"/>
    <w:rsid w:val="4F9325A6"/>
    <w:rsid w:val="4FB2076B"/>
    <w:rsid w:val="4FE54CF8"/>
    <w:rsid w:val="4FEB2E93"/>
    <w:rsid w:val="4FEC6F37"/>
    <w:rsid w:val="50045E65"/>
    <w:rsid w:val="5013205A"/>
    <w:rsid w:val="50376A42"/>
    <w:rsid w:val="50504BEF"/>
    <w:rsid w:val="50591CBD"/>
    <w:rsid w:val="505D2EAC"/>
    <w:rsid w:val="506928E4"/>
    <w:rsid w:val="507956C4"/>
    <w:rsid w:val="507B1B23"/>
    <w:rsid w:val="5094661F"/>
    <w:rsid w:val="50987566"/>
    <w:rsid w:val="509A45D8"/>
    <w:rsid w:val="509D3DAA"/>
    <w:rsid w:val="50A24C75"/>
    <w:rsid w:val="50B40124"/>
    <w:rsid w:val="50BF6984"/>
    <w:rsid w:val="50C80BE8"/>
    <w:rsid w:val="50D74521"/>
    <w:rsid w:val="50D92DFE"/>
    <w:rsid w:val="50DB17A5"/>
    <w:rsid w:val="50E35A2B"/>
    <w:rsid w:val="50E74AF8"/>
    <w:rsid w:val="50F7525C"/>
    <w:rsid w:val="51060C86"/>
    <w:rsid w:val="510E2C37"/>
    <w:rsid w:val="511A2EB4"/>
    <w:rsid w:val="511B709E"/>
    <w:rsid w:val="51260B39"/>
    <w:rsid w:val="5144471C"/>
    <w:rsid w:val="514914C0"/>
    <w:rsid w:val="514F1ACC"/>
    <w:rsid w:val="51660DAD"/>
    <w:rsid w:val="51675070"/>
    <w:rsid w:val="51826465"/>
    <w:rsid w:val="519C3ED1"/>
    <w:rsid w:val="51D07209"/>
    <w:rsid w:val="51E0195A"/>
    <w:rsid w:val="51ED28DB"/>
    <w:rsid w:val="51EF337D"/>
    <w:rsid w:val="51FA5962"/>
    <w:rsid w:val="52017789"/>
    <w:rsid w:val="52056DEF"/>
    <w:rsid w:val="520E3099"/>
    <w:rsid w:val="52234FCD"/>
    <w:rsid w:val="52274682"/>
    <w:rsid w:val="522E2CD6"/>
    <w:rsid w:val="52304CA0"/>
    <w:rsid w:val="52485DB3"/>
    <w:rsid w:val="52775D30"/>
    <w:rsid w:val="527F119D"/>
    <w:rsid w:val="52944F27"/>
    <w:rsid w:val="529A179A"/>
    <w:rsid w:val="52F83C37"/>
    <w:rsid w:val="53505617"/>
    <w:rsid w:val="535F2EBB"/>
    <w:rsid w:val="53610DA9"/>
    <w:rsid w:val="53796226"/>
    <w:rsid w:val="539406C4"/>
    <w:rsid w:val="539F3A83"/>
    <w:rsid w:val="539F6178"/>
    <w:rsid w:val="53B67728"/>
    <w:rsid w:val="53B92BED"/>
    <w:rsid w:val="53C03E02"/>
    <w:rsid w:val="53CD67D4"/>
    <w:rsid w:val="53DC1DC4"/>
    <w:rsid w:val="53DF065D"/>
    <w:rsid w:val="53E26D38"/>
    <w:rsid w:val="53EE12F5"/>
    <w:rsid w:val="53EF7165"/>
    <w:rsid w:val="53F4497D"/>
    <w:rsid w:val="53FF2B7C"/>
    <w:rsid w:val="541F5701"/>
    <w:rsid w:val="54232489"/>
    <w:rsid w:val="543C3113"/>
    <w:rsid w:val="545B74F3"/>
    <w:rsid w:val="54620F12"/>
    <w:rsid w:val="546B4F37"/>
    <w:rsid w:val="547005D8"/>
    <w:rsid w:val="54711D95"/>
    <w:rsid w:val="54785A5E"/>
    <w:rsid w:val="54897774"/>
    <w:rsid w:val="549160F4"/>
    <w:rsid w:val="549C7AAA"/>
    <w:rsid w:val="549F7EBB"/>
    <w:rsid w:val="54C969A0"/>
    <w:rsid w:val="54E16D76"/>
    <w:rsid w:val="54E3424B"/>
    <w:rsid w:val="54F3439D"/>
    <w:rsid w:val="54FA7CA7"/>
    <w:rsid w:val="55083CB2"/>
    <w:rsid w:val="550E5E99"/>
    <w:rsid w:val="551E59F9"/>
    <w:rsid w:val="552407A3"/>
    <w:rsid w:val="552433F4"/>
    <w:rsid w:val="55256E5C"/>
    <w:rsid w:val="552E30A9"/>
    <w:rsid w:val="553050B0"/>
    <w:rsid w:val="554274DF"/>
    <w:rsid w:val="554E0741"/>
    <w:rsid w:val="555472DE"/>
    <w:rsid w:val="555B3055"/>
    <w:rsid w:val="555D3D8A"/>
    <w:rsid w:val="5584518E"/>
    <w:rsid w:val="558D41B7"/>
    <w:rsid w:val="559612BE"/>
    <w:rsid w:val="559A2923"/>
    <w:rsid w:val="559A3AFF"/>
    <w:rsid w:val="55A5242C"/>
    <w:rsid w:val="55B56D01"/>
    <w:rsid w:val="55B82B9F"/>
    <w:rsid w:val="55CE76F0"/>
    <w:rsid w:val="55D63B38"/>
    <w:rsid w:val="55DD1092"/>
    <w:rsid w:val="55DD5DA9"/>
    <w:rsid w:val="55E41B6A"/>
    <w:rsid w:val="55F263E2"/>
    <w:rsid w:val="55F50805"/>
    <w:rsid w:val="561F0C3E"/>
    <w:rsid w:val="562F597A"/>
    <w:rsid w:val="56383DC9"/>
    <w:rsid w:val="563927A9"/>
    <w:rsid w:val="564E1B99"/>
    <w:rsid w:val="56575D4A"/>
    <w:rsid w:val="56676AEF"/>
    <w:rsid w:val="567710EF"/>
    <w:rsid w:val="56863171"/>
    <w:rsid w:val="56916559"/>
    <w:rsid w:val="56952EFD"/>
    <w:rsid w:val="56953069"/>
    <w:rsid w:val="569B61BE"/>
    <w:rsid w:val="56A81A8F"/>
    <w:rsid w:val="56C30FD1"/>
    <w:rsid w:val="56C337D5"/>
    <w:rsid w:val="56CF6FE9"/>
    <w:rsid w:val="56DF1078"/>
    <w:rsid w:val="56F86DD6"/>
    <w:rsid w:val="56FC33A3"/>
    <w:rsid w:val="56FD166E"/>
    <w:rsid w:val="56FD3863"/>
    <w:rsid w:val="5703501E"/>
    <w:rsid w:val="570A3D11"/>
    <w:rsid w:val="573F71E7"/>
    <w:rsid w:val="57487D48"/>
    <w:rsid w:val="57593E38"/>
    <w:rsid w:val="575B7AEE"/>
    <w:rsid w:val="5760193C"/>
    <w:rsid w:val="57625063"/>
    <w:rsid w:val="57723665"/>
    <w:rsid w:val="577E64AD"/>
    <w:rsid w:val="57812E00"/>
    <w:rsid w:val="578501C0"/>
    <w:rsid w:val="57902273"/>
    <w:rsid w:val="579A2606"/>
    <w:rsid w:val="57A66A82"/>
    <w:rsid w:val="57BE4AFC"/>
    <w:rsid w:val="57C04E19"/>
    <w:rsid w:val="57D51C25"/>
    <w:rsid w:val="57DD0A64"/>
    <w:rsid w:val="585B6D7A"/>
    <w:rsid w:val="58617D01"/>
    <w:rsid w:val="58743E37"/>
    <w:rsid w:val="58923EA6"/>
    <w:rsid w:val="589715D5"/>
    <w:rsid w:val="589B7F70"/>
    <w:rsid w:val="58A77395"/>
    <w:rsid w:val="58AC3D5C"/>
    <w:rsid w:val="58D83DD1"/>
    <w:rsid w:val="58DB2FF0"/>
    <w:rsid w:val="58DF0893"/>
    <w:rsid w:val="58E85C6B"/>
    <w:rsid w:val="58EA6137"/>
    <w:rsid w:val="58F23C38"/>
    <w:rsid w:val="58F56DA5"/>
    <w:rsid w:val="590D718C"/>
    <w:rsid w:val="591C7D2C"/>
    <w:rsid w:val="592340EB"/>
    <w:rsid w:val="593311DC"/>
    <w:rsid w:val="5975259B"/>
    <w:rsid w:val="599B4D8A"/>
    <w:rsid w:val="59AF0C8F"/>
    <w:rsid w:val="59D045FA"/>
    <w:rsid w:val="59EA4ACE"/>
    <w:rsid w:val="5A0E2BFB"/>
    <w:rsid w:val="5A142D37"/>
    <w:rsid w:val="5A144EA7"/>
    <w:rsid w:val="5A1C05C8"/>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252BB1"/>
    <w:rsid w:val="5D313C24"/>
    <w:rsid w:val="5D402CB9"/>
    <w:rsid w:val="5D48660D"/>
    <w:rsid w:val="5D6469BA"/>
    <w:rsid w:val="5D816133"/>
    <w:rsid w:val="5D96002C"/>
    <w:rsid w:val="5D9B5A4A"/>
    <w:rsid w:val="5D9E3B68"/>
    <w:rsid w:val="5DB74FEB"/>
    <w:rsid w:val="5E015742"/>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D05F6A"/>
    <w:rsid w:val="5EF863A1"/>
    <w:rsid w:val="5F1F3836"/>
    <w:rsid w:val="5F23206C"/>
    <w:rsid w:val="5F3F5C59"/>
    <w:rsid w:val="5F42611B"/>
    <w:rsid w:val="5FAE34B2"/>
    <w:rsid w:val="5FB56B9A"/>
    <w:rsid w:val="5FC53EA4"/>
    <w:rsid w:val="5FC80274"/>
    <w:rsid w:val="5FEB2087"/>
    <w:rsid w:val="5FF9F5C7"/>
    <w:rsid w:val="5FFE35E1"/>
    <w:rsid w:val="601E6760"/>
    <w:rsid w:val="6047069C"/>
    <w:rsid w:val="6049667C"/>
    <w:rsid w:val="60577B63"/>
    <w:rsid w:val="605808A3"/>
    <w:rsid w:val="605B340F"/>
    <w:rsid w:val="605D6288"/>
    <w:rsid w:val="608E7761"/>
    <w:rsid w:val="60927FE6"/>
    <w:rsid w:val="609F1058"/>
    <w:rsid w:val="60AE49C0"/>
    <w:rsid w:val="60B007A2"/>
    <w:rsid w:val="60BC7E32"/>
    <w:rsid w:val="60CF0BDA"/>
    <w:rsid w:val="60D51BC6"/>
    <w:rsid w:val="60EC6C65"/>
    <w:rsid w:val="60EF129E"/>
    <w:rsid w:val="610703E7"/>
    <w:rsid w:val="610942A3"/>
    <w:rsid w:val="611A36A1"/>
    <w:rsid w:val="6126627C"/>
    <w:rsid w:val="613D18B9"/>
    <w:rsid w:val="61433767"/>
    <w:rsid w:val="614C6677"/>
    <w:rsid w:val="61717B94"/>
    <w:rsid w:val="61944392"/>
    <w:rsid w:val="619F62BB"/>
    <w:rsid w:val="61AF4F12"/>
    <w:rsid w:val="61B139E9"/>
    <w:rsid w:val="61B30D6E"/>
    <w:rsid w:val="61E626B5"/>
    <w:rsid w:val="61F6319D"/>
    <w:rsid w:val="61FB346D"/>
    <w:rsid w:val="6201768D"/>
    <w:rsid w:val="62046588"/>
    <w:rsid w:val="62152DE0"/>
    <w:rsid w:val="621A60BA"/>
    <w:rsid w:val="622758AC"/>
    <w:rsid w:val="624F1172"/>
    <w:rsid w:val="625135B1"/>
    <w:rsid w:val="62747A3D"/>
    <w:rsid w:val="628B4387"/>
    <w:rsid w:val="629E3798"/>
    <w:rsid w:val="62A7041D"/>
    <w:rsid w:val="62BA2B36"/>
    <w:rsid w:val="62C23A3B"/>
    <w:rsid w:val="62E1204D"/>
    <w:rsid w:val="62ED7301"/>
    <w:rsid w:val="630730C7"/>
    <w:rsid w:val="6310387B"/>
    <w:rsid w:val="63121ACA"/>
    <w:rsid w:val="63247994"/>
    <w:rsid w:val="632717A7"/>
    <w:rsid w:val="63691809"/>
    <w:rsid w:val="637B0CEA"/>
    <w:rsid w:val="638E648F"/>
    <w:rsid w:val="63A7460D"/>
    <w:rsid w:val="63D11E16"/>
    <w:rsid w:val="63D12A9E"/>
    <w:rsid w:val="63D14A1D"/>
    <w:rsid w:val="63E654CA"/>
    <w:rsid w:val="63E928BD"/>
    <w:rsid w:val="63F012B1"/>
    <w:rsid w:val="63F8696A"/>
    <w:rsid w:val="63FA510E"/>
    <w:rsid w:val="641E24E4"/>
    <w:rsid w:val="64316908"/>
    <w:rsid w:val="644274C5"/>
    <w:rsid w:val="645341FF"/>
    <w:rsid w:val="6456713A"/>
    <w:rsid w:val="646D6694"/>
    <w:rsid w:val="64872E45"/>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04F5A"/>
    <w:rsid w:val="65920347"/>
    <w:rsid w:val="65EA5E34"/>
    <w:rsid w:val="65FC4B34"/>
    <w:rsid w:val="66000869"/>
    <w:rsid w:val="66092EF7"/>
    <w:rsid w:val="6616520B"/>
    <w:rsid w:val="66274345"/>
    <w:rsid w:val="66376B17"/>
    <w:rsid w:val="664621FE"/>
    <w:rsid w:val="665F7929"/>
    <w:rsid w:val="66640801"/>
    <w:rsid w:val="667878EE"/>
    <w:rsid w:val="66815672"/>
    <w:rsid w:val="668876B0"/>
    <w:rsid w:val="668926A2"/>
    <w:rsid w:val="66930427"/>
    <w:rsid w:val="669E782C"/>
    <w:rsid w:val="66A73B58"/>
    <w:rsid w:val="66B41026"/>
    <w:rsid w:val="66BA2006"/>
    <w:rsid w:val="66C1556A"/>
    <w:rsid w:val="66F308D8"/>
    <w:rsid w:val="67024DD6"/>
    <w:rsid w:val="6715113E"/>
    <w:rsid w:val="67301B85"/>
    <w:rsid w:val="673E5311"/>
    <w:rsid w:val="675D72E6"/>
    <w:rsid w:val="67673F42"/>
    <w:rsid w:val="6783612B"/>
    <w:rsid w:val="67914F14"/>
    <w:rsid w:val="67A57AA1"/>
    <w:rsid w:val="67AC2808"/>
    <w:rsid w:val="67AD37C1"/>
    <w:rsid w:val="67FA56DC"/>
    <w:rsid w:val="67FA5D06"/>
    <w:rsid w:val="68130719"/>
    <w:rsid w:val="68194362"/>
    <w:rsid w:val="682C1A00"/>
    <w:rsid w:val="6832133F"/>
    <w:rsid w:val="683902C1"/>
    <w:rsid w:val="68393CDE"/>
    <w:rsid w:val="68530FFC"/>
    <w:rsid w:val="68950B21"/>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370F8"/>
    <w:rsid w:val="693910C9"/>
    <w:rsid w:val="693B6262"/>
    <w:rsid w:val="6949721C"/>
    <w:rsid w:val="69580538"/>
    <w:rsid w:val="695B09A3"/>
    <w:rsid w:val="697B45FB"/>
    <w:rsid w:val="69873CB7"/>
    <w:rsid w:val="69970F50"/>
    <w:rsid w:val="69992CD3"/>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23C50"/>
    <w:rsid w:val="6A742471"/>
    <w:rsid w:val="6A7C7C71"/>
    <w:rsid w:val="6A861A5C"/>
    <w:rsid w:val="6A907726"/>
    <w:rsid w:val="6A9C494F"/>
    <w:rsid w:val="6AC94753"/>
    <w:rsid w:val="6ACE0F8A"/>
    <w:rsid w:val="6AD863F4"/>
    <w:rsid w:val="6ADF1F02"/>
    <w:rsid w:val="6AE01F43"/>
    <w:rsid w:val="6AE663EC"/>
    <w:rsid w:val="6AEA61BC"/>
    <w:rsid w:val="6AEB77F4"/>
    <w:rsid w:val="6AF2325E"/>
    <w:rsid w:val="6AF8446A"/>
    <w:rsid w:val="6B2F472F"/>
    <w:rsid w:val="6B4D0219"/>
    <w:rsid w:val="6B547D9C"/>
    <w:rsid w:val="6B7D3886"/>
    <w:rsid w:val="6B804E6F"/>
    <w:rsid w:val="6B884D1B"/>
    <w:rsid w:val="6B9B71D6"/>
    <w:rsid w:val="6B9F218D"/>
    <w:rsid w:val="6BA53801"/>
    <w:rsid w:val="6BCD255C"/>
    <w:rsid w:val="6BD35BB1"/>
    <w:rsid w:val="6BD861BF"/>
    <w:rsid w:val="6BE1394E"/>
    <w:rsid w:val="6C156F89"/>
    <w:rsid w:val="6C387E59"/>
    <w:rsid w:val="6C4B57CE"/>
    <w:rsid w:val="6C5B5A67"/>
    <w:rsid w:val="6C705245"/>
    <w:rsid w:val="6C7B1437"/>
    <w:rsid w:val="6C8625DB"/>
    <w:rsid w:val="6C866B30"/>
    <w:rsid w:val="6C933265"/>
    <w:rsid w:val="6C9A12DE"/>
    <w:rsid w:val="6C9C4351"/>
    <w:rsid w:val="6C9E7C0C"/>
    <w:rsid w:val="6CED3D9E"/>
    <w:rsid w:val="6D2428B6"/>
    <w:rsid w:val="6D4838E0"/>
    <w:rsid w:val="6D643EB4"/>
    <w:rsid w:val="6D6D347A"/>
    <w:rsid w:val="6D6E5977"/>
    <w:rsid w:val="6D703943"/>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9F4D96"/>
    <w:rsid w:val="6EDA4C28"/>
    <w:rsid w:val="6EF07839"/>
    <w:rsid w:val="6EF722AC"/>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74D0B"/>
    <w:rsid w:val="6F9D4EAA"/>
    <w:rsid w:val="6FBC36FE"/>
    <w:rsid w:val="6FC0545D"/>
    <w:rsid w:val="6FD070DB"/>
    <w:rsid w:val="6FF628E9"/>
    <w:rsid w:val="700A7FA4"/>
    <w:rsid w:val="700D1198"/>
    <w:rsid w:val="70161AAC"/>
    <w:rsid w:val="701B21DD"/>
    <w:rsid w:val="701F1FF4"/>
    <w:rsid w:val="7025469B"/>
    <w:rsid w:val="70346D04"/>
    <w:rsid w:val="70432E4B"/>
    <w:rsid w:val="705545FE"/>
    <w:rsid w:val="70586F9C"/>
    <w:rsid w:val="708159DE"/>
    <w:rsid w:val="708D23D2"/>
    <w:rsid w:val="70AA67F9"/>
    <w:rsid w:val="70BB2D6B"/>
    <w:rsid w:val="70E433CD"/>
    <w:rsid w:val="70F25AEA"/>
    <w:rsid w:val="710260FA"/>
    <w:rsid w:val="710B293A"/>
    <w:rsid w:val="71124B74"/>
    <w:rsid w:val="713069E7"/>
    <w:rsid w:val="71431EA2"/>
    <w:rsid w:val="71476952"/>
    <w:rsid w:val="716112E1"/>
    <w:rsid w:val="71856D0C"/>
    <w:rsid w:val="71881FAB"/>
    <w:rsid w:val="71900427"/>
    <w:rsid w:val="7197797C"/>
    <w:rsid w:val="71990363"/>
    <w:rsid w:val="71B30207"/>
    <w:rsid w:val="71B30FF0"/>
    <w:rsid w:val="71CA611F"/>
    <w:rsid w:val="71D075FE"/>
    <w:rsid w:val="71EC4AFB"/>
    <w:rsid w:val="71EF3819"/>
    <w:rsid w:val="71FF35FA"/>
    <w:rsid w:val="720154B6"/>
    <w:rsid w:val="72020261"/>
    <w:rsid w:val="72064B2D"/>
    <w:rsid w:val="72146D0A"/>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542EF"/>
    <w:rsid w:val="74560F8D"/>
    <w:rsid w:val="74577C79"/>
    <w:rsid w:val="745B748A"/>
    <w:rsid w:val="746A5CE0"/>
    <w:rsid w:val="748C4463"/>
    <w:rsid w:val="748F4A0F"/>
    <w:rsid w:val="74A80B8B"/>
    <w:rsid w:val="74AB224A"/>
    <w:rsid w:val="74AC3AD6"/>
    <w:rsid w:val="74AD4E9D"/>
    <w:rsid w:val="74C3041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AD2553"/>
    <w:rsid w:val="75B143AB"/>
    <w:rsid w:val="75C17885"/>
    <w:rsid w:val="75E96D9A"/>
    <w:rsid w:val="75FB6DC0"/>
    <w:rsid w:val="75FC57C0"/>
    <w:rsid w:val="761E6A3A"/>
    <w:rsid w:val="764667C5"/>
    <w:rsid w:val="76486300"/>
    <w:rsid w:val="7659061D"/>
    <w:rsid w:val="76612E69"/>
    <w:rsid w:val="766457E1"/>
    <w:rsid w:val="76646708"/>
    <w:rsid w:val="76654879"/>
    <w:rsid w:val="76822D80"/>
    <w:rsid w:val="76884062"/>
    <w:rsid w:val="76A9541B"/>
    <w:rsid w:val="76B727A1"/>
    <w:rsid w:val="76BF6794"/>
    <w:rsid w:val="76D572EE"/>
    <w:rsid w:val="76D72C36"/>
    <w:rsid w:val="76E530E0"/>
    <w:rsid w:val="771C0673"/>
    <w:rsid w:val="773120B7"/>
    <w:rsid w:val="7737735C"/>
    <w:rsid w:val="773C09D1"/>
    <w:rsid w:val="774424D0"/>
    <w:rsid w:val="7758241F"/>
    <w:rsid w:val="77641BAA"/>
    <w:rsid w:val="77993045"/>
    <w:rsid w:val="77A80638"/>
    <w:rsid w:val="77B731F9"/>
    <w:rsid w:val="77C465EB"/>
    <w:rsid w:val="77C47BFC"/>
    <w:rsid w:val="77D5581E"/>
    <w:rsid w:val="77F51A1C"/>
    <w:rsid w:val="78085BF3"/>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2047B4"/>
    <w:rsid w:val="79454CB6"/>
    <w:rsid w:val="795C61F7"/>
    <w:rsid w:val="795F466D"/>
    <w:rsid w:val="79634262"/>
    <w:rsid w:val="797414BE"/>
    <w:rsid w:val="79970A37"/>
    <w:rsid w:val="79A869D1"/>
    <w:rsid w:val="79AE45E4"/>
    <w:rsid w:val="79AE5B25"/>
    <w:rsid w:val="79B547E6"/>
    <w:rsid w:val="79BD2A0E"/>
    <w:rsid w:val="79C169DE"/>
    <w:rsid w:val="79E27FCF"/>
    <w:rsid w:val="79E727AB"/>
    <w:rsid w:val="7A000CE6"/>
    <w:rsid w:val="7A0A7936"/>
    <w:rsid w:val="7A135964"/>
    <w:rsid w:val="7A1A3230"/>
    <w:rsid w:val="7A3270EA"/>
    <w:rsid w:val="7A484C7B"/>
    <w:rsid w:val="7A5944E4"/>
    <w:rsid w:val="7A5D7C7C"/>
    <w:rsid w:val="7A664E79"/>
    <w:rsid w:val="7A6A2D6F"/>
    <w:rsid w:val="7A76196C"/>
    <w:rsid w:val="7A907EB4"/>
    <w:rsid w:val="7A925C48"/>
    <w:rsid w:val="7AAC0E92"/>
    <w:rsid w:val="7AB04670"/>
    <w:rsid w:val="7AB2517C"/>
    <w:rsid w:val="7AC64CC7"/>
    <w:rsid w:val="7AD03E18"/>
    <w:rsid w:val="7AD832B8"/>
    <w:rsid w:val="7AFE6E3A"/>
    <w:rsid w:val="7AFF4DAE"/>
    <w:rsid w:val="7B04158A"/>
    <w:rsid w:val="7B051B2F"/>
    <w:rsid w:val="7B0F352B"/>
    <w:rsid w:val="7B1A0118"/>
    <w:rsid w:val="7B220E2F"/>
    <w:rsid w:val="7B274114"/>
    <w:rsid w:val="7B340A01"/>
    <w:rsid w:val="7B36744F"/>
    <w:rsid w:val="7B427B18"/>
    <w:rsid w:val="7B4F5C3D"/>
    <w:rsid w:val="7B754522"/>
    <w:rsid w:val="7B79358D"/>
    <w:rsid w:val="7B9513BF"/>
    <w:rsid w:val="7BA137EB"/>
    <w:rsid w:val="7BA778D5"/>
    <w:rsid w:val="7BC8224F"/>
    <w:rsid w:val="7BCC4096"/>
    <w:rsid w:val="7BD8593A"/>
    <w:rsid w:val="7BFBBFC0"/>
    <w:rsid w:val="7C041B40"/>
    <w:rsid w:val="7C042B76"/>
    <w:rsid w:val="7C044E19"/>
    <w:rsid w:val="7C092D60"/>
    <w:rsid w:val="7C0A5FBE"/>
    <w:rsid w:val="7C0F7F8B"/>
    <w:rsid w:val="7C2E19A1"/>
    <w:rsid w:val="7C3D07C3"/>
    <w:rsid w:val="7C512703"/>
    <w:rsid w:val="7C5151E9"/>
    <w:rsid w:val="7C5D7BDC"/>
    <w:rsid w:val="7C5F6A31"/>
    <w:rsid w:val="7C701FB9"/>
    <w:rsid w:val="7C741461"/>
    <w:rsid w:val="7C7B1236"/>
    <w:rsid w:val="7C8617DD"/>
    <w:rsid w:val="7C924CC6"/>
    <w:rsid w:val="7C9528A4"/>
    <w:rsid w:val="7C9F70CD"/>
    <w:rsid w:val="7CC61503"/>
    <w:rsid w:val="7CE51EBE"/>
    <w:rsid w:val="7CE85FF3"/>
    <w:rsid w:val="7D003EF5"/>
    <w:rsid w:val="7D032E2D"/>
    <w:rsid w:val="7D161C1F"/>
    <w:rsid w:val="7D1F55E6"/>
    <w:rsid w:val="7D2237C4"/>
    <w:rsid w:val="7D3B060D"/>
    <w:rsid w:val="7D3B7B4D"/>
    <w:rsid w:val="7D5E4EA5"/>
    <w:rsid w:val="7D6304C0"/>
    <w:rsid w:val="7D711B45"/>
    <w:rsid w:val="7D734A9C"/>
    <w:rsid w:val="7D7B252F"/>
    <w:rsid w:val="7D8121D3"/>
    <w:rsid w:val="7D9F78FE"/>
    <w:rsid w:val="7DB41072"/>
    <w:rsid w:val="7DB44500"/>
    <w:rsid w:val="7DC0487A"/>
    <w:rsid w:val="7DC44934"/>
    <w:rsid w:val="7DC9331A"/>
    <w:rsid w:val="7DDA0B16"/>
    <w:rsid w:val="7DE60785"/>
    <w:rsid w:val="7DF17F93"/>
    <w:rsid w:val="7E001458"/>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D76320"/>
    <w:rsid w:val="7EF426FE"/>
    <w:rsid w:val="7EF42A2E"/>
    <w:rsid w:val="7EF71AC3"/>
    <w:rsid w:val="7F2430A7"/>
    <w:rsid w:val="7F334B56"/>
    <w:rsid w:val="7F335D39"/>
    <w:rsid w:val="7F3A7638"/>
    <w:rsid w:val="7F41056D"/>
    <w:rsid w:val="7F6D1B1B"/>
    <w:rsid w:val="7F883B53"/>
    <w:rsid w:val="7F8C5FCC"/>
    <w:rsid w:val="7F9B4AC3"/>
    <w:rsid w:val="7FA455ED"/>
    <w:rsid w:val="7FBB6D75"/>
    <w:rsid w:val="7FBF1BCD"/>
    <w:rsid w:val="7FC339DC"/>
    <w:rsid w:val="7FCE09C9"/>
    <w:rsid w:val="7FF84060"/>
    <w:rsid w:val="8FEDB9A7"/>
    <w:rsid w:val="9EBB360D"/>
    <w:rsid w:val="9F7DB71E"/>
    <w:rsid w:val="BF5FE192"/>
    <w:rsid w:val="BFAFD970"/>
    <w:rsid w:val="D5D9E5C7"/>
    <w:rsid w:val="D725A8FE"/>
    <w:rsid w:val="DAFB3086"/>
    <w:rsid w:val="E74FCAD3"/>
    <w:rsid w:val="EDEF7901"/>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5"/>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6"/>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7"/>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8"/>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9"/>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60"/>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1"/>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2"/>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3"/>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213"/>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8"/>
    <w:qFormat/>
    <w:uiPriority w:val="99"/>
    <w:rPr>
      <w:rFonts w:ascii="Calibri" w:hAnsi="Calibri"/>
    </w:rPr>
  </w:style>
  <w:style w:type="paragraph" w:styleId="20">
    <w:name w:val="Body Text Indent"/>
    <w:basedOn w:val="1"/>
    <w:next w:val="18"/>
    <w:link w:val="209"/>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12"/>
    <w:semiHidden/>
    <w:unhideWhenUsed/>
    <w:qFormat/>
    <w:uiPriority w:val="99"/>
    <w:pPr>
      <w:spacing w:after="0" w:line="240" w:lineRule="auto"/>
    </w:pPr>
    <w:rPr>
      <w:sz w:val="18"/>
      <w:szCs w:val="18"/>
    </w:rPr>
  </w:style>
  <w:style w:type="paragraph" w:styleId="28">
    <w:name w:val="footer"/>
    <w:basedOn w:val="1"/>
    <w:link w:val="72"/>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ascii="Arial" w:hAnsi="Arial" w:cs="Arial"/>
      <w:szCs w:val="20"/>
    </w:rPr>
  </w:style>
  <w:style w:type="paragraph" w:styleId="30">
    <w:name w:val="header"/>
    <w:basedOn w:val="1"/>
    <w:link w:val="70"/>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5"/>
    <w:qFormat/>
    <w:uiPriority w:val="11"/>
    <w:pPr>
      <w:spacing w:before="200"/>
    </w:pPr>
    <w:rPr>
      <w:sz w:val="24"/>
      <w:szCs w:val="24"/>
    </w:rPr>
  </w:style>
  <w:style w:type="paragraph" w:styleId="34">
    <w:name w:val="footnote text"/>
    <w:basedOn w:val="1"/>
    <w:link w:val="198"/>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4"/>
    <w:qFormat/>
    <w:uiPriority w:val="10"/>
    <w:pPr>
      <w:spacing w:before="300"/>
      <w:contextualSpacing/>
    </w:pPr>
    <w:rPr>
      <w:sz w:val="48"/>
      <w:szCs w:val="48"/>
    </w:rPr>
  </w:style>
  <w:style w:type="paragraph" w:styleId="42">
    <w:name w:val="annotation subject"/>
    <w:basedOn w:val="19"/>
    <w:next w:val="19"/>
    <w:link w:val="229"/>
    <w:semiHidden/>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pPr>
    <w:rPr>
      <w:rFonts w:ascii="Tahoma" w:hAnsi="Tahoma" w:eastAsia="Times New Roman"/>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rPr>
  </w:style>
  <w:style w:type="character" w:styleId="49">
    <w:name w:val="endnote reference"/>
    <w:semiHidden/>
    <w:unhideWhenUsed/>
    <w:qFormat/>
    <w:uiPriority w:val="99"/>
    <w:rPr>
      <w:vertAlign w:val="superscript"/>
    </w:rPr>
  </w:style>
  <w:style w:type="character" w:styleId="50">
    <w:name w:val="Emphasis"/>
    <w:basedOn w:val="47"/>
    <w:qFormat/>
    <w:uiPriority w:val="0"/>
    <w:rPr>
      <w:i/>
    </w:rPr>
  </w:style>
  <w:style w:type="character" w:styleId="51">
    <w:name w:val="Hyperlink"/>
    <w:unhideWhenUsed/>
    <w:qFormat/>
    <w:uiPriority w:val="99"/>
    <w:rPr>
      <w:color w:val="0563C1" w:themeColor="hyperlink"/>
      <w:u w:val="single"/>
      <w14:textFill>
        <w14:solidFill>
          <w14:schemeClr w14:val="hlink"/>
        </w14:solidFill>
      </w14:textFill>
    </w:rPr>
  </w:style>
  <w:style w:type="character" w:styleId="52">
    <w:name w:val="annotation reference"/>
    <w:basedOn w:val="47"/>
    <w:semiHidden/>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5">
    <w:name w:val="标题 1 Char"/>
    <w:link w:val="3"/>
    <w:qFormat/>
    <w:uiPriority w:val="9"/>
    <w:rPr>
      <w:rFonts w:ascii="Arial" w:hAnsi="Arial" w:eastAsia="Arial" w:cs="Arial"/>
      <w:sz w:val="40"/>
      <w:szCs w:val="40"/>
    </w:rPr>
  </w:style>
  <w:style w:type="character" w:customStyle="1" w:styleId="56">
    <w:name w:val="标题 2 Char"/>
    <w:link w:val="4"/>
    <w:qFormat/>
    <w:uiPriority w:val="9"/>
    <w:rPr>
      <w:rFonts w:ascii="Arial" w:hAnsi="Arial" w:eastAsia="Arial" w:cs="Arial"/>
      <w:sz w:val="34"/>
    </w:rPr>
  </w:style>
  <w:style w:type="character" w:customStyle="1" w:styleId="57">
    <w:name w:val="标题 3 Char"/>
    <w:link w:val="5"/>
    <w:qFormat/>
    <w:uiPriority w:val="9"/>
    <w:rPr>
      <w:rFonts w:ascii="Arial" w:hAnsi="Arial" w:eastAsia="Arial" w:cs="Arial"/>
      <w:sz w:val="30"/>
      <w:szCs w:val="30"/>
    </w:rPr>
  </w:style>
  <w:style w:type="character" w:customStyle="1" w:styleId="58">
    <w:name w:val="标题 4 Char"/>
    <w:link w:val="6"/>
    <w:qFormat/>
    <w:uiPriority w:val="9"/>
    <w:rPr>
      <w:rFonts w:ascii="Arial" w:hAnsi="Arial" w:eastAsia="Arial" w:cs="Arial"/>
      <w:b/>
      <w:bCs/>
      <w:sz w:val="26"/>
      <w:szCs w:val="26"/>
    </w:rPr>
  </w:style>
  <w:style w:type="character" w:customStyle="1" w:styleId="59">
    <w:name w:val="标题 5 Char"/>
    <w:link w:val="7"/>
    <w:qFormat/>
    <w:uiPriority w:val="9"/>
    <w:rPr>
      <w:rFonts w:ascii="Arial" w:hAnsi="Arial" w:eastAsia="Arial" w:cs="Arial"/>
      <w:b/>
      <w:bCs/>
      <w:sz w:val="24"/>
      <w:szCs w:val="24"/>
    </w:rPr>
  </w:style>
  <w:style w:type="character" w:customStyle="1" w:styleId="60">
    <w:name w:val="标题 6 Char"/>
    <w:link w:val="8"/>
    <w:qFormat/>
    <w:uiPriority w:val="9"/>
    <w:rPr>
      <w:rFonts w:ascii="Arial" w:hAnsi="Arial" w:eastAsia="Arial" w:cs="Arial"/>
      <w:b/>
      <w:bCs/>
      <w:sz w:val="22"/>
      <w:szCs w:val="22"/>
    </w:rPr>
  </w:style>
  <w:style w:type="character" w:customStyle="1" w:styleId="61">
    <w:name w:val="标题 7 Char"/>
    <w:link w:val="9"/>
    <w:qFormat/>
    <w:uiPriority w:val="9"/>
    <w:rPr>
      <w:rFonts w:ascii="Arial" w:hAnsi="Arial" w:eastAsia="Arial" w:cs="Arial"/>
      <w:b/>
      <w:bCs/>
      <w:i/>
      <w:iCs/>
      <w:sz w:val="22"/>
      <w:szCs w:val="22"/>
    </w:rPr>
  </w:style>
  <w:style w:type="character" w:customStyle="1" w:styleId="62">
    <w:name w:val="标题 8 Char"/>
    <w:link w:val="10"/>
    <w:qFormat/>
    <w:uiPriority w:val="9"/>
    <w:rPr>
      <w:rFonts w:ascii="Arial" w:hAnsi="Arial" w:eastAsia="Arial" w:cs="Arial"/>
      <w:i/>
      <w:iCs/>
      <w:sz w:val="22"/>
      <w:szCs w:val="22"/>
    </w:rPr>
  </w:style>
  <w:style w:type="character" w:customStyle="1" w:styleId="63">
    <w:name w:val="标题 9 Char"/>
    <w:link w:val="11"/>
    <w:qFormat/>
    <w:uiPriority w:val="9"/>
    <w:rPr>
      <w:rFonts w:ascii="Arial" w:hAnsi="Arial" w:eastAsia="Arial" w:cs="Arial"/>
      <w:i/>
      <w:iCs/>
      <w:sz w:val="21"/>
      <w:szCs w:val="21"/>
    </w:rPr>
  </w:style>
  <w:style w:type="character" w:customStyle="1" w:styleId="64">
    <w:name w:val="标题 Char"/>
    <w:link w:val="41"/>
    <w:qFormat/>
    <w:uiPriority w:val="10"/>
    <w:rPr>
      <w:sz w:val="48"/>
      <w:szCs w:val="48"/>
    </w:rPr>
  </w:style>
  <w:style w:type="character" w:customStyle="1" w:styleId="65">
    <w:name w:val="副标题 Char"/>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Char"/>
    <w:link w:val="68"/>
    <w:qFormat/>
    <w:uiPriority w:val="30"/>
    <w:rPr>
      <w:i/>
    </w:rPr>
  </w:style>
  <w:style w:type="character" w:customStyle="1" w:styleId="70">
    <w:name w:val="页眉 Char"/>
    <w:link w:val="30"/>
    <w:qFormat/>
    <w:uiPriority w:val="99"/>
  </w:style>
  <w:style w:type="character" w:customStyle="1" w:styleId="71">
    <w:name w:val="Footer Char"/>
    <w:qFormat/>
    <w:uiPriority w:val="99"/>
  </w:style>
  <w:style w:type="character" w:customStyle="1" w:styleId="72">
    <w:name w:val="页脚 Char"/>
    <w:link w:val="28"/>
    <w:qFormat/>
    <w:uiPriority w:val="99"/>
  </w:style>
  <w:style w:type="table" w:customStyle="1" w:styleId="73">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1">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脚注文本 Char"/>
    <w:link w:val="34"/>
    <w:qFormat/>
    <w:uiPriority w:val="99"/>
    <w:rPr>
      <w:sz w:val="18"/>
    </w:rPr>
  </w:style>
  <w:style w:type="character" w:customStyle="1" w:styleId="199">
    <w:name w:val="尾注文本 Char"/>
    <w:link w:val="26"/>
    <w:qFormat/>
    <w:uiPriority w:val="99"/>
    <w:rPr>
      <w:sz w:val="20"/>
    </w:rPr>
  </w:style>
  <w:style w:type="paragraph" w:customStyle="1" w:styleId="200">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1">
    <w:name w:val="No Spacing"/>
    <w:basedOn w:val="1"/>
    <w:qFormat/>
    <w:uiPriority w:val="99"/>
    <w:pPr>
      <w:spacing w:after="0" w:line="240" w:lineRule="auto"/>
    </w:pPr>
  </w:style>
  <w:style w:type="paragraph" w:styleId="202">
    <w:name w:val="List Paragraph"/>
    <w:basedOn w:val="1"/>
    <w:qFormat/>
    <w:uiPriority w:val="34"/>
    <w:pPr>
      <w:ind w:left="720"/>
      <w:contextualSpacing/>
    </w:pPr>
  </w:style>
  <w:style w:type="paragraph" w:customStyle="1" w:styleId="203">
    <w:name w:val="Plain Text2"/>
    <w:basedOn w:val="1"/>
    <w:qFormat/>
    <w:uiPriority w:val="99"/>
    <w:pPr>
      <w:adjustRightInd w:val="0"/>
    </w:pPr>
    <w:rPr>
      <w:rFonts w:ascii="宋体" w:hAnsi="Courier New" w:eastAsia="楷体_GB2312"/>
      <w:sz w:val="28"/>
    </w:rPr>
  </w:style>
  <w:style w:type="paragraph" w:customStyle="1" w:styleId="204">
    <w:name w:val="纯文本6"/>
    <w:basedOn w:val="1"/>
    <w:qFormat/>
    <w:uiPriority w:val="0"/>
    <w:pPr>
      <w:adjustRightInd w:val="0"/>
      <w:textAlignment w:val="baseline"/>
    </w:pPr>
    <w:rPr>
      <w:rFonts w:ascii="宋体" w:hAnsi="Courier New" w:eastAsia="楷体_GB2312"/>
      <w:sz w:val="26"/>
    </w:rPr>
  </w:style>
  <w:style w:type="paragraph" w:customStyle="1" w:styleId="205">
    <w:name w:val="_正文"/>
    <w:basedOn w:val="1"/>
    <w:qFormat/>
    <w:uiPriority w:val="0"/>
    <w:pPr>
      <w:spacing w:line="360" w:lineRule="auto"/>
      <w:ind w:firstLine="200" w:firstLineChars="200"/>
    </w:pPr>
    <w:rPr>
      <w:sz w:val="24"/>
      <w:szCs w:val="24"/>
    </w:rPr>
  </w:style>
  <w:style w:type="paragraph" w:customStyle="1" w:styleId="206">
    <w:name w:val="纯文本1"/>
    <w:basedOn w:val="1"/>
    <w:qFormat/>
    <w:uiPriority w:val="0"/>
    <w:pPr>
      <w:adjustRightInd w:val="0"/>
      <w:textAlignment w:val="baseline"/>
    </w:pPr>
    <w:rPr>
      <w:rFonts w:ascii="宋体" w:hAnsi="Courier New" w:eastAsia="楷体_GB2312"/>
      <w:sz w:val="26"/>
    </w:rPr>
  </w:style>
  <w:style w:type="paragraph" w:customStyle="1" w:styleId="207">
    <w:name w:val="段"/>
    <w:next w:val="1"/>
    <w:qFormat/>
    <w:uiPriority w:val="0"/>
    <w:pPr>
      <w:ind w:firstLine="200"/>
      <w:jc w:val="both"/>
    </w:pPr>
    <w:rPr>
      <w:rFonts w:ascii="宋体" w:hAnsi="Times New Roman" w:eastAsia="宋体" w:cs="Times New Roman"/>
      <w:lang w:val="en-US" w:eastAsia="zh-CN" w:bidi="ar-SA"/>
    </w:rPr>
  </w:style>
  <w:style w:type="paragraph" w:customStyle="1" w:styleId="208">
    <w:name w:val="纯文本2"/>
    <w:basedOn w:val="1"/>
    <w:qFormat/>
    <w:uiPriority w:val="0"/>
    <w:rPr>
      <w:rFonts w:ascii="宋体" w:hAnsi="Courier New" w:eastAsia="楷体_GB2312" w:cs="Times New Roman"/>
      <w:sz w:val="26"/>
      <w:szCs w:val="20"/>
    </w:rPr>
  </w:style>
  <w:style w:type="character" w:customStyle="1" w:styleId="209">
    <w:name w:val="正文文本缩进 Char"/>
    <w:basedOn w:val="47"/>
    <w:link w:val="20"/>
    <w:qFormat/>
    <w:uiPriority w:val="0"/>
    <w:rPr>
      <w:rFonts w:hint="default" w:ascii="Arial" w:hAnsi="Arial" w:eastAsia="Arial" w:cs="Times New Roman"/>
      <w:sz w:val="22"/>
      <w:szCs w:val="22"/>
      <w:lang w:eastAsia="en-US"/>
    </w:rPr>
  </w:style>
  <w:style w:type="paragraph" w:customStyle="1" w:styleId="210">
    <w:name w:val="纯文本11"/>
    <w:basedOn w:val="1"/>
    <w:next w:val="211"/>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211">
    <w:name w:val="页眉1"/>
    <w:basedOn w:val="1"/>
    <w:next w:val="1"/>
    <w:qFormat/>
    <w:uiPriority w:val="0"/>
    <w:pPr>
      <w:pBdr>
        <w:bottom w:val="single" w:color="000000" w:sz="6" w:space="1"/>
      </w:pBdr>
      <w:tabs>
        <w:tab w:val="center" w:pos="4153"/>
        <w:tab w:val="right" w:pos="8306"/>
      </w:tabs>
      <w:jc w:val="center"/>
    </w:pPr>
    <w:rPr>
      <w:sz w:val="18"/>
      <w:szCs w:val="18"/>
    </w:rPr>
  </w:style>
  <w:style w:type="character" w:customStyle="1" w:styleId="212">
    <w:name w:val="批注框文本 Char"/>
    <w:basedOn w:val="47"/>
    <w:link w:val="27"/>
    <w:semiHidden/>
    <w:qFormat/>
    <w:uiPriority w:val="99"/>
    <w:rPr>
      <w:rFonts w:asciiTheme="minorHAnsi" w:hAnsiTheme="minorHAnsi" w:eastAsiaTheme="minorHAnsi" w:cstheme="minorBidi"/>
      <w:sz w:val="18"/>
      <w:szCs w:val="18"/>
      <w:lang w:eastAsia="en-US"/>
    </w:rPr>
  </w:style>
  <w:style w:type="character" w:customStyle="1" w:styleId="213">
    <w:name w:val="宏文本 Char"/>
    <w:basedOn w:val="47"/>
    <w:link w:val="2"/>
    <w:qFormat/>
    <w:uiPriority w:val="0"/>
    <w:rPr>
      <w:rFonts w:ascii="Courier New" w:hAnsi="Courier New" w:cs="Courier New"/>
      <w:sz w:val="24"/>
      <w:szCs w:val="24"/>
    </w:rPr>
  </w:style>
  <w:style w:type="paragraph" w:customStyle="1" w:styleId="214">
    <w:name w:val="纯文本3"/>
    <w:basedOn w:val="1"/>
    <w:qFormat/>
    <w:uiPriority w:val="0"/>
    <w:rPr>
      <w:rFonts w:ascii="仿宋" w:hAnsi="Cambria Math" w:eastAsia="Wingdings" w:cs="华文楷体"/>
      <w:sz w:val="26"/>
      <w:szCs w:val="20"/>
    </w:rPr>
  </w:style>
  <w:style w:type="paragraph" w:customStyle="1" w:styleId="215">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6">
    <w:name w:val="NormalCharacter"/>
    <w:link w:val="217"/>
    <w:qFormat/>
    <w:uiPriority w:val="0"/>
    <w:rPr>
      <w:rFonts w:asciiTheme="minorHAnsi" w:hAnsiTheme="minorHAnsi" w:eastAsiaTheme="minorEastAsia" w:cstheme="minorBidi"/>
      <w:szCs w:val="22"/>
    </w:rPr>
  </w:style>
  <w:style w:type="paragraph" w:customStyle="1" w:styleId="217">
    <w:name w:val="UserStyle_3"/>
    <w:basedOn w:val="1"/>
    <w:link w:val="216"/>
    <w:autoRedefine/>
    <w:qFormat/>
    <w:uiPriority w:val="0"/>
    <w:pPr>
      <w:spacing w:after="160" w:line="240" w:lineRule="exact"/>
    </w:pPr>
    <w:rPr>
      <w:rFonts w:eastAsiaTheme="minorEastAsia"/>
    </w:rPr>
  </w:style>
  <w:style w:type="character" w:customStyle="1" w:styleId="218">
    <w:name w:val="font11"/>
    <w:basedOn w:val="47"/>
    <w:qFormat/>
    <w:uiPriority w:val="0"/>
    <w:rPr>
      <w:rFonts w:hint="eastAsia" w:ascii="宋体" w:hAnsi="宋体" w:eastAsia="宋体" w:cs="宋体"/>
      <w:color w:val="000000"/>
      <w:sz w:val="21"/>
      <w:szCs w:val="21"/>
      <w:u w:val="none"/>
    </w:rPr>
  </w:style>
  <w:style w:type="character" w:customStyle="1" w:styleId="219">
    <w:name w:val="font21"/>
    <w:basedOn w:val="47"/>
    <w:qFormat/>
    <w:uiPriority w:val="0"/>
    <w:rPr>
      <w:rFonts w:ascii="Calibri" w:hAnsi="Calibri" w:cs="Calibri"/>
      <w:color w:val="000000"/>
      <w:sz w:val="21"/>
      <w:szCs w:val="21"/>
      <w:u w:val="none"/>
    </w:rPr>
  </w:style>
  <w:style w:type="character" w:customStyle="1" w:styleId="220">
    <w:name w:val="font31"/>
    <w:basedOn w:val="47"/>
    <w:qFormat/>
    <w:uiPriority w:val="0"/>
    <w:rPr>
      <w:rFonts w:ascii="Arial" w:hAnsi="Arial" w:cs="Arial"/>
      <w:color w:val="000000"/>
      <w:sz w:val="20"/>
      <w:szCs w:val="20"/>
      <w:u w:val="none"/>
    </w:rPr>
  </w:style>
  <w:style w:type="character" w:customStyle="1" w:styleId="221">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2">
    <w:name w:val="无间隔1"/>
    <w:basedOn w:val="1"/>
    <w:qFormat/>
    <w:uiPriority w:val="1"/>
    <w:pPr>
      <w:spacing w:after="0" w:line="240" w:lineRule="auto"/>
    </w:pPr>
    <w:rPr>
      <w:rFonts w:ascii="Times New Roman" w:hAnsi="Times New Roman" w:eastAsia="宋体" w:cs="Times New Roman"/>
    </w:rPr>
  </w:style>
  <w:style w:type="paragraph" w:customStyle="1" w:styleId="223">
    <w:name w:val="￥正文"/>
    <w:basedOn w:val="1"/>
    <w:link w:val="225"/>
    <w:qFormat/>
    <w:uiPriority w:val="0"/>
    <w:pPr>
      <w:spacing w:line="360" w:lineRule="auto"/>
      <w:ind w:firstLine="200" w:firstLineChars="200"/>
    </w:pPr>
    <w:rPr>
      <w:rFonts w:ascii="Calibri" w:hAnsi="Calibri"/>
      <w:sz w:val="24"/>
    </w:rPr>
  </w:style>
  <w:style w:type="paragraph" w:customStyle="1" w:styleId="224">
    <w:name w:val="首行缩进"/>
    <w:basedOn w:val="1"/>
    <w:qFormat/>
    <w:uiPriority w:val="0"/>
    <w:pPr>
      <w:spacing w:line="360" w:lineRule="auto"/>
      <w:ind w:firstLine="480" w:firstLineChars="200"/>
    </w:pPr>
    <w:rPr>
      <w:rFonts w:ascii="宋体" w:hAnsi="宋体"/>
      <w:sz w:val="24"/>
      <w:szCs w:val="24"/>
    </w:rPr>
  </w:style>
  <w:style w:type="character" w:customStyle="1" w:styleId="225">
    <w:name w:val="￥正文 Char"/>
    <w:link w:val="223"/>
    <w:qFormat/>
    <w:uiPriority w:val="0"/>
    <w:rPr>
      <w:rFonts w:ascii="Calibri" w:hAnsi="Calibri"/>
      <w:sz w:val="24"/>
      <w:szCs w:val="22"/>
    </w:rPr>
  </w:style>
  <w:style w:type="paragraph" w:customStyle="1" w:styleId="226">
    <w:name w:val="方案正文"/>
    <w:basedOn w:val="1"/>
    <w:qFormat/>
    <w:uiPriority w:val="0"/>
    <w:pPr>
      <w:snapToGrid w:val="0"/>
      <w:spacing w:line="440" w:lineRule="atLeast"/>
    </w:pPr>
    <w:rPr>
      <w:sz w:val="24"/>
    </w:rPr>
  </w:style>
  <w:style w:type="paragraph" w:customStyle="1" w:styleId="227">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8">
    <w:name w:val="批注文字 Char"/>
    <w:basedOn w:val="47"/>
    <w:link w:val="19"/>
    <w:qFormat/>
    <w:uiPriority w:val="99"/>
    <w:rPr>
      <w:rFonts w:ascii="Calibri" w:hAnsi="Calibri" w:eastAsiaTheme="minorHAnsi" w:cstheme="minorBidi"/>
      <w:sz w:val="22"/>
      <w:szCs w:val="22"/>
      <w:lang w:eastAsia="en-US"/>
    </w:rPr>
  </w:style>
  <w:style w:type="character" w:customStyle="1" w:styleId="229">
    <w:name w:val="批注主题 Char"/>
    <w:basedOn w:val="228"/>
    <w:link w:val="42"/>
    <w:semiHidden/>
    <w:qFormat/>
    <w:uiPriority w:val="99"/>
    <w:rPr>
      <w:rFonts w:asciiTheme="minorHAnsi" w:hAnsiTheme="minorHAnsi" w:eastAsiaTheme="minorHAnsi" w:cstheme="minorBidi"/>
      <w:b/>
      <w:bCs/>
      <w:sz w:val="22"/>
      <w:szCs w:val="22"/>
      <w:lang w:eastAsia="en-US"/>
    </w:rPr>
  </w:style>
  <w:style w:type="paragraph" w:customStyle="1" w:styleId="230">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31">
    <w:name w:val="null3"/>
    <w:hidden/>
    <w:qFormat/>
    <w:uiPriority w:val="0"/>
    <w:rPr>
      <w:rFonts w:hint="eastAsia" w:asciiTheme="minorHAnsi" w:hAnsiTheme="minorHAnsi" w:eastAsiaTheme="minorEastAsia" w:cstheme="minorBidi"/>
      <w:lang w:val="en-US" w:eastAsia="zh-Hans" w:bidi="ar-SA"/>
    </w:rPr>
  </w:style>
  <w:style w:type="paragraph" w:customStyle="1" w:styleId="232">
    <w:name w:val="Table Text"/>
    <w:basedOn w:val="1"/>
    <w:semiHidden/>
    <w:qFormat/>
    <w:uiPriority w:val="0"/>
    <w:rPr>
      <w:rFonts w:ascii="黑体" w:hAnsi="黑体" w:eastAsia="黑体" w:cs="黑体"/>
      <w:sz w:val="18"/>
      <w:szCs w:val="18"/>
    </w:rPr>
  </w:style>
  <w:style w:type="table" w:customStyle="1" w:styleId="233">
    <w:name w:val="Table Normal"/>
    <w:semiHidden/>
    <w:unhideWhenUsed/>
    <w:qFormat/>
    <w:uiPriority w:val="0"/>
    <w:tblPr>
      <w:tblCellMar>
        <w:top w:w="0" w:type="dxa"/>
        <w:left w:w="0" w:type="dxa"/>
        <w:bottom w:w="0" w:type="dxa"/>
        <w:right w:w="0" w:type="dxa"/>
      </w:tblCellMar>
    </w:tblPr>
  </w:style>
  <w:style w:type="paragraph" w:customStyle="1" w:styleId="234">
    <w:name w:val="*正文"/>
    <w:basedOn w:val="1"/>
    <w:qFormat/>
    <w:uiPriority w:val="0"/>
    <w:pPr>
      <w:spacing w:line="360" w:lineRule="auto"/>
      <w:jc w:val="center"/>
    </w:pPr>
    <w:rPr>
      <w:rFonts w:ascii="宋体" w:hAnsi="宋体" w:eastAsia="宋体" w:cs="仿宋_GB2312"/>
      <w:sz w:val="24"/>
      <w:szCs w:val="24"/>
    </w:rPr>
  </w:style>
  <w:style w:type="paragraph" w:customStyle="1" w:styleId="235">
    <w:name w:val="正文首行缩进1"/>
    <w:basedOn w:val="18"/>
    <w:qFormat/>
    <w:uiPriority w:val="0"/>
    <w:pPr>
      <w:spacing w:after="120"/>
      <w:ind w:firstLine="420" w:firstLineChars="100"/>
      <w:jc w:val="both"/>
    </w:pPr>
    <w:rPr>
      <w:rFonts w:asciiTheme="minorHAnsi" w:hAnsiTheme="minorHAnsi" w:eastAsiaTheme="minorEastAsia"/>
      <w:sz w:val="21"/>
      <w:szCs w:val="24"/>
    </w:rPr>
  </w:style>
  <w:style w:type="paragraph" w:customStyle="1" w:styleId="236">
    <w:name w:val="无间隔2"/>
    <w:basedOn w:val="1"/>
    <w:qFormat/>
    <w:uiPriority w:val="99"/>
  </w:style>
  <w:style w:type="character" w:customStyle="1" w:styleId="237">
    <w:name w:val="NormalCharacter1"/>
    <w:qFormat/>
    <w:uiPriority w:val="0"/>
    <w:rPr>
      <w:rFonts w:ascii="Calibri" w:hAnsi="Calibri" w:eastAsia="宋体" w:cs="Times New Roman"/>
      <w:sz w:val="21"/>
      <w:lang w:val="en-US" w:eastAsia="zh-CN" w:bidi="ar-SA"/>
    </w:rPr>
  </w:style>
  <w:style w:type="character" w:customStyle="1" w:styleId="238">
    <w:name w:val="font61"/>
    <w:basedOn w:val="47"/>
    <w:qFormat/>
    <w:uiPriority w:val="0"/>
    <w:rPr>
      <w:rFonts w:hint="default" w:ascii="Times New Roman" w:hAnsi="Times New Roman" w:cs="Times New Roman"/>
      <w:color w:val="000000"/>
      <w:sz w:val="18"/>
      <w:szCs w:val="18"/>
      <w:u w:val="none"/>
    </w:rPr>
  </w:style>
  <w:style w:type="character" w:customStyle="1" w:styleId="239">
    <w:name w:val="font51"/>
    <w:basedOn w:val="47"/>
    <w:qFormat/>
    <w:uiPriority w:val="0"/>
    <w:rPr>
      <w:rFonts w:hint="eastAsia" w:ascii="宋体" w:hAnsi="宋体" w:eastAsia="宋体" w:cs="宋体"/>
      <w:color w:val="000000"/>
      <w:sz w:val="18"/>
      <w:szCs w:val="18"/>
      <w:u w:val="none"/>
    </w:rPr>
  </w:style>
  <w:style w:type="character" w:customStyle="1" w:styleId="240">
    <w:name w:val="font71"/>
    <w:basedOn w:val="47"/>
    <w:qFormat/>
    <w:uiPriority w:val="0"/>
    <w:rPr>
      <w:rFonts w:ascii="鸿蒙黑体" w:hAnsi="鸿蒙黑体" w:eastAsia="鸿蒙黑体" w:cs="鸿蒙黑体"/>
      <w:color w:val="000000"/>
      <w:sz w:val="18"/>
      <w:szCs w:val="18"/>
      <w:u w:val="none"/>
    </w:rPr>
  </w:style>
  <w:style w:type="character" w:customStyle="1" w:styleId="241">
    <w:name w:val="font81"/>
    <w:basedOn w:val="47"/>
    <w:qFormat/>
    <w:uiPriority w:val="0"/>
    <w:rPr>
      <w:rFonts w:ascii="FT Thymes" w:hAnsi="FT Thymes" w:eastAsia="FT Thymes" w:cs="FT Thymes"/>
      <w:color w:val="000000"/>
      <w:sz w:val="18"/>
      <w:szCs w:val="18"/>
      <w:u w:val="none"/>
    </w:rPr>
  </w:style>
  <w:style w:type="paragraph" w:customStyle="1" w:styleId="242">
    <w:name w:val="Table Paragraph"/>
    <w:basedOn w:val="1"/>
    <w:qFormat/>
    <w:uiPriority w:val="0"/>
    <w:rPr>
      <w:rFonts w:ascii="Times New Roman" w:hAns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136</Pages>
  <Words>15745</Words>
  <Characters>17164</Characters>
  <Lines>657</Lines>
  <Paragraphs>185</Paragraphs>
  <TotalTime>22</TotalTime>
  <ScaleCrop>false</ScaleCrop>
  <LinksUpToDate>false</LinksUpToDate>
  <CharactersWithSpaces>17313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2026-08-07T01:44:00Z</dcterms:created>
  <dc:creator>周萌</dc:creator>
  <cp:lastModifiedBy>Only Q</cp:lastModifiedBy>
  <cp:lastPrinted>2025-03-01T07:12:00Z</cp:lastPrinted>
  <dcterms:modified xsi:type="dcterms:W3CDTF">2026-09-28T09:17:39Z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0273AF5C28A2469FBDD9CBD1E6906707_13</vt:lpwstr>
  </property>
  <property fmtid="{D5CDD505-2E9C-101B-9397-08002B2CF9AE}" pid="4" name="KSOTemplateDocerSaveRecord">
    <vt:lpwstr>eyJoZGlkIjoiYzBmMTFkM2YzY2FiNTQ0MmZmMjliOTA5MjdiNmI1NDUiLCJ1c2VySWQiOiI0NTU4MjY1MzAifQ==</vt:lpwstr>
  </property>
</Properties>
</file>