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788"/>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14"/>
            <w:r/>
            <w:bookmarkStart w:id="2" w:name="OLE_LINK17"/>
            <w:r/>
            <w:bookmarkStart w:id="3" w:name="OLE_LINK3"/>
            <w:r/>
            <w:bookmarkStart w:id="4" w:name="OLE_LINK1"/>
            <w:r/>
            <w:bookmarkStart w:id="5" w:name="OLE_LINK29"/>
            <w:r/>
            <w:bookmarkStart w:id="6" w:name="OLE_LINK27"/>
            <w:r/>
            <w:bookmarkStart w:id="7" w:name="OLE_LINK13"/>
            <w:r/>
            <w:bookmarkStart w:id="8" w:name="OLE_LINK24"/>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小官山滨海森林步道增加附属设施项目</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25"/>
            <w:r/>
            <w:bookmarkStart w:id="10" w:name="OLE_LINK2"/>
            <w:r/>
            <w:bookmarkStart w:id="11" w:name="OLE_LINK15"/>
            <w:r/>
            <w:bookmarkStart w:id="12" w:name="OLE_LINK30"/>
            <w:r/>
            <w:bookmarkStart w:id="13" w:name="OLE_LINK18"/>
            <w:r/>
            <w:bookmarkStart w:id="14" w:name="OLE_LINK5"/>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rFonts w:hint="default" w:eastAsia="宋体"/>
                <w:b/>
                <w:color w:val="auto"/>
                <w:sz w:val="32"/>
                <w:szCs w:val="32"/>
                <w:highlight w:val="none"/>
                <w:lang w:val="en-US" w:eastAsia="zh-CN"/>
              </w:rPr>
            </w:pPr>
            <w:r>
              <w:rPr>
                <w:rFonts w:hint="eastAsia" w:ascii="Arial" w:hAnsi="宋体" w:cs="Times New Roman"/>
                <w:b/>
                <w:color w:val="auto"/>
                <w:spacing w:val="0"/>
                <w:sz w:val="32"/>
                <w:szCs w:val="32"/>
                <w:highlight w:val="none"/>
                <w:lang w:val="zh-CN" w:eastAsia="zh-CN" w:bidi="ar-SA"/>
              </w:rPr>
              <w:t xml:space="preserve">JSZC-320703-BYGS-C2026-0014</w:t>
            </w:r>
            <w:r/>
          </w:p>
        </w:tc>
      </w:tr>
    </w:tbl>
    <w:p>
      <w:pPr>
        <w:pStyle w:val="802"/>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02"/>
        <w:rPr>
          <w:rFonts w:ascii="Times New Roman"/>
          <w:b/>
          <w:bCs/>
          <w:color w:val="auto"/>
          <w:sz w:val="32"/>
          <w:highlight w:val="none"/>
        </w:rPr>
      </w:pPr>
      <w:r>
        <w:rPr>
          <w:rFonts w:ascii="Times New Roman"/>
          <w:b/>
          <w:bCs/>
          <w:color w:val="auto"/>
          <w:sz w:val="32"/>
          <w:highlight w:val="none"/>
        </w:rPr>
      </w:r>
      <w:r/>
    </w:p>
    <w:p>
      <w:pPr>
        <w:pStyle w:val="802"/>
        <w:rPr>
          <w:rFonts w:ascii="Times New Roman"/>
          <w:b/>
          <w:bCs/>
          <w:color w:val="auto"/>
          <w:sz w:val="32"/>
          <w:highlight w:val="none"/>
        </w:rPr>
      </w:pPr>
      <w:r>
        <w:rPr>
          <w:rFonts w:ascii="Times New Roman"/>
          <w:b/>
          <w:bCs/>
          <w:color w:val="auto"/>
          <w:sz w:val="32"/>
          <w:highlight w:val="none"/>
        </w:rPr>
      </w:r>
      <w:r/>
    </w:p>
    <w:p>
      <w:pPr>
        <w:pStyle w:val="802"/>
        <w:rPr>
          <w:rFonts w:ascii="Times New Roman"/>
          <w:b/>
          <w:bCs/>
          <w:color w:val="auto"/>
          <w:sz w:val="32"/>
          <w:highlight w:val="none"/>
        </w:rPr>
      </w:pPr>
      <w:r>
        <w:rPr>
          <w:rFonts w:ascii="Times New Roman"/>
          <w:b/>
          <w:bCs/>
          <w:color w:val="auto"/>
          <w:sz w:val="32"/>
          <w:highlight w:val="none"/>
        </w:rPr>
      </w:r>
      <w:r/>
    </w:p>
    <w:p>
      <w:pPr>
        <w:pStyle w:val="802"/>
        <w:rPr>
          <w:rFonts w:ascii="Times New Roman"/>
          <w:b/>
          <w:bCs/>
          <w:color w:val="auto"/>
          <w:sz w:val="32"/>
          <w:highlight w:val="none"/>
        </w:rPr>
      </w:pPr>
      <w:r>
        <w:rPr>
          <w:rFonts w:ascii="Times New Roman"/>
          <w:b/>
          <w:bCs/>
          <w:color w:val="auto"/>
          <w:sz w:val="32"/>
          <w:highlight w:val="none"/>
        </w:rPr>
      </w:r>
      <w:r/>
    </w:p>
    <w:tbl>
      <w:tblPr>
        <w:tblStyle w:val="788"/>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4"/>
            <w:r/>
            <w:bookmarkStart w:id="16" w:name="OLE_LINK31"/>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连云港市连云区住房和城乡建设局</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心：</w:t>
            </w:r>
            <w:r/>
          </w:p>
        </w:tc>
        <w:tc>
          <w:tcPr>
            <w:tcW w:w="6687" w:type="dxa"/>
            <w:vAlign w:val="center"/>
            <w:textDirection w:val="lrTb"/>
            <w:noWrap w:val="false"/>
          </w:tcPr>
          <w:p>
            <w:pPr>
              <w:pStyle w:val="802"/>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02"/>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788"/>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02"/>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336909890"/>
            <w:r/>
            <w:bookmarkEnd w:id="17"/>
            <w:r/>
            <w:bookmarkStart w:id="18" w:name="_1337000242"/>
            <w:r/>
            <w:bookmarkEnd w:id="18"/>
            <w:r/>
            <w:bookmarkStart w:id="19" w:name="_1486967582"/>
            <w:r/>
            <w:bookmarkEnd w:id="19"/>
            <w:r/>
            <w:bookmarkStart w:id="20" w:name="_1447850345"/>
            <w:r/>
            <w:bookmarkEnd w:id="20"/>
            <w:r/>
            <w:bookmarkStart w:id="21" w:name="_1448089845"/>
            <w:r/>
            <w:bookmarkEnd w:id="21"/>
            <w:r/>
            <w:bookmarkStart w:id="22" w:name="_1336475279"/>
            <w:r/>
            <w:bookmarkEnd w:id="22"/>
            <w:r/>
            <w:bookmarkStart w:id="23" w:name="_1407138454"/>
            <w:r/>
            <w:bookmarkEnd w:id="23"/>
            <w:r/>
            <w:bookmarkStart w:id="24" w:name="_1407131003"/>
            <w:r/>
            <w:bookmarkEnd w:id="24"/>
            <w:r/>
            <w:bookmarkStart w:id="25" w:name="_1479037598"/>
            <w:r/>
            <w:bookmarkEnd w:id="25"/>
            <w:r/>
            <w:bookmarkStart w:id="26" w:name="_1279442339"/>
            <w:r/>
            <w:bookmarkEnd w:id="26"/>
            <w:r/>
            <w:bookmarkStart w:id="27" w:name="_1297771658"/>
            <w:r/>
            <w:bookmarkEnd w:id="27"/>
            <w:r/>
            <w:bookmarkStart w:id="28" w:name="_1298271315"/>
            <w:r/>
            <w:bookmarkEnd w:id="28"/>
            <w:r/>
            <w:bookmarkStart w:id="29" w:name="_1407649454"/>
            <w:r/>
            <w:bookmarkEnd w:id="29"/>
            <w:r/>
            <w:bookmarkStart w:id="30" w:name="_1435759884"/>
            <w:r/>
            <w:bookmarkEnd w:id="30"/>
            <w:r/>
            <w:bookmarkStart w:id="31" w:name="_1372492890"/>
            <w:r/>
            <w:bookmarkEnd w:id="31"/>
            <w:r/>
            <w:bookmarkStart w:id="32" w:name="_1467808401"/>
            <w:r/>
            <w:bookmarkEnd w:id="32"/>
            <w:r/>
            <w:bookmarkStart w:id="33" w:name="_1471955348"/>
            <w:r/>
            <w:bookmarkEnd w:id="33"/>
            <w:r/>
            <w:bookmarkStart w:id="34" w:name="_1407138770"/>
            <w:r/>
            <w:bookmarkEnd w:id="34"/>
            <w:r/>
            <w:bookmarkStart w:id="35" w:name="_1407051528"/>
            <w:r/>
            <w:bookmarkEnd w:id="35"/>
            <w:r/>
            <w:bookmarkStart w:id="36" w:name="_1297774439"/>
            <w:r/>
            <w:bookmarkEnd w:id="36"/>
            <w:r/>
            <w:bookmarkStart w:id="37" w:name="_1407133253"/>
            <w:r/>
            <w:bookmarkEnd w:id="37"/>
            <w:r/>
            <w:bookmarkStart w:id="38" w:name="_1297752558"/>
            <w:r/>
            <w:bookmarkEnd w:id="38"/>
            <w:r/>
            <w:bookmarkStart w:id="39" w:name="_1297758037"/>
            <w:r/>
            <w:bookmarkEnd w:id="39"/>
            <w:r/>
            <w:bookmarkStart w:id="40" w:name="_1278423854"/>
            <w:r/>
            <w:bookmarkEnd w:id="40"/>
            <w:r/>
            <w:bookmarkStart w:id="41" w:name="_1278423018"/>
            <w:r/>
            <w:bookmarkEnd w:id="41"/>
            <w:r/>
            <w:bookmarkStart w:id="42" w:name="_1372599658"/>
            <w:r/>
            <w:bookmarkEnd w:id="42"/>
            <w:r/>
            <w:bookmarkStart w:id="43" w:name="_1372599208"/>
            <w:r/>
            <w:bookmarkEnd w:id="43"/>
            <w:r/>
            <w:bookmarkStart w:id="44" w:name="_1291464772"/>
            <w:r/>
            <w:bookmarkEnd w:id="44"/>
            <w:r/>
            <w:bookmarkStart w:id="45" w:name="_1468218264"/>
            <w:r/>
            <w:bookmarkEnd w:id="45"/>
            <w:r/>
            <w:bookmarkStart w:id="46" w:name="_1435736218"/>
            <w:r/>
            <w:bookmarkEnd w:id="46"/>
            <w:r/>
            <w:bookmarkStart w:id="47" w:name="_1291189843"/>
            <w:r/>
            <w:bookmarkEnd w:id="47"/>
            <w:r/>
            <w:bookmarkStart w:id="48" w:name="_1468217283"/>
            <w:r/>
            <w:bookmarkEnd w:id="48"/>
            <w:r/>
            <w:bookmarkStart w:id="49" w:name="_1291116219"/>
            <w:r/>
            <w:bookmarkEnd w:id="49"/>
            <w:r/>
            <w:bookmarkStart w:id="50" w:name="_1407131738"/>
            <w:r/>
            <w:bookmarkEnd w:id="50"/>
            <w:r/>
            <w:bookmarkStart w:id="51" w:name="_1280844196"/>
            <w:r/>
            <w:bookmarkEnd w:id="51"/>
            <w:r/>
            <w:bookmarkStart w:id="52" w:name="_1298270684"/>
            <w:r/>
            <w:bookmarkEnd w:id="52"/>
            <w:r/>
            <w:bookmarkStart w:id="53" w:name="_1407154196"/>
            <w:r/>
            <w:bookmarkEnd w:id="53"/>
            <w:r/>
            <w:bookmarkStart w:id="54" w:name="_1486968668"/>
            <w:r/>
            <w:bookmarkEnd w:id="54"/>
            <w:r/>
            <w:bookmarkStart w:id="55" w:name="_1297771980"/>
            <w:r/>
            <w:bookmarkEnd w:id="55"/>
            <w:r/>
            <w:bookmarkStart w:id="56" w:name="_1372492601"/>
            <w:r/>
            <w:bookmarkEnd w:id="56"/>
            <w:r/>
            <w:bookmarkStart w:id="57" w:name="_1468245416"/>
            <w:r/>
            <w:bookmarkEnd w:id="57"/>
            <w:r/>
            <w:bookmarkStart w:id="58" w:name="_1407132958"/>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09</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02"/>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49762231"/>
      <w:r/>
      <w:bookmarkStart w:id="60" w:name="_Toc523502640"/>
      <w:r/>
      <w:bookmarkStart w:id="61" w:name="_Toc5037035"/>
      <w:r/>
      <w:bookmarkStart w:id="62" w:name="_Toc99113318"/>
      <w:r/>
      <w:bookmarkStart w:id="63" w:name="_Toc5997"/>
      <w:r/>
      <w:bookmarkStart w:id="64" w:name="_Toc5244"/>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10"/>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黑体" w:hAnsi="黑体" w:eastAsia="黑体" w:cs="黑体"/>
          <w:color w:val="auto"/>
          <w:szCs w:val="28"/>
          <w:highlight w:val="none"/>
        </w:rPr>
        <w:fldChar w:fldCharType="end"/>
      </w:r>
      <w:r/>
    </w:p>
    <w:p>
      <w:pPr>
        <w:pStyle w:val="81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黑体" w:hAnsi="黑体" w:eastAsia="黑体" w:cs="黑体"/>
          <w:color w:val="auto"/>
          <w:szCs w:val="28"/>
          <w:highlight w:val="none"/>
        </w:rPr>
        <w:fldChar w:fldCharType="end"/>
      </w:r>
      <w:r/>
    </w:p>
    <w:p>
      <w:pPr>
        <w:pStyle w:val="817"/>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778"/>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78"/>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35"/>
      <w:r/>
      <w:bookmarkStart w:id="70" w:name="OLE_LINK32"/>
      <w:r/>
      <w:bookmarkStart w:id="71" w:name="OLE_LINK34"/>
      <w:r/>
      <w:bookmarkStart w:id="72" w:name="OLE_LINK36"/>
      <w:r/>
      <w:bookmarkStart w:id="73" w:name="OLE_LINK33"/>
      <w:r/>
      <w:bookmarkStart w:id="74" w:name="OLE_LINK22"/>
      <w:r/>
      <w:bookmarkStart w:id="75" w:name="OLE_LINK26"/>
      <w:r/>
      <w:bookmarkStart w:id="76" w:name="OLE_LINK7"/>
      <w:r/>
      <w:bookmarkStart w:id="77" w:name="OLE_LINK19"/>
      <w:r/>
      <w:bookmarkStart w:id="78" w:name="OLE_LINK12"/>
      <w:r/>
      <w:bookmarkStart w:id="79" w:name="OLE_LINK10"/>
      <w:r/>
      <w:bookmarkStart w:id="80" w:name="OLE_LINK11"/>
      <w:r/>
      <w:bookmarkStart w:id="81" w:name="OLE_LINK23"/>
      <w:r/>
      <w:bookmarkStart w:id="82" w:name="OLE_LINK21"/>
      <w:r/>
      <w:bookmarkStart w:id="83" w:name="OLE_LINK20"/>
      <w:r/>
      <w:bookmarkStart w:id="84" w:name="OLE_LINK16"/>
      <w:r/>
      <w:bookmarkStart w:id="85" w:name="OLE_LINK28"/>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小官山滨海森林步道增加附属设施项目</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rFonts w:ascii="Times New Roman" w:hAnsi="Times New Roman" w:eastAsia="Times New Roman" w:cs="Times New Roman"/>
          <w:b/>
          <w:color w:val="000000"/>
          <w:sz w:val="21"/>
          <w:highlight w:val="none"/>
          <w:u w:val="single"/>
        </w:rPr>
        <w:t xml:space="preserve">2026</w:t>
      </w:r>
      <w:r>
        <w:rPr>
          <w:rFonts w:hAnsi="宋体"/>
          <w:b/>
          <w:bCs/>
          <w:color w:val="auto"/>
          <w:szCs w:val="21"/>
          <w:highlight w:val="none"/>
          <w:u w:val="single"/>
        </w:rPr>
        <w:t xml:space="preserve">年</w:t>
      </w:r>
      <w:r>
        <w:rPr>
          <w:rFonts w:hint="eastAsia" w:cs="Times New Roman"/>
          <w:b/>
          <w:color w:val="000000"/>
          <w:sz w:val="21"/>
          <w:highlight w:val="none"/>
          <w:u w:val="single"/>
          <w:lang w:val="en-US" w:eastAsia="zh-CN"/>
        </w:rPr>
        <w:t xml:space="preserve">10</w:t>
      </w:r>
      <w:r>
        <w:rPr>
          <w:rFonts w:hint="eastAsia" w:hAnsi="宋体"/>
          <w:b/>
          <w:bCs/>
          <w:color w:val="auto"/>
          <w:szCs w:val="21"/>
          <w:highlight w:val="none"/>
          <w:u w:val="single"/>
          <w:lang w:val="en-US" w:eastAsia="zh-CN"/>
        </w:rPr>
        <w:t xml:space="preserve">月</w:t>
      </w:r>
      <w:r>
        <w:rPr>
          <w:rFonts w:hint="eastAsia" w:cs="Times New Roman"/>
          <w:b/>
          <w:color w:val="000000"/>
          <w:sz w:val="21"/>
          <w:highlight w:val="none"/>
          <w:u w:val="single"/>
          <w:lang w:val="en-US" w:eastAsia="zh-CN"/>
        </w:rPr>
        <w:t xml:space="preserve">10</w:t>
      </w:r>
      <w:r>
        <w:rPr>
          <w:rFonts w:hAnsi="宋体"/>
          <w:b/>
          <w:bCs/>
          <w:color w:val="auto"/>
          <w:szCs w:val="21"/>
          <w:highlight w:val="none"/>
          <w:u w:val="single"/>
        </w:rPr>
        <w:t xml:space="preserve">日</w:t>
      </w:r>
      <w:r>
        <w:rPr>
          <w:rFonts w:hint="eastAsia" w:cs="Times New Roman"/>
          <w:b/>
          <w:color w:val="000000"/>
          <w:sz w:val="21"/>
          <w:highlight w:val="none"/>
          <w:u w:val="single"/>
          <w:lang w:val="en-US" w:eastAsia="zh-CN"/>
        </w:rPr>
        <w:t xml:space="preserve">14</w:t>
      </w:r>
      <w:r>
        <w:rPr>
          <w:rFonts w:hAnsi="宋体"/>
          <w:b/>
          <w:bCs/>
          <w:color w:val="auto"/>
          <w:szCs w:val="21"/>
          <w:highlight w:val="none"/>
          <w:u w:val="single"/>
        </w:rPr>
        <w:t xml:space="preserve">点</w:t>
      </w:r>
      <w:r>
        <w:rPr>
          <w:rFonts w:hint="eastAsia" w:cs="Times New Roman"/>
          <w:b/>
          <w:color w:val="000000"/>
          <w:sz w:val="21"/>
          <w:highlight w:val="none"/>
          <w:u w:val="single"/>
          <w:lang w:val="en-US" w:eastAsia="zh-CN"/>
        </w:rPr>
        <w:t xml:space="preserve">30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21"/>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21"/>
        <w:contextualSpacing/>
        <w:ind w:firstLine="420"/>
        <w:keepLines w:val="0"/>
        <w:keepNext w:val="0"/>
        <w:pageBreakBefore w:val="0"/>
        <w:spacing w:before="0" w:beforeAutospacing="0" w:after="0" w:afterAutospacing="0" w:line="480" w:lineRule="exact"/>
        <w:rPr>
          <w:rFonts w:ascii="Segoe UI" w:hAnsi="Segoe UI" w:eastAsia="Segoe UI" w:cs="Segoe UI"/>
          <w:i w:val="0"/>
          <w:iCs w:val="0"/>
          <w:caps w:val="0"/>
          <w:spacing w:val="0"/>
          <w:sz w:val="21"/>
          <w:szCs w:val="21"/>
          <w:shd w:val="clear" w:color="auto" w:fill="ffffff"/>
        </w:rPr>
      </w:pPr>
      <w:r>
        <w:rPr>
          <w:rFonts w:hint="eastAsia" w:ascii="Times New Roman" w:cs="Times New Roman"/>
          <w:color w:val="auto"/>
          <w:sz w:val="21"/>
          <w:szCs w:val="21"/>
          <w:highlight w:val="none"/>
          <w:lang w:eastAsia="zh-CN"/>
        </w:rPr>
        <w:t xml:space="preserve">项目编号：</w:t>
      </w:r>
      <w:r>
        <w:rPr>
          <w:rFonts w:ascii="Segoe UI" w:hAnsi="Segoe UI" w:eastAsia="Segoe UI" w:cs="Segoe UI"/>
          <w:i w:val="0"/>
          <w:iCs w:val="0"/>
          <w:caps w:val="0"/>
          <w:spacing w:val="0"/>
          <w:sz w:val="21"/>
          <w:szCs w:val="21"/>
          <w:shd w:val="clear" w:color="auto" w:fill="ffffff"/>
        </w:rPr>
        <w:t xml:space="preserve">JSZC-320703-BYGS-C2026-0014</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项目名称：小官山滨海森林步道增加附属设施项目</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2753874.09</w:t>
      </w:r>
      <w:r>
        <w:rPr>
          <w:rFonts w:hint="eastAsia" w:ascii="Times New Roman" w:cs="Times New Roman"/>
          <w:b/>
          <w:bCs/>
          <w:color w:val="auto"/>
          <w:sz w:val="21"/>
          <w:szCs w:val="21"/>
          <w:highlight w:val="none"/>
        </w:rPr>
        <w:t xml:space="preserve">元</w:t>
      </w:r>
      <w:r>
        <w:rPr>
          <w:rFonts w:hint="eastAsia" w:ascii="Times New Roman" w:cs="Times New Roman"/>
          <w:color w:val="auto"/>
          <w:sz w:val="21"/>
          <w:szCs w:val="21"/>
          <w:highlight w:val="none"/>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2753874.09</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采购需求：小官山滨海森林步道增加附属设施项目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color w:val="auto"/>
          <w:sz w:val="21"/>
          <w:szCs w:val="21"/>
          <w:highlight w:val="none"/>
          <w:lang w:val="zh-CN" w:eastAsia="zh-CN"/>
        </w:rPr>
        <w:t xml:space="preserve">：</w:t>
      </w:r>
      <w:r>
        <w:rPr>
          <w:rFonts w:hint="eastAsia" w:ascii="Times New Roman" w:cs="Times New Roman"/>
          <w:b/>
          <w:bCs/>
          <w:color w:val="auto"/>
          <w:sz w:val="21"/>
          <w:szCs w:val="21"/>
          <w:highlight w:val="none"/>
          <w:lang w:val="en-US" w:eastAsia="zh-CN"/>
        </w:rPr>
        <w:t xml:space="preserve">60</w:t>
      </w:r>
      <w:r>
        <w:rPr>
          <w:rFonts w:hint="eastAsia" w:ascii="Times New Roman" w:cs="Times New Roman"/>
          <w:b/>
          <w:bCs/>
          <w:color w:val="auto"/>
          <w:sz w:val="21"/>
          <w:szCs w:val="21"/>
          <w:highlight w:val="none"/>
          <w:lang w:val="zh-CN" w:eastAsia="zh-CN"/>
        </w:rPr>
        <w:t xml:space="preserve">日历天</w:t>
      </w:r>
      <w:r>
        <w:rPr>
          <w:rFonts w:hint="eastAsia" w:ascii="Times New Roman" w:cs="Times New Roman"/>
          <w:color w:val="auto"/>
          <w:sz w:val="21"/>
          <w:szCs w:val="21"/>
          <w:highlight w:val="none"/>
          <w:lang w:val="zh-CN" w:eastAsia="zh-CN"/>
        </w:rPr>
        <w:t xml:space="preserve">（以实际开工令为准</w:t>
      </w: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val="en-US" w:eastAsia="zh-CN"/>
        </w:rPr>
        <w:t xml:space="preserve">连云区小官山</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2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21"/>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21"/>
        <w:contextualSpacing/>
        <w:ind w:firstLine="42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21"/>
        <w:contextualSpacing/>
        <w:ind w:firstLine="632"/>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21"/>
        <w:contextualSpacing/>
        <w:ind w:firstLine="420"/>
        <w:keepLines w:val="0"/>
        <w:keepNext w:val="0"/>
        <w:pageBreakBefore w:val="0"/>
        <w:spacing w:before="0" w:beforeAutospacing="0" w:after="0" w:afterAutospacing="0" w:line="480" w:lineRule="exact"/>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cs="Times New Roman"/>
          <w:b/>
          <w:bCs/>
          <w:color w:val="auto"/>
          <w:sz w:val="21"/>
          <w:szCs w:val="21"/>
          <w:highlight w:val="none"/>
        </w:rPr>
        <w:t xml:space="preserve">有</w:t>
      </w:r>
      <w:r>
        <w:rPr>
          <w:rFonts w:hint="eastAsia" w:ascii="Times New Roman" w:hAnsi="Times New Roman" w:eastAsia="宋体" w:cs="Times New Roman"/>
          <w:b/>
          <w:bCs/>
          <w:color w:val="auto"/>
          <w:sz w:val="21"/>
          <w:szCs w:val="21"/>
          <w:highlight w:val="none"/>
          <w:lang w:eastAsia="zh-CN"/>
        </w:rPr>
        <w:t xml:space="preserve">效的</w:t>
      </w:r>
      <w:r>
        <w:rPr>
          <w:rFonts w:hint="eastAsia" w:ascii="Times New Roman" w:cs="Times New Roman"/>
          <w:b/>
          <w:bCs/>
          <w:color w:val="auto"/>
          <w:sz w:val="21"/>
          <w:szCs w:val="21"/>
          <w:highlight w:val="none"/>
          <w:lang w:eastAsia="zh-CN"/>
        </w:rPr>
        <w:t xml:space="preserve">市政公用工程施工总承包</w:t>
      </w:r>
      <w:r>
        <w:rPr>
          <w:rFonts w:hint="eastAsia" w:ascii="Times New Roman" w:cs="Times New Roman"/>
          <w:b/>
          <w:bCs/>
          <w:color w:val="auto"/>
          <w:sz w:val="21"/>
          <w:szCs w:val="21"/>
          <w:highlight w:val="none"/>
          <w:lang w:val="en-US" w:eastAsia="zh-CN"/>
        </w:rPr>
        <w:t xml:space="preserve">三级</w:t>
      </w:r>
      <w:r>
        <w:rPr>
          <w:rFonts w:hint="eastAsia" w:ascii="Times New Roman" w:hAnsi="Times New Roman" w:eastAsia="宋体" w:cs="Times New Roman"/>
          <w:b/>
          <w:bCs/>
          <w:color w:val="auto"/>
          <w:sz w:val="21"/>
          <w:szCs w:val="21"/>
          <w:highlight w:val="none"/>
          <w:lang w:val="en-US" w:eastAsia="zh-CN"/>
        </w:rPr>
        <w:t xml:space="preserve">及以</w:t>
      </w:r>
      <w:r>
        <w:rPr>
          <w:rFonts w:hint="eastAsia" w:ascii="宋体" w:hAnsi="宋体" w:eastAsia="宋体" w:cs="宋体"/>
          <w:b/>
          <w:bCs/>
          <w:color w:val="333333"/>
          <w:sz w:val="21"/>
          <w:szCs w:val="21"/>
          <w:highlight w:val="none"/>
          <w:lang w:val="en-US" w:eastAsia="zh-CN"/>
        </w:rPr>
        <w:t xml:space="preserve">上资质，</w:t>
      </w:r>
      <w:r>
        <w:rPr>
          <w:rFonts w:hint="eastAsia" w:ascii="Times New Roman" w:cs="Times New Roman"/>
          <w:b/>
          <w:bCs/>
          <w:color w:val="auto"/>
          <w:sz w:val="21"/>
          <w:szCs w:val="21"/>
          <w:highlight w:val="none"/>
        </w:rPr>
        <w:t xml:space="preserve">且具有有效的安全生产许可证</w:t>
      </w:r>
      <w:r>
        <w:rPr>
          <w:rFonts w:hint="eastAsia" w:ascii="Times New Roman" w:cs="Times New Roman"/>
          <w:b/>
          <w:bCs/>
          <w:color w:val="auto"/>
          <w:sz w:val="21"/>
          <w:szCs w:val="21"/>
          <w:highlight w:val="none"/>
          <w:lang w:eastAsia="zh-CN"/>
        </w:rPr>
        <w:t xml:space="preserve">；</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）项目负责人具备：建设行政主管部门颁发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市政工程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提供项目负责人建造师证书、安全生产考核合格证（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）、社保缴纳证明扫描件</w:t>
      </w:r>
      <w:r>
        <w:rPr>
          <w:rFonts w:hint="eastAsia" w:ascii="Times New Roman" w:cs="Times New Roman"/>
          <w:color w:val="auto"/>
          <w:sz w:val="21"/>
          <w:szCs w:val="21"/>
          <w:highlight w:val="none"/>
          <w:lang w:eastAsia="zh-CN"/>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pStyle w:val="82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480" w:lineRule="exact"/>
        <w:widowControl/>
        <w:rPr>
          <w:b/>
          <w:color w:val="auto"/>
          <w:szCs w:val="21"/>
          <w:highlight w:val="none"/>
        </w:rPr>
      </w:pPr>
      <w:r>
        <w:rPr>
          <w:rFonts w:hint="eastAsia"/>
          <w:b/>
          <w:color w:val="auto"/>
          <w:szCs w:val="21"/>
          <w:highlight w:val="none"/>
        </w:rPr>
        <w:t xml:space="preserve">三、磋商文件的获取</w:t>
      </w:r>
      <w:r/>
    </w:p>
    <w:p>
      <w:pPr>
        <w:pStyle w:val="821"/>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21"/>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21"/>
        <w:contextualSpacing/>
        <w:ind w:firstLine="1054"/>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21"/>
        <w:contextualSpacing/>
        <w:ind w:firstLine="840"/>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2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hint="eastAsia" w:cs="Times New Roman"/>
          <w:b/>
          <w:color w:val="000000"/>
          <w:sz w:val="21"/>
          <w:highlight w:val="none"/>
          <w:u w:val="none"/>
          <w:lang w:val="en-US" w:eastAsia="zh-CN"/>
        </w:rPr>
        <w:t xml:space="preserve">10</w:t>
      </w:r>
      <w:r>
        <w:rPr>
          <w:rFonts w:hint="eastAsia" w:hAnsi="宋体"/>
          <w:b/>
          <w:bCs/>
          <w:color w:val="auto"/>
          <w:szCs w:val="21"/>
          <w:highlight w:val="none"/>
          <w:u w:val="none"/>
          <w:lang w:val="en-US" w:eastAsia="zh-CN"/>
        </w:rPr>
        <w:t xml:space="preserve">月</w:t>
      </w:r>
      <w:r>
        <w:rPr>
          <w:rFonts w:hint="eastAsia" w:cs="Times New Roman"/>
          <w:b/>
          <w:color w:val="000000"/>
          <w:sz w:val="21"/>
          <w:highlight w:val="none"/>
          <w:u w:val="none"/>
          <w:lang w:val="en-US" w:eastAsia="zh-CN"/>
        </w:rPr>
        <w:t xml:space="preserve">10</w:t>
      </w:r>
      <w:r>
        <w:rPr>
          <w:rFonts w:hAnsi="宋体"/>
          <w:b/>
          <w:bCs/>
          <w:color w:val="auto"/>
          <w:szCs w:val="21"/>
          <w:highlight w:val="none"/>
          <w:u w:val="none"/>
        </w:rPr>
        <w:t xml:space="preserve">日</w:t>
      </w:r>
      <w:r>
        <w:rPr>
          <w:rFonts w:hint="eastAsia" w:cs="Times New Roman"/>
          <w:b/>
          <w:color w:val="000000"/>
          <w:sz w:val="21"/>
          <w:highlight w:val="none"/>
          <w:u w:val="none"/>
          <w:lang w:val="en-US" w:eastAsia="zh-CN"/>
        </w:rPr>
        <w:t xml:space="preserve">14</w:t>
      </w:r>
      <w:r>
        <w:rPr>
          <w:rFonts w:hAnsi="宋体"/>
          <w:b/>
          <w:bCs/>
          <w:color w:val="auto"/>
          <w:szCs w:val="21"/>
          <w:highlight w:val="none"/>
          <w:u w:val="none"/>
        </w:rPr>
        <w:t xml:space="preserve">点</w:t>
      </w:r>
      <w:r>
        <w:rPr>
          <w:rFonts w:hint="eastAsia" w:cs="Times New Roman"/>
          <w:b/>
          <w:color w:val="000000"/>
          <w:sz w:val="21"/>
          <w:highlight w:val="none"/>
          <w:u w:val="none"/>
          <w:lang w:val="en-US" w:eastAsia="zh-CN"/>
        </w:rPr>
        <w:t xml:space="preserve">30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ascii="Times New Roman" w:hAnsi="Times New Roman" w:eastAsia="Times New Roman" w:cs="Times New Roman"/>
          <w:b/>
          <w:color w:val="000000"/>
          <w:sz w:val="21"/>
          <w:highlight w:val="none"/>
          <w:u w:val="none"/>
        </w:rPr>
        <w:t xml:space="preserve">2026</w:t>
      </w:r>
      <w:r>
        <w:rPr>
          <w:rFonts w:hAnsi="宋体"/>
          <w:b/>
          <w:bCs/>
          <w:color w:val="auto"/>
          <w:szCs w:val="21"/>
          <w:highlight w:val="none"/>
          <w:u w:val="none"/>
        </w:rPr>
        <w:t xml:space="preserve">年</w:t>
      </w:r>
      <w:r>
        <w:rPr>
          <w:rFonts w:hint="eastAsia" w:cs="Times New Roman"/>
          <w:b/>
          <w:color w:val="000000"/>
          <w:sz w:val="21"/>
          <w:highlight w:val="none"/>
          <w:u w:val="none"/>
          <w:lang w:val="en-US" w:eastAsia="zh-CN"/>
        </w:rPr>
        <w:t xml:space="preserve">10</w:t>
      </w:r>
      <w:r>
        <w:rPr>
          <w:rFonts w:hint="eastAsia" w:hAnsi="宋体"/>
          <w:b/>
          <w:bCs/>
          <w:color w:val="auto"/>
          <w:szCs w:val="21"/>
          <w:highlight w:val="none"/>
          <w:u w:val="none"/>
          <w:lang w:val="en-US" w:eastAsia="zh-CN"/>
        </w:rPr>
        <w:t xml:space="preserve">月</w:t>
      </w:r>
      <w:r>
        <w:rPr>
          <w:rFonts w:hint="eastAsia" w:cs="Times New Roman"/>
          <w:b/>
          <w:color w:val="000000"/>
          <w:sz w:val="21"/>
          <w:highlight w:val="none"/>
          <w:u w:val="none"/>
          <w:lang w:val="en-US" w:eastAsia="zh-CN"/>
        </w:rPr>
        <w:t xml:space="preserve">10</w:t>
      </w:r>
      <w:r>
        <w:rPr>
          <w:rFonts w:hAnsi="宋体"/>
          <w:b/>
          <w:bCs/>
          <w:color w:val="auto"/>
          <w:szCs w:val="21"/>
          <w:highlight w:val="none"/>
          <w:u w:val="none"/>
        </w:rPr>
        <w:t xml:space="preserve">日</w:t>
      </w:r>
      <w:r>
        <w:rPr>
          <w:rFonts w:hint="eastAsia" w:cs="Times New Roman"/>
          <w:b/>
          <w:color w:val="000000"/>
          <w:sz w:val="21"/>
          <w:highlight w:val="none"/>
          <w:u w:val="none"/>
          <w:lang w:val="en-US" w:eastAsia="zh-CN"/>
        </w:rPr>
        <w:t xml:space="preserve">14</w:t>
      </w:r>
      <w:r>
        <w:rPr>
          <w:rFonts w:hAnsi="宋体"/>
          <w:b/>
          <w:bCs/>
          <w:color w:val="auto"/>
          <w:szCs w:val="21"/>
          <w:highlight w:val="none"/>
          <w:u w:val="none"/>
        </w:rPr>
        <w:t xml:space="preserve">点</w:t>
      </w:r>
      <w:r>
        <w:rPr>
          <w:rFonts w:hint="eastAsia" w:cs="Times New Roman"/>
          <w:b/>
          <w:color w:val="000000"/>
          <w:sz w:val="21"/>
          <w:highlight w:val="none"/>
          <w:u w:val="none"/>
          <w:lang w:val="en-US" w:eastAsia="zh-CN"/>
        </w:rPr>
        <w:t xml:space="preserve">30</w:t>
      </w:r>
      <w:r>
        <w:rPr>
          <w:rFonts w:hAnsi="宋体"/>
          <w:b/>
          <w:bCs/>
          <w:color w:val="auto"/>
          <w:szCs w:val="21"/>
          <w:highlight w:val="none"/>
          <w:u w:val="none"/>
        </w:rPr>
        <w:t xml:space="preserve">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21"/>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五、公告期限</w:t>
      </w:r>
      <w:r/>
    </w:p>
    <w:p>
      <w:pPr>
        <w:pStyle w:val="821"/>
        <w:contextualSpacing/>
        <w:ind w:firstLine="420"/>
        <w:keepLines w:val="0"/>
        <w:keepNext w:val="0"/>
        <w:pageBreakBefore w:val="0"/>
        <w:spacing w:before="0" w:beforeAutospacing="0" w:after="0" w:afterAutospacing="0" w:line="480" w:lineRule="exact"/>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21"/>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http://www.ccgp-jiangsu.gov.cn/jiangsu/zlxz/ee/ee3a4bc5a3454aa2b0d9312230633ce9.html</w:t>
      </w:r>
      <w:r/>
    </w:p>
    <w:p>
      <w:pPr>
        <w:pStyle w:val="82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21"/>
        <w:contextualSpacing/>
        <w:ind w:firstLine="422"/>
        <w:keepLines w:val="0"/>
        <w:keepNext w:val="0"/>
        <w:pageBreakBefore w:val="0"/>
        <w:spacing w:before="0" w:beforeAutospacing="0" w:after="0" w:afterAutospacing="0"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2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ascii="宋体" w:hAnsi="宋体" w:eastAsia="宋体" w:cs="宋体"/>
          <w:color w:val="auto"/>
          <w:sz w:val="21"/>
          <w:szCs w:val="21"/>
          <w:highlight w:val="none"/>
          <w:lang w:eastAsia="zh-CN"/>
        </w:rPr>
        <w:t xml:space="preserve">连云港市连云区住房和城乡建设局</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  </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lang w:val="en-US" w:eastAsia="zh-CN"/>
        </w:rPr>
        <w:t xml:space="preserve">连云区连云新城广州路88号</w:t>
      </w:r>
      <w:r/>
    </w:p>
    <w:p>
      <w:pPr>
        <w:pStyle w:val="82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单位名称：连云港博雅物业管理服务评估监理有限公司</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b w:val="0"/>
          <w:bCs w:val="0"/>
          <w:spacing w:val="-4"/>
          <w:sz w:val="21"/>
          <w:szCs w:val="21"/>
          <w:highlight w:val="none"/>
          <w:lang w:eastAsia="zh-CN"/>
        </w:rPr>
        <w:t xml:space="preserve">中国（江苏）自由贸易试验区连云港片区海滨大道阳光国际中心D8-1室</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宋</w:t>
      </w:r>
      <w:r>
        <w:rPr>
          <w:rFonts w:hint="eastAsia" w:ascii="宋体" w:hAnsi="宋体" w:eastAsia="宋体" w:cs="宋体"/>
          <w:color w:val="auto"/>
          <w:sz w:val="21"/>
          <w:szCs w:val="21"/>
          <w:highlight w:val="none"/>
          <w:lang w:eastAsia="zh-CN"/>
        </w:rPr>
        <w:t xml:space="preserve">工</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b w:val="0"/>
          <w:bCs w:val="0"/>
          <w:spacing w:val="-4"/>
          <w:sz w:val="21"/>
          <w:szCs w:val="21"/>
          <w:highlight w:val="none"/>
          <w:lang w:val="en-US" w:eastAsia="zh-CN"/>
        </w:rPr>
        <w:t xml:space="preserve">17751860035</w:t>
      </w:r>
      <w:r/>
    </w:p>
    <w:p>
      <w:pPr>
        <w:pStyle w:val="82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王先生  </w:t>
      </w:r>
      <w:r/>
    </w:p>
    <w:p>
      <w:pPr>
        <w:pStyle w:val="82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15950755985</w:t>
      </w:r>
      <w:r/>
    </w:p>
    <w:p>
      <w:pPr>
        <w:pStyle w:val="845"/>
        <w:keepLines w:val="0"/>
        <w:keepNext w:val="0"/>
        <w:pageBreakBefore w:val="0"/>
        <w:spacing w:line="480" w:lineRule="exact"/>
        <w:rPr>
          <w:rFonts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bidi="ar-SA"/>
        </w:rPr>
        <w:t xml:space="preserve">                    2026年09月20日</w:t>
      </w:r>
      <w:r/>
    </w:p>
    <w:p>
      <w:pPr>
        <w:rPr>
          <w:color w:val="auto"/>
          <w:highlight w:val="none"/>
        </w:rPr>
      </w:pPr>
      <w:r/>
      <w:bookmarkStart w:id="86" w:name="_Toc513029209"/>
      <w:r/>
      <w:bookmarkStart w:id="87" w:name="_Toc61149549"/>
      <w:r/>
      <w:bookmarkStart w:id="88" w:name="_Toc14577347"/>
      <w:r/>
      <w:r/>
    </w:p>
    <w:p>
      <w:pPr>
        <w:pStyle w:val="778"/>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spacing w:before="120" w:after="120" w:line="360" w:lineRule="auto"/>
        <w:rPr>
          <w:rFonts w:ascii="黑体" w:hAnsi="黑体" w:eastAsia="黑体" w:cs="宋体"/>
          <w:bCs/>
          <w:color w:val="auto"/>
          <w:szCs w:val="21"/>
          <w:highlight w:val="none"/>
        </w:rPr>
        <w:outlineLvl w:val="1"/>
      </w:pPr>
      <w:r/>
      <w:bookmarkStart w:id="90" w:name="_Toc25775"/>
      <w:r/>
      <w:bookmarkStart w:id="91" w:name="_Toc16938553"/>
      <w:r/>
      <w:bookmarkStart w:id="92" w:name="_Toc20823309"/>
      <w:r/>
      <w:bookmarkStart w:id="93" w:name="_Toc513029237"/>
      <w:r>
        <w:rPr>
          <w:rFonts w:hint="eastAsia" w:ascii="黑体" w:hAnsi="黑体" w:eastAsia="黑体" w:cs="宋体"/>
          <w:bCs/>
          <w:color w:val="auto"/>
          <w:szCs w:val="21"/>
          <w:highlight w:val="none"/>
        </w:rPr>
        <w:t xml:space="preserve">一、总则</w:t>
      </w:r>
      <w:bookmarkEnd w:id="9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21"/>
        <w:contextualSpacing/>
        <w:ind w:firstLine="422"/>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55</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16938527"/>
      <w:r/>
      <w:bookmarkStart w:id="95" w:name="_Toc462564070"/>
      <w:r/>
      <w:bookmarkStart w:id="96" w:name="_Toc20823283"/>
      <w:r/>
      <w:bookmarkStart w:id="97" w:name="_Toc513029211"/>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spacing w:before="120" w:after="120" w:line="360" w:lineRule="auto"/>
        <w:rPr>
          <w:rFonts w:ascii="黑体" w:hAnsi="黑体" w:eastAsia="黑体" w:cs="宋体"/>
          <w:bCs/>
          <w:color w:val="auto"/>
          <w:szCs w:val="21"/>
          <w:highlight w:val="none"/>
        </w:rPr>
        <w:outlineLvl w:val="1"/>
      </w:pPr>
      <w:r/>
      <w:bookmarkStart w:id="98" w:name="_Hlt26670345"/>
      <w:r/>
      <w:bookmarkEnd w:id="98"/>
      <w:r/>
      <w:bookmarkStart w:id="99" w:name="_Hlt26670354"/>
      <w:r/>
      <w:bookmarkEnd w:id="99"/>
      <w:r/>
      <w:bookmarkStart w:id="100" w:name="_Hlt26954832"/>
      <w:r/>
      <w:bookmarkEnd w:id="100"/>
      <w:r/>
      <w:bookmarkStart w:id="101" w:name="_Hlt26954828"/>
      <w:r/>
      <w:bookmarkEnd w:id="101"/>
      <w:r/>
      <w:bookmarkStart w:id="102" w:name="_Hlt26670348"/>
      <w:r/>
      <w:bookmarkEnd w:id="102"/>
      <w:r/>
      <w:bookmarkStart w:id="103" w:name="_Hlt26668969"/>
      <w:r/>
      <w:bookmarkEnd w:id="103"/>
      <w:r/>
      <w:bookmarkStart w:id="104" w:name="_Hlt26954830"/>
      <w:r/>
      <w:bookmarkEnd w:id="104"/>
      <w:r/>
      <w:bookmarkStart w:id="105" w:name="_Toc462564072"/>
      <w:r/>
      <w:bookmarkStart w:id="106" w:name="_Toc14577351"/>
      <w:r/>
      <w:bookmarkStart w:id="107" w:name="_Toc61149553"/>
      <w:r/>
      <w:bookmarkStart w:id="108" w:name="_Toc513029213"/>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spacing w:line="360" w:lineRule="auto"/>
        <w:tabs>
          <w:tab w:val="left" w:pos="900" w:leader="none"/>
        </w:tabs>
        <w:rPr>
          <w:rFonts w:ascii="宋体" w:hAnsi="宋体"/>
          <w:color w:val="auto"/>
          <w:szCs w:val="21"/>
          <w:highlight w:val="none"/>
        </w:rPr>
      </w:pPr>
      <w:r/>
      <w:bookmarkStart w:id="110" w:name="_Hlt26954834"/>
      <w:r/>
      <w:bookmarkEnd w:id="110"/>
      <w:r/>
      <w:bookmarkStart w:id="111" w:name="_Toc513029215"/>
      <w:r/>
      <w:bookmarkStart w:id="112" w:name="_Toc14577353"/>
      <w:r/>
      <w:bookmarkStart w:id="113" w:name="_Toc462564074"/>
      <w:r/>
      <w:bookmarkStart w:id="114" w:name="_Toc61149555"/>
      <w:r/>
      <w:bookmarkStart w:id="115" w:name="_Toc513029214"/>
      <w:r/>
      <w:bookmarkStart w:id="116" w:name="_Toc61149554"/>
      <w:r/>
      <w:bookmarkStart w:id="117" w:name="_Toc462564073"/>
      <w:r/>
      <w:bookmarkStart w:id="118" w:name="_Toc14577352"/>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19" w:name="_Hlt26954836"/>
      <w:r/>
      <w:bookmarkEnd w:id="119"/>
      <w:r/>
      <w:bookmarkStart w:id="120" w:name="_Hlt26670357"/>
      <w:r/>
      <w:bookmarkEnd w:id="120"/>
      <w:r/>
      <w:bookmarkStart w:id="121" w:name="_Toc14577357"/>
      <w:r/>
      <w:bookmarkStart w:id="122" w:name="_Toc61149558"/>
      <w:r/>
      <w:bookmarkStart w:id="123" w:name="_Toc513029219"/>
      <w:r/>
      <w:bookmarkStart w:id="124" w:name="_Toc61149557"/>
      <w:r/>
      <w:bookmarkStart w:id="125" w:name="_Toc513029217"/>
      <w:r/>
      <w:bookmarkStart w:id="126" w:name="_Toc14577355"/>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bookmarkEnd w:id="124"/>
      <w:bookmarkEnd w:id="125"/>
      <w:bookmarkEnd w:id="126"/>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w:t>
      </w:r>
      <w:r>
        <w:rPr>
          <w:rFonts w:hint="eastAsia" w:ascii="宋体" w:hAnsi="宋体" w:eastAsia="宋体" w:cs="宋体"/>
          <w:color w:val="auto"/>
          <w:sz w:val="21"/>
          <w:szCs w:val="21"/>
          <w:highlight w:val="none"/>
          <w:u w:val="none"/>
          <w:lang w:val="en-US" w:eastAsia="zh-CN" w:bidi="ar-SA"/>
        </w:rPr>
        <w:t xml:space="preserve">《工程量清单项目计量标准(2024-江苏)》、《建设工程工程量清单计价标准》（GB/T 50500-2024）及9本对应专业工程量计算标准、《江苏省市政工程消耗量》(2026版)、《江苏省仿古建筑与园林工程计价表》、《江苏省建设工程施工机具台班费用编制参考表》（2026 版）《江苏省建设工程费用组成规则》(2026版)、《江苏省建设工程费用参考》(2026版))及</w:t>
      </w:r>
      <w:r>
        <w:rPr>
          <w:rFonts w:hint="eastAsia" w:ascii="宋体" w:hAnsi="宋体"/>
          <w:color w:val="auto"/>
          <w:szCs w:val="21"/>
          <w:highlight w:val="none"/>
        </w:rPr>
        <w:t xml:space="preserve">近期的《建设工程材料信息价》。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539"/>
        <w:spacing w:line="360" w:lineRule="auto"/>
        <w:rPr>
          <w:rFonts w:hint="eastAsia" w:ascii="宋体" w:hAnsi="宋体" w:eastAsia="宋体" w:cs="宋体"/>
          <w:b/>
          <w:bCs/>
          <w:color w:val="auto"/>
          <w:szCs w:val="22"/>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w:t>
      </w:r>
      <w:r>
        <w:rPr>
          <w:rFonts w:hint="eastAsia" w:ascii="宋体" w:hAnsi="宋体" w:eastAsia="宋体" w:cs="宋体"/>
          <w:b/>
          <w:bCs/>
          <w:color w:val="auto"/>
          <w:szCs w:val="22"/>
          <w:highlight w:val="none"/>
        </w:rPr>
        <w:t xml:space="preserve">通用措施项目</w:t>
      </w:r>
      <w:r>
        <w:rPr>
          <w:rFonts w:hint="eastAsia" w:ascii="宋体" w:hAnsi="宋体" w:eastAsia="宋体" w:cs="宋体"/>
          <w:b/>
          <w:bCs/>
          <w:color w:val="auto"/>
          <w:szCs w:val="22"/>
          <w:highlight w:val="none"/>
          <w:lang w:eastAsia="zh-CN"/>
        </w:rPr>
        <w:t xml:space="preserve">中</w:t>
      </w:r>
      <w:r>
        <w:rPr>
          <w:rFonts w:hint="eastAsia" w:ascii="宋体" w:hAnsi="宋体" w:eastAsia="宋体" w:cs="宋体"/>
          <w:b/>
          <w:bCs/>
          <w:color w:val="auto"/>
          <w:szCs w:val="22"/>
          <w:highlight w:val="none"/>
        </w:rPr>
        <w:t xml:space="preserve">安全生产费用单独列项，依据《企业安全生产费用提取和使用管理办法》（财资〔2022〕136 号）及有关文件规定足额计取。投标人报价不得下浮、删减，具体计取费率如下：</w:t>
      </w:r>
      <w:r/>
    </w:p>
    <w:p>
      <w:pPr>
        <w:ind w:firstLine="542"/>
        <w:spacing w:line="360"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（1）房屋建筑与装饰工程：一般计税费率3.8%；</w:t>
      </w:r>
      <w:r/>
    </w:p>
    <w:p>
      <w:pPr>
        <w:ind w:firstLine="542"/>
        <w:spacing w:line="360"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（2）通用安装工程：一般计税费率2.9%；</w:t>
      </w:r>
      <w:r/>
    </w:p>
    <w:p>
      <w:pPr>
        <w:ind w:firstLine="542"/>
        <w:spacing w:line="360"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（3）市政工程：一般计税费率1.9%；</w:t>
      </w:r>
      <w:r/>
    </w:p>
    <w:p>
      <w:pPr>
        <w:ind w:firstLine="542"/>
        <w:spacing w:line="360"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（4）园林绿化工程：一般计税费率0.9%。</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28" w:name="_Hlt26954844"/>
      <w:r/>
      <w:bookmarkEnd w:id="128"/>
      <w:r/>
      <w:bookmarkStart w:id="129" w:name="_Hlt26670403"/>
      <w:r/>
      <w:bookmarkEnd w:id="129"/>
      <w:r/>
      <w:bookmarkStart w:id="130" w:name="_Hlt26954846"/>
      <w:r/>
      <w:bookmarkEnd w:id="130"/>
      <w:r/>
      <w:bookmarkStart w:id="131" w:name="_Hlt26670486"/>
      <w:r/>
      <w:bookmarkEnd w:id="131"/>
      <w:r/>
      <w:bookmarkStart w:id="132" w:name="_Hlt26668983"/>
      <w:r/>
      <w:bookmarkEnd w:id="132"/>
      <w:r/>
      <w:bookmarkStart w:id="133" w:name="_Hlt26670425"/>
      <w:r/>
      <w:bookmarkEnd w:id="133"/>
      <w:r/>
      <w:bookmarkStart w:id="134" w:name="_Hlt26954848"/>
      <w:r/>
      <w:bookmarkEnd w:id="134"/>
      <w:r/>
      <w:bookmarkStart w:id="135" w:name="_Hlt26670482"/>
      <w:r/>
      <w:bookmarkEnd w:id="135"/>
      <w:r/>
      <w:bookmarkStart w:id="136" w:name="_Hlt26954842"/>
      <w:r/>
      <w:bookmarkEnd w:id="136"/>
      <w:r/>
      <w:bookmarkStart w:id="137" w:name="_Hlt26954731"/>
      <w:r/>
      <w:bookmarkEnd w:id="137"/>
      <w:r/>
      <w:bookmarkStart w:id="138" w:name="_Toc14577359"/>
      <w:r/>
      <w:bookmarkStart w:id="139" w:name="_Toc513029221"/>
      <w:r/>
      <w:bookmarkStart w:id="140" w:name="_Toc61149559"/>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1" w:name="_Hlt26954739"/>
      <w:r/>
      <w:bookmarkEnd w:id="141"/>
      <w:r/>
      <w:bookmarkStart w:id="142" w:name="_Hlt26670489"/>
      <w:r/>
      <w:bookmarkEnd w:id="142"/>
      <w:r/>
      <w:bookmarkStart w:id="143" w:name="_Hlt26954749"/>
      <w:r/>
      <w:bookmarkEnd w:id="143"/>
      <w:r/>
      <w:bookmarkStart w:id="144" w:name="_Hlt26954852"/>
      <w:r/>
      <w:bookmarkEnd w:id="144"/>
      <w:r/>
      <w:bookmarkStart w:id="145" w:name="_Hlt26670493"/>
      <w:r/>
      <w:bookmarkEnd w:id="145"/>
      <w:r/>
      <w:bookmarkStart w:id="146" w:name="_Hlt26954850"/>
      <w:r/>
      <w:bookmarkEnd w:id="146"/>
      <w:r/>
      <w:bookmarkStart w:id="147" w:name="_Hlt26954734"/>
      <w:r/>
      <w:bookmarkEnd w:id="147"/>
      <w:r/>
      <w:bookmarkStart w:id="148" w:name="_Hlt26954854"/>
      <w:r/>
      <w:bookmarkEnd w:id="148"/>
      <w:r/>
      <w:bookmarkStart w:id="149" w:name="_Toc1959"/>
      <w:r/>
      <w:bookmarkStart w:id="150" w:name="_Toc513029224"/>
      <w:r/>
      <w:bookmarkStart w:id="151" w:name="_Toc14577362"/>
      <w:r/>
      <w:bookmarkStart w:id="152" w:name="_Toc61149562"/>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4" w:name="_Hlt26954864"/>
      <w:r/>
      <w:bookmarkEnd w:id="154"/>
      <w:r/>
      <w:bookmarkStart w:id="155" w:name="_Hlt26670523"/>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spacing w:line="360" w:lineRule="auto"/>
        <w:tabs>
          <w:tab w:val="left" w:pos="900" w:leader="none"/>
        </w:tabs>
        <w:rPr>
          <w:rFonts w:hint="eastAsia" w:ascii="宋体" w:hAnsi="宋体"/>
          <w:color w:val="auto"/>
          <w:szCs w:val="21"/>
          <w:highlight w:val="none"/>
        </w:rPr>
      </w:pPr>
      <w:r/>
      <w:bookmarkStart w:id="157" w:name="_Toc20823302"/>
      <w:r/>
      <w:bookmarkStart w:id="158" w:name="_Toc513029230"/>
      <w:r/>
      <w:bookmarkStart w:id="159" w:name="_Toc16938546"/>
      <w:r/>
      <w:bookmarkStart w:id="160" w:name="_Toc16938551"/>
      <w:r/>
      <w:bookmarkStart w:id="161" w:name="_Toc513029235"/>
      <w:r/>
      <w:bookmarkStart w:id="162" w:name="_Toc20823307"/>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color w:val="auto"/>
          <w:szCs w:val="21"/>
          <w:highlight w:val="none"/>
        </w:rPr>
      </w:pPr>
      <w:r/>
      <w:bookmarkStart w:id="163" w:name="_Toc513029231"/>
      <w:r/>
      <w:bookmarkStart w:id="164" w:name="_Toc16938547"/>
      <w:r/>
      <w:bookmarkStart w:id="165" w:name="_Toc20823303"/>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color w:val="auto"/>
          <w:szCs w:val="21"/>
          <w:highlight w:val="none"/>
        </w:rPr>
      </w:pPr>
      <w:r/>
      <w:bookmarkStart w:id="166" w:name="_Toc513029232"/>
      <w:r/>
      <w:bookmarkStart w:id="167" w:name="_Toc20823304"/>
      <w:r/>
      <w:bookmarkStart w:id="168" w:name="_Toc16938548"/>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color w:val="auto"/>
          <w:szCs w:val="21"/>
          <w:highlight w:val="none"/>
        </w:rPr>
      </w:pPr>
      <w:r/>
      <w:bookmarkStart w:id="169" w:name="_Toc16938549"/>
      <w:r/>
      <w:bookmarkStart w:id="170" w:name="_Toc20823305"/>
      <w:r/>
      <w:bookmarkStart w:id="171" w:name="_Toc513029233"/>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21"/>
        <w:contextualSpacing/>
        <w:ind w:firstLine="422"/>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2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21"/>
        <w:contextualSpacing/>
        <w:ind w:firstLine="422"/>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color w:val="auto"/>
          <w:szCs w:val="21"/>
          <w:highlight w:val="none"/>
        </w:rPr>
      </w:pPr>
      <w:r/>
      <w:bookmarkStart w:id="172" w:name="_Toc16938550"/>
      <w:r/>
      <w:bookmarkStart w:id="173" w:name="_Toc513029234"/>
      <w:r/>
      <w:bookmarkStart w:id="174" w:name="_Toc20823306"/>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spacing w:line="360" w:lineRule="auto"/>
        <w:tabs>
          <w:tab w:val="left" w:pos="900" w:leader="none"/>
        </w:tabs>
        <w:rPr>
          <w:rFonts w:ascii="宋体" w:hAnsi="宋体"/>
          <w:color w:val="auto"/>
          <w:szCs w:val="21"/>
          <w:highlight w:val="none"/>
        </w:rPr>
      </w:pPr>
      <w:r/>
      <w:bookmarkStart w:id="176" w:name="_Toc513029238"/>
      <w:r/>
      <w:bookmarkStart w:id="177" w:name="_Toc20823310"/>
      <w:r/>
      <w:bookmarkStart w:id="178" w:name="_Toc16938554"/>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997"/>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513622228"/>
      <w:r/>
      <w:bookmarkStart w:id="182" w:name="_Toc32045"/>
      <w:r/>
      <w:bookmarkStart w:id="183" w:name="_Toc139967211"/>
      <w:r/>
      <w:bookmarkStart w:id="184" w:name="_Toc139966427"/>
      <w:r/>
      <w:r/>
    </w:p>
    <w:p>
      <w:pPr>
        <w:pStyle w:val="793"/>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089"/>
        <w:ind w:firstLine="0"/>
        <w:jc w:val="center"/>
        <w:rPr>
          <w:rFonts w:hAnsi="宋体" w:cs="宋体"/>
          <w:b/>
          <w:bCs/>
          <w:color w:val="auto"/>
          <w:sz w:val="21"/>
          <w:szCs w:val="21"/>
          <w:highlight w:val="none"/>
        </w:rPr>
      </w:pPr>
      <w:r>
        <w:rPr>
          <w:rFonts w:hint="eastAsia" w:hAnsi="宋体" w:cs="宋体"/>
          <w:b/>
          <w:bCs/>
          <w:color w:val="auto"/>
          <w:sz w:val="21"/>
          <w:szCs w:val="21"/>
          <w:highlight w:val="none"/>
        </w:rPr>
        <w:t xml:space="preserve">第一部分  协议书格式</w:t>
      </w:r>
      <w:r/>
    </w:p>
    <w:p>
      <w:pPr>
        <w:pStyle w:val="1089"/>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小官山滨海森林步道增加附属设施项目</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小官山滨海森林步道增加附属设施项目</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eastAsia="宋体" w:cs="宋体"/>
          <w:sz w:val="21"/>
          <w:szCs w:val="21"/>
          <w:u w:val="single"/>
          <w:lang w:eastAsia="zh-CN"/>
        </w:rPr>
        <w:t xml:space="preserve">连云区</w:t>
      </w:r>
      <w:r>
        <w:rPr>
          <w:rFonts w:hint="eastAsia" w:ascii="宋体" w:hAnsi="宋体" w:cs="宋体"/>
          <w:sz w:val="21"/>
          <w:szCs w:val="21"/>
          <w:u w:val="single"/>
          <w:lang w:val="en-US" w:eastAsia="zh-CN"/>
        </w:rPr>
        <w:t xml:space="preserve">小官山</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ascii="Times New Roman" w:hAnsi="Times New Roman" w:eastAsia="宋体" w:cs="Times New Roman"/>
          <w:bCs/>
          <w:sz w:val="21"/>
          <w:szCs w:val="21"/>
          <w:highlight w:val="none"/>
          <w:u w:val="single"/>
          <w:lang w:val="en-US" w:eastAsia="zh-CN"/>
        </w:rPr>
        <w:t xml:space="preserve"> </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cs="宋体"/>
          <w:sz w:val="21"/>
          <w:szCs w:val="21"/>
          <w:u w:val="single"/>
          <w:lang w:eastAsia="zh-CN"/>
        </w:rPr>
        <w:t xml:space="preserve">小官山滨海森林步道增加附属设施项目</w:t>
      </w:r>
      <w:r>
        <w:rPr>
          <w:rFonts w:hint="eastAsia" w:ascii="宋体" w:hAnsi="宋体" w:eastAsia="宋体" w:cs="宋体"/>
          <w:sz w:val="21"/>
          <w:szCs w:val="21"/>
          <w:u w:val="single"/>
          <w:lang w:eastAsia="zh-CN"/>
        </w:rPr>
        <w:t xml:space="preserve">施工</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39"/>
          <w:rFonts w:hint="eastAsia" w:cs="Times New Roman"/>
          <w:sz w:val="21"/>
          <w:szCs w:val="21"/>
          <w:highlight w:val="none"/>
          <w:lang w:val="en-US" w:eastAsia="zh-CN"/>
        </w:rPr>
        <w:t xml:space="preserve">谈判</w:t>
      </w:r>
      <w:r>
        <w:rPr>
          <w:rStyle w:val="839"/>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连云港市连云区</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45"/>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45"/>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45"/>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091"/>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091"/>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91"/>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第二部分 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第三部分 专用合同条款</w:t>
      </w:r>
      <w:r/>
    </w:p>
    <w:p>
      <w:pPr>
        <w:ind w:firstLine="480"/>
        <w:rPr>
          <w:rFonts w:hint="eastAsia" w:ascii="宋体" w:hAnsi="宋体" w:cs="宋体"/>
          <w:color w:val="auto"/>
          <w:highlight w:val="none"/>
        </w:rPr>
      </w:pPr>
      <w:r>
        <w:rPr>
          <w:rFonts w:hint="eastAsia" w:ascii="宋体" w:hAnsi="宋体" w:cs="宋体"/>
          <w:color w:val="auto"/>
          <w:highlight w:val="none"/>
        </w:rPr>
      </w:r>
      <w:r/>
    </w:p>
    <w:p>
      <w:pPr>
        <w:spacing w:line="360" w:lineRule="auto"/>
        <w:widowControl/>
        <w:rPr>
          <w:rFonts w:hint="eastAsia" w:ascii="宋体" w:hAnsi="宋体" w:eastAsia="宋体" w:cs="宋体"/>
          <w:b/>
          <w:color w:val="auto"/>
          <w:sz w:val="21"/>
          <w:szCs w:val="21"/>
          <w:highlight w:val="none"/>
        </w:rPr>
      </w:pPr>
      <w:r/>
      <w:bookmarkStart w:id="199" w:name="_Toc351203633"/>
      <w:r>
        <w:rPr>
          <w:rFonts w:hint="eastAsia" w:ascii="宋体" w:hAnsi="宋体" w:eastAsia="宋体" w:cs="宋体"/>
          <w:b/>
          <w:color w:val="auto"/>
          <w:sz w:val="21"/>
          <w:szCs w:val="21"/>
          <w:highlight w:val="none"/>
        </w:rPr>
        <w:t xml:space="preserve">1</w:t>
      </w:r>
      <w:bookmarkStart w:id="200" w:name="_Toc296944495"/>
      <w:r/>
      <w:bookmarkStart w:id="201" w:name="_Toc297120456"/>
      <w:r/>
      <w:bookmarkStart w:id="202" w:name="_Toc292559361"/>
      <w:r/>
      <w:bookmarkStart w:id="203" w:name="_Toc296891196"/>
      <w:r/>
      <w:bookmarkStart w:id="204" w:name="_Toc296346657"/>
      <w:r/>
      <w:bookmarkStart w:id="205" w:name="_Toc297048342"/>
      <w:r/>
      <w:bookmarkStart w:id="206" w:name="_Toc296503156"/>
      <w:r/>
      <w:bookmarkStart w:id="207" w:name="_Toc296890984"/>
      <w:r/>
      <w:bookmarkStart w:id="208" w:name="_Toc296347155"/>
      <w:r/>
      <w:bookmarkStart w:id="209" w:name="_Toc292559866"/>
      <w:r>
        <w:rPr>
          <w:rFonts w:hint="eastAsia" w:ascii="宋体" w:hAnsi="宋体" w:eastAsia="宋体" w:cs="宋体"/>
          <w:b/>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词语定义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1.1.1.10合同文件包括：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 本合同协议书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 中标通知书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⑶招标文件及相关补充通知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⑷投标书及其附件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⑸本合同专用条款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⑹本合同通用条款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⑺标准、规范及有关技术文件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⑻图纸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⑼工程量清单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(10)工程报价单或预算书。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规章等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b/>
          <w:color w:val="auto"/>
          <w:sz w:val="21"/>
          <w:szCs w:val="21"/>
          <w:highlight w:val="none"/>
          <w:u w:val="single"/>
        </w:rPr>
        <w:t xml:space="preserve"> 国家、地方相关的现行标准、规范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合同文件的优先顺序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1）合同协议书；（2）中标通知书；（3）招标文件及相关补充文件；（4）投标函及其附录；（5）专用合同条款及其附件；（6）技术标准和要求；（7）图纸及变更资料；（8）已标价工程量清单；（9）通用合同条款；（10）其他合同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4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在合同订立及履行过程中形成的与合同有关的文件均构成合同文件组成部分，并根据其性质确定优先解释顺序。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b/>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b/>
          <w:color w:val="auto"/>
          <w:sz w:val="21"/>
          <w:szCs w:val="21"/>
          <w:highlight w:val="none"/>
          <w:u w:val="single"/>
        </w:rPr>
        <w:t xml:space="preserve">/。</w:t>
      </w:r>
      <w:r/>
    </w:p>
    <w:p>
      <w:pPr>
        <w:ind w:firstLine="420"/>
        <w:spacing w:after="120" w:line="360" w:lineRule="auto"/>
        <w:rPr>
          <w:rFonts w:hint="eastAsia" w:ascii="宋体" w:hAnsi="宋体" w:eastAsia="宋体" w:cs="宋体"/>
          <w:color w:val="000000"/>
          <w:sz w:val="21"/>
          <w:szCs w:val="21"/>
          <w:highlight w:val="none"/>
        </w:rPr>
        <w:outlineLvl w:val="0"/>
      </w:pPr>
      <w:r/>
      <w:bookmarkStart w:id="210" w:name="_Toc10749"/>
      <w:r>
        <w:rPr>
          <w:rFonts w:hint="eastAsia" w:ascii="宋体" w:hAnsi="宋体" w:eastAsia="宋体" w:cs="宋体"/>
          <w:color w:val="000000"/>
          <w:sz w:val="21"/>
          <w:szCs w:val="21"/>
          <w:highlight w:val="none"/>
        </w:rPr>
        <w:t xml:space="preserve">1.7 联络</w:t>
      </w:r>
      <w:bookmarkEnd w:id="21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1.7.1发</w:t>
      </w:r>
      <w:r>
        <w:rPr>
          <w:rFonts w:hint="eastAsia" w:ascii="宋体" w:hAnsi="宋体" w:eastAsia="宋体" w:cs="宋体"/>
          <w:color w:val="auto"/>
          <w:sz w:val="21"/>
          <w:szCs w:val="21"/>
          <w:highlight w:val="none"/>
        </w:rPr>
        <w:t xml:space="preserve">包人和承包人应当在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lang w:eastAsia="zh-CN"/>
        </w:rPr>
        <w:t xml:space="preserve">工地办公室</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发包人代表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项目负责人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 交通运输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1" w:name="_Toc318581155"/>
      <w:r/>
      <w:bookmarkStart w:id="212" w:name="_Toc300934943"/>
      <w:r/>
      <w:bookmarkStart w:id="213" w:name="_Toc312677986"/>
      <w:r/>
      <w:bookmarkStart w:id="214" w:name="_Toc304295521"/>
      <w:r/>
      <w:bookmarkStart w:id="215" w:name="_Toc303539100"/>
      <w:r>
        <w:rPr>
          <w:rFonts w:hint="eastAsia" w:ascii="宋体" w:hAnsi="宋体" w:eastAsia="宋体" w:cs="宋体"/>
          <w:color w:val="auto"/>
          <w:sz w:val="21"/>
          <w:szCs w:val="21"/>
          <w:highlight w:val="none"/>
        </w:rPr>
        <w:t xml:space="preserve">.10.1 出入现场的权利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由承包人按发包人要求负责取得出入施工现场所需的批准手续和全部权利</w:t>
      </w:r>
      <w:r>
        <w:rPr>
          <w:rFonts w:hint="eastAsia" w:ascii="宋体" w:hAnsi="宋体" w:eastAsia="宋体" w:cs="宋体"/>
          <w:b/>
          <w:color w:val="auto"/>
          <w:sz w:val="21"/>
          <w:szCs w:val="21"/>
          <w:highlight w:val="none"/>
          <w:u w:val="single"/>
          <w:lang w:eastAsia="zh-CN"/>
        </w:rPr>
        <w:t xml:space="preserve">,由此产生的全部费用由承包人自行承担</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1"/>
      <w:r/>
      <w:bookmarkEnd w:id="212"/>
      <w:r/>
      <w:bookmarkEnd w:id="213"/>
      <w:r/>
      <w:bookmarkEnd w:id="214"/>
      <w:r/>
      <w:bookmarkEnd w:id="215"/>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6" w:name="_Toc318581156"/>
      <w:r/>
      <w:bookmarkStart w:id="217" w:name="_Toc312677987"/>
      <w:r/>
      <w:bookmarkStart w:id="218" w:name="_Toc300934944"/>
      <w:r/>
      <w:bookmarkStart w:id="219" w:name="_Toc304295522"/>
      <w:r/>
      <w:bookmarkStart w:id="220" w:name="_Toc303539101"/>
      <w:r>
        <w:rPr>
          <w:rFonts w:hint="eastAsia" w:ascii="宋体" w:hAnsi="宋体" w:eastAsia="宋体" w:cs="宋体"/>
          <w:color w:val="auto"/>
          <w:sz w:val="21"/>
          <w:szCs w:val="21"/>
          <w:highlight w:val="none"/>
        </w:rPr>
        <w:t xml:space="preserve">.10.3 场内交通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双方另行确定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6"/>
      <w:r/>
      <w:bookmarkEnd w:id="217"/>
      <w:r/>
      <w:bookmarkEnd w:id="218"/>
      <w:r/>
      <w:bookmarkEnd w:id="219"/>
      <w:r/>
      <w:bookmarkEnd w:id="220"/>
      <w:r/>
      <w:bookmarkStart w:id="221" w:name="_Toc31858115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承担。</w:t>
      </w:r>
      <w:bookmarkEnd w:id="221"/>
      <w:r/>
      <w:r/>
    </w:p>
    <w:p>
      <w:pPr>
        <w:ind w:firstLine="420"/>
        <w:spacing w:after="120" w:line="360" w:lineRule="auto"/>
        <w:rPr>
          <w:rFonts w:hint="eastAsia" w:ascii="宋体" w:hAnsi="宋体" w:eastAsia="宋体" w:cs="宋体"/>
          <w:color w:val="auto"/>
          <w:sz w:val="21"/>
          <w:szCs w:val="21"/>
          <w:highlight w:val="none"/>
        </w:rPr>
        <w:outlineLvl w:val="0"/>
      </w:pPr>
      <w:r/>
      <w:bookmarkStart w:id="222" w:name="_Toc7924"/>
      <w:r/>
      <w:bookmarkStart w:id="223" w:name="_Toc351203634"/>
      <w:r>
        <w:rPr>
          <w:rFonts w:hint="eastAsia" w:ascii="宋体" w:hAnsi="宋体" w:eastAsia="宋体" w:cs="宋体"/>
          <w:color w:val="auto"/>
          <w:sz w:val="21"/>
          <w:szCs w:val="21"/>
          <w:highlight w:val="none"/>
        </w:rPr>
        <w:t xml:space="preserve">1.11 知识产权</w:t>
      </w:r>
      <w:bookmarkEnd w:id="22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rPr>
        <w:t xml:space="preserve">   归发包人所有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lang w:val="en-US" w:eastAsia="zh-CN"/>
        </w:rPr>
        <w:t xml:space="preserve"> 归发包人所有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不予调整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lang w:val="en-US" w:eastAsia="zh-CN"/>
        </w:rPr>
        <w:t xml:space="preserve">  不予调整 </w:t>
      </w:r>
      <w:r>
        <w:rPr>
          <w:rFonts w:hint="eastAsia" w:ascii="宋体" w:hAnsi="宋体" w:eastAsia="宋体" w:cs="宋体"/>
          <w:color w:val="auto"/>
          <w:sz w:val="21"/>
          <w:szCs w:val="21"/>
          <w:highlight w:val="none"/>
          <w:u w:val="single"/>
        </w:rPr>
        <w:t xml:space="preserve">。</w:t>
      </w:r>
      <w:r/>
    </w:p>
    <w:p>
      <w:pPr>
        <w:keepLines/>
        <w:keepNext/>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2</w:t>
      </w:r>
      <w:bookmarkStart w:id="224" w:name="_Toc296944496"/>
      <w:r/>
      <w:bookmarkStart w:id="225" w:name="_Toc296503157"/>
      <w:r/>
      <w:bookmarkStart w:id="226" w:name="_Toc297120457"/>
      <w:r/>
      <w:bookmarkStart w:id="227" w:name="_Toc296347156"/>
      <w:r/>
      <w:bookmarkStart w:id="228" w:name="_Toc296346658"/>
      <w:r/>
      <w:bookmarkStart w:id="229" w:name="_Toc292559867"/>
      <w:r/>
      <w:bookmarkStart w:id="230" w:name="_Toc296890985"/>
      <w:r/>
      <w:bookmarkStart w:id="231" w:name="_Toc292559362"/>
      <w:r/>
      <w:bookmarkStart w:id="232" w:name="_Toc297048343"/>
      <w:r/>
      <w:bookmarkStart w:id="233" w:name="_Toc296891197"/>
      <w:r>
        <w:rPr>
          <w:rFonts w:hint="eastAsia" w:ascii="宋体" w:hAnsi="宋体" w:eastAsia="宋体" w:cs="宋体"/>
          <w:color w:val="auto"/>
          <w:sz w:val="21"/>
          <w:szCs w:val="28"/>
          <w:highlight w:val="none"/>
        </w:rPr>
        <w:t xml:space="preserve">. 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发包人代表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协调施工现场各方面的关系，协调工程质量，进度和安全文明施工中存在的问题等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施工现场、施工条件和基础资料的提供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b/>
          <w:color w:val="auto"/>
          <w:sz w:val="21"/>
          <w:szCs w:val="21"/>
          <w:highlight w:val="none"/>
          <w:u w:val="single"/>
        </w:rPr>
        <w:t xml:space="preserve">施工场地满足开工条件</w:t>
      </w:r>
      <w:r>
        <w:rPr>
          <w:rFonts w:hint="eastAsia" w:ascii="宋体" w:hAnsi="宋体" w:eastAsia="宋体" w:cs="宋体"/>
          <w:b/>
          <w:color w:val="auto"/>
          <w:sz w:val="21"/>
          <w:szCs w:val="21"/>
          <w:highlight w:val="none"/>
          <w:u w:val="single"/>
          <w:lang w:eastAsia="zh-CN"/>
        </w:rPr>
        <w:t xml:space="preserve">（开工前</w:t>
      </w:r>
      <w:r>
        <w:rPr>
          <w:rFonts w:hint="eastAsia" w:ascii="宋体" w:hAnsi="宋体" w:eastAsia="宋体" w:cs="宋体"/>
          <w:b/>
          <w:color w:val="auto"/>
          <w:sz w:val="21"/>
          <w:szCs w:val="21"/>
          <w:highlight w:val="none"/>
          <w:u w:val="single"/>
          <w:lang w:val="en-US" w:eastAsia="zh-CN"/>
        </w:rPr>
        <w:t xml:space="preserve">2天</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w:t>
      </w:r>
      <w:r>
        <w:rPr>
          <w:rFonts w:hint="eastAsia" w:ascii="宋体" w:hAnsi="宋体" w:eastAsia="宋体" w:cs="宋体"/>
          <w:b/>
          <w:color w:val="auto"/>
          <w:sz w:val="21"/>
          <w:szCs w:val="21"/>
          <w:highlight w:val="none"/>
          <w:u w:val="single"/>
        </w:rPr>
        <w:t xml:space="preserve">现场施工场地已具备施工条件，承包人若另行安排施工场地，由承包人自行协调，费用自理。</w:t>
      </w:r>
      <w:r/>
    </w:p>
    <w:p>
      <w:pPr>
        <w:numPr>
          <w:ilvl w:val="0"/>
          <w:numId w:val="2"/>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施工场地清洁卫生的要求：</w:t>
      </w:r>
      <w:r>
        <w:rPr>
          <w:rFonts w:hint="eastAsia" w:ascii="宋体" w:hAnsi="宋体" w:eastAsia="宋体" w:cs="宋体"/>
          <w:b/>
          <w:color w:val="auto"/>
          <w:sz w:val="21"/>
          <w:szCs w:val="21"/>
          <w:highlight w:val="none"/>
          <w:u w:val="single"/>
        </w:rPr>
        <w:t xml:space="preserve">文明施工，工完场清</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b/>
          <w:color w:val="auto"/>
          <w:sz w:val="21"/>
          <w:szCs w:val="21"/>
          <w:highlight w:val="none"/>
          <w:u w:val="single"/>
        </w:rPr>
        <w:t xml:space="preserve">符合甲方要求的竣工资料。</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承包人需要提交的竣工资料套数：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陆</w:t>
      </w:r>
      <w:r>
        <w:rPr>
          <w:rFonts w:hint="eastAsia" w:ascii="宋体" w:hAnsi="宋体" w:eastAsia="宋体" w:cs="宋体"/>
          <w:b/>
          <w:color w:val="auto"/>
          <w:sz w:val="21"/>
          <w:szCs w:val="21"/>
          <w:highlight w:val="none"/>
          <w:u w:val="single"/>
        </w:rPr>
        <w:t xml:space="preserve">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竣工验收合格后</w:t>
      </w:r>
      <w:r>
        <w:rPr>
          <w:rFonts w:hint="eastAsia" w:ascii="宋体" w:hAnsi="宋体" w:eastAsia="宋体" w:cs="宋体"/>
          <w:color w:val="auto"/>
          <w:sz w:val="21"/>
          <w:szCs w:val="21"/>
          <w:highlight w:val="none"/>
          <w:u w:val="single"/>
          <w:lang w:val="en-US" w:eastAsia="zh-CN"/>
        </w:rPr>
        <w:t xml:space="preserve">7日内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lang w:val="en-US" w:eastAsia="zh-CN"/>
        </w:rPr>
        <w:t xml:space="preserve">  书面材料及电子版 </w:t>
      </w:r>
      <w:r>
        <w:rPr>
          <w:rFonts w:hint="eastAsia" w:ascii="宋体" w:hAnsi="宋体" w:eastAsia="宋体" w:cs="宋体"/>
          <w:color w:val="auto"/>
          <w:sz w:val="21"/>
          <w:szCs w:val="21"/>
          <w:highlight w:val="none"/>
        </w:rPr>
        <w:t xml:space="preserve">。</w:t>
      </w:r>
      <w:r/>
    </w:p>
    <w:p>
      <w:pPr>
        <w:numPr>
          <w:ilvl w:val="0"/>
          <w:numId w:val="3"/>
        </w:num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承包人有义务配合发包人进行审计工作，并按发包人的要求及时提供完整的审计资料，若因承包人未按要求及时提供相关审计资料，造成的影响审计进度及工程款支付进度等相关责任由承包人承担。</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 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项目经理负责本工程全部的施工。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本工程要求项目经理本人必须常驻现场（每周不少于5日，每日不少于8小时）。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本工程要求项目经理本人必须常驻现场（每周不少于5日，每日不少于8小时），如项目经理擅自离场，每次按5000元扣罚；若每月缺勤累计超过7天，发包人有权要求承包人于7天之内更换项目经理，并且承包人应按每一人次</w:t>
      </w:r>
      <w:r>
        <w:rPr>
          <w:rFonts w:hint="eastAsia" w:ascii="宋体" w:hAnsi="宋体" w:eastAsia="宋体" w:cs="宋体"/>
          <w:color w:val="auto"/>
          <w:sz w:val="21"/>
          <w:szCs w:val="21"/>
          <w:highlight w:val="none"/>
          <w:u w:val="single"/>
          <w:lang w:eastAsia="zh-CN"/>
        </w:rPr>
        <w:t xml:space="preserve">1</w:t>
      </w:r>
      <w:r>
        <w:rPr>
          <w:rFonts w:hint="eastAsia" w:ascii="宋体" w:hAnsi="宋体" w:eastAsia="宋体" w:cs="宋体"/>
          <w:color w:val="auto"/>
          <w:sz w:val="21"/>
          <w:szCs w:val="21"/>
          <w:highlight w:val="none"/>
          <w:u w:val="single"/>
        </w:rPr>
        <w:t xml:space="preserve">0000元向发包人支付违约金，且承包人新选任的项目经理仍须符合发包人的上述要求并经发包人</w:t>
      </w:r>
      <w:r>
        <w:rPr>
          <w:rFonts w:hint="eastAsia" w:ascii="宋体" w:hAnsi="宋体" w:eastAsia="宋体" w:cs="宋体"/>
          <w:color w:val="auto"/>
          <w:sz w:val="21"/>
          <w:szCs w:val="21"/>
          <w:highlight w:val="none"/>
          <w:u w:val="single"/>
          <w:lang w:val="en-US" w:eastAsia="zh-CN"/>
        </w:rPr>
        <w:t xml:space="preserve">书面</w:t>
      </w:r>
      <w:r>
        <w:rPr>
          <w:rFonts w:hint="eastAsia" w:ascii="宋体" w:hAnsi="宋体" w:eastAsia="宋体" w:cs="宋体"/>
          <w:color w:val="auto"/>
          <w:sz w:val="21"/>
          <w:szCs w:val="21"/>
          <w:highlight w:val="none"/>
          <w:u w:val="single"/>
        </w:rPr>
        <w:t xml:space="preserve">确认同意；若承包人在 7 天之内未予更换的，则每逾期一天，承包人应向发包人支付违约金人民币5000元。上述违约金，发包人有权从工程款中予以直接扣除。</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lang w:eastAsia="zh-CN"/>
        </w:rPr>
        <w:t xml:space="preserve">中标</w:t>
      </w:r>
      <w:r>
        <w:rPr>
          <w:rFonts w:hint="eastAsia" w:ascii="宋体" w:hAnsi="宋体" w:eastAsia="宋体" w:cs="宋体"/>
          <w:color w:val="auto"/>
          <w:sz w:val="21"/>
          <w:szCs w:val="21"/>
          <w:highlight w:val="none"/>
          <w:u w:val="single"/>
        </w:rPr>
        <w:t xml:space="preserve">项目经理，在本合同履行期间，未经发包人书面同意不得擅自变更，否则发包人有权解除合同并要求承包人承担合同总价10%的违约金，同时一并追究由此给发包人造成的一切损失。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万元。</w:t>
      </w:r>
      <w:r>
        <w:rPr>
          <w:rFonts w:hint="eastAsia" w:ascii="宋体" w:hAnsi="宋体" w:eastAsia="宋体" w:cs="宋体"/>
          <w:color w:val="auto"/>
          <w:sz w:val="21"/>
          <w:szCs w:val="21"/>
          <w:highlight w:val="none"/>
          <w:u w:val="single"/>
          <w:lang w:eastAsia="zh-CN"/>
        </w:rPr>
        <w:t xml:space="preserve">承包人拒绝更换</w:t>
      </w:r>
      <w:r>
        <w:rPr>
          <w:rFonts w:hint="eastAsia" w:ascii="宋体" w:hAnsi="宋体" w:eastAsia="宋体" w:cs="宋体"/>
          <w:color w:val="auto"/>
          <w:sz w:val="21"/>
          <w:szCs w:val="21"/>
          <w:highlight w:val="none"/>
          <w:u w:val="single"/>
        </w:rPr>
        <w:t xml:space="preserve">项目经理</w:t>
      </w:r>
      <w:r>
        <w:rPr>
          <w:rFonts w:hint="eastAsia" w:ascii="宋体" w:hAnsi="宋体" w:eastAsia="宋体" w:cs="宋体"/>
          <w:color w:val="auto"/>
          <w:sz w:val="21"/>
          <w:szCs w:val="21"/>
          <w:highlight w:val="none"/>
          <w:u w:val="single"/>
          <w:lang w:eastAsia="zh-CN"/>
        </w:rPr>
        <w:t xml:space="preserve">且</w:t>
      </w:r>
      <w:r>
        <w:rPr>
          <w:rFonts w:hint="eastAsia" w:ascii="宋体" w:hAnsi="宋体" w:eastAsia="宋体" w:cs="宋体"/>
          <w:color w:val="auto"/>
          <w:sz w:val="21"/>
          <w:szCs w:val="21"/>
          <w:highlight w:val="none"/>
          <w:u w:val="single"/>
        </w:rPr>
        <w:t xml:space="preserve">被发包人驱逐达三次，发包人有权与承包人解除合同，承包人赔偿发包人因此所造成的全部损失并支付发包人合同总价</w:t>
      </w:r>
      <w:r>
        <w:rPr>
          <w:rFonts w:hint="eastAsia" w:ascii="宋体" w:hAnsi="宋体" w:eastAsia="宋体" w:cs="宋体"/>
          <w:color w:val="auto"/>
          <w:sz w:val="21"/>
          <w:szCs w:val="21"/>
          <w:highlight w:val="none"/>
          <w:u w:val="single"/>
          <w:lang w:eastAsia="zh-CN"/>
        </w:rPr>
        <w:t xml:space="preserve">10%</w:t>
      </w:r>
      <w:r>
        <w:rPr>
          <w:rFonts w:hint="eastAsia" w:ascii="宋体" w:hAnsi="宋体" w:eastAsia="宋体" w:cs="宋体"/>
          <w:color w:val="auto"/>
          <w:sz w:val="21"/>
          <w:szCs w:val="21"/>
          <w:highlight w:val="none"/>
          <w:u w:val="single"/>
        </w:rPr>
        <w:t xml:space="preserve">的违约金。项目部其他人员因上述原因被驱逐或调职调岗者，承包人每一人次支付发包人人民币2000元违约金。上述违约金，发包人有权从工程款中予以直接扣除。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开工前2天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b/>
          <w:color w:val="auto"/>
          <w:sz w:val="21"/>
          <w:szCs w:val="21"/>
          <w:highlight w:val="none"/>
          <w:u w:val="single"/>
        </w:rPr>
        <w:t xml:space="preserve">发包人认可后方可离开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承包人主要施工管理人员擅自离开施工现场的违约责任：</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本工程不可分包。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lang w:val="en-US" w:eastAsia="zh-CN"/>
        </w:rPr>
        <w:t xml:space="preserve"> 开工起至整个工程验收合格交付发包人后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bookmarkStart w:id="234" w:name="_Toc292559872"/>
      <w:r/>
      <w:bookmarkStart w:id="235" w:name="_Toc296891203"/>
      <w:r/>
      <w:bookmarkStart w:id="236" w:name="_Toc296346664"/>
      <w:r/>
      <w:bookmarkStart w:id="237" w:name="_Toc296944502"/>
      <w:r/>
      <w:bookmarkStart w:id="238" w:name="_Toc296503163"/>
      <w:r/>
      <w:bookmarkStart w:id="239" w:name="_Toc296890991"/>
      <w:r/>
      <w:bookmarkStart w:id="240" w:name="_Toc297048349"/>
      <w:r/>
      <w:bookmarkStart w:id="241" w:name="_Toc297120463"/>
      <w:r/>
      <w:bookmarkStart w:id="242" w:name="_Toc296347162"/>
      <w:r/>
      <w:bookmarkStart w:id="243" w:name="_Toc292559367"/>
      <w:r>
        <w:rPr>
          <w:rFonts w:hint="eastAsia" w:ascii="宋体" w:hAnsi="宋体" w:eastAsia="宋体" w:cs="宋体"/>
          <w:color w:val="auto"/>
          <w:sz w:val="21"/>
          <w:szCs w:val="21"/>
          <w:highlight w:val="none"/>
        </w:rPr>
        <w:t xml:space="preserve">： /。</w:t>
      </w:r>
      <w:r/>
    </w:p>
    <w:p>
      <w:pPr>
        <w:pStyle w:val="781"/>
        <w:spacing w:before="120" w:after="120" w:line="360" w:lineRule="auto"/>
        <w:rPr>
          <w:rFonts w:hint="eastAsia" w:ascii="宋体" w:hAnsi="宋体" w:eastAsia="宋体" w:cs="宋体"/>
          <w:b w:val="0"/>
          <w:color w:val="auto"/>
          <w:sz w:val="21"/>
          <w:szCs w:val="21"/>
          <w:highlight w:val="none"/>
        </w:rPr>
      </w:pPr>
      <w:r/>
      <w:bookmarkStart w:id="244" w:name="_Toc351203636"/>
      <w:r>
        <w:rPr>
          <w:rFonts w:hint="eastAsia" w:ascii="宋体" w:hAnsi="宋体" w:eastAsia="宋体" w:cs="宋体"/>
          <w:b w:val="0"/>
          <w:color w:val="auto"/>
          <w:sz w:val="21"/>
          <w:szCs w:val="21"/>
          <w:highlight w:val="none"/>
        </w:rPr>
        <w:t xml:space="preserve">4</w:t>
      </w:r>
      <w:bookmarkStart w:id="245" w:name="_Toc267251413"/>
      <w:r/>
      <w:bookmarkStart w:id="246" w:name="_Toc297048348"/>
      <w:r/>
      <w:bookmarkStart w:id="247" w:name="_Toc292559871"/>
      <w:r/>
      <w:bookmarkStart w:id="248" w:name="_Toc296891202"/>
      <w:r/>
      <w:bookmarkStart w:id="249" w:name="_Toc296944501"/>
      <w:r/>
      <w:bookmarkStart w:id="250" w:name="_Toc297120462"/>
      <w:r/>
      <w:bookmarkStart w:id="251" w:name="_Toc296890990"/>
      <w:r/>
      <w:bookmarkStart w:id="252" w:name="_Toc296347161"/>
      <w:r/>
      <w:bookmarkStart w:id="253" w:name="_Toc292559366"/>
      <w:r/>
      <w:bookmarkStart w:id="254" w:name="_Toc296503162"/>
      <w:r/>
      <w:bookmarkStart w:id="255" w:name="_Toc296346663"/>
      <w:r>
        <w:rPr>
          <w:rFonts w:hint="eastAsia" w:ascii="宋体" w:hAnsi="宋体" w:eastAsia="宋体" w:cs="宋体"/>
          <w:b w:val="0"/>
          <w:color w:val="auto"/>
          <w:sz w:val="21"/>
          <w:szCs w:val="21"/>
          <w:highlight w:val="none"/>
        </w:rPr>
        <w:t xml:space="preserve">. 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b w:val="0"/>
          <w:color w:val="auto"/>
          <w:sz w:val="21"/>
          <w:szCs w:val="21"/>
          <w:highlight w:val="none"/>
        </w:rPr>
        <w:t xml:space="preserve">理人</w:t>
      </w:r>
      <w:bookmarkEnd w:id="244"/>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质量要求</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5</w:t>
      </w:r>
      <w:bookmarkStart w:id="256" w:name="_Toc303539106"/>
      <w:r/>
      <w:bookmarkStart w:id="257" w:name="_Toc318581164"/>
      <w:r/>
      <w:bookmarkStart w:id="258" w:name="_Toc304295527"/>
      <w:r/>
      <w:bookmarkStart w:id="259" w:name="_Toc300934949"/>
      <w:r/>
      <w:bookmarkStart w:id="260" w:name="_Toc297216155"/>
      <w:r/>
      <w:bookmarkStart w:id="261" w:name="_Toc297123496"/>
      <w:r/>
      <w:bookmarkStart w:id="262" w:name="_Toc31267799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b/>
          <w:color w:val="auto"/>
          <w:sz w:val="21"/>
          <w:szCs w:val="21"/>
          <w:highlight w:val="none"/>
          <w:u w:val="single"/>
        </w:rPr>
        <w:t xml:space="preserve">工程质量必须达到合同协议书中约定的工程质量，达不到约定条件的部分，承包人承担违约责任，发包人有权按合同价款的5%/次要求承包人承担违约金。若工程质量达不到合格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合格条件的，承包人应按合同价款的100%全额赔偿发包人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隐蔽工程检查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5.3.2承包人提前通知发包人隐蔽工程检查的期限的约定：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本工程无隐蔽工程</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keepNext/>
        <w:spacing w:line="360" w:lineRule="auto"/>
        <w:rPr>
          <w:rFonts w:hint="eastAsia" w:ascii="宋体" w:hAnsi="宋体" w:eastAsia="宋体" w:cs="宋体"/>
          <w:color w:val="auto"/>
          <w:sz w:val="21"/>
          <w:szCs w:val="28"/>
          <w:highlight w:val="none"/>
        </w:rPr>
        <w:outlineLvl w:val="3"/>
      </w:pPr>
      <w:r/>
      <w:bookmarkStart w:id="263" w:name="_Toc351203638"/>
      <w:r>
        <w:rPr>
          <w:rFonts w:hint="eastAsia" w:ascii="宋体" w:hAnsi="宋体" w:eastAsia="宋体" w:cs="宋体"/>
          <w:color w:val="auto"/>
          <w:sz w:val="21"/>
          <w:szCs w:val="28"/>
          <w:highlight w:val="none"/>
        </w:rPr>
        <w:t xml:space="preserve">6. 安全文明施工与环境保护</w:t>
      </w:r>
      <w:bookmarkEnd w:id="26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bookmarkEnd w:id="234"/>
      <w:r/>
      <w:bookmarkEnd w:id="235"/>
      <w:r/>
      <w:bookmarkEnd w:id="236"/>
      <w:r/>
      <w:bookmarkEnd w:id="237"/>
      <w:r/>
      <w:bookmarkEnd w:id="238"/>
      <w:r/>
      <w:bookmarkEnd w:id="239"/>
      <w:r/>
      <w:bookmarkEnd w:id="240"/>
      <w:r/>
      <w:bookmarkEnd w:id="241"/>
      <w:r/>
      <w:bookmarkEnd w:id="242"/>
      <w:r/>
      <w:bookmarkEnd w:id="243"/>
      <w:r/>
      <w:bookmarkEnd w:id="256"/>
      <w:r/>
      <w:bookmarkEnd w:id="257"/>
      <w:r/>
      <w:bookmarkEnd w:id="258"/>
      <w:r/>
      <w:bookmarkEnd w:id="259"/>
      <w:r/>
      <w:bookmarkEnd w:id="260"/>
      <w:r/>
      <w:bookmarkEnd w:id="261"/>
      <w:r/>
      <w:bookmarkEnd w:id="262"/>
      <w:r/>
      <w:r/>
    </w:p>
    <w:p>
      <w:pPr>
        <w:ind w:firstLine="420"/>
        <w:spacing w:line="360" w:lineRule="auto"/>
        <w:rPr>
          <w:rFonts w:hint="eastAsia" w:ascii="宋体" w:hAnsi="宋体" w:eastAsia="宋体" w:cs="宋体"/>
          <w:color w:val="auto"/>
          <w:sz w:val="21"/>
          <w:szCs w:val="21"/>
          <w:highlight w:val="none"/>
        </w:rPr>
      </w:pPr>
      <w:r/>
      <w:bookmarkStart w:id="264" w:name="_Toc297120473"/>
      <w:r/>
      <w:bookmarkStart w:id="265" w:name="_Toc296891213"/>
      <w:r/>
      <w:bookmarkStart w:id="266" w:name="_Toc292559883"/>
      <w:r/>
      <w:bookmarkStart w:id="267" w:name="_Toc292559378"/>
      <w:r/>
      <w:bookmarkStart w:id="268" w:name="_Toc267251428"/>
      <w:r/>
      <w:bookmarkStart w:id="269" w:name="_Toc296346674"/>
      <w:r/>
      <w:bookmarkStart w:id="270" w:name="_Toc296503173"/>
      <w:r/>
      <w:bookmarkStart w:id="271" w:name="_Toc296891001"/>
      <w:r/>
      <w:bookmarkStart w:id="272" w:name="_Toc296944512"/>
      <w:r/>
      <w:bookmarkStart w:id="273" w:name="_Toc297048359"/>
      <w:r/>
      <w:bookmarkStart w:id="274" w:name="_Toc267251427"/>
      <w:r/>
      <w:bookmarkStart w:id="275" w:name="_Toc296347172"/>
      <w:r/>
      <w:bookmarkStart w:id="276" w:name="_Toc351203642"/>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要求达到</w:t>
      </w:r>
      <w:r>
        <w:rPr>
          <w:rFonts w:hint="eastAsia" w:ascii="宋体" w:hAnsi="宋体" w:eastAsia="宋体" w:cs="宋体"/>
          <w:b/>
          <w:color w:val="auto"/>
          <w:sz w:val="21"/>
          <w:szCs w:val="21"/>
          <w:highlight w:val="none"/>
          <w:u w:val="single"/>
          <w:lang w:val="en-US" w:eastAsia="zh-CN"/>
        </w:rPr>
        <w:t xml:space="preserve">最新</w:t>
      </w:r>
      <w:r>
        <w:rPr>
          <w:rFonts w:hint="eastAsia" w:ascii="宋体" w:hAnsi="宋体" w:eastAsia="宋体" w:cs="宋体"/>
          <w:b/>
          <w:color w:val="auto"/>
          <w:sz w:val="21"/>
          <w:szCs w:val="21"/>
          <w:highlight w:val="none"/>
          <w:u w:val="single"/>
        </w:rPr>
        <w:t xml:space="preserve">《建筑施工安全检查标准》</w:t>
      </w:r>
      <w:r>
        <w:rPr>
          <w:rFonts w:hint="eastAsia" w:ascii="宋体" w:hAnsi="宋体" w:eastAsia="宋体" w:cs="宋体"/>
          <w:b/>
          <w:color w:val="auto"/>
          <w:sz w:val="21"/>
          <w:szCs w:val="21"/>
          <w:highlight w:val="none"/>
          <w:u w:val="single"/>
          <w:lang w:eastAsia="zh-CN"/>
        </w:rPr>
        <w:t xml:space="preserve">（JGJ59-2011）</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b/>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b/>
          <w:color w:val="auto"/>
          <w:sz w:val="21"/>
          <w:szCs w:val="21"/>
          <w:highlight w:val="none"/>
          <w:u w:val="single"/>
        </w:rPr>
        <w:t xml:space="preserve">开工前提供施工场地治安管理计划</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81"/>
        <w:ind w:firstLine="420"/>
        <w:spacing w:before="120" w:after="120" w:line="360" w:lineRule="auto"/>
        <w:rPr>
          <w:rFonts w:ascii="Times New Roman" w:hAnsi="Times New Roman" w:eastAsia="黑体"/>
          <w:b w:val="0"/>
          <w:color w:val="auto"/>
          <w:sz w:val="32"/>
          <w:szCs w:val="32"/>
          <w:highlight w:val="none"/>
        </w:rPr>
      </w:pPr>
      <w:r/>
      <w:bookmarkStart w:id="277" w:name="_Toc351203639"/>
      <w:r>
        <w:rPr>
          <w:rFonts w:hint="eastAsia" w:ascii="宋体" w:hAnsi="宋体" w:eastAsia="宋体" w:cs="宋体"/>
          <w:b w:val="0"/>
          <w:color w:val="auto"/>
          <w:sz w:val="21"/>
          <w:szCs w:val="21"/>
          <w:highlight w:val="none"/>
        </w:rPr>
        <w:t xml:space="preserve">7. 工期和进度</w:t>
      </w:r>
      <w:bookmarkEnd w:id="27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合同签订后</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日内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    开工日期前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天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78" w:name="_Toc312678012"/>
      <w:r/>
      <w:bookmarkStart w:id="279" w:name="_Toc312677486"/>
      <w:r/>
      <w:bookmarkStart w:id="280" w:name="_Toc318581169"/>
      <w:r/>
      <w:bookmarkStart w:id="281" w:name="_Toc304295548"/>
      <w:r/>
      <w:bookmarkStart w:id="282" w:name="_Toc297216177"/>
      <w:r/>
      <w:bookmarkStart w:id="283" w:name="_Toc303539127"/>
      <w:r/>
      <w:bookmarkStart w:id="284" w:name="_Toc297123518"/>
      <w:r/>
      <w:bookmarkStart w:id="285" w:name="_Toc300934970"/>
      <w:r>
        <w:rPr>
          <w:rFonts w:hint="eastAsia" w:ascii="宋体" w:hAnsi="宋体" w:eastAsia="宋体" w:cs="宋体"/>
          <w:color w:val="auto"/>
          <w:sz w:val="21"/>
          <w:szCs w:val="21"/>
          <w:highlight w:val="none"/>
        </w:rPr>
        <w:t xml:space="preserve">.5.2 因承包人原因导致工期延误</w:t>
      </w:r>
      <w:bookmarkEnd w:id="278"/>
      <w:r/>
      <w:bookmarkEnd w:id="279"/>
      <w:r/>
      <w:bookmarkEnd w:id="28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86" w:name="_Toc312677487"/>
      <w:r/>
      <w:bookmarkStart w:id="287" w:name="_Toc312678013"/>
      <w:r/>
      <w:bookmarkStart w:id="28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b/>
          <w:color w:val="auto"/>
          <w:sz w:val="21"/>
          <w:szCs w:val="21"/>
          <w:highlight w:val="none"/>
          <w:u w:val="single"/>
        </w:rPr>
        <w:t xml:space="preserve">工期延迟按1000元/天处罚承包人</w:t>
      </w:r>
      <w:r>
        <w:rPr>
          <w:rFonts w:hint="eastAsia" w:ascii="宋体" w:hAnsi="宋体" w:eastAsia="宋体" w:cs="宋体"/>
          <w:color w:val="auto"/>
          <w:sz w:val="21"/>
          <w:szCs w:val="21"/>
          <w:highlight w:val="none"/>
        </w:rPr>
        <w:t xml:space="preserve">。</w:t>
      </w:r>
      <w:bookmarkEnd w:id="281"/>
      <w:r/>
      <w:bookmarkEnd w:id="282"/>
      <w:r/>
      <w:bookmarkEnd w:id="283"/>
      <w:r/>
      <w:bookmarkEnd w:id="284"/>
      <w:r/>
      <w:bookmarkEnd w:id="285"/>
      <w:r/>
      <w:bookmarkEnd w:id="286"/>
      <w:r/>
      <w:bookmarkEnd w:id="287"/>
      <w:r/>
      <w:r/>
    </w:p>
    <w:p>
      <w:pPr>
        <w:ind w:firstLine="42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合同价款的</w:t>
      </w:r>
      <w:r>
        <w:rPr>
          <w:rFonts w:hint="eastAsia" w:ascii="宋体" w:hAnsi="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7.6 不利物质条件</w:t>
      </w:r>
      <w:r/>
    </w:p>
    <w:p>
      <w:pPr>
        <w:ind w:firstLine="42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不利物质条件的其他情形和有关约定：</w:t>
      </w:r>
      <w:r>
        <w:rPr>
          <w:rFonts w:hint="default" w:ascii="宋体" w:hAnsi="宋体" w:eastAsia="宋体" w:cs="宋体"/>
          <w:color w:val="auto"/>
          <w:sz w:val="21"/>
          <w:szCs w:val="21"/>
          <w:highlight w:val="none"/>
          <w:u w:val="single"/>
          <w:lang w:val="en-US" w:eastAsia="zh-CN"/>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default" w:ascii="宋体" w:hAnsi="宋体" w:eastAsia="宋体" w:cs="宋体"/>
          <w:color w:val="auto"/>
          <w:sz w:val="21"/>
          <w:szCs w:val="21"/>
          <w:highlight w:val="none"/>
          <w:u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bookmarkStart w:id="289" w:name="_Toc351203553"/>
      <w:r>
        <w:rPr>
          <w:rFonts w:hint="eastAsia" w:ascii="宋体" w:hAnsi="宋体" w:eastAsia="宋体" w:cs="宋体"/>
          <w:color w:val="auto"/>
          <w:sz w:val="21"/>
          <w:szCs w:val="21"/>
          <w:highlight w:val="none"/>
        </w:rPr>
        <w:t xml:space="preserve">8.1发包人供应材料与工程设备</w:t>
      </w:r>
      <w:bookmarkEnd w:id="289"/>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按通用条款执行。</w:t>
      </w:r>
      <w:bookmarkEnd w:id="288"/>
      <w:r/>
      <w:r/>
    </w:p>
    <w:p>
      <w:pPr>
        <w:ind w:firstLine="422"/>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b/>
          <w:color w:val="auto"/>
          <w:sz w:val="21"/>
          <w:szCs w:val="21"/>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0" w:name="_Toc296347192"/>
      <w:r/>
      <w:bookmarkStart w:id="291" w:name="_Toc312677499"/>
      <w:r/>
      <w:bookmarkStart w:id="292" w:name="_Toc292559398"/>
      <w:r/>
      <w:bookmarkStart w:id="293" w:name="_Toc292559903"/>
      <w:r/>
      <w:bookmarkStart w:id="294" w:name="_Toc303539146"/>
      <w:r/>
      <w:bookmarkStart w:id="295" w:name="_Toc296503193"/>
      <w:r/>
      <w:bookmarkStart w:id="296" w:name="_Toc312678025"/>
      <w:r/>
      <w:bookmarkStart w:id="297" w:name="_Toc296944532"/>
      <w:r/>
      <w:bookmarkStart w:id="298" w:name="_Toc296891021"/>
      <w:r/>
      <w:bookmarkStart w:id="299" w:name="_Toc296891233"/>
      <w:r/>
      <w:bookmarkStart w:id="300" w:name="_Toc297120493"/>
      <w:r/>
      <w:bookmarkStart w:id="301" w:name="_Toc296346694"/>
      <w:r/>
      <w:bookmarkStart w:id="302" w:name="_Toc297048379"/>
      <w:r/>
      <w:bookmarkStart w:id="303" w:name="_Toc297216199"/>
      <w:r/>
      <w:bookmarkStart w:id="304" w:name="_Toc297123540"/>
      <w:r/>
      <w:bookmarkStart w:id="305" w:name="_Toc304295566"/>
      <w:r/>
      <w:bookmarkStart w:id="306" w:name="_Toc300934989"/>
      <w:r/>
      <w:bookmarkStart w:id="307" w:name="_Toc267251440"/>
      <w:r/>
      <w:bookmarkStart w:id="308" w:name="_Toc267251433"/>
      <w:r/>
      <w:bookmarkStart w:id="309" w:name="_Toc267251435"/>
      <w:r/>
      <w:bookmarkStart w:id="310" w:name="_Toc267251441"/>
      <w:r/>
      <w:bookmarkStart w:id="311" w:name="_Toc267251439"/>
      <w:r/>
      <w:bookmarkStart w:id="312" w:name="_Toc267251437"/>
      <w:r/>
      <w:bookmarkStart w:id="313" w:name="_Toc267251442"/>
      <w:r>
        <w:rPr>
          <w:rFonts w:hint="eastAsia" w:ascii="宋体" w:hAnsi="宋体" w:eastAsia="宋体" w:cs="宋体"/>
          <w:b/>
          <w:color w:val="auto"/>
          <w:sz w:val="21"/>
          <w:szCs w:val="21"/>
          <w:highlight w:val="none"/>
        </w:rPr>
        <w:t xml:space="preserve">0</w:t>
      </w:r>
      <w:r>
        <w:rPr>
          <w:rFonts w:hint="eastAsia" w:ascii="宋体" w:hAnsi="宋体" w:eastAsia="宋体" w:cs="宋体"/>
          <w:color w:val="auto"/>
          <w:sz w:val="21"/>
          <w:szCs w:val="21"/>
          <w:highlight w:val="none"/>
        </w:rPr>
        <w:t xml:space="preserve">. 变更</w:t>
      </w:r>
      <w:bookmarkEnd w:id="276"/>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10.2.1 变更估价原则</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关于变更估价的约定： </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承包人在工程变更确定后 14 天内，提出变更工程价款的报告，经采购人和监理工程师确认后调整合同价款，变更合同价款按下列方法进行：</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（1）已标价工程量清单或投标书有相同项目的，按照相同项目单价认定；</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（2）已标价工程量清单或投标书中无相同项目，但有类似项目的，参照类似项目的单价认定；</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（3）合同中没有适用或类似的综合单价，按以下方法确定综合单价：</w:t>
      </w:r>
      <w:r/>
    </w:p>
    <w:p>
      <w:pPr>
        <w:ind w:firstLine="63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由承包人按承包人报价浮动率【L=( 1-成交价/招标控制价）X100%】提出变更工程项目的单价，并应报发包人确认后调整；</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工程变更价款的调整：</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10.3承包人的合理化建议</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监理人审查承包人合理化建议的期限：收到承包人提交的合理化建议后7日内。</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发包人审批承包人合理化建议的期限：收到监理人报送的合理化建议后7日内。</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承包人提出的合理化建议降低了合同价格或者提高了工程经济效益的奖励的方法和金额为：</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10.4暂估价</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暂估价材料和工程设备的明细详见：</w:t>
      </w:r>
      <w:r>
        <w:rPr>
          <w:rFonts w:hint="eastAsia" w:ascii="宋体" w:hAnsi="宋体" w:cs="宋体"/>
          <w:color w:val="auto"/>
          <w:highlight w:val="none"/>
          <w:u w:val="single"/>
        </w:rPr>
        <w:t xml:space="preserve">《暂估价一览表》</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10.4.1 依法必须招标的暂估价项目：</w:t>
      </w:r>
      <w:r>
        <w:rPr>
          <w:rFonts w:hint="eastAsia" w:ascii="宋体" w:hAnsi="宋体" w:cs="宋体"/>
          <w:color w:val="auto"/>
          <w:highlight w:val="none"/>
          <w:u w:val="single"/>
        </w:rPr>
        <w:t xml:space="preserve">采用第2种方式</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10.5 暂列金额</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合同当事人关于暂列金额使用的约定：</w:t>
      </w:r>
      <w:r>
        <w:rPr>
          <w:rFonts w:hint="eastAsia" w:ascii="宋体" w:hAnsi="宋体" w:cs="宋体"/>
          <w:color w:val="auto"/>
          <w:highlight w:val="none"/>
          <w:u w:val="single"/>
        </w:rPr>
        <w:t xml:space="preserve">由发包人结合工程具体情况使用</w:t>
      </w:r>
      <w:r>
        <w:rPr>
          <w:rFonts w:hint="eastAsia" w:ascii="宋体" w:hAnsi="宋体" w:cs="宋体"/>
          <w:color w:val="auto"/>
          <w:highlight w:val="none"/>
        </w:rPr>
        <w:t xml:space="preserve">。</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11. 价格调整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不调整 。</w:t>
      </w:r>
      <w:r/>
    </w:p>
    <w:p>
      <w:pPr>
        <w:ind w:firstLine="42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材料差价（风险）：</w:t>
      </w:r>
      <w:r>
        <w:rPr>
          <w:rFonts w:hint="eastAsia" w:ascii="宋体" w:hAnsi="宋体" w:eastAsia="宋体" w:cs="宋体"/>
          <w:b/>
          <w:color w:val="auto"/>
          <w:sz w:val="21"/>
          <w:szCs w:val="21"/>
          <w:highlight w:val="none"/>
          <w:u w:val="single"/>
        </w:rPr>
        <w:t xml:space="preserve">不调整 </w:t>
      </w:r>
      <w:r>
        <w:rPr>
          <w:rFonts w:hint="eastAsia" w:ascii="宋体" w:hAnsi="宋体" w:eastAsia="宋体" w:cs="宋体"/>
          <w:b w:val="0"/>
          <w:bCs/>
          <w:color w:val="auto"/>
          <w:sz w:val="21"/>
          <w:szCs w:val="21"/>
          <w:highlight w:val="none"/>
          <w:u w:val="none"/>
        </w:rPr>
        <w:t xml:space="preserve">。</w:t>
      </w:r>
      <w:r/>
    </w:p>
    <w:p>
      <w:pPr>
        <w:ind w:firstLine="42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11.2政策性调整</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val="0"/>
          <w:bCs/>
          <w:color w:val="auto"/>
          <w:sz w:val="21"/>
          <w:szCs w:val="21"/>
          <w:highlight w:val="none"/>
          <w:u w:val="none"/>
        </w:rPr>
        <w:t xml:space="preserve">政策性文件是否调整合同价格的约定：</w:t>
      </w:r>
      <w:r>
        <w:rPr>
          <w:rFonts w:hint="eastAsia" w:ascii="宋体" w:hAnsi="宋体" w:eastAsia="宋体" w:cs="宋体"/>
          <w:b/>
          <w:color w:val="auto"/>
          <w:sz w:val="21"/>
          <w:szCs w:val="21"/>
          <w:highlight w:val="none"/>
          <w:u w:val="single"/>
        </w:rPr>
        <w:t xml:space="preserve">不调整</w:t>
      </w:r>
      <w:r>
        <w:rPr>
          <w:rFonts w:hint="eastAsia" w:ascii="宋体" w:hAnsi="宋体" w:eastAsia="宋体" w:cs="宋体"/>
          <w:b w:val="0"/>
          <w:bCs/>
          <w:color w:val="auto"/>
          <w:sz w:val="21"/>
          <w:szCs w:val="21"/>
          <w:highlight w:val="none"/>
          <w:u w:val="none"/>
        </w:rPr>
        <w:t xml:space="preserve">。</w:t>
      </w:r>
      <w:bookmarkEnd w:id="307"/>
      <w:r/>
      <w:bookmarkEnd w:id="308"/>
      <w:r/>
      <w:bookmarkEnd w:id="309"/>
      <w:r/>
      <w:bookmarkEnd w:id="310"/>
      <w:r/>
      <w:bookmarkEnd w:id="311"/>
      <w:r/>
      <w:bookmarkEnd w:id="312"/>
      <w:r/>
      <w:r/>
    </w:p>
    <w:p>
      <w:pPr>
        <w:ind w:firstLine="420"/>
        <w:keepLines/>
        <w:keepNext/>
        <w:spacing w:line="360" w:lineRule="auto"/>
        <w:rPr>
          <w:rFonts w:hint="eastAsia" w:ascii="宋体" w:hAnsi="宋体" w:eastAsia="宋体" w:cs="宋体"/>
          <w:color w:val="auto"/>
          <w:sz w:val="21"/>
          <w:szCs w:val="28"/>
          <w:highlight w:val="none"/>
        </w:rPr>
        <w:outlineLvl w:val="3"/>
      </w:pPr>
      <w:r/>
      <w:bookmarkStart w:id="314" w:name="_Toc296891245"/>
      <w:r/>
      <w:bookmarkStart w:id="315" w:name="_Toc296346706"/>
      <w:r/>
      <w:bookmarkStart w:id="316" w:name="_Toc297120505"/>
      <w:r/>
      <w:bookmarkStart w:id="317" w:name="_Toc297048391"/>
      <w:r/>
      <w:bookmarkStart w:id="318" w:name="_Toc296347204"/>
      <w:r/>
      <w:bookmarkStart w:id="319" w:name="_Toc296503205"/>
      <w:r/>
      <w:bookmarkStart w:id="320" w:name="_Toc296891033"/>
      <w:r/>
      <w:bookmarkStart w:id="321" w:name="_Toc292559410"/>
      <w:r/>
      <w:bookmarkStart w:id="322" w:name="_Toc292559915"/>
      <w:r/>
      <w:bookmarkStart w:id="323" w:name="_Toc296944544"/>
      <w:r/>
      <w:bookmarkStart w:id="324" w:name="_Toc303539159"/>
      <w:r/>
      <w:bookmarkStart w:id="325" w:name="_Toc297216211"/>
      <w:r/>
      <w:bookmarkStart w:id="326" w:name="_Toc300935002"/>
      <w:r/>
      <w:bookmarkStart w:id="327" w:name="_Toc351203644"/>
      <w:r/>
      <w:bookmarkStart w:id="328" w:name="_Toc304295579"/>
      <w:r/>
      <w:bookmarkStart w:id="329" w:name="_Toc297123552"/>
      <w:r/>
      <w:bookmarkStart w:id="330" w:name="_Toc312678040"/>
      <w:r>
        <w:rPr>
          <w:rFonts w:hint="eastAsia" w:ascii="宋体" w:hAnsi="宋体" w:eastAsia="宋体" w:cs="宋体"/>
          <w:color w:val="auto"/>
          <w:sz w:val="21"/>
          <w:szCs w:val="28"/>
          <w:highlight w:val="none"/>
        </w:rPr>
        <w:t xml:space="preserve">12. </w:t>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eastAsia="宋体" w:cs="宋体"/>
          <w:color w:val="auto"/>
          <w:sz w:val="21"/>
          <w:szCs w:val="28"/>
          <w:highlight w:val="none"/>
        </w:rPr>
        <w:t xml:space="preserve">合同价格、计量与支付</w:t>
      </w:r>
      <w:bookmarkEnd w:id="324"/>
      <w:r/>
      <w:bookmarkEnd w:id="325"/>
      <w:r/>
      <w:bookmarkEnd w:id="326"/>
      <w:r/>
      <w:bookmarkEnd w:id="327"/>
      <w:r/>
      <w:bookmarkEnd w:id="328"/>
      <w:r/>
      <w:bookmarkEnd w:id="329"/>
      <w:r/>
      <w:bookmarkEnd w:id="330"/>
      <w:r/>
      <w:r/>
    </w:p>
    <w:p>
      <w:pPr>
        <w:ind w:firstLine="420"/>
        <w:spacing w:line="360" w:lineRule="auto"/>
        <w:rPr>
          <w:rFonts w:hint="eastAsia" w:ascii="宋体" w:hAnsi="宋体" w:eastAsia="宋体" w:cs="宋体"/>
          <w:sz w:val="21"/>
          <w:szCs w:val="21"/>
          <w:highlight w:val="none"/>
        </w:rPr>
      </w:pPr>
      <w:r/>
      <w:bookmarkStart w:id="331" w:name="_Toc292559411"/>
      <w:r/>
      <w:bookmarkStart w:id="332" w:name="_Toc292559916"/>
      <w:r/>
      <w:bookmarkStart w:id="333" w:name="_Toc267251461"/>
      <w:r/>
      <w:bookmarkStart w:id="334" w:name="_Toc296944545"/>
      <w:r/>
      <w:bookmarkStart w:id="335" w:name="_Toc296347205"/>
      <w:r/>
      <w:bookmarkStart w:id="336" w:name="_Toc296503206"/>
      <w:r/>
      <w:bookmarkStart w:id="337" w:name="_Toc296346707"/>
      <w:r/>
      <w:bookmarkStart w:id="338" w:name="_Toc296891034"/>
      <w:r/>
      <w:bookmarkStart w:id="339" w:name="_Toc297120506"/>
      <w:r/>
      <w:bookmarkStart w:id="340" w:name="_Toc297048392"/>
      <w:r/>
      <w:bookmarkStart w:id="341" w:name="_Toc296891246"/>
      <w:r/>
      <w:bookmarkStart w:id="342" w:name="_Toc303539160"/>
      <w:r/>
      <w:bookmarkStart w:id="343" w:name="_Toc297216212"/>
      <w:r/>
      <w:bookmarkStart w:id="344" w:name="_Toc300935003"/>
      <w:r/>
      <w:bookmarkStart w:id="345" w:name="_Toc312678041"/>
      <w:r/>
      <w:bookmarkStart w:id="346" w:name="_Toc304295580"/>
      <w:r/>
      <w:bookmarkStart w:id="347" w:name="_Toc297123553"/>
      <w:r/>
      <w:bookmarkStart w:id="348" w:name="_Toc303539161"/>
      <w:r/>
      <w:bookmarkStart w:id="349" w:name="_Toc296346708"/>
      <w:r/>
      <w:bookmarkStart w:id="350" w:name="_Toc304295581"/>
      <w:r/>
      <w:bookmarkStart w:id="351" w:name="_Toc292559412"/>
      <w:r/>
      <w:bookmarkStart w:id="352" w:name="_Toc292559917"/>
      <w:r/>
      <w:bookmarkStart w:id="353" w:name="_Toc300935004"/>
      <w:r/>
      <w:bookmarkStart w:id="354" w:name="_Toc297123554"/>
      <w:r/>
      <w:bookmarkStart w:id="355" w:name="_Toc296347206"/>
      <w:r/>
      <w:bookmarkStart w:id="356" w:name="_Toc297216213"/>
      <w:r/>
      <w:bookmarkStart w:id="357" w:name="_Toc296891035"/>
      <w:r/>
      <w:bookmarkStart w:id="358" w:name="_Toc297048393"/>
      <w:r/>
      <w:bookmarkStart w:id="359" w:name="_Toc296944546"/>
      <w:r/>
      <w:bookmarkStart w:id="360" w:name="_Toc297120507"/>
      <w:r/>
      <w:bookmarkStart w:id="361" w:name="_Toc312678042"/>
      <w:r/>
      <w:bookmarkStart w:id="362" w:name="_Toc296503207"/>
      <w:r/>
      <w:bookmarkStart w:id="363" w:name="_Toc296891247"/>
      <w:r>
        <w:rPr>
          <w:rFonts w:hint="eastAsia" w:ascii="宋体" w:hAnsi="宋体" w:eastAsia="宋体" w:cs="宋体"/>
          <w:sz w:val="21"/>
          <w:szCs w:val="21"/>
          <w:highlight w:val="none"/>
        </w:rPr>
        <w:t xml:space="preserve">12.1 合</w:t>
      </w:r>
      <w:bookmarkEnd w:id="331"/>
      <w:r/>
      <w:bookmarkEnd w:id="332"/>
      <w:r/>
      <w:bookmarkEnd w:id="333"/>
      <w:r>
        <w:rPr>
          <w:rFonts w:hint="eastAsia" w:ascii="宋体" w:hAnsi="宋体" w:eastAsia="宋体" w:cs="宋体"/>
          <w:sz w:val="21"/>
          <w:szCs w:val="21"/>
          <w:highlight w:val="none"/>
        </w:rPr>
        <w:t xml:space="preserve">同价</w:t>
      </w:r>
      <w:bookmarkEnd w:id="334"/>
      <w:r/>
      <w:bookmarkEnd w:id="335"/>
      <w:r/>
      <w:bookmarkEnd w:id="336"/>
      <w:r/>
      <w:bookmarkEnd w:id="337"/>
      <w:r/>
      <w:bookmarkEnd w:id="338"/>
      <w:r/>
      <w:bookmarkEnd w:id="339"/>
      <w:r/>
      <w:bookmarkEnd w:id="340"/>
      <w:r/>
      <w:bookmarkEnd w:id="341"/>
      <w:r>
        <w:rPr>
          <w:rFonts w:hint="eastAsia" w:ascii="宋体" w:hAnsi="宋体" w:eastAsia="宋体" w:cs="宋体"/>
          <w:sz w:val="21"/>
          <w:szCs w:val="21"/>
          <w:highlight w:val="none"/>
        </w:rPr>
        <w:t xml:space="preserve">格形式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采用</w:t>
      </w:r>
      <w:r>
        <w:rPr>
          <w:rFonts w:hint="eastAsia" w:ascii="宋体" w:hAnsi="宋体" w:eastAsia="宋体" w:cs="宋体"/>
          <w:b/>
          <w:sz w:val="21"/>
          <w:szCs w:val="21"/>
          <w:highlight w:val="none"/>
          <w:u w:val="single"/>
          <w:lang w:bidi="ar"/>
        </w:rPr>
        <w:t xml:space="preserve"> 固定单价 </w:t>
      </w:r>
      <w:r>
        <w:rPr>
          <w:rFonts w:hint="eastAsia" w:ascii="宋体" w:hAnsi="宋体" w:eastAsia="宋体" w:cs="宋体"/>
          <w:sz w:val="21"/>
          <w:szCs w:val="21"/>
          <w:highlight w:val="none"/>
          <w:lang w:bidi="ar"/>
        </w:rPr>
        <w:t xml:space="preserve">报价，固定单价为清单综合单价，投标人应根据招标文件要求及充分踏勘施工现场条件，在投标报价时应充分考虑施工期间各类人工、材料、机械的市场风险等计入单价报价，结算时综合单价不再调整。</w:t>
      </w:r>
      <w:bookmarkEnd w:id="342"/>
      <w:r/>
      <w:bookmarkEnd w:id="343"/>
      <w:r/>
      <w:bookmarkEnd w:id="344"/>
      <w:r/>
      <w:bookmarkEnd w:id="345"/>
      <w:r/>
      <w:bookmarkEnd w:id="346"/>
      <w:r/>
      <w:bookmarkEnd w:id="347"/>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p>
    <w:p>
      <w:pPr>
        <w:ind w:firstLine="422"/>
        <w:spacing w:line="360" w:lineRule="auto"/>
        <w:rPr>
          <w:rFonts w:hint="eastAsia" w:ascii="宋体" w:hAnsi="宋体" w:eastAsia="宋体" w:cs="宋体"/>
          <w:b/>
          <w:bCs/>
          <w:sz w:val="21"/>
          <w:szCs w:val="21"/>
          <w:highlight w:val="none"/>
          <w:u w:val="single"/>
          <w:lang w:bidi="ar"/>
        </w:rPr>
      </w:pPr>
      <w:r>
        <w:rPr>
          <w:rFonts w:hint="eastAsia" w:ascii="宋体" w:hAnsi="宋体" w:eastAsia="宋体" w:cs="宋体"/>
          <w:b/>
          <w:bCs/>
          <w:sz w:val="21"/>
          <w:szCs w:val="21"/>
          <w:highlight w:val="none"/>
          <w:u w:val="single"/>
          <w:lang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firstLine="422"/>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lang w:bidi="ar"/>
        </w:rPr>
        <w:t xml:space="preserve">发包人风险：国家法律、法规、规章和政策发生变化；</w:t>
      </w:r>
      <w:r/>
    </w:p>
    <w:p>
      <w:pPr>
        <w:ind w:firstLine="42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(2)超出约定风险范围时的综合单价调整办法：</w:t>
      </w:r>
      <w:r>
        <w:rPr>
          <w:rFonts w:hint="eastAsia" w:ascii="宋体" w:hAnsi="宋体" w:eastAsia="宋体" w:cs="宋体"/>
          <w:b/>
          <w:bCs/>
          <w:sz w:val="21"/>
          <w:szCs w:val="21"/>
          <w:highlight w:val="none"/>
          <w:u w:val="single"/>
        </w:rPr>
        <w:t xml:space="preserve">承包人投标时应自行充分考虑风险，除不可抗力及发包人风险外，今后不做调整。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预付款支付比例或金额：</w:t>
      </w:r>
      <w:r>
        <w:rPr>
          <w:rFonts w:hint="eastAsia" w:ascii="宋体" w:hAnsi="宋体"/>
          <w:b/>
          <w:bCs/>
          <w:sz w:val="21"/>
          <w:szCs w:val="21"/>
          <w:u w:val="single"/>
        </w:rPr>
        <w:t xml:space="preserve">合同价（扣除暂列金额及专业工程暂估价）的10%</w:t>
      </w:r>
      <w:r>
        <w:rPr>
          <w:rFonts w:hint="eastAsia" w:ascii="宋体" w:hAnsi="宋体"/>
          <w:b/>
          <w:bCs/>
          <w:sz w:val="21"/>
          <w:szCs w:val="21"/>
          <w:u w:val="singl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sz w:val="21"/>
          <w:szCs w:val="21"/>
          <w:u w:val="single"/>
        </w:rPr>
        <w:t xml:space="preserve">开工日期7天前支付。</w:t>
      </w:r>
      <w:r/>
    </w:p>
    <w:p>
      <w:pPr>
        <w:ind w:firstLine="42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sz w:val="21"/>
          <w:szCs w:val="21"/>
          <w:u w:val="single"/>
        </w:rPr>
        <w:t xml:space="preserve">第一次支付工程款时全部扣回</w:t>
      </w:r>
      <w:r>
        <w:rPr>
          <w:rFonts w:hint="eastAsia" w:ascii="宋体" w:hAnsi="宋体"/>
          <w:sz w:val="21"/>
          <w:szCs w:val="21"/>
        </w:rPr>
        <w:t xml:space="preserve">。</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20"/>
        <w:jc w:val="left"/>
        <w:spacing w:line="360" w:lineRule="auto"/>
        <w:rPr>
          <w:rFonts w:ascii="宋体" w:hAnsi="宋体"/>
          <w:sz w:val="21"/>
          <w:szCs w:val="21"/>
        </w:rPr>
      </w:pPr>
      <w:r>
        <w:rPr>
          <w:rFonts w:hint="eastAsia" w:ascii="宋体" w:hAnsi="宋体"/>
          <w:sz w:val="21"/>
          <w:szCs w:val="21"/>
        </w:rPr>
        <w:t xml:space="preserve">12.2.2 预付款担保</w:t>
      </w:r>
      <w:r/>
    </w:p>
    <w:p>
      <w:pPr>
        <w:ind w:firstLine="420"/>
        <w:jc w:val="left"/>
        <w:spacing w:line="360" w:lineRule="auto"/>
        <w:rPr>
          <w:rFonts w:ascii="宋体" w:hAnsi="宋体"/>
          <w:sz w:val="21"/>
          <w:szCs w:val="21"/>
        </w:rPr>
      </w:pPr>
      <w:r>
        <w:rPr>
          <w:rFonts w:hint="eastAsia" w:ascii="宋体" w:hAnsi="宋体"/>
          <w:sz w:val="21"/>
          <w:szCs w:val="21"/>
        </w:rPr>
        <w:t xml:space="preserve">承包人提交预付款担保的期限：</w:t>
      </w:r>
      <w:r>
        <w:rPr>
          <w:rFonts w:hint="eastAsia" w:ascii="宋体" w:hAnsi="宋体"/>
          <w:sz w:val="21"/>
          <w:szCs w:val="21"/>
          <w:u w:val="single"/>
        </w:rPr>
        <w:t xml:space="preserve"> 执行通用条款  </w:t>
      </w:r>
      <w:r>
        <w:rPr>
          <w:rFonts w:hint="eastAsia" w:ascii="宋体" w:hAnsi="宋体"/>
          <w:sz w:val="21"/>
          <w:szCs w:val="21"/>
        </w:rPr>
        <w:t xml:space="preserve">。</w:t>
      </w:r>
      <w:r/>
    </w:p>
    <w:p>
      <w:pPr>
        <w:ind w:firstLine="420"/>
        <w:jc w:val="left"/>
        <w:spacing w:line="360" w:lineRule="auto"/>
        <w:rPr>
          <w:rFonts w:ascii="宋体" w:hAnsi="宋体"/>
          <w:sz w:val="21"/>
          <w:szCs w:val="21"/>
        </w:rPr>
      </w:pPr>
      <w:r>
        <w:rPr>
          <w:rFonts w:hint="eastAsia" w:ascii="宋体" w:hAnsi="宋体"/>
          <w:sz w:val="21"/>
          <w:szCs w:val="21"/>
        </w:rPr>
        <w:t xml:space="preserve">预付款担保的形式为：</w:t>
      </w:r>
      <w:r>
        <w:rPr>
          <w:rFonts w:hint="eastAsia" w:ascii="宋体" w:hAnsi="宋体"/>
          <w:sz w:val="21"/>
          <w:szCs w:val="21"/>
          <w:u w:val="single"/>
        </w:rPr>
        <w:t xml:space="preserve"> 见索即付保函 </w:t>
      </w:r>
      <w:r>
        <w:rPr>
          <w:rFonts w:hint="eastAsia" w:ascii="宋体" w:hAnsi="宋体"/>
          <w:sz w:val="21"/>
          <w:szCs w:val="21"/>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spacing w:line="360" w:lineRule="auto"/>
        <w:rPr>
          <w:rFonts w:hint="eastAsia" w:ascii="宋体" w:hAnsi="宋体" w:eastAsia="宋体" w:cs="宋体"/>
          <w:color w:val="auto"/>
          <w:sz w:val="21"/>
          <w:szCs w:val="21"/>
          <w:highlight w:val="none"/>
        </w:rPr>
      </w:pPr>
      <w:r/>
      <w:bookmarkStart w:id="364" w:name="_Toc296891039"/>
      <w:r/>
      <w:bookmarkStart w:id="365" w:name="_Toc300935006"/>
      <w:r/>
      <w:bookmarkStart w:id="366" w:name="_Toc296891251"/>
      <w:r/>
      <w:bookmarkStart w:id="367" w:name="_Toc297216215"/>
      <w:r/>
      <w:bookmarkStart w:id="368" w:name="_Toc292559416"/>
      <w:r/>
      <w:bookmarkStart w:id="369" w:name="_Toc296503211"/>
      <w:r/>
      <w:bookmarkStart w:id="370" w:name="_Toc297123556"/>
      <w:r/>
      <w:bookmarkStart w:id="371" w:name="_Toc296944550"/>
      <w:r/>
      <w:bookmarkStart w:id="372" w:name="_Toc297048397"/>
      <w:r/>
      <w:bookmarkStart w:id="373" w:name="_Toc296346712"/>
      <w:r/>
      <w:bookmarkStart w:id="374" w:name="_Toc296347210"/>
      <w:r/>
      <w:bookmarkStart w:id="375" w:name="_Toc297120511"/>
      <w:r/>
      <w:bookmarkStart w:id="376" w:name="_Toc303539163"/>
      <w:r/>
      <w:bookmarkStart w:id="377" w:name="_Toc292559921"/>
      <w:r>
        <w:rPr>
          <w:rFonts w:hint="eastAsia" w:ascii="宋体" w:hAnsi="宋体" w:eastAsia="宋体" w:cs="宋体"/>
          <w:color w:val="auto"/>
          <w:sz w:val="21"/>
          <w:szCs w:val="21"/>
          <w:highlight w:val="none"/>
        </w:rPr>
        <w:t xml:space="preserve">12.4.1 付款周期</w:t>
      </w:r>
      <w:r/>
    </w:p>
    <w:p>
      <w:pPr>
        <w:ind w:firstLine="422"/>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工程</w:t>
      </w:r>
      <w:r>
        <w:rPr>
          <w:rFonts w:hint="eastAsia" w:ascii="宋体" w:hAnsi="宋体" w:eastAsia="宋体" w:cs="宋体"/>
          <w:b/>
          <w:color w:val="auto"/>
          <w:sz w:val="21"/>
          <w:szCs w:val="21"/>
          <w:highlight w:val="none"/>
          <w:u w:val="single"/>
          <w:lang w:eastAsia="zh-CN"/>
        </w:rPr>
        <w:t xml:space="preserve">完工验收合格后</w:t>
      </w:r>
      <w:r>
        <w:rPr>
          <w:rFonts w:hint="eastAsia" w:ascii="宋体" w:hAnsi="宋体" w:eastAsia="宋体" w:cs="宋体"/>
          <w:b/>
          <w:color w:val="auto"/>
          <w:sz w:val="21"/>
          <w:szCs w:val="21"/>
          <w:highlight w:val="none"/>
          <w:u w:val="single"/>
        </w:rPr>
        <w:t xml:space="preserve">付至</w:t>
      </w:r>
      <w:r>
        <w:rPr>
          <w:rFonts w:hint="eastAsia" w:ascii="宋体" w:hAnsi="宋体" w:eastAsia="宋体" w:cs="宋体"/>
          <w:b/>
          <w:color w:val="auto"/>
          <w:sz w:val="21"/>
          <w:szCs w:val="21"/>
          <w:highlight w:val="none"/>
          <w:u w:val="single"/>
          <w:lang w:eastAsia="zh-CN"/>
        </w:rPr>
        <w:t xml:space="preserve">合同</w:t>
      </w:r>
      <w:r>
        <w:rPr>
          <w:rFonts w:hint="eastAsia" w:ascii="宋体" w:hAnsi="宋体" w:eastAsia="宋体" w:cs="宋体"/>
          <w:b/>
          <w:color w:val="auto"/>
          <w:sz w:val="21"/>
          <w:szCs w:val="21"/>
          <w:highlight w:val="none"/>
          <w:u w:val="single"/>
        </w:rPr>
        <w:t xml:space="preserve">价款的</w:t>
      </w:r>
      <w:r>
        <w:rPr>
          <w:rFonts w:hint="eastAsia" w:ascii="宋体" w:hAnsi="宋体" w:eastAsia="宋体" w:cs="宋体"/>
          <w:b/>
          <w:color w:val="auto"/>
          <w:sz w:val="21"/>
          <w:szCs w:val="21"/>
          <w:highlight w:val="none"/>
          <w:u w:val="single"/>
          <w:lang w:val="en-US" w:eastAsia="zh-CN"/>
        </w:rPr>
        <w:t xml:space="preserve">8</w:t>
      </w:r>
      <w:r>
        <w:rPr>
          <w:rFonts w:hint="eastAsia" w:ascii="宋体" w:hAnsi="宋体" w:eastAsia="宋体" w:cs="宋体"/>
          <w:b/>
          <w:color w:val="auto"/>
          <w:sz w:val="21"/>
          <w:szCs w:val="21"/>
          <w:highlight w:val="none"/>
          <w:u w:val="single"/>
        </w:rPr>
        <w:t xml:space="preserve">0%，</w:t>
      </w:r>
      <w:r>
        <w:rPr>
          <w:rFonts w:hint="eastAsia" w:ascii="宋体" w:hAnsi="宋体" w:eastAsia="宋体" w:cs="宋体"/>
          <w:b/>
          <w:color w:val="auto"/>
          <w:sz w:val="21"/>
          <w:szCs w:val="21"/>
          <w:highlight w:val="none"/>
          <w:u w:val="single"/>
          <w:lang w:eastAsia="zh-CN"/>
        </w:rPr>
        <w:t xml:space="preserve">审计完成</w:t>
      </w:r>
      <w:r>
        <w:rPr>
          <w:rFonts w:hint="eastAsia" w:ascii="宋体" w:hAnsi="宋体" w:eastAsia="宋体" w:cs="宋体"/>
          <w:b/>
          <w:color w:val="auto"/>
          <w:sz w:val="21"/>
          <w:szCs w:val="21"/>
          <w:highlight w:val="none"/>
          <w:u w:val="single"/>
        </w:rPr>
        <w:t xml:space="preserve">后付至</w:t>
      </w:r>
      <w:r>
        <w:rPr>
          <w:rFonts w:hint="eastAsia" w:ascii="宋体" w:hAnsi="宋体" w:eastAsia="宋体" w:cs="宋体"/>
          <w:b/>
          <w:color w:val="auto"/>
          <w:sz w:val="21"/>
          <w:szCs w:val="21"/>
          <w:highlight w:val="none"/>
          <w:u w:val="single"/>
          <w:lang w:eastAsia="zh-CN"/>
        </w:rPr>
        <w:t xml:space="preserve">审定价</w:t>
      </w:r>
      <w:r>
        <w:rPr>
          <w:rFonts w:hint="eastAsia" w:ascii="宋体" w:hAnsi="宋体" w:eastAsia="宋体" w:cs="宋体"/>
          <w:b/>
          <w:color w:val="auto"/>
          <w:sz w:val="21"/>
          <w:szCs w:val="21"/>
          <w:highlight w:val="none"/>
          <w:u w:val="single"/>
        </w:rPr>
        <w:t xml:space="preserve">的97% 。留</w:t>
      </w:r>
      <w:r>
        <w:rPr>
          <w:rFonts w:hint="eastAsia" w:ascii="宋体" w:hAnsi="宋体" w:eastAsia="宋体" w:cs="宋体"/>
          <w:b/>
          <w:color w:val="auto"/>
          <w:sz w:val="21"/>
          <w:szCs w:val="21"/>
          <w:highlight w:val="none"/>
          <w:u w:val="single"/>
          <w:lang w:eastAsia="zh-CN"/>
        </w:rPr>
        <w:t xml:space="preserve">审定价款</w:t>
      </w:r>
      <w:r>
        <w:rPr>
          <w:rFonts w:hint="eastAsia" w:ascii="宋体" w:hAnsi="宋体" w:eastAsia="宋体" w:cs="宋体"/>
          <w:b/>
          <w:color w:val="auto"/>
          <w:sz w:val="21"/>
          <w:szCs w:val="21"/>
          <w:highlight w:val="none"/>
          <w:u w:val="single"/>
        </w:rPr>
        <w:t xml:space="preserve">的3％作为质量保修金，待</w:t>
      </w:r>
      <w:r>
        <w:rPr>
          <w:rFonts w:hint="eastAsia" w:ascii="宋体" w:hAnsi="宋体" w:eastAsia="宋体" w:cs="宋体"/>
          <w:b/>
          <w:color w:val="auto"/>
          <w:sz w:val="21"/>
          <w:szCs w:val="21"/>
          <w:highlight w:val="none"/>
          <w:u w:val="single"/>
          <w:lang w:eastAsia="zh-CN"/>
        </w:rPr>
        <w:t xml:space="preserve">缺陷责任期（</w:t>
      </w:r>
      <w:r>
        <w:rPr>
          <w:rFonts w:hint="eastAsia" w:ascii="宋体" w:hAnsi="宋体" w:eastAsia="宋体" w:cs="宋体"/>
          <w:b/>
          <w:color w:val="auto"/>
          <w:sz w:val="21"/>
          <w:szCs w:val="21"/>
          <w:highlight w:val="none"/>
          <w:u w:val="single"/>
          <w:lang w:val="en-US" w:eastAsia="zh-CN"/>
        </w:rPr>
        <w:t xml:space="preserve">2年</w:t>
      </w:r>
      <w:r>
        <w:rPr>
          <w:rFonts w:hint="eastAsia" w:ascii="宋体" w:hAnsi="宋体" w:eastAsia="宋体" w:cs="宋体"/>
          <w:b/>
          <w:color w:val="auto"/>
          <w:sz w:val="21"/>
          <w:szCs w:val="21"/>
          <w:highlight w:val="none"/>
          <w:u w:val="single"/>
          <w:lang w:eastAsia="zh-CN"/>
        </w:rPr>
        <w:t xml:space="preserve">）满</w:t>
      </w:r>
      <w:r>
        <w:rPr>
          <w:rFonts w:hint="eastAsia" w:ascii="宋体" w:hAnsi="宋体" w:eastAsia="宋体" w:cs="宋体"/>
          <w:b/>
          <w:color w:val="auto"/>
          <w:sz w:val="21"/>
          <w:szCs w:val="21"/>
          <w:highlight w:val="none"/>
          <w:u w:val="single"/>
        </w:rPr>
        <w:t xml:space="preserve">后</w:t>
      </w:r>
      <w:r>
        <w:rPr>
          <w:rFonts w:hint="eastAsia" w:ascii="宋体" w:hAnsi="宋体" w:eastAsia="宋体" w:cs="宋体"/>
          <w:b/>
          <w:color w:val="auto"/>
          <w:sz w:val="21"/>
          <w:szCs w:val="21"/>
          <w:highlight w:val="none"/>
          <w:u w:val="single"/>
          <w:lang w:eastAsia="zh-CN"/>
        </w:rPr>
        <w:t xml:space="preserve">付清余款</w:t>
      </w:r>
      <w:r>
        <w:rPr>
          <w:rFonts w:hint="eastAsia" w:ascii="宋体" w:hAnsi="宋体" w:eastAsia="宋体" w:cs="宋体"/>
          <w:b/>
          <w:color w:val="auto"/>
          <w:sz w:val="21"/>
          <w:szCs w:val="21"/>
          <w:highlight w:val="none"/>
          <w:u w:val="single"/>
        </w:rPr>
        <w:t xml:space="preserve">（不计利息）。</w:t>
      </w:r>
      <w:r/>
    </w:p>
    <w:p>
      <w:pPr>
        <w:ind w:firstLine="422"/>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每次支付工程价款前，承包人须</w:t>
      </w:r>
      <w:r>
        <w:rPr>
          <w:rFonts w:hint="eastAsia" w:ascii="宋体" w:hAnsi="宋体" w:eastAsia="宋体" w:cs="宋体"/>
          <w:b/>
          <w:color w:val="auto"/>
          <w:sz w:val="21"/>
          <w:szCs w:val="21"/>
          <w:highlight w:val="none"/>
          <w:u w:val="single"/>
          <w:lang w:val="en-US" w:eastAsia="zh-CN"/>
        </w:rPr>
        <w:t xml:space="preserve">提前</w:t>
      </w:r>
      <w:r>
        <w:rPr>
          <w:rFonts w:hint="eastAsia" w:ascii="宋体" w:hAnsi="宋体" w:eastAsia="宋体" w:cs="宋体"/>
          <w:b/>
          <w:color w:val="auto"/>
          <w:sz w:val="21"/>
          <w:szCs w:val="21"/>
          <w:highlight w:val="none"/>
          <w:u w:val="single"/>
        </w:rPr>
        <w:t xml:space="preserve">提供满足发包人财务要求的等额增值税发票</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b/>
          <w:color w:val="auto"/>
          <w:sz w:val="21"/>
          <w:szCs w:val="21"/>
          <w:highlight w:val="none"/>
          <w:u w:val="single"/>
        </w:rPr>
        <w:t xml:space="preserve">否则发包人有权延期付款且不承担违约责任。如果因为承包人开具的发票不合规而导致发包人无法税前扣除或遭受其他损失的，承包人应承担赔偿责任，且发包人有权要求承包人重新开具合法有效的增值税发票。</w:t>
      </w:r>
      <w:r/>
    </w:p>
    <w:p>
      <w:pPr>
        <w:ind w:firstLine="422"/>
        <w:keepLines w:val="0"/>
        <w:keepNext w:val="0"/>
        <w:pageBreakBefore w:val="0"/>
        <w:spacing w:line="360" w:lineRule="auto"/>
        <w:shd w:val="clear" w:color="auto" w:fill="ffffff"/>
        <w:widowControl/>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rPr>
          <w:rFonts w:hint="eastAsia" w:ascii="宋体" w:hAnsi="宋体" w:eastAsia="宋体" w:cs="宋体"/>
          <w:b/>
          <w:sz w:val="21"/>
          <w:szCs w:val="21"/>
          <w:highlight w:val="none"/>
          <w:u w:val="single"/>
          <w:lang w:eastAsia="zh-CN"/>
        </w:rPr>
        <w:t xml:space="preserve">。</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ind w:firstLine="42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b/>
          <w:color w:val="auto"/>
          <w:sz w:val="21"/>
          <w:szCs w:val="21"/>
          <w:highlight w:val="none"/>
          <w:u w:val="single"/>
        </w:rPr>
        <w:t xml:space="preserve">工程进度款支付不含工程变更、签证、索赔费用。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(1)审计单位审查并报送发包人的期限：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收到承包人提交资料后7天内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strike/>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b/>
          <w:color w:val="auto"/>
          <w:sz w:val="21"/>
          <w:szCs w:val="21"/>
          <w:highlight w:val="none"/>
          <w:u w:val="single"/>
        </w:rPr>
        <w:t xml:space="preserve">按发包人规定的工作流程及要求执行；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验收和工程试车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小时提交书面延期要求。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发包人不按照本项约定组织竣工验收、颁发工程接收证书的违约金的计算方法：</w:t>
      </w:r>
      <w:r>
        <w:rPr>
          <w:rFonts w:hint="eastAsia" w:ascii="宋体" w:hAnsi="宋体" w:eastAsia="宋体" w:cs="宋体"/>
          <w:color w:val="auto"/>
          <w:sz w:val="21"/>
          <w:szCs w:val="21"/>
          <w:highlight w:val="none"/>
        </w:rPr>
        <w:t xml:space="preserve">  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 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lang w:val="en-US" w:eastAsia="zh-CN"/>
        </w:rPr>
        <w:t xml:space="preserve"> 每延迟一天，承包人按合同总价款的</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val="en-US" w:eastAsia="zh-CN"/>
        </w:rPr>
        <w:t xml:space="preserve">‰向发包人支付违约金</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 竣工退场</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承包人完成竣工退场的期限：工程竣工验收</w:t>
      </w:r>
      <w:r>
        <w:rPr>
          <w:rFonts w:hint="eastAsia" w:ascii="宋体" w:hAnsi="宋体" w:eastAsia="宋体" w:cs="宋体"/>
          <w:color w:val="auto"/>
          <w:sz w:val="21"/>
          <w:szCs w:val="21"/>
          <w:highlight w:val="none"/>
          <w:lang w:val="en-US" w:eastAsia="zh-CN"/>
        </w:rPr>
        <w:t xml:space="preserve">合格</w:t>
      </w:r>
      <w:r>
        <w:rPr>
          <w:rFonts w:hint="eastAsia" w:ascii="宋体" w:hAnsi="宋体" w:eastAsia="宋体" w:cs="宋体"/>
          <w:color w:val="auto"/>
          <w:sz w:val="21"/>
          <w:szCs w:val="21"/>
          <w:highlight w:val="none"/>
        </w:rPr>
        <w:t xml:space="preserve">后，施工单位的施工人员、材料、设备必须在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天内全部退出现场，并将施工现场及临时占地范围内的所有场地清理干净。每延迟一天退场承包人支付1000元违约金。</w:t>
      </w:r>
      <w:bookmarkEnd w:id="31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pStyle w:val="781"/>
        <w:pageBreakBefore w:val="0"/>
        <w:spacing w:before="120" w:after="120" w:line="360" w:lineRule="auto"/>
        <w:widowControl w:val="off"/>
        <w:rPr>
          <w:rFonts w:hint="eastAsia" w:ascii="宋体" w:hAnsi="宋体" w:eastAsia="宋体" w:cs="宋体"/>
          <w:b w:val="0"/>
          <w:color w:val="auto"/>
          <w:sz w:val="21"/>
          <w:szCs w:val="21"/>
          <w:highlight w:val="none"/>
        </w:rPr>
      </w:pPr>
      <w:r/>
      <w:bookmarkStart w:id="378" w:name="_Toc351203646"/>
      <w:r/>
      <w:bookmarkStart w:id="379" w:name="_Toc351203647"/>
      <w:r/>
      <w:bookmarkStart w:id="380" w:name="_Toc267251483"/>
      <w:r/>
      <w:bookmarkStart w:id="381" w:name="_Toc267251482"/>
      <w:r/>
      <w:bookmarkStart w:id="382" w:name="_Toc267251484"/>
      <w:r/>
      <w:bookmarkStart w:id="383" w:name="_Toc267251485"/>
      <w:r/>
      <w:bookmarkStart w:id="384" w:name="_Toc267251507"/>
      <w:r/>
      <w:bookmarkStart w:id="385" w:name="_Toc267251497"/>
      <w:r/>
      <w:bookmarkStart w:id="386" w:name="_Toc267251504"/>
      <w:r/>
      <w:bookmarkStart w:id="387" w:name="_Toc267251495"/>
      <w:r/>
      <w:bookmarkStart w:id="388" w:name="_Toc267251491"/>
      <w:r/>
      <w:bookmarkStart w:id="389" w:name="_Toc267251488"/>
      <w:r/>
      <w:bookmarkStart w:id="390" w:name="_Toc267251502"/>
      <w:r/>
      <w:bookmarkStart w:id="391" w:name="_Toc267251503"/>
      <w:r/>
      <w:bookmarkStart w:id="392" w:name="_Toc267251501"/>
      <w:r/>
      <w:bookmarkStart w:id="393" w:name="_Toc267251499"/>
      <w:r/>
      <w:bookmarkStart w:id="394" w:name="_Toc267251498"/>
      <w:r/>
      <w:bookmarkStart w:id="395" w:name="_Toc267251489"/>
      <w:r/>
      <w:bookmarkStart w:id="396" w:name="_Toc267251492"/>
      <w:r/>
      <w:bookmarkStart w:id="397" w:name="_Toc267251494"/>
      <w:r/>
      <w:bookmarkStart w:id="398" w:name="_Toc267251506"/>
      <w:r/>
      <w:bookmarkStart w:id="399" w:name="_Toc267251496"/>
      <w:r/>
      <w:bookmarkStart w:id="400" w:name="_Toc267251490"/>
      <w:r/>
      <w:bookmarkStart w:id="401" w:name="_Toc267251486"/>
      <w:r/>
      <w:bookmarkStart w:id="402" w:name="_Toc267251493"/>
      <w:r/>
      <w:bookmarkStart w:id="403" w:name="_Toc267251508"/>
      <w:r/>
      <w:bookmarkStart w:id="404" w:name="_Toc267251511"/>
      <w:r/>
      <w:bookmarkStart w:id="405" w:name="_Toc267251513"/>
      <w:r/>
      <w:bookmarkStart w:id="406" w:name="_Toc267251509"/>
      <w:r/>
      <w:bookmarkStart w:id="407" w:name="_Toc267251514"/>
      <w:r/>
      <w:bookmarkStart w:id="408" w:name="_Toc267251510"/>
      <w:r/>
      <w:bookmarkStart w:id="409" w:name="_Toc267251515"/>
      <w:r>
        <w:rPr>
          <w:rFonts w:hint="eastAsia" w:ascii="宋体" w:hAnsi="宋体" w:eastAsia="宋体" w:cs="宋体"/>
          <w:b w:val="0"/>
          <w:color w:val="auto"/>
          <w:sz w:val="21"/>
          <w:szCs w:val="21"/>
          <w:highlight w:val="none"/>
        </w:rPr>
        <w:t xml:space="preserve">14. 竣工结算</w:t>
      </w:r>
      <w:bookmarkEnd w:id="378"/>
      <w:r/>
      <w:r/>
    </w:p>
    <w:p>
      <w:pPr>
        <w:ind w:firstLine="420"/>
        <w:pageBreakBefore w:val="0"/>
        <w:spacing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在工程竣工验收合格后28天内向发包人和监理人提交竣工结算申请单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（1）竣工结算合同价格；</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（2）发包人已支付承包人的款项；</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（3）应扣留的质量保证金； </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（4）发包人应支付承包人的合同价款。 </w:t>
      </w:r>
      <w:r/>
    </w:p>
    <w:p>
      <w:pPr>
        <w:ind w:firstLine="420"/>
        <w:pageBreakBefore w:val="0"/>
        <w:spacing w:after="120"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发包人在收到承包人提交竣工结算申请书后6个月内完成审批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发包人应在签发竣工付款证书后，完成对承包人的竣工付款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w:t>
      </w:r>
      <w:r>
        <w:rPr>
          <w:rFonts w:hint="eastAsia" w:ascii="宋体" w:hAnsi="宋体" w:eastAsia="宋体" w:cs="宋体"/>
          <w:color w:val="auto"/>
          <w:sz w:val="21"/>
          <w:szCs w:val="21"/>
          <w:highlight w:val="none"/>
        </w:rPr>
        <w:t xml:space="preserve">。</w:t>
      </w:r>
      <w:r/>
    </w:p>
    <w:p>
      <w:pPr>
        <w:ind w:firstLine="422"/>
        <w:jc w:val="left"/>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工程结算值经最终审定后，核减额5%以内的审计费由发包人支付，超过5%部分的审计费由承包人支付，从工程款中扣除。</w:t>
      </w:r>
      <w:r/>
    </w:p>
    <w:p>
      <w:pPr>
        <w:ind w:firstLine="420"/>
        <w:pageBreakBefore w:val="0"/>
        <w:spacing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按发包人要求执行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在缺陷责任期终止证书颁发后7日内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按发包人工作流程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在颁发最终结清证书后完成支付</w:t>
      </w:r>
      <w:r>
        <w:rPr>
          <w:rFonts w:hint="eastAsia" w:ascii="宋体" w:hAnsi="宋体" w:eastAsia="宋体" w:cs="宋体"/>
          <w:color w:val="auto"/>
          <w:sz w:val="21"/>
          <w:szCs w:val="21"/>
          <w:highlight w:val="none"/>
        </w:rPr>
        <w:t xml:space="preserve">。     </w:t>
      </w:r>
      <w:r/>
    </w:p>
    <w:p>
      <w:pPr>
        <w:ind w:firstLine="420"/>
        <w:keepLines/>
        <w:keepNext/>
        <w:pageBreakBefore w:val="0"/>
        <w:spacing w:line="360" w:lineRule="auto"/>
        <w:widowControl w:val="off"/>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15. 缺陷责任期与保修</w:t>
      </w:r>
      <w:bookmarkEnd w:id="379"/>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380"/>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b/>
          <w:bCs/>
          <w:color w:val="auto"/>
          <w:sz w:val="21"/>
          <w:szCs w:val="21"/>
          <w:highlight w:val="none"/>
          <w:u w:val="single"/>
        </w:rPr>
        <w:t xml:space="preserve">自整体工程实际竣工并经验收合格之日起24个月</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质量保证金</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b/>
          <w:color w:val="auto"/>
          <w:sz w:val="21"/>
          <w:szCs w:val="21"/>
          <w:highlight w:val="none"/>
          <w:u w:val="single"/>
        </w:rPr>
        <w:t xml:space="preserve"> 工程竣工</w:t>
      </w:r>
      <w:r>
        <w:rPr>
          <w:rFonts w:hint="eastAsia" w:ascii="宋体" w:hAnsi="宋体" w:eastAsia="宋体" w:cs="宋体"/>
          <w:b/>
          <w:color w:val="auto"/>
          <w:sz w:val="21"/>
          <w:szCs w:val="21"/>
          <w:highlight w:val="none"/>
          <w:u w:val="single"/>
          <w:lang w:val="en-US" w:eastAsia="zh-CN"/>
        </w:rPr>
        <w:t xml:space="preserve">验收</w:t>
      </w:r>
      <w:r>
        <w:rPr>
          <w:rFonts w:hint="eastAsia" w:ascii="宋体" w:hAnsi="宋体" w:eastAsia="宋体" w:cs="宋体"/>
          <w:b/>
          <w:color w:val="auto"/>
          <w:sz w:val="21"/>
          <w:szCs w:val="21"/>
          <w:highlight w:val="none"/>
          <w:u w:val="single"/>
        </w:rPr>
        <w:t xml:space="preserve">时一次性扣留</w:t>
      </w:r>
      <w:r>
        <w:rPr>
          <w:rFonts w:hint="eastAsia" w:ascii="宋体" w:hAnsi="宋体" w:eastAsia="宋体" w:cs="宋体"/>
          <w:b/>
          <w:color w:val="auto"/>
          <w:sz w:val="21"/>
          <w:szCs w:val="21"/>
          <w:highlight w:val="none"/>
          <w:u w:val="single"/>
          <w:lang w:val="en-US" w:eastAsia="zh-CN"/>
        </w:rPr>
        <w:t xml:space="preserve"> 3% </w:t>
      </w:r>
      <w:r>
        <w:rPr>
          <w:rFonts w:hint="eastAsia" w:ascii="宋体" w:hAnsi="宋体" w:eastAsia="宋体" w:cs="宋体"/>
          <w:b/>
          <w:color w:val="auto"/>
          <w:sz w:val="21"/>
          <w:szCs w:val="21"/>
          <w:highlight w:val="none"/>
          <w:u w:val="single"/>
        </w:rPr>
        <w:t xml:space="preserve">质量保证金</w:t>
      </w:r>
      <w:r>
        <w:rPr>
          <w:rFonts w:hint="eastAsia" w:ascii="宋体" w:hAnsi="宋体" w:eastAsia="宋体" w:cs="宋体"/>
          <w:b/>
          <w:color w:val="auto"/>
          <w:sz w:val="21"/>
          <w:szCs w:val="21"/>
          <w:highlight w:val="none"/>
          <w:u w:val="single"/>
          <w:lang w:eastAsia="zh-CN"/>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承包人提供质量保证金的方式</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b/>
          <w:color w:val="auto"/>
          <w:sz w:val="21"/>
          <w:szCs w:val="21"/>
          <w:highlight w:val="none"/>
          <w:u w:val="single"/>
        </w:rPr>
        <w:t xml:space="preserve">/； </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%的工程款；</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 </w:t>
      </w:r>
      <w:r>
        <w:rPr>
          <w:rFonts w:hint="eastAsia" w:ascii="宋体" w:hAnsi="宋体" w:eastAsia="宋体" w:cs="宋体"/>
          <w:color w:val="auto"/>
          <w:sz w:val="21"/>
          <w:szCs w:val="21"/>
          <w:highlight w:val="none"/>
        </w:rPr>
        <w:t xml:space="preserve">种方式：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时一次性扣留</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审定价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质量保证金；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w:t>
      </w:r>
      <w:bookmarkEnd w:id="381"/>
      <w:r/>
      <w:bookmarkEnd w:id="38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383"/>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见工程质量保修书 。</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承包人收到保修通知并到达工程现场且修理完成的合理时间：</w:t>
      </w:r>
      <w:r>
        <w:rPr>
          <w:rFonts w:hint="eastAsia" w:ascii="宋体" w:hAnsi="宋体" w:eastAsia="宋体" w:cs="宋体"/>
          <w:b/>
          <w:color w:val="auto"/>
          <w:sz w:val="21"/>
          <w:szCs w:val="21"/>
          <w:highlight w:val="none"/>
          <w:u w:val="single"/>
        </w:rPr>
        <w:t xml:space="preserve"> 收到保修通知或口头通知后24小时内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发包人违约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w:t>
      </w:r>
      <w:r/>
    </w:p>
    <w:p>
      <w:pPr>
        <w:ind w:left="1050" w:hanging="10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（2）因发包人原因无正当理由未能按合同约定支付合同价款的违约责任：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70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承包人违约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因承包人安全文明措施不到位的或未按规定实施的;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若因承包人原因，导致周边住户和单位投诉或新闻媒体负面曝光;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承包人不能按规定上报竣工结算;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因承包人原因发生安全事故给发包人造成影响的;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承包人其他违约情形。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承包人承担全部费用并承担相应法律责任，费用工期不顺延 。工期延误每延误一天，承包人赔偿给发包人合同总价款</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‰的违约金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并从工程款中直接扣除，延期超过30日的，发包人有权单方解除合同，并有权要求承包人赔偿发包人因此遭受的一切损失。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承包人在现场的设备和材料等无条件</w:t>
      </w:r>
      <w:r>
        <w:rPr>
          <w:rFonts w:hint="eastAsia" w:ascii="宋体" w:hAnsi="宋体" w:eastAsia="宋体" w:cs="宋体"/>
          <w:color w:val="auto"/>
          <w:sz w:val="21"/>
          <w:szCs w:val="21"/>
          <w:highlight w:val="none"/>
          <w:u w:val="single"/>
          <w:lang w:val="en-US" w:eastAsia="zh-CN"/>
        </w:rPr>
        <w:t xml:space="preserve">无偿</w:t>
      </w:r>
      <w:r>
        <w:rPr>
          <w:rFonts w:hint="eastAsia" w:ascii="宋体" w:hAnsi="宋体" w:eastAsia="宋体" w:cs="宋体"/>
          <w:color w:val="auto"/>
          <w:sz w:val="21"/>
          <w:szCs w:val="21"/>
          <w:highlight w:val="none"/>
          <w:u w:val="single"/>
        </w:rPr>
        <w:t xml:space="preserve">供发包人使用，其设备租金和材料价值待法院裁定后，如有剩余，在裁定生效后7天内支付。</w:t>
      </w:r>
      <w:r/>
    </w:p>
    <w:p>
      <w:pPr>
        <w:ind w:left="160"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不可抗力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因不可抗力解除合同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保险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建筑工程一切险由承包人负责投保，相关费用已含在投标报价中。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其他保险</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按通用条款执行。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争议解决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20.4仲裁或诉讼</w:t>
      </w:r>
      <w:bookmarkEnd w:id="40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连云港市</w:t>
      </w:r>
      <w:r>
        <w:rPr>
          <w:rFonts w:hint="eastAsia" w:ascii="宋体" w:hAnsi="宋体" w:cs="宋体"/>
          <w:b/>
          <w:color w:val="auto"/>
          <w:sz w:val="21"/>
          <w:szCs w:val="21"/>
          <w:highlight w:val="none"/>
          <w:u w:val="single"/>
          <w:lang w:eastAsia="zh-CN"/>
        </w:rPr>
        <w:t xml:space="preserve">连云区</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的人民法院起诉。</w:t>
      </w:r>
      <w:bookmarkEnd w:id="404"/>
      <w:r/>
      <w:bookmarkEnd w:id="405"/>
      <w:r/>
      <w:bookmarkEnd w:id="406"/>
      <w:r/>
      <w:bookmarkEnd w:id="407"/>
      <w:r/>
      <w:bookmarkEnd w:id="408"/>
      <w:r/>
      <w:bookmarkEnd w:id="409"/>
      <w:r/>
      <w:bookmarkStart w:id="410" w:name="_Toc351203652"/>
      <w:r/>
      <w:bookmarkEnd w:id="41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承包人不得转包或者违法分包，一经发现，发包人有权立即解除本合同，并有权要求承包人承担合同总价款20%的违约金，造成发包人其他损失的，包括但不限于律师费、诉讼费等，承包人还需按实赔偿。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承包人应当严格落实安全生产保障措施，如发生安全事故，由承包人负责处理并承担全部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发包人有权随时解除本合同、并要求承包人承担合同总价款20%的违约金，承包人必须在发包人要求的期限内清场，不得影响工程的后续建设，如影响工程后续建设的，还应当赔偿发包人的实际损失。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承包人应当按时向发包人提供工程竣工验收资料及归档材料，如不能按期提供，发包人有权要求承包人承担合同总价款5%的违约金，承包人还应当按照发包人要求及时完成。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其他违约责任</w:t>
      </w:r>
      <w:r>
        <w:rPr>
          <w:rFonts w:hint="eastAsia" w:ascii="宋体" w:hAnsi="宋体" w:eastAsia="宋体" w:cs="宋体"/>
          <w:color w:val="auto"/>
          <w:sz w:val="21"/>
          <w:szCs w:val="21"/>
          <w:highlight w:val="none"/>
          <w:lang w:eastAsia="zh-CN"/>
        </w:rPr>
        <w:t xml:space="preserve">及其他未尽事宜</w:t>
      </w:r>
      <w:r>
        <w:rPr>
          <w:rFonts w:hint="eastAsia" w:ascii="宋体" w:hAnsi="宋体" w:eastAsia="宋体" w:cs="宋体"/>
          <w:color w:val="auto"/>
          <w:sz w:val="21"/>
          <w:szCs w:val="21"/>
          <w:highlight w:val="none"/>
        </w:rPr>
        <w:t xml:space="preserve">按照通用条款执行。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21.5双方就具体事宜达成的书面协议作为合同组成部分。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21.6投标文件如与招标文件要求不一致时，以招标文件为准。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21.7本合同附件，合同附件与合同具有同等的法律效力。</w:t>
      </w:r>
      <w:r/>
    </w:p>
    <w:p>
      <w:pPr>
        <w:ind w:firstLine="420"/>
        <w:spacing w:line="360" w:lineRule="auto"/>
        <w:rPr>
          <w:rFonts w:hint="eastAsia" w:ascii="宋体" w:hAnsi="宋体" w:eastAsia="宋体" w:cs="宋体"/>
          <w:color w:val="auto"/>
          <w:sz w:val="21"/>
          <w:szCs w:val="21"/>
          <w:highlight w:val="none"/>
        </w:rPr>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color w:val="auto"/>
          <w:sz w:val="21"/>
          <w:szCs w:val="21"/>
          <w:highlight w:val="none"/>
        </w:rPr>
      </w:r>
      <w:r/>
    </w:p>
    <w:p>
      <w:pPr>
        <w:pStyle w:val="109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小官山滨海森林步道增加附属设施项目</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二、质量保修期</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根据《建设工程质量管理条例》及有关规定，工程的质量保修期</w:t>
      </w:r>
      <w:r>
        <w:rPr>
          <w:rFonts w:hint="eastAsia" w:ascii="宋体" w:hAnsi="宋体" w:cs="Times New Roman"/>
          <w:color w:val="000000"/>
          <w:sz w:val="21"/>
          <w:szCs w:val="21"/>
          <w:highlight w:val="none"/>
          <w:u w:val="none"/>
          <w:lang w:val="en-US" w:eastAsia="zh-CN"/>
        </w:rPr>
        <w:t xml:space="preserve">2年</w:t>
      </w:r>
      <w:r>
        <w:rPr>
          <w:rFonts w:hint="eastAsia" w:ascii="宋体" w:hAnsi="宋体" w:eastAsia="宋体" w:cs="Times New Roman"/>
          <w:color w:val="000000"/>
          <w:sz w:val="21"/>
          <w:szCs w:val="21"/>
          <w:highlight w:val="none"/>
          <w:u w:val="none"/>
          <w:lang w:val="en-US" w:eastAsia="zh-CN"/>
        </w:rPr>
        <w:t xml:space="preserve">。</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lang w:val="en-US" w:eastAsia="zh-CN"/>
        </w:rPr>
        <w:t xml:space="preserve">质量保修期自工程竣工验收合格之日起计算。</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07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07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07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09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91"/>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4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5"/>
        <w:rPr>
          <w:rFonts w:hint="eastAsia" w:ascii="宋体" w:hAnsi="宋体" w:eastAsia="宋体"/>
          <w:color w:val="auto"/>
          <w:sz w:val="21"/>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45"/>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ind w:firstLine="561"/>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074"/>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我单位系作为</w:t>
      </w:r>
      <w:r>
        <w:rPr>
          <w:rFonts w:hint="eastAsia"/>
          <w:color w:val="000000"/>
          <w:szCs w:val="21"/>
          <w:highlight w:val="none"/>
          <w:u w:val="single"/>
          <w:lang w:eastAsia="zh-CN"/>
        </w:rPr>
        <w:t xml:space="preserve">小官山滨海森林步道增加附属设施项目</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小官山滨海森林步道增加附属设施项目</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45"/>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ascii="宋体" w:hAnsi="宋体" w:cs="宋体"/>
          <w:highlight w:val="none"/>
        </w:rPr>
      </w:pPr>
      <w:r>
        <w:rPr>
          <w:rFonts w:hint="eastAsia" w:ascii="宋体" w:hAnsi="宋体" w:cs="宋体"/>
          <w:highlight w:val="none"/>
        </w:rPr>
        <w:t xml:space="preserve">附件</w:t>
      </w:r>
      <w:r>
        <w:rPr>
          <w:rFonts w:hint="eastAsia" w:ascii="宋体" w:hAnsi="宋体" w:cs="宋体"/>
          <w:highlight w:val="none"/>
          <w:lang w:val="en-US" w:eastAsia="zh-CN"/>
        </w:rPr>
        <w:t xml:space="preserve">6</w:t>
      </w:r>
      <w:r>
        <w:rPr>
          <w:rFonts w:hint="eastAsia" w:ascii="宋体" w:hAnsi="宋体" w:cs="宋体"/>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074"/>
        <w:ind w:left="0" w:right="0" w:firstLine="420"/>
        <w:spacing w:before="0" w:after="0"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 xml:space="preserve">致：</w:t>
      </w:r>
      <w:r>
        <w:rPr>
          <w:rFonts w:hint="eastAsia" w:ascii="宋体" w:hAnsi="宋体" w:cs="宋体"/>
          <w:sz w:val="21"/>
          <w:szCs w:val="21"/>
          <w:highlight w:val="none"/>
          <w:lang w:val="en-US" w:eastAsia="zh-CN"/>
        </w:rPr>
        <w:t xml:space="preserve">采购人</w:t>
      </w:r>
      <w:r/>
    </w:p>
    <w:p>
      <w:pPr>
        <w:pStyle w:val="1074"/>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074"/>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小官山滨海森林步道增加附属设施项目</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07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074"/>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74"/>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4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411"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411"/>
      <w:r/>
      <w:r/>
    </w:p>
    <w:p>
      <w:pPr>
        <w:ind w:firstLine="517"/>
        <w:jc w:val="left"/>
        <w:spacing w:line="360" w:lineRule="auto"/>
        <w:rPr>
          <w:rFonts w:hint="eastAsia" w:ascii="宋体" w:hAnsi="宋体" w:eastAsia="宋体" w:cs="宋体"/>
          <w:b/>
          <w:bCs/>
          <w:color w:val="auto"/>
          <w:sz w:val="21"/>
          <w:szCs w:val="21"/>
          <w:highlight w:val="none"/>
        </w:rPr>
      </w:pPr>
      <w:r/>
      <w:bookmarkStart w:id="412" w:name="_Toc23828480"/>
      <w:r/>
      <w:bookmarkStart w:id="413" w:name="_Toc61149622"/>
      <w:r/>
      <w:bookmarkStart w:id="414" w:name="_Toc26554097"/>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500" w:lineRule="exact"/>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numPr>
          <w:ilvl w:val="0"/>
          <w:numId w:val="4"/>
        </w:numPr>
        <w:ind w:firstLine="422"/>
        <w:jc w:val="left"/>
        <w:spacing w:line="500" w:lineRule="exact"/>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 xml:space="preserve">项目概况：</w:t>
      </w:r>
      <w:r/>
    </w:p>
    <w:p>
      <w:pPr>
        <w:pStyle w:val="778"/>
        <w:ind w:firstLine="630"/>
        <w:jc w:val="left"/>
        <w:spacing w:line="500" w:lineRule="exact"/>
        <w:rPr>
          <w:rFonts w:hint="eastAsia" w:ascii="Times New Roman" w:hAnsi="Times New Roman" w:eastAsia="宋体" w:cs="Times New Roman"/>
          <w:b w:val="0"/>
          <w:bCs/>
          <w:color w:val="auto"/>
          <w:sz w:val="21"/>
          <w:szCs w:val="21"/>
          <w:highlight w:val="none"/>
        </w:rPr>
      </w:pPr>
      <w:r>
        <w:rPr>
          <w:rFonts w:hint="eastAsia" w:ascii="Times New Roman" w:hAnsi="Times New Roman" w:eastAsia="宋体" w:cs="Times New Roman"/>
          <w:b w:val="0"/>
          <w:bCs/>
          <w:color w:val="auto"/>
          <w:sz w:val="21"/>
          <w:szCs w:val="21"/>
          <w:highlight w:val="none"/>
        </w:rPr>
        <w:t xml:space="preserve">本工程为</w:t>
      </w:r>
      <w:r>
        <w:rPr>
          <w:rFonts w:hint="eastAsia" w:ascii="Times New Roman" w:eastAsia="宋体" w:cs="Times New Roman"/>
          <w:b w:val="0"/>
          <w:bCs/>
          <w:color w:val="auto"/>
          <w:sz w:val="21"/>
          <w:szCs w:val="21"/>
          <w:highlight w:val="none"/>
          <w:lang w:eastAsia="zh-CN"/>
        </w:rPr>
        <w:t xml:space="preserve">小官山滨海森林步道增加附属设施项目</w:t>
      </w:r>
      <w:r>
        <w:rPr>
          <w:rFonts w:hint="eastAsia" w:ascii="Times New Roman" w:hAnsi="Times New Roman" w:eastAsia="宋体" w:cs="Times New Roman"/>
          <w:b w:val="0"/>
          <w:bCs/>
          <w:color w:val="auto"/>
          <w:sz w:val="21"/>
          <w:szCs w:val="21"/>
          <w:highlight w:val="none"/>
        </w:rPr>
        <w:t xml:space="preserve">，项目起点为海州湾会议用心，终点至神州拦海大坝，项目穿越云台山风景名区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片区、</w:t>
      </w:r>
      <w:r>
        <w:rPr>
          <w:rFonts w:hint="eastAsia" w:ascii="Times New Roman" w:eastAsia="宋体" w:cs="Times New Roman"/>
          <w:b w:val="0"/>
          <w:bCs/>
          <w:color w:val="auto"/>
          <w:sz w:val="21"/>
          <w:szCs w:val="21"/>
          <w:highlight w:val="none"/>
          <w:lang w:val="en-US" w:eastAsia="zh-CN"/>
        </w:rPr>
        <w:t xml:space="preserve">北固山</w:t>
      </w:r>
      <w:r>
        <w:rPr>
          <w:rFonts w:hint="eastAsia" w:ascii="Times New Roman" w:hAnsi="Times New Roman" w:eastAsia="宋体" w:cs="Times New Roman"/>
          <w:b w:val="0"/>
          <w:bCs/>
          <w:color w:val="auto"/>
          <w:sz w:val="21"/>
          <w:szCs w:val="21"/>
          <w:highlight w:val="none"/>
        </w:rPr>
        <w:t xml:space="preserve">省级森林公园。海滨栈道采用水泥混凝土、沥青、石材、防腐木等材料作为路面，同步修筑排水边沟、护坡护栏、观景平台等配套设施，同步安装简介牌、导向牌、警示牌等配套标识。</w:t>
      </w:r>
      <w:r/>
    </w:p>
    <w:p>
      <w:pPr>
        <w:ind w:firstLine="422"/>
        <w:jc w:val="left"/>
        <w:spacing w:line="500" w:lineRule="exact"/>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二</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小官山滨海森林步道增加附属设施项目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b/>
          <w:bCs/>
          <w:color w:val="auto"/>
          <w:sz w:val="21"/>
          <w:szCs w:val="21"/>
          <w:highlight w:val="none"/>
        </w:rPr>
        <w:t xml:space="preserve">工程量清单</w:t>
      </w:r>
      <w:r>
        <w:rPr>
          <w:rFonts w:hint="eastAsia" w:ascii="Times New Roman"/>
          <w:b/>
          <w:bCs/>
          <w:color w:val="auto"/>
          <w:sz w:val="21"/>
          <w:szCs w:val="21"/>
          <w:highlight w:val="none"/>
          <w:lang w:eastAsia="zh-CN"/>
        </w:rPr>
        <w:t xml:space="preserve">及图纸</w:t>
      </w:r>
      <w:r>
        <w:rPr>
          <w:rFonts w:hint="eastAsia" w:ascii="Times New Roman"/>
          <w:b/>
          <w:bCs/>
          <w:color w:val="auto"/>
          <w:sz w:val="21"/>
          <w:szCs w:val="21"/>
          <w:highlight w:val="none"/>
        </w:rPr>
        <w:t xml:space="preserve">：另附（上传至苏采云系统新增附件处）。</w:t>
      </w:r>
      <w:r/>
    </w:p>
    <w:p>
      <w:pPr>
        <w:ind w:firstLine="422"/>
        <w:jc w:val="left"/>
        <w:keepLines w:val="0"/>
        <w:keepNext w:val="0"/>
        <w:pageBreakBefore w:val="0"/>
        <w:spacing w:line="400" w:lineRule="exact"/>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（一）本工程采用的计价规范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1、《建设工程工程量清单计价规范》(GB50500-2013)；</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2、《江苏省建设工程费用定额》(2014)；</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3、《江苏省市政工程计价定额》(2014)；</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4、连云港市及江苏省相关文件精神。</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（二）本工程采用的技术规范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4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本工程施工图纸。</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、商务条款</w:t>
      </w:r>
      <w:r/>
    </w:p>
    <w:p>
      <w:pPr>
        <w:ind w:firstLine="422"/>
        <w:keepLines w:val="0"/>
        <w:keepNext w:val="0"/>
        <w:pageBreakBefore w:val="0"/>
        <w:spacing w:line="360" w:lineRule="auto"/>
        <w:shd w:val="clear" w:color="auto" w:fill="ffffff"/>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1、付款方式：工程完工验收合格后付至合同价款的80%，审计完成后付至审定价的97% 。留审定价款的3％作为质量保修金，待缺陷责任期（2年）满后付清余款（不计利息）。</w:t>
      </w:r>
      <w:r/>
    </w:p>
    <w:p>
      <w:pPr>
        <w:ind w:firstLine="422"/>
        <w:keepLines w:val="0"/>
        <w:keepNext w:val="0"/>
        <w:pageBreakBefore w:val="0"/>
        <w:spacing w:line="360" w:lineRule="auto"/>
        <w:shd w:val="clear" w:color="auto" w:fill="ffffff"/>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每次支付工程价款前，承包人须提前提供满足发包人财务要求的等额增值税发票，否则发包人有权延期付款且不承担违约责任。如果因为承包人开具的发票不合规而导致发包人无法税前扣除或遭受其他损失的，承包人应承担赔偿责任，且发包人有权要求承包人重新开具合法有效的增值税发票。</w:t>
      </w:r>
      <w:r/>
    </w:p>
    <w:p>
      <w:pPr>
        <w:ind w:firstLine="422"/>
        <w:keepLines w:val="0"/>
        <w:keepNext w:val="0"/>
        <w:pageBreakBefore w:val="0"/>
        <w:spacing w:line="360" w:lineRule="auto"/>
        <w:shd w:val="clear" w:color="auto" w:fill="ffffff"/>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p>
    <w:p>
      <w:pPr>
        <w:pStyle w:val="802"/>
        <w:ind w:firstLine="44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2、工期要求：60日历天（以实际开工日起计算）。</w:t>
      </w:r>
      <w:r/>
    </w:p>
    <w:p>
      <w:pPr>
        <w:ind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3、质量标准：合格。</w:t>
      </w:r>
      <w:r/>
    </w:p>
    <w:p>
      <w:pPr>
        <w:ind w:firstLine="420"/>
        <w:jc w:val="left"/>
        <w:keepLines w:val="0"/>
        <w:keepNext w:val="0"/>
        <w:pageBreakBefore w:val="0"/>
        <w:spacing w:line="440" w:lineRule="exact"/>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48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spacing w:line="520" w:lineRule="exact"/>
        <w:rPr>
          <w:rFonts w:ascii="宋体" w:hAnsi="宋体" w:cs="宋体"/>
          <w:b/>
          <w:bCs/>
          <w:color w:val="auto"/>
          <w:sz w:val="21"/>
          <w:szCs w:val="21"/>
          <w:highlight w:val="none"/>
        </w:rPr>
      </w:pPr>
      <w:r/>
      <w:bookmarkStart w:id="415" w:name="_Toc9279"/>
      <w:r>
        <w:rPr>
          <w:rFonts w:hint="eastAsia" w:ascii="宋体" w:hAnsi="宋体" w:cs="宋体"/>
          <w:b/>
          <w:color w:val="auto"/>
          <w:sz w:val="21"/>
          <w:szCs w:val="21"/>
          <w:highlight w:val="none"/>
          <w:lang w:val="en-US" w:eastAsia="zh-CN"/>
        </w:rPr>
        <w:t xml:space="preserve">六</w:t>
      </w:r>
      <w:r>
        <w:rPr>
          <w:rFonts w:hint="eastAsia" w:ascii="宋体" w:hAnsi="宋体" w:cs="宋体"/>
          <w:b/>
          <w:color w:val="auto"/>
          <w:sz w:val="21"/>
          <w:szCs w:val="21"/>
          <w:highlight w:val="none"/>
        </w:rPr>
        <w:t xml:space="preserve">、报价及其他要求</w:t>
      </w:r>
      <w:bookmarkEnd w:id="415"/>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416" w:name="_Toc20093"/>
      <w:r/>
      <w:r/>
    </w:p>
    <w:p>
      <w:pPr>
        <w:rPr>
          <w:highlight w:val="none"/>
        </w:rPr>
      </w:pPr>
      <w:r>
        <w:rPr>
          <w:highlight w:val="none"/>
        </w:rPr>
      </w:r>
      <w:r/>
    </w:p>
    <w:p>
      <w:pPr>
        <w:pStyle w:val="77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416"/>
      <w:r/>
      <w:r/>
    </w:p>
    <w:p>
      <w:pPr>
        <w:rPr>
          <w:color w:val="auto"/>
          <w:highlight w:val="none"/>
        </w:rPr>
      </w:pPr>
      <w:r>
        <w:rPr>
          <w:color w:val="auto"/>
          <w:highlight w:val="none"/>
        </w:rPr>
      </w:r>
      <w:r/>
    </w:p>
    <w:p>
      <w:pPr>
        <w:rPr>
          <w:color w:val="auto"/>
          <w:highlight w:val="none"/>
        </w:rPr>
      </w:pPr>
      <w:r>
        <w:rPr>
          <w:color w:val="auto"/>
          <w:highlight w:val="none"/>
        </w:rPr>
      </w:r>
      <w:r/>
    </w:p>
    <w:p>
      <w:pPr>
        <w:pStyle w:val="104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4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45"/>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4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45"/>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02"/>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802"/>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02"/>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02"/>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的，即投标(响应)报价&lt;全部通过符合性审查供应商投标(响应)报价平均值×</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的，即投标(响应)报价&lt;通过符合性审查的次低报价供应商投标(响应)报价×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的，即投标(响应)报价&lt;采购项目最高限价×</w:t>
      </w:r>
      <w:r>
        <w:rPr>
          <w:rFonts w:hint="eastAsia" w:ascii="宋体" w:hAnsi="宋体" w:eastAsia="宋体" w:cs="宋体"/>
          <w:b/>
          <w:color w:val="000000"/>
          <w:sz w:val="21"/>
          <w:highlight w:val="none"/>
          <w:lang w:val="en-US" w:eastAsia="zh-CN"/>
        </w:rPr>
        <w:t xml:space="preserve">65%</w:t>
      </w:r>
      <w:r>
        <w:rPr>
          <w:rFonts w:ascii="宋体" w:hAnsi="宋体" w:eastAsia="宋体" w:cs="宋体"/>
          <w:b/>
          <w:color w:val="000000"/>
          <w:sz w:val="21"/>
          <w:highlight w:val="none"/>
        </w:rPr>
        <w:t xml:space="preserve">；</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788"/>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jc w:val="both"/>
              <w:spacing w:line="400" w:lineRule="exact"/>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spacing w:line="312" w:lineRule="atLeast"/>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42分</w:t>
            </w:r>
            <w:r/>
          </w:p>
        </w:tc>
        <w:tc>
          <w:tcPr>
            <w:tcW w:w="8100" w:type="dxa"/>
            <w:vAlign w:val="center"/>
            <w:textDirection w:val="lrTb"/>
            <w:noWrap/>
          </w:tcPr>
          <w:p>
            <w:pPr>
              <w:ind w:left="0" w:right="0" w:firstLine="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400" w:lineRule="exact"/>
              <w:widowControl w:val="off"/>
              <w:rPr>
                <w:b/>
                <w:bCs/>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ind w:firstLine="422"/>
              <w:jc w:val="both"/>
              <w:keepLines w:val="0"/>
              <w:keepNext w:val="0"/>
              <w:pageBreakBefore w:val="0"/>
              <w:spacing w:line="400" w:lineRule="exact"/>
              <w:widowControl w:val="off"/>
              <w:rPr>
                <w:rFonts w:hint="eastAsia"/>
                <w:b/>
                <w:bCs/>
                <w:color w:val="auto"/>
                <w:sz w:val="21"/>
                <w:szCs w:val="21"/>
                <w:highlight w:val="none"/>
              </w:rPr>
            </w:pPr>
            <w:r>
              <w:rPr>
                <w:rFonts w:hint="eastAsia"/>
                <w:b/>
                <w:bCs/>
                <w:color w:val="auto"/>
                <w:sz w:val="21"/>
                <w:szCs w:val="21"/>
                <w:highlight w:val="none"/>
              </w:rPr>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施工方案内容、保证措施</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4、</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8</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8</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5、</w:t>
            </w:r>
            <w:r>
              <w:rPr>
                <w:rFonts w:ascii="宋体" w:hAnsi="宋体" w:eastAsia="宋体" w:cs="宋体"/>
                <w:b/>
                <w:bCs/>
                <w:color w:val="000000"/>
                <w:sz w:val="21"/>
                <w:highlight w:val="none"/>
              </w:rPr>
              <w:t xml:space="preserve">施工机具设备及劳动力配置方案</w:t>
            </w:r>
            <w:r/>
          </w:p>
          <w:p>
            <w:pPr>
              <w:pStyle w:val="104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6</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4</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2</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400" w:lineRule="exact"/>
              <w:widowControl w:val="off"/>
              <w:rPr>
                <w:rFonts w:hint="eastAsia"/>
                <w:color w:val="auto"/>
                <w:highlight w:val="none"/>
                <w:lang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6、</w:t>
            </w:r>
            <w:r>
              <w:rPr>
                <w:rFonts w:hint="eastAsia" w:ascii="宋体" w:hAnsi="宋体" w:eastAsia="宋体" w:cs="宋体"/>
                <w:b/>
                <w:bCs/>
                <w:color w:val="auto"/>
                <w:sz w:val="21"/>
                <w:szCs w:val="21"/>
                <w:highlight w:val="none"/>
              </w:rPr>
              <w:t xml:space="preserve">关键施工技术、工艺及工程项目实施的重点、难点和解决方案</w:t>
            </w:r>
            <w:r/>
          </w:p>
          <w:p>
            <w:pPr>
              <w:pStyle w:val="1047"/>
              <w:ind w:firstLine="210"/>
              <w:jc w:val="left"/>
              <w:keepLines w:val="0"/>
              <w:keepNext w:val="0"/>
              <w:pageBreakBefore w:val="0"/>
              <w:spacing w:line="40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6</w:t>
            </w:r>
            <w:r>
              <w:rPr>
                <w:rFonts w:ascii="Times New Roman" w:hAnsi="Times New Roman"/>
                <w:b/>
                <w:bCs/>
                <w:color w:val="auto"/>
                <w:szCs w:val="21"/>
                <w:highlight w:val="none"/>
              </w:rPr>
              <w:t xml:space="preserve">分；</w:t>
            </w:r>
            <w:r/>
          </w:p>
          <w:p>
            <w:pPr>
              <w:pStyle w:val="1047"/>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4</w:t>
            </w:r>
            <w:r>
              <w:rPr>
                <w:rFonts w:ascii="Times New Roman" w:hAnsi="Times New Roman"/>
                <w:b/>
                <w:bCs/>
                <w:color w:val="auto"/>
                <w:szCs w:val="21"/>
                <w:highlight w:val="none"/>
              </w:rPr>
              <w:t xml:space="preserve">分；</w:t>
            </w:r>
            <w:r/>
          </w:p>
          <w:p>
            <w:pPr>
              <w:pStyle w:val="1047"/>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分。</w:t>
            </w:r>
            <w:r/>
          </w:p>
          <w:p>
            <w:pPr>
              <w:pStyle w:val="1047"/>
              <w:ind w:firstLine="210"/>
              <w:jc w:val="left"/>
              <w:keepLines w:val="0"/>
              <w:keepNext w:val="0"/>
              <w:pageBreakBefore w:val="0"/>
              <w:spacing w:line="400" w:lineRule="exact"/>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1749"/>
        </w:trPr>
        <w:tc>
          <w:tcPr>
            <w:tcW w:w="1115" w:type="dxa"/>
            <w:vAlign w:val="center"/>
            <w:vMerge w:val="restart"/>
            <w:textDirection w:val="lrTb"/>
            <w:noWrap/>
          </w:tcPr>
          <w:p>
            <w:pPr>
              <w:jc w:val="both"/>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28分</w:t>
            </w:r>
            <w:r/>
          </w:p>
        </w:tc>
        <w:tc>
          <w:tcPr>
            <w:tcW w:w="8100" w:type="dxa"/>
            <w:vAlign w:val="center"/>
            <w:textDirection w:val="lrTb"/>
            <w:noWrap/>
          </w:tcPr>
          <w:p>
            <w:pPr>
              <w:keepLines w:val="0"/>
              <w:keepNext w:val="0"/>
              <w:pageBreakBefore w:val="0"/>
              <w:spacing w:line="360" w:lineRule="auto"/>
              <w:widowControl w:val="off"/>
              <w:rPr>
                <w:rFonts w:hint="default"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1、认证体系 （满分6分）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t xml:space="preserve">；</w:t>
            </w:r>
            <w:r/>
          </w:p>
          <w:p>
            <w:pPr>
              <w:ind w:left="0" w:firstLine="422"/>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tc>
      </w:tr>
      <w:tr>
        <w:trPr>
          <w:jc w:val="center"/>
          <w:trHeight w:val="584"/>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2、业绩 （满分8分）</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年1月至今(以竣工验收时间为准）</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过类似市政工程</w:t>
            </w:r>
            <w:r>
              <w:rPr>
                <w:rFonts w:hint="eastAsia" w:ascii="宋体" w:hAnsi="宋体" w:eastAsia="宋体" w:cs="宋体"/>
                <w:color w:val="auto"/>
                <w:sz w:val="21"/>
                <w:szCs w:val="21"/>
                <w:highlight w:val="none"/>
                <w:lang w:val="en-US" w:eastAsia="zh-CN"/>
              </w:rPr>
              <w:t xml:space="preserve">施工业绩的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注：证明材料须</w:t>
            </w:r>
            <w:r>
              <w:rPr>
                <w:rFonts w:hint="eastAsia" w:ascii="宋体" w:hAnsi="宋体" w:eastAsia="宋体" w:cs="宋体"/>
                <w:b/>
                <w:bCs/>
                <w:color w:val="000000"/>
                <w:sz w:val="24"/>
                <w:szCs w:val="24"/>
                <w:highlight w:val="none"/>
                <w:lang w:val="en-US" w:eastAsia="zh-CN" w:bidi="ar-SA"/>
              </w:rPr>
              <w:t xml:space="preserve">同时</w:t>
            </w:r>
            <w:r>
              <w:rPr>
                <w:rFonts w:hint="eastAsia" w:ascii="宋体" w:hAnsi="宋体" w:eastAsia="宋体" w:cs="宋体"/>
                <w:b/>
                <w:bCs/>
                <w:color w:val="000000"/>
                <w:sz w:val="21"/>
                <w:szCs w:val="21"/>
                <w:highlight w:val="none"/>
                <w:lang w:val="en-US" w:eastAsia="zh-CN" w:bidi="ar-SA"/>
              </w:rPr>
              <w:t xml:space="preserve">提供①中标（成交结果）通知书 ②合同 ③竣工验收证明</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color w:val="auto"/>
                <w:szCs w:val="21"/>
                <w:highlight w:val="none"/>
              </w:rPr>
              <w:t xml:space="preserve">竣工验收证明须由建设单位、监理单位、施工单位共同</w:t>
            </w:r>
            <w:r>
              <w:rPr>
                <w:rFonts w:hint="eastAsia" w:ascii="宋体" w:hAnsi="宋体" w:cs="宋体"/>
                <w:b/>
                <w:bCs/>
                <w:color w:val="auto"/>
                <w:szCs w:val="21"/>
                <w:highlight w:val="none"/>
                <w:lang w:eastAsia="zh-CN"/>
              </w:rPr>
              <w:t xml:space="preserve">签字盖章</w:t>
            </w:r>
            <w:r>
              <w:rPr>
                <w:rFonts w:hint="eastAsia" w:ascii="宋体" w:hAnsi="宋体" w:cs="宋体"/>
                <w:b/>
                <w:bCs/>
                <w:color w:val="auto"/>
                <w:szCs w:val="21"/>
                <w:highlight w:val="none"/>
              </w:rPr>
              <w:t xml:space="preserve">，否则不予认可</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，以上3个证明材料扫描件</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未提供或未按要求提供，此项不得分。</w:t>
            </w:r>
            <w:r>
              <w:rPr>
                <w:rFonts w:hint="eastAsia" w:ascii="宋体" w:hAnsi="宋体" w:cs="宋体"/>
                <w:b/>
                <w:bCs/>
                <w:color w:val="000000"/>
                <w:szCs w:val="21"/>
                <w:highlight w:val="none"/>
                <w:lang w:val="zh-CN"/>
              </w:rPr>
              <w:t xml:space="preserve">合同</w:t>
            </w:r>
            <w:r>
              <w:rPr>
                <w:rFonts w:hint="eastAsia" w:ascii="宋体" w:hAnsi="宋体" w:cs="宋体"/>
                <w:b/>
                <w:bCs/>
                <w:color w:val="000000"/>
                <w:szCs w:val="21"/>
                <w:highlight w:val="none"/>
                <w:lang w:val="en-US" w:eastAsia="zh-CN"/>
              </w:rPr>
              <w:t xml:space="preserve">类似或是否符合要求</w:t>
            </w:r>
            <w:r>
              <w:rPr>
                <w:rFonts w:hint="eastAsia" w:ascii="宋体" w:hAnsi="宋体" w:cs="宋体"/>
                <w:b/>
                <w:bCs/>
                <w:color w:val="000000"/>
                <w:szCs w:val="21"/>
                <w:highlight w:val="none"/>
              </w:rPr>
              <w:t xml:space="preserve">，由评审委员会统一认定后给予得分。</w:t>
            </w:r>
            <w:r/>
          </w:p>
        </w:tc>
      </w:tr>
      <w:tr>
        <w:trPr>
          <w:jc w:val="center"/>
          <w:trHeight w:val="3980"/>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bookmarkStart w:id="452" w:name="_GoBack"/>
            <w:r>
              <w:rPr>
                <w:rFonts w:hint="eastAsia" w:ascii="宋体" w:hAnsi="宋体" w:cs="宋体"/>
                <w:b/>
                <w:bCs/>
                <w:color w:val="auto"/>
                <w:sz w:val="21"/>
                <w:szCs w:val="21"/>
                <w:highlight w:val="none"/>
                <w:lang w:val="en-US" w:eastAsia="zh-CN"/>
              </w:rPr>
              <w:t xml:space="preserve">人员配备 （满分14分）</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w:t>
            </w:r>
            <w:r>
              <w:rPr>
                <w:rFonts w:hint="eastAsia" w:ascii="宋体" w:hAnsi="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numPr>
                <w:ilvl w:val="0"/>
                <w:numId w:val="0"/>
              </w:numPr>
              <w:ind w:firstLine="63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技术负责人具有壹级注册建造师得3分，具有贰级注册建造师得1分，本项最高得3分；</w:t>
            </w:r>
            <w:r/>
          </w:p>
          <w:p>
            <w:pPr>
              <w:numPr>
                <w:ilvl w:val="0"/>
                <w:numId w:val="0"/>
              </w:numPr>
              <w:ind w:firstLine="63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负责人具有</w:t>
            </w:r>
            <w:r>
              <w:rPr>
                <w:rFonts w:hint="eastAsia" w:ascii="宋体" w:hAnsi="宋体" w:cs="宋体"/>
                <w:color w:val="auto"/>
                <w:sz w:val="21"/>
                <w:szCs w:val="21"/>
                <w:highlight w:val="none"/>
                <w:lang w:val="en-US" w:eastAsia="zh-CN"/>
              </w:rPr>
              <w:t xml:space="preserve">工程建设类高级及以上技术职称的得3分，具有</w:t>
            </w:r>
            <w:r>
              <w:rPr>
                <w:rFonts w:hint="eastAsia" w:ascii="宋体" w:hAnsi="宋体" w:eastAsia="宋体" w:cs="宋体"/>
                <w:color w:val="auto"/>
                <w:sz w:val="21"/>
                <w:szCs w:val="21"/>
                <w:highlight w:val="none"/>
                <w:lang w:val="en-US" w:eastAsia="zh-CN"/>
              </w:rPr>
              <w:t xml:space="preserve">工程建设类</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eastAsia="zh-CN"/>
              </w:rPr>
              <w:t xml:space="preserve">级职称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分，本项最高得3</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（2）项目组成员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 （项目负责人</w:t>
            </w:r>
            <w:r>
              <w:rPr>
                <w:rFonts w:hint="eastAsia" w:ascii="宋体" w:hAnsi="宋体" w:cs="宋体"/>
                <w:color w:val="auto"/>
                <w:sz w:val="21"/>
                <w:szCs w:val="21"/>
                <w:highlight w:val="none"/>
                <w:lang w:val="en-US" w:eastAsia="zh-CN"/>
              </w:rPr>
              <w:t xml:space="preserve">除外</w:t>
            </w:r>
            <w:r>
              <w:rPr>
                <w:rFonts w:hint="eastAsia" w:ascii="宋体" w:hAnsi="宋体" w:eastAsia="宋体" w:cs="宋体"/>
                <w:color w:val="auto"/>
                <w:sz w:val="21"/>
                <w:szCs w:val="21"/>
                <w:highlight w:val="none"/>
                <w:lang w:val="en-US" w:eastAsia="zh-CN"/>
              </w:rPr>
              <w:t xml:space="preserve">）</w:t>
            </w:r>
            <w:r/>
          </w:p>
          <w:p>
            <w:pPr>
              <w:numPr>
                <w:ilvl w:val="0"/>
                <w:numId w:val="0"/>
              </w:numPr>
              <w:ind w:firstLine="63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项目组成员中具有注册建造师贰级及以上证书（有效期内）或者具有工程建设类中级及以上职称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的，每有一人得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 2个证书只计取一次)</w:t>
            </w:r>
            <w:r>
              <w:rPr>
                <w:rFonts w:hint="eastAsia" w:ascii="宋体" w:hAnsi="宋体" w:eastAsia="宋体" w:cs="宋体"/>
                <w:color w:val="auto"/>
                <w:sz w:val="21"/>
                <w:szCs w:val="21"/>
                <w:highlight w:val="none"/>
                <w:lang w:val="en-US" w:eastAsia="zh-CN"/>
              </w:rPr>
              <w:t xml:space="preserve">。</w:t>
            </w:r>
            <w:r/>
          </w:p>
          <w:p>
            <w:pPr>
              <w:pStyle w:val="845"/>
              <w:ind w:firstLine="422"/>
              <w:rPr>
                <w:rFonts w:hint="eastAsia" w:ascii="宋体" w:hAnsi="宋体" w:cs="宋体"/>
                <w:b/>
                <w:bCs/>
                <w:color w:val="000000"/>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项目组人员有效的相关证书原件扫描件 ③ 上述得分人员磋商供应商为其缴纳的2026年01月至今任意一个月社保证明，以上3个证明材料扫描件。未提供或未按要求提供，此项不得分。</w:t>
            </w:r>
            <w:bookmarkEnd w:id="452"/>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20"/>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78"/>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417" w:name="_Toc2747"/>
      <w:r/>
      <w:r/>
    </w:p>
    <w:p>
      <w:pPr>
        <w:rPr>
          <w:highlight w:val="none"/>
        </w:rPr>
      </w:pPr>
      <w:r>
        <w:rPr>
          <w:highlight w:val="none"/>
        </w:rPr>
      </w:r>
      <w:r/>
    </w:p>
    <w:p>
      <w:pPr>
        <w:pStyle w:val="77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417"/>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45"/>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412"/>
      <w:bookmarkEnd w:id="413"/>
      <w:bookmarkEnd w:id="414"/>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4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18" w:name="_Toc2818"/>
      <w:r/>
      <w:bookmarkStart w:id="419" w:name="_Toc24878535"/>
      <w:r/>
      <w:bookmarkStart w:id="420" w:name="_Toc120614291"/>
      <w:r/>
      <w:bookmarkStart w:id="421" w:name="_Toc22356583"/>
      <w:r/>
      <w:bookmarkStart w:id="422" w:name="_Toc49090582"/>
      <w:r/>
      <w:bookmarkStart w:id="423" w:name="_Toc513029281"/>
      <w:r/>
      <w:bookmarkStart w:id="424" w:name="_Toc23828483"/>
      <w:r/>
      <w:bookmarkStart w:id="425" w:name="_Toc120614284"/>
      <w:r/>
      <w:bookmarkStart w:id="426" w:name="_Toc26554103"/>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41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27" w:name="_Toc6743"/>
      <w:r>
        <w:rPr>
          <w:rFonts w:hint="eastAsia" w:ascii="宋体" w:hAnsi="宋体" w:eastAsia="宋体" w:cs="宋体"/>
          <w:b/>
          <w:bCs/>
          <w:i/>
          <w:color w:val="auto"/>
          <w:sz w:val="24"/>
          <w:szCs w:val="24"/>
          <w:highlight w:val="none"/>
          <w:u w:val="single"/>
        </w:rPr>
        <w:t xml:space="preserve">二、上一年度的财务状况报告</w:t>
      </w:r>
      <w:bookmarkEnd w:id="427"/>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8"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42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9"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429"/>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0"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430"/>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1"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43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2"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43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3" w:name="_Toc26018"/>
      <w:r>
        <w:rPr>
          <w:rFonts w:hint="eastAsia" w:ascii="宋体" w:hAnsi="宋体" w:eastAsia="宋体" w:cs="宋体"/>
          <w:b/>
          <w:bCs/>
          <w:i/>
          <w:iCs/>
          <w:color w:val="auto"/>
          <w:sz w:val="24"/>
          <w:szCs w:val="24"/>
          <w:highlight w:val="none"/>
          <w:u w:val="single"/>
        </w:rPr>
        <w:t xml:space="preserve">八、特定资格要求的证明文件</w:t>
      </w:r>
      <w:bookmarkEnd w:id="433"/>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4"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434"/>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435" w:name="_Toc625"/>
      <w:r>
        <w:rPr>
          <w:rFonts w:hint="eastAsia" w:ascii="宋体" w:hAnsi="宋体" w:eastAsia="宋体" w:cs="宋体"/>
          <w:b/>
          <w:bCs/>
          <w:i/>
          <w:iCs/>
          <w:color w:val="auto"/>
          <w:sz w:val="24"/>
          <w:szCs w:val="24"/>
          <w:highlight w:val="none"/>
          <w:u w:val="single"/>
        </w:rPr>
        <w:t xml:space="preserve">十、磋商响应函</w:t>
      </w:r>
      <w:bookmarkEnd w:id="435"/>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436"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436"/>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437"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437"/>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438"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438"/>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9"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43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40" w:name="_Hlt26955054"/>
      <w:r/>
      <w:bookmarkEnd w:id="440"/>
      <w:r/>
      <w:bookmarkStart w:id="441"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44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442" w:name="_Hlt24879081"/>
            <w:r/>
            <w:bookmarkEnd w:id="442"/>
            <w:r/>
            <w:bookmarkStart w:id="443" w:name="_Hlt26609391"/>
            <w:r/>
            <w:bookmarkEnd w:id="443"/>
            <w:r/>
            <w:bookmarkStart w:id="444" w:name="_Hlt26671372"/>
            <w:r/>
            <w:bookmarkEnd w:id="444"/>
            <w:r/>
            <w:bookmarkStart w:id="445" w:name="_Hlt26671343"/>
            <w:r/>
            <w:bookmarkEnd w:id="445"/>
            <w:r/>
            <w:bookmarkStart w:id="446" w:name="_Hlt26580838"/>
            <w:r/>
            <w:bookmarkEnd w:id="446"/>
            <w:r/>
            <w:bookmarkStart w:id="447" w:name="_Hlt26955056"/>
            <w:r/>
            <w:bookmarkEnd w:id="447"/>
            <w:r/>
            <w:bookmarkStart w:id="448" w:name="_Hlt26782999"/>
            <w:r/>
            <w:bookmarkEnd w:id="448"/>
            <w:r/>
            <w:bookmarkStart w:id="449" w:name="_Hlt26955064"/>
            <w:r/>
            <w:bookmarkEnd w:id="449"/>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450"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45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451"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45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2119"/>
        <w:gridCol w:w="3280"/>
        <w:gridCol w:w="2346"/>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780"/>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bookmarkEnd w:id="419"/>
      <w:bookmarkEnd w:id="420"/>
      <w:bookmarkEnd w:id="421"/>
      <w:bookmarkEnd w:id="422"/>
      <w:bookmarkEnd w:id="423"/>
      <w:bookmarkEnd w:id="424"/>
      <w:bookmarkEnd w:id="425"/>
      <w:bookmarkEnd w:id="426"/>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45"/>
        <w:rPr>
          <w:color w:val="auto"/>
          <w:highlight w:val="none"/>
        </w:rPr>
      </w:pPr>
      <w:r>
        <w:rPr>
          <w:color w:val="auto"/>
          <w:highlight w:val="none"/>
        </w:rPr>
      </w:r>
      <w:r/>
    </w:p>
    <w:p>
      <w:pPr>
        <w:jc w:val="center"/>
        <w:rPr>
          <w:rFonts w:hint="eastAsia" w:ascii="黑体" w:hAnsi="黑体" w:eastAsia="黑体" w:cs="仿宋"/>
          <w:bCs/>
          <w:color w:val="auto"/>
          <w:sz w:val="40"/>
          <w:szCs w:val="32"/>
          <w:highlight w:val="none"/>
        </w:rPr>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0"/>
      </w:rPr>
      <w:framePr w:wrap="around" w:vAnchor="text" w:hAnchor="margin" w:xAlign="center" w:y="1"/>
    </w:pPr>
    <w:r>
      <w:fldChar w:fldCharType="begin"/>
    </w:r>
    <w:r>
      <w:rPr>
        <w:rStyle w:val="830"/>
      </w:rPr>
      <w:instrText xml:space="preserve"> PAGE   \* MERGEFORMAT </w:instrText>
    </w:r>
    <w:r>
      <w:fldChar w:fldCharType="separate"/>
    </w:r>
    <w:r>
      <w:rPr>
        <w:rStyle w:val="830"/>
        <w:lang w:val="zh-CN"/>
      </w:rPr>
      <w:t xml:space="preserve">55</w:t>
    </w:r>
    <w:r>
      <w:fldChar w:fldCharType="end"/>
    </w:r>
    <w:r/>
  </w:p>
  <w:p>
    <w:pPr>
      <w:pStyle w:val="80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3"/>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0"/>
      </w:rPr>
      <w:framePr w:wrap="around" w:vAnchor="text" w:hAnchor="margin" w:xAlign="center" w:y="1"/>
    </w:pPr>
    <w:r>
      <w:fldChar w:fldCharType="begin"/>
    </w:r>
    <w:r>
      <w:rPr>
        <w:rStyle w:val="830"/>
      </w:rPr>
      <w:instrText xml:space="preserve"> PAGE   \* MERGEFORMAT </w:instrText>
    </w:r>
    <w:r>
      <w:fldChar w:fldCharType="separate"/>
    </w:r>
    <w:r>
      <w:rPr>
        <w:rStyle w:val="830"/>
        <w:lang w:val="zh-CN"/>
      </w:rPr>
      <w:t xml:space="preserve">55</w:t>
    </w:r>
    <w:r>
      <w:fldChar w:fldCharType="end"/>
    </w:r>
    <w:r/>
  </w:p>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pPr>
    <w:r>
      <w:rPr>
        <w:rFonts w:hint="eastAsia"/>
        <w:i/>
        <w:color w:val="000000"/>
        <w:lang w:eastAsia="zh-CN"/>
      </w:rPr>
      <w:t xml:space="preserve">小官山滨海森林步道增加附属设施项目</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pPr>
    <w:r>
      <w:rPr>
        <w:rFonts w:hint="eastAsia"/>
        <w:i/>
        <w:color w:val="000000"/>
        <w:lang w:eastAsia="zh-CN"/>
      </w:rPr>
      <w:t xml:space="preserve">小官山滨海森林步道增加附属设施项目</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left"/>
      <w:tabs>
        <w:tab w:val="left" w:pos="3480" w:leader="none"/>
        <w:tab w:val="clear" w:pos="4153" w:leader="none"/>
        <w:tab w:val="clear" w:pos="8306" w:leader="none"/>
      </w:tabs>
      <w:rPr>
        <w:i/>
        <w:color w:val="000000"/>
      </w:rPr>
    </w:pPr>
    <w:r>
      <w:rPr>
        <w:rFonts w:hint="eastAsia"/>
        <w:i/>
        <w:color w:val="000000"/>
        <w:lang w:eastAsia="zh-CN"/>
      </w:rPr>
      <w:t xml:space="preserve">小官山滨海森林步道增加附属设施项目竞争性磋商文件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left"/>
      <w:tabs>
        <w:tab w:val="left" w:pos="3480" w:leader="none"/>
        <w:tab w:val="clear" w:pos="4153" w:leader="none"/>
        <w:tab w:val="clear" w:pos="8306" w:leader="none"/>
      </w:tabs>
      <w:rPr>
        <w:i/>
        <w:color w:val="000000"/>
      </w:rPr>
    </w:pPr>
    <w:r>
      <w:rPr>
        <w:rFonts w:hint="eastAsia"/>
        <w:i/>
        <w:color w:val="000000"/>
        <w:lang w:eastAsia="zh-CN"/>
      </w:rPr>
      <w:t xml:space="preserve">小官山滨海森林步道增加附属设施项目</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Heading 1"/>
    <w:basedOn w:val="777"/>
    <w:next w:val="777"/>
    <w:link w:val="847"/>
    <w:uiPriority w:val="0"/>
    <w:qFormat/>
    <w:pPr>
      <w:keepNext/>
      <w:outlineLvl w:val="0"/>
    </w:pPr>
    <w:rPr>
      <w:rFonts w:ascii="楷体_GB2312" w:eastAsia="楷体_GB2312"/>
      <w:sz w:val="28"/>
      <w:szCs w:val="20"/>
    </w:rPr>
  </w:style>
  <w:style w:type="paragraph" w:styleId="779">
    <w:name w:val="Heading 2"/>
    <w:basedOn w:val="777"/>
    <w:next w:val="777"/>
    <w:link w:val="846"/>
    <w:uiPriority w:val="0"/>
    <w:qFormat/>
    <w:pPr>
      <w:jc w:val="center"/>
      <w:keepLines/>
      <w:keepNext/>
      <w:spacing w:before="260" w:after="260" w:line="415" w:lineRule="auto"/>
      <w:outlineLvl w:val="1"/>
    </w:pPr>
    <w:rPr>
      <w:rFonts w:ascii="Arial" w:hAnsi="Arial" w:eastAsia="幼圆"/>
      <w:b/>
      <w:sz w:val="44"/>
      <w:szCs w:val="20"/>
    </w:rPr>
  </w:style>
  <w:style w:type="paragraph" w:styleId="780">
    <w:name w:val="Heading 3"/>
    <w:basedOn w:val="777"/>
    <w:next w:val="777"/>
    <w:link w:val="1009"/>
    <w:uiPriority w:val="0"/>
    <w:qFormat/>
    <w:pPr>
      <w:keepLines/>
      <w:keepNext/>
      <w:spacing w:before="260" w:after="260" w:line="415" w:lineRule="auto"/>
      <w:outlineLvl w:val="2"/>
    </w:pPr>
    <w:rPr>
      <w:b/>
      <w:sz w:val="32"/>
      <w:szCs w:val="20"/>
    </w:rPr>
  </w:style>
  <w:style w:type="paragraph" w:styleId="781">
    <w:name w:val="Heading 4"/>
    <w:basedOn w:val="777"/>
    <w:next w:val="777"/>
    <w:link w:val="1007"/>
    <w:uiPriority w:val="0"/>
    <w:qFormat/>
    <w:pPr>
      <w:keepLines/>
      <w:keepNext/>
      <w:spacing w:before="280" w:after="290" w:line="376" w:lineRule="auto"/>
      <w:outlineLvl w:val="3"/>
    </w:pPr>
    <w:rPr>
      <w:rFonts w:ascii="Arial" w:hAnsi="Arial" w:eastAsia="黑体"/>
      <w:b/>
      <w:bCs/>
      <w:sz w:val="28"/>
      <w:szCs w:val="28"/>
    </w:rPr>
  </w:style>
  <w:style w:type="paragraph" w:styleId="782">
    <w:name w:val="Heading 5"/>
    <w:basedOn w:val="777"/>
    <w:next w:val="777"/>
    <w:link w:val="1004"/>
    <w:uiPriority w:val="0"/>
    <w:qFormat/>
    <w:pPr>
      <w:keepNext/>
      <w:outlineLvl w:val="4"/>
    </w:pPr>
    <w:rPr>
      <w:rFonts w:ascii="宋体"/>
      <w:b/>
      <w:bCs/>
    </w:rPr>
  </w:style>
  <w:style w:type="paragraph" w:styleId="783">
    <w:name w:val="Heading 6"/>
    <w:basedOn w:val="777"/>
    <w:next w:val="777"/>
    <w:link w:val="853"/>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55"/>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56"/>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0"/>
    <w:qFormat/>
    <w:pPr>
      <w:ind w:left="1200"/>
    </w:pPr>
  </w:style>
  <w:style w:type="paragraph" w:styleId="790">
    <w:name w:val="Normal Indent"/>
    <w:basedOn w:val="777"/>
    <w:next w:val="777"/>
    <w:uiPriority w:val="0"/>
    <w:qFormat/>
    <w:pPr>
      <w:ind w:firstLine="420"/>
    </w:pPr>
    <w:rPr>
      <w:szCs w:val="20"/>
    </w:rPr>
  </w:style>
  <w:style w:type="paragraph" w:styleId="791">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Document Map"/>
    <w:basedOn w:val="777"/>
    <w:link w:val="1010"/>
    <w:uiPriority w:val="0"/>
    <w:qFormat/>
    <w:pPr>
      <w:shd w:val="clear" w:color="auto" w:fill="000080"/>
    </w:pPr>
  </w:style>
  <w:style w:type="paragraph" w:styleId="793">
    <w:name w:val="annotation text"/>
    <w:basedOn w:val="777"/>
    <w:link w:val="1002"/>
    <w:uiPriority w:val="0"/>
    <w:qFormat/>
    <w:pPr>
      <w:jc w:val="left"/>
    </w:pPr>
  </w:style>
  <w:style w:type="paragraph" w:styleId="794">
    <w:name w:val="Body Text 3"/>
    <w:basedOn w:val="777"/>
    <w:link w:val="1018"/>
    <w:uiPriority w:val="0"/>
    <w:qFormat/>
    <w:rPr>
      <w:rFonts w:ascii="仿宋_GB2312" w:eastAsia="仿宋_GB2312"/>
      <w:sz w:val="32"/>
      <w:szCs w:val="20"/>
    </w:rPr>
  </w:style>
  <w:style w:type="paragraph" w:styleId="795">
    <w:name w:val="Body Text"/>
    <w:basedOn w:val="777"/>
    <w:link w:val="1020"/>
    <w:uiPriority w:val="0"/>
    <w:qFormat/>
    <w:rPr>
      <w:rFonts w:ascii="楷体_GB2312" w:eastAsia="楷体_GB2312"/>
      <w:sz w:val="28"/>
      <w:szCs w:val="20"/>
    </w:rPr>
  </w:style>
  <w:style w:type="paragraph" w:styleId="796">
    <w:name w:val="Body Text Indent"/>
    <w:basedOn w:val="777"/>
    <w:next w:val="797"/>
    <w:link w:val="1014"/>
    <w:uiPriority w:val="0"/>
    <w:qFormat/>
    <w:pPr>
      <w:ind w:firstLine="645"/>
    </w:pPr>
    <w:rPr>
      <w:rFonts w:ascii="楷体_GB2312" w:eastAsia="楷体_GB2312"/>
      <w:sz w:val="32"/>
      <w:szCs w:val="20"/>
    </w:rPr>
  </w:style>
  <w:style w:type="paragraph" w:styleId="797">
    <w:name w:val="envelope return"/>
    <w:basedOn w:val="777"/>
    <w:uiPriority w:val="99"/>
    <w:unhideWhenUsed/>
    <w:qFormat/>
    <w:rPr>
      <w:rFonts w:ascii="Arial" w:hAnsi="Arial" w:cs="Arial"/>
    </w:rPr>
  </w:style>
  <w:style w:type="paragraph" w:styleId="798">
    <w:name w:val="Block Text"/>
    <w:basedOn w:val="777"/>
    <w:next w:val="777"/>
    <w:uiPriority w:val="0"/>
    <w:unhideWhenUsed/>
    <w:qFormat/>
    <w:pPr>
      <w:ind w:left="420" w:right="33"/>
    </w:pPr>
    <w:rPr>
      <w:sz w:val="24"/>
    </w:rPr>
  </w:style>
  <w:style w:type="paragraph" w:styleId="799">
    <w:name w:val="index 4"/>
    <w:basedOn w:val="777"/>
    <w:next w:val="777"/>
    <w:uiPriority w:val="0"/>
    <w:semiHidden/>
    <w:qFormat/>
    <w:pPr>
      <w:ind w:left="600" w:firstLine="480"/>
      <w:spacing w:line="288" w:lineRule="auto"/>
      <w:tabs>
        <w:tab w:val="left" w:pos="1440" w:leader="none"/>
        <w:tab w:val="right" w:pos="8505" w:leader="dot"/>
      </w:tabs>
    </w:pPr>
  </w:style>
  <w:style w:type="paragraph" w:styleId="800">
    <w:name w:val="toc 5"/>
    <w:basedOn w:val="777"/>
    <w:next w:val="777"/>
    <w:uiPriority w:val="0"/>
    <w:qFormat/>
    <w:pPr>
      <w:ind w:left="800"/>
    </w:pPr>
  </w:style>
  <w:style w:type="paragraph" w:styleId="801">
    <w:name w:val="toc 3"/>
    <w:basedOn w:val="777"/>
    <w:next w:val="777"/>
    <w:uiPriority w:val="0"/>
    <w:qFormat/>
    <w:pPr>
      <w:ind w:left="539"/>
      <w:jc w:val="left"/>
      <w:spacing w:line="240" w:lineRule="exact"/>
      <w:tabs>
        <w:tab w:val="right" w:pos="9440" w:leader="dot"/>
      </w:tabs>
    </w:pPr>
    <w:rPr>
      <w:rFonts w:ascii="黑体" w:eastAsia="黑体"/>
      <w:bCs/>
      <w:iCs/>
      <w:sz w:val="18"/>
      <w:szCs w:val="32"/>
    </w:rPr>
  </w:style>
  <w:style w:type="paragraph" w:styleId="802">
    <w:name w:val="Plain Text"/>
    <w:basedOn w:val="777"/>
    <w:link w:val="1021"/>
    <w:uiPriority w:val="0"/>
    <w:qFormat/>
    <w:rPr>
      <w:rFonts w:ascii="宋体"/>
      <w:szCs w:val="20"/>
    </w:rPr>
  </w:style>
  <w:style w:type="paragraph" w:styleId="803">
    <w:name w:val="toc 8"/>
    <w:basedOn w:val="777"/>
    <w:next w:val="777"/>
    <w:uiPriority w:val="0"/>
    <w:qFormat/>
    <w:pPr>
      <w:ind w:left="1400"/>
    </w:pPr>
  </w:style>
  <w:style w:type="paragraph" w:styleId="804">
    <w:name w:val="Date"/>
    <w:basedOn w:val="777"/>
    <w:next w:val="777"/>
    <w:link w:val="1016"/>
    <w:uiPriority w:val="0"/>
    <w:qFormat/>
    <w:rPr>
      <w:sz w:val="24"/>
      <w:szCs w:val="20"/>
    </w:rPr>
  </w:style>
  <w:style w:type="paragraph" w:styleId="805">
    <w:name w:val="Body Text Indent 2"/>
    <w:basedOn w:val="777"/>
    <w:link w:val="1015"/>
    <w:uiPriority w:val="0"/>
    <w:qFormat/>
    <w:pPr>
      <w:ind w:firstLine="200"/>
    </w:pPr>
    <w:rPr>
      <w:rFonts w:ascii="宋体"/>
      <w:sz w:val="28"/>
    </w:rPr>
  </w:style>
  <w:style w:type="paragraph" w:styleId="806">
    <w:name w:val="endnote text"/>
    <w:basedOn w:val="777"/>
    <w:link w:val="993"/>
    <w:uiPriority w:val="99"/>
    <w:semiHidden/>
    <w:unhideWhenUsed/>
    <w:qFormat/>
    <w:pPr>
      <w:spacing w:after="0" w:line="240" w:lineRule="auto"/>
    </w:pPr>
    <w:rPr>
      <w:sz w:val="20"/>
    </w:rPr>
  </w:style>
  <w:style w:type="paragraph" w:styleId="807">
    <w:name w:val="Balloon Text"/>
    <w:basedOn w:val="777"/>
    <w:link w:val="1006"/>
    <w:uiPriority w:val="0"/>
    <w:qFormat/>
    <w:rPr>
      <w:sz w:val="18"/>
      <w:szCs w:val="18"/>
    </w:rPr>
  </w:style>
  <w:style w:type="paragraph" w:styleId="808">
    <w:name w:val="Footer"/>
    <w:basedOn w:val="777"/>
    <w:link w:val="1005"/>
    <w:uiPriority w:val="0"/>
    <w:qFormat/>
    <w:pPr>
      <w:jc w:val="left"/>
      <w:tabs>
        <w:tab w:val="center" w:pos="4153" w:leader="none"/>
        <w:tab w:val="right" w:pos="8306" w:leader="none"/>
      </w:tabs>
    </w:pPr>
    <w:rPr>
      <w:sz w:val="18"/>
      <w:szCs w:val="20"/>
    </w:rPr>
  </w:style>
  <w:style w:type="paragraph" w:styleId="809">
    <w:name w:val="Header"/>
    <w:basedOn w:val="777"/>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77"/>
    <w:next w:val="777"/>
    <w:uiPriority w:val="39"/>
    <w:qFormat/>
    <w:pPr>
      <w:jc w:val="left"/>
      <w:spacing w:before="120" w:after="120" w:line="300" w:lineRule="exact"/>
      <w:tabs>
        <w:tab w:val="right" w:pos="9440" w:leader="dot"/>
      </w:tabs>
    </w:pPr>
    <w:rPr>
      <w:rFonts w:ascii="黑体" w:eastAsia="黑体"/>
      <w:b/>
      <w:caps/>
      <w:sz w:val="18"/>
      <w:szCs w:val="28"/>
    </w:rPr>
  </w:style>
  <w:style w:type="paragraph" w:styleId="811">
    <w:name w:val="toc 4"/>
    <w:basedOn w:val="777"/>
    <w:next w:val="777"/>
    <w:uiPriority w:val="0"/>
    <w:qFormat/>
    <w:pPr>
      <w:ind w:left="600"/>
    </w:pPr>
  </w:style>
  <w:style w:type="paragraph" w:styleId="812">
    <w:name w:val="Subtitle"/>
    <w:basedOn w:val="777"/>
    <w:next w:val="777"/>
    <w:link w:val="1011"/>
    <w:uiPriority w:val="0"/>
    <w:qFormat/>
    <w:pPr>
      <w:jc w:val="center"/>
      <w:spacing w:before="240" w:after="60" w:line="312" w:lineRule="auto"/>
      <w:outlineLvl w:val="1"/>
    </w:pPr>
    <w:rPr>
      <w:rFonts w:ascii="Cambria" w:hAnsi="Cambria"/>
      <w:b/>
      <w:bCs/>
      <w:sz w:val="32"/>
      <w:szCs w:val="32"/>
    </w:rPr>
  </w:style>
  <w:style w:type="paragraph" w:styleId="813">
    <w:name w:val="footnote text"/>
    <w:basedOn w:val="777"/>
    <w:link w:val="992"/>
    <w:uiPriority w:val="99"/>
    <w:semiHidden/>
    <w:unhideWhenUsed/>
    <w:qFormat/>
    <w:pPr>
      <w:spacing w:after="40" w:line="240" w:lineRule="auto"/>
    </w:pPr>
    <w:rPr>
      <w:sz w:val="18"/>
    </w:rPr>
  </w:style>
  <w:style w:type="paragraph" w:styleId="814">
    <w:name w:val="toc 6"/>
    <w:basedOn w:val="777"/>
    <w:next w:val="777"/>
    <w:uiPriority w:val="0"/>
    <w:qFormat/>
    <w:pPr>
      <w:ind w:left="1000"/>
    </w:pPr>
  </w:style>
  <w:style w:type="paragraph" w:styleId="815">
    <w:name w:val="Body Text Indent 3"/>
    <w:basedOn w:val="777"/>
    <w:link w:val="1013"/>
    <w:uiPriority w:val="0"/>
    <w:qFormat/>
    <w:pPr>
      <w:ind w:firstLine="523"/>
    </w:pPr>
    <w:rPr>
      <w:rFonts w:ascii="仿宋_GB2312" w:eastAsia="仿宋_GB2312"/>
      <w:sz w:val="24"/>
    </w:rPr>
  </w:style>
  <w:style w:type="paragraph" w:styleId="816">
    <w:name w:val="table of figures"/>
    <w:basedOn w:val="777"/>
    <w:next w:val="777"/>
    <w:uiPriority w:val="99"/>
    <w:unhideWhenUsed/>
    <w:qFormat/>
    <w:pPr>
      <w:spacing w:after="0" w:afterAutospacing="0"/>
    </w:pPr>
  </w:style>
  <w:style w:type="paragraph" w:styleId="817">
    <w:name w:val="toc 2"/>
    <w:basedOn w:val="777"/>
    <w:next w:val="777"/>
    <w:uiPriority w:val="39"/>
    <w:qFormat/>
    <w:pPr>
      <w:jc w:val="left"/>
      <w:spacing w:line="260" w:lineRule="exact"/>
      <w:tabs>
        <w:tab w:val="right" w:pos="9440" w:leader="dot"/>
      </w:tabs>
    </w:pPr>
    <w:rPr>
      <w:rFonts w:ascii="黑体" w:eastAsia="黑体"/>
      <w:b/>
      <w:bCs/>
      <w:smallCaps/>
      <w:sz w:val="18"/>
      <w:szCs w:val="44"/>
    </w:rPr>
  </w:style>
  <w:style w:type="paragraph" w:styleId="818">
    <w:name w:val="toc 9"/>
    <w:basedOn w:val="777"/>
    <w:next w:val="777"/>
    <w:uiPriority w:val="0"/>
    <w:qFormat/>
    <w:pPr>
      <w:ind w:left="1600"/>
    </w:pPr>
  </w:style>
  <w:style w:type="paragraph" w:styleId="819">
    <w:name w:val="Body Text 2"/>
    <w:basedOn w:val="777"/>
    <w:link w:val="1008"/>
    <w:uiPriority w:val="0"/>
    <w:qFormat/>
    <w:pPr>
      <w:jc w:val="center"/>
    </w:pPr>
    <w:rPr>
      <w:rFonts w:ascii="仿宋_GB2312" w:eastAsia="仿宋_GB2312"/>
      <w:sz w:val="44"/>
    </w:rPr>
  </w:style>
  <w:style w:type="paragraph" w:styleId="820">
    <w:name w:val="HTML Preformatted"/>
    <w:basedOn w:val="777"/>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21">
    <w:name w:val="Normal (Web)"/>
    <w:basedOn w:val="777"/>
    <w:uiPriority w:val="99"/>
    <w:qFormat/>
    <w:pPr>
      <w:jc w:val="left"/>
      <w:spacing w:before="100" w:beforeAutospacing="1" w:after="100" w:afterAutospacing="1"/>
      <w:widowControl/>
    </w:pPr>
    <w:rPr>
      <w:rFonts w:ascii="宋体" w:cs="宋体"/>
      <w:sz w:val="24"/>
    </w:rPr>
  </w:style>
  <w:style w:type="paragraph" w:styleId="822">
    <w:name w:val="index 1"/>
    <w:basedOn w:val="777"/>
    <w:next w:val="777"/>
    <w:uiPriority w:val="0"/>
    <w:qFormat/>
    <w:rPr>
      <w:rFonts w:ascii="宋体"/>
      <w:szCs w:val="18"/>
    </w:rPr>
  </w:style>
  <w:style w:type="paragraph" w:styleId="823">
    <w:name w:val="Title"/>
    <w:basedOn w:val="777"/>
    <w:next w:val="777"/>
    <w:link w:val="858"/>
    <w:uiPriority w:val="10"/>
    <w:qFormat/>
    <w:pPr>
      <w:contextualSpacing/>
      <w:spacing w:before="300" w:after="200"/>
    </w:pPr>
    <w:rPr>
      <w:sz w:val="48"/>
      <w:szCs w:val="48"/>
    </w:rPr>
  </w:style>
  <w:style w:type="paragraph" w:styleId="824">
    <w:name w:val="annotation subject"/>
    <w:basedOn w:val="793"/>
    <w:next w:val="793"/>
    <w:link w:val="1001"/>
    <w:uiPriority w:val="0"/>
    <w:qFormat/>
    <w:rPr>
      <w:b/>
      <w:bCs/>
    </w:rPr>
  </w:style>
  <w:style w:type="paragraph" w:styleId="825">
    <w:name w:val="Body Text First Indent"/>
    <w:basedOn w:val="795"/>
    <w:uiPriority w:val="0"/>
    <w:qFormat/>
    <w:pPr>
      <w:ind w:firstLine="420"/>
      <w:spacing w:after="120"/>
    </w:pPr>
    <w:rPr>
      <w:rFonts w:ascii="Times New Roman" w:hAnsi="Times New Roman" w:eastAsia="宋体"/>
      <w:spacing w:val="0"/>
      <w:sz w:val="21"/>
      <w:szCs w:val="24"/>
    </w:rPr>
  </w:style>
  <w:style w:type="paragraph" w:styleId="826">
    <w:name w:val="Body Text First Indent 2"/>
    <w:basedOn w:val="796"/>
    <w:uiPriority w:val="99"/>
    <w:unhideWhenUsed/>
    <w:qFormat/>
    <w:pPr>
      <w:ind w:firstLine="420"/>
    </w:pPr>
  </w:style>
  <w:style w:type="table" w:styleId="827">
    <w:name w:val="Table Grid"/>
    <w:basedOn w:val="7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uiPriority w:val="0"/>
    <w:qFormat/>
    <w:rPr>
      <w:b/>
      <w:bCs/>
    </w:rPr>
  </w:style>
  <w:style w:type="character" w:styleId="829">
    <w:name w:val="endnote reference"/>
    <w:basedOn w:val="787"/>
    <w:uiPriority w:val="99"/>
    <w:semiHidden/>
    <w:unhideWhenUsed/>
    <w:qFormat/>
    <w:rPr>
      <w:vertAlign w:val="superscript"/>
    </w:rPr>
  </w:style>
  <w:style w:type="character" w:styleId="830">
    <w:name w:val="page number"/>
    <w:basedOn w:val="787"/>
    <w:uiPriority w:val="0"/>
    <w:qFormat/>
  </w:style>
  <w:style w:type="character" w:styleId="831">
    <w:name w:val="FollowedHyperlink"/>
    <w:basedOn w:val="787"/>
    <w:uiPriority w:val="99"/>
    <w:qFormat/>
    <w:rPr>
      <w:color w:val="800080"/>
      <w:u w:val="none"/>
    </w:rPr>
  </w:style>
  <w:style w:type="character" w:styleId="832">
    <w:name w:val="Emphasis"/>
    <w:basedOn w:val="787"/>
    <w:uiPriority w:val="20"/>
    <w:qFormat/>
    <w:rPr>
      <w:b/>
      <w:bCs/>
    </w:rPr>
  </w:style>
  <w:style w:type="character" w:styleId="833">
    <w:name w:val="HTML Definition"/>
    <w:basedOn w:val="787"/>
    <w:uiPriority w:val="99"/>
    <w:semiHidden/>
    <w:unhideWhenUsed/>
    <w:qFormat/>
  </w:style>
  <w:style w:type="character" w:styleId="834">
    <w:name w:val="HTML Typewriter"/>
    <w:basedOn w:val="787"/>
    <w:uiPriority w:val="99"/>
    <w:semiHidden/>
    <w:unhideWhenUsed/>
    <w:qFormat/>
    <w:rPr>
      <w:rFonts w:hint="default" w:ascii="monospace" w:hAnsi="monospace" w:eastAsia="monospace" w:cs="monospace"/>
      <w:sz w:val="20"/>
    </w:rPr>
  </w:style>
  <w:style w:type="character" w:styleId="835">
    <w:name w:val="HTML Acronym"/>
    <w:basedOn w:val="787"/>
    <w:uiPriority w:val="99"/>
    <w:semiHidden/>
    <w:unhideWhenUsed/>
    <w:qFormat/>
  </w:style>
  <w:style w:type="character" w:styleId="836">
    <w:name w:val="HTML Variable"/>
    <w:basedOn w:val="787"/>
    <w:uiPriority w:val="99"/>
    <w:semiHidden/>
    <w:unhideWhenUsed/>
    <w:qFormat/>
  </w:style>
  <w:style w:type="character" w:styleId="837">
    <w:name w:val="Hyperlink"/>
    <w:basedOn w:val="787"/>
    <w:uiPriority w:val="99"/>
    <w:qFormat/>
    <w:rPr>
      <w:color w:val="0000ff"/>
      <w:u w:val="none"/>
    </w:rPr>
  </w:style>
  <w:style w:type="character" w:styleId="838">
    <w:name w:val="HTML Code"/>
    <w:basedOn w:val="787"/>
    <w:uiPriority w:val="99"/>
    <w:semiHidden/>
    <w:unhideWhenUsed/>
    <w:qFormat/>
    <w:rPr>
      <w:rFonts w:hint="default" w:ascii="monospace" w:hAnsi="monospace" w:eastAsia="monospace" w:cs="monospace"/>
      <w:sz w:val="20"/>
    </w:rPr>
  </w:style>
  <w:style w:type="character" w:styleId="839">
    <w:name w:val="annotation reference"/>
    <w:uiPriority w:val="0"/>
    <w:qFormat/>
    <w:rPr>
      <w:sz w:val="21"/>
      <w:szCs w:val="21"/>
    </w:rPr>
  </w:style>
  <w:style w:type="character" w:styleId="840">
    <w:name w:val="HTML Cite"/>
    <w:basedOn w:val="787"/>
    <w:uiPriority w:val="99"/>
    <w:semiHidden/>
    <w:unhideWhenUsed/>
    <w:qFormat/>
  </w:style>
  <w:style w:type="character" w:styleId="841">
    <w:name w:val="footnote reference"/>
    <w:basedOn w:val="787"/>
    <w:uiPriority w:val="99"/>
    <w:unhideWhenUsed/>
    <w:qFormat/>
    <w:rPr>
      <w:vertAlign w:val="superscript"/>
    </w:rPr>
  </w:style>
  <w:style w:type="character" w:styleId="842">
    <w:name w:val="HTML Keyboard"/>
    <w:basedOn w:val="787"/>
    <w:uiPriority w:val="99"/>
    <w:semiHidden/>
    <w:unhideWhenUsed/>
    <w:qFormat/>
    <w:rPr>
      <w:rFonts w:hint="default" w:ascii="monospace" w:hAnsi="monospace" w:eastAsia="monospace" w:cs="monospace"/>
      <w:sz w:val="20"/>
    </w:rPr>
  </w:style>
  <w:style w:type="character" w:styleId="843">
    <w:name w:val="HTML Sample"/>
    <w:basedOn w:val="787"/>
    <w:uiPriority w:val="99"/>
    <w:semiHidden/>
    <w:unhideWhenUsed/>
    <w:qFormat/>
    <w:rPr>
      <w:rFonts w:ascii="monospace" w:hAnsi="monospace" w:eastAsia="monospace" w:cs="monospace"/>
      <w:u w:val="none"/>
      <w:shd w:val="clear" w:color="auto" w:fill="ffffff"/>
    </w:rPr>
  </w:style>
  <w:style w:type="paragraph" w:styleId="844" w:customStyle="1">
    <w:name w:val="首行缩进"/>
    <w:basedOn w:val="777"/>
    <w:uiPriority w:val="0"/>
    <w:qFormat/>
    <w:pPr>
      <w:ind w:firstLine="480"/>
    </w:pPr>
    <w:rPr>
      <w:lang w:val="zh-CN"/>
    </w:rPr>
  </w:style>
  <w:style w:type="paragraph" w:styleId="845"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46" w:customStyle="1">
    <w:name w:val="标题 2 Char"/>
    <w:basedOn w:val="787"/>
    <w:link w:val="779"/>
    <w:uiPriority w:val="0"/>
    <w:qFormat/>
    <w:rPr>
      <w:rFonts w:ascii="Arial" w:hAnsi="Arial" w:eastAsia="幼圆"/>
      <w:b/>
      <w:sz w:val="44"/>
    </w:rPr>
  </w:style>
  <w:style w:type="character" w:styleId="847" w:customStyle="1">
    <w:name w:val="标题 1 Char"/>
    <w:basedOn w:val="787"/>
    <w:link w:val="778"/>
    <w:uiPriority w:val="0"/>
    <w:qFormat/>
    <w:rPr>
      <w:rFonts w:ascii="楷体_GB2312" w:eastAsia="楷体_GB2312"/>
      <w:sz w:val="28"/>
    </w:rPr>
  </w:style>
  <w:style w:type="character" w:styleId="848" w:customStyle="1">
    <w:name w:val="Heading 1 Char"/>
    <w:basedOn w:val="787"/>
    <w:uiPriority w:val="9"/>
    <w:qFormat/>
    <w:rPr>
      <w:rFonts w:ascii="Arial" w:hAnsi="Arial" w:eastAsia="Arial" w:cs="Arial"/>
      <w:sz w:val="40"/>
      <w:szCs w:val="40"/>
    </w:rPr>
  </w:style>
  <w:style w:type="character" w:styleId="849" w:customStyle="1">
    <w:name w:val="Heading 2 Char"/>
    <w:basedOn w:val="787"/>
    <w:uiPriority w:val="9"/>
    <w:qFormat/>
    <w:rPr>
      <w:rFonts w:ascii="Arial" w:hAnsi="Arial" w:eastAsia="Arial" w:cs="Arial"/>
      <w:sz w:val="34"/>
    </w:rPr>
  </w:style>
  <w:style w:type="character" w:styleId="850" w:customStyle="1">
    <w:name w:val="Heading 3 Char"/>
    <w:basedOn w:val="787"/>
    <w:uiPriority w:val="9"/>
    <w:qFormat/>
    <w:rPr>
      <w:rFonts w:ascii="Arial" w:hAnsi="Arial" w:eastAsia="Arial" w:cs="Arial"/>
      <w:sz w:val="30"/>
      <w:szCs w:val="30"/>
    </w:rPr>
  </w:style>
  <w:style w:type="character" w:styleId="851" w:customStyle="1">
    <w:name w:val="Heading 4 Char"/>
    <w:basedOn w:val="787"/>
    <w:uiPriority w:val="9"/>
    <w:qFormat/>
    <w:rPr>
      <w:rFonts w:ascii="Arial" w:hAnsi="Arial" w:eastAsia="Arial" w:cs="Arial"/>
      <w:b/>
      <w:bCs/>
      <w:sz w:val="26"/>
      <w:szCs w:val="26"/>
    </w:rPr>
  </w:style>
  <w:style w:type="character" w:styleId="852" w:customStyle="1">
    <w:name w:val="Heading 5 Char"/>
    <w:basedOn w:val="787"/>
    <w:uiPriority w:val="9"/>
    <w:qFormat/>
    <w:rPr>
      <w:rFonts w:ascii="Arial" w:hAnsi="Arial" w:eastAsia="Arial" w:cs="Arial"/>
      <w:b/>
      <w:bCs/>
      <w:sz w:val="24"/>
      <w:szCs w:val="24"/>
    </w:rPr>
  </w:style>
  <w:style w:type="character" w:styleId="853" w:customStyle="1">
    <w:name w:val="Heading 6 Char"/>
    <w:basedOn w:val="787"/>
    <w:link w:val="783"/>
    <w:uiPriority w:val="9"/>
    <w:qFormat/>
    <w:rPr>
      <w:rFonts w:ascii="Arial" w:hAnsi="Arial" w:eastAsia="Arial" w:cs="Arial"/>
      <w:b/>
      <w:bCs/>
      <w:sz w:val="22"/>
      <w:szCs w:val="22"/>
    </w:rPr>
  </w:style>
  <w:style w:type="character" w:styleId="854" w:customStyle="1">
    <w:name w:val="Heading 7 Char"/>
    <w:basedOn w:val="787"/>
    <w:link w:val="784"/>
    <w:uiPriority w:val="9"/>
    <w:qFormat/>
    <w:rPr>
      <w:rFonts w:ascii="Arial" w:hAnsi="Arial" w:eastAsia="Arial" w:cs="Arial"/>
      <w:b/>
      <w:bCs/>
      <w:i/>
      <w:iCs/>
      <w:sz w:val="22"/>
      <w:szCs w:val="22"/>
    </w:rPr>
  </w:style>
  <w:style w:type="character" w:styleId="855" w:customStyle="1">
    <w:name w:val="Heading 8 Char"/>
    <w:basedOn w:val="787"/>
    <w:link w:val="785"/>
    <w:uiPriority w:val="9"/>
    <w:qFormat/>
    <w:rPr>
      <w:rFonts w:ascii="Arial" w:hAnsi="Arial" w:eastAsia="Arial" w:cs="Arial"/>
      <w:i/>
      <w:iCs/>
      <w:sz w:val="22"/>
      <w:szCs w:val="22"/>
    </w:rPr>
  </w:style>
  <w:style w:type="character" w:styleId="856" w:customStyle="1">
    <w:name w:val="Heading 9 Char"/>
    <w:basedOn w:val="787"/>
    <w:link w:val="786"/>
    <w:uiPriority w:val="9"/>
    <w:qFormat/>
    <w:rPr>
      <w:rFonts w:ascii="Arial" w:hAnsi="Arial" w:eastAsia="Arial" w:cs="Arial"/>
      <w:i/>
      <w:iCs/>
      <w:sz w:val="21"/>
      <w:szCs w:val="21"/>
    </w:rPr>
  </w:style>
  <w:style w:type="paragraph" w:styleId="857">
    <w:name w:val="No Spacing"/>
    <w:uiPriority w:val="1"/>
    <w:qFormat/>
    <w:pPr>
      <w:spacing w:before="0" w:after="0" w:line="240" w:lineRule="auto"/>
    </w:pPr>
    <w:rPr>
      <w:rFonts w:hint="default" w:ascii="Times New Roman" w:hAnsi="Times New Roman" w:eastAsia="宋体" w:cs="Times New Roman"/>
    </w:rPr>
  </w:style>
  <w:style w:type="character" w:styleId="858" w:customStyle="1">
    <w:name w:val="Title Char"/>
    <w:basedOn w:val="787"/>
    <w:link w:val="823"/>
    <w:uiPriority w:val="10"/>
    <w:qFormat/>
    <w:rPr>
      <w:sz w:val="48"/>
      <w:szCs w:val="48"/>
    </w:rPr>
  </w:style>
  <w:style w:type="character" w:styleId="859" w:customStyle="1">
    <w:name w:val="Subtitle Char"/>
    <w:basedOn w:val="787"/>
    <w:uiPriority w:val="11"/>
    <w:qFormat/>
    <w:rPr>
      <w:sz w:val="24"/>
      <w:szCs w:val="24"/>
    </w:rPr>
  </w:style>
  <w:style w:type="paragraph" w:styleId="860">
    <w:name w:val="Quote"/>
    <w:basedOn w:val="777"/>
    <w:next w:val="777"/>
    <w:link w:val="861"/>
    <w:uiPriority w:val="29"/>
    <w:qFormat/>
    <w:pPr>
      <w:ind w:left="720" w:right="720"/>
    </w:pPr>
    <w:rPr>
      <w:i/>
    </w:rPr>
  </w:style>
  <w:style w:type="character" w:styleId="861" w:customStyle="1">
    <w:name w:val="Quote Char"/>
    <w:link w:val="860"/>
    <w:uiPriority w:val="29"/>
    <w:qFormat/>
    <w:rPr>
      <w:i/>
    </w:rPr>
  </w:style>
  <w:style w:type="paragraph" w:styleId="862">
    <w:name w:val="Intense Quote"/>
    <w:basedOn w:val="777"/>
    <w:next w:val="777"/>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Intense Quote Char"/>
    <w:link w:val="862"/>
    <w:uiPriority w:val="30"/>
    <w:qFormat/>
    <w:rPr>
      <w:i/>
    </w:rPr>
  </w:style>
  <w:style w:type="character" w:styleId="864" w:customStyle="1">
    <w:name w:val="Header Char"/>
    <w:basedOn w:val="787"/>
    <w:uiPriority w:val="99"/>
    <w:qFormat/>
  </w:style>
  <w:style w:type="character" w:styleId="865" w:customStyle="1">
    <w:name w:val="Footer Char"/>
    <w:basedOn w:val="787"/>
    <w:uiPriority w:val="99"/>
    <w:qFormat/>
  </w:style>
  <w:style w:type="character" w:styleId="866" w:customStyle="1">
    <w:name w:val="Caption Char"/>
    <w:uiPriority w:val="99"/>
    <w:qFormat/>
  </w:style>
  <w:style w:type="table" w:styleId="867"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8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basedOn w:val="78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basedOn w:val="78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basedOn w:val="78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basedOn w:val="78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basedOn w:val="78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8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8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2" w:customStyle="1">
    <w:name w:val="Grid Table 6 Colorful - Accent 4"/>
    <w:basedOn w:val="7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8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basedOn w:val="78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8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8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8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8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8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8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8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8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8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8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8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8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8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basedOn w:val="78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basedOn w:val="78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basedOn w:val="78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basedOn w:val="78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basedOn w:val="78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8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basedOn w:val="7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8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8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8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8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basedOn w:val="78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basedOn w:val="78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basedOn w:val="78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basedOn w:val="78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basedOn w:val="78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8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8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8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8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8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8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8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basedOn w:val="78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basedOn w:val="78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basedOn w:val="78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basedOn w:val="78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basedOn w:val="78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8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8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8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8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8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8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8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basedOn w:val="78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basedOn w:val="78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basedOn w:val="78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8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8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basedOn w:val="7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basedOn w:val="7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link w:val="813"/>
    <w:uiPriority w:val="99"/>
    <w:qFormat/>
    <w:rPr>
      <w:sz w:val="18"/>
    </w:rPr>
  </w:style>
  <w:style w:type="character" w:styleId="993" w:customStyle="1">
    <w:name w:val="Endnote Text Char"/>
    <w:link w:val="806"/>
    <w:uiPriority w:val="99"/>
    <w:qFormat/>
    <w:rPr>
      <w:sz w:val="20"/>
    </w:rPr>
  </w:style>
  <w:style w:type="paragraph" w:styleId="994" w:customStyle="1">
    <w:name w:val="TOC Heading"/>
    <w:uiPriority w:val="39"/>
    <w:unhideWhenUsed/>
    <w:qFormat/>
    <w:rPr>
      <w:rFonts w:hint="default" w:ascii="Times New Roman" w:hAnsi="Times New Roman" w:eastAsia="宋体" w:cs="Times New Roman"/>
    </w:rPr>
  </w:style>
  <w:style w:type="paragraph" w:styleId="995" w:customStyle="1">
    <w:name w:val="正文首行缩进11"/>
    <w:basedOn w:val="996"/>
    <w:next w:val="777"/>
    <w:uiPriority w:val="99"/>
    <w:unhideWhenUsed/>
    <w:qFormat/>
    <w:pPr>
      <w:ind w:firstLine="420"/>
    </w:pPr>
    <w:rPr>
      <w:szCs w:val="24"/>
    </w:rPr>
  </w:style>
  <w:style w:type="paragraph" w:styleId="996" w:customStyle="1">
    <w:name w:val="正文文本111"/>
    <w:basedOn w:val="777"/>
    <w:next w:val="777"/>
    <w:uiPriority w:val="0"/>
    <w:qFormat/>
    <w:rPr>
      <w:rFonts w:eastAsia="楷体_GB2312"/>
      <w:b/>
      <w:bCs/>
      <w:color w:val="ff0000"/>
      <w:sz w:val="32"/>
      <w:szCs w:val="32"/>
      <w:lang w:val="zh-CN"/>
    </w:rPr>
  </w:style>
  <w:style w:type="paragraph" w:styleId="997" w:customStyle="1">
    <w:name w:val="段"/>
    <w:next w:val="777"/>
    <w:uiPriority w:val="0"/>
    <w:qFormat/>
    <w:pPr>
      <w:ind w:firstLine="200"/>
      <w:jc w:val="both"/>
    </w:pPr>
    <w:rPr>
      <w:rFonts w:hint="default" w:ascii="宋体" w:hAnsi="Times New Roman" w:eastAsia="宋体" w:cs="Times New Roman"/>
      <w:sz w:val="21"/>
      <w:lang w:val="en-US" w:eastAsia="zh-CN" w:bidi="ar-SA"/>
    </w:rPr>
  </w:style>
  <w:style w:type="paragraph" w:styleId="998" w:customStyle="1">
    <w:name w:val="Heading 4"/>
    <w:basedOn w:val="777"/>
    <w:next w:val="777"/>
    <w:uiPriority w:val="0"/>
    <w:qFormat/>
    <w:pPr>
      <w:keepLines/>
      <w:keepNext/>
      <w:spacing w:before="280" w:after="290" w:line="376" w:lineRule="auto"/>
    </w:pPr>
    <w:rPr>
      <w:rFonts w:ascii="Arial" w:hAnsi="Arial" w:eastAsia="黑体"/>
      <w:b/>
      <w:bCs/>
      <w:sz w:val="28"/>
      <w:szCs w:val="28"/>
    </w:rPr>
  </w:style>
  <w:style w:type="paragraph" w:styleId="999"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00" w:customStyle="1">
    <w:name w:val="HTML 预设格式 Char"/>
    <w:link w:val="820"/>
    <w:uiPriority w:val="0"/>
    <w:qFormat/>
    <w:rPr>
      <w:rFonts w:ascii="黑体" w:eastAsia="黑体"/>
    </w:rPr>
  </w:style>
  <w:style w:type="character" w:styleId="1001" w:customStyle="1">
    <w:name w:val="批注主题 Char"/>
    <w:basedOn w:val="1002"/>
    <w:link w:val="824"/>
    <w:uiPriority w:val="0"/>
    <w:qFormat/>
    <w:rPr>
      <w:b/>
      <w:bCs/>
      <w:sz w:val="21"/>
      <w:szCs w:val="24"/>
    </w:rPr>
  </w:style>
  <w:style w:type="character" w:styleId="1002" w:customStyle="1">
    <w:name w:val="批注文字 Char"/>
    <w:basedOn w:val="787"/>
    <w:link w:val="793"/>
    <w:uiPriority w:val="0"/>
    <w:qFormat/>
    <w:rPr>
      <w:sz w:val="21"/>
      <w:szCs w:val="24"/>
    </w:rPr>
  </w:style>
  <w:style w:type="character" w:styleId="1003" w:customStyle="1">
    <w:name w:val="标题2 Char"/>
    <w:uiPriority w:val="0"/>
    <w:qFormat/>
    <w:rPr>
      <w:rFonts w:ascii="方正楷体_GBK" w:eastAsia="方正楷体_GBK"/>
      <w:sz w:val="32"/>
      <w:lang w:val="en-US" w:eastAsia="zh-CN" w:bidi="ar-SA"/>
    </w:rPr>
  </w:style>
  <w:style w:type="character" w:styleId="1004" w:customStyle="1">
    <w:name w:val="标题 5 Char"/>
    <w:basedOn w:val="787"/>
    <w:link w:val="782"/>
    <w:uiPriority w:val="0"/>
    <w:qFormat/>
    <w:rPr>
      <w:rFonts w:ascii="宋体"/>
      <w:b/>
      <w:bCs/>
      <w:sz w:val="21"/>
      <w:szCs w:val="24"/>
    </w:rPr>
  </w:style>
  <w:style w:type="character" w:styleId="1005" w:customStyle="1">
    <w:name w:val="页脚 Char"/>
    <w:link w:val="808"/>
    <w:uiPriority w:val="0"/>
    <w:qFormat/>
    <w:rPr>
      <w:sz w:val="18"/>
    </w:rPr>
  </w:style>
  <w:style w:type="character" w:styleId="1006" w:customStyle="1">
    <w:name w:val="批注框文本 Char"/>
    <w:link w:val="807"/>
    <w:uiPriority w:val="0"/>
    <w:qFormat/>
    <w:rPr>
      <w:sz w:val="18"/>
      <w:szCs w:val="18"/>
    </w:rPr>
  </w:style>
  <w:style w:type="character" w:styleId="1007" w:customStyle="1">
    <w:name w:val="标题 4 Char"/>
    <w:basedOn w:val="787"/>
    <w:link w:val="781"/>
    <w:uiPriority w:val="0"/>
    <w:qFormat/>
    <w:rPr>
      <w:rFonts w:ascii="Arial" w:hAnsi="Arial" w:eastAsia="黑体"/>
      <w:b/>
      <w:bCs/>
      <w:sz w:val="28"/>
      <w:szCs w:val="28"/>
    </w:rPr>
  </w:style>
  <w:style w:type="character" w:styleId="1008" w:customStyle="1">
    <w:name w:val="正文文本 2 Char"/>
    <w:basedOn w:val="787"/>
    <w:link w:val="819"/>
    <w:uiPriority w:val="0"/>
    <w:qFormat/>
    <w:rPr>
      <w:rFonts w:ascii="仿宋_GB2312" w:eastAsia="仿宋_GB2312"/>
      <w:sz w:val="44"/>
      <w:szCs w:val="24"/>
    </w:rPr>
  </w:style>
  <w:style w:type="character" w:styleId="1009" w:customStyle="1">
    <w:name w:val="标题 3 Char"/>
    <w:basedOn w:val="787"/>
    <w:link w:val="780"/>
    <w:uiPriority w:val="0"/>
    <w:qFormat/>
    <w:rPr>
      <w:b/>
      <w:sz w:val="32"/>
    </w:rPr>
  </w:style>
  <w:style w:type="character" w:styleId="1010" w:customStyle="1">
    <w:name w:val="文档结构图 Char"/>
    <w:basedOn w:val="787"/>
    <w:link w:val="792"/>
    <w:uiPriority w:val="0"/>
    <w:qFormat/>
    <w:rPr>
      <w:sz w:val="21"/>
      <w:szCs w:val="24"/>
      <w:shd w:val="clear" w:color="auto" w:fill="000080"/>
    </w:rPr>
  </w:style>
  <w:style w:type="character" w:styleId="1011" w:customStyle="1">
    <w:name w:val="副标题 Char"/>
    <w:basedOn w:val="787"/>
    <w:link w:val="812"/>
    <w:uiPriority w:val="0"/>
    <w:qFormat/>
    <w:rPr>
      <w:rFonts w:ascii="Cambria" w:hAnsi="Cambria"/>
      <w:b/>
      <w:bCs/>
      <w:sz w:val="32"/>
      <w:szCs w:val="32"/>
    </w:rPr>
  </w:style>
  <w:style w:type="character" w:styleId="1012" w:customStyle="1">
    <w:name w:val="副标题 Char1"/>
    <w:basedOn w:val="787"/>
    <w:uiPriority w:val="11"/>
    <w:qFormat/>
    <w:rPr>
      <w:rFonts w:ascii="Cambria" w:hAnsi="Cambria" w:cs="Times New Roman"/>
      <w:b/>
      <w:bCs/>
      <w:sz w:val="32"/>
      <w:szCs w:val="32"/>
    </w:rPr>
  </w:style>
  <w:style w:type="character" w:styleId="1013" w:customStyle="1">
    <w:name w:val="正文文本缩进 3 Char"/>
    <w:basedOn w:val="787"/>
    <w:link w:val="815"/>
    <w:uiPriority w:val="0"/>
    <w:qFormat/>
    <w:rPr>
      <w:rFonts w:ascii="仿宋_GB2312" w:eastAsia="仿宋_GB2312"/>
      <w:sz w:val="24"/>
      <w:szCs w:val="24"/>
    </w:rPr>
  </w:style>
  <w:style w:type="character" w:styleId="1014" w:customStyle="1">
    <w:name w:val="正文文本缩进 Char"/>
    <w:basedOn w:val="787"/>
    <w:link w:val="796"/>
    <w:uiPriority w:val="0"/>
    <w:qFormat/>
    <w:rPr>
      <w:rFonts w:ascii="楷体_GB2312" w:eastAsia="楷体_GB2312"/>
      <w:sz w:val="32"/>
    </w:rPr>
  </w:style>
  <w:style w:type="character" w:styleId="1015" w:customStyle="1">
    <w:name w:val="正文文本缩进 2 Char"/>
    <w:basedOn w:val="787"/>
    <w:link w:val="805"/>
    <w:uiPriority w:val="0"/>
    <w:qFormat/>
    <w:rPr>
      <w:rFonts w:ascii="宋体"/>
      <w:sz w:val="28"/>
      <w:szCs w:val="24"/>
    </w:rPr>
  </w:style>
  <w:style w:type="character" w:styleId="1016" w:customStyle="1">
    <w:name w:val="日期 Char"/>
    <w:basedOn w:val="787"/>
    <w:link w:val="804"/>
    <w:uiPriority w:val="0"/>
    <w:qFormat/>
    <w:rPr>
      <w:sz w:val="24"/>
    </w:rPr>
  </w:style>
  <w:style w:type="character" w:styleId="1017" w:customStyle="1">
    <w:name w:val="jj1"/>
    <w:uiPriority w:val="0"/>
    <w:qFormat/>
    <w:rPr>
      <w:sz w:val="20"/>
      <w:szCs w:val="20"/>
      <w:u w:val="none"/>
    </w:rPr>
  </w:style>
  <w:style w:type="character" w:styleId="1018" w:customStyle="1">
    <w:name w:val="正文文本 3 Char"/>
    <w:basedOn w:val="787"/>
    <w:link w:val="794"/>
    <w:uiPriority w:val="0"/>
    <w:qFormat/>
    <w:rPr>
      <w:rFonts w:ascii="仿宋_GB2312" w:eastAsia="仿宋_GB2312"/>
      <w:sz w:val="32"/>
    </w:rPr>
  </w:style>
  <w:style w:type="character" w:styleId="1019" w:customStyle="1">
    <w:name w:val="页眉 Char"/>
    <w:basedOn w:val="787"/>
    <w:link w:val="809"/>
    <w:uiPriority w:val="99"/>
    <w:qFormat/>
    <w:rPr>
      <w:sz w:val="18"/>
      <w:szCs w:val="18"/>
    </w:rPr>
  </w:style>
  <w:style w:type="character" w:styleId="1020" w:customStyle="1">
    <w:name w:val="正文文本 Char"/>
    <w:basedOn w:val="787"/>
    <w:link w:val="795"/>
    <w:uiPriority w:val="0"/>
    <w:qFormat/>
    <w:rPr>
      <w:rFonts w:ascii="楷体_GB2312" w:eastAsia="楷体_GB2312"/>
      <w:sz w:val="28"/>
    </w:rPr>
  </w:style>
  <w:style w:type="character" w:styleId="1021" w:customStyle="1">
    <w:name w:val="纯文本 Char"/>
    <w:basedOn w:val="787"/>
    <w:link w:val="802"/>
    <w:uiPriority w:val="0"/>
    <w:qFormat/>
    <w:rPr>
      <w:rFonts w:ascii="宋体"/>
      <w:sz w:val="21"/>
    </w:rPr>
  </w:style>
  <w:style w:type="paragraph" w:styleId="1022" w:customStyle="1">
    <w:name w:val="标题3"/>
    <w:basedOn w:val="777"/>
    <w:next w:val="777"/>
    <w:uiPriority w:val="0"/>
    <w:qFormat/>
    <w:rPr>
      <w:rFonts w:eastAsia="方正黑体_GBK"/>
    </w:rPr>
  </w:style>
  <w:style w:type="paragraph" w:styleId="1023" w:customStyle="1">
    <w:name w:val="xl83"/>
    <w:basedOn w:val="777"/>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2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5" w:customStyle="1">
    <w:name w:val="TOC 标题1"/>
    <w:basedOn w:val="778"/>
    <w:next w:val="777"/>
    <w:uiPriority w:val="0"/>
    <w:qFormat/>
    <w:pPr>
      <w:jc w:val="left"/>
      <w:keepLines/>
      <w:spacing w:before="480" w:line="276" w:lineRule="auto"/>
      <w:widowControl/>
      <w:outlineLvl w:val="9"/>
    </w:pPr>
    <w:rPr>
      <w:rFonts w:ascii="Cambria" w:hAnsi="Cambria" w:eastAsia="宋体"/>
      <w:b/>
      <w:bCs/>
      <w:color w:val="365f91"/>
      <w:szCs w:val="28"/>
    </w:rPr>
  </w:style>
  <w:style w:type="paragraph" w:styleId="1026" w:customStyle="1">
    <w:name w:val="第四级"/>
    <w:basedOn w:val="777"/>
    <w:next w:val="777"/>
    <w:uiPriority w:val="0"/>
    <w:qFormat/>
    <w:pPr>
      <w:spacing w:line="360" w:lineRule="auto"/>
      <w:tabs>
        <w:tab w:val="left" w:pos="1134" w:leader="none"/>
      </w:tabs>
    </w:pPr>
    <w:rPr>
      <w:rFonts w:ascii="宋体" w:hAnsi="宋体" w:eastAsia="仿宋"/>
      <w:sz w:val="28"/>
      <w:szCs w:val="21"/>
    </w:rPr>
  </w:style>
  <w:style w:type="paragraph" w:styleId="1027" w:customStyle="1">
    <w:name w:val="Char Char Char Char1 Char Char Char"/>
    <w:basedOn w:val="792"/>
    <w:uiPriority w:val="0"/>
    <w:qFormat/>
    <w:pPr>
      <w:spacing w:line="360" w:lineRule="auto"/>
    </w:pPr>
    <w:rPr>
      <w:rFonts w:ascii="Tahoma" w:hAnsi="Tahoma"/>
      <w:sz w:val="24"/>
    </w:rPr>
  </w:style>
  <w:style w:type="paragraph" w:styleId="1028" w:customStyle="1">
    <w:name w:val="xl77"/>
    <w:basedOn w:val="77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29" w:customStyle="1">
    <w:name w:val="xl47"/>
    <w:basedOn w:val="777"/>
    <w:uiPriority w:val="0"/>
    <w:qFormat/>
    <w:pPr>
      <w:jc w:val="center"/>
      <w:spacing w:before="100" w:beforeAutospacing="1" w:after="100" w:afterAutospacing="1"/>
      <w:widowControl/>
    </w:pPr>
    <w:rPr>
      <w:rFonts w:ascii="方正姚体" w:eastAsia="方正姚体"/>
      <w:b/>
      <w:bCs/>
      <w:sz w:val="36"/>
      <w:szCs w:val="36"/>
    </w:rPr>
  </w:style>
  <w:style w:type="paragraph" w:styleId="1030" w:customStyle="1">
    <w:name w:val="标题2"/>
    <w:basedOn w:val="777"/>
    <w:next w:val="777"/>
    <w:uiPriority w:val="0"/>
    <w:qFormat/>
    <w:pPr>
      <w:jc w:val="center"/>
    </w:pPr>
    <w:rPr>
      <w:rFonts w:eastAsia="方正楷体_GBK"/>
    </w:rPr>
  </w:style>
  <w:style w:type="paragraph" w:styleId="1031" w:customStyle="1">
    <w:name w:val="HTML 预先格式化"/>
    <w:basedOn w:val="7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32" w:customStyle="1">
    <w:name w:val="正文 1.1.1"/>
    <w:basedOn w:val="777"/>
    <w:next w:val="777"/>
    <w:uiPriority w:val="0"/>
    <w:qFormat/>
    <w:pPr>
      <w:spacing w:line="360" w:lineRule="auto"/>
      <w:tabs>
        <w:tab w:val="left" w:pos="851" w:leader="none"/>
      </w:tabs>
      <w:outlineLvl w:val="2"/>
    </w:pPr>
    <w:rPr>
      <w:rFonts w:ascii="宋体"/>
      <w:color w:val="000000"/>
      <w:sz w:val="28"/>
      <w:szCs w:val="21"/>
    </w:rPr>
  </w:style>
  <w:style w:type="paragraph" w:styleId="1033" w:customStyle="1">
    <w:name w:val="默认段落字体 Para Char Char Char Char Char Char Char Char Char1 Char Char Char Char Char Char Char"/>
    <w:basedOn w:val="792"/>
    <w:uiPriority w:val="0"/>
    <w:qFormat/>
    <w:rPr>
      <w:rFonts w:ascii="Tahoma" w:hAnsi="Tahoma"/>
      <w:sz w:val="24"/>
    </w:rPr>
  </w:style>
  <w:style w:type="paragraph" w:styleId="1034" w:customStyle="1">
    <w:name w:val="xl79"/>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35" w:customStyle="1">
    <w:name w:val="xl86"/>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6" w:customStyle="1">
    <w:name w:val="xl69"/>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37" w:customStyle="1">
    <w:name w:val="标题1"/>
    <w:basedOn w:val="777"/>
    <w:next w:val="777"/>
    <w:uiPriority w:val="0"/>
    <w:qFormat/>
    <w:pPr>
      <w:jc w:val="center"/>
      <w:spacing w:line="700" w:lineRule="atLeast"/>
      <w:tabs>
        <w:tab w:val="left" w:pos="9193" w:leader="none"/>
        <w:tab w:val="left" w:pos="9827" w:leader="none"/>
      </w:tabs>
    </w:pPr>
    <w:rPr>
      <w:rFonts w:eastAsia="方正小标宋_GBK"/>
      <w:sz w:val="44"/>
    </w:rPr>
  </w:style>
  <w:style w:type="paragraph" w:styleId="1038" w:customStyle="1">
    <w:name w:val="正文 第一章"/>
    <w:basedOn w:val="777"/>
    <w:next w:val="1039"/>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39" w:customStyle="1">
    <w:name w:val="正文 1.1"/>
    <w:basedOn w:val="777"/>
    <w:next w:val="1032"/>
    <w:uiPriority w:val="0"/>
    <w:qFormat/>
    <w:pPr>
      <w:ind w:left="350" w:hanging="350"/>
      <w:spacing w:line="360" w:lineRule="auto"/>
      <w:outlineLvl w:val="1"/>
    </w:pPr>
    <w:rPr>
      <w:rFonts w:ascii="仿宋" w:eastAsia="仿宋"/>
      <w:b/>
      <w:sz w:val="28"/>
      <w:szCs w:val="21"/>
    </w:rPr>
  </w:style>
  <w:style w:type="paragraph" w:styleId="1040" w:customStyle="1">
    <w:name w:val="Char1"/>
    <w:basedOn w:val="777"/>
    <w:uiPriority w:val="0"/>
    <w:qFormat/>
    <w:pPr>
      <w:tabs>
        <w:tab w:val="left" w:pos="360" w:leader="none"/>
      </w:tabs>
    </w:pPr>
    <w:rPr>
      <w:sz w:val="24"/>
    </w:rPr>
  </w:style>
  <w:style w:type="paragraph" w:styleId="1041" w:customStyle="1">
    <w:name w:val="xl43"/>
    <w:basedOn w:val="7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42" w:customStyle="1">
    <w:name w:val="xl74"/>
    <w:basedOn w:val="777"/>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43" w:customStyle="1">
    <w:name w:val="xl67"/>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列出段落3"/>
    <w:basedOn w:val="777"/>
    <w:uiPriority w:val="0"/>
    <w:qFormat/>
    <w:pPr>
      <w:ind w:firstLine="420"/>
    </w:pPr>
    <w:rPr>
      <w:rFonts w:ascii="Calibri" w:hAnsi="Calibri"/>
      <w:szCs w:val="22"/>
    </w:rPr>
  </w:style>
  <w:style w:type="paragraph" w:styleId="1045" w:customStyle="1">
    <w:name w:val="普通正文"/>
    <w:basedOn w:val="777"/>
    <w:uiPriority w:val="0"/>
    <w:qFormat/>
    <w:pPr>
      <w:ind w:firstLine="480"/>
      <w:jc w:val="left"/>
      <w:spacing w:before="120" w:after="120" w:line="360" w:lineRule="auto"/>
    </w:pPr>
    <w:rPr>
      <w:rFonts w:ascii="Arial" w:hAnsi="Arial"/>
      <w:sz w:val="24"/>
    </w:rPr>
  </w:style>
  <w:style w:type="paragraph" w:styleId="1046">
    <w:name w:val="List Paragraph"/>
    <w:basedOn w:val="777"/>
    <w:uiPriority w:val="0"/>
    <w:qFormat/>
    <w:pPr>
      <w:ind w:firstLine="200"/>
    </w:pPr>
    <w:rPr>
      <w:rFonts w:ascii="Calibri" w:hAnsi="Calibri"/>
      <w:szCs w:val="22"/>
    </w:rPr>
  </w:style>
  <w:style w:type="paragraph" w:styleId="1047" w:customStyle="1">
    <w:name w:val="列出段落2"/>
    <w:basedOn w:val="777"/>
    <w:uiPriority w:val="0"/>
    <w:qFormat/>
    <w:pPr>
      <w:ind w:firstLine="420"/>
    </w:pPr>
    <w:rPr>
      <w:rFonts w:ascii="Calibri" w:hAnsi="Calibri"/>
      <w:szCs w:val="22"/>
    </w:rPr>
  </w:style>
  <w:style w:type="paragraph" w:styleId="1048" w:customStyle="1">
    <w:name w:val="xl71"/>
    <w:basedOn w:val="777"/>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49" w:customStyle="1">
    <w:name w:val="xl81"/>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50" w:customStyle="1">
    <w:name w:val="xl80"/>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51" w:customStyle="1">
    <w:name w:val="xl73"/>
    <w:basedOn w:val="777"/>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52" w:customStyle="1">
    <w:name w:val="BioQuote Tekst"/>
    <w:basedOn w:val="777"/>
    <w:uiPriority w:val="0"/>
    <w:qFormat/>
    <w:pPr>
      <w:ind w:right="-1"/>
    </w:pPr>
    <w:rPr>
      <w:rFonts w:ascii="Arial" w:hAnsi="Arial"/>
      <w:sz w:val="22"/>
      <w:szCs w:val="20"/>
      <w:lang w:eastAsia="en-US"/>
    </w:rPr>
  </w:style>
  <w:style w:type="paragraph" w:styleId="1053" w:customStyle="1">
    <w:name w:val="xl65"/>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xl75"/>
    <w:basedOn w:val="777"/>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55" w:customStyle="1">
    <w:name w:val="xl87"/>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56" w:customStyle="1">
    <w:name w:val="xl78"/>
    <w:basedOn w:val="77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57" w:customStyle="1">
    <w:name w:val="正文格式"/>
    <w:basedOn w:val="801"/>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58" w:customStyle="1">
    <w:name w:val="Char"/>
    <w:basedOn w:val="777"/>
    <w:uiPriority w:val="0"/>
    <w:qFormat/>
    <w:rPr>
      <w:rFonts w:ascii="Tahoma" w:hAnsi="Tahoma"/>
      <w:sz w:val="24"/>
      <w:szCs w:val="20"/>
    </w:rPr>
  </w:style>
  <w:style w:type="paragraph" w:styleId="1059"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60" w:customStyle="1">
    <w:name w:val="列出段落1"/>
    <w:basedOn w:val="777"/>
    <w:uiPriority w:val="0"/>
    <w:qFormat/>
    <w:pPr>
      <w:contextualSpacing/>
      <w:ind w:left="720"/>
      <w:jc w:val="left"/>
      <w:widowControl/>
    </w:pPr>
    <w:rPr>
      <w:rFonts w:ascii="Calibri" w:hAnsi="Calibri"/>
      <w:sz w:val="24"/>
      <w:lang w:eastAsia="en-US" w:bidi="en-US"/>
    </w:rPr>
  </w:style>
  <w:style w:type="paragraph" w:styleId="1061" w:customStyle="1">
    <w:name w:val="xl88"/>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2" w:customStyle="1">
    <w:name w:val="xl72"/>
    <w:basedOn w:val="777"/>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63" w:customStyle="1">
    <w:name w:val="正文空2格  1."/>
    <w:basedOn w:val="777"/>
    <w:uiPriority w:val="0"/>
    <w:qFormat/>
    <w:pPr>
      <w:ind w:firstLine="200"/>
      <w:spacing w:line="360" w:lineRule="auto"/>
    </w:pPr>
    <w:rPr>
      <w:rFonts w:ascii="宋体" w:hAnsi="宋体" w:eastAsia="仿宋" w:cs="宋体"/>
      <w:sz w:val="28"/>
      <w:szCs w:val="20"/>
    </w:rPr>
  </w:style>
  <w:style w:type="paragraph" w:styleId="106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5" w:customStyle="1">
    <w:name w:val="Coms Alinea"/>
    <w:uiPriority w:val="0"/>
    <w:qFormat/>
    <w:pPr>
      <w:widowControl w:val="off"/>
    </w:pPr>
    <w:rPr>
      <w:rFonts w:hint="default" w:ascii="Arial" w:hAnsi="Arial" w:eastAsia="宋体" w:cs="Arial"/>
      <w:lang w:val="en-US" w:eastAsia="zh-CN" w:bidi="ar-SA"/>
    </w:rPr>
  </w:style>
  <w:style w:type="paragraph" w:styleId="1066" w:customStyle="1">
    <w:name w:val="xl70"/>
    <w:basedOn w:val="77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67" w:customStyle="1">
    <w:name w:val="xl66"/>
    <w:basedOn w:val="777"/>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xl64"/>
    <w:basedOn w:val="77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69" w:customStyle="1">
    <w:name w:val="xl85"/>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70" w:customStyle="1">
    <w:name w:val="xl68"/>
    <w:basedOn w:val="77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71" w:customStyle="1">
    <w:name w:val="xl84"/>
    <w:basedOn w:val="777"/>
    <w:uiPriority w:val="0"/>
    <w:qFormat/>
    <w:pPr>
      <w:jc w:val="right"/>
      <w:spacing w:before="100" w:beforeAutospacing="1" w:after="100" w:afterAutospacing="1"/>
      <w:shd w:val="clear" w:color="ffffff" w:fill="ffffff"/>
      <w:widowControl/>
    </w:pPr>
    <w:rPr>
      <w:rFonts w:ascii="宋体" w:hAnsi="宋体" w:cs="宋体"/>
      <w:sz w:val="24"/>
    </w:rPr>
  </w:style>
  <w:style w:type="paragraph" w:styleId="1072" w:customStyle="1">
    <w:name w:val="Char Char Char Char"/>
    <w:basedOn w:val="792"/>
    <w:uiPriority w:val="0"/>
    <w:qFormat/>
    <w:pPr>
      <w:spacing w:line="360" w:lineRule="auto"/>
    </w:pPr>
    <w:rPr>
      <w:rFonts w:ascii="Tahoma" w:hAnsi="Tahoma"/>
      <w:sz w:val="24"/>
    </w:rPr>
  </w:style>
  <w:style w:type="paragraph" w:styleId="1073" w:customStyle="1">
    <w:name w:val="xl82"/>
    <w:basedOn w:val="777"/>
    <w:uiPriority w:val="0"/>
    <w:qFormat/>
    <w:pPr>
      <w:jc w:val="left"/>
      <w:spacing w:before="100" w:beforeAutospacing="1" w:after="100" w:afterAutospacing="1"/>
      <w:shd w:val="clear" w:color="ffffff" w:fill="ffffff"/>
      <w:widowControl/>
    </w:pPr>
    <w:rPr>
      <w:rFonts w:ascii="宋体" w:hAnsi="宋体" w:cs="宋体"/>
      <w:sz w:val="24"/>
    </w:rPr>
  </w:style>
  <w:style w:type="paragraph" w:styleId="1074" w:customStyle="1">
    <w:name w:val="Blockquote"/>
    <w:basedOn w:val="777"/>
    <w:uiPriority w:val="0"/>
    <w:qFormat/>
    <w:pPr>
      <w:ind w:left="360" w:right="360"/>
      <w:jc w:val="left"/>
      <w:spacing w:before="100" w:after="100"/>
    </w:pPr>
    <w:rPr>
      <w:sz w:val="24"/>
      <w:szCs w:val="20"/>
    </w:rPr>
  </w:style>
  <w:style w:type="paragraph" w:styleId="1075" w:customStyle="1">
    <w:name w:val="xl33"/>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76" w:customStyle="1">
    <w:name w:val="xl76"/>
    <w:basedOn w:val="77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Char Char Char Char1 Char Char"/>
    <w:basedOn w:val="777"/>
    <w:uiPriority w:val="0"/>
    <w:qFormat/>
    <w:pPr>
      <w:tabs>
        <w:tab w:val="left" w:pos="360" w:leader="none"/>
      </w:tabs>
    </w:pPr>
    <w:rPr>
      <w:sz w:val="24"/>
    </w:rPr>
  </w:style>
  <w:style w:type="paragraph" w:styleId="1079" w:customStyle="1">
    <w:name w:val="样式 标题 2 + 黑色 行距: 1.5 倍行距"/>
    <w:basedOn w:val="779"/>
    <w:uiPriority w:val="0"/>
    <w:qFormat/>
    <w:pPr>
      <w:spacing w:line="360" w:lineRule="auto"/>
    </w:pPr>
    <w:rPr>
      <w:rFonts w:eastAsia="宋体"/>
      <w:color w:val="000000"/>
    </w:rPr>
  </w:style>
  <w:style w:type="character" w:styleId="1080" w:customStyle="1">
    <w:name w:val="hover"/>
    <w:basedOn w:val="787"/>
    <w:uiPriority w:val="0"/>
    <w:qFormat/>
    <w:rPr>
      <w:color w:val="5fb878"/>
    </w:rPr>
  </w:style>
  <w:style w:type="character" w:styleId="1081" w:customStyle="1">
    <w:name w:val="hover1"/>
    <w:basedOn w:val="787"/>
    <w:uiPriority w:val="0"/>
    <w:qFormat/>
    <w:rPr>
      <w:color w:val="ffffff"/>
    </w:rPr>
  </w:style>
  <w:style w:type="character" w:styleId="1082" w:customStyle="1">
    <w:name w:val="hover2"/>
    <w:basedOn w:val="787"/>
    <w:uiPriority w:val="0"/>
    <w:qFormat/>
    <w:rPr>
      <w:color w:val="5fb878"/>
    </w:rPr>
  </w:style>
  <w:style w:type="paragraph" w:styleId="1083" w:customStyle="1">
    <w:name w:val="Table Paragraph"/>
    <w:basedOn w:val="777"/>
    <w:uiPriority w:val="1"/>
    <w:qFormat/>
  </w:style>
  <w:style w:type="character" w:styleId="1084" w:customStyle="1">
    <w:name w:val="NormalCharacter"/>
    <w:uiPriority w:val="0"/>
    <w:semiHidden/>
    <w:qFormat/>
    <w:rPr>
      <w:sz w:val="21"/>
      <w:szCs w:val="24"/>
      <w:lang w:val="en-US" w:eastAsia="zh-CN" w:bidi="ar-SA"/>
    </w:rPr>
  </w:style>
  <w:style w:type="character" w:styleId="1085" w:customStyle="1">
    <w:name w:val="font11"/>
    <w:basedOn w:val="787"/>
    <w:uiPriority w:val="0"/>
    <w:qFormat/>
    <w:rPr>
      <w:rFonts w:hint="eastAsia" w:ascii="宋体" w:hAnsi="宋体" w:eastAsia="宋体" w:cs="宋体"/>
      <w:color w:val="000000"/>
      <w:sz w:val="20"/>
      <w:szCs w:val="20"/>
      <w:u w:val="none"/>
    </w:rPr>
  </w:style>
  <w:style w:type="paragraph" w:styleId="1086"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87" w:customStyle="1">
    <w:name w:val="纯文本1"/>
    <w:basedOn w:val="777"/>
    <w:uiPriority w:val="0"/>
    <w:qFormat/>
    <w:rPr>
      <w:rFonts w:ascii="宋体" w:hAnsi="Courier New" w:eastAsia="宋体" w:cs="Times New Roman"/>
      <w:szCs w:val="20"/>
    </w:rPr>
  </w:style>
  <w:style w:type="paragraph" w:styleId="1088" w:customStyle="1">
    <w:name w:val="标题 31"/>
    <w:basedOn w:val="777"/>
    <w:next w:val="777"/>
    <w:uiPriority w:val="9"/>
    <w:qFormat/>
    <w:pPr>
      <w:keepLines/>
      <w:keepNext/>
      <w:spacing w:before="260" w:after="260" w:line="416" w:lineRule="auto"/>
      <w:outlineLvl w:val="2"/>
    </w:pPr>
    <w:rPr>
      <w:b/>
      <w:bCs/>
      <w:sz w:val="32"/>
      <w:szCs w:val="32"/>
    </w:rPr>
  </w:style>
  <w:style w:type="paragraph" w:styleId="1089" w:customStyle="1">
    <w:name w:val="纯文本11"/>
    <w:basedOn w:val="777"/>
    <w:next w:val="1090"/>
    <w:uiPriority w:val="0"/>
    <w:qFormat/>
    <w:rPr>
      <w:rFonts w:ascii="宋体" w:hAnsi="Courier New"/>
      <w:sz w:val="21"/>
      <w:szCs w:val="20"/>
    </w:rPr>
  </w:style>
  <w:style w:type="paragraph" w:styleId="1090" w:customStyle="1">
    <w:name w:val="正文缩进11"/>
    <w:basedOn w:val="777"/>
    <w:uiPriority w:val="0"/>
    <w:qFormat/>
    <w:pPr>
      <w:ind w:firstLine="420"/>
      <w:spacing w:line="360" w:lineRule="atLeast"/>
    </w:pPr>
    <w:rPr>
      <w:sz w:val="21"/>
      <w:szCs w:val="20"/>
    </w:rPr>
  </w:style>
  <w:style w:type="paragraph" w:styleId="1091" w:customStyle="1">
    <w:name w:val="正文文本缩进 31"/>
    <w:basedOn w:val="777"/>
    <w:uiPriority w:val="0"/>
    <w:qFormat/>
    <w:pPr>
      <w:ind w:left="360"/>
      <w:spacing w:line="400" w:lineRule="exact"/>
    </w:pPr>
  </w:style>
  <w:style w:type="paragraph" w:styleId="1092" w:customStyle="1">
    <w:name w:val="目录 31"/>
    <w:basedOn w:val="777"/>
    <w:next w:val="777"/>
    <w:uiPriority w:val="39"/>
    <w:qFormat/>
    <w:pPr>
      <w:ind w:left="840"/>
    </w:pPr>
    <w:rPr>
      <w:rFonts w:ascii="Calibri" w:hAnsi="Calibri"/>
      <w:szCs w:val="22"/>
    </w:rPr>
  </w:style>
  <w:style w:type="paragraph" w:styleId="1093" w:customStyle="1">
    <w:name w:val="页脚1"/>
    <w:basedOn w:val="777"/>
    <w:uiPriority w:val="0"/>
    <w:qFormat/>
    <w:pPr>
      <w:jc w:val="left"/>
      <w:tabs>
        <w:tab w:val="center" w:pos="4153" w:leader="none"/>
        <w:tab w:val="right" w:pos="8306" w:leader="none"/>
      </w:tabs>
    </w:pPr>
    <w:rPr>
      <w:sz w:val="18"/>
      <w:szCs w:val="18"/>
    </w:rPr>
  </w:style>
  <w:style w:type="paragraph" w:styleId="1094" w:customStyle="1">
    <w:name w:val="列表接续 21"/>
    <w:basedOn w:val="777"/>
    <w:next w:val="777"/>
    <w:uiPriority w:val="0"/>
    <w:qFormat/>
    <w:pPr>
      <w:ind w:left="840"/>
      <w:spacing w:after="120"/>
    </w:pPr>
  </w:style>
  <w:style w:type="paragraph" w:styleId="1095" w:customStyle="1">
    <w:name w:val="批注文字1"/>
    <w:basedOn w:val="777"/>
    <w:uiPriority w:val="0"/>
    <w:qFormat/>
    <w:pPr>
      <w:jc w:val="left"/>
    </w:pPr>
    <w:rPr>
      <w:sz w:val="21"/>
    </w:rPr>
  </w:style>
  <w:style w:type="paragraph" w:styleId="1096" w:customStyle="1">
    <w:name w:val="正文首行缩进1"/>
    <w:basedOn w:val="1097"/>
    <w:uiPriority w:val="99"/>
    <w:unhideWhenUsed/>
    <w:qFormat/>
    <w:pPr>
      <w:ind w:firstLine="420"/>
    </w:pPr>
  </w:style>
  <w:style w:type="paragraph" w:styleId="1097" w:customStyle="1">
    <w:name w:val="正文文本1"/>
    <w:basedOn w:val="777"/>
    <w:uiPriority w:val="0"/>
    <w:qFormat/>
    <w:pPr>
      <w:jc w:val="center"/>
    </w:pPr>
    <w:rPr>
      <w:sz w:val="21"/>
    </w:rPr>
  </w:style>
  <w:style w:type="paragraph" w:styleId="1098" w:customStyle="1">
    <w:name w:val="正文文本缩进1"/>
    <w:basedOn w:val="777"/>
    <w:next w:val="1099"/>
    <w:uiPriority w:val="0"/>
    <w:qFormat/>
    <w:pPr>
      <w:ind w:firstLine="645"/>
    </w:pPr>
    <w:rPr>
      <w:rFonts w:ascii="楷体_GB2312" w:eastAsia="楷体_GB2312"/>
      <w:sz w:val="32"/>
      <w:szCs w:val="20"/>
    </w:rPr>
  </w:style>
  <w:style w:type="paragraph" w:styleId="1099" w:customStyle="1">
    <w:name w:val="寄信人地址1"/>
    <w:basedOn w:val="777"/>
    <w:uiPriority w:val="99"/>
    <w:qFormat/>
    <w:rPr>
      <w:rFonts w:ascii="Arial" w:hAnsi="Arial"/>
    </w:rPr>
  </w:style>
  <w:style w:type="numbering" w:styleId="12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11</cp:revision>
  <dcterms:created xsi:type="dcterms:W3CDTF">2024-03-07T06:53:00Z</dcterms:created>
  <dcterms:modified xsi:type="dcterms:W3CDTF">2026-09-23T10:37:25Z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SaveFontToCloudKey">
    <vt:lpwstr>462357053_btnclosed</vt:lpwstr>
  </property>
  <property fmtid="{D5CDD505-2E9C-101B-9397-08002B2CF9AE}" pid="4" name="ICV">
    <vt:lpwstr>D40DB40F82794BC6A35CA68BC7D5F590_13</vt:lpwstr>
  </property>
  <property fmtid="{D5CDD505-2E9C-101B-9397-08002B2CF9AE}" pid="5" name="KSOTemplateDocerSaveRecord">
    <vt:lpwstr>eyJoZGlkIjoiMDg3ZGFjNjM3ZmM3ZGE2NDc3ZmJiYTUwYzUzZWY0NzMiLCJ1c2VySWQiOiIxMzI0MDQ2Mzk0In0=</vt:lpwstr>
  </property>
</Properties>
</file>