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right"/>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t xml:space="preserve"> </w:t>
      </w:r>
      <w:r>
        <w:rPr>
          <w:rFonts w:hint="eastAsia" w:ascii="宋体" w:hAnsi="宋体" w:eastAsia="宋体" w:cs="宋体"/>
          <w:b/>
          <w:color w:val="000000"/>
          <w:sz w:val="32"/>
          <w:lang w:eastAsia="zh-CN"/>
        </w:rPr>
        <w:t xml:space="preserve">JSZC-321000-NTGC-C2026-0015</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rPr>
          <w:rFonts w:hint="eastAsia" w:ascii="宋体" w:hAnsi="宋体" w:eastAsia="宋体" w:cs="宋体"/>
          <w:b/>
          <w:color w:val="000000"/>
          <w:sz w:val="4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lang w:eastAsia="zh-CN"/>
        </w:rPr>
      </w:r>
      <w:r/>
    </w:p>
    <w:p>
      <w:pPr>
        <w:ind w:left="0" w:right="0" w:firstLine="0"/>
        <w:jc w:val="center"/>
        <w:keepLines w:val="0"/>
        <w:keepNext w:val="0"/>
        <w:pageBreakBefore w:val="0"/>
        <w:spacing w:before="0" w:after="0" w:line="240" w:lineRule="auto"/>
        <w:widowControl/>
        <w:rPr>
          <w:rFonts w:hint="eastAsia" w:ascii="宋体" w:hAnsi="宋体" w:eastAsia="宋体" w:cs="宋体"/>
          <w:b/>
          <w:bCs w:val="0"/>
          <w:color w:val="000000"/>
          <w:sz w:val="40"/>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40"/>
          <w:szCs w:val="22"/>
          <w:lang w:eastAsia="zh-CN"/>
        </w:rPr>
        <w:t xml:space="preserve">扬州市</w:t>
      </w:r>
      <w:bookmarkStart w:id="3" w:name="_GoBack"/>
      <w:r/>
      <w:bookmarkEnd w:id="3"/>
      <w:r>
        <w:rPr>
          <w:rFonts w:hint="eastAsia" w:ascii="宋体" w:hAnsi="宋体" w:eastAsia="宋体" w:cs="宋体"/>
          <w:b/>
          <w:bCs w:val="0"/>
          <w:color w:val="000000"/>
          <w:sz w:val="40"/>
          <w:szCs w:val="22"/>
          <w:lang w:eastAsia="zh-CN"/>
        </w:rPr>
        <w:t xml:space="preserve">中心血站双层献血屋及其配套设施采购项目</w:t>
      </w:r>
      <w:r/>
    </w:p>
    <w:p>
      <w:pPr>
        <w:ind w:left="0" w:right="0" w:firstLine="0"/>
        <w:jc w:val="center"/>
        <w:keepLines w:val="0"/>
        <w:keepNext w:val="0"/>
        <w:pageBreakBefore w:val="0"/>
        <w:spacing w:before="0" w:after="0" w:line="240" w:lineRule="auto"/>
        <w:widowControl/>
        <w:rPr>
          <w:rFonts w:hint="eastAsia" w:ascii="宋体" w:hAnsi="宋体" w:eastAsia="宋体" w:cs="宋体"/>
          <w:b/>
          <w:bCs w:val="0"/>
          <w:color w:val="000000"/>
          <w:sz w:val="40"/>
          <w:szCs w:val="4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40"/>
          <w:szCs w:val="22"/>
        </w:rPr>
        <w:t xml:space="preserve">竞争性磋商采购文件</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600" w:right="0" w:firstLine="0"/>
        <w:jc w:val="left"/>
        <w:spacing w:before="210" w:after="210"/>
        <w:rPr>
          <w:rFonts w:hint="eastAsia" w:ascii="宋体" w:hAnsi="宋体" w:eastAsia="宋体" w:cs="宋体"/>
          <w:b/>
          <w:color w:val="000000"/>
          <w:sz w:val="4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lang w:val="en-US" w:eastAsia="zh-CN"/>
        </w:rPr>
      </w:r>
      <w:r/>
    </w:p>
    <w:p>
      <w:pPr>
        <w:ind w:left="600" w:right="0" w:firstLine="0"/>
        <w:jc w:val="left"/>
        <w:spacing w:before="210" w:after="210"/>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600" w:right="0" w:firstLine="0"/>
        <w:jc w:val="left"/>
        <w:spacing w:before="210" w:after="210"/>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600" w:right="0" w:firstLine="0"/>
        <w:jc w:val="left"/>
        <w:spacing w:before="210" w:after="210"/>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600" w:right="0" w:firstLine="0"/>
        <w:jc w:val="left"/>
        <w:spacing w:before="210" w:after="210"/>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600" w:right="0" w:firstLine="0"/>
        <w:jc w:val="left"/>
        <w:spacing w:before="210" w:after="210"/>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600" w:right="0" w:firstLine="0"/>
        <w:jc w:val="left"/>
        <w:spacing w:before="210" w:after="210"/>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600" w:right="0" w:firstLine="0"/>
        <w:jc w:val="left"/>
        <w:spacing w:before="210" w:after="210"/>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right="0"/>
        <w:keepLines w:val="0"/>
        <w:keepNext w:val="0"/>
        <w:pageBreakBefore w:val="0"/>
        <w:spacing w:before="0" w:after="0" w:line="240" w:lineRule="auto"/>
        <w:widowControl/>
        <w:rPr>
          <w:rFonts w:hint="eastAsia" w:eastAsia="宋体"/>
          <w:sz w:val="30"/>
          <w:szCs w:val="3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szCs w:val="30"/>
        </w:rPr>
        <w:t xml:space="preserve">采购人：</w:t>
      </w:r>
      <w:r>
        <w:rPr>
          <w:rFonts w:hint="eastAsia" w:ascii="宋体" w:hAnsi="宋体" w:eastAsia="宋体" w:cs="宋体"/>
          <w:b/>
          <w:color w:val="000000"/>
          <w:sz w:val="30"/>
          <w:szCs w:val="30"/>
          <w:lang w:eastAsia="zh-CN"/>
        </w:rPr>
        <w:t xml:space="preserve">扬州市中心血站</w:t>
      </w:r>
      <w:r/>
    </w:p>
    <w:p>
      <w:pPr>
        <w:ind w:right="0"/>
        <w:jc w:val="both"/>
        <w:keepLines w:val="0"/>
        <w:keepNext w:val="0"/>
        <w:pageBreakBefore w:val="0"/>
        <w:spacing w:before="0" w:after="0" w:line="240" w:lineRule="auto"/>
        <w:widowControl/>
        <w:rPr>
          <w:rFonts w:ascii="宋体" w:hAnsi="宋体" w:eastAsia="宋体" w:cs="宋体"/>
          <w:b/>
          <w:color w:val="000000"/>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szCs w:val="30"/>
        </w:rPr>
      </w:r>
      <w:r/>
    </w:p>
    <w:p>
      <w:pPr>
        <w:ind w:right="0"/>
        <w:jc w:val="both"/>
        <w:keepLines w:val="0"/>
        <w:keepNext w:val="0"/>
        <w:pageBreakBefore w:val="0"/>
        <w:spacing w:before="0" w:after="0" w:line="240" w:lineRule="auto"/>
        <w:widowControl/>
        <w:rPr>
          <w:rFonts w:hint="eastAsia" w:eastAsia="宋体"/>
          <w:sz w:val="30"/>
          <w:szCs w:val="3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szCs w:val="30"/>
        </w:rPr>
        <w:t xml:space="preserve">采购代理机构(章)：</w:t>
      </w:r>
      <w:r>
        <w:rPr>
          <w:rFonts w:hint="eastAsia" w:ascii="宋体" w:hAnsi="宋体" w:eastAsia="宋体" w:cs="宋体"/>
          <w:b/>
          <w:color w:val="000000"/>
          <w:sz w:val="30"/>
          <w:szCs w:val="30"/>
          <w:lang w:eastAsia="zh-CN"/>
        </w:rPr>
        <w:t xml:space="preserve">江苏皋诚工程项目管理有限公司扬州分公司</w:t>
      </w:r>
      <w:r/>
    </w:p>
    <w:p>
      <w:pPr>
        <w:ind w:right="0"/>
        <w:jc w:val="both"/>
        <w:keepLines w:val="0"/>
        <w:keepNext w:val="0"/>
        <w:pageBreakBefore w:val="0"/>
        <w:spacing w:before="0" w:after="0" w:line="240" w:lineRule="auto"/>
        <w:widowControl/>
        <w:rPr>
          <w:rFonts w:ascii="宋体" w:hAnsi="宋体" w:eastAsia="宋体" w:cs="宋体"/>
          <w:b/>
          <w:color w:val="000000"/>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szCs w:val="30"/>
        </w:rPr>
      </w:r>
      <w:r/>
    </w:p>
    <w:p>
      <w:pPr>
        <w:ind w:right="0"/>
        <w:jc w:val="both"/>
        <w:keepLines w:val="0"/>
        <w:keepNext w:val="0"/>
        <w:pageBreakBefore w:val="0"/>
        <w:spacing w:before="0" w:after="0" w:line="240" w:lineRule="auto"/>
        <w:widowControl/>
        <w:rPr>
          <w:rFonts w:hint="default" w:eastAsia="宋体"/>
          <w:sz w:val="30"/>
          <w:szCs w:val="30"/>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szCs w:val="30"/>
        </w:rPr>
        <w:t xml:space="preserve">发放日期：</w:t>
      </w:r>
      <w:r>
        <w:rPr>
          <w:rFonts w:ascii="宋体" w:hAnsi="宋体" w:eastAsia="宋体" w:cs="宋体"/>
          <w:b/>
          <w:color w:val="000000"/>
          <w:sz w:val="30"/>
          <w:szCs w:val="30"/>
          <w:u w:val="none"/>
        </w:rPr>
        <w:t xml:space="preserve">2026年</w:t>
      </w:r>
      <w:r>
        <w:rPr>
          <w:rFonts w:hint="eastAsia" w:ascii="宋体" w:hAnsi="宋体" w:eastAsia="宋体" w:cs="宋体"/>
          <w:b/>
          <w:color w:val="000000"/>
          <w:sz w:val="30"/>
          <w:szCs w:val="30"/>
          <w:lang w:val="en-US" w:eastAsia="zh-CN"/>
        </w:rPr>
        <w:t xml:space="preserve">10</w:t>
      </w:r>
      <w:r>
        <w:rPr>
          <w:rFonts w:ascii="宋体" w:hAnsi="宋体" w:eastAsia="宋体" w:cs="宋体"/>
          <w:b/>
          <w:color w:val="000000"/>
          <w:sz w:val="30"/>
          <w:szCs w:val="30"/>
        </w:rPr>
        <w:t xml:space="preserve">月</w:t>
      </w:r>
      <w:r>
        <w:rPr>
          <w:rFonts w:hint="eastAsia" w:ascii="宋体" w:hAnsi="宋体" w:eastAsia="宋体" w:cs="宋体"/>
          <w:b/>
          <w:color w:val="000000"/>
          <w:sz w:val="30"/>
          <w:szCs w:val="30"/>
          <w:lang w:val="en-US" w:eastAsia="zh-CN"/>
        </w:rPr>
        <w:t xml:space="preserve">10日</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3" w:bottom="1440" w:left="1083" w:header="709" w:footer="709" w:gutter="0"/>
          <w:cols w:num="1" w:sep="0" w:space="0" w:equalWidth="1"/>
          <w:docGrid w:linePitch="360"/>
        </w:sectPr>
      </w:pPr>
      <w:r>
        <w:rPr>
          <w:rFonts w:ascii="宋体" w:hAnsi="宋体" w:eastAsia="宋体" w:cs="宋体"/>
          <w:b/>
          <w:color w:val="000000"/>
          <w:sz w:val="36"/>
        </w:rPr>
      </w:r>
      <w:r/>
    </w:p>
    <w:p>
      <w:pPr>
        <w:jc w:val="center"/>
        <w:rPr>
          <w:rFonts w:ascii="宋体" w:hAnsi="宋体"/>
          <w:b w:val="0"/>
          <w:bCs w:val="0"/>
          <w:color w:val="auto"/>
          <w:sz w:val="40"/>
          <w:szCs w:val="28"/>
          <w:highlight w:val="none"/>
        </w:rPr>
      </w:pPr>
      <w:r>
        <w:rPr>
          <w:rFonts w:hint="eastAsia" w:ascii="宋体" w:hAnsi="宋体"/>
          <w:b w:val="0"/>
          <w:bCs w:val="0"/>
          <w:color w:val="auto"/>
          <w:sz w:val="40"/>
          <w:szCs w:val="28"/>
          <w:highlight w:val="none"/>
        </w:rPr>
        <w:t xml:space="preserve">目</w:t>
      </w:r>
      <w:r>
        <w:rPr>
          <w:rFonts w:ascii="宋体" w:hAnsi="宋体"/>
          <w:b w:val="0"/>
          <w:bCs w:val="0"/>
          <w:color w:val="auto"/>
          <w:sz w:val="40"/>
          <w:szCs w:val="28"/>
          <w:highlight w:val="none"/>
        </w:rPr>
        <w:t xml:space="preserve"> 录</w:t>
      </w:r>
      <w:r/>
    </w:p>
    <w:p>
      <w:pPr>
        <w:pStyle w:val="686"/>
        <w:rPr>
          <w:b w:val="0"/>
          <w:bCs w:val="0"/>
        </w:rPr>
      </w:pPr>
      <w:r>
        <w:rPr>
          <w:b w:val="0"/>
          <w:bCs w:val="0"/>
        </w:rPr>
      </w:r>
      <w:r/>
    </w:p>
    <w:p>
      <w:pPr>
        <w:pStyle w:val="695"/>
        <w:keepLines w:val="0"/>
        <w:keepNext w:val="0"/>
        <w:pageBreakBefore w:val="0"/>
        <w:spacing w:line="360" w:lineRule="auto"/>
        <w:widowControl/>
        <w:tabs>
          <w:tab w:val="right" w:pos="9912" w:leader="dot"/>
        </w:tabs>
        <w:rPr>
          <w:rFonts w:hint="eastAsia" w:ascii="宋体" w:hAnsi="宋体" w:eastAsia="宋体"/>
          <w:b w:val="0"/>
          <w:bCs w:val="0"/>
          <w:color w:val="auto"/>
          <w:sz w:val="28"/>
          <w:szCs w:val="28"/>
          <w:highlight w:val="none"/>
          <w:lang w:eastAsia="zh-CN"/>
        </w:rPr>
      </w:pPr>
      <w:r>
        <w:rPr>
          <w:rFonts w:ascii="宋体" w:hAnsi="宋体"/>
          <w:b w:val="0"/>
          <w:bCs w:val="0"/>
          <w:color w:val="auto"/>
          <w:sz w:val="28"/>
          <w:szCs w:val="28"/>
          <w:highlight w:val="none"/>
        </w:rPr>
        <w:fldChar w:fldCharType="begin"/>
      </w:r>
      <w:r>
        <w:rPr>
          <w:rFonts w:ascii="宋体" w:hAnsi="宋体"/>
          <w:b w:val="0"/>
          <w:bCs w:val="0"/>
          <w:color w:val="auto"/>
          <w:sz w:val="28"/>
          <w:szCs w:val="28"/>
          <w:highlight w:val="none"/>
        </w:rPr>
        <w:instrText xml:space="preserve"> TOC \o "1-3" \f </w:instrText>
      </w:r>
      <w:r>
        <w:rPr>
          <w:rFonts w:ascii="宋体" w:hAnsi="宋体"/>
          <w:b w:val="0"/>
          <w:bCs w:val="0"/>
          <w:color w:val="auto"/>
          <w:sz w:val="28"/>
          <w:szCs w:val="28"/>
          <w:highlight w:val="none"/>
        </w:rPr>
        <w:fldChar w:fldCharType="separate"/>
      </w:r>
      <w:r>
        <w:rPr>
          <w:rFonts w:hint="eastAsia" w:ascii="宋体" w:hAnsi="宋体"/>
          <w:b w:val="0"/>
          <w:bCs w:val="0"/>
          <w:color w:val="auto"/>
          <w:sz w:val="28"/>
          <w:szCs w:val="28"/>
          <w:highlight w:val="none"/>
        </w:rPr>
        <w:t xml:space="preserve">第一章</w:t>
      </w:r>
      <w:r>
        <w:rPr>
          <w:rFonts w:ascii="宋体" w:hAnsi="宋体"/>
          <w:b w:val="0"/>
          <w:bCs w:val="0"/>
          <w:color w:val="auto"/>
          <w:sz w:val="28"/>
          <w:szCs w:val="28"/>
          <w:highlight w:val="none"/>
        </w:rPr>
        <w:t xml:space="preserve"> </w:t>
      </w:r>
      <w:r>
        <w:rPr>
          <w:rFonts w:ascii="宋体" w:hAnsi="宋体" w:eastAsia="宋体" w:cs="宋体"/>
          <w:b w:val="0"/>
          <w:bCs w:val="0"/>
          <w:color w:val="000000"/>
          <w:sz w:val="28"/>
        </w:rPr>
        <w:t xml:space="preserve">竞争性磋商采购公告</w:t>
      </w:r>
      <w:r>
        <w:rPr>
          <w:rFonts w:ascii="宋体" w:hAnsi="宋体"/>
          <w:b w:val="0"/>
          <w:bCs w:val="0"/>
          <w:color w:val="auto"/>
          <w:sz w:val="28"/>
          <w:szCs w:val="28"/>
          <w:highlight w:val="none"/>
        </w:rPr>
        <w:tab/>
      </w:r>
      <w:r>
        <w:rPr>
          <w:rFonts w:hint="eastAsia" w:ascii="宋体" w:hAnsi="宋体"/>
          <w:b w:val="0"/>
          <w:bCs w:val="0"/>
          <w:color w:val="auto"/>
          <w:sz w:val="28"/>
          <w:szCs w:val="28"/>
          <w:highlight w:val="none"/>
          <w:lang w:val="en-US" w:eastAsia="zh-CN"/>
        </w:rPr>
        <w:t xml:space="preserve">1</w:t>
      </w:r>
      <w:r/>
    </w:p>
    <w:p>
      <w:pPr>
        <w:pStyle w:val="695"/>
        <w:keepLines w:val="0"/>
        <w:keepNext w:val="0"/>
        <w:pageBreakBefore w:val="0"/>
        <w:spacing w:line="360" w:lineRule="auto"/>
        <w:widowControl/>
        <w:tabs>
          <w:tab w:val="right" w:pos="9912" w:leader="dot"/>
        </w:tabs>
        <w:rPr>
          <w:rFonts w:hint="eastAsia" w:ascii="宋体" w:hAnsi="宋体" w:eastAsia="宋体"/>
          <w:b w:val="0"/>
          <w:bCs w:val="0"/>
          <w:color w:val="auto"/>
          <w:sz w:val="28"/>
          <w:szCs w:val="28"/>
          <w:highlight w:val="none"/>
          <w:lang w:eastAsia="zh-CN"/>
        </w:rPr>
      </w:pPr>
      <w:r>
        <w:rPr>
          <w:rFonts w:hint="eastAsia" w:ascii="宋体" w:hAnsi="宋体"/>
          <w:b w:val="0"/>
          <w:bCs w:val="0"/>
          <w:color w:val="auto"/>
          <w:sz w:val="28"/>
          <w:szCs w:val="28"/>
          <w:highlight w:val="none"/>
        </w:rPr>
        <w:t xml:space="preserve">第二章</w:t>
      </w:r>
      <w:r>
        <w:rPr>
          <w:rFonts w:ascii="宋体" w:hAnsi="宋体"/>
          <w:b w:val="0"/>
          <w:bCs w:val="0"/>
          <w:color w:val="auto"/>
          <w:sz w:val="28"/>
          <w:szCs w:val="28"/>
          <w:highlight w:val="none"/>
        </w:rPr>
        <w:t xml:space="preserve"> </w:t>
      </w:r>
      <w:r>
        <w:rPr>
          <w:rFonts w:hint="eastAsia" w:ascii="宋体" w:hAnsi="宋体"/>
          <w:b w:val="0"/>
          <w:bCs w:val="0"/>
          <w:color w:val="auto"/>
          <w:sz w:val="28"/>
          <w:szCs w:val="28"/>
          <w:highlight w:val="none"/>
        </w:rPr>
        <w:t xml:space="preserve">磋商须知</w:t>
      </w:r>
      <w:r>
        <w:rPr>
          <w:rFonts w:ascii="宋体" w:hAnsi="宋体"/>
          <w:b w:val="0"/>
          <w:bCs w:val="0"/>
          <w:color w:val="auto"/>
          <w:sz w:val="28"/>
          <w:szCs w:val="28"/>
          <w:highlight w:val="none"/>
        </w:rPr>
        <w:tab/>
      </w:r>
      <w:r>
        <w:rPr>
          <w:rFonts w:hint="eastAsia" w:ascii="宋体" w:hAnsi="宋体"/>
          <w:b w:val="0"/>
          <w:bCs w:val="0"/>
          <w:color w:val="auto"/>
          <w:sz w:val="28"/>
          <w:szCs w:val="28"/>
          <w:highlight w:val="none"/>
          <w:lang w:val="en-US" w:eastAsia="zh-CN"/>
        </w:rPr>
        <w:t xml:space="preserve">3</w:t>
      </w:r>
      <w:r/>
    </w:p>
    <w:p>
      <w:pPr>
        <w:pStyle w:val="695"/>
        <w:keepLines w:val="0"/>
        <w:keepNext w:val="0"/>
        <w:pageBreakBefore w:val="0"/>
        <w:spacing w:line="360" w:lineRule="auto"/>
        <w:widowControl/>
        <w:tabs>
          <w:tab w:val="right" w:pos="9912" w:leader="dot"/>
        </w:tabs>
        <w:rPr>
          <w:rFonts w:ascii="宋体" w:hAnsi="宋体"/>
          <w:b w:val="0"/>
          <w:bCs w:val="0"/>
          <w:color w:val="auto"/>
          <w:sz w:val="28"/>
          <w:szCs w:val="28"/>
          <w:highlight w:val="none"/>
        </w:rPr>
      </w:pPr>
      <w:r>
        <w:rPr>
          <w:rFonts w:hint="eastAsia" w:ascii="宋体" w:hAnsi="宋体"/>
          <w:b w:val="0"/>
          <w:bCs w:val="0"/>
          <w:color w:val="auto"/>
          <w:sz w:val="28"/>
          <w:szCs w:val="28"/>
          <w:highlight w:val="none"/>
        </w:rPr>
        <w:t xml:space="preserve">第三章</w:t>
      </w:r>
      <w:r>
        <w:rPr>
          <w:rFonts w:ascii="宋体" w:hAnsi="宋体"/>
          <w:b w:val="0"/>
          <w:bCs w:val="0"/>
          <w:color w:val="auto"/>
          <w:sz w:val="28"/>
          <w:szCs w:val="28"/>
          <w:highlight w:val="none"/>
        </w:rPr>
        <w:t xml:space="preserve"> </w:t>
      </w:r>
      <w:r>
        <w:rPr>
          <w:rFonts w:hint="eastAsia" w:ascii="宋体" w:hAnsi="宋体"/>
          <w:b w:val="0"/>
          <w:bCs w:val="0"/>
          <w:color w:val="auto"/>
          <w:sz w:val="28"/>
          <w:szCs w:val="28"/>
          <w:highlight w:val="none"/>
        </w:rPr>
        <w:t xml:space="preserve">合同条款及格式</w:t>
      </w:r>
      <w:r>
        <w:rPr>
          <w:rFonts w:ascii="宋体" w:hAnsi="宋体"/>
          <w:b w:val="0"/>
          <w:bCs w:val="0"/>
          <w:color w:val="auto"/>
          <w:sz w:val="28"/>
          <w:szCs w:val="28"/>
          <w:highlight w:val="none"/>
        </w:rPr>
        <w:tab/>
      </w:r>
      <w:r>
        <w:rPr>
          <w:rFonts w:ascii="宋体" w:hAnsi="宋体"/>
          <w:b w:val="0"/>
          <w:bCs w:val="0"/>
          <w:color w:val="auto"/>
          <w:sz w:val="28"/>
          <w:szCs w:val="28"/>
          <w:highlight w:val="none"/>
        </w:rPr>
        <w:fldChar w:fldCharType="begin"/>
      </w:r>
      <w:r>
        <w:rPr>
          <w:rFonts w:ascii="宋体" w:hAnsi="宋体"/>
          <w:b w:val="0"/>
          <w:bCs w:val="0"/>
          <w:color w:val="auto"/>
          <w:sz w:val="28"/>
          <w:szCs w:val="28"/>
          <w:highlight w:val="none"/>
        </w:rPr>
        <w:instrText xml:space="preserve"> PAGEREF _Toc38035724 \h </w:instrText>
      </w:r>
      <w:r>
        <w:rPr>
          <w:rFonts w:ascii="宋体" w:hAnsi="宋体"/>
          <w:b w:val="0"/>
          <w:bCs w:val="0"/>
          <w:color w:val="auto"/>
          <w:sz w:val="28"/>
          <w:szCs w:val="28"/>
          <w:highlight w:val="none"/>
        </w:rPr>
        <w:fldChar w:fldCharType="separate"/>
      </w:r>
      <w:r>
        <w:rPr>
          <w:rFonts w:ascii="宋体" w:hAnsi="宋体"/>
          <w:b w:val="0"/>
          <w:bCs w:val="0"/>
          <w:color w:val="auto"/>
          <w:sz w:val="28"/>
          <w:szCs w:val="28"/>
          <w:highlight w:val="none"/>
        </w:rPr>
        <w:t xml:space="preserve">1</w:t>
      </w:r>
      <w:r>
        <w:rPr>
          <w:rFonts w:hint="eastAsia" w:ascii="宋体" w:hAnsi="宋体"/>
          <w:b w:val="0"/>
          <w:bCs w:val="0"/>
          <w:color w:val="auto"/>
          <w:sz w:val="28"/>
          <w:szCs w:val="28"/>
          <w:highlight w:val="none"/>
          <w:lang w:val="en-US" w:eastAsia="zh-CN"/>
        </w:rPr>
        <w:t xml:space="preserve">0</w:t>
      </w:r>
      <w:r>
        <w:rPr>
          <w:rFonts w:ascii="宋体" w:hAnsi="宋体"/>
          <w:b w:val="0"/>
          <w:bCs w:val="0"/>
          <w:color w:val="auto"/>
          <w:sz w:val="28"/>
          <w:szCs w:val="28"/>
          <w:highlight w:val="none"/>
        </w:rPr>
        <w:fldChar w:fldCharType="end"/>
      </w:r>
      <w:r/>
    </w:p>
    <w:p>
      <w:pPr>
        <w:pStyle w:val="695"/>
        <w:keepLines w:val="0"/>
        <w:keepNext w:val="0"/>
        <w:pageBreakBefore w:val="0"/>
        <w:spacing w:line="360" w:lineRule="auto"/>
        <w:widowControl/>
        <w:tabs>
          <w:tab w:val="right" w:pos="9912" w:leader="dot"/>
        </w:tabs>
        <w:rPr>
          <w:rFonts w:hint="default" w:ascii="宋体" w:hAnsi="宋体" w:eastAsia="宋体"/>
          <w:b w:val="0"/>
          <w:bCs w:val="0"/>
          <w:color w:val="auto"/>
          <w:sz w:val="28"/>
          <w:szCs w:val="28"/>
          <w:highlight w:val="none"/>
          <w:lang w:val="en-US" w:eastAsia="zh-CN"/>
        </w:rPr>
      </w:pPr>
      <w:r>
        <w:rPr>
          <w:rFonts w:hint="eastAsia" w:ascii="宋体" w:hAnsi="宋体"/>
          <w:b w:val="0"/>
          <w:bCs w:val="0"/>
          <w:color w:val="auto"/>
          <w:sz w:val="28"/>
          <w:szCs w:val="28"/>
          <w:highlight w:val="none"/>
        </w:rPr>
        <w:t xml:space="preserve">第四章</w:t>
      </w:r>
      <w:r>
        <w:rPr>
          <w:rFonts w:ascii="宋体" w:hAnsi="宋体"/>
          <w:b w:val="0"/>
          <w:bCs w:val="0"/>
          <w:color w:val="auto"/>
          <w:sz w:val="28"/>
          <w:szCs w:val="28"/>
          <w:highlight w:val="none"/>
        </w:rPr>
        <w:t xml:space="preserve"> </w:t>
      </w:r>
      <w:r>
        <w:rPr>
          <w:rFonts w:hint="eastAsia" w:ascii="宋体" w:hAnsi="宋体"/>
          <w:b w:val="0"/>
          <w:bCs w:val="0"/>
          <w:color w:val="auto"/>
          <w:sz w:val="28"/>
          <w:szCs w:val="28"/>
          <w:highlight w:val="none"/>
        </w:rPr>
        <w:t xml:space="preserve">项目需求</w:t>
      </w:r>
      <w:r>
        <w:rPr>
          <w:rFonts w:ascii="宋体" w:hAnsi="宋体"/>
          <w:b w:val="0"/>
          <w:bCs w:val="0"/>
          <w:color w:val="auto"/>
          <w:sz w:val="28"/>
          <w:szCs w:val="28"/>
          <w:highlight w:val="none"/>
        </w:rPr>
        <w:tab/>
      </w:r>
      <w:r>
        <w:rPr>
          <w:rFonts w:hint="eastAsia" w:ascii="宋体" w:hAnsi="宋体"/>
          <w:b w:val="0"/>
          <w:bCs w:val="0"/>
          <w:color w:val="auto"/>
          <w:sz w:val="28"/>
          <w:szCs w:val="28"/>
          <w:highlight w:val="none"/>
          <w:lang w:val="en-US" w:eastAsia="zh-CN"/>
        </w:rPr>
        <w:t xml:space="preserve">15</w:t>
      </w:r>
      <w:r/>
    </w:p>
    <w:p>
      <w:pPr>
        <w:pStyle w:val="695"/>
        <w:keepLines w:val="0"/>
        <w:keepNext w:val="0"/>
        <w:pageBreakBefore w:val="0"/>
        <w:spacing w:line="360" w:lineRule="auto"/>
        <w:widowControl/>
        <w:tabs>
          <w:tab w:val="right" w:pos="9912" w:leader="dot"/>
        </w:tabs>
        <w:rPr>
          <w:rFonts w:hint="default" w:ascii="宋体" w:hAnsi="宋体" w:eastAsia="宋体"/>
          <w:b w:val="0"/>
          <w:bCs w:val="0"/>
          <w:color w:val="auto"/>
          <w:sz w:val="28"/>
          <w:szCs w:val="28"/>
          <w:highlight w:val="none"/>
          <w:lang w:val="en-US" w:eastAsia="zh-CN"/>
        </w:rPr>
      </w:pPr>
      <w:r>
        <w:rPr>
          <w:rFonts w:hint="eastAsia" w:ascii="宋体" w:hAnsi="宋体"/>
          <w:b w:val="0"/>
          <w:bCs w:val="0"/>
          <w:color w:val="auto"/>
          <w:sz w:val="28"/>
          <w:szCs w:val="28"/>
          <w:highlight w:val="none"/>
        </w:rPr>
        <w:t xml:space="preserve">第五章</w:t>
      </w:r>
      <w:r>
        <w:rPr>
          <w:rFonts w:ascii="宋体" w:hAnsi="宋体"/>
          <w:b w:val="0"/>
          <w:bCs w:val="0"/>
          <w:color w:val="auto"/>
          <w:sz w:val="28"/>
          <w:szCs w:val="28"/>
          <w:highlight w:val="none"/>
        </w:rPr>
        <w:t xml:space="preserve"> </w:t>
      </w:r>
      <w:r>
        <w:rPr>
          <w:rFonts w:ascii="宋体" w:hAnsi="宋体" w:eastAsia="宋体" w:cs="宋体"/>
          <w:b w:val="0"/>
          <w:bCs w:val="0"/>
          <w:color w:val="000000"/>
          <w:sz w:val="28"/>
        </w:rPr>
        <w:t xml:space="preserve">评审方法和评审标准</w:t>
      </w:r>
      <w:r>
        <w:rPr>
          <w:rFonts w:ascii="宋体" w:hAnsi="宋体"/>
          <w:b w:val="0"/>
          <w:bCs w:val="0"/>
          <w:color w:val="auto"/>
          <w:sz w:val="28"/>
          <w:szCs w:val="28"/>
          <w:highlight w:val="none"/>
        </w:rPr>
        <w:tab/>
      </w:r>
      <w:r>
        <w:rPr>
          <w:rFonts w:hint="eastAsia" w:ascii="宋体" w:hAnsi="宋体"/>
          <w:b w:val="0"/>
          <w:bCs w:val="0"/>
          <w:color w:val="auto"/>
          <w:sz w:val="28"/>
          <w:szCs w:val="28"/>
          <w:highlight w:val="none"/>
          <w:lang w:val="en-US" w:eastAsia="zh-CN"/>
        </w:rPr>
        <w:t xml:space="preserve">32</w:t>
      </w:r>
      <w:r/>
    </w:p>
    <w:p>
      <w:pPr>
        <w:pStyle w:val="695"/>
        <w:keepLines w:val="0"/>
        <w:keepNext w:val="0"/>
        <w:pageBreakBefore w:val="0"/>
        <w:spacing w:line="360" w:lineRule="auto"/>
        <w:widowControl/>
        <w:tabs>
          <w:tab w:val="right" w:pos="9912" w:leader="dot"/>
        </w:tabs>
        <w:rPr>
          <w:rFonts w:hint="default" w:ascii="宋体" w:hAnsi="宋体" w:eastAsia="宋体"/>
          <w:b w:val="0"/>
          <w:bCs w:val="0"/>
          <w:color w:val="auto"/>
          <w:sz w:val="28"/>
          <w:szCs w:val="28"/>
          <w:highlight w:val="none"/>
          <w:lang w:val="en-US" w:eastAsia="zh-CN"/>
        </w:rPr>
      </w:pPr>
      <w:r>
        <w:rPr>
          <w:rFonts w:hint="eastAsia" w:ascii="宋体" w:hAnsi="宋体"/>
          <w:b w:val="0"/>
          <w:bCs w:val="0"/>
          <w:color w:val="auto"/>
          <w:sz w:val="28"/>
          <w:szCs w:val="28"/>
          <w:highlight w:val="none"/>
        </w:rPr>
        <w:t xml:space="preserve">第六章</w:t>
      </w:r>
      <w:r>
        <w:rPr>
          <w:rFonts w:ascii="宋体" w:hAnsi="宋体"/>
          <w:b w:val="0"/>
          <w:bCs w:val="0"/>
          <w:color w:val="auto"/>
          <w:sz w:val="28"/>
          <w:szCs w:val="28"/>
          <w:highlight w:val="none"/>
        </w:rPr>
        <w:t xml:space="preserve"> </w:t>
      </w:r>
      <w:r>
        <w:rPr>
          <w:rFonts w:hint="eastAsia" w:ascii="宋体" w:hAnsi="宋体"/>
          <w:b w:val="0"/>
          <w:bCs w:val="0"/>
          <w:color w:val="auto"/>
          <w:sz w:val="28"/>
          <w:szCs w:val="28"/>
          <w:highlight w:val="none"/>
        </w:rPr>
        <w:t xml:space="preserve">竞争性磋商响应文件格式</w:t>
      </w:r>
      <w:r>
        <w:rPr>
          <w:rFonts w:ascii="宋体" w:hAnsi="宋体"/>
          <w:b w:val="0"/>
          <w:bCs w:val="0"/>
          <w:color w:val="auto"/>
          <w:sz w:val="28"/>
          <w:szCs w:val="28"/>
          <w:highlight w:val="none"/>
        </w:rPr>
        <w:tab/>
      </w:r>
      <w:r>
        <w:rPr>
          <w:rFonts w:hint="eastAsia" w:ascii="宋体" w:hAnsi="宋体"/>
          <w:b w:val="0"/>
          <w:bCs w:val="0"/>
          <w:color w:val="auto"/>
          <w:sz w:val="28"/>
          <w:szCs w:val="28"/>
          <w:highlight w:val="none"/>
          <w:lang w:val="en-US" w:eastAsia="zh-CN"/>
        </w:rPr>
        <w:t xml:space="preserve">34</w:t>
      </w:r>
      <w:r/>
    </w:p>
    <w:p>
      <w:pPr>
        <w:ind w:left="0" w:right="0" w:firstLine="0"/>
        <w:jc w:val="center"/>
        <w:keepLines w:val="0"/>
        <w:keepNext w:val="0"/>
        <w:pageBreakBefore w:val="0"/>
        <w:spacing w:before="0" w:after="0" w:line="360" w:lineRule="auto"/>
        <w:widowControl/>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440" w:right="1083" w:bottom="1440" w:left="1083" w:header="709" w:footer="709" w:gutter="0"/>
          <w:pgNumType w:start="1"/>
          <w:cols w:num="1" w:sep="0" w:space="0" w:equalWidth="1"/>
          <w:docGrid w:linePitch="360"/>
        </w:sectPr>
      </w:pPr>
      <w:r>
        <w:rPr>
          <w:rFonts w:ascii="宋体" w:hAnsi="宋体"/>
          <w:b w:val="0"/>
          <w:bCs w:val="0"/>
          <w:color w:val="auto"/>
          <w:sz w:val="28"/>
          <w:szCs w:val="28"/>
          <w:highlight w:val="none"/>
        </w:rPr>
        <w:fldChar w:fldCharType="end"/>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第一章 竞争性磋商采购公告</w:t>
      </w:r>
      <w:r/>
    </w:p>
    <w:tbl>
      <w:tblPr>
        <w:tblStyle w:val="704"/>
        <w:tblW w:w="0" w:type="auto"/>
        <w:tblInd w:w="23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89"/>
      </w:tblGrid>
      <w:tr>
        <w:trPr>
          <w:trHeight w:val="106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89" w:type="dxa"/>
            <w:vAlign w:val="top"/>
            <w:textDirection w:val="lrTb"/>
            <w:noWrap w:val="false"/>
          </w:tcPr>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项目概况</w:t>
            </w:r>
            <w:r/>
          </w:p>
          <w:p>
            <w:pPr>
              <w:ind w:left="0" w:right="0" w:firstLine="396"/>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1"/>
                <w:u w:val="single"/>
                <w:lang w:eastAsia="zh-CN"/>
              </w:rPr>
              <w:t xml:space="preserve">扬州市中心血站双层献血屋及其配套设施采购项目</w:t>
            </w:r>
            <w:r>
              <w:rPr>
                <w:rFonts w:ascii="宋体" w:hAnsi="宋体" w:eastAsia="宋体" w:cs="宋体"/>
                <w:color w:val="000000"/>
                <w:spacing w:val="-6"/>
                <w:sz w:val="21"/>
              </w:rPr>
              <w:t xml:space="preserve">的潜在供应商可在</w:t>
            </w:r>
            <w:r>
              <w:rPr>
                <w:rFonts w:ascii="宋体" w:hAnsi="宋体" w:eastAsia="宋体" w:cs="宋体"/>
                <w:color w:val="000000"/>
                <w:spacing w:val="-6"/>
                <w:sz w:val="21"/>
                <w:u w:val="single"/>
              </w:rPr>
              <w:t xml:space="preserve">“扬州市政府采购网”“</w:t>
            </w:r>
            <w:r>
              <w:rPr>
                <w:rFonts w:ascii="宋体" w:hAnsi="宋体" w:eastAsia="宋体" w:cs="宋体"/>
                <w:color w:val="000000"/>
                <w:sz w:val="21"/>
                <w:u w:val="single"/>
              </w:rPr>
              <w:t xml:space="preserve">江苏省政府采购网”</w:t>
            </w:r>
            <w:r>
              <w:rPr>
                <w:rFonts w:ascii="宋体" w:hAnsi="宋体" w:eastAsia="宋体" w:cs="宋体"/>
                <w:color w:val="000000"/>
                <w:sz w:val="21"/>
              </w:rPr>
              <w:t xml:space="preserve">自行</w:t>
            </w:r>
            <w:r>
              <w:rPr>
                <w:rFonts w:ascii="宋体" w:hAnsi="宋体" w:eastAsia="宋体" w:cs="宋体"/>
                <w:color w:val="000000"/>
                <w:spacing w:val="-6"/>
                <w:sz w:val="21"/>
              </w:rPr>
              <w:t xml:space="preserve">下载获取采购文件，并于</w:t>
            </w:r>
            <w:r>
              <w:rPr>
                <w:rFonts w:ascii="宋体" w:hAnsi="宋体" w:eastAsia="宋体" w:cs="宋体"/>
                <w:color w:val="000000"/>
                <w:spacing w:val="-6"/>
                <w:sz w:val="21"/>
                <w:u w:val="single"/>
              </w:rPr>
              <w:t xml:space="preserve">2026年</w:t>
            </w:r>
            <w:r>
              <w:rPr>
                <w:rFonts w:hint="eastAsia" w:ascii="宋体" w:hAnsi="宋体" w:eastAsia="宋体" w:cs="宋体"/>
                <w:color w:val="000000"/>
                <w:spacing w:val="-6"/>
                <w:sz w:val="21"/>
                <w:u w:val="single"/>
                <w:lang w:val="en-US" w:eastAsia="zh-CN"/>
              </w:rPr>
              <w:t xml:space="preserve">10</w:t>
            </w:r>
            <w:r>
              <w:rPr>
                <w:rFonts w:ascii="宋体" w:hAnsi="宋体" w:eastAsia="宋体" w:cs="宋体"/>
                <w:color w:val="000000"/>
                <w:spacing w:val="-6"/>
                <w:sz w:val="21"/>
                <w:u w:val="single"/>
              </w:rPr>
              <w:t xml:space="preserve">月</w:t>
            </w:r>
            <w:r>
              <w:rPr>
                <w:rFonts w:hint="eastAsia" w:ascii="宋体" w:hAnsi="宋体" w:eastAsia="宋体" w:cs="宋体"/>
                <w:color w:val="000000"/>
                <w:spacing w:val="-6"/>
                <w:sz w:val="21"/>
                <w:u w:val="single"/>
                <w:lang w:val="en-US" w:eastAsia="zh-CN"/>
              </w:rPr>
              <w:t xml:space="preserve">21</w:t>
            </w:r>
            <w:r>
              <w:rPr>
                <w:rFonts w:ascii="宋体" w:hAnsi="宋体" w:eastAsia="宋体" w:cs="宋体"/>
                <w:color w:val="000000"/>
                <w:spacing w:val="-6"/>
                <w:sz w:val="21"/>
                <w:u w:val="single"/>
              </w:rPr>
              <w:t xml:space="preserve">日</w:t>
            </w:r>
            <w:r>
              <w:rPr>
                <w:rFonts w:hint="eastAsia" w:ascii="宋体" w:hAnsi="宋体" w:eastAsia="宋体" w:cs="宋体"/>
                <w:color w:val="000000"/>
                <w:spacing w:val="-6"/>
                <w:sz w:val="21"/>
                <w:u w:val="single"/>
                <w:lang w:val="en-US" w:eastAsia="zh-CN"/>
              </w:rPr>
              <w:t xml:space="preserve">9</w:t>
            </w:r>
            <w:r>
              <w:rPr>
                <w:rFonts w:ascii="宋体" w:hAnsi="宋体" w:eastAsia="宋体" w:cs="宋体"/>
                <w:color w:val="000000"/>
                <w:spacing w:val="-6"/>
                <w:sz w:val="21"/>
                <w:u w:val="single"/>
              </w:rPr>
              <w:t xml:space="preserve">:30（</w:t>
            </w:r>
            <w:r>
              <w:rPr>
                <w:rFonts w:ascii="宋体" w:hAnsi="宋体" w:eastAsia="宋体" w:cs="宋体"/>
                <w:color w:val="000000"/>
                <w:spacing w:val="-6"/>
                <w:sz w:val="21"/>
              </w:rPr>
              <w:t xml:space="preserve">北京时间）前递交响应文件。</w:t>
            </w:r>
            <w:r/>
          </w:p>
        </w:tc>
      </w:tr>
    </w:tbl>
    <w:p>
      <w:pPr>
        <w:ind w:left="0" w:right="0" w:firstLine="41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一、项目基本情况</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1、项目编号：</w:t>
      </w:r>
      <w:r>
        <w:rPr>
          <w:rFonts w:hint="eastAsia" w:ascii="宋体" w:hAnsi="宋体" w:eastAsia="宋体" w:cs="宋体"/>
          <w:color w:val="000000"/>
          <w:sz w:val="21"/>
          <w:lang w:eastAsia="zh-CN"/>
        </w:rPr>
        <w:t xml:space="preserve">JSZC-321000-NTGC-C2026-0015</w:t>
      </w:r>
      <w:r>
        <w:rPr>
          <w:rFonts w:ascii="宋体" w:hAnsi="宋体" w:eastAsia="宋体" w:cs="宋体"/>
          <w:color w:val="000000"/>
          <w:sz w:val="21"/>
        </w:rPr>
        <w:t xml:space="preserve">；</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2、项目名称：</w:t>
      </w:r>
      <w:r>
        <w:rPr>
          <w:rFonts w:hint="eastAsia" w:ascii="宋体" w:hAnsi="宋体" w:eastAsia="宋体" w:cs="宋体"/>
          <w:color w:val="000000"/>
          <w:sz w:val="21"/>
          <w:lang w:eastAsia="zh-CN"/>
        </w:rPr>
        <w:t xml:space="preserve">扬州市中心血站双层献血屋及其配套设施采购项目</w:t>
      </w:r>
      <w:r>
        <w:rPr>
          <w:rFonts w:ascii="宋体" w:hAnsi="宋体" w:eastAsia="宋体" w:cs="宋体"/>
          <w:color w:val="000000"/>
          <w:sz w:val="21"/>
        </w:rPr>
        <w:t xml:space="preserve">；</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3、采购方式：竞争性磋商；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4、预算金额：</w:t>
      </w:r>
      <w:r>
        <w:rPr>
          <w:rFonts w:hint="eastAsia" w:ascii="宋体" w:hAnsi="宋体" w:eastAsia="宋体" w:cs="宋体"/>
          <w:color w:val="000000"/>
          <w:sz w:val="21"/>
          <w:lang w:val="en-US" w:eastAsia="zh-CN"/>
        </w:rPr>
        <w:t xml:space="preserve">196万元</w:t>
      </w:r>
      <w:r>
        <w:rPr>
          <w:rFonts w:ascii="宋体" w:hAnsi="宋体" w:eastAsia="宋体" w:cs="宋体"/>
          <w:color w:val="000000"/>
          <w:sz w:val="21"/>
        </w:rPr>
        <w:t xml:space="preserve">；</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5、最高限价：</w:t>
      </w:r>
      <w:r>
        <w:rPr>
          <w:rFonts w:hint="eastAsia" w:ascii="宋体" w:hAnsi="宋体" w:eastAsia="宋体" w:cs="宋体"/>
          <w:color w:val="000000"/>
          <w:sz w:val="21"/>
          <w:highlight w:val="white"/>
          <w:lang w:val="en-US" w:eastAsia="zh-CN"/>
        </w:rPr>
        <w:t xml:space="preserve">196万元</w:t>
      </w:r>
      <w:r>
        <w:rPr>
          <w:rFonts w:ascii="宋体" w:hAnsi="宋体" w:eastAsia="宋体" w:cs="宋体"/>
          <w:color w:val="000000"/>
          <w:sz w:val="21"/>
        </w:rPr>
        <w:t xml:space="preserve">，报价超过最高限价的为无效报价，按照无效响应处理；</w:t>
      </w:r>
      <w:r/>
    </w:p>
    <w:p>
      <w:pPr>
        <w:ind w:left="0" w:right="0" w:firstLine="4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6、采购需求：</w:t>
      </w:r>
      <w:r>
        <w:rPr>
          <w:rFonts w:hint="eastAsia" w:ascii="宋体" w:hAnsi="宋体" w:eastAsia="宋体" w:cs="宋体"/>
          <w:color w:val="000000"/>
          <w:sz w:val="21"/>
          <w:highlight w:val="white"/>
          <w:lang w:val="en-US" w:eastAsia="zh-CN"/>
        </w:rPr>
        <w:t xml:space="preserve">根据规划拟在城北区域仙城北路与江淮路交叉口处增设一座智慧化双层献血屋，补齐区位布局短板，常态化开展无偿献血公益宣传，塑造城市公益文明窗口。</w:t>
      </w:r>
      <w:r>
        <w:rPr>
          <w:rFonts w:ascii="宋体" w:hAnsi="宋体" w:eastAsia="宋体" w:cs="宋体"/>
          <w:color w:val="000000"/>
          <w:sz w:val="21"/>
          <w:highlight w:val="white"/>
        </w:rPr>
        <w:t xml:space="preserve">（</w:t>
      </w:r>
      <w:r>
        <w:rPr>
          <w:rFonts w:ascii="宋体" w:hAnsi="宋体" w:eastAsia="宋体" w:cs="宋体"/>
          <w:color w:val="000000"/>
          <w:sz w:val="21"/>
        </w:rPr>
        <w:t xml:space="preserve">具体详见磋商文件第四章</w:t>
      </w:r>
      <w:r>
        <w:rPr>
          <w:rFonts w:ascii="宋体" w:hAnsi="宋体" w:eastAsia="宋体" w:cs="宋体"/>
          <w:color w:val="000000"/>
          <w:sz w:val="21"/>
          <w:highlight w:val="white"/>
        </w:rPr>
        <w:t xml:space="preserve">）</w:t>
      </w:r>
      <w:r/>
    </w:p>
    <w:p>
      <w:pPr>
        <w:ind w:left="0" w:right="0" w:firstLine="4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7、合同履行期限</w:t>
      </w:r>
      <w:r>
        <w:rPr>
          <w:rFonts w:ascii="宋体" w:hAnsi="宋体" w:eastAsia="宋体" w:cs="宋体"/>
          <w:color w:val="000000"/>
          <w:spacing w:val="-6"/>
          <w:sz w:val="21"/>
        </w:rPr>
        <w:t xml:space="preserve">：</w:t>
      </w:r>
      <w:r>
        <w:rPr>
          <w:rFonts w:ascii="宋体" w:hAnsi="宋体" w:eastAsia="宋体" w:cs="宋体"/>
          <w:color w:val="000000"/>
          <w:sz w:val="21"/>
        </w:rPr>
        <w:t xml:space="preserve">合同签订后</w:t>
      </w:r>
      <w:r>
        <w:rPr>
          <w:rFonts w:hint="eastAsia" w:ascii="宋体" w:hAnsi="宋体" w:eastAsia="宋体" w:cs="宋体"/>
          <w:color w:val="000000"/>
          <w:sz w:val="21"/>
          <w:lang w:val="en-US" w:eastAsia="zh-CN"/>
        </w:rPr>
        <w:t xml:space="preserve">60</w:t>
      </w:r>
      <w:r>
        <w:rPr>
          <w:rFonts w:ascii="宋体" w:hAnsi="宋体" w:eastAsia="宋体" w:cs="宋体"/>
          <w:color w:val="000000"/>
          <w:sz w:val="21"/>
        </w:rPr>
        <w:t xml:space="preserve">日历天内完成整个</w:t>
      </w:r>
      <w:r>
        <w:rPr>
          <w:rFonts w:hint="eastAsia" w:ascii="宋体" w:hAnsi="宋体" w:eastAsia="宋体" w:cs="宋体"/>
          <w:color w:val="000000"/>
          <w:sz w:val="21"/>
          <w:lang w:val="en-US" w:eastAsia="zh-CN"/>
        </w:rPr>
        <w:t xml:space="preserve">项目</w:t>
      </w:r>
      <w:r>
        <w:rPr>
          <w:rFonts w:ascii="宋体" w:hAnsi="宋体" w:eastAsia="宋体" w:cs="宋体"/>
          <w:color w:val="000000"/>
          <w:sz w:val="21"/>
        </w:rPr>
        <w:t xml:space="preserve">并且</w:t>
      </w:r>
      <w:r>
        <w:rPr>
          <w:rFonts w:hint="eastAsia" w:ascii="宋体" w:hAnsi="宋体" w:eastAsia="宋体" w:cs="宋体"/>
          <w:color w:val="000000"/>
          <w:sz w:val="21"/>
          <w:lang w:val="en-US" w:eastAsia="zh-CN"/>
        </w:rPr>
        <w:t xml:space="preserve">验收</w:t>
      </w:r>
      <w:r>
        <w:rPr>
          <w:rFonts w:ascii="宋体" w:hAnsi="宋体" w:eastAsia="宋体" w:cs="宋体"/>
          <w:color w:val="000000"/>
          <w:sz w:val="21"/>
        </w:rPr>
        <w:t xml:space="preserve">合格，可交付采购人投入使用；有可能夜间施工，计划开工时间以采购人的通知为准；</w:t>
      </w:r>
      <w:r/>
    </w:p>
    <w:p>
      <w:pPr>
        <w:ind w:left="0" w:right="0" w:firstLine="4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8、质量标准：达到国家及行业现行</w:t>
      </w:r>
      <w:r>
        <w:rPr>
          <w:rFonts w:hint="eastAsia" w:ascii="宋体" w:hAnsi="宋体" w:eastAsia="宋体" w:cs="宋体"/>
          <w:color w:val="000000"/>
          <w:sz w:val="21"/>
          <w:lang w:val="en-US" w:eastAsia="zh-CN"/>
        </w:rPr>
        <w:t xml:space="preserve">相关</w:t>
      </w:r>
      <w:r>
        <w:rPr>
          <w:rFonts w:ascii="宋体" w:hAnsi="宋体" w:eastAsia="宋体" w:cs="宋体"/>
          <w:color w:val="000000"/>
          <w:sz w:val="21"/>
        </w:rPr>
        <w:t xml:space="preserve">验收规范合格标准；</w:t>
      </w:r>
      <w:r/>
    </w:p>
    <w:p>
      <w:pPr>
        <w:ind w:left="0" w:right="0" w:firstLine="41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二、申请人的资格要求：</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（一）通用资格要求</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1.满足《中华人民共和国政府采购法》第二十二条规定，并提供下列材料：</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1"/>
          <w:u w:val="single"/>
        </w:rPr>
        <w:t xml:space="preserve">1.1 法人或者其他组织的营业执照等证明文件，自然人的身份证明；</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1"/>
          <w:u w:val="single"/>
        </w:rPr>
        <w:t xml:space="preserve">1.2 上一年度的财务状况报告（成立不满一年无需提供）；</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1"/>
          <w:u w:val="single"/>
        </w:rPr>
        <w:t xml:space="preserve">1.3 依法缴纳税收和社会保障资金的相关材料（提供提交投标文件截止时间前12个月内任意一个月依法缴纳税收及缴纳社会保障资金的证明材料。投标人依法享受缓缴、免缴税收、社会保障资金的提供证明材料）；</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1"/>
          <w:u w:val="single"/>
        </w:rPr>
        <w:t xml:space="preserve">1.4 具备履行合同所必需的设备和专业技术能力的书面声明；</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1"/>
          <w:u w:val="single"/>
        </w:rPr>
        <w:t xml:space="preserve">1.5 参加政府采购活动前3年内在经营活动中没有重大违法记录的书面声明；</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1"/>
          <w:u w:val="single"/>
        </w:rPr>
        <w:t xml:space="preserve">1.6 供应商信用承诺函。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1"/>
          <w:u w:val="single"/>
        </w:rPr>
        <w:t xml:space="preserve">2.未被“信用中国”网站（www.creditchina.gov.cn）、“中国政府采购网”www.ccgp.gov.cn）列入失信被执行人、重大税收违法案件当事人名单、政府采购严重违法失信行为记录名单。</w:t>
      </w:r>
      <w:r/>
    </w:p>
    <w:p>
      <w:pPr>
        <w:ind w:left="0" w:right="0" w:firstLine="420"/>
        <w:jc w:val="both"/>
        <w:spacing w:before="0" w:after="0" w:line="85" w:lineRule="atLeast"/>
        <w:tabs>
          <w:tab w:val="left" w:pos="266" w:leader="none"/>
        </w:tabs>
        <w:rPr>
          <w:rFonts w:hint="eastAsia" w:ascii="宋体" w:hAnsi="宋体" w:eastAsia="宋体" w:cs="宋体"/>
          <w:i/>
          <w:color w:val="000000"/>
          <w:sz w:val="21"/>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rFonts w:ascii="宋体" w:hAnsi="宋体" w:eastAsia="宋体" w:cs="宋体"/>
          <w:color w:val="000000"/>
          <w:sz w:val="21"/>
          <w:u w:val="none"/>
        </w:rPr>
        <w:t xml:space="preserve">.</w:t>
      </w:r>
      <w:r>
        <w:rPr>
          <w:rFonts w:ascii="宋体" w:hAnsi="宋体" w:eastAsia="宋体" w:cs="宋体"/>
          <w:color w:val="000000"/>
          <w:sz w:val="21"/>
        </w:rPr>
        <w:t xml:space="preserve">落实政府采购政策须满足的资格要求：</w:t>
      </w:r>
      <w:r>
        <w:rPr>
          <w:rFonts w:hint="eastAsia" w:ascii="宋体" w:hAnsi="宋体" w:eastAsia="宋体" w:cs="宋体"/>
          <w:i/>
          <w:color w:val="000000"/>
          <w:sz w:val="21"/>
          <w:u w:val="single"/>
          <w:lang w:val="en-US" w:eastAsia="zh-CN"/>
        </w:rPr>
        <w:t xml:space="preserve">无</w:t>
      </w:r>
      <w:r/>
    </w:p>
    <w:p>
      <w:pPr>
        <w:ind w:left="0" w:right="0" w:firstLine="420"/>
        <w:jc w:val="both"/>
        <w:spacing w:before="0" w:after="0" w:line="85" w:lineRule="atLeast"/>
        <w:tabs>
          <w:tab w:val="left" w:pos="26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4.本项目</w:t>
      </w:r>
      <w:r>
        <w:rPr>
          <w:rFonts w:ascii="宋体" w:hAnsi="宋体" w:eastAsia="宋体" w:cs="宋体"/>
          <w:b/>
          <w:color w:val="000000"/>
          <w:sz w:val="21"/>
        </w:rPr>
        <w:t xml:space="preserve">不接受</w:t>
      </w:r>
      <w:r>
        <w:rPr>
          <w:rFonts w:ascii="宋体" w:hAnsi="宋体" w:eastAsia="宋体" w:cs="宋体"/>
          <w:color w:val="000000"/>
          <w:sz w:val="21"/>
        </w:rPr>
        <w:t xml:space="preserve">联合体磋商。</w:t>
      </w:r>
      <w:r/>
    </w:p>
    <w:p>
      <w:pPr>
        <w:ind w:left="0" w:right="0" w:firstLine="420"/>
        <w:jc w:val="both"/>
        <w:spacing w:before="0" w:after="0" w:line="85" w:lineRule="atLeast"/>
        <w:tabs>
          <w:tab w:val="left" w:pos="26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5.本项目</w:t>
      </w:r>
      <w:r>
        <w:rPr>
          <w:rFonts w:ascii="宋体" w:hAnsi="宋体" w:eastAsia="宋体" w:cs="宋体"/>
          <w:b/>
          <w:color w:val="000000"/>
          <w:sz w:val="21"/>
        </w:rPr>
        <w:t xml:space="preserve">不接受</w:t>
      </w:r>
      <w:r>
        <w:rPr>
          <w:rFonts w:ascii="宋体" w:hAnsi="宋体" w:eastAsia="宋体" w:cs="宋体"/>
          <w:color w:val="000000"/>
          <w:sz w:val="21"/>
        </w:rPr>
        <w:t xml:space="preserve">进口产品磋商。</w:t>
      </w:r>
      <w:r/>
    </w:p>
    <w:p>
      <w:pPr>
        <w:ind w:left="0" w:right="0" w:firstLine="420"/>
        <w:jc w:val="both"/>
        <w:spacing w:before="0" w:after="0" w:line="85" w:lineRule="atLeast"/>
        <w:rPr>
          <w:rFonts w:hint="eastAsia" w:ascii="宋体" w:hAnsi="宋体" w:eastAsia="宋体" w:cs="宋体"/>
          <w:i w:val="0"/>
          <w:iCs/>
          <w:color w:val="000000"/>
          <w:sz w:val="21"/>
          <w:u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（二）本项目的特定资格要求：</w:t>
      </w:r>
      <w:r>
        <w:rPr>
          <w:rFonts w:hint="eastAsia" w:ascii="宋体" w:hAnsi="宋体" w:eastAsia="宋体" w:cs="宋体"/>
          <w:i w:val="0"/>
          <w:iCs/>
          <w:color w:val="000000"/>
          <w:sz w:val="21"/>
          <w:u w:val="none"/>
          <w:lang w:val="en-US" w:eastAsia="zh-CN"/>
        </w:rPr>
        <w:t xml:space="preserve">无</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（三）拒绝下述供应商参加本次采购活动：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1.供应商单位负责人为同一人或者存在直接控股、管理关系的不同供应商，不得参加同一合同项下的政府采购活动；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2.凡为采购项目提供整体设计、规范编制或者项目管理、监理、检测等服务的供应商，不得再参加该项目的其他采购活动。</w:t>
      </w:r>
      <w:r/>
    </w:p>
    <w:p>
      <w:pPr>
        <w:ind w:left="0" w:right="0" w:firstLine="41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三、获取采购文件</w:t>
      </w:r>
      <w:r/>
    </w:p>
    <w:p>
      <w:pPr>
        <w:ind w:left="0" w:right="0" w:firstLine="42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1.时间：自磋商公告发布之日起5个工作日。</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2.获取方式：本项目采用网上注册登记方式。</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3.潜在投标人访问政府采购管理交易系统（苏采云）的网络地址和方法：</w:t>
      </w:r>
      <w:r/>
    </w:p>
    <w:p>
      <w:pPr>
        <w:ind w:left="0" w:right="0" w:firstLine="42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w:t>
      </w:r>
      <w:r>
        <w:rPr>
          <w:rFonts w:ascii="宋体" w:hAnsi="宋体" w:eastAsia="宋体" w:cs="宋体"/>
          <w:b/>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（2）“CA数字证书”的获取：供应商需办理CA锁，“苏采云”系统目前仅支持“苏采云”系统下的政务CA，省内各地区办理的“苏采云”系统下的政务CA全省通用。</w:t>
      </w:r>
      <w:r/>
    </w:p>
    <w:p>
      <w:pPr>
        <w:ind w:left="0" w:right="0" w:firstLine="42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（3）“CA数字证书”的办理材料以及供应商操作手册详见：</w:t>
      </w:r>
      <w:r/>
    </w:p>
    <w:p>
      <w:pPr>
        <w:ind w:left="0" w:right="0" w:firstLine="42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http://zfcq.yanqzhou.qov.cn/xzzx/art/2023/art_4d7de1f7865f4a2894fc22bc452f94d8.html。潜在供应商访问“苏采云”系统的网络地址和方法：“苏采云”系统的网址：http：//jszfcg.jsczt.cn/。</w:t>
      </w:r>
      <w:r/>
    </w:p>
    <w:p>
      <w:pPr>
        <w:ind w:left="0" w:right="0" w:firstLine="42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（5）采购文件（后缀名为“.kedt”）、供应商操作手册及政府采购客户端工具也可通过“苏采云”系统--已报名项目--报名详情页面内相应链接进行下载。</w:t>
      </w:r>
      <w:r/>
    </w:p>
    <w:p>
      <w:pPr>
        <w:ind w:left="0" w:right="0" w:firstLine="42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（6）招标代理机构（采购代理机构）将数据电文形式的采购文件加载至“苏采云”系统，供潜在供应商下载或者查阅。</w:t>
      </w:r>
      <w:r/>
    </w:p>
    <w:p>
      <w:pPr>
        <w:ind w:left="0" w:right="0" w:firstLine="42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（7）苏采云系统使用谷歌浏览器参与不见面开标。</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四、响应文件提交</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1、截止时间：</w:t>
      </w:r>
      <w:r>
        <w:rPr>
          <w:rFonts w:ascii="宋体" w:hAnsi="宋体" w:eastAsia="宋体" w:cs="宋体"/>
          <w:color w:val="000000"/>
          <w:spacing w:val="-6"/>
          <w:sz w:val="21"/>
        </w:rPr>
        <w:t xml:space="preserve">于</w:t>
      </w:r>
      <w:r>
        <w:rPr>
          <w:rFonts w:ascii="宋体" w:hAnsi="宋体" w:eastAsia="宋体" w:cs="宋体"/>
          <w:color w:val="000000"/>
          <w:spacing w:val="-6"/>
          <w:sz w:val="21"/>
          <w:u w:val="single"/>
        </w:rPr>
        <w:t xml:space="preserve">2026年</w:t>
      </w:r>
      <w:r>
        <w:rPr>
          <w:rFonts w:hint="eastAsia" w:ascii="宋体" w:hAnsi="宋体" w:eastAsia="宋体" w:cs="宋体"/>
          <w:color w:val="000000"/>
          <w:spacing w:val="-6"/>
          <w:sz w:val="21"/>
          <w:u w:val="single"/>
          <w:lang w:val="en-US" w:eastAsia="zh-CN"/>
        </w:rPr>
        <w:t xml:space="preserve">10</w:t>
      </w:r>
      <w:r>
        <w:rPr>
          <w:rFonts w:ascii="宋体" w:hAnsi="宋体" w:eastAsia="宋体" w:cs="宋体"/>
          <w:color w:val="000000"/>
          <w:spacing w:val="-6"/>
          <w:sz w:val="21"/>
          <w:u w:val="single"/>
        </w:rPr>
        <w:t xml:space="preserve">月</w:t>
      </w:r>
      <w:r>
        <w:rPr>
          <w:rFonts w:hint="eastAsia" w:ascii="宋体" w:hAnsi="宋体" w:eastAsia="宋体" w:cs="宋体"/>
          <w:color w:val="000000"/>
          <w:spacing w:val="-6"/>
          <w:sz w:val="21"/>
          <w:u w:val="single"/>
          <w:lang w:val="en-US" w:eastAsia="zh-CN"/>
        </w:rPr>
        <w:t xml:space="preserve">21</w:t>
      </w:r>
      <w:r>
        <w:rPr>
          <w:rFonts w:ascii="宋体" w:hAnsi="宋体" w:eastAsia="宋体" w:cs="宋体"/>
          <w:color w:val="000000"/>
          <w:spacing w:val="-6"/>
          <w:sz w:val="21"/>
          <w:u w:val="single"/>
        </w:rPr>
        <w:t xml:space="preserve">日</w:t>
      </w:r>
      <w:r>
        <w:rPr>
          <w:rFonts w:hint="eastAsia" w:ascii="宋体" w:hAnsi="宋体" w:eastAsia="宋体" w:cs="宋体"/>
          <w:color w:val="000000"/>
          <w:spacing w:val="-6"/>
          <w:sz w:val="21"/>
          <w:u w:val="single"/>
          <w:lang w:val="en-US" w:eastAsia="zh-CN"/>
        </w:rPr>
        <w:t xml:space="preserve">9</w:t>
      </w:r>
      <w:r>
        <w:rPr>
          <w:rFonts w:ascii="宋体" w:hAnsi="宋体" w:eastAsia="宋体" w:cs="宋体"/>
          <w:color w:val="000000"/>
          <w:spacing w:val="-6"/>
          <w:sz w:val="21"/>
          <w:u w:val="single"/>
        </w:rPr>
        <w:t xml:space="preserve">:</w:t>
      </w:r>
      <w:r>
        <w:rPr>
          <w:rFonts w:hint="eastAsia" w:ascii="宋体" w:hAnsi="宋体" w:eastAsia="宋体" w:cs="宋体"/>
          <w:color w:val="000000"/>
          <w:spacing w:val="-6"/>
          <w:sz w:val="21"/>
          <w:u w:val="single"/>
          <w:lang w:val="en-US" w:eastAsia="zh-CN"/>
        </w:rPr>
        <w:t xml:space="preserve">3</w:t>
      </w:r>
      <w:r>
        <w:rPr>
          <w:rFonts w:ascii="宋体" w:hAnsi="宋体" w:eastAsia="宋体" w:cs="宋体"/>
          <w:color w:val="000000"/>
          <w:spacing w:val="-6"/>
          <w:sz w:val="21"/>
          <w:u w:val="single"/>
        </w:rPr>
        <w:t xml:space="preserve">0</w:t>
      </w:r>
      <w:r>
        <w:rPr>
          <w:rFonts w:ascii="宋体" w:hAnsi="宋体" w:eastAsia="宋体" w:cs="宋体"/>
          <w:color w:val="000000"/>
          <w:sz w:val="21"/>
        </w:rPr>
        <w:t xml:space="preserve">（北京时间）；</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2、地点：“苏采云”系统（网址：http://jszfcg.jsczt.cn/）</w:t>
      </w:r>
      <w:r>
        <w:rPr>
          <w:rFonts w:ascii="宋体" w:hAnsi="宋体" w:eastAsia="宋体" w:cs="宋体"/>
          <w:color w:val="000000"/>
          <w:sz w:val="21"/>
          <w:u w:val="none"/>
        </w:rPr>
        <w:t xml:space="preserve">“报名详情”。</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五、开启</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1、时间：</w:t>
      </w:r>
      <w:r>
        <w:rPr>
          <w:rFonts w:ascii="宋体" w:hAnsi="宋体" w:eastAsia="宋体" w:cs="宋体"/>
          <w:color w:val="000000"/>
          <w:spacing w:val="-6"/>
          <w:sz w:val="21"/>
        </w:rPr>
        <w:t xml:space="preserve">于</w:t>
      </w:r>
      <w:r>
        <w:rPr>
          <w:rFonts w:ascii="宋体" w:hAnsi="宋体" w:eastAsia="宋体" w:cs="宋体"/>
          <w:color w:val="000000"/>
          <w:spacing w:val="-6"/>
          <w:sz w:val="21"/>
          <w:u w:val="single"/>
        </w:rPr>
        <w:t xml:space="preserve">2026年</w:t>
      </w:r>
      <w:r>
        <w:rPr>
          <w:rFonts w:hint="eastAsia" w:ascii="宋体" w:hAnsi="宋体" w:eastAsia="宋体" w:cs="宋体"/>
          <w:color w:val="000000"/>
          <w:spacing w:val="-6"/>
          <w:sz w:val="21"/>
          <w:u w:val="single"/>
          <w:lang w:val="en-US" w:eastAsia="zh-CN"/>
        </w:rPr>
        <w:t xml:space="preserve">10</w:t>
      </w:r>
      <w:r>
        <w:rPr>
          <w:rFonts w:ascii="宋体" w:hAnsi="宋体" w:eastAsia="宋体" w:cs="宋体"/>
          <w:color w:val="000000"/>
          <w:spacing w:val="-6"/>
          <w:sz w:val="21"/>
          <w:u w:val="single"/>
        </w:rPr>
        <w:t xml:space="preserve">月</w:t>
      </w:r>
      <w:r>
        <w:rPr>
          <w:rFonts w:hint="eastAsia" w:ascii="宋体" w:hAnsi="宋体" w:eastAsia="宋体" w:cs="宋体"/>
          <w:color w:val="000000"/>
          <w:spacing w:val="-6"/>
          <w:sz w:val="21"/>
          <w:u w:val="single"/>
          <w:lang w:val="en-US" w:eastAsia="zh-CN"/>
        </w:rPr>
        <w:t xml:space="preserve">21</w:t>
      </w:r>
      <w:r>
        <w:rPr>
          <w:rFonts w:ascii="宋体" w:hAnsi="宋体" w:eastAsia="宋体" w:cs="宋体"/>
          <w:color w:val="000000"/>
          <w:spacing w:val="-6"/>
          <w:sz w:val="21"/>
          <w:u w:val="single"/>
        </w:rPr>
        <w:t xml:space="preserve">日</w:t>
      </w:r>
      <w:r>
        <w:rPr>
          <w:rFonts w:hint="eastAsia" w:ascii="宋体" w:hAnsi="宋体" w:eastAsia="宋体" w:cs="宋体"/>
          <w:color w:val="000000"/>
          <w:spacing w:val="-6"/>
          <w:sz w:val="21"/>
          <w:u w:val="single"/>
          <w:lang w:val="en-US" w:eastAsia="zh-CN"/>
        </w:rPr>
        <w:t xml:space="preserve">9</w:t>
      </w:r>
      <w:r>
        <w:rPr>
          <w:rFonts w:ascii="宋体" w:hAnsi="宋体" w:eastAsia="宋体" w:cs="宋体"/>
          <w:color w:val="000000"/>
          <w:spacing w:val="-6"/>
          <w:sz w:val="21"/>
          <w:u w:val="single"/>
        </w:rPr>
        <w:t xml:space="preserve">:30</w:t>
      </w:r>
      <w:r>
        <w:rPr>
          <w:rFonts w:ascii="宋体" w:hAnsi="宋体" w:eastAsia="宋体" w:cs="宋体"/>
          <w:color w:val="000000"/>
          <w:sz w:val="21"/>
        </w:rPr>
        <w:t xml:space="preserve">（北京时间）；</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2、地点：</w:t>
      </w:r>
      <w:r>
        <w:rPr>
          <w:rFonts w:ascii="宋体" w:hAnsi="宋体" w:eastAsia="宋体" w:cs="宋体"/>
          <w:color w:val="000000"/>
          <w:sz w:val="21"/>
          <w:u w:val="none"/>
        </w:rPr>
        <w:t xml:space="preserve">“苏采云”系统（网址：http://jszfcg.jsczt.cn/）“开标大厅”。</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六、公告期限</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none"/>
        </w:rPr>
        <w:t xml:space="preserve">自本公告发布之日起3个工作日。</w:t>
      </w:r>
      <w:r/>
    </w:p>
    <w:p>
      <w:pPr>
        <w:ind w:left="0" w:right="0" w:firstLine="41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七、其他补充事宜</w:t>
      </w:r>
      <w:r/>
    </w:p>
    <w:p>
      <w:pPr>
        <w:ind w:left="0" w:right="0" w:firstLine="420"/>
        <w:jc w:val="both"/>
        <w:spacing w:before="0" w:after="0" w:line="85" w:lineRule="atLeast"/>
        <w:tabs>
          <w:tab w:val="left" w:pos="26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left="0" w:right="0" w:firstLine="420"/>
        <w:jc w:val="both"/>
        <w:spacing w:before="0" w:after="0" w:line="85" w:lineRule="atLeast"/>
        <w:tabs>
          <w:tab w:val="left" w:pos="26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2.供应商如确定参加投标，可自行下载采购文件及有关资料，按照《操作手册》进行注册，领取CA和办理电子签章，并按《操作手册》要求制作、上传电子投标文件，技术支持联系方式：13813140731。</w:t>
      </w:r>
      <w:r/>
    </w:p>
    <w:p>
      <w:pPr>
        <w:ind w:left="0" w:right="0" w:firstLine="420"/>
        <w:jc w:val="both"/>
        <w:spacing w:before="0" w:after="0" w:line="85" w:lineRule="atLeast"/>
        <w:tabs>
          <w:tab w:val="left" w:pos="26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3.本次招标不收取投标保证金。</w:t>
      </w:r>
      <w:r/>
    </w:p>
    <w:p>
      <w:pPr>
        <w:ind w:left="0" w:right="0" w:firstLine="420"/>
        <w:jc w:val="both"/>
        <w:spacing w:before="0" w:after="0" w:line="85" w:lineRule="atLeast"/>
        <w:tabs>
          <w:tab w:val="left" w:pos="26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4.有关本次招标的事项若存在变动或修改，敬请及时关注“扬州市政府采购网”“江苏省政府采购网”发布的信息。</w:t>
      </w:r>
      <w:r/>
    </w:p>
    <w:p>
      <w:pPr>
        <w:ind w:left="0" w:right="0" w:firstLine="422"/>
        <w:jc w:val="both"/>
        <w:spacing w:before="0" w:after="0" w:line="85" w:lineRule="atLeast"/>
        <w:tabs>
          <w:tab w:val="left" w:pos="266"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5.本项目招标文件中所有斜体下划线部分为实质性条款，如不满足，则为无效投标。</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6.潜在投标人对采购文件项目需求部分的询问、质疑向采购人提出，由采购人负责答复。</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7.如在开标时间发生系统崩溃等不可预见的情况，造成开评标活动无法正常进行的，将延迟开评标，具体开评标时间另行通知。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9.为落实好政府采购履约资金扶持政策，中标/成交供应商可凭政府采购合同办理融资 贷款，详见江苏政府采购网“政采贷”专栏。</w:t>
      </w:r>
      <w:r/>
    </w:p>
    <w:p>
      <w:pPr>
        <w:ind w:left="0" w:right="0" w:firstLine="411"/>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10.供应商对于所投产品的包装应按照“财办库〔2020〕123号《关于印发商品包装政府采购需求标准（试行）》《快递包装政府采购需求标准（试行）的通知》”执行。</w:t>
      </w:r>
      <w:r/>
    </w:p>
    <w:p>
      <w:pPr>
        <w:ind w:left="0" w:right="0" w:firstLine="41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八、凡对本次采购提出询问，请按以下方式联系。</w:t>
      </w:r>
      <w:r/>
    </w:p>
    <w:p>
      <w:pPr>
        <w:ind w:left="0" w:right="0" w:firstLine="420"/>
        <w:jc w:val="both"/>
        <w:spacing w:before="0" w:after="0" w:line="85" w:lineRule="atLeast"/>
        <w:rPr>
          <w:rFonts w:hint="eastAsia" w:ascii="宋体" w:hAnsi="宋体" w:eastAsia="宋体" w:cs="宋体"/>
          <w:color w:val="000000"/>
          <w:sz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hint="eastAsia" w:ascii="宋体" w:hAnsi="宋体" w:eastAsia="宋体" w:cs="宋体"/>
          <w:color w:val="000000"/>
          <w:sz w:val="21"/>
        </w:rPr>
        <w:t xml:space="preserve">名  称：</w:t>
      </w:r>
      <w:r>
        <w:rPr>
          <w:rFonts w:hint="eastAsia" w:ascii="宋体" w:hAnsi="宋体" w:eastAsia="宋体" w:cs="宋体"/>
          <w:color w:val="000000"/>
          <w:sz w:val="21"/>
          <w:lang w:eastAsia="zh-CN"/>
        </w:rPr>
        <w:t xml:space="preserve">扬州市中心血站</w:t>
      </w:r>
      <w:r/>
    </w:p>
    <w:p>
      <w:pPr>
        <w:ind w:left="0" w:right="0" w:firstLine="420"/>
        <w:jc w:val="both"/>
        <w:spacing w:before="0" w:after="0" w:line="85" w:lineRule="atLeast"/>
        <w:rPr>
          <w:rFonts w:hint="eastAsia" w:ascii="宋体" w:hAnsi="宋体" w:eastAsia="宋体" w:cs="宋体"/>
          <w:color w:val="000000"/>
          <w:sz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地  址：</w:t>
      </w:r>
      <w:r>
        <w:rPr>
          <w:rFonts w:hint="eastAsia" w:ascii="宋体" w:hAnsi="宋体" w:eastAsia="宋体" w:cs="宋体"/>
          <w:color w:val="000000"/>
          <w:sz w:val="21"/>
          <w:lang w:eastAsia="zh-CN"/>
        </w:rPr>
        <w:t xml:space="preserve">扬州市邗江区</w:t>
      </w:r>
      <w:r>
        <w:rPr>
          <w:rFonts w:hint="eastAsia" w:ascii="宋体" w:hAnsi="宋体" w:eastAsia="宋体" w:cs="宋体"/>
          <w:color w:val="000000"/>
          <w:sz w:val="21"/>
          <w:lang w:val="en-US" w:eastAsia="zh-CN"/>
        </w:rPr>
        <w:t xml:space="preserve">玉人</w:t>
      </w:r>
      <w:r>
        <w:rPr>
          <w:rFonts w:hint="eastAsia" w:ascii="宋体" w:hAnsi="宋体" w:eastAsia="宋体" w:cs="宋体"/>
          <w:color w:val="000000"/>
          <w:sz w:val="21"/>
          <w:lang w:eastAsia="zh-CN"/>
        </w:rPr>
        <w:t xml:space="preserve">路</w:t>
      </w:r>
      <w:r>
        <w:rPr>
          <w:rFonts w:hint="eastAsia" w:ascii="宋体" w:hAnsi="宋体" w:eastAsia="宋体" w:cs="宋体"/>
          <w:color w:val="000000"/>
          <w:sz w:val="21"/>
          <w:lang w:val="en-US" w:eastAsia="zh-CN"/>
        </w:rPr>
        <w:t xml:space="preserve">11</w:t>
      </w:r>
      <w:r>
        <w:rPr>
          <w:rFonts w:hint="eastAsia" w:ascii="宋体" w:hAnsi="宋体" w:eastAsia="宋体" w:cs="宋体"/>
          <w:color w:val="000000"/>
          <w:sz w:val="21"/>
          <w:lang w:eastAsia="zh-CN"/>
        </w:rPr>
        <w:t xml:space="preserve">号</w:t>
      </w:r>
      <w:r/>
    </w:p>
    <w:p>
      <w:pPr>
        <w:ind w:left="0" w:right="0" w:firstLine="420"/>
        <w:jc w:val="both"/>
        <w:spacing w:before="0" w:after="0" w:line="85" w:lineRule="atLeast"/>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联系人：胥灏</w:t>
      </w:r>
      <w:r/>
    </w:p>
    <w:p>
      <w:pPr>
        <w:ind w:left="0" w:right="0" w:firstLine="42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联系方式：0514-87959923</w:t>
      </w:r>
      <w:r/>
    </w:p>
    <w:p>
      <w:pPr>
        <w:ind w:left="0" w:right="0" w:firstLine="42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rPr>
          <w:rFonts w:hint="eastAsia" w:ascii="宋体" w:hAnsi="宋体" w:eastAsia="宋体" w:cs="宋体"/>
          <w:color w:val="000000"/>
          <w:sz w:val="21"/>
        </w:rPr>
        <w:t xml:space="preserve">采购代理机构信息</w:t>
      </w:r>
      <w:r/>
    </w:p>
    <w:p>
      <w:pPr>
        <w:ind w:left="0" w:right="0" w:firstLine="420"/>
        <w:jc w:val="both"/>
        <w:spacing w:before="0" w:after="0" w:line="85" w:lineRule="atLeast"/>
        <w:rPr>
          <w:rFonts w:hint="eastAsia" w:ascii="宋体" w:hAnsi="宋体" w:eastAsia="宋体" w:cs="宋体"/>
          <w:color w:val="000000"/>
          <w:sz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名  称：</w:t>
      </w:r>
      <w:r>
        <w:rPr>
          <w:rFonts w:hint="eastAsia" w:ascii="宋体" w:hAnsi="宋体" w:eastAsia="宋体" w:cs="宋体"/>
          <w:color w:val="000000"/>
          <w:sz w:val="21"/>
          <w:lang w:eastAsia="zh-CN"/>
        </w:rPr>
        <w:t xml:space="preserve">江苏皋诚工程项目管理有限公司扬州分公司</w:t>
      </w:r>
      <w:r/>
    </w:p>
    <w:p>
      <w:pPr>
        <w:ind w:left="0" w:right="0" w:firstLine="42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地</w:t>
      </w:r>
      <w:r>
        <w:rPr>
          <w:rFonts w:hint="eastAsia" w:ascii="宋体" w:hAnsi="宋体" w:eastAsia="宋体" w:cs="宋体"/>
          <w:color w:val="000000"/>
          <w:sz w:val="21"/>
          <w:lang w:val="en-US" w:eastAsia="zh-CN"/>
        </w:rPr>
        <w:t xml:space="preserve">  </w:t>
      </w:r>
      <w:r>
        <w:rPr>
          <w:rFonts w:hint="eastAsia" w:ascii="宋体" w:hAnsi="宋体" w:eastAsia="宋体" w:cs="宋体"/>
          <w:color w:val="000000"/>
          <w:sz w:val="21"/>
        </w:rPr>
        <w:t xml:space="preserve">址：扬州市邗江区邗江路49号-</w:t>
      </w:r>
      <w:r>
        <w:rPr>
          <w:rFonts w:hint="eastAsia" w:ascii="宋体" w:hAnsi="宋体" w:eastAsia="宋体" w:cs="宋体"/>
          <w:color w:val="000000"/>
          <w:sz w:val="21"/>
          <w:lang w:val="en-US" w:eastAsia="zh-CN"/>
        </w:rPr>
        <w:t xml:space="preserve">3</w:t>
      </w:r>
      <w:r>
        <w:rPr>
          <w:rFonts w:hint="eastAsia" w:ascii="宋体" w:hAnsi="宋体" w:eastAsia="宋体" w:cs="宋体"/>
          <w:color w:val="000000"/>
          <w:sz w:val="21"/>
        </w:rPr>
        <w:t xml:space="preserve">01室</w:t>
      </w:r>
      <w:r/>
    </w:p>
    <w:p>
      <w:pPr>
        <w:ind w:left="0" w:right="0" w:firstLine="420"/>
        <w:jc w:val="both"/>
        <w:spacing w:before="0" w:after="0" w:line="85"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项目联系人：</w:t>
      </w:r>
      <w:r>
        <w:rPr>
          <w:rFonts w:hint="eastAsia" w:ascii="宋体" w:hAnsi="宋体" w:eastAsia="宋体" w:cs="宋体"/>
          <w:color w:val="000000"/>
          <w:sz w:val="21"/>
          <w:lang w:val="en-US" w:eastAsia="zh-CN"/>
        </w:rPr>
        <w:t xml:space="preserve">胡品伟</w:t>
      </w:r>
      <w:r/>
    </w:p>
    <w:p>
      <w:pPr>
        <w:ind w:left="0" w:right="0" w:firstLine="420"/>
        <w:jc w:val="both"/>
        <w:spacing w:before="0" w:after="0" w:line="85" w:lineRule="atLeast"/>
        <w:rPr>
          <w:rFonts w:hint="default"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电  话：</w:t>
      </w:r>
      <w:r>
        <w:rPr>
          <w:rFonts w:hint="eastAsia" w:ascii="宋体" w:hAnsi="宋体" w:eastAsia="宋体" w:cs="宋体"/>
          <w:color w:val="000000"/>
          <w:sz w:val="21"/>
          <w:lang w:val="en-US" w:eastAsia="zh-CN"/>
        </w:rPr>
        <w:t xml:space="preserve">13092002368</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第二章 磋商须知</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none"/>
        </w:rPr>
        <w:t xml:space="preserve">（参加竞争性磋商的供应商以下简称“磋商供应商”）</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一、总则</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1、采购方式</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1.1本次采购采取竞争性磋商方式，本采购文件仅适用于此项目。</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2、供应商</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2.1参加竞争性磋商的供应商以下简称“供应商”，是指参加磋商并符合采购文件规定资格条件的法人、其他组织或者自然人。</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2.2合格的供应商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2.2.1满足采购公告中供应商的资格条件要求的规定。</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2.2.2满足本采购文件实质性条款的规定。</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3、适用法律</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3.1本次采购及由此产生的合同受中华人民共和国有关的法律法规制约和保护。</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4、参加磋商费用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4.1参加磋商供应商应自行承担所有与参加磋商有关的费用。不论最终的成交结果如何，采购代理机构和采购人在任何情况下均无义务和责任承担这些费用。</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4.2招标代理服务费：</w:t>
      </w:r>
      <w:r>
        <w:rPr>
          <w:rFonts w:ascii="宋体" w:hAnsi="宋体" w:eastAsia="宋体" w:cs="宋体"/>
          <w:color w:val="000000"/>
          <w:sz w:val="21"/>
        </w:rPr>
        <w:t xml:space="preserve">本招标文件约定由中标单位支付招标代理服务费，根据国家计委印发的原《招标代理服务收费管理暂行办法》(计价格【2002】1980号文)标准的</w:t>
      </w:r>
      <w:r>
        <w:rPr>
          <w:rFonts w:hint="eastAsia" w:ascii="宋体" w:hAnsi="宋体" w:eastAsia="宋体" w:cs="宋体"/>
          <w:color w:val="000000"/>
          <w:sz w:val="21"/>
          <w:lang w:val="en-US" w:eastAsia="zh-CN"/>
        </w:rPr>
        <w:t xml:space="preserve">5</w:t>
      </w:r>
      <w:r>
        <w:rPr>
          <w:rFonts w:ascii="宋体" w:hAnsi="宋体" w:eastAsia="宋体" w:cs="宋体"/>
          <w:color w:val="000000"/>
          <w:sz w:val="21"/>
        </w:rPr>
        <w:t xml:space="preserve">0%计取。该费用由中标单位在领取中标通知书前，向招标代理机构付清。</w:t>
      </w:r>
      <w:r/>
    </w:p>
    <w:p>
      <w:pPr>
        <w:ind w:left="0" w:right="0"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1</w:t>
      </w:r>
      <w:r>
        <w:rPr>
          <w:rFonts w:ascii="宋体" w:hAnsi="宋体" w:eastAsia="宋体" w:cs="宋体"/>
          <w:color w:val="000000"/>
          <w:sz w:val="21"/>
        </w:rPr>
        <w:t xml:space="preserve">）代理服务费以人民币支付；</w:t>
      </w:r>
      <w:r/>
    </w:p>
    <w:p>
      <w:pPr>
        <w:ind w:left="0" w:right="0"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2</w:t>
      </w:r>
      <w:r>
        <w:rPr>
          <w:rFonts w:ascii="宋体" w:hAnsi="宋体" w:eastAsia="宋体" w:cs="宋体"/>
          <w:color w:val="000000"/>
          <w:sz w:val="21"/>
        </w:rPr>
        <w:t xml:space="preserve">）代理服务费一次性以电汇、转账等非现金形式支付；</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rFonts w:hint="eastAsia" w:ascii="宋体" w:hAnsi="宋体" w:eastAsia="宋体" w:cs="宋体"/>
          <w:color w:val="000000"/>
          <w:sz w:val="21"/>
        </w:rPr>
        <w:t xml:space="preserve">投标报价应包含代理服务费</w:t>
      </w:r>
      <w:r>
        <w:rPr>
          <w:rFonts w:ascii="宋体" w:hAnsi="宋体" w:eastAsia="宋体" w:cs="宋体"/>
          <w:color w:val="000000"/>
          <w:sz w:val="21"/>
        </w:rPr>
        <w:t xml:space="preserve">，由成交单位单独支付给代理机构。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招标代理服务费开户银行：</w:t>
      </w:r>
      <w:r/>
    </w:p>
    <w:tbl>
      <w:tblPr>
        <w:tblStyle w:val="683"/>
        <w:tblW w:w="4373" w:type="pct"/>
        <w:jc w:val="center"/>
        <w:tblLayout w:type="autofit"/>
        <w:tblCellMar>
          <w:left w:w="108" w:type="dxa"/>
          <w:top w:w="0" w:type="dxa"/>
          <w:right w:w="108" w:type="dxa"/>
          <w:bottom w:w="0" w:type="dxa"/>
        </w:tblCellMar>
        <w:tblLook w:val="04A0" w:firstRow="1" w:lastRow="0" w:firstColumn="1" w:lastColumn="0" w:noHBand="0" w:noVBand="1"/>
      </w:tblPr>
      <w:tblGrid>
        <w:gridCol w:w="3588"/>
        <w:gridCol w:w="5120"/>
      </w:tblGrid>
      <w:tr>
        <w:trPr>
          <w:jc w:val="center"/>
          <w:trHeight w:val="281"/>
        </w:trPr>
        <w:tc>
          <w:tcPr>
            <w:tcW w:w="2060" w:type="pct"/>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户  名：</w:t>
            </w:r>
            <w:r/>
          </w:p>
        </w:tc>
        <w:tc>
          <w:tcPr>
            <w:tcW w:w="2939" w:type="pct"/>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江苏皋诚工程项目管理有限公司扬州分公司</w:t>
            </w:r>
            <w:r/>
          </w:p>
        </w:tc>
      </w:tr>
      <w:tr>
        <w:trPr>
          <w:jc w:val="center"/>
          <w:trHeight w:val="521"/>
        </w:trPr>
        <w:tc>
          <w:tcPr>
            <w:tcW w:w="2060" w:type="pct"/>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开户行：</w:t>
            </w:r>
            <w:r/>
          </w:p>
          <w:p>
            <w:pPr>
              <w:spacing w:line="360" w:lineRule="auto"/>
              <w:rPr>
                <w:rFonts w:ascii="宋体" w:hAnsi="宋体" w:cs="宋体"/>
                <w:color w:val="auto"/>
                <w:szCs w:val="21"/>
                <w:highlight w:val="none"/>
              </w:rPr>
            </w:pPr>
            <w:r>
              <w:rPr>
                <w:rFonts w:hint="eastAsia" w:ascii="宋体" w:hAnsi="宋体"/>
                <w:bCs/>
                <w:color w:val="000000"/>
                <w:szCs w:val="21"/>
              </w:rPr>
              <w:t xml:space="preserve">开户帐号：</w:t>
            </w:r>
            <w:r/>
          </w:p>
        </w:tc>
        <w:tc>
          <w:tcPr>
            <w:tcW w:w="2939" w:type="pct"/>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中信银行扬州邗江支行</w:t>
            </w:r>
            <w:r/>
          </w:p>
          <w:p>
            <w:pPr>
              <w:spacing w:line="360" w:lineRule="auto"/>
              <w:rPr>
                <w:rFonts w:hint="eastAsia" w:ascii="宋体" w:hAnsi="宋体" w:eastAsia="宋体" w:cs="宋体"/>
                <w:color w:val="auto"/>
                <w:szCs w:val="21"/>
                <w:highlight w:val="none"/>
                <w:lang w:eastAsia="zh-CN"/>
              </w:rPr>
            </w:pPr>
            <w:r>
              <w:rPr>
                <w:rFonts w:hint="eastAsia" w:ascii="宋体" w:hAnsi="宋体"/>
                <w:bCs/>
                <w:color w:val="000000"/>
                <w:szCs w:val="21"/>
              </w:rPr>
              <w:t xml:space="preserve">8110501013401924016</w:t>
            </w:r>
            <w:r/>
          </w:p>
        </w:tc>
      </w:tr>
    </w:tbl>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4.3专家评审费按照《扬州市财政局关于进一步规范扬州市政府采购专家评审费标准的通知》（扬财购〔2020〕40号）执行。</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5、磋商文件的约束力</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供应商一旦下载了本磋商文件并决定参加磋商，即被认为接受了本磋商文件的规定和约束，并且视为自竞争性磋商公告期限届满之日起已经知道或应当知道自身权益是否受到了损害。</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6、采购文件构成</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6.1采购文件由以下部分组成：</w:t>
      </w:r>
      <w:r/>
    </w:p>
    <w:p>
      <w:pPr>
        <w:ind w:left="0" w:right="0" w:firstLine="3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（1）采购公告</w:t>
      </w:r>
      <w:r/>
    </w:p>
    <w:p>
      <w:pPr>
        <w:ind w:left="0" w:right="0" w:firstLine="3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（2）磋商须知</w:t>
      </w:r>
      <w:r>
        <w:rPr>
          <w:rFonts w:ascii="宋体" w:hAnsi="宋体" w:eastAsia="宋体" w:cs="宋体"/>
          <w:color w:val="000000"/>
          <w:sz w:val="21"/>
        </w:rPr>
        <w:tab/>
      </w:r>
      <w:r/>
    </w:p>
    <w:p>
      <w:pPr>
        <w:ind w:left="0" w:right="0" w:firstLine="3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（3）合同条款及格式</w:t>
      </w:r>
      <w:r/>
    </w:p>
    <w:p>
      <w:pPr>
        <w:ind w:left="0" w:right="0" w:firstLine="3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（4）项目需求</w:t>
      </w:r>
      <w:r/>
    </w:p>
    <w:p>
      <w:pPr>
        <w:ind w:left="0" w:right="0" w:firstLine="3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（5）评审方法与评审标准</w:t>
      </w:r>
      <w:r/>
    </w:p>
    <w:p>
      <w:pPr>
        <w:ind w:left="0" w:right="0" w:firstLine="3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（6）竞争性磋商响应文件格式</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请仔细检查采购文件是否齐全，如有缺漏请立即与代理机构联系解决。</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6.2采购的最小单位是包。采购服务数量及技术要求中未分包的，供应商对要求提供的服务不得部分响应；采购服务数量及技术要求中已经分包的，应当以包为单位响应。</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6.3采购文件如果要求供应商提交备选响应方案的，供应商可以提交备选方案；否则，备选方案将被拒绝。</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7、采购文件的澄清</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7.1任何要求对采购文件进行澄清的供应商，应在提交首次响应文件截止时间至少5日前按采购公告中的通讯地址，以书面形式通知代理机构。</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8、采购文件的修改</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8.2采购文件的修改将在“扬州市政府采购网”“江苏省政府采购网”公布，补充文件将作为采购文件的组成部分，并对供应商具有约束力。</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9、采购文件的语言、度量衡单位、货币</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9.1供应商提交的响应文件以及供应商与代理机构就有关磋商的所有来往通知、函件和文件均应使用简体中文。</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9.2除技术性能另有规定外，采购文件所使用的度量衡单位，均须采用国家法定计量单位。</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9.3采购文件中的服务单价和总价无特殊规定的采用人民币报价，以元为单位标注。采购文件中另有规定的按规定执行。</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10、响应文件构成</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10.1投标人编写的投标文件应包括：</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1、资格审查响应对照表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2、符合性审查响应对照表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3、非实质性响应对照表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4、磋商响应报价表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5、技术参数响应及偏离表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6、商务条款响应及偏离表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7、其他（供应商认为有必要提供的声明和文件，如有自拟并自行添加）</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10.2供应商应当根据采购文件要求编制响应文件，响应文件应对采购文件提出的要求和条件作出响应，并在相应的响应文件中逐条标明满足与否。</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11、证明供应商资格及符合采购文件规定的文件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11.1供应商应按要求提交资格证明文件及符合采购文件规定的文件。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11.2供应商应提交证明其有资格参加磋商和成交后有能力独立履行合同的文件。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11.3供应商除必须具有履行合同所需提供的产品或服务的能力外，还必须具备相应的财务、技术方面的能力。</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11.4供应商应提交根据合同要求提供的证明服务质量合格以及符合采购文件规定的证明文件。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11.5证明供应商所提供服务与采购文件的要求相一致的文件可以是手册、图纸、文字资料和数据。</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12、磋商响应报价表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12.1供应商应按照采购文件规定格式填报磋商响应报价表，每项服务只允许有一个报价，任何有选择的报价将不予接受。</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12.2标的物</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采购人需求的服务供应、安装，调试及有关技术服务等。</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12.3其他费用处理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采购文件未列明，而供应商认为必需的费用也需列入报价。</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13、技术参数响应及偏离表、商务条款响应及偏离表及磋商服务说明</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13.1对采购文件中的技术与商务条款要求逐项作出响应或偏离，并说明原因；</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13.2提供参加本项目类似案例简介；</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13.3详细阐述所投服务的主要组成部分、功能设计、实现思路及关键技术；</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13.4供应商认为需要的其他技术文件或说明。</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14、服务承诺及售后服务机构、人员的情况介绍</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14.1供应商的服务承诺应按不低于采购文件中商务要求的标准。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14.2提供供应商有关售后服务的管理制度、售后服务机构的分布情况、售后服务人员的数量、素质、技术水平及售后服务的反应能力。</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15、磋商响应函</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15.1供应商应按照扬州市政府采购交易管理系统提供的格式完整、正确填写磋商响应函。</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16、磋商响应有效期</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16.1磋商响应有效期为代理机构规定的响应文件接收截止时间后</w:t>
      </w:r>
      <w:r>
        <w:rPr>
          <w:rFonts w:ascii="宋体" w:hAnsi="宋体" w:eastAsia="宋体" w:cs="宋体"/>
          <w:color w:val="000000"/>
          <w:sz w:val="21"/>
          <w:u w:val="single"/>
        </w:rPr>
        <w:t xml:space="preserve">六十（60）天</w:t>
      </w:r>
      <w:r>
        <w:rPr>
          <w:rFonts w:ascii="宋体" w:hAnsi="宋体" w:eastAsia="宋体" w:cs="宋体"/>
          <w:color w:val="000000"/>
          <w:sz w:val="21"/>
        </w:rPr>
        <w:t xml:space="preserve">。磋商响应有效期比规定短的将被视为非实质性响应性而予以拒绝。</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17、响应文件</w:t>
      </w:r>
      <w:r>
        <w:rPr>
          <w:rFonts w:ascii="宋体" w:hAnsi="宋体" w:eastAsia="宋体" w:cs="宋体"/>
          <w:b/>
          <w:color w:val="000000"/>
          <w:sz w:val="21"/>
        </w:rPr>
        <w:t xml:space="preserve">的递交</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17.1电子响应文件的递交供应商应当按照《操作手册》规定，在磋商响应截止时间前制作并上传电子响应文件。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17.2政府采购管理交易系统（苏采云）相关要求是本采购文件的组成部分。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17.3供应商应对CA证书妥善保管，如被他人盗用投标，因此带来的后果均由供应商自行承担。</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17.4供应商应当对采购文件提出的要求和条件作出实质性响应，并在电子投标系统逐条应答。</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17.5供应商应对要求提供的资格证明文件（如资质证书、资格证书等）、技术资料（如白皮书、彩页、手册、检测报告等）扫描上传至投标系统。</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17.6各供应商应在规定时间内凭CA证书进行网上解密。</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18、磋商响应截止日期</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18.1供应商上传电子响应文件的时间不得迟于采购公告中规定的磋商响应截止时间。</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供应商应充分考虑网络环境、网络带宽等风险因素，如因供应商自身原因造成的电子响应文件上传不成功由供应商自行承担全部责任。</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18.2代理机构可以按照规定，通过修改采购文件延长磋商截止日期，在此情况下，供应商的所有权利和义务以及供应商受制的截止日期均应以延长后新的截止日期为准。</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19、响应文件</w:t>
      </w:r>
      <w:r>
        <w:rPr>
          <w:rFonts w:ascii="宋体" w:hAnsi="宋体" w:eastAsia="宋体" w:cs="宋体"/>
          <w:b/>
          <w:color w:val="000000"/>
          <w:sz w:val="21"/>
        </w:rPr>
        <w:t xml:space="preserve">的拒收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19.1代理机构拒绝接收在其规定的磋商截止时间后上传的任何响应文件。</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20、响应文件的撤回和修改</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20.1响应文件的撤回</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20.1.1电子响应文件的撤回</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供应商可在磋商截止时间前，撤回其电子响应文件，具体操作方法见《操作手册》。</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20.1.2供应商撤回电子响应文件，则认为其不再参与本项目磋商谈判。</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20.2响应文件的修改</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供应商可在磋商截止时间前，对其电子响应文件进行修改，具体操作方法见《操作手册》。</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20.3在磋商截止时间之后，供应商不得对其电子响应文件作任何修改。</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20.4在磋商截止时间至采购文件中规定的磋商有效期满之间的这段时间内，供应商不得撤回其响应文件。</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21、磋商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21.1代理机构将在采购公告中规定的时间和地点组织磋商开始仪式。供应商应当按照《操作手册》规定，参加磋商活动。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21.2供应商在磋商过程中涉及的响应文件解密等工作，应按照《操作手册》规定执行。</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22、磋商小组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22.1磋商开始后，代理机构将立即组织磋商小组进行评审。</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22.2磋商小组由采购人代表和有关技术、经济等方面的专家组成，且人员构成符合政府采购有关规定。</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22.3磋商小组独立工作，负责评审有效响应文件并确定成交候选供应商。</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23、评审过程的保密与公正</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23.1评审专家应当遵守评审工作纪律，不得泄露评审情况和评审中获悉的商业秘密。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23.2在评审过程中，供应商不得以任何行为影响评审过程，否则其响应文件将被作为无效响应文件。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23.3在评审期间，代理机构将设专门工作人员与供应商联系。</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23.4代理机构和磋商小组不向未成交的供应商解释未成交原因，也不公布评审过程中的相关细节。</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24、磋商的澄清</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24.1评审期间，磋商小组要求供应商澄清、说明或者更正响应文件以电子函件形式提交但并非对每个供应商都作澄清要求。</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24.2接到磋商小组澄清要求的供应商应按磋商小组规定的时间和格式在“扬州市政府采购交易管理系统”中作出澄清，澄清的内容作为响应文件的补充部分。具体操作方式见《操作手册》。</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24.3接到磋商小组澄清要求的供应商如未按规定作出澄清，其风险由供应商自行承担。</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25、对响应文件的初审</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25.1响应文件初审分为资格审查和符合性审查。</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25.1.1资格审查：依据法律法规和采购文件的规定，对响应文件中的资格证明文件进行审查。以确定供应商是否具备参加磋商的资格。</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25.1.2符合性检查：依据采购文件的规定，由磋商小组从响应文件的有效性、完整性和对采购文件的响应程度进行审查，以确定是否对采购文件的实质性要求作出响应。</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25.1.3未通过资格审查或符合性审查的供应商，代理机构将在“</w:t>
      </w:r>
      <w:r>
        <w:rPr>
          <w:rFonts w:ascii="宋体" w:hAnsi="宋体" w:eastAsia="宋体" w:cs="宋体"/>
          <w:b/>
          <w:color w:val="000000"/>
          <w:sz w:val="21"/>
        </w:rPr>
        <w:t xml:space="preserve">扬州市政府采购交易管理系统”</w:t>
      </w:r>
      <w:r>
        <w:rPr>
          <w:rFonts w:ascii="宋体" w:hAnsi="宋体" w:eastAsia="宋体" w:cs="宋体"/>
          <w:color w:val="000000"/>
          <w:sz w:val="21"/>
        </w:rPr>
        <w:t xml:space="preserve">中告知未通过资格审查或符合性审查的原因，评审结束后，代理机构将不再告知未通过资格审查或符合性审查的原因。</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25.3如果响应文件实质上没有响应采购文件的要求，磋商小组将予以拒绝，供应商不得通过修改或撤销不合要求的偏离或保留而使其响应文件成为实质性响应的文件。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25.4供应商在开、评标全过程中应保持通讯畅通，并安排专人与代理机构及磋商小组联系。</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26、磋商程序及评审方法和标准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26.1磋商程序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26.1.1对于通过资格性和符合性审查的供应商，磋商小组所有成员将集中与单一供应商在“扬州市政府采购交易管理系统”中分别进行磋商。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26.1.2采购文件能够详细列明采购标的的技术、服务要求的，磋商结束后，磋商小组将要求所有实质性响应的供应商在规定时间内提交最后报价。</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26.2评审方法和标准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26.2.1评审方法。经磋商确定最终采购需求和提交最后报价的供应商后，由磋商小组采用综合评分法对提交最后报价的供应商的响应文件和最后报价进行综合评分。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26.2.2评审标准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见本采购文件第五章规定。</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27、无效投标及采购活动终止的情况</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27.1无效投标条款</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27.1.1供应商未按照采购文件要求上传电子磋商响应文件的。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27.1.2供应商未成功解密电子磋商响应文件的。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27.1.3供应商不具备采购文件中规定资格要求的。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27.1.4未通过符合性审查的。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27.1.5不符合采购文件中规定的其他实质性要求和条件的</w:t>
      </w:r>
      <w:r>
        <w:rPr>
          <w:rFonts w:ascii="宋体" w:hAnsi="宋体" w:eastAsia="宋体" w:cs="宋体"/>
          <w:b/>
          <w:color w:val="000000"/>
          <w:sz w:val="21"/>
        </w:rPr>
        <w:t xml:space="preserve">（本采购文件中斜体且有下划线部分为实质性要求和条件）</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27.1.6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27.1.7本项目采购产品被财政部、国家发展改革委、生态环境部等列入“节能产品品目清单”“环境标志产品品目清单”强制采购范围，而供应商所磋商产品不在强制采购范围内的。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27.1.8 投标文件含有采购人不能接受的附加条件的。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27.1.9 异常低价投标（响应）</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27.1.9.1投标（响应）报价低于全部通过符合性审查供应商投标（响应）报价平均值50%的，即投标（响应）报价&lt;全部通过符合性审查供应商投标（响应）报价平均值×50%；</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27.1.9.2投标（响应）报价低于通过符合性审查的次低报价供应商投标（响应）报价50%的，即投标（响应）报价&lt;通过符合性审查的次低报价供应商投标（响应）报价×50%；</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27.1.9.3投标（响应）报价低于采购项目最高限价 45% 的，即投标（响应）报价&lt;采购项目最高限价×45%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27.1.9.4评审委员会认定的供应商报价过低、有可能影响产品质量或者不能诚信履约的其他情形。</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27.1.9.5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27.1.10响应文件未按照采购文件要求加盖电子签章。</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27.1.11其他法律法规及本采购文件规定的属于无效投标的情形。</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27.2采购活动终止的情况：</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27.2.1因情况变化，不再符合规定的竞争性磋商采购方式适用情形的；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27.2.2出现影响采购公正的违法、违规行为的；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27.2.3除本磋商文件第26.1.2条第三款规定的情形外，在采购过程中符合要求的供应商或者报价未超过采购预算的供应商不足3家的；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27.2.4因重大变故，采购任务取消的。</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28、确定成交单位</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28.2采购人应根据磋商推荐的成交候选人，按照排序由高到低的原则确定成交供应商。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28.3代理机构将在“扬州市政府采购网”“江苏省政府采购网”发布成交公告，公告期限为1个工作日。</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28.4若有充分证据证明，成交供应商出现下列情况之一的，一经查实，将被取消成交资格：</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28.4.1提供虚假材料谋取成交的；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28.4.2向采购人、代理机构行贿或者提供其他不正当利益的；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28.4.3恶意竞争，最终总报价明显低于其自身合理成本且又无法提供证明的；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28.4.4属于本文件规定的无效条件，但在评审过程中又未被磋商小组发现的；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28.4.5与采购人或者其他供应商恶意串通的；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28.4.6采取不正当手段诋毁、排挤其他供应商的；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28.4.7不符合法律法规的规定的。</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29、质疑处理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29.1提出质疑的供应商应当是参与所质疑项目采购活动的供应商。潜在供应商依法获取其可质疑的采购文件的，可以对采购文件提出质疑。</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对项目需求部分的质疑，潜在供应商应向采购人提出，由采购人负责答复。</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29.2供应商认为采购文件、采购过程和中标或成交结果使自己的权益受到损害的，可以在知道或应知其权益受到损害之日起7个工作日内，以书面形式向采购人或代理机构提出质疑。</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29.2.1对采购文件提出质疑的，应当在获取采购文件之日或者采购文件公告期限届满之日起7个工作日内提出。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29.2.2对采购过程提出质疑的，为各采购程序环节结束之日起7个工作日内提出。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29.2.3对成交结果提出质疑的，为成交结果公告期限届满之日起7个工作日内提出。</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29.5代理机构及采购人只接收以纸质原件形式送达的质疑。</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采购人质疑接收人及联系方式见采购文件第一章。</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29.6代理机构收到质疑申请后，将对质疑的形式和内容进行审查，如质疑内容、格式不符合规定，代理机构将告知质疑人进行补正。</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29.7质疑人应当在法定质疑期限内进行补正并重新提交质疑函。</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29.8以下情形的质疑不予受理：</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29.8.1内容不符合《政府采购质疑和投诉办法》第十二条规定的质疑。</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29.8.2超出政府采购法定期限的质疑。</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29.8.3以传真、电子邮件等方式递交的非原件形式的质疑。</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29.8.4未参加磋商活动的供应商或在磋商活动中自身权益未受到损害的供应商所提出的质疑。</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29.8.5供应商组成联合体参加磋商，联合体中任何一方或多方未按要求签字、盖章、加盖公章的质疑。</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29.10代理机构应当在收到供应商的书面质疑后7个工作日内作出答复，并以书面形式通知质疑供应商和其他有关供应商，但答复的内容不得涉及商业秘密。</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30、成交通知书</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30.l成交结果确定后，代理机构将向成交供应商发出成交通知书。</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30.2成交供应商可在“扬州市政府采购交易管理系统”成交通知书下载模块中自行下载成交通知书。</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30.3成交通知书将是合同的一个组成部分。对采购人和成交供应商均具有法律效力。成交通知书发出后，采购人改变成交结果的，或者成交供应商放弃成交项目的，应当依法承担法律责任。</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31、签订合同</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31.l成交供应商应在成交通知书发出之日起十五日内，按照采购文件确定的事项与采购人签订政府采购合同。</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31.2采购文件、成交供应商的响应文件及磋商过程中有关澄清、承诺文件均应作为合同附件。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31.3合同在“扬州市政府采购管理交易系统（苏采云）”中签订合同后，成交供应商不得将货物或服务及其他服务进行转包。未经采购人同意，成交供应商也不得采用分包的形式履行合同，否则采购人有权终止合同。转包或分包造成采购人损失的，成交供应商应承担赔偿责任。</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32、其他</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32.1依据《政府采购促进中小企业发展管理办法》享受扶持政策获得政府采购合同的，小微企业不得将合同分包给大中型企业，中型企业不得将合同分包给大型企业。</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32.2履约保证金：无</w:t>
      </w:r>
      <w:r/>
    </w:p>
    <w:p>
      <w:pPr>
        <w:pStyle w:val="673"/>
        <w:ind w:left="0" w:right="0" w:firstLine="0"/>
        <w:jc w:val="center"/>
        <w:spacing w:before="340" w:after="330" w:line="85" w:lineRule="atLeast"/>
        <w:pBdr>
          <w:top w:val="none" w:color="000000" w:sz="0" w:space="0"/>
          <w:left w:val="none" w:color="000000" w:sz="0" w:space="0"/>
          <w:bottom w:val="none" w:color="000000" w:sz="0" w:space="0"/>
          <w:right w:val="none" w:color="000000" w:sz="0" w:space="0"/>
        </w:pBdr>
      </w:pPr>
      <w:r>
        <w:br w:type="page" w:clear="all"/>
      </w:r>
      <w:r/>
    </w:p>
    <w:p>
      <w:pPr>
        <w:pStyle w:val="673"/>
        <w:ind w:left="0" w:right="0" w:firstLine="0"/>
        <w:jc w:val="center"/>
        <w:spacing w:before="340" w:after="3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第三章 合同条款及格式</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第一部分 合同协议书</w:t>
      </w:r>
      <w:r/>
    </w:p>
    <w:p>
      <w:pPr>
        <w:ind w:left="0" w:right="0" w:firstLine="422"/>
        <w:spacing w:before="240" w:after="24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发包人（全称）：</w:t>
      </w:r>
      <w:r>
        <w:rPr>
          <w:rFonts w:hint="eastAsia" w:ascii="宋体" w:hAnsi="宋体" w:eastAsia="宋体" w:cs="宋体"/>
          <w:b/>
          <w:color w:val="000000"/>
          <w:sz w:val="21"/>
          <w:lang w:eastAsia="zh-CN"/>
        </w:rPr>
        <w:t xml:space="preserve">扬州市中心血站</w:t>
      </w:r>
      <w:r/>
    </w:p>
    <w:p>
      <w:pPr>
        <w:ind w:left="0" w:right="0"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承包人（全称）：</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根据《中华人民共和国民法典》《中华人民共和国建筑法》及有关法律规定，遵循平等、自愿、公平和诚实信用的原则，双方就</w:t>
      </w:r>
      <w:r>
        <w:rPr>
          <w:rFonts w:ascii="宋体" w:hAnsi="宋体" w:eastAsia="宋体" w:cs="宋体"/>
          <w:color w:val="000000"/>
          <w:sz w:val="21"/>
          <w:u w:val="single"/>
        </w:rPr>
        <w:t xml:space="preserve"> </w:t>
      </w:r>
      <w:r>
        <w:rPr>
          <w:rFonts w:hint="eastAsia" w:ascii="宋体" w:hAnsi="宋体" w:eastAsia="宋体" w:cs="宋体"/>
          <w:color w:val="000000"/>
          <w:sz w:val="21"/>
          <w:u w:val="single"/>
          <w:lang w:eastAsia="zh-CN"/>
        </w:rPr>
        <w:t xml:space="preserve">扬州市中心血站双层献血屋及其配套设施采购项目</w:t>
      </w:r>
      <w:r>
        <w:rPr>
          <w:rFonts w:ascii="宋体" w:hAnsi="宋体" w:eastAsia="宋体" w:cs="宋体"/>
          <w:color w:val="000000"/>
          <w:sz w:val="21"/>
          <w:u w:val="single"/>
        </w:rPr>
        <w:t xml:space="preserve"> </w:t>
      </w:r>
      <w:r>
        <w:rPr>
          <w:rFonts w:ascii="宋体" w:hAnsi="宋体" w:eastAsia="宋体" w:cs="宋体"/>
          <w:color w:val="000000"/>
          <w:sz w:val="21"/>
        </w:rPr>
        <w:t xml:space="preserve">及有关事项协商一致，共同达成如下协议：</w:t>
      </w:r>
      <w:r/>
    </w:p>
    <w:p>
      <w:pPr>
        <w:pStyle w:val="690"/>
        <w:keepLines w:val="0"/>
        <w:keepNext w:val="0"/>
        <w:pageBreakBefore w:val="0"/>
        <w:widowControl w:val="off"/>
        <w:rPr>
          <w:color w:val="auto"/>
          <w:highlight w:val="none"/>
        </w:rPr>
      </w:pPr>
      <w:r>
        <w:rPr>
          <w:rFonts w:hint="eastAsia"/>
          <w:color w:val="auto"/>
          <w:highlight w:val="none"/>
        </w:rPr>
        <w:t xml:space="preserve">项目名称：</w:t>
      </w:r>
      <w:r/>
    </w:p>
    <w:p>
      <w:pPr>
        <w:pStyle w:val="690"/>
        <w:keepLines w:val="0"/>
        <w:keepNext w:val="0"/>
        <w:pageBreakBefore w:val="0"/>
        <w:widowControl w:val="off"/>
        <w:rPr>
          <w:color w:val="auto"/>
          <w:highlight w:val="none"/>
        </w:rPr>
      </w:pPr>
      <w:r>
        <w:rPr>
          <w:rFonts w:hint="eastAsia"/>
          <w:color w:val="auto"/>
          <w:highlight w:val="none"/>
        </w:rPr>
        <w:t xml:space="preserve">编号：</w:t>
      </w:r>
      <w:r/>
    </w:p>
    <w:p>
      <w:pPr>
        <w:pStyle w:val="690"/>
        <w:keepLines w:val="0"/>
        <w:keepNext w:val="0"/>
        <w:pageBreakBefore w:val="0"/>
        <w:widowControl w:val="off"/>
        <w:rPr>
          <w:color w:val="auto"/>
          <w:highlight w:val="none"/>
        </w:rPr>
      </w:pPr>
      <w:r>
        <w:rPr>
          <w:rFonts w:hint="eastAsia"/>
          <w:color w:val="auto"/>
          <w:highlight w:val="none"/>
        </w:rPr>
        <w:t xml:space="preserve">甲方（采购人/买方）： </w:t>
      </w:r>
      <w:r/>
    </w:p>
    <w:p>
      <w:pPr>
        <w:pStyle w:val="690"/>
        <w:keepLines w:val="0"/>
        <w:keepNext w:val="0"/>
        <w:pageBreakBefore w:val="0"/>
        <w:widowControl w:val="off"/>
        <w:rPr>
          <w:color w:val="auto"/>
          <w:highlight w:val="none"/>
        </w:rPr>
      </w:pPr>
      <w:r>
        <w:rPr>
          <w:rFonts w:hint="eastAsia"/>
          <w:color w:val="auto"/>
          <w:highlight w:val="none"/>
        </w:rPr>
        <w:t xml:space="preserve">乙方（供应商/卖方）：             </w:t>
      </w:r>
      <w:r/>
    </w:p>
    <w:p>
      <w:pPr>
        <w:pStyle w:val="690"/>
        <w:keepLines w:val="0"/>
        <w:keepNext w:val="0"/>
        <w:pageBreakBefore w:val="0"/>
        <w:widowControl w:val="off"/>
        <w:rPr>
          <w:color w:val="auto"/>
          <w:highlight w:val="none"/>
        </w:rPr>
      </w:pPr>
      <w:r>
        <w:rPr>
          <w:rFonts w:hint="eastAsia"/>
          <w:color w:val="auto"/>
          <w:highlight w:val="none"/>
        </w:rPr>
        <w:t xml:space="preserve">根据《中华人民共和国政府采购法</w:t>
      </w:r>
      <w:r>
        <w:rPr>
          <w:rFonts w:hint="eastAsia"/>
          <w:color w:val="auto"/>
          <w:highlight w:val="none"/>
          <w:lang w:eastAsia="zh-CN"/>
        </w:rPr>
        <w:t xml:space="preserve">》《</w:t>
      </w:r>
      <w:r>
        <w:rPr>
          <w:rFonts w:hint="eastAsia"/>
          <w:color w:val="auto"/>
          <w:highlight w:val="none"/>
        </w:rPr>
        <w:t xml:space="preserve">中华人民共和国民法典》等法律法规的规定，甲乙双方按照</w:t>
      </w:r>
      <w:r>
        <w:rPr>
          <w:rFonts w:hint="eastAsia"/>
          <w:color w:val="auto"/>
          <w:highlight w:val="none"/>
          <w:lang w:eastAsia="zh-CN"/>
        </w:rPr>
        <w:t xml:space="preserve">江苏皋诚工程项目管理有限公司扬州分公司</w:t>
      </w:r>
      <w:r>
        <w:rPr>
          <w:rFonts w:hint="eastAsia"/>
          <w:color w:val="auto"/>
          <w:highlight w:val="none"/>
        </w:rPr>
        <w:t xml:space="preserve">关于本项目招标结果签订本合同；</w:t>
      </w:r>
      <w:r/>
    </w:p>
    <w:p>
      <w:pPr>
        <w:pStyle w:val="690"/>
        <w:keepLines w:val="0"/>
        <w:keepNext w:val="0"/>
        <w:pageBreakBefore w:val="0"/>
        <w:widowControl w:val="off"/>
        <w:rPr>
          <w:color w:val="auto"/>
          <w:highlight w:val="none"/>
        </w:rPr>
      </w:pPr>
      <w:r>
        <w:rPr>
          <w:rFonts w:hint="eastAsia"/>
          <w:color w:val="auto"/>
          <w:highlight w:val="none"/>
        </w:rPr>
        <w:t xml:space="preserve">1、合同标的</w:t>
      </w:r>
      <w:r/>
    </w:p>
    <w:p>
      <w:pPr>
        <w:pStyle w:val="690"/>
        <w:keepLines w:val="0"/>
        <w:keepNext w:val="0"/>
        <w:pageBreakBefore w:val="0"/>
        <w:widowControl w:val="off"/>
        <w:rPr>
          <w:color w:val="auto"/>
          <w:highlight w:val="none"/>
        </w:rPr>
      </w:pPr>
      <w:r>
        <w:rPr>
          <w:rFonts w:hint="eastAsia"/>
          <w:color w:val="auto"/>
          <w:highlight w:val="none"/>
        </w:rPr>
        <w:t xml:space="preserve">乙方根据甲方须求，提供下列货物：                      ；</w:t>
      </w:r>
      <w:r/>
    </w:p>
    <w:p>
      <w:pPr>
        <w:pStyle w:val="690"/>
        <w:keepLines w:val="0"/>
        <w:keepNext w:val="0"/>
        <w:pageBreakBefore w:val="0"/>
        <w:widowControl w:val="off"/>
        <w:rPr>
          <w:color w:val="auto"/>
          <w:highlight w:val="none"/>
        </w:rPr>
      </w:pPr>
      <w:r>
        <w:rPr>
          <w:rFonts w:hint="eastAsia"/>
          <w:color w:val="auto"/>
          <w:highlight w:val="none"/>
        </w:rPr>
        <w:t xml:space="preserve">货物名称、规格及数量等要求详见招投标文件；</w:t>
      </w:r>
      <w:r/>
    </w:p>
    <w:p>
      <w:pPr>
        <w:pStyle w:val="690"/>
        <w:keepLines w:val="0"/>
        <w:keepNext w:val="0"/>
        <w:pageBreakBefore w:val="0"/>
        <w:widowControl w:val="off"/>
        <w:rPr>
          <w:color w:val="auto"/>
          <w:highlight w:val="none"/>
        </w:rPr>
      </w:pPr>
      <w:r>
        <w:rPr>
          <w:rFonts w:hint="eastAsia"/>
          <w:color w:val="auto"/>
          <w:highlight w:val="none"/>
        </w:rPr>
        <w:t xml:space="preserve">2、合同总金额</w:t>
      </w:r>
      <w:r/>
    </w:p>
    <w:p>
      <w:pPr>
        <w:pStyle w:val="690"/>
        <w:ind w:firstLine="422"/>
        <w:keepLines w:val="0"/>
        <w:keepNext w:val="0"/>
        <w:pageBreakBefore w:val="0"/>
        <w:widowControl w:val="off"/>
        <w:rPr>
          <w:b w:val="0"/>
          <w:color w:val="auto"/>
          <w:highlight w:val="none"/>
        </w:rPr>
      </w:pPr>
      <w:r>
        <w:rPr>
          <w:rFonts w:hint="eastAsia"/>
          <w:b w:val="0"/>
          <w:color w:val="auto"/>
          <w:highlight w:val="none"/>
        </w:rPr>
        <w:t xml:space="preserve">2.1 本合同金额为（大写）：_______________________________元人民币（¥_____元）；</w:t>
      </w:r>
      <w:r/>
    </w:p>
    <w:p>
      <w:pPr>
        <w:pStyle w:val="690"/>
        <w:ind w:firstLine="422"/>
        <w:keepLines w:val="0"/>
        <w:keepNext w:val="0"/>
        <w:pageBreakBefore w:val="0"/>
        <w:widowControl w:val="off"/>
        <w:rPr>
          <w:b w:val="0"/>
          <w:color w:val="auto"/>
          <w:highlight w:val="none"/>
        </w:rPr>
      </w:pPr>
      <w:r>
        <w:rPr>
          <w:rFonts w:hint="eastAsia"/>
          <w:b w:val="0"/>
          <w:color w:val="auto"/>
          <w:highlight w:val="none"/>
        </w:rPr>
        <w:t xml:space="preserve">2.2本合同总金额包括所乙方提供货物的产品费用、安装费、验收费、维护费用、税金及其他有关的为完成本项目发生的所有费用，招标文件中另有规定的除外；</w:t>
      </w:r>
      <w:r/>
    </w:p>
    <w:p>
      <w:pPr>
        <w:pStyle w:val="690"/>
        <w:ind w:firstLine="422"/>
        <w:keepLines w:val="0"/>
        <w:keepNext w:val="0"/>
        <w:pageBreakBefore w:val="0"/>
        <w:widowControl w:val="off"/>
        <w:rPr>
          <w:b w:val="0"/>
          <w:color w:val="auto"/>
          <w:highlight w:val="none"/>
        </w:rPr>
      </w:pPr>
      <w:r>
        <w:rPr>
          <w:rFonts w:hint="eastAsia"/>
          <w:b w:val="0"/>
          <w:color w:val="auto"/>
          <w:highlight w:val="none"/>
        </w:rPr>
        <w:t xml:space="preserve">2.3在招标文件未列明，而乙方认为履行本合同必须的费用也包含在合同总金额中；</w:t>
      </w:r>
      <w:r/>
    </w:p>
    <w:p>
      <w:pPr>
        <w:pStyle w:val="690"/>
        <w:ind w:firstLine="422"/>
        <w:keepLines w:val="0"/>
        <w:keepNext w:val="0"/>
        <w:pageBreakBefore w:val="0"/>
        <w:widowControl w:val="off"/>
        <w:rPr>
          <w:b w:val="0"/>
          <w:color w:val="auto"/>
          <w:highlight w:val="none"/>
        </w:rPr>
      </w:pPr>
      <w:r>
        <w:rPr>
          <w:rFonts w:hint="eastAsia"/>
          <w:b w:val="0"/>
          <w:color w:val="auto"/>
          <w:highlight w:val="none"/>
        </w:rPr>
        <w:t xml:space="preserve">2.4本合同总金额还包含乙方提供的伴随服务/售后服务费用；</w:t>
      </w:r>
      <w:r/>
    </w:p>
    <w:p>
      <w:pPr>
        <w:pStyle w:val="690"/>
        <w:ind w:firstLine="422"/>
        <w:keepLines w:val="0"/>
        <w:keepNext w:val="0"/>
        <w:pageBreakBefore w:val="0"/>
        <w:widowControl w:val="off"/>
        <w:rPr>
          <w:b w:val="0"/>
          <w:color w:val="auto"/>
          <w:highlight w:val="none"/>
        </w:rPr>
      </w:pPr>
      <w:r>
        <w:rPr>
          <w:rFonts w:hint="eastAsia"/>
          <w:b w:val="0"/>
          <w:color w:val="auto"/>
          <w:highlight w:val="none"/>
        </w:rPr>
        <w:t xml:space="preserve">2.5本合同签订后：甲方须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pStyle w:val="690"/>
        <w:keepLines w:val="0"/>
        <w:keepNext w:val="0"/>
        <w:pageBreakBefore w:val="0"/>
        <w:widowControl w:val="off"/>
        <w:rPr>
          <w:color w:val="auto"/>
          <w:highlight w:val="none"/>
        </w:rPr>
      </w:pPr>
      <w:r>
        <w:rPr>
          <w:rFonts w:hint="eastAsia"/>
          <w:color w:val="auto"/>
          <w:highlight w:val="none"/>
        </w:rPr>
        <w:t xml:space="preserve">3、组成本合同的有关文件</w:t>
      </w:r>
      <w:r/>
    </w:p>
    <w:p>
      <w:pPr>
        <w:pStyle w:val="690"/>
        <w:ind w:firstLine="422"/>
        <w:keepLines w:val="0"/>
        <w:keepNext w:val="0"/>
        <w:pageBreakBefore w:val="0"/>
        <w:widowControl w:val="off"/>
        <w:rPr>
          <w:b w:val="0"/>
          <w:color w:val="auto"/>
          <w:highlight w:val="none"/>
        </w:rPr>
      </w:pPr>
      <w:r>
        <w:rPr>
          <w:rFonts w:hint="eastAsia"/>
          <w:b w:val="0"/>
          <w:color w:val="auto"/>
          <w:highlight w:val="none"/>
        </w:rPr>
        <w:t xml:space="preserve">3.1乙方应按招标文件规定的时间向甲方提供使用货物的有关技术资料；</w:t>
      </w:r>
      <w:r/>
    </w:p>
    <w:p>
      <w:pPr>
        <w:pStyle w:val="690"/>
        <w:ind w:firstLine="422"/>
        <w:keepLines w:val="0"/>
        <w:keepNext w:val="0"/>
        <w:pageBreakBefore w:val="0"/>
        <w:widowControl w:val="off"/>
        <w:rPr>
          <w:b w:val="0"/>
          <w:color w:val="auto"/>
          <w:highlight w:val="none"/>
        </w:rPr>
      </w:pPr>
      <w:r>
        <w:rPr>
          <w:rFonts w:hint="eastAsia"/>
          <w:b w:val="0"/>
          <w:color w:val="auto"/>
          <w:highlight w:val="none"/>
        </w:rPr>
        <w:t xml:space="preserve">3.2没有甲方事先书面同意，乙方不得将由甲方提供的有关合同或任何合同条文、规格、计划、图纸、样品或资料提供给任何其他人；即使向履行本合同有关的人员提供，也应注意保密并限于履行合同的必须范围；</w:t>
      </w:r>
      <w:r/>
    </w:p>
    <w:p>
      <w:pPr>
        <w:pStyle w:val="690"/>
        <w:ind w:firstLine="422"/>
        <w:keepLines w:val="0"/>
        <w:keepNext w:val="0"/>
        <w:pageBreakBefore w:val="0"/>
        <w:widowControl w:val="off"/>
        <w:rPr>
          <w:b w:val="0"/>
          <w:color w:val="auto"/>
          <w:highlight w:val="none"/>
        </w:rPr>
      </w:pPr>
      <w:r>
        <w:rPr>
          <w:rFonts w:hint="eastAsia"/>
          <w:b w:val="0"/>
          <w:color w:val="auto"/>
          <w:highlight w:val="none"/>
        </w:rPr>
        <w:t xml:space="preserve">3.3关于本项目政府采购的招投标文件或与本次采购活动方式相适应的文件及有关附件是本合同不可分割的组成部分，这些文件包括但不限于：</w:t>
      </w:r>
      <w:r/>
    </w:p>
    <w:p>
      <w:pPr>
        <w:pStyle w:val="690"/>
        <w:ind w:firstLine="422"/>
        <w:keepLines w:val="0"/>
        <w:keepNext w:val="0"/>
        <w:pageBreakBefore w:val="0"/>
        <w:widowControl w:val="off"/>
        <w:rPr>
          <w:color w:val="auto"/>
          <w:highlight w:val="none"/>
        </w:rPr>
      </w:pPr>
      <w:r>
        <w:rPr>
          <w:rFonts w:hint="eastAsia"/>
          <w:b w:val="0"/>
          <w:color w:val="auto"/>
          <w:highlight w:val="none"/>
        </w:rPr>
        <w:t xml:space="preserve">（1）招标文件；               </w:t>
      </w:r>
      <w:r>
        <w:rPr>
          <w:b w:val="0"/>
          <w:color w:val="auto"/>
          <w:highlight w:val="none"/>
        </w:rPr>
        <w:t xml:space="preserve">   </w:t>
      </w:r>
      <w:r>
        <w:rPr>
          <w:rFonts w:hint="eastAsia" w:eastAsia="宋体"/>
          <w:b w:val="0"/>
          <w:color w:val="auto"/>
          <w:highlight w:val="none"/>
          <w:lang w:val="en-US" w:eastAsia="zh-CN"/>
        </w:rPr>
        <w:t xml:space="preserve"> </w:t>
      </w:r>
      <w:r>
        <w:rPr>
          <w:rFonts w:hint="eastAsia"/>
          <w:b w:val="0"/>
          <w:color w:val="auto"/>
          <w:highlight w:val="none"/>
        </w:rPr>
        <w:t xml:space="preserve">（2）投标产品配置与报价文件；</w:t>
      </w:r>
      <w:r/>
    </w:p>
    <w:p>
      <w:pPr>
        <w:pStyle w:val="690"/>
        <w:ind w:firstLine="422"/>
        <w:keepLines w:val="0"/>
        <w:keepNext w:val="0"/>
        <w:pageBreakBefore w:val="0"/>
        <w:widowControl w:val="off"/>
        <w:rPr>
          <w:b w:val="0"/>
          <w:color w:val="auto"/>
          <w:highlight w:val="none"/>
        </w:rPr>
      </w:pPr>
      <w:r>
        <w:rPr>
          <w:rFonts w:hint="eastAsia"/>
          <w:b w:val="0"/>
          <w:color w:val="auto"/>
          <w:highlight w:val="none"/>
        </w:rPr>
        <w:t xml:space="preserve">（3）供货一览表；                 （4）技术参数响应表；</w:t>
      </w:r>
      <w:r/>
    </w:p>
    <w:p>
      <w:pPr>
        <w:pStyle w:val="690"/>
        <w:ind w:firstLine="422"/>
        <w:keepLines w:val="0"/>
        <w:keepNext w:val="0"/>
        <w:pageBreakBefore w:val="0"/>
        <w:widowControl w:val="off"/>
        <w:rPr>
          <w:b w:val="0"/>
          <w:color w:val="auto"/>
          <w:highlight w:val="none"/>
        </w:rPr>
      </w:pPr>
      <w:r>
        <w:rPr>
          <w:rFonts w:hint="eastAsia"/>
          <w:b w:val="0"/>
          <w:color w:val="auto"/>
          <w:highlight w:val="none"/>
        </w:rPr>
        <w:t xml:space="preserve">（5）服务承诺；                   （6）中标通知书；</w:t>
      </w:r>
      <w:r/>
    </w:p>
    <w:p>
      <w:pPr>
        <w:pStyle w:val="690"/>
        <w:ind w:firstLine="422"/>
        <w:keepLines w:val="0"/>
        <w:keepNext w:val="0"/>
        <w:pageBreakBefore w:val="0"/>
        <w:widowControl w:val="off"/>
        <w:rPr>
          <w:color w:val="auto"/>
          <w:highlight w:val="none"/>
        </w:rPr>
      </w:pPr>
      <w:r>
        <w:rPr>
          <w:rFonts w:hint="eastAsia"/>
          <w:b w:val="0"/>
          <w:color w:val="auto"/>
          <w:highlight w:val="none"/>
        </w:rPr>
        <w:t xml:space="preserve">（7）甲乙双方补充协议；           （8）乙方投标时提供的响应文件；</w:t>
      </w:r>
      <w:r/>
    </w:p>
    <w:p>
      <w:pPr>
        <w:pStyle w:val="690"/>
        <w:keepLines w:val="0"/>
        <w:keepNext w:val="0"/>
        <w:pageBreakBefore w:val="0"/>
        <w:widowControl w:val="off"/>
        <w:rPr>
          <w:color w:val="auto"/>
          <w:highlight w:val="none"/>
        </w:rPr>
      </w:pPr>
      <w:r>
        <w:rPr>
          <w:rFonts w:hint="eastAsia"/>
          <w:color w:val="auto"/>
          <w:highlight w:val="none"/>
        </w:rPr>
        <w:t xml:space="preserve">4、知识产权保证</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pStyle w:val="690"/>
        <w:keepLines w:val="0"/>
        <w:keepNext w:val="0"/>
        <w:pageBreakBefore w:val="0"/>
        <w:widowControl w:val="off"/>
        <w:rPr>
          <w:color w:val="auto"/>
          <w:highlight w:val="none"/>
        </w:rPr>
      </w:pPr>
      <w:r>
        <w:rPr>
          <w:rFonts w:hint="eastAsia"/>
          <w:color w:val="auto"/>
          <w:highlight w:val="none"/>
        </w:rPr>
        <w:t xml:space="preserve">5、产权保证</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乙方保证所交付的货物的所有权无任何抵押、查封等权利瑕疵；</w:t>
      </w:r>
      <w:r/>
    </w:p>
    <w:p>
      <w:pPr>
        <w:pStyle w:val="690"/>
        <w:keepLines w:val="0"/>
        <w:keepNext w:val="0"/>
        <w:pageBreakBefore w:val="0"/>
        <w:widowControl w:val="off"/>
        <w:rPr>
          <w:color w:val="auto"/>
          <w:highlight w:val="none"/>
        </w:rPr>
      </w:pPr>
      <w:r>
        <w:rPr>
          <w:rFonts w:hint="eastAsia"/>
          <w:color w:val="auto"/>
          <w:highlight w:val="none"/>
        </w:rPr>
        <w:t xml:space="preserve">6、履约保证金</w:t>
      </w:r>
      <w:r/>
    </w:p>
    <w:p>
      <w:pPr>
        <w:pStyle w:val="690"/>
        <w:ind w:firstLine="422"/>
        <w:keepLines w:val="0"/>
        <w:keepNext w:val="0"/>
        <w:pageBreakBefore w:val="0"/>
        <w:widowControl w:val="off"/>
        <w:rPr>
          <w:b w:val="0"/>
          <w:color w:val="auto"/>
          <w:highlight w:val="none"/>
        </w:rPr>
      </w:pPr>
      <w:r>
        <w:rPr>
          <w:rFonts w:hint="eastAsia"/>
          <w:b w:val="0"/>
          <w:color w:val="auto"/>
          <w:highlight w:val="none"/>
        </w:rPr>
        <w:t xml:space="preserve">6.1乙方在收到成交通知书后，应缴纳合同价的</w:t>
      </w:r>
      <w:r>
        <w:rPr>
          <w:rFonts w:hint="eastAsia"/>
          <w:b w:val="0"/>
          <w:color w:val="auto"/>
          <w:highlight w:val="none"/>
          <w:u w:val="single"/>
        </w:rPr>
        <w:t xml:space="preserve"> / </w:t>
      </w:r>
      <w:r>
        <w:rPr>
          <w:rFonts w:hint="eastAsia"/>
          <w:b w:val="0"/>
          <w:color w:val="auto"/>
          <w:highlight w:val="none"/>
        </w:rPr>
        <w:t xml:space="preserve">作为履约保证金；</w:t>
      </w:r>
      <w:r/>
    </w:p>
    <w:p>
      <w:pPr>
        <w:pStyle w:val="690"/>
        <w:ind w:firstLine="422"/>
        <w:keepLines w:val="0"/>
        <w:keepNext w:val="0"/>
        <w:pageBreakBefore w:val="0"/>
        <w:widowControl w:val="off"/>
        <w:rPr>
          <w:b w:val="0"/>
          <w:color w:val="auto"/>
          <w:highlight w:val="none"/>
        </w:rPr>
      </w:pPr>
      <w:r>
        <w:rPr>
          <w:rFonts w:hint="eastAsia"/>
          <w:b w:val="0"/>
          <w:color w:val="auto"/>
          <w:highlight w:val="none"/>
        </w:rPr>
        <w:t xml:space="preserve">6.2履约保证金用以约束乙方在合同履行中的行为，以及弥补合同履行中由于乙方自身行为可能给甲方带来的各种损失；若保证金额不足以弥补乙方违约造成甲方损失的，甲方可继续向乙方主张索赔；</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highlight w:val="none"/>
        </w:rPr>
        <w:t xml:space="preserve">6.3</w:t>
      </w:r>
      <w:r>
        <w:rPr>
          <w:rFonts w:hint="eastAsia" w:ascii="宋体" w:hAnsi="宋体" w:cs="宋体"/>
          <w:color w:val="auto"/>
          <w:szCs w:val="21"/>
          <w:highlight w:val="none"/>
        </w:rPr>
        <w:t xml:space="preserve">履约保证金在项目履约验收合格后自动转为质保金；待质保期满后一月内无息退还；</w:t>
      </w:r>
      <w:r/>
    </w:p>
    <w:p>
      <w:pPr>
        <w:pStyle w:val="690"/>
        <w:keepLines w:val="0"/>
        <w:keepNext w:val="0"/>
        <w:pageBreakBefore w:val="0"/>
        <w:widowControl w:val="off"/>
        <w:rPr>
          <w:color w:val="auto"/>
          <w:highlight w:val="none"/>
        </w:rPr>
      </w:pPr>
      <w:r>
        <w:rPr>
          <w:rFonts w:hint="eastAsia"/>
          <w:color w:val="auto"/>
          <w:highlight w:val="none"/>
        </w:rPr>
        <w:t xml:space="preserve">7、转包或分包</w:t>
      </w:r>
      <w:r/>
    </w:p>
    <w:p>
      <w:pPr>
        <w:pStyle w:val="690"/>
        <w:ind w:firstLine="422"/>
        <w:keepLines w:val="0"/>
        <w:keepNext w:val="0"/>
        <w:pageBreakBefore w:val="0"/>
        <w:widowControl w:val="off"/>
        <w:rPr>
          <w:b w:val="0"/>
          <w:color w:val="auto"/>
          <w:highlight w:val="none"/>
        </w:rPr>
      </w:pPr>
      <w:r>
        <w:rPr>
          <w:rFonts w:hint="eastAsia"/>
          <w:b w:val="0"/>
          <w:color w:val="auto"/>
          <w:highlight w:val="none"/>
        </w:rPr>
        <w:t xml:space="preserve">7.1本合同禁止转包，本合同范围的货物，应由乙方直接供应的，不得转让他人供应；</w:t>
      </w:r>
      <w:r/>
    </w:p>
    <w:p>
      <w:pPr>
        <w:pStyle w:val="690"/>
        <w:ind w:firstLine="422"/>
        <w:keepLines w:val="0"/>
        <w:keepNext w:val="0"/>
        <w:pageBreakBefore w:val="0"/>
        <w:widowControl w:val="off"/>
        <w:rPr>
          <w:b w:val="0"/>
          <w:color w:val="auto"/>
          <w:highlight w:val="none"/>
        </w:rPr>
      </w:pPr>
      <w:r>
        <w:rPr>
          <w:rFonts w:hint="eastAsia"/>
          <w:b w:val="0"/>
          <w:color w:val="auto"/>
          <w:highlight w:val="none"/>
        </w:rPr>
        <w:t xml:space="preserve">7.2经甲方同意，乙方可以依法采取分包方式履行合同，但是分包方式履行的，乙方应就采购项目向甲方负全责；</w:t>
      </w:r>
      <w:r/>
    </w:p>
    <w:p>
      <w:pPr>
        <w:pStyle w:val="690"/>
        <w:keepLines w:val="0"/>
        <w:keepNext w:val="0"/>
        <w:pageBreakBefore w:val="0"/>
        <w:widowControl w:val="off"/>
        <w:rPr>
          <w:color w:val="auto"/>
          <w:highlight w:val="none"/>
        </w:rPr>
      </w:pPr>
      <w:r>
        <w:rPr>
          <w:rFonts w:hint="eastAsia"/>
          <w:color w:val="auto"/>
          <w:highlight w:val="none"/>
        </w:rPr>
        <w:t xml:space="preserve">8、质保期</w:t>
      </w:r>
      <w:r/>
    </w:p>
    <w:p>
      <w:pPr>
        <w:pStyle w:val="690"/>
        <w:keepLines w:val="0"/>
        <w:keepNext w:val="0"/>
        <w:pageBreakBefore w:val="0"/>
        <w:widowControl w:val="off"/>
        <w:rPr>
          <w:color w:val="auto"/>
          <w:highlight w:val="none"/>
        </w:rPr>
      </w:pPr>
      <w:r>
        <w:rPr>
          <w:rFonts w:hint="eastAsia"/>
          <w:color w:val="auto"/>
          <w:highlight w:val="none"/>
        </w:rPr>
        <w:t xml:space="preserve">8.1质保期：</w:t>
      </w:r>
      <w:r>
        <w:rPr>
          <w:rFonts w:hint="eastAsia"/>
          <w:color w:val="auto"/>
          <w:highlight w:val="none"/>
          <w:lang w:val="en-US" w:eastAsia="zh-CN"/>
        </w:rPr>
        <w:t xml:space="preserve">             </w:t>
      </w:r>
      <w:r/>
    </w:p>
    <w:p>
      <w:pPr>
        <w:pStyle w:val="690"/>
        <w:keepLines w:val="0"/>
        <w:keepNext w:val="0"/>
        <w:pageBreakBefore w:val="0"/>
        <w:widowControl w:val="off"/>
        <w:rPr>
          <w:color w:val="auto"/>
          <w:highlight w:val="none"/>
        </w:rPr>
      </w:pPr>
      <w:r>
        <w:rPr>
          <w:rFonts w:hint="eastAsia"/>
          <w:color w:val="auto"/>
          <w:highlight w:val="none"/>
        </w:rPr>
        <w:t xml:space="preserve">9、交货期、交货方式及交货地点</w:t>
      </w:r>
      <w:r/>
    </w:p>
    <w:p>
      <w:pPr>
        <w:pStyle w:val="690"/>
        <w:keepLines w:val="0"/>
        <w:keepNext w:val="0"/>
        <w:pageBreakBefore w:val="0"/>
        <w:widowControl w:val="off"/>
        <w:rPr>
          <w:color w:val="auto"/>
          <w:highlight w:val="none"/>
        </w:rPr>
      </w:pPr>
      <w:r>
        <w:rPr>
          <w:rFonts w:hint="eastAsia"/>
          <w:color w:val="auto"/>
          <w:highlight w:val="none"/>
        </w:rPr>
        <w:t xml:space="preserve">9.1交货期：</w:t>
      </w:r>
      <w:r/>
    </w:p>
    <w:p>
      <w:pPr>
        <w:pStyle w:val="690"/>
        <w:keepLines w:val="0"/>
        <w:keepNext w:val="0"/>
        <w:pageBreakBefore w:val="0"/>
        <w:widowControl w:val="off"/>
        <w:rPr>
          <w:rFonts w:hint="eastAsia" w:eastAsia="宋体"/>
          <w:color w:val="auto"/>
          <w:highlight w:val="none"/>
          <w:lang w:val="en-US" w:eastAsia="zh-CN"/>
        </w:rPr>
      </w:pPr>
      <w:r>
        <w:rPr>
          <w:rFonts w:hint="eastAsia"/>
          <w:color w:val="auto"/>
          <w:highlight w:val="none"/>
        </w:rPr>
        <w:t xml:space="preserve">9.2交货方式：送货上门</w:t>
      </w:r>
      <w:r>
        <w:rPr>
          <w:rFonts w:hint="eastAsia" w:eastAsia="宋体"/>
          <w:color w:val="auto"/>
          <w:highlight w:val="none"/>
          <w:lang w:val="en-US" w:eastAsia="zh-CN"/>
        </w:rPr>
        <w:t xml:space="preserve">并安装</w:t>
      </w:r>
      <w:r/>
    </w:p>
    <w:p>
      <w:pPr>
        <w:pStyle w:val="690"/>
        <w:keepLines w:val="0"/>
        <w:keepNext w:val="0"/>
        <w:pageBreakBefore w:val="0"/>
        <w:widowControl w:val="off"/>
        <w:rPr>
          <w:color w:val="auto"/>
          <w:highlight w:val="none"/>
          <w:u w:val="single"/>
        </w:rPr>
      </w:pPr>
      <w:r>
        <w:rPr>
          <w:rFonts w:hint="eastAsia"/>
          <w:color w:val="auto"/>
          <w:highlight w:val="none"/>
        </w:rPr>
        <w:t xml:space="preserve">9.3交货地点：</w:t>
      </w:r>
      <w:r>
        <w:rPr>
          <w:rFonts w:hint="eastAsia"/>
          <w:color w:val="auto"/>
          <w:highlight w:val="none"/>
          <w:u w:val="single"/>
        </w:rPr>
        <w:t xml:space="preserve">甲方指定地点</w:t>
      </w:r>
      <w:r/>
    </w:p>
    <w:p>
      <w:pPr>
        <w:pStyle w:val="690"/>
        <w:keepLines w:val="0"/>
        <w:keepNext w:val="0"/>
        <w:pageBreakBefore w:val="0"/>
        <w:widowControl w:val="off"/>
        <w:rPr>
          <w:color w:val="auto"/>
          <w:highlight w:val="none"/>
        </w:rPr>
      </w:pPr>
      <w:r>
        <w:rPr>
          <w:rFonts w:hint="eastAsia"/>
          <w:color w:val="auto"/>
          <w:highlight w:val="none"/>
        </w:rPr>
        <w:t xml:space="preserve">10、货款支付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10.1本合同项下所有款项均以人民币支付；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10.2本合同项下的采购资金由甲方支付，付款前乙方向甲方开具发票；</w:t>
      </w:r>
      <w:r/>
    </w:p>
    <w:p>
      <w:pPr>
        <w:ind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10.3付款方式：</w:t>
      </w:r>
      <w:r/>
    </w:p>
    <w:p>
      <w:pPr>
        <w:pStyle w:val="690"/>
        <w:keepLines w:val="0"/>
        <w:keepNext w:val="0"/>
        <w:pageBreakBefore w:val="0"/>
        <w:widowControl w:val="off"/>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合同签订后，甲方自收到发票之日起10个工作日内支付合同价的30%的预付款；</w:t>
      </w:r>
      <w:r>
        <w:rPr>
          <w:rFonts w:hint="eastAsia" w:cs="宋体"/>
          <w:b/>
          <w:bCs/>
          <w:color w:val="auto"/>
          <w:highlight w:val="none"/>
          <w:lang w:val="en-US" w:eastAsia="zh-CN"/>
        </w:rPr>
        <w:t xml:space="preserve">验收结束</w:t>
      </w:r>
      <w:r>
        <w:rPr>
          <w:rFonts w:hint="eastAsia" w:ascii="宋体" w:hAnsi="宋体" w:cs="宋体"/>
          <w:b/>
          <w:bCs/>
          <w:color w:val="auto"/>
          <w:highlight w:val="none"/>
          <w:lang w:val="en-US" w:eastAsia="zh-CN"/>
        </w:rPr>
        <w:t xml:space="preserve">乙方凭甲方的</w:t>
      </w:r>
      <w:r>
        <w:rPr>
          <w:rFonts w:hint="eastAsia" w:cs="宋体"/>
          <w:b/>
          <w:bCs/>
          <w:color w:val="auto"/>
          <w:highlight w:val="none"/>
          <w:lang w:val="en-US" w:eastAsia="zh-CN"/>
        </w:rPr>
        <w:t xml:space="preserve">验</w:t>
      </w:r>
      <w:r>
        <w:rPr>
          <w:rFonts w:hint="eastAsia" w:ascii="宋体" w:hAnsi="宋体" w:cs="宋体"/>
          <w:b/>
          <w:bCs/>
          <w:color w:val="auto"/>
          <w:highlight w:val="none"/>
          <w:lang w:val="en-US" w:eastAsia="zh-CN"/>
        </w:rPr>
        <w:t xml:space="preserve">收确认单及开具的正规增值税发票等材料交甲方办理</w:t>
      </w:r>
      <w:r>
        <w:rPr>
          <w:rFonts w:hint="eastAsia" w:cs="宋体"/>
          <w:b/>
          <w:bCs/>
          <w:color w:val="auto"/>
          <w:highlight w:val="none"/>
          <w:lang w:val="en-US" w:eastAsia="zh-CN"/>
        </w:rPr>
        <w:t xml:space="preserve">尾款</w:t>
      </w:r>
      <w:r>
        <w:rPr>
          <w:rFonts w:hint="eastAsia" w:ascii="宋体" w:hAnsi="宋体" w:cs="宋体"/>
          <w:b/>
          <w:bCs/>
          <w:color w:val="auto"/>
          <w:highlight w:val="none"/>
          <w:lang w:val="en-US" w:eastAsia="zh-CN"/>
        </w:rPr>
        <w:t xml:space="preserve">付款手续，甲方自收到发票及单据之日起10个工作日内支付货款，若乙方开票不及时或违反合同约定，甲方有权拒付，由此造成的责任和损失由乙方承担。</w:t>
      </w:r>
      <w:r/>
    </w:p>
    <w:p>
      <w:pPr>
        <w:pStyle w:val="690"/>
        <w:keepLines w:val="0"/>
        <w:keepNext w:val="0"/>
        <w:pageBreakBefore w:val="0"/>
        <w:widowControl w:val="off"/>
        <w:rPr>
          <w:color w:val="auto"/>
          <w:highlight w:val="none"/>
        </w:rPr>
      </w:pPr>
      <w:r>
        <w:rPr>
          <w:rFonts w:hint="eastAsia"/>
          <w:color w:val="auto"/>
          <w:highlight w:val="none"/>
        </w:rPr>
        <w:t xml:space="preserve">11、税费</w:t>
      </w:r>
      <w:r/>
    </w:p>
    <w:p>
      <w:pPr>
        <w:pStyle w:val="690"/>
        <w:keepLines w:val="0"/>
        <w:keepNext w:val="0"/>
        <w:pageBreakBefore w:val="0"/>
        <w:widowControl w:val="off"/>
        <w:rPr>
          <w:color w:val="auto"/>
          <w:highlight w:val="none"/>
        </w:rPr>
      </w:pPr>
      <w:r>
        <w:rPr>
          <w:rFonts w:hint="eastAsia"/>
          <w:color w:val="auto"/>
          <w:highlight w:val="none"/>
        </w:rPr>
        <w:t xml:space="preserve">本合同执行中相关的一切税费均由乙方负担；</w:t>
      </w:r>
      <w:r/>
    </w:p>
    <w:p>
      <w:pPr>
        <w:pStyle w:val="690"/>
        <w:keepLines w:val="0"/>
        <w:keepNext w:val="0"/>
        <w:pageBreakBefore w:val="0"/>
        <w:widowControl w:val="off"/>
        <w:rPr>
          <w:color w:val="auto"/>
          <w:highlight w:val="none"/>
        </w:rPr>
      </w:pPr>
      <w:r>
        <w:rPr>
          <w:rFonts w:hint="eastAsia"/>
          <w:color w:val="auto"/>
          <w:highlight w:val="none"/>
        </w:rPr>
        <w:t xml:space="preserve">12、质量保证及售后服务</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12.1乙方应按招标文件规定及响应文件承诺的货物性能、技术要求、质量标准向甲方提供未经使用的全新产品；若技术性能无特殊说明，则按国家有关部门最新颁布的标准及规范为准；</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须费用由乙方承担；</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12.3乙方提供的货物在质保期内因货物本身的质量问题发生故障，乙方应负责免费更换；对达不到技术要求者，根据实际情况，经双方协商，可按以下办法处理：</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⑴更换：由乙方承担所发生的全部费用；</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⑵贬值处理：由甲乙双方合议定价；</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⑶退货处理：乙方应退还甲方支付的合同款，同时应承担该货物的直接费用（运输、保险、检验、货款利息及银行手续费等）；</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12.4如在使用过程中发生质量问题，乙方在接到甲方通知后在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小时内到达甲方现场；</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12.5在质保期内，乙方应对货物出现的质量及安全问题负责处理解决并承担一切费用；</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12.6上述的货物免费保修期为</w:t>
      </w:r>
      <w:r>
        <w:rPr>
          <w:rFonts w:hint="eastAsia" w:ascii="宋体" w:hAnsi="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2</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年，因人为因素出现的故障不在免费保修范围内；超过保修期的机器设备，终生维修，维修时只收部件成本费；</w:t>
      </w:r>
      <w:r/>
    </w:p>
    <w:p>
      <w:pPr>
        <w:pStyle w:val="690"/>
        <w:keepLines w:val="0"/>
        <w:keepNext w:val="0"/>
        <w:pageBreakBefore w:val="0"/>
        <w:widowControl w:val="off"/>
        <w:rPr>
          <w:color w:val="auto"/>
          <w:highlight w:val="none"/>
        </w:rPr>
      </w:pPr>
      <w:r>
        <w:rPr>
          <w:rFonts w:hint="eastAsia"/>
          <w:color w:val="auto"/>
          <w:highlight w:val="none"/>
        </w:rPr>
        <w:t xml:space="preserve">13、交货、调试和验收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13.1乙方应当在合同生效后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内将货物交付甲方，地点由甲方指定，招标文件有约定的，从其约定；在发货前，乙方应对产品作出全面检查和对验收文件进行整理，并列出清单，作为甲方收货初验收和使用的技术条件依据，检验的结果应随货物交甲方；</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13.2货到甲方后，甲乙双方须在</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工作日内初验收，甲方对乙方提交的货物依据招标文件上的技术规格要求和国家有关质量标准进行现场初步验收，外观、说明书、包装符合招标文件技术要求的，给予签收，初步验收不合格的不予签收；</w:t>
      </w:r>
      <w:r/>
    </w:p>
    <w:p>
      <w:pPr>
        <w:pStyle w:val="690"/>
        <w:keepLines w:val="0"/>
        <w:keepNext w:val="0"/>
        <w:pageBreakBefore w:val="0"/>
        <w:widowControl w:val="off"/>
        <w:rPr>
          <w:color w:val="auto"/>
          <w:highlight w:val="none"/>
        </w:rPr>
      </w:pPr>
      <w:r>
        <w:rPr>
          <w:rFonts w:hint="eastAsia"/>
          <w:color w:val="auto"/>
          <w:highlight w:val="none"/>
        </w:rPr>
        <w:t xml:space="preserve">13.3乙方按照招标文件要求负责产品安装并培训甲方的使用操作人员，乙方在甲方使用前进行调试，调试直到符合技术要求的甲方才做最终验收；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13.4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20"/>
        <w:keepLines w:val="0"/>
        <w:keepNext w:val="0"/>
        <w:pageBreakBefore w:val="0"/>
        <w:spacing w:line="360" w:lineRule="auto"/>
        <w:widowControl w:val="off"/>
        <w:rPr>
          <w:rFonts w:ascii="宋体" w:hAnsi="宋体" w:cs="宋体"/>
          <w:color w:val="auto"/>
          <w:szCs w:val="21"/>
          <w:highlight w:val="none"/>
          <w:u w:val="single"/>
        </w:rPr>
      </w:pPr>
      <w:r>
        <w:rPr>
          <w:rFonts w:hint="eastAsia" w:ascii="宋体" w:hAnsi="宋体" w:cs="宋体"/>
          <w:color w:val="auto"/>
          <w:szCs w:val="21"/>
          <w:highlight w:val="none"/>
        </w:rPr>
        <w:t xml:space="preserve">13.5甲乙双方关于调试和验收的其他约定：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690"/>
        <w:keepLines w:val="0"/>
        <w:keepNext w:val="0"/>
        <w:pageBreakBefore w:val="0"/>
        <w:widowControl w:val="off"/>
        <w:rPr>
          <w:color w:val="auto"/>
          <w:highlight w:val="none"/>
        </w:rPr>
      </w:pPr>
      <w:r>
        <w:rPr>
          <w:rFonts w:hint="eastAsia"/>
          <w:color w:val="auto"/>
          <w:highlight w:val="none"/>
        </w:rPr>
        <w:t xml:space="preserve">14、货物包装、发运及运输</w:t>
      </w:r>
      <w:r/>
    </w:p>
    <w:p>
      <w:pPr>
        <w:pStyle w:val="690"/>
        <w:keepLines w:val="0"/>
        <w:keepNext w:val="0"/>
        <w:pageBreakBefore w:val="0"/>
        <w:widowControl w:val="off"/>
        <w:rPr>
          <w:color w:val="auto"/>
          <w:highlight w:val="none"/>
        </w:rPr>
      </w:pPr>
      <w:r>
        <w:rPr>
          <w:rFonts w:hint="eastAsia"/>
          <w:color w:val="auto"/>
          <w:highlight w:val="none"/>
        </w:rPr>
        <w:t xml:space="preserve">14.1乙方应在货物发运前对其进行满足运输距离、防潮、防震、防锈和防破损装卸等要求包装，以保证货物安全运达甲方指定地点；</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14.2乙方发货时，产品使用说明书、检验证明书、随配附件和工具以及清单一并附于货物内；</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14.3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14.4货物在交付甲方前发生的风险均由乙方负责；</w:t>
      </w:r>
      <w:r/>
    </w:p>
    <w:p>
      <w:pPr>
        <w:pStyle w:val="690"/>
        <w:keepLines w:val="0"/>
        <w:keepNext w:val="0"/>
        <w:pageBreakBefore w:val="0"/>
        <w:widowControl w:val="off"/>
        <w:rPr>
          <w:color w:val="auto"/>
          <w:highlight w:val="none"/>
        </w:rPr>
      </w:pPr>
      <w:r>
        <w:rPr>
          <w:rFonts w:hint="eastAsia"/>
          <w:color w:val="auto"/>
          <w:highlight w:val="none"/>
        </w:rPr>
        <w:t xml:space="preserve">14.5货物在规定的交付期限内由乙方送达甲方指定的地点，经验收</w:t>
      </w:r>
      <w:r>
        <w:rPr>
          <w:rFonts w:hint="eastAsia"/>
          <w:color w:val="auto"/>
          <w:highlight w:val="none"/>
          <w:lang w:val="en-US" w:eastAsia="zh-CN"/>
        </w:rPr>
        <w:t xml:space="preserve">合格</w:t>
      </w:r>
      <w:r>
        <w:rPr>
          <w:rFonts w:hint="eastAsia"/>
          <w:color w:val="auto"/>
          <w:highlight w:val="none"/>
        </w:rPr>
        <w:t xml:space="preserve">即视为货物交付；</w:t>
      </w:r>
      <w:r/>
    </w:p>
    <w:p>
      <w:pPr>
        <w:pStyle w:val="690"/>
        <w:keepLines w:val="0"/>
        <w:keepNext w:val="0"/>
        <w:pageBreakBefore w:val="0"/>
        <w:widowControl w:val="off"/>
        <w:rPr>
          <w:color w:val="auto"/>
          <w:highlight w:val="none"/>
        </w:rPr>
      </w:pPr>
      <w:r>
        <w:rPr>
          <w:rFonts w:hint="eastAsia"/>
          <w:color w:val="auto"/>
          <w:highlight w:val="none"/>
        </w:rPr>
        <w:t xml:space="preserve">15、违约责任</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15.1甲方无正当理由拒绝初验收和终验收货物的，甲方应按未付货款金额每日万分之五向乙方支付违约金；</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15.2甲方无故逾期验收和无故逾期办理货款支付手续的，甲方应按逾期付款金额每日万分之五向乙方支付违约金；</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15.3乙方违约，在消除违约情形前，应按货款总额每日万分之五向甲方支付违约金，甲方可以从待付货款中扣除；</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15.4乙方因逾期交货或因其他违约行为，导致甲方解除合同的，乙方应向甲方支付合同总值5%的违约金，如造成甲方损失超过违约金的，超出部分由乙方继续承担赔偿责任；</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15.5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15.6合同生效后，发现乙方投标属虚假承诺，或经权威部门监测提供的货物不能满足招标文件要求，造成合同无法继续履行的，乙方履约保证金不予退还外，还应向甲方支付不少于合同总价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赔偿金；</w:t>
      </w:r>
      <w:r/>
    </w:p>
    <w:p>
      <w:pPr>
        <w:pStyle w:val="690"/>
        <w:keepLines w:val="0"/>
        <w:keepNext w:val="0"/>
        <w:pageBreakBefore w:val="0"/>
        <w:widowControl w:val="off"/>
        <w:rPr>
          <w:color w:val="auto"/>
          <w:highlight w:val="none"/>
        </w:rPr>
      </w:pPr>
      <w:r>
        <w:rPr>
          <w:rFonts w:hint="eastAsia"/>
          <w:color w:val="auto"/>
          <w:highlight w:val="none"/>
        </w:rPr>
        <w:t xml:space="preserve">16、不可抗力事件处理</w:t>
      </w:r>
      <w:r/>
    </w:p>
    <w:p>
      <w:pPr>
        <w:pStyle w:val="690"/>
        <w:ind w:firstLine="422"/>
        <w:keepLines w:val="0"/>
        <w:keepNext w:val="0"/>
        <w:pageBreakBefore w:val="0"/>
        <w:widowControl w:val="off"/>
        <w:rPr>
          <w:b w:val="0"/>
          <w:color w:val="auto"/>
          <w:highlight w:val="none"/>
        </w:rPr>
      </w:pPr>
      <w:r>
        <w:rPr>
          <w:rFonts w:hint="eastAsia"/>
          <w:b w:val="0"/>
          <w:color w:val="auto"/>
          <w:highlight w:val="none"/>
        </w:rPr>
        <w:t xml:space="preserve">16.1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690"/>
        <w:ind w:firstLine="422"/>
        <w:keepLines w:val="0"/>
        <w:keepNext w:val="0"/>
        <w:pageBreakBefore w:val="0"/>
        <w:widowControl w:val="off"/>
        <w:rPr>
          <w:b w:val="0"/>
          <w:color w:val="auto"/>
          <w:highlight w:val="none"/>
        </w:rPr>
      </w:pPr>
      <w:r>
        <w:rPr>
          <w:rFonts w:hint="eastAsia"/>
          <w:b w:val="0"/>
          <w:color w:val="auto"/>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690"/>
        <w:keepLines w:val="0"/>
        <w:keepNext w:val="0"/>
        <w:pageBreakBefore w:val="0"/>
        <w:widowControl w:val="off"/>
        <w:rPr>
          <w:color w:val="auto"/>
          <w:highlight w:val="none"/>
        </w:rPr>
      </w:pPr>
      <w:r>
        <w:rPr>
          <w:rFonts w:hint="eastAsia"/>
          <w:color w:val="auto"/>
          <w:highlight w:val="none"/>
        </w:rPr>
        <w:t xml:space="preserve">17、争议解决</w:t>
      </w:r>
      <w:r/>
    </w:p>
    <w:p>
      <w:pPr>
        <w:pStyle w:val="690"/>
        <w:ind w:firstLine="422"/>
        <w:keepLines w:val="0"/>
        <w:keepNext w:val="0"/>
        <w:pageBreakBefore w:val="0"/>
        <w:widowControl w:val="off"/>
        <w:rPr>
          <w:b w:val="0"/>
          <w:color w:val="auto"/>
          <w:highlight w:val="none"/>
        </w:rPr>
      </w:pPr>
      <w:r>
        <w:rPr>
          <w:rFonts w:hint="eastAsia"/>
          <w:b w:val="0"/>
          <w:color w:val="auto"/>
          <w:highlight w:val="none"/>
        </w:rPr>
        <w:t xml:space="preserve">17.1因货物的质量问题发生争议的，可在国家认可的质量检测机构对货物质量进行鉴定；货物符合标准的，鉴定费由甲方承担；货物不符合质量标准的，鉴定费由乙方承担；</w:t>
      </w:r>
      <w:r/>
    </w:p>
    <w:p>
      <w:pPr>
        <w:pStyle w:val="690"/>
        <w:ind w:firstLine="422"/>
        <w:keepLines w:val="0"/>
        <w:keepNext w:val="0"/>
        <w:pageBreakBefore w:val="0"/>
        <w:widowControl w:val="off"/>
        <w:rPr>
          <w:b w:val="0"/>
          <w:color w:val="auto"/>
          <w:highlight w:val="none"/>
        </w:rPr>
      </w:pPr>
      <w:r>
        <w:rPr>
          <w:rFonts w:hint="eastAsia"/>
          <w:b w:val="0"/>
          <w:color w:val="auto"/>
          <w:highlight w:val="none"/>
        </w:rPr>
        <w:t xml:space="preserve">17.2因履行本合同引起的或与本合同有关的争议，甲、乙双方应首先通过友好协商解决；如果协商不能解决争议，甲乙双方同意采取下列两种方式的第</w:t>
      </w:r>
      <w:r>
        <w:rPr>
          <w:rFonts w:hint="eastAsia"/>
          <w:b w:val="0"/>
          <w:color w:val="auto"/>
          <w:highlight w:val="none"/>
          <w:u w:val="single"/>
        </w:rPr>
        <w:t xml:space="preserve">（1）</w:t>
      </w:r>
      <w:r>
        <w:rPr>
          <w:rFonts w:hint="eastAsia"/>
          <w:b w:val="0"/>
          <w:color w:val="auto"/>
          <w:highlight w:val="none"/>
        </w:rPr>
        <w:t xml:space="preserve">种方式解决争议：</w:t>
      </w:r>
      <w:r/>
    </w:p>
    <w:p>
      <w:pPr>
        <w:pStyle w:val="690"/>
        <w:ind w:firstLine="422"/>
        <w:keepLines w:val="0"/>
        <w:keepNext w:val="0"/>
        <w:pageBreakBefore w:val="0"/>
        <w:widowControl w:val="off"/>
        <w:rPr>
          <w:b w:val="0"/>
          <w:color w:val="auto"/>
          <w:highlight w:val="none"/>
        </w:rPr>
      </w:pPr>
      <w:r>
        <w:rPr>
          <w:rFonts w:hint="eastAsia"/>
          <w:b w:val="0"/>
          <w:color w:val="auto"/>
          <w:highlight w:val="none"/>
        </w:rPr>
        <w:t xml:space="preserve">（1）向甲方所在地有管辖权的人民法院提起诉讼，适用中华人民共和国法律；</w:t>
      </w:r>
      <w:r/>
    </w:p>
    <w:p>
      <w:pPr>
        <w:pStyle w:val="690"/>
        <w:ind w:firstLine="422"/>
        <w:keepLines w:val="0"/>
        <w:keepNext w:val="0"/>
        <w:pageBreakBefore w:val="0"/>
        <w:widowControl w:val="off"/>
        <w:rPr>
          <w:b w:val="0"/>
          <w:color w:val="auto"/>
          <w:highlight w:val="none"/>
        </w:rPr>
      </w:pPr>
      <w:r>
        <w:rPr>
          <w:rFonts w:hint="eastAsia"/>
          <w:b w:val="0"/>
          <w:color w:val="auto"/>
          <w:highlight w:val="none"/>
        </w:rPr>
        <w:t xml:space="preserve">（2）向扬州仲裁委员会按其仲裁规则申请仲裁；</w:t>
      </w:r>
      <w:r/>
    </w:p>
    <w:p>
      <w:pPr>
        <w:pStyle w:val="690"/>
        <w:ind w:firstLine="422"/>
        <w:keepLines w:val="0"/>
        <w:keepNext w:val="0"/>
        <w:pageBreakBefore w:val="0"/>
        <w:widowControl w:val="off"/>
        <w:rPr>
          <w:b w:val="0"/>
          <w:color w:val="auto"/>
          <w:highlight w:val="none"/>
        </w:rPr>
      </w:pPr>
      <w:r>
        <w:rPr>
          <w:rFonts w:hint="eastAsia"/>
          <w:b w:val="0"/>
          <w:color w:val="auto"/>
          <w:highlight w:val="none"/>
        </w:rPr>
        <w:t xml:space="preserve">17.3若甲乙双方任何一方都没有选择解除合同的，为避免扩大损失，在诉讼或仲裁期间，双方应继续履行；</w:t>
      </w:r>
      <w:r/>
    </w:p>
    <w:p>
      <w:pPr>
        <w:pStyle w:val="690"/>
        <w:keepLines w:val="0"/>
        <w:keepNext w:val="0"/>
        <w:pageBreakBefore w:val="0"/>
        <w:widowControl w:val="off"/>
        <w:rPr>
          <w:color w:val="auto"/>
          <w:highlight w:val="none"/>
        </w:rPr>
      </w:pPr>
      <w:r>
        <w:rPr>
          <w:rFonts w:hint="eastAsia"/>
          <w:color w:val="auto"/>
          <w:highlight w:val="none"/>
        </w:rPr>
        <w:t xml:space="preserve">18、合同</w:t>
      </w:r>
      <w:r>
        <w:rPr>
          <w:rFonts w:hint="eastAsia"/>
          <w:color w:val="auto"/>
          <w:highlight w:val="none"/>
          <w:lang w:eastAsia="zh-CN"/>
        </w:rPr>
        <w:t xml:space="preserve">其他</w:t>
      </w:r>
      <w:r/>
    </w:p>
    <w:p>
      <w:pPr>
        <w:pStyle w:val="690"/>
        <w:ind w:firstLine="422"/>
        <w:keepLines w:val="0"/>
        <w:keepNext w:val="0"/>
        <w:pageBreakBefore w:val="0"/>
        <w:widowControl w:val="off"/>
        <w:rPr>
          <w:b w:val="0"/>
          <w:color w:val="auto"/>
          <w:highlight w:val="none"/>
        </w:rPr>
      </w:pPr>
      <w:r>
        <w:rPr>
          <w:rFonts w:hint="eastAsia"/>
          <w:b w:val="0"/>
          <w:color w:val="auto"/>
          <w:highlight w:val="none"/>
        </w:rPr>
        <w:t xml:space="preserve">18.1乙方应诚实信用，严格按照招标文件要求和投标承诺履行合同，不向甲方进行商业贿赂或者提供不正当利益；</w:t>
      </w:r>
      <w:r/>
    </w:p>
    <w:p>
      <w:pPr>
        <w:pStyle w:val="690"/>
        <w:ind w:firstLine="422"/>
        <w:keepLines w:val="0"/>
        <w:keepNext w:val="0"/>
        <w:pageBreakBefore w:val="0"/>
        <w:widowControl w:val="off"/>
        <w:rPr>
          <w:b w:val="0"/>
          <w:color w:val="auto"/>
          <w:highlight w:val="none"/>
          <w:u w:val="single"/>
        </w:rPr>
      </w:pPr>
      <w:r>
        <w:rPr>
          <w:rFonts w:hint="eastAsia"/>
          <w:b w:val="0"/>
          <w:color w:val="auto"/>
          <w:highlight w:val="none"/>
        </w:rPr>
        <w:t xml:space="preserve">18.2合同经双方法定代表人或授权代表签字并加盖单位公章后生效；</w:t>
      </w:r>
      <w:r/>
    </w:p>
    <w:p>
      <w:pPr>
        <w:pStyle w:val="690"/>
        <w:ind w:firstLine="422"/>
        <w:keepLines w:val="0"/>
        <w:keepNext w:val="0"/>
        <w:pageBreakBefore w:val="0"/>
        <w:widowControl w:val="off"/>
        <w:rPr>
          <w:b w:val="0"/>
          <w:color w:val="auto"/>
          <w:highlight w:val="none"/>
          <w:u w:val="single"/>
        </w:rPr>
      </w:pPr>
      <w:r>
        <w:rPr>
          <w:rFonts w:hint="eastAsia"/>
          <w:b w:val="0"/>
          <w:color w:val="auto"/>
          <w:highlight w:val="none"/>
        </w:rPr>
        <w:t xml:space="preserve">18.2本合同未尽事宜，遵照《中华人民共和国民法典》有关条文执行；</w:t>
      </w:r>
      <w:r/>
    </w:p>
    <w:p>
      <w:pPr>
        <w:pStyle w:val="690"/>
        <w:ind w:firstLine="422"/>
        <w:keepLines w:val="0"/>
        <w:keepNext w:val="0"/>
        <w:pageBreakBefore w:val="0"/>
        <w:widowControl w:val="off"/>
        <w:rPr>
          <w:b w:val="0"/>
          <w:color w:val="auto"/>
          <w:highlight w:val="none"/>
        </w:rPr>
      </w:pPr>
      <w:r>
        <w:rPr>
          <w:rFonts w:hint="eastAsia"/>
          <w:b w:val="0"/>
          <w:color w:val="auto"/>
          <w:highlight w:val="none"/>
        </w:rPr>
        <w:t xml:space="preserve">18.3本合同正本一式伍份，具有同等法律效力，甲方、乙方各执贰份、财政主管部门各执壹份；</w:t>
      </w:r>
      <w:r/>
    </w:p>
    <w:p>
      <w:pPr>
        <w:pStyle w:val="690"/>
        <w:ind w:firstLine="422"/>
        <w:keepLines w:val="0"/>
        <w:keepNext w:val="0"/>
        <w:pageBreakBefore w:val="0"/>
        <w:widowControl w:val="off"/>
        <w:rPr>
          <w:b w:val="0"/>
          <w:color w:val="auto"/>
          <w:highlight w:val="none"/>
        </w:rPr>
      </w:pPr>
      <w:r>
        <w:rPr>
          <w:b w:val="0"/>
          <w:color w:val="auto"/>
          <w:highlight w:val="none"/>
        </w:rPr>
      </w:r>
      <w:r/>
    </w:p>
    <w:p>
      <w:pPr>
        <w:pStyle w:val="690"/>
        <w:ind w:firstLine="422"/>
        <w:rPr>
          <w:b w:val="0"/>
          <w:color w:val="auto"/>
          <w:highlight w:val="none"/>
        </w:rPr>
      </w:pPr>
      <w:r>
        <w:rPr>
          <w:rFonts w:hint="eastAsia"/>
          <w:b w:val="0"/>
          <w:color w:val="auto"/>
          <w:highlight w:val="none"/>
        </w:rPr>
        <w:t xml:space="preserve">甲方：</w:t>
      </w:r>
      <w:r>
        <w:rPr>
          <w:rFonts w:hint="eastAsia"/>
          <w:b w:val="0"/>
          <w:color w:val="auto"/>
          <w:highlight w:val="none"/>
          <w:lang w:eastAsia="zh-CN"/>
        </w:rPr>
        <w:t xml:space="preserve">扬州市中心血站</w:t>
      </w:r>
      <w:r>
        <w:rPr>
          <w:rFonts w:hint="eastAsia"/>
          <w:b w:val="0"/>
          <w:color w:val="auto"/>
          <w:highlight w:val="none"/>
        </w:rPr>
        <w:t xml:space="preserve">                    乙方：</w:t>
      </w:r>
      <w:r/>
    </w:p>
    <w:p>
      <w:pPr>
        <w:pStyle w:val="690"/>
        <w:ind w:firstLine="422"/>
        <w:rPr>
          <w:b w:val="0"/>
          <w:color w:val="auto"/>
          <w:highlight w:val="none"/>
        </w:rPr>
      </w:pPr>
      <w:r>
        <w:rPr>
          <w:rFonts w:hint="eastAsia"/>
          <w:b w:val="0"/>
          <w:color w:val="auto"/>
          <w:highlight w:val="none"/>
        </w:rPr>
        <w:t xml:space="preserve">地址：                                  地址：</w:t>
      </w:r>
      <w:r/>
    </w:p>
    <w:p>
      <w:pPr>
        <w:pStyle w:val="690"/>
        <w:ind w:firstLine="422"/>
        <w:rPr>
          <w:b w:val="0"/>
          <w:color w:val="auto"/>
          <w:highlight w:val="none"/>
        </w:rPr>
      </w:pPr>
      <w:r>
        <w:rPr>
          <w:rFonts w:hint="eastAsia"/>
          <w:b w:val="0"/>
          <w:color w:val="auto"/>
          <w:highlight w:val="none"/>
        </w:rPr>
        <w:t xml:space="preserve">法定代表人或授权代表：                  法定代表人或授权代表：</w:t>
      </w:r>
      <w:r/>
    </w:p>
    <w:p>
      <w:pPr>
        <w:pStyle w:val="690"/>
        <w:ind w:firstLine="422"/>
        <w:rPr>
          <w:b w:val="0"/>
          <w:color w:val="auto"/>
          <w:highlight w:val="none"/>
        </w:rPr>
      </w:pPr>
      <w:r>
        <w:rPr>
          <w:rFonts w:hint="eastAsia"/>
          <w:b w:val="0"/>
          <w:color w:val="auto"/>
          <w:highlight w:val="none"/>
        </w:rPr>
        <w:t xml:space="preserve">联系电话：                              联系电话：</w:t>
      </w:r>
      <w:r/>
    </w:p>
    <w:p>
      <w:pPr>
        <w:pStyle w:val="690"/>
        <w:ind w:firstLine="422"/>
        <w:rPr>
          <w:b w:val="0"/>
          <w:color w:val="auto"/>
          <w:highlight w:val="none"/>
        </w:rPr>
      </w:pPr>
      <w:r>
        <w:rPr>
          <w:rFonts w:hint="eastAsia"/>
          <w:b w:val="0"/>
          <w:color w:val="auto"/>
          <w:highlight w:val="none"/>
        </w:rPr>
        <w:t xml:space="preserve">日期：</w:t>
      </w:r>
      <w:r>
        <w:rPr>
          <w:b w:val="0"/>
          <w:color w:val="auto"/>
          <w:highlight w:val="none"/>
        </w:rPr>
        <w:t xml:space="preserve">   </w:t>
      </w:r>
      <w:r>
        <w:rPr>
          <w:rFonts w:hint="eastAsia"/>
          <w:b w:val="0"/>
          <w:color w:val="auto"/>
          <w:highlight w:val="none"/>
        </w:rPr>
        <w:t xml:space="preserve">年  月  日                   </w:t>
      </w:r>
      <w:r>
        <w:rPr>
          <w:b w:val="0"/>
          <w:color w:val="auto"/>
          <w:highlight w:val="none"/>
        </w:rPr>
        <w:t xml:space="preserve">  </w:t>
      </w:r>
      <w:r>
        <w:rPr>
          <w:rFonts w:hint="eastAsia"/>
          <w:b w:val="0"/>
          <w:color w:val="auto"/>
          <w:highlight w:val="none"/>
        </w:rPr>
        <w:t xml:space="preserve">日期：</w:t>
      </w:r>
      <w:r>
        <w:rPr>
          <w:b w:val="0"/>
          <w:color w:val="auto"/>
          <w:highlight w:val="none"/>
        </w:rPr>
        <w:t xml:space="preserve">  </w:t>
      </w:r>
      <w:r>
        <w:rPr>
          <w:rFonts w:hint="eastAsia"/>
          <w:b w:val="0"/>
          <w:color w:val="auto"/>
          <w:highlight w:val="none"/>
        </w:rPr>
        <w:t xml:space="preserve">年  月  日</w:t>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bCs/>
          <w:color w:val="000000"/>
          <w:sz w:val="36"/>
          <w:szCs w:val="36"/>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rPr>
      </w:r>
      <w:r/>
    </w:p>
    <w:p>
      <w:pPr>
        <w:ind w:left="0" w:right="0" w:firstLine="0"/>
        <w:jc w:val="center"/>
        <w:spacing w:before="0" w:after="0" w:line="85" w:lineRule="atLeast"/>
        <w:rPr>
          <w:rFonts w:ascii="宋体" w:hAnsi="宋体" w:eastAsia="宋体" w:cs="宋体"/>
          <w:b/>
          <w:bCs/>
          <w:color w:val="000000"/>
          <w:sz w:val="36"/>
          <w:szCs w:val="36"/>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both"/>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第四章 项目需求</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注：</w:t>
      </w:r>
      <w:r>
        <w:rPr>
          <w:rFonts w:ascii="宋体" w:hAnsi="宋体" w:eastAsia="宋体" w:cs="宋体"/>
          <w:b/>
          <w:i/>
          <w:color w:val="000000"/>
          <w:sz w:val="21"/>
          <w:u w:val="single"/>
        </w:rPr>
        <w:t xml:space="preserve">本章内容里斜体且有下划线部分为实质性要求和条件，响应文件不满足的，视为无效响应处理</w:t>
      </w:r>
      <w:r>
        <w:rPr>
          <w:rFonts w:ascii="宋体" w:hAnsi="宋体" w:eastAsia="宋体" w:cs="宋体"/>
          <w:color w:val="000000"/>
          <w:sz w:val="21"/>
        </w:rPr>
        <w:t xml:space="preserve">。</w:t>
      </w:r>
      <w:r>
        <w:rPr>
          <w:rFonts w:ascii="宋体" w:hAnsi="宋体" w:eastAsia="宋体" w:cs="宋体"/>
          <w:b/>
          <w:color w:val="000000"/>
          <w:sz w:val="21"/>
        </w:rPr>
        <w:t xml:space="preserve">请各供应商制作电子响应文件时，将实质性响应的内容在政府采购管理交易系统（苏采云）“符合证明文件格式”中准确填写或上传。</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项目属性：</w:t>
      </w:r>
      <w:r>
        <w:rPr>
          <w:rFonts w:hint="eastAsia" w:ascii="宋体" w:hAnsi="宋体" w:eastAsia="宋体" w:cs="宋体"/>
          <w:color w:val="000000"/>
          <w:sz w:val="21"/>
          <w:lang w:val="en-US" w:eastAsia="zh-CN"/>
        </w:rPr>
        <w:t xml:space="preserve">货物</w:t>
      </w:r>
      <w:r>
        <w:rPr>
          <w:rFonts w:ascii="宋体" w:hAnsi="宋体" w:eastAsia="宋体" w:cs="宋体"/>
          <w:color w:val="000000"/>
          <w:sz w:val="21"/>
        </w:rPr>
        <w:t xml:space="preserve">类项目。</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其他要求：</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1.严格执行政府采购关于支持</w:t>
      </w:r>
      <w:r>
        <w:rPr>
          <w:rFonts w:ascii="宋体" w:hAnsi="宋体" w:eastAsia="宋体" w:cs="宋体"/>
          <w:color w:val="000000"/>
          <w:sz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一、项目概况</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1、项目名称：</w:t>
      </w:r>
      <w:r>
        <w:rPr>
          <w:rFonts w:hint="eastAsia" w:ascii="宋体" w:hAnsi="宋体" w:eastAsia="宋体" w:cs="宋体"/>
          <w:color w:val="000000"/>
          <w:sz w:val="21"/>
          <w:highlight w:val="white"/>
          <w:lang w:eastAsia="zh-CN"/>
        </w:rPr>
        <w:t xml:space="preserve">扬州市中心血站双层献血屋及其配套设施采购项目</w:t>
      </w:r>
      <w:r>
        <w:rPr>
          <w:rFonts w:ascii="宋体" w:hAnsi="宋体" w:eastAsia="宋体" w:cs="宋体"/>
          <w:color w:val="000000"/>
          <w:sz w:val="21"/>
          <w:highlight w:val="white"/>
        </w:rPr>
        <w:t xml:space="preserve">；</w:t>
      </w:r>
      <w:r/>
    </w:p>
    <w:p>
      <w:pPr>
        <w:ind w:left="0" w:right="0" w:firstLine="420"/>
        <w:jc w:val="both"/>
        <w:spacing w:before="0" w:after="0"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2、采购预算：人民币</w:t>
      </w:r>
      <w:r>
        <w:rPr>
          <w:rFonts w:hint="eastAsia" w:ascii="宋体" w:hAnsi="宋体" w:eastAsia="宋体" w:cs="宋体"/>
          <w:color w:val="000000"/>
          <w:sz w:val="21"/>
          <w:highlight w:val="white"/>
          <w:lang w:val="en-US" w:eastAsia="zh-CN"/>
        </w:rPr>
        <w:t xml:space="preserve">196万元</w:t>
      </w:r>
      <w:r>
        <w:rPr>
          <w:rFonts w:ascii="宋体" w:hAnsi="宋体" w:eastAsia="宋体" w:cs="宋体"/>
          <w:color w:val="000000"/>
          <w:sz w:val="21"/>
          <w:highlight w:val="white"/>
        </w:rPr>
        <w:t xml:space="preserve">，本项目设定最高限价人民币</w:t>
      </w:r>
      <w:r>
        <w:rPr>
          <w:rFonts w:hint="eastAsia" w:ascii="宋体" w:hAnsi="宋体" w:eastAsia="宋体" w:cs="宋体"/>
          <w:color w:val="000000"/>
          <w:sz w:val="21"/>
          <w:highlight w:val="white"/>
          <w:lang w:val="en-US" w:eastAsia="zh-CN"/>
        </w:rPr>
        <w:t xml:space="preserve">196万元</w:t>
      </w:r>
      <w:r>
        <w:rPr>
          <w:rFonts w:ascii="宋体" w:hAnsi="宋体" w:eastAsia="宋体" w:cs="宋体"/>
          <w:color w:val="000000"/>
          <w:sz w:val="21"/>
          <w:highlight w:val="white"/>
        </w:rPr>
        <w:t xml:space="preserve">，最后报价超过最高限价的按无效响应处理；</w:t>
      </w:r>
      <w:r>
        <w:rPr>
          <w:rFonts w:hint="eastAsia" w:ascii="宋体" w:hAnsi="宋体" w:cs="宋体"/>
          <w:color w:val="000000" w:themeColor="text1"/>
          <w:sz w:val="21"/>
          <w:highlight w:val="white"/>
          <w:lang w:val="en-US" w:eastAsia="zh-CN"/>
          <w14:textFill>
            <w14:solidFill>
              <w14:schemeClr w14:val="tx1"/>
            </w14:solidFill>
          </w14:textFill>
        </w:rPr>
        <w:t xml:space="preserve">另外本项目预算中有</w:t>
      </w:r>
      <w:r>
        <w:rPr>
          <w:rFonts w:hint="eastAsia" w:ascii="宋体" w:hAnsi="宋体" w:eastAsia="宋体" w:cs="宋体"/>
          <w:color w:val="000000" w:themeColor="text1"/>
          <w:sz w:val="21"/>
          <w:highlight w:val="white"/>
          <w:lang w:val="en-US" w:eastAsia="zh-CN"/>
          <w14:textFill>
            <w14:solidFill>
              <w14:schemeClr w14:val="tx1"/>
            </w14:solidFill>
          </w14:textFill>
        </w:rPr>
        <w:t xml:space="preserve">3万元</w:t>
      </w:r>
      <w:r>
        <w:rPr>
          <w:rFonts w:hint="eastAsia" w:ascii="宋体" w:hAnsi="宋体" w:cs="宋体"/>
          <w:color w:val="000000" w:themeColor="text1"/>
          <w:sz w:val="21"/>
          <w:highlight w:val="white"/>
          <w:lang w:val="en-US" w:eastAsia="zh-CN"/>
          <w14:textFill>
            <w14:solidFill>
              <w14:schemeClr w14:val="tx1"/>
            </w14:solidFill>
          </w14:textFill>
        </w:rPr>
        <w:t xml:space="preserve">（设计费）</w:t>
      </w:r>
      <w:r>
        <w:rPr>
          <w:rFonts w:hint="eastAsia" w:ascii="宋体" w:hAnsi="宋体" w:eastAsia="宋体" w:cs="宋体"/>
          <w:color w:val="000000" w:themeColor="text1"/>
          <w:sz w:val="21"/>
          <w:highlight w:val="white"/>
          <w:lang w:val="en-US" w:eastAsia="zh-CN"/>
          <w14:textFill>
            <w14:solidFill>
              <w14:schemeClr w14:val="tx1"/>
            </w14:solidFill>
          </w14:textFill>
        </w:rPr>
        <w:t xml:space="preserve">为不可竞争费用，由采购人支配</w:t>
      </w:r>
      <w:r>
        <w:rPr>
          <w:rFonts w:hint="eastAsia" w:ascii="宋体" w:hAnsi="宋体" w:cs="宋体"/>
          <w:color w:val="000000" w:themeColor="text1"/>
          <w:sz w:val="21"/>
          <w:highlight w:val="white"/>
          <w:lang w:val="en-US" w:eastAsia="zh-CN"/>
          <w14:textFill>
            <w14:solidFill>
              <w14:schemeClr w14:val="tx1"/>
            </w14:solidFill>
          </w14:textFill>
        </w:rPr>
        <w:t xml:space="preserve">，投标人需在投标报价中单独列出该项</w:t>
      </w:r>
      <w:r>
        <w:rPr>
          <w:rFonts w:hint="eastAsia" w:ascii="宋体" w:hAnsi="宋体" w:eastAsia="宋体" w:cs="宋体"/>
          <w:color w:val="000000" w:themeColor="text1"/>
          <w:sz w:val="21"/>
          <w:highlight w:val="white"/>
          <w:lang w:val="en-US" w:eastAsia="zh-CN"/>
          <w14:textFill>
            <w14:solidFill>
              <w14:schemeClr w14:val="tx1"/>
            </w14:solidFill>
          </w14:textFill>
        </w:rPr>
        <w:t xml:space="preserve">3万元</w:t>
      </w:r>
      <w:r>
        <w:rPr>
          <w:rFonts w:hint="eastAsia" w:ascii="宋体" w:hAnsi="宋体" w:cs="宋体"/>
          <w:color w:val="000000" w:themeColor="text1"/>
          <w:sz w:val="21"/>
          <w:highlight w:val="white"/>
          <w:lang w:val="en-US" w:eastAsia="zh-CN"/>
          <w14:textFill>
            <w14:solidFill>
              <w14:schemeClr w14:val="tx1"/>
            </w14:solidFill>
          </w14:textFill>
        </w:rPr>
        <w:t xml:space="preserve">（设计费）</w:t>
      </w:r>
      <w:r>
        <w:rPr>
          <w:rFonts w:hint="eastAsia" w:ascii="宋体" w:hAnsi="宋体" w:eastAsia="宋体" w:cs="宋体"/>
          <w:color w:val="000000" w:themeColor="text1"/>
          <w:sz w:val="21"/>
          <w:highlight w:val="white"/>
          <w:lang w:val="en-US" w:eastAsia="zh-CN"/>
          <w14:textFill>
            <w14:solidFill>
              <w14:schemeClr w14:val="tx1"/>
            </w14:solidFill>
          </w14:textFill>
        </w:rPr>
        <w:t xml:space="preserve">不可竞争费用。</w:t>
      </w:r>
      <w:r/>
    </w:p>
    <w:p>
      <w:pPr>
        <w:ind w:left="0" w:right="0" w:firstLine="420"/>
        <w:jc w:val="both"/>
        <w:spacing w:before="0" w:after="0"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14:textFill>
            <w14:solidFill>
              <w14:schemeClr w14:val="tx1"/>
            </w14:solidFill>
          </w14:textFill>
        </w:rPr>
        <w:t xml:space="preserve">3、工期要求：合同签订后</w:t>
      </w:r>
      <w:r>
        <w:rPr>
          <w:rFonts w:hint="eastAsia" w:ascii="宋体" w:hAnsi="宋体" w:eastAsia="宋体" w:cs="宋体"/>
          <w:color w:val="000000" w:themeColor="text1"/>
          <w:sz w:val="21"/>
          <w:highlight w:val="white"/>
          <w:lang w:val="en-US" w:eastAsia="zh-CN"/>
          <w14:textFill>
            <w14:solidFill>
              <w14:schemeClr w14:val="tx1"/>
            </w14:solidFill>
          </w14:textFill>
        </w:rPr>
        <w:t xml:space="preserve">60</w:t>
      </w:r>
      <w:r>
        <w:rPr>
          <w:rFonts w:ascii="宋体" w:hAnsi="宋体" w:eastAsia="宋体" w:cs="宋体"/>
          <w:color w:val="000000" w:themeColor="text1"/>
          <w:sz w:val="21"/>
          <w:highlight w:val="white"/>
          <w14:textFill>
            <w14:solidFill>
              <w14:schemeClr w14:val="tx1"/>
            </w14:solidFill>
          </w14:textFill>
        </w:rPr>
        <w:t xml:space="preserve">日历天内完成整个</w:t>
      </w:r>
      <w:r>
        <w:rPr>
          <w:rFonts w:hint="eastAsia" w:ascii="宋体" w:hAnsi="宋体" w:eastAsia="宋体" w:cs="宋体"/>
          <w:color w:val="000000" w:themeColor="text1"/>
          <w:sz w:val="21"/>
          <w:highlight w:val="white"/>
          <w:lang w:val="en-US" w:eastAsia="zh-CN"/>
          <w14:textFill>
            <w14:solidFill>
              <w14:schemeClr w14:val="tx1"/>
            </w14:solidFill>
          </w14:textFill>
        </w:rPr>
        <w:t xml:space="preserve">项目</w:t>
      </w:r>
      <w:r>
        <w:rPr>
          <w:rFonts w:ascii="宋体" w:hAnsi="宋体" w:eastAsia="宋体" w:cs="宋体"/>
          <w:color w:val="000000" w:themeColor="text1"/>
          <w:sz w:val="21"/>
          <w:highlight w:val="white"/>
          <w14:textFill>
            <w14:solidFill>
              <w14:schemeClr w14:val="tx1"/>
            </w14:solidFill>
          </w14:textFill>
        </w:rPr>
        <w:t xml:space="preserve">并且</w:t>
      </w:r>
      <w:r>
        <w:rPr>
          <w:rFonts w:hint="eastAsia" w:ascii="宋体" w:hAnsi="宋体" w:eastAsia="宋体" w:cs="宋体"/>
          <w:color w:val="000000" w:themeColor="text1"/>
          <w:sz w:val="21"/>
          <w:highlight w:val="white"/>
          <w:lang w:val="en-US" w:eastAsia="zh-CN"/>
          <w14:textFill>
            <w14:solidFill>
              <w14:schemeClr w14:val="tx1"/>
            </w14:solidFill>
          </w14:textFill>
        </w:rPr>
        <w:t xml:space="preserve">验收</w:t>
      </w:r>
      <w:r>
        <w:rPr>
          <w:rFonts w:ascii="宋体" w:hAnsi="宋体" w:eastAsia="宋体" w:cs="宋体"/>
          <w:color w:val="000000" w:themeColor="text1"/>
          <w:sz w:val="21"/>
          <w:highlight w:val="white"/>
          <w14:textFill>
            <w14:solidFill>
              <w14:schemeClr w14:val="tx1"/>
            </w14:solidFill>
          </w14:textFill>
        </w:rPr>
        <w:t xml:space="preserve">合格，交付采购人投入使用</w:t>
      </w:r>
      <w:r>
        <w:rPr>
          <w:rFonts w:hint="eastAsia" w:ascii="宋体" w:hAnsi="宋体" w:cs="宋体"/>
          <w:color w:val="000000" w:themeColor="text1"/>
          <w:sz w:val="21"/>
          <w:highlight w:val="white"/>
          <w:lang w:eastAsia="zh-CN"/>
          <w14:textFill>
            <w14:solidFill>
              <w14:schemeClr w14:val="tx1"/>
            </w14:solidFill>
          </w14:textFill>
        </w:rPr>
        <w:t xml:space="preserve">，</w:t>
      </w:r>
      <w:r>
        <w:rPr>
          <w:rFonts w:hint="eastAsia" w:ascii="宋体" w:hAnsi="宋体" w:cs="宋体"/>
          <w:color w:val="000000" w:themeColor="text1"/>
          <w:sz w:val="21"/>
          <w:highlight w:val="white"/>
          <w:lang w:val="en-US" w:eastAsia="zh-CN"/>
          <w14:textFill>
            <w14:solidFill>
              <w14:schemeClr w14:val="tx1"/>
            </w14:solidFill>
          </w14:textFill>
        </w:rPr>
        <w:t xml:space="preserve">相关的检测、验收费用包含在本次报价中</w:t>
      </w:r>
      <w:r>
        <w:rPr>
          <w:rFonts w:ascii="宋体" w:hAnsi="宋体" w:eastAsia="宋体" w:cs="宋体"/>
          <w:color w:val="000000" w:themeColor="text1"/>
          <w:sz w:val="21"/>
          <w:highlight w:val="white"/>
          <w14:textFill>
            <w14:solidFill>
              <w14:schemeClr w14:val="tx1"/>
            </w14:solidFill>
          </w14:textFill>
        </w:rPr>
        <w:t xml:space="preserve">；有可能夜间施工，计划开工时间以采购人的通知为准；</w:t>
      </w:r>
      <w:r/>
    </w:p>
    <w:p>
      <w:pPr>
        <w:pStyle w:val="690"/>
        <w:keepLines w:val="0"/>
        <w:keepNext w:val="0"/>
        <w:pageBreakBefore w:val="0"/>
        <w:widowControl w:val="off"/>
        <w:rPr>
          <w:rFonts w:hint="eastAsia" w:ascii="宋体" w:hAnsi="宋体" w:eastAsia="宋体" w:cs="宋体"/>
          <w:b w:val="0"/>
          <w:color w:val="ff0000"/>
          <w:sz w:val="21"/>
          <w:szCs w:val="24"/>
          <w:highlight w:val="white"/>
          <w:lang w:val="en-US" w:eastAsia="zh-CN" w:bidi="ar-SA"/>
        </w:rPr>
      </w:pPr>
      <w:r>
        <w:rPr>
          <w:rFonts w:ascii="宋体" w:hAnsi="宋体" w:eastAsia="宋体" w:cs="宋体"/>
          <w:b w:val="0"/>
          <w:bCs/>
          <w:color w:val="000000" w:themeColor="text1"/>
          <w:sz w:val="21"/>
          <w:highlight w:val="white"/>
          <w14:textFill>
            <w14:solidFill>
              <w14:schemeClr w14:val="tx1"/>
            </w14:solidFill>
          </w14:textFill>
        </w:rPr>
        <w:t xml:space="preserve">4、</w:t>
      </w:r>
      <w:r>
        <w:rPr>
          <w:rFonts w:hint="eastAsia" w:ascii="宋体" w:hAnsi="宋体" w:eastAsia="宋体" w:cs="宋体"/>
          <w:b w:val="0"/>
          <w:color w:val="000000" w:themeColor="text1"/>
          <w:sz w:val="21"/>
          <w:szCs w:val="24"/>
          <w:highlight w:val="white"/>
          <w:lang w:val="en-US" w:eastAsia="zh-CN" w:bidi="ar-SA"/>
          <w14:textFill>
            <w14:solidFill>
              <w14:schemeClr w14:val="tx1"/>
            </w14:solidFill>
          </w14:textFill>
        </w:rPr>
        <w:t xml:space="preserve">付款方式：合同签订后，甲方自收到发票之日起10个工作日内支付合同价的30%的预付款；验收结束乙方凭甲方的验收确认单及开具的正规增值税发票等材料交甲方办理尾款付款手续，甲方自收到发票及单据之日起10个工作日内支付货款，若乙方开票不及时或违反合同约定，甲方有权拒付，由此造成的责任和损失由乙方承担。</w:t>
      </w:r>
      <w:r/>
    </w:p>
    <w:p>
      <w:pPr>
        <w:ind w:firstLine="562"/>
        <w:jc w:val="left"/>
        <w:rPr>
          <w:rFonts w:hint="default" w:ascii="方正楷体_GBK" w:hAnsi="方正楷体_GBK" w:eastAsia="方正楷体_GBK" w:cs="方正楷体_GBK"/>
          <w:sz w:val="28"/>
          <w:szCs w:val="28"/>
          <w:vertAlign w:val="baseline"/>
          <w:lang w:val="en-US" w:eastAsia="zh-CN"/>
        </w:rPr>
      </w:pPr>
      <w:r>
        <w:rPr>
          <w:rFonts w:hint="eastAsia" w:ascii="Times New Roman" w:hAnsi="Times New Roman" w:eastAsia="宋体" w:cs="Times New Roman"/>
          <w:b/>
          <w:sz w:val="28"/>
          <w:szCs w:val="28"/>
          <w:lang w:val="en-US" w:eastAsia="zh-CN"/>
        </w:rPr>
        <w:t xml:space="preserve">二、</w:t>
      </w:r>
      <w:r>
        <w:rPr>
          <w:rFonts w:hint="default" w:ascii="宋体" w:hAnsi="宋体" w:eastAsia="宋体" w:cs="宋体"/>
          <w:b/>
          <w:color w:val="000000"/>
          <w:sz w:val="21"/>
          <w:highlight w:val="white"/>
        </w:rPr>
        <w:t xml:space="preserve">技术特点</w:t>
      </w:r>
      <w:r>
        <w:rPr>
          <w:rFonts w:hint="default" w:ascii="宋体" w:hAnsi="宋体" w:eastAsia="宋体" w:cs="宋体"/>
          <w:b/>
          <w:color w:val="000000"/>
          <w:sz w:val="21"/>
          <w:highlight w:val="white"/>
          <w:lang w:val="en-US" w:eastAsia="zh-CN"/>
        </w:rPr>
        <w:t xml:space="preserve">和</w:t>
      </w:r>
      <w:r>
        <w:rPr>
          <w:rFonts w:hint="default" w:ascii="宋体" w:hAnsi="宋体" w:eastAsia="宋体" w:cs="宋体"/>
          <w:b/>
          <w:color w:val="000000"/>
          <w:sz w:val="21"/>
          <w:highlight w:val="white"/>
        </w:rPr>
        <w:t xml:space="preserve">性能</w:t>
      </w:r>
      <w:r/>
    </w:p>
    <w:p>
      <w:pPr>
        <w:ind w:left="0" w:right="0" w:firstLine="420"/>
        <w:jc w:val="both"/>
        <w:spacing w:before="0" w:after="0" w:line="85" w:lineRule="atLeast"/>
        <w:rPr>
          <w:rFonts w:hint="eastAsia" w:ascii="宋体" w:hAnsi="宋体" w:eastAsia="宋体" w:cs="宋体"/>
          <w:b w:val="0"/>
          <w:color w:val="000000"/>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szCs w:val="22"/>
          <w:lang w:val="en-US" w:eastAsia="zh-CN" w:bidi="ar-SA"/>
        </w:rPr>
        <w:t xml:space="preserve">1.一体化装配式模块化结构，灵活可迁移。献血屋采用整体装配式建造工艺，可根据场地条件整体吊装或现场拼装；整体为模块化定制框架，结构稳定、保温防潮性能优异，后期可根据城市规划调整场地，整体转移复用，适配城市动态规划需求。</w:t>
      </w:r>
      <w:r/>
    </w:p>
    <w:p>
      <w:pPr>
        <w:ind w:left="0" w:right="0" w:firstLine="420"/>
        <w:jc w:val="both"/>
        <w:spacing w:before="0" w:after="0" w:line="85" w:lineRule="atLeast"/>
        <w:rPr>
          <w:rFonts w:hint="eastAsia" w:ascii="宋体" w:hAnsi="宋体" w:eastAsia="宋体" w:cs="宋体"/>
          <w:b w:val="0"/>
          <w:color w:val="000000"/>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szCs w:val="22"/>
          <w:lang w:val="en-US" w:eastAsia="zh-CN" w:bidi="ar-SA"/>
        </w:rPr>
        <w:t xml:space="preserve">2.一体化收纳空间设计，功能分区清晰。结合采血全流程统筹规划收纳系统，收纳柜体与隔墙、吊顶一体化集成，合理划分登记、初筛、采血、休憩、物资恒温储存、宣教培训、员工办公学习等独立功能区域，空间利用率高，满足全血、成分血同步采集作业需求。</w:t>
      </w:r>
      <w:r/>
    </w:p>
    <w:p>
      <w:pPr>
        <w:ind w:left="0" w:right="0" w:firstLine="420"/>
        <w:jc w:val="both"/>
        <w:spacing w:before="0" w:after="0" w:line="85" w:lineRule="atLeast"/>
        <w:rPr>
          <w:rFonts w:hint="eastAsia" w:ascii="宋体" w:hAnsi="宋体" w:eastAsia="宋体" w:cs="宋体"/>
          <w:b w:val="0"/>
          <w:color w:val="000000"/>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szCs w:val="22"/>
          <w:lang w:val="en-US" w:eastAsia="zh-CN" w:bidi="ar-SA"/>
        </w:rPr>
        <w:t xml:space="preserve">3.本项目为双层定制款献血屋，尺寸长 15m、宽 6.5m、高 7.5m，占地约 97㎡；配套恒温恒湿、新风、空气消毒、智慧宣教，兼顾专业医疗操作与群众舒适体验。</w:t>
      </w:r>
      <w:r/>
    </w:p>
    <w:p>
      <w:pPr>
        <w:ind w:left="0" w:right="0" w:firstLine="420"/>
        <w:jc w:val="both"/>
        <w:spacing w:before="0" w:after="0" w:line="85" w:lineRule="atLeast"/>
        <w:rPr>
          <w:rFonts w:hint="eastAsia" w:ascii="宋体" w:hAnsi="宋体" w:eastAsia="宋体" w:cs="宋体"/>
          <w:b w:val="0"/>
          <w:color w:val="000000"/>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szCs w:val="22"/>
          <w:lang w:val="en-US" w:eastAsia="zh-CN" w:bidi="ar-SA"/>
        </w:rPr>
        <w:t xml:space="preserve">4.完全符合国家行业标准规范整体设计、空间布局、设施配置、消毒隔离条件严格遵循（WS/T401-2023），满足采血操作、消防、环境卫生全部硬性要求，采血环境安全合规。</w:t>
      </w:r>
      <w:r/>
    </w:p>
    <w:p>
      <w:pPr>
        <w:ind w:left="0" w:right="0" w:firstLine="420"/>
        <w:jc w:val="both"/>
        <w:spacing w:before="0" w:after="0" w:line="85" w:lineRule="atLeast"/>
        <w:rPr>
          <w:rFonts w:hint="eastAsia" w:ascii="宋体" w:hAnsi="宋体" w:eastAsia="宋体" w:cs="宋体"/>
          <w:b w:val="0"/>
          <w:color w:val="000000"/>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szCs w:val="22"/>
          <w:lang w:val="en-US" w:eastAsia="zh-CN" w:bidi="ar-SA"/>
        </w:rPr>
        <w:t xml:space="preserve">5.外观一体化设计，适配城市风貌，外立面统一公益视觉设计，亮化标识醒目，户外公益宣传大屏，兼顾城市市容美观与无偿献血宣传功能。</w:t>
      </w:r>
      <w:r/>
    </w:p>
    <w:p>
      <w:r>
        <w:t xml:space="preserve">献血屋外观设计基础要求</w:t>
      </w:r>
      <w:r/>
    </w:p>
    <w:p>
      <w:r>
        <w:t xml:space="preserve"> </w:t>
      </w:r>
      <w:r/>
    </w:p>
    <w:p>
      <w:pPr>
        <w:ind w:firstLine="420"/>
      </w:pPr>
      <w:r>
        <w:rPr>
          <w:rFonts w:hint="eastAsia"/>
          <w:lang w:val="en-US" w:eastAsia="zh-CN"/>
        </w:rPr>
        <w:t xml:space="preserve">6.1</w:t>
      </w:r>
      <w:r>
        <w:t xml:space="preserve">外观结构参考示意图</w:t>
      </w:r>
      <w:r/>
    </w:p>
    <w:p>
      <w:r>
        <w:t xml:space="preserve"> </w:t>
      </w:r>
      <w:r/>
    </w:p>
    <w:p>
      <w:pPr>
        <w:ind w:firstLine="420"/>
      </w:pPr>
      <w:r>
        <w:t xml:space="preserve">本次招标文件附献血屋外观结构示意图共2张，该图纸仅作为项目外观体量、基本结构形式的参考依据，不作为最终设计与施工的硬性要求。各投标单位可结合自身技术优势与项目实际需求，提供更优化的外观及结构方案；本项目最终外观效果、结构形式均以甲方书面确认的方案为准。</w:t>
      </w:r>
      <w:r/>
    </w:p>
    <w:p>
      <w:r>
        <w:rPr>
          <w:rFonts w:hint="eastAsia" w:eastAsia="宋体"/>
          <w:lang w:eastAsia="zh-CN"/>
        </w:rPr>
        <mc:AlternateContent>
          <mc:Choice Requires="wpg">
            <w:drawing>
              <wp:inline xmlns:wp="http://schemas.openxmlformats.org/drawingml/2006/wordprocessingDrawing" distT="0" distB="0" distL="0" distR="0">
                <wp:extent cx="5274310" cy="2844800"/>
                <wp:effectExtent l="0" t="0" r="2540" b="12700"/>
                <wp:docPr id="1" name="图片 1" descr="微信图片_20260917095918_178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60917095918_178_2"/>
                        <pic:cNvPicPr>
                          <a:picLocks noChangeAspect="1"/>
                        </pic:cNvPicPr>
                        <pic:nvPr/>
                      </pic:nvPicPr>
                      <pic:blipFill>
                        <a:blip r:embed="rId11"/>
                        <a:stretch/>
                      </pic:blipFill>
                      <pic:spPr bwMode="auto">
                        <a:xfrm>
                          <a:off x="0" y="0"/>
                          <a:ext cx="5274310" cy="28448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224.0pt;mso-wrap-distance-left:0.0pt;mso-wrap-distance-top:0.0pt;mso-wrap-distance-right:0.0pt;mso-wrap-distance-bottom:0.0pt;" stroked="false">
                <v:path textboxrect="0,0,0,0"/>
                <v:imagedata r:id="rId11" o:title=""/>
              </v:shape>
            </w:pict>
          </mc:Fallback>
        </mc:AlternateContent>
      </w:r>
      <w:r>
        <w:rPr>
          <w:rFonts w:hint="eastAsia" w:eastAsia="宋体"/>
          <w:lang w:eastAsia="zh-CN"/>
        </w:rPr>
        <mc:AlternateContent>
          <mc:Choice Requires="wpg">
            <w:drawing>
              <wp:inline xmlns:wp="http://schemas.openxmlformats.org/drawingml/2006/wordprocessingDrawing" distT="0" distB="0" distL="0" distR="0">
                <wp:extent cx="5248275" cy="2990850"/>
                <wp:effectExtent l="0" t="0" r="9525" b="6350"/>
                <wp:docPr id="2" name="图片 18" descr="微信图片_20260917095919_179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8" descr="微信图片_20260917095919_179_2"/>
                        <pic:cNvPicPr>
                          <a:picLocks noChangeAspect="1"/>
                        </pic:cNvPicPr>
                        <pic:nvPr/>
                      </pic:nvPicPr>
                      <pic:blipFill>
                        <a:blip r:embed="rId12"/>
                        <a:stretch/>
                      </pic:blipFill>
                      <pic:spPr bwMode="auto">
                        <a:xfrm>
                          <a:off x="0" y="0"/>
                          <a:ext cx="5248275" cy="29908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3.2pt;height:235.5pt;mso-wrap-distance-left:0.0pt;mso-wrap-distance-top:0.0pt;mso-wrap-distance-right:0.0pt;mso-wrap-distance-bottom:0.0pt;" stroked="false">
                <v:path textboxrect="0,0,0,0"/>
                <v:imagedata r:id="rId12" o:title=""/>
              </v:shape>
            </w:pict>
          </mc:Fallback>
        </mc:AlternateContent>
      </w:r>
      <w:r/>
    </w:p>
    <w:p>
      <w:pPr>
        <w:ind w:firstLine="420"/>
      </w:pPr>
      <w:r>
        <w:rPr>
          <w:rFonts w:hint="eastAsia"/>
          <w:lang w:val="en-US" w:eastAsia="zh-CN"/>
        </w:rPr>
        <w:t xml:space="preserve">6.2</w:t>
      </w:r>
      <w:r>
        <w:t xml:space="preserve">设计总体要求</w:t>
      </w:r>
      <w:r/>
    </w:p>
    <w:p>
      <w:r>
        <w:t xml:space="preserve"> </w:t>
      </w:r>
      <w:r/>
    </w:p>
    <w:p>
      <w:r>
        <w:t xml:space="preserve">1. 地域文化特色：外观设计应融入江都地域文化元素，彰显地方文化内涵，与周边城市环境风貌相协调。</w:t>
      </w:r>
      <w:r/>
    </w:p>
    <w:p>
      <w:r>
        <w:t xml:space="preserve">​</w:t>
      </w:r>
      <w:r/>
    </w:p>
    <w:p>
      <w:r>
        <w:t xml:space="preserve">2. 行业形象体现：设计需贴合无偿献血公益属性，体现扬州市中心血站的服务定位与行业特色，整体风格温馨庄重、标识清晰、辨识度高。</w:t>
      </w:r>
      <w:r/>
    </w:p>
    <w:p>
      <w:r>
        <w:t xml:space="preserve">​</w:t>
      </w:r>
      <w:r/>
    </w:p>
    <w:p>
      <w:pPr>
        <w:rPr>
          <w:lang w:val="en-US" w:eastAsia="zh-CN"/>
        </w:rPr>
      </w:pPr>
      <w:r>
        <w:t xml:space="preserve">3. </w:t>
      </w:r>
      <w:r>
        <w:rPr>
          <w:i/>
          <w:iCs/>
          <w:u w:val="single"/>
        </w:rPr>
        <w:t xml:space="preserve">方案确认机制：本项目最终外观设计方案须经甲方书面确认后，方可开展后续生产及施工工作。</w:t>
      </w:r>
      <w:r/>
    </w:p>
    <w:p>
      <w:pPr>
        <w:ind w:firstLine="562"/>
        <w:jc w:val="left"/>
        <w:rPr>
          <w:rFonts w:hint="default" w:ascii="宋体" w:hAnsi="宋体" w:eastAsia="宋体" w:cs="宋体"/>
          <w:b/>
          <w:color w:val="000000"/>
          <w:sz w:val="21"/>
          <w:highlight w:val="white"/>
          <w:lang w:val="en-US" w:eastAsia="zh-CN"/>
        </w:rPr>
      </w:pPr>
      <w:r>
        <w:rPr>
          <w:rFonts w:hint="eastAsia" w:ascii="Times New Roman" w:hAnsi="Times New Roman" w:eastAsia="宋体" w:cs="Times New Roman"/>
          <w:b/>
          <w:sz w:val="28"/>
          <w:szCs w:val="28"/>
          <w:lang w:val="en-US" w:eastAsia="zh-CN"/>
        </w:rPr>
        <w:t xml:space="preserve">三、</w:t>
      </w:r>
      <w:r>
        <w:rPr>
          <w:rFonts w:hint="eastAsia" w:ascii="宋体" w:hAnsi="宋体" w:eastAsia="宋体" w:cs="宋体"/>
          <w:b/>
          <w:color w:val="000000"/>
          <w:sz w:val="21"/>
          <w:highlight w:val="white"/>
          <w:lang w:val="en-US" w:eastAsia="zh-CN"/>
        </w:rPr>
        <w:t xml:space="preserve">建设过程要求</w:t>
      </w:r>
      <w:r/>
    </w:p>
    <w:p>
      <w:pPr>
        <w:ind w:left="0" w:right="0" w:firstLine="420"/>
        <w:jc w:val="both"/>
        <w:spacing w:before="0" w:after="0" w:line="85" w:lineRule="atLeast"/>
        <w:rPr>
          <w:rFonts w:hint="eastAsia" w:ascii="宋体" w:hAnsi="宋体" w:eastAsia="宋体" w:cs="宋体"/>
          <w:color w:val="000000"/>
          <w:sz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white"/>
          <w:lang w:val="en-US" w:eastAsia="zh-CN"/>
        </w:rPr>
        <w:t xml:space="preserve">1.外立面及总平面设计方案需报甲方。</w:t>
      </w:r>
      <w:r/>
    </w:p>
    <w:p>
      <w:pPr>
        <w:ind w:left="0" w:right="0" w:firstLine="420"/>
        <w:jc w:val="both"/>
        <w:spacing w:before="0" w:after="0" w:line="85" w:lineRule="atLeast"/>
        <w:rPr>
          <w:rFonts w:hint="eastAsia" w:ascii="宋体" w:hAnsi="宋体" w:eastAsia="宋体" w:cs="宋体"/>
          <w:color w:val="000000"/>
          <w:sz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white"/>
          <w:lang w:val="en-US" w:eastAsia="zh-CN"/>
        </w:rPr>
        <w:t xml:space="preserve">2.献血屋平面布置图纸，内部自审存档，以备抽查。</w:t>
      </w:r>
      <w:r/>
    </w:p>
    <w:p>
      <w:pPr>
        <w:ind w:left="0" w:right="0" w:firstLine="420"/>
        <w:jc w:val="both"/>
        <w:spacing w:before="0" w:after="0" w:line="85" w:lineRule="atLeast"/>
        <w:rPr>
          <w:rFonts w:hint="eastAsia" w:ascii="宋体" w:hAnsi="宋体" w:eastAsia="宋体" w:cs="宋体"/>
          <w:color w:val="000000"/>
          <w:sz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white"/>
          <w:lang w:val="en-US" w:eastAsia="zh-CN"/>
        </w:rPr>
        <w:t xml:space="preserve">3.涉及医疗净化、消毒通风专项，可组织卫健专家对平面功能布局进行技术预审。</w:t>
      </w:r>
      <w:r/>
    </w:p>
    <w:p>
      <w:pPr>
        <w:ind w:left="0" w:right="0" w:firstLine="420"/>
        <w:jc w:val="both"/>
        <w:spacing w:before="0" w:after="0" w:line="85" w:lineRule="atLeast"/>
        <w:rPr>
          <w:rFonts w:hint="eastAsia" w:ascii="宋体" w:hAnsi="宋体" w:eastAsia="宋体" w:cs="宋体"/>
          <w:color w:val="000000"/>
          <w:sz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white"/>
          <w:lang w:val="en-US" w:eastAsia="zh-CN"/>
        </w:rPr>
        <w:t xml:space="preserve">4.工期60天，竣工后工程全套资料归档。</w:t>
      </w:r>
      <w:r/>
    </w:p>
    <w:p>
      <w:pPr>
        <w:ind w:left="0" w:right="0" w:firstLine="420"/>
        <w:jc w:val="both"/>
        <w:spacing w:before="0" w:after="0" w:line="85" w:lineRule="atLeast"/>
        <w:rPr>
          <w:rFonts w:hint="eastAsia" w:ascii="宋体" w:hAnsi="宋体" w:eastAsia="宋体" w:cs="宋体"/>
          <w:color w:val="000000"/>
          <w:sz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white"/>
          <w:lang w:val="en-US" w:eastAsia="zh-CN"/>
        </w:rPr>
        <w:t xml:space="preserve">5.其他事项</w:t>
      </w:r>
      <w:r/>
    </w:p>
    <w:p>
      <w:pPr>
        <w:ind w:left="0" w:right="0" w:firstLine="420"/>
        <w:jc w:val="both"/>
        <w:spacing w:before="0" w:after="0" w:line="85" w:lineRule="atLeast"/>
        <w:rPr>
          <w:rFonts w:hint="eastAsia" w:ascii="宋体" w:hAnsi="宋体" w:eastAsia="宋体" w:cs="宋体"/>
          <w:color w:val="000000"/>
          <w:sz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white"/>
          <w:lang w:val="en-US" w:eastAsia="zh-CN"/>
        </w:rPr>
        <w:t xml:space="preserve">（1）.前期献血屋的设计方案和风格应经江都区卫健委审核通过；</w:t>
      </w:r>
      <w:r/>
    </w:p>
    <w:p>
      <w:pPr>
        <w:ind w:left="0" w:right="0" w:firstLine="420"/>
        <w:jc w:val="both"/>
        <w:spacing w:before="0" w:after="0" w:line="85" w:lineRule="atLeast"/>
        <w:rPr>
          <w:rFonts w:hint="eastAsia" w:ascii="宋体" w:hAnsi="宋体" w:eastAsia="宋体" w:cs="宋体"/>
          <w:color w:val="000000"/>
          <w:sz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white"/>
          <w:lang w:val="en-US" w:eastAsia="zh-CN"/>
        </w:rPr>
        <w:t xml:space="preserve">（2）.献血屋选址区域应进行地面根基夯实和平整，防止地基下沉和潮湿腐烂；</w:t>
      </w:r>
      <w:r/>
    </w:p>
    <w:p>
      <w:pPr>
        <w:ind w:left="0" w:right="0" w:firstLine="420"/>
        <w:jc w:val="both"/>
        <w:spacing w:before="0" w:after="0" w:line="85" w:lineRule="atLeast"/>
        <w:rPr>
          <w:rFonts w:hint="eastAsia" w:ascii="宋体" w:hAnsi="宋体" w:eastAsia="宋体" w:cs="宋体"/>
          <w:color w:val="000000"/>
          <w:sz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white"/>
          <w:lang w:val="en-US" w:eastAsia="zh-CN"/>
        </w:rPr>
        <w:t xml:space="preserve">（3）.安装过程要考虑避开周边名贵树木，尽量拼装；</w:t>
      </w:r>
      <w:r/>
    </w:p>
    <w:p>
      <w:pPr>
        <w:ind w:left="0" w:right="0" w:firstLine="420"/>
        <w:jc w:val="both"/>
        <w:spacing w:before="0" w:after="0" w:line="85" w:lineRule="atLeast"/>
        <w:rPr>
          <w:rFonts w:hint="eastAsia" w:ascii="宋体" w:hAnsi="宋体" w:eastAsia="宋体" w:cs="宋体"/>
          <w:color w:val="000000"/>
          <w:sz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white"/>
          <w:lang w:val="en-US" w:eastAsia="zh-CN"/>
        </w:rPr>
        <w:t xml:space="preserve">（4）.在城市中心广场施工要考虑城管部门审批和减少噪音影响；</w:t>
      </w:r>
      <w:r/>
    </w:p>
    <w:p>
      <w:pPr>
        <w:ind w:left="0" w:right="0" w:firstLine="420"/>
        <w:jc w:val="both"/>
        <w:spacing w:before="0" w:after="0" w:line="85" w:lineRule="atLeast"/>
        <w:rPr>
          <w:rFonts w:hint="default" w:ascii="宋体" w:hAnsi="宋体" w:eastAsia="宋体" w:cs="宋体"/>
          <w:color w:val="000000"/>
          <w:sz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white"/>
          <w:lang w:val="en-US" w:eastAsia="zh-CN"/>
        </w:rPr>
        <w:t xml:space="preserve">（5）.本次献血屋建设地块归属区土地储备中心，地块存在后期收储、规划调整、点位搬迁风险。若后期需迁移献血屋，要求生产厂家配套一次完整免费拆装搬迁服务</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拆装吊装范围在30公里以内</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sz w:val="21"/>
          <w:highlight w:val="white"/>
          <w:lang w:val="en-US" w:eastAsia="zh-CN"/>
        </w:rPr>
        <w:t xml:space="preserve">，实现献血屋异地复用，提升装配式献血屋资产使用效率，所有费用包含在本次报价中。新场地混凝土基础、坡道、市政管网开口接入费用，该部分由甲方另行实施。</w:t>
      </w:r>
      <w:r/>
    </w:p>
    <w:p>
      <w:pPr>
        <w:pStyle w:val="719"/>
      </w:pPr>
      <w:r/>
      <w:r/>
    </w:p>
    <w:p>
      <w:pPr>
        <w:numPr>
          <w:ilvl w:val="0"/>
          <w:numId w:val="2"/>
        </w:numPr>
        <w:ind w:left="525" w:firstLine="0"/>
        <w:rPr>
          <w:rFonts w:hint="eastAsia"/>
        </w:rPr>
      </w:pPr>
      <w:r>
        <w:rPr>
          <w:rFonts w:hint="eastAsia" w:ascii="宋体" w:hAnsi="宋体" w:eastAsia="宋体" w:cs="宋体"/>
          <w:b/>
          <w:color w:val="000000"/>
          <w:sz w:val="21"/>
          <w:highlight w:val="white"/>
          <w:lang w:val="en-US" w:eastAsia="zh-CN"/>
        </w:rPr>
        <w:t xml:space="preserve">技术参数  </w:t>
      </w:r>
      <w:r>
        <w:rPr>
          <w:rFonts w:hint="eastAsia"/>
        </w:rPr>
        <w:t xml:space="preserve">    </w:t>
      </w:r>
      <w:r/>
    </w:p>
    <w:p>
      <w:pPr>
        <w:numPr>
          <w:ilvl w:val="0"/>
          <w:numId w:val="0"/>
        </w:numPr>
        <w:rPr>
          <w:rFonts w:hint="eastAsia"/>
        </w:rPr>
      </w:pPr>
      <w:r>
        <w:rPr>
          <w:rFonts w:hint="eastAsia"/>
        </w:rPr>
      </w:r>
      <w:r/>
    </w:p>
    <w:tbl>
      <w:tblPr>
        <w:tblStyle w:val="683"/>
        <w:tblpPr w:horzAnchor="page" w:tblpX="1905" w:vertAnchor="text" w:tblpY="273" w:leftFromText="180" w:topFromText="0" w:rightFromText="180" w:bottomFromText="0"/>
        <w:tblW w:w="9013" w:type="dxa"/>
        <w:tblInd w:w="0" w:type="dxa"/>
        <w:tblLayout w:type="fixed"/>
        <w:tblCellMar>
          <w:left w:w="108" w:type="dxa"/>
          <w:top w:w="0" w:type="dxa"/>
          <w:right w:w="108" w:type="dxa"/>
          <w:bottom w:w="0" w:type="dxa"/>
        </w:tblCellMar>
        <w:tblLook w:val="04A0" w:firstRow="1" w:lastRow="0" w:firstColumn="1" w:lastColumn="0" w:noHBand="0" w:noVBand="1"/>
      </w:tblPr>
      <w:tblGrid>
        <w:gridCol w:w="713"/>
        <w:gridCol w:w="1156"/>
        <w:gridCol w:w="6257"/>
        <w:gridCol w:w="887"/>
      </w:tblGrid>
      <w:tr>
        <w:trPr>
          <w:trHeight w:val="683"/>
        </w:trPr>
        <w:tc>
          <w:tcPr>
            <w:tcBorders>
              <w:top w:val="single" w:color="000000" w:sz="8"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序号</w:t>
            </w:r>
            <w:r/>
          </w:p>
        </w:tc>
        <w:tc>
          <w:tcPr>
            <w:tcBorders>
              <w:top w:val="single" w:color="000000" w:sz="8" w:space="0"/>
              <w:left w:val="single" w:color="000000" w:sz="6" w:space="0"/>
              <w:bottom w:val="single" w:color="000000" w:sz="6" w:space="0"/>
              <w:right w:val="single" w:color="000000" w:sz="6" w:space="0"/>
            </w:tcBorders>
            <w:tcW w:w="1156" w:type="dxa"/>
            <w:vAlign w:val="center"/>
            <w:textDirection w:val="lrTb"/>
            <w:noWrap/>
          </w:tcPr>
          <w:p>
            <w:pPr>
              <w:jc w:val="center"/>
              <w:spacing w:line="360" w:lineRule="auto"/>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名称</w:t>
            </w:r>
            <w:r/>
          </w:p>
        </w:tc>
        <w:tc>
          <w:tcPr>
            <w:tcBorders>
              <w:top w:val="single" w:color="000000" w:sz="8" w:space="0"/>
              <w:left w:val="single" w:color="000000" w:sz="6" w:space="0"/>
              <w:bottom w:val="single" w:color="000000" w:sz="6" w:space="0"/>
              <w:right w:val="single" w:color="000000" w:sz="6" w:space="0"/>
            </w:tcBorders>
            <w:tcW w:w="6257" w:type="dxa"/>
            <w:vAlign w:val="center"/>
            <w:textDirection w:val="lrTb"/>
            <w:noWrap/>
          </w:tcPr>
          <w:p>
            <w:pPr>
              <w:jc w:val="center"/>
              <w:spacing w:line="360" w:lineRule="auto"/>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技术要求及配置</w:t>
            </w:r>
            <w:r/>
          </w:p>
        </w:tc>
        <w:tc>
          <w:tcPr>
            <w:tcBorders>
              <w:top w:val="single" w:color="000000" w:sz="8"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数量</w:t>
            </w:r>
            <w:r/>
          </w:p>
        </w:tc>
      </w:tr>
      <w:tr>
        <w:trPr>
          <w:trHeight w:val="525"/>
        </w:trPr>
        <w:tc>
          <w:tcPr>
            <w:tcBorders>
              <w:top w:val="single" w:color="000000" w:sz="6" w:space="0"/>
              <w:left w:val="single" w:color="000000" w:sz="8" w:space="0"/>
              <w:right w:val="single" w:color="000000" w:sz="6" w:space="0"/>
            </w:tcBorders>
            <w:tcW w:w="713" w:type="dxa"/>
            <w:vAlign w:val="center"/>
            <w:vMerge w:val="restart"/>
            <w:textDirection w:val="lrTb"/>
            <w:noWrap/>
          </w:tcPr>
          <w:p>
            <w:pPr>
              <w:jc w:val="cente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r/>
          </w:p>
        </w:tc>
        <w:tc>
          <w:tcPr>
            <w:tcBorders>
              <w:top w:val="single" w:color="000000" w:sz="6" w:space="0"/>
              <w:left w:val="single" w:color="000000" w:sz="6" w:space="0"/>
              <w:right w:val="single" w:color="000000" w:sz="6" w:space="0"/>
            </w:tcBorders>
            <w:tcW w:w="1156" w:type="dxa"/>
            <w:vAlign w:val="center"/>
            <w:vMerge w:val="restart"/>
            <w:textDirection w:val="lrTb"/>
            <w:noWrap/>
          </w:tcPr>
          <w:p>
            <w:pPr>
              <w:jc w:val="left"/>
              <w:spacing w:line="360" w:lineRule="auto"/>
              <w:rPr>
                <w:rFonts w:hint="eastAsia" w:ascii="宋体" w:hAnsi="宋体" w:eastAsia="宋体" w:cs="宋体"/>
                <w:color w:val="auto"/>
                <w:sz w:val="21"/>
                <w:szCs w:val="21"/>
                <w:highlight w:val="none"/>
              </w:rPr>
              <w:outlineLvl w:val="0"/>
            </w:pPr>
            <w:r/>
            <w:bookmarkStart w:id="0" w:name="OLE_LINK48"/>
            <w:r>
              <w:rPr>
                <w:rFonts w:hint="eastAsia" w:ascii="宋体" w:hAnsi="宋体" w:eastAsia="宋体" w:cs="宋体"/>
                <w:color w:val="auto"/>
                <w:sz w:val="21"/>
                <w:szCs w:val="21"/>
                <w:highlight w:val="none"/>
              </w:rPr>
              <w:t xml:space="preserve">屋体结构及外观造型</w:t>
            </w:r>
            <w:bookmarkEnd w:id="0"/>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rPr>
              <w:t xml:space="preserve">1.</w:t>
            </w:r>
            <w:r>
              <w:rPr>
                <w:rFonts w:hint="eastAsia" w:ascii="宋体" w:hAnsi="宋体" w:cs="宋体"/>
                <w:color w:val="auto"/>
                <w:sz w:val="21"/>
                <w:szCs w:val="21"/>
                <w:highlight w:val="none"/>
                <w:lang w:val="en-US" w:eastAsia="zh-CN"/>
              </w:rPr>
              <w:t xml:space="preserve">献血屋主体结构：</w:t>
            </w:r>
            <w:r>
              <w:rPr>
                <w:rFonts w:hint="eastAsia" w:ascii="宋体" w:hAnsi="宋体" w:eastAsia="宋体" w:cs="宋体"/>
                <w:color w:val="auto"/>
                <w:sz w:val="21"/>
                <w:szCs w:val="21"/>
                <w:highlight w:val="none"/>
              </w:rPr>
              <w:t xml:space="preserve">双层屋体</w:t>
            </w:r>
            <w:r>
              <w:rPr>
                <w:rFonts w:hint="eastAsia" w:ascii="宋体" w:hAnsi="宋体" w:cs="宋体"/>
                <w:color w:val="auto"/>
                <w:sz w:val="21"/>
                <w:szCs w:val="21"/>
                <w:highlight w:val="none"/>
                <w:lang w:eastAsia="zh-CN"/>
              </w:rPr>
              <w:t xml:space="preserve">。</w:t>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highlight w:val="none"/>
              </w:rPr>
              <w:t xml:space="preserve">外廓尺寸：长度≥15</w:t>
            </w:r>
            <w:r>
              <w:rPr>
                <w:rFonts w:hint="eastAsia" w:ascii="宋体" w:hAnsi="宋体" w:cs="宋体"/>
                <w:color w:val="auto"/>
                <w:sz w:val="21"/>
                <w:szCs w:val="21"/>
                <w:highlight w:val="none"/>
                <w:lang w:val="en-US" w:eastAsia="zh-CN"/>
              </w:rPr>
              <w:t xml:space="preserve">000mm</w:t>
            </w:r>
            <w:r>
              <w:rPr>
                <w:rFonts w:hint="eastAsia" w:ascii="宋体" w:hAnsi="宋体" w:eastAsia="宋体" w:cs="宋体"/>
                <w:color w:val="auto"/>
                <w:sz w:val="21"/>
                <w:szCs w:val="21"/>
                <w:highlight w:val="none"/>
              </w:rPr>
              <w:t xml:space="preserve">、宽度≥65</w:t>
            </w:r>
            <w:r>
              <w:rPr>
                <w:rFonts w:hint="eastAsia" w:ascii="宋体" w:hAnsi="宋体" w:cs="宋体"/>
                <w:color w:val="auto"/>
                <w:sz w:val="21"/>
                <w:szCs w:val="21"/>
                <w:highlight w:val="none"/>
                <w:lang w:val="en-US" w:eastAsia="zh-CN"/>
              </w:rPr>
              <w:t xml:space="preserve">00mm</w:t>
            </w:r>
            <w:r>
              <w:rPr>
                <w:rFonts w:hint="eastAsia" w:ascii="宋体" w:hAnsi="宋体" w:eastAsia="宋体" w:cs="宋体"/>
                <w:color w:val="auto"/>
                <w:sz w:val="21"/>
                <w:szCs w:val="21"/>
                <w:highlight w:val="none"/>
              </w:rPr>
              <w:t xml:space="preserve">、高≥7</w:t>
            </w:r>
            <w:r>
              <w:rPr>
                <w:rFonts w:hint="eastAsia" w:ascii="宋体" w:hAnsi="宋体" w:cs="宋体"/>
                <w:color w:val="auto"/>
                <w:sz w:val="21"/>
                <w:szCs w:val="21"/>
                <w:highlight w:val="none"/>
                <w:lang w:val="en-US" w:eastAsia="zh-CN"/>
              </w:rPr>
              <w:t xml:space="preserve">000mm</w:t>
            </w:r>
            <w:r>
              <w:rPr>
                <w:rFonts w:hint="eastAsia" w:ascii="宋体" w:hAnsi="宋体" w:eastAsia="宋体" w:cs="宋体"/>
                <w:color w:val="auto"/>
                <w:sz w:val="21"/>
                <w:szCs w:val="21"/>
                <w:highlight w:val="none"/>
              </w:rPr>
              <w:t xml:space="preserve">；单层面积≥97</w:t>
            </w:r>
            <w:r>
              <w:rPr>
                <w:rFonts w:hint="eastAsia" w:ascii="宋体" w:hAnsi="宋体" w:cs="宋体"/>
                <w:color w:val="auto"/>
                <w:sz w:val="21"/>
                <w:szCs w:val="21"/>
                <w:highlight w:val="none"/>
                <w:lang w:val="en-US" w:eastAsia="zh-CN"/>
              </w:rPr>
              <w:t xml:space="preserve">m</w:t>
            </w:r>
            <w:r>
              <w:rPr>
                <w:rFonts w:hint="eastAsia" w:ascii="宋体" w:hAnsi="宋体" w:cs="宋体"/>
                <w:color w:val="auto"/>
                <w:sz w:val="21"/>
                <w:szCs w:val="21"/>
                <w:highlight w:val="none"/>
                <w:vertAlign w:val="superscript"/>
                <w:lang w:val="en-US" w:eastAsia="zh-CN"/>
              </w:rPr>
              <w:t xml:space="preserve">2</w:t>
            </w:r>
            <w:r>
              <w:rPr>
                <w:rFonts w:hint="eastAsia" w:ascii="宋体" w:hAnsi="宋体" w:eastAsia="宋体" w:cs="宋体"/>
                <w:color w:val="auto"/>
                <w:sz w:val="21"/>
                <w:szCs w:val="21"/>
                <w:highlight w:val="none"/>
              </w:rPr>
              <w:t xml:space="preserve">。</w:t>
            </w:r>
            <w:r/>
          </w:p>
          <w:p>
            <w:pPr>
              <w:numPr>
                <w:ilvl w:val="0"/>
                <w:numId w:val="0"/>
              </w:num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3.献血屋结构设计应符合GB50009、GB50011等现行国家规范，抗震设防烈度不低于7度；结构风荷载按不低于气象10级风对应的荷载进行设计。</w:t>
            </w:r>
            <w:r>
              <w:rPr>
                <w:rFonts w:hint="eastAsia" w:ascii="宋体" w:hAnsi="宋体" w:eastAsia="宋体" w:cs="宋体"/>
                <w:color w:val="000000" w:themeColor="text1"/>
                <w:sz w:val="21"/>
                <w:szCs w:val="21"/>
                <w:highlight w:val="none"/>
                <w14:textFill>
                  <w14:solidFill>
                    <w14:schemeClr w14:val="tx1"/>
                  </w14:solidFill>
                </w14:textFill>
              </w:rPr>
              <w:t xml:space="preserve">外观设计要求屋体与现场周边环境协调。外观效果需甲方确认后方可施工。</w:t>
            </w:r>
            <w:r/>
          </w:p>
          <w:p>
            <w:pPr>
              <w:numPr>
                <w:ilvl w:val="0"/>
                <w:numId w:val="0"/>
              </w:num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屋体整体</w:t>
            </w:r>
            <w:r>
              <w:rPr>
                <w:rFonts w:hint="eastAsia" w:ascii="宋体" w:hAnsi="宋体" w:eastAsia="宋体" w:cs="宋体"/>
                <w:color w:val="000000" w:themeColor="text1"/>
                <w:szCs w:val="21"/>
                <w14:textFill>
                  <w14:solidFill>
                    <w14:schemeClr w14:val="tx1"/>
                  </w14:solidFill>
                </w14:textFill>
              </w:rPr>
              <w:t xml:space="preserve">主框架采用壁厚≥6mm、辅助框架采用壁厚≥3mm 的Q235热镀锌钢矩/方管材料、采用整体焊接结构，要求4体拼接，可拆分，结构安全可靠、刚度好、多次拼拆不</w:t>
            </w:r>
            <w:r>
              <w:rPr>
                <w:rFonts w:hint="eastAsia" w:ascii="宋体" w:hAnsi="宋体" w:cs="宋体"/>
                <w:color w:val="000000" w:themeColor="text1"/>
                <w:szCs w:val="21"/>
                <w:lang w:val="en-US" w:eastAsia="zh-CN"/>
                <w14:textFill>
                  <w14:solidFill>
                    <w14:schemeClr w14:val="tx1"/>
                  </w14:solidFill>
                </w14:textFill>
              </w:rPr>
              <w:t xml:space="preserve">变形</w:t>
            </w:r>
            <w:r>
              <w:rPr>
                <w:rFonts w:hint="eastAsia" w:ascii="宋体" w:hAnsi="宋体" w:eastAsia="宋体" w:cs="宋体"/>
                <w:color w:val="000000" w:themeColor="text1"/>
                <w:szCs w:val="21"/>
                <w14:textFill>
                  <w14:solidFill>
                    <w14:schemeClr w14:val="tx1"/>
                  </w14:solidFill>
                </w14:textFill>
              </w:rPr>
              <w:t xml:space="preserve">。</w:t>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献血屋必须具备足够的刚性和强度，屋顶顶部预设多处高强度吊点（</w:t>
            </w:r>
            <w:r>
              <w:rPr>
                <w:rFonts w:hint="eastAsia" w:ascii="宋体" w:hAnsi="宋体" w:eastAsia="宋体" w:cs="宋体"/>
                <w:color w:val="000000" w:themeColor="text1"/>
                <w:sz w:val="21"/>
                <w:szCs w:val="21"/>
                <w14:textFill>
                  <w14:solidFill>
                    <w14:schemeClr w14:val="tx1"/>
                  </w14:solidFill>
                </w14:textFill>
              </w:rPr>
              <w:t xml:space="preserve">单点吊装承载力≥150kN（含安全系数）</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屋体悬端吊重试验：施加400N静力荷载，卸载后残余变形≤2mm。须提供</w:t>
            </w:r>
            <w:r>
              <w:rPr>
                <w:rStyle w:val="705"/>
                <w:rFonts w:hint="eastAsia" w:ascii="宋体" w:hAnsi="宋体" w:eastAsia="宋体" w:cs="宋体"/>
                <w:color w:val="000000" w:themeColor="text1"/>
                <w:sz w:val="21"/>
                <w:szCs w:val="21"/>
                <w14:textFill>
                  <w14:solidFill>
                    <w14:schemeClr w14:val="tx1"/>
                  </w14:solidFill>
                </w14:textFill>
              </w:rPr>
              <w:t xml:space="preserve">具备CMA资质的第三方检验检测机构</w:t>
            </w:r>
            <w:r>
              <w:rPr>
                <w:rFonts w:hint="eastAsia" w:ascii="宋体" w:hAnsi="宋体" w:eastAsia="宋体" w:cs="宋体"/>
                <w:color w:val="000000" w:themeColor="text1"/>
                <w:sz w:val="21"/>
                <w:szCs w:val="21"/>
                <w14:textFill>
                  <w14:solidFill>
                    <w14:schemeClr w14:val="tx1"/>
                  </w14:solidFill>
                </w14:textFill>
              </w:rPr>
              <w:t xml:space="preserve">针对献血屋产品、依据现行相关国家标准出具的对应项目检测报告。</w:t>
            </w:r>
            <w:r>
              <w:rPr>
                <w:rFonts w:hint="eastAsia" w:ascii="宋体" w:hAnsi="宋体" w:eastAsia="宋体" w:cs="宋体"/>
                <w:color w:val="000000" w:themeColor="text1"/>
                <w:sz w:val="21"/>
                <w:szCs w:val="21"/>
                <w:highlight w:val="none"/>
                <w14:textFill>
                  <w14:solidFill>
                    <w14:schemeClr w14:val="tx1"/>
                  </w14:solidFill>
                </w14:textFill>
              </w:rPr>
              <w:t xml:space="preserve">确保可安全可靠、便捷地实现献血屋的</w:t>
            </w:r>
            <w:r>
              <w:rPr>
                <w:rFonts w:hint="eastAsia" w:ascii="宋体" w:hAnsi="宋体" w:cs="宋体"/>
                <w:color w:val="000000" w:themeColor="text1"/>
                <w:sz w:val="21"/>
                <w:szCs w:val="21"/>
                <w:highlight w:val="none"/>
                <w:lang w:val="en-US" w:eastAsia="zh-CN"/>
                <w14:textFill>
                  <w14:solidFill>
                    <w14:schemeClr w14:val="tx1"/>
                  </w14:solidFill>
                </w14:textFill>
              </w:rPr>
              <w:t xml:space="preserve">第二次整体</w:t>
            </w:r>
            <w:r>
              <w:rPr>
                <w:rFonts w:hint="eastAsia" w:ascii="宋体" w:hAnsi="宋体" w:eastAsia="宋体" w:cs="宋体"/>
                <w:color w:val="auto"/>
                <w:sz w:val="21"/>
                <w:szCs w:val="21"/>
                <w:highlight w:val="none"/>
              </w:rPr>
              <w:t xml:space="preserve">吊装，方便日后移动时装卸，并确保献血屋拆装后整体不变形不损坏。(提供献血屋顶部吊装移位实景图）</w:t>
            </w:r>
            <w:r/>
          </w:p>
          <w:p>
            <w:pPr>
              <w:numPr>
                <w:ilvl w:val="0"/>
                <w:numId w:val="0"/>
              </w:numPr>
              <w:jc w:val="left"/>
              <w:spacing w:line="360" w:lineRule="auto"/>
              <w:rPr>
                <w:rFonts w:hint="eastAsia"/>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移动式献血屋设计使用寿命≥1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eastAsia="zh-CN"/>
              </w:rPr>
              <w:t xml:space="preserve">。</w:t>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建筑物需符合《民用建筑工程室内环境污染控制标准》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GB</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50325</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2020</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Ⅰ类民用建筑要求。所有板材、保温材料均提供环保性能第三方检测报告。</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套</w:t>
            </w:r>
            <w:r/>
          </w:p>
        </w:tc>
      </w:tr>
      <w:tr>
        <w:trPr>
          <w:trHeight w:val="3056"/>
        </w:trPr>
        <w:tc>
          <w:tcPr>
            <w:tcBorders>
              <w:left w:val="single" w:color="000000" w:sz="8" w:space="0"/>
              <w:right w:val="single" w:color="000000" w:sz="6" w:space="0"/>
            </w:tcBorders>
            <w:tcW w:w="713"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Borders>
              <w:left w:val="single" w:color="000000" w:sz="6" w:space="0"/>
              <w:right w:val="single" w:color="000000" w:sz="6" w:space="0"/>
            </w:tcBorders>
            <w:tcW w:w="1156" w:type="dxa"/>
            <w:vAlign w:val="center"/>
            <w:vMerge w:val="continue"/>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6257" w:type="dxa"/>
            <w:vAlign w:val="top"/>
            <w:textDirection w:val="lrTb"/>
            <w:noWrap/>
          </w:tcPr>
          <w:p>
            <w:pPr>
              <w:pStyle w:val="857"/>
              <w:numPr>
                <w:ilvl w:val="0"/>
                <w:numId w:val="3"/>
              </w:numPr>
              <w:jc w:val="both"/>
              <w:spacing w:line="360" w:lineRule="auto"/>
              <w:rPr>
                <w:rFonts w:hint="eastAsia" w:ascii="宋体" w:hAnsi="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地板结构：</w:t>
            </w:r>
            <w:r>
              <w:rPr>
                <w:rFonts w:hint="eastAsia" w:ascii="宋体" w:hAnsi="宋体" w:eastAsia="宋体" w:cs="宋体"/>
                <w:color w:val="000000" w:themeColor="text1"/>
                <w:szCs w:val="21"/>
                <w14:textFill>
                  <w14:solidFill>
                    <w14:schemeClr w14:val="tx1"/>
                  </w14:solidFill>
                </w14:textFill>
              </w:rPr>
              <w:t xml:space="preserve">底部采用16mm厚度车用级竹胶板衬底+纳米隔热保温涂层+18mm厚OSB板</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知名品牌</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找平+医用地板胶整体焊接做地板。</w:t>
            </w:r>
            <w:r/>
          </w:p>
          <w:p>
            <w:pPr>
              <w:pStyle w:val="857"/>
              <w:numPr>
                <w:ilvl w:val="0"/>
                <w:numId w:val="3"/>
              </w:numPr>
              <w:jc w:val="both"/>
              <w:spacing w:line="360" w:lineRule="auto"/>
              <w:rPr>
                <w:rFonts w:hint="eastAsia" w:ascii="宋体" w:hAnsi="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医用地板胶防火等级满足GB8624</w:t>
            </w:r>
            <w:r>
              <w:rPr>
                <w:rFonts w:hint="eastAsia" w:ascii="宋体" w:hAnsi="宋体" w:cs="宋体"/>
                <w:color w:val="000000" w:themeColor="text1"/>
                <w:szCs w:val="21"/>
                <w:lang w:val="en-US"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2012 B1 (B) 级，须提供带 CMA/CNAS 标志检测报告扫描件并加盖投标人公章</w:t>
            </w:r>
            <w:r>
              <w:rPr>
                <w:rFonts w:hint="eastAsia" w:ascii="宋体" w:hAnsi="宋体" w:cs="宋体"/>
                <w:color w:val="000000" w:themeColor="text1"/>
                <w:szCs w:val="21"/>
                <w:lang w:eastAsia="zh-CN"/>
                <w14:textFill>
                  <w14:solidFill>
                    <w14:schemeClr w14:val="tx1"/>
                  </w14:solidFill>
                </w14:textFill>
              </w:rPr>
              <w:t xml:space="preserve">。</w:t>
            </w:r>
            <w:r/>
          </w:p>
          <w:p>
            <w:pPr>
              <w:pStyle w:val="857"/>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cs="宋体"/>
                <w:color w:val="000000" w:themeColor="text1"/>
                <w:szCs w:val="21"/>
                <w:lang w:val="en-US" w:eastAsia="zh-CN"/>
                <w14:textFill>
                  <w14:solidFill>
                    <w14:schemeClr w14:val="tx1"/>
                  </w14:solidFill>
                </w14:textFill>
              </w:rPr>
              <w:t xml:space="preserve">3.</w:t>
            </w:r>
            <w:r>
              <w:rPr>
                <w:rFonts w:hint="eastAsia" w:ascii="宋体" w:hAnsi="宋体" w:eastAsia="宋体" w:cs="宋体"/>
                <w:color w:val="000000" w:themeColor="text1"/>
                <w:szCs w:val="21"/>
                <w14:textFill>
                  <w14:solidFill>
                    <w14:schemeClr w14:val="tx1"/>
                  </w14:solidFill>
                </w14:textFill>
              </w:rPr>
              <w:t xml:space="preserve">地面钢制底盘增设镀锌管主次楞骨架，整体方钢焊接找平；地板板材、胶料提供环保检测报告。</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000000" w:themeColor="text1"/>
                <w:szCs w:val="21"/>
                <w14:textFill>
                  <w14:solidFill>
                    <w14:schemeClr w14:val="tx1"/>
                  </w14:solidFill>
                </w14:textFill>
              </w:rPr>
              <w:t xml:space="preserve">≥200㎡</w:t>
            </w:r>
            <w:r/>
          </w:p>
        </w:tc>
      </w:tr>
      <w:tr>
        <w:trPr>
          <w:trHeight w:val="1391"/>
        </w:trPr>
        <w:tc>
          <w:tcPr>
            <w:tcBorders>
              <w:left w:val="single" w:color="000000" w:sz="8" w:space="0"/>
              <w:right w:val="single" w:color="000000" w:sz="6" w:space="0"/>
            </w:tcBorders>
            <w:tcW w:w="713"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Borders>
              <w:left w:val="single" w:color="000000" w:sz="6" w:space="0"/>
              <w:right w:val="single" w:color="000000" w:sz="6" w:space="0"/>
            </w:tcBorders>
            <w:tcW w:w="1156" w:type="dxa"/>
            <w:vAlign w:val="center"/>
            <w:vMerge w:val="continue"/>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Borders>
              <w:top w:val="single" w:color="000000" w:sz="6" w:space="0"/>
              <w:left w:val="single" w:color="000000" w:sz="6" w:space="0"/>
              <w:right w:val="single" w:color="000000" w:sz="6" w:space="0"/>
            </w:tcBorders>
            <w:tcW w:w="6257" w:type="dxa"/>
            <w:vAlign w:val="top"/>
            <w:vMerge w:val="restart"/>
            <w:textDirection w:val="lrTb"/>
            <w:noWrap/>
          </w:tcPr>
          <w:p>
            <w:pPr>
              <w:numPr>
                <w:ilvl w:val="0"/>
                <w:numId w:val="4"/>
              </w:numPr>
              <w:jc w:val="left"/>
              <w:spacing w:line="360" w:lineRule="auto"/>
              <w:rPr>
                <w:rFonts w:hint="eastAsia" w:ascii="宋体" w:hAnsi="宋体" w:cs="宋体"/>
                <w:color w:val="000000" w:themeColor="text1"/>
                <w:szCs w:val="21"/>
                <w:lang w:val="en-US" w:eastAsia="zh-CN"/>
                <w14:textFill>
                  <w14:solidFill>
                    <w14:schemeClr w14:val="tx1"/>
                  </w14:solidFill>
                </w14:textFill>
              </w:rPr>
              <w:outlineLvl w:val="0"/>
            </w:pPr>
            <w:r>
              <w:rPr>
                <w:rFonts w:hint="eastAsia" w:ascii="宋体" w:hAnsi="宋体" w:cs="宋体"/>
                <w:color w:val="000000" w:themeColor="text1"/>
                <w:szCs w:val="21"/>
                <w:lang w:val="en-US" w:eastAsia="zh-CN"/>
                <w14:textFill>
                  <w14:solidFill>
                    <w14:schemeClr w14:val="tx1"/>
                  </w14:solidFill>
                </w14:textFill>
              </w:rPr>
              <w:t xml:space="preserve">内外墙板、吊顶板、橱柜、隔断、家具所用全部板材均为环保E0级，胶水、粘合剂均为绿色环保材料；投标人须提供板材、胶粘剂第三方环保检测报告（甲醛、TVOC 等）。</w:t>
            </w:r>
            <w:r/>
          </w:p>
          <w:p>
            <w:pPr>
              <w:numPr>
                <w:ilvl w:val="0"/>
                <w:numId w:val="4"/>
              </w:numPr>
              <w:jc w:val="left"/>
              <w:spacing w:line="360" w:lineRule="auto"/>
              <w:rPr>
                <w:rFonts w:hint="eastAsia" w:ascii="宋体" w:hAnsi="宋体" w:eastAsia="宋体" w:cs="宋体"/>
                <w:color w:val="000000" w:themeColor="text1"/>
                <w:szCs w:val="21"/>
                <w14:textFill>
                  <w14:solidFill>
                    <w14:schemeClr w14:val="tx1"/>
                  </w14:solidFill>
                </w14:textFill>
              </w:rPr>
              <w:outlineLvl w:val="0"/>
            </w:pPr>
            <w:r>
              <w:rPr>
                <w:rFonts w:hint="eastAsia" w:ascii="宋体" w:hAnsi="宋体" w:cs="宋体"/>
                <w:color w:val="000000" w:themeColor="text1"/>
                <w:szCs w:val="21"/>
                <w:lang w:val="en-US" w:eastAsia="zh-CN"/>
                <w14:textFill>
                  <w14:solidFill>
                    <w14:schemeClr w14:val="tx1"/>
                  </w14:solidFill>
                </w14:textFill>
              </w:rPr>
              <w:t xml:space="preserve">室内空气质量执行《室内空气质量标准》（GB/T18883-2022），须提供2022年以来同类材质献血屋带CMA/CNAS 资质第三方室内空气检测报告复印件。</w:t>
            </w:r>
            <w:r/>
          </w:p>
          <w:p>
            <w:pPr>
              <w:numPr>
                <w:ilvl w:val="0"/>
                <w:numId w:val="4"/>
              </w:numPr>
              <w:jc w:val="left"/>
              <w:spacing w:line="360" w:lineRule="auto"/>
              <w:rPr>
                <w:rFonts w:hint="eastAsia" w:ascii="宋体" w:hAnsi="宋体" w:eastAsia="宋体" w:cs="宋体"/>
                <w:color w:val="000000" w:themeColor="text1"/>
                <w:szCs w:val="21"/>
                <w:lang w:val="en-US" w:eastAsia="zh-CN"/>
                <w14:textFill>
                  <w14:solidFill>
                    <w14:schemeClr w14:val="tx1"/>
                  </w14:solidFill>
                </w14:textFill>
              </w:rPr>
              <w:outlineLvl w:val="0"/>
            </w:pPr>
            <w:r>
              <w:rPr>
                <w:rFonts w:hint="eastAsia" w:ascii="宋体" w:hAnsi="宋体" w:eastAsia="宋体" w:cs="宋体"/>
                <w:color w:val="000000" w:themeColor="text1"/>
                <w:szCs w:val="21"/>
                <w14:textFill>
                  <w14:solidFill>
                    <w14:schemeClr w14:val="tx1"/>
                  </w14:solidFill>
                </w14:textFill>
              </w:rPr>
              <w:t xml:space="preserve">外墙采用30mm厚钢化中空镀膜玻璃幕墙+定制专用不锈钢保温外墙板</w:t>
            </w:r>
            <w:r>
              <w:rPr>
                <w:rFonts w:hint="eastAsia" w:ascii="宋体" w:hAnsi="宋体" w:cs="宋体"/>
                <w:color w:val="000000" w:themeColor="text1"/>
                <w:szCs w:val="21"/>
                <w:lang w:eastAsia="zh-CN"/>
                <w14:textFill>
                  <w14:solidFill>
                    <w14:schemeClr w14:val="tx1"/>
                  </w14:solidFill>
                </w14:textFill>
              </w:rPr>
              <w:t xml:space="preserve">。</w:t>
            </w:r>
            <w:r/>
          </w:p>
          <w:p>
            <w:pPr>
              <w:numPr>
                <w:ilvl w:val="0"/>
                <w:numId w:val="4"/>
              </w:numPr>
              <w:jc w:val="left"/>
              <w:spacing w:line="360" w:lineRule="auto"/>
              <w:rPr>
                <w:rFonts w:hint="eastAsia" w:ascii="宋体" w:hAnsi="宋体" w:eastAsia="宋体" w:cs="宋体"/>
                <w:color w:val="000000" w:themeColor="text1"/>
                <w:szCs w:val="21"/>
                <w:lang w:val="en-US" w:eastAsia="zh-CN"/>
                <w14:textFill>
                  <w14:solidFill>
                    <w14:schemeClr w14:val="tx1"/>
                  </w14:solidFill>
                </w14:textFill>
              </w:rPr>
              <w:outlineLvl w:val="0"/>
            </w:pPr>
            <w:r>
              <w:rPr>
                <w:rFonts w:hint="eastAsia" w:ascii="宋体" w:hAnsi="宋体" w:cs="宋体"/>
                <w:color w:val="000000" w:themeColor="text1"/>
                <w:szCs w:val="21"/>
                <w:lang w:val="en-US" w:eastAsia="zh-CN"/>
                <w14:textFill>
                  <w14:solidFill>
                    <w14:schemeClr w14:val="tx1"/>
                  </w14:solidFill>
                </w14:textFill>
              </w:rPr>
              <w:t xml:space="preserve">内墙</w:t>
            </w:r>
            <w:r>
              <w:rPr>
                <w:rFonts w:hint="eastAsia" w:ascii="宋体" w:hAnsi="宋体" w:eastAsia="宋体" w:cs="宋体"/>
                <w:color w:val="000000" w:themeColor="text1"/>
                <w:szCs w:val="21"/>
                <w14:textFill>
                  <w14:solidFill>
                    <w14:schemeClr w14:val="tx1"/>
                  </w14:solidFill>
                </w14:textFill>
              </w:rPr>
              <w:t xml:space="preserve">采用松木方做隔热框架+采用≥18mm E0级生态板做内墙板、墙体总厚度≥1</w:t>
            </w: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0mm</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auto"/>
                <w:sz w:val="21"/>
                <w:szCs w:val="21"/>
                <w:highlight w:val="none"/>
              </w:rPr>
              <w:t xml:space="preserve">氧化抗风雨能力强。</w:t>
            </w:r>
            <w:r/>
          </w:p>
          <w:p>
            <w:pPr>
              <w:numPr>
                <w:ilvl w:val="0"/>
                <w:numId w:val="4"/>
              </w:numPr>
              <w:jc w:val="left"/>
              <w:spacing w:line="360" w:lineRule="auto"/>
              <w:rPr>
                <w:rFonts w:hint="eastAsia" w:ascii="宋体" w:hAnsi="宋体" w:eastAsia="宋体" w:cs="宋体"/>
                <w:color w:val="000000" w:themeColor="text1"/>
                <w:szCs w:val="21"/>
                <w:lang w:val="en-US" w:eastAsia="zh-CN"/>
                <w14:textFill>
                  <w14:solidFill>
                    <w14:schemeClr w14:val="tx1"/>
                  </w14:solidFill>
                </w14:textFill>
              </w:rPr>
              <w:outlineLvl w:val="0"/>
            </w:pPr>
            <w:r>
              <w:rPr>
                <w:rFonts w:hint="eastAsia" w:ascii="宋体" w:hAnsi="宋体" w:eastAsia="宋体" w:cs="宋体"/>
                <w:color w:val="auto"/>
                <w:sz w:val="21"/>
                <w:szCs w:val="21"/>
                <w:highlight w:val="none"/>
              </w:rPr>
              <w:t xml:space="preserve">确保献血屋整体热传导系数≤0.06(提供献血屋产品该项目第三方相关检测报告电子文档）。</w:t>
            </w:r>
            <w:r/>
          </w:p>
        </w:tc>
        <w:tc>
          <w:tcPr>
            <w:tcBorders>
              <w:top w:val="single" w:color="000000" w:sz="6" w:space="0"/>
              <w:left w:val="single" w:color="000000" w:sz="6" w:space="0"/>
              <w:bottom w:val="single" w:color="auto" w:sz="4" w:space="0"/>
              <w:right w:val="single" w:color="000000" w:sz="6" w:space="0"/>
            </w:tcBorders>
            <w:tcW w:w="887" w:type="dxa"/>
            <w:vAlign w:val="center"/>
            <w:textDirection w:val="lrTb"/>
            <w:noWrap/>
          </w:tcPr>
          <w:p>
            <w:pPr>
              <w:jc w:val="center"/>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外墙</w:t>
            </w:r>
            <w:r/>
          </w:p>
          <w:p>
            <w:pPr>
              <w:jc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≥280㎡</w:t>
            </w:r>
            <w:r/>
          </w:p>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rHeight w:val="1781"/>
        </w:trPr>
        <w:tc>
          <w:tcPr>
            <w:tcBorders>
              <w:left w:val="single" w:color="000000" w:sz="8" w:space="0"/>
              <w:right w:val="single" w:color="000000" w:sz="6" w:space="0"/>
            </w:tcBorders>
            <w:tcW w:w="713"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Borders>
              <w:left w:val="single" w:color="000000" w:sz="6" w:space="0"/>
              <w:right w:val="single" w:color="000000" w:sz="6" w:space="0"/>
            </w:tcBorders>
            <w:tcW w:w="1156" w:type="dxa"/>
            <w:vAlign w:val="center"/>
            <w:vMerge w:val="continue"/>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Borders>
              <w:left w:val="single" w:color="000000" w:sz="6" w:space="0"/>
              <w:bottom w:val="single" w:color="000000" w:sz="6" w:space="0"/>
              <w:right w:val="single" w:color="000000" w:sz="6" w:space="0"/>
            </w:tcBorders>
            <w:tcW w:w="6257" w:type="dxa"/>
            <w:vAlign w:val="top"/>
            <w:vMerge w:val="continue"/>
            <w:textDirection w:val="lrTb"/>
            <w:noWrap/>
          </w:tcPr>
          <w:p>
            <w:pPr>
              <w:jc w:val="left"/>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Borders>
              <w:top w:val="single" w:color="auto" w:sz="4" w:space="0"/>
              <w:left w:val="single" w:color="000000" w:sz="6" w:space="0"/>
              <w:bottom w:val="single" w:color="000000" w:sz="6" w:space="0"/>
              <w:right w:val="single" w:color="000000" w:sz="6" w:space="0"/>
            </w:tcBorders>
            <w:tcW w:w="887" w:type="dxa"/>
            <w:vAlign w:val="center"/>
            <w:textDirection w:val="lrTb"/>
            <w:noWrap/>
          </w:tcPr>
          <w:p>
            <w:pPr>
              <w:jc w:val="center"/>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内墙</w:t>
            </w:r>
            <w:r/>
          </w:p>
          <w:p>
            <w:pPr>
              <w:jc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≥280㎡</w:t>
            </w:r>
            <w:r/>
          </w:p>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rHeight w:val="525"/>
        </w:trPr>
        <w:tc>
          <w:tcPr>
            <w:tcBorders>
              <w:left w:val="single" w:color="000000" w:sz="8" w:space="0"/>
              <w:right w:val="single" w:color="000000" w:sz="6" w:space="0"/>
            </w:tcBorders>
            <w:tcW w:w="713"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Borders>
              <w:left w:val="single" w:color="000000" w:sz="6" w:space="0"/>
              <w:right w:val="single" w:color="000000" w:sz="6" w:space="0"/>
            </w:tcBorders>
            <w:tcW w:w="1156" w:type="dxa"/>
            <w:vAlign w:val="center"/>
            <w:vMerge w:val="continue"/>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6257" w:type="dxa"/>
            <w:vAlign w:val="top"/>
            <w:textDirection w:val="lrTb"/>
            <w:noWrap/>
          </w:tcPr>
          <w:p>
            <w:pPr>
              <w:numPr>
                <w:ilvl w:val="0"/>
                <w:numId w:val="5"/>
              </w:numPr>
              <w:jc w:val="left"/>
              <w:spacing w:line="360" w:lineRule="auto"/>
              <w:rPr>
                <w:rFonts w:hint="eastAsia" w:ascii="宋体" w:hAnsi="宋体" w:cs="宋体"/>
                <w:color w:val="000000" w:themeColor="text1"/>
                <w:szCs w:val="21"/>
                <w:lang w:eastAsia="zh-CN"/>
                <w14:textFill>
                  <w14:solidFill>
                    <w14:schemeClr w14:val="tx1"/>
                  </w14:solidFill>
                </w14:textFill>
              </w:rPr>
              <w:outlineLvl w:val="0"/>
            </w:pPr>
            <w:r>
              <w:rPr>
                <w:rFonts w:hint="eastAsia" w:ascii="宋体" w:hAnsi="宋体" w:eastAsia="宋体" w:cs="宋体"/>
                <w:color w:val="000000" w:themeColor="text1"/>
                <w:szCs w:val="21"/>
                <w14:textFill>
                  <w14:solidFill>
                    <w14:schemeClr w14:val="tx1"/>
                  </w14:solidFill>
                </w14:textFill>
              </w:rPr>
              <w:t xml:space="preserve">墙体及屋顶</w:t>
            </w:r>
            <w:r>
              <w:rPr>
                <w:rFonts w:hint="eastAsia" w:ascii="宋体" w:hAnsi="宋体" w:cs="宋体"/>
                <w:color w:val="000000" w:themeColor="text1"/>
                <w:szCs w:val="21"/>
                <w:lang w:eastAsia="zh-CN"/>
                <w14:textFill>
                  <w14:solidFill>
                    <w14:schemeClr w14:val="tx1"/>
                  </w14:solidFill>
                </w14:textFill>
              </w:rPr>
              <w:t xml:space="preserve">：屋顶系统采用微斜顶一体化防水系统，吊顶燃烧性能等级达到（GB8624</w:t>
            </w:r>
            <w:r>
              <w:rPr>
                <w:rFonts w:hint="eastAsia" w:ascii="宋体" w:hAnsi="宋体" w:cs="宋体"/>
                <w:color w:val="000000" w:themeColor="text1"/>
                <w:szCs w:val="21"/>
                <w:lang w:val="en-US" w:eastAsia="zh-CN"/>
                <w14:textFill>
                  <w14:solidFill>
                    <w14:schemeClr w14:val="tx1"/>
                  </w14:solidFill>
                </w14:textFill>
              </w:rPr>
              <w:t xml:space="preserve">-2012）</w:t>
            </w:r>
            <w:r>
              <w:rPr>
                <w:rFonts w:hint="eastAsia" w:ascii="宋体" w:hAnsi="宋体" w:cs="宋体"/>
                <w:color w:val="000000" w:themeColor="text1"/>
                <w:szCs w:val="21"/>
                <w:lang w:eastAsia="zh-CN"/>
                <w14:textFill>
                  <w14:solidFill>
                    <w14:schemeClr w14:val="tx1"/>
                  </w14:solidFill>
                </w14:textFill>
              </w:rPr>
              <w:t xml:space="preserve">A级；胶粘剂有害物质限量符合 GB18583，不得使用丙烯酸酯类胶粘剂；密封条、密封胶符合国家现行标准，需提供对应性能证明材料。</w:t>
            </w:r>
            <w:r/>
          </w:p>
          <w:p>
            <w:pPr>
              <w:numPr>
                <w:ilvl w:val="0"/>
                <w:numId w:val="5"/>
              </w:num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000000" w:themeColor="text1"/>
                <w:szCs w:val="21"/>
                <w14:textFill>
                  <w14:solidFill>
                    <w14:schemeClr w14:val="tx1"/>
                  </w14:solidFill>
                </w14:textFill>
              </w:rPr>
              <w:t xml:space="preserve">屋体整体采用水性环保、阻燃聚氨酯整体保温处理，聚氨酯发泡密度≥40kg/m³、厚度墙体≥60mm、房顶≥80mm保温、降噪、防腐。</w:t>
            </w:r>
            <w:r>
              <w:rPr>
                <w:rFonts w:hint="eastAsia" w:ascii="宋体" w:hAnsi="宋体" w:eastAsia="宋体" w:cs="宋体"/>
                <w:color w:val="auto"/>
                <w:sz w:val="21"/>
                <w:szCs w:val="21"/>
                <w:highlight w:val="none"/>
              </w:rPr>
              <w:t xml:space="preserve">确保献血屋整体热传导系数≤0.06(提供献血屋产品该项目第三方相关检测报告电子文档）。</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000000" w:themeColor="text1"/>
                <w:szCs w:val="21"/>
                <w14:textFill>
                  <w14:solidFill>
                    <w14:schemeClr w14:val="tx1"/>
                  </w14:solidFill>
                </w14:textFill>
              </w:rPr>
              <w:t xml:space="preserve">≥480㎡</w:t>
            </w:r>
            <w:r/>
          </w:p>
        </w:tc>
      </w:tr>
      <w:tr>
        <w:trPr>
          <w:trHeight w:val="525"/>
        </w:trPr>
        <w:tc>
          <w:tcPr>
            <w:tcBorders>
              <w:left w:val="single" w:color="000000" w:sz="8" w:space="0"/>
              <w:right w:val="single" w:color="000000" w:sz="6" w:space="0"/>
            </w:tcBorders>
            <w:tcW w:w="713"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Borders>
              <w:left w:val="single" w:color="000000" w:sz="6" w:space="0"/>
              <w:right w:val="single" w:color="000000" w:sz="6" w:space="0"/>
            </w:tcBorders>
            <w:tcW w:w="1156" w:type="dxa"/>
            <w:vAlign w:val="center"/>
            <w:vMerge w:val="continue"/>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6257" w:type="dxa"/>
            <w:vAlign w:val="top"/>
            <w:textDirection w:val="lrTb"/>
            <w:noWrap/>
          </w:tcPr>
          <w:p>
            <w:pP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二层吊顶</w:t>
            </w:r>
            <w:r>
              <w:rPr>
                <w:rFonts w:hint="eastAsia" w:ascii="宋体" w:hAnsi="宋体" w:cs="宋体"/>
                <w:color w:val="000000" w:themeColor="text1"/>
                <w:szCs w:val="21"/>
                <w:lang w:eastAsia="zh-CN"/>
                <w14:textFill>
                  <w14:solidFill>
                    <w14:schemeClr w14:val="tx1"/>
                  </w14:solidFill>
                </w14:textFill>
              </w:rPr>
              <w:t xml:space="preserve">：</w:t>
            </w:r>
            <w:r/>
          </w:p>
          <w:p>
            <w:pPr>
              <w:numPr>
                <w:ilvl w:val="0"/>
                <w:numId w:val="5"/>
              </w:num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000000" w:themeColor="text1"/>
                <w:szCs w:val="21"/>
                <w14:textFill>
                  <w14:solidFill>
                    <w14:schemeClr w14:val="tx1"/>
                  </w14:solidFill>
                </w14:textFill>
              </w:rPr>
              <w:t xml:space="preserve">二层间距≥450mm，二层顶采用50x30x3镀锌矩管做框架，采用松木方做造型，平装定制塑钢吊顶板与框架硬连接，确保多次拼拆不损坏，棚顶装照明、嵌入空调内机、换新风、音响喇叭、应急照明、检修口等设施设备。</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000000" w:themeColor="text1"/>
                <w:szCs w:val="21"/>
                <w14:textFill>
                  <w14:solidFill>
                    <w14:schemeClr w14:val="tx1"/>
                  </w14:solidFill>
                </w14:textFill>
              </w:rPr>
              <w:t xml:space="preserve">≥200㎡</w:t>
            </w:r>
            <w:r/>
          </w:p>
        </w:tc>
      </w:tr>
      <w:tr>
        <w:trPr>
          <w:trHeight w:val="525"/>
        </w:trPr>
        <w:tc>
          <w:tcPr>
            <w:tcBorders>
              <w:left w:val="single" w:color="000000" w:sz="8" w:space="0"/>
              <w:right w:val="single" w:color="000000" w:sz="6" w:space="0"/>
            </w:tcBorders>
            <w:tcW w:w="713"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Borders>
              <w:left w:val="single" w:color="000000" w:sz="6" w:space="0"/>
              <w:right w:val="single" w:color="000000" w:sz="6" w:space="0"/>
            </w:tcBorders>
            <w:tcW w:w="1156" w:type="dxa"/>
            <w:vAlign w:val="center"/>
            <w:vMerge w:val="continue"/>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6257" w:type="dxa"/>
            <w:vAlign w:val="top"/>
            <w:textDirection w:val="lrTb"/>
            <w:noWrap/>
          </w:tcPr>
          <w:p>
            <w:pPr>
              <w:numPr>
                <w:ilvl w:val="0"/>
                <w:numId w:val="5"/>
              </w:numPr>
              <w:jc w:val="left"/>
              <w:spacing w:line="360" w:lineRule="auto"/>
              <w:rPr>
                <w:rFonts w:hint="eastAsia" w:ascii="宋体" w:hAnsi="宋体" w:eastAsia="宋体" w:cs="宋体"/>
                <w:color w:val="000000" w:themeColor="text1"/>
                <w:szCs w:val="21"/>
                <w:lang w:eastAsia="zh-CN"/>
                <w14:textFill>
                  <w14:solidFill>
                    <w14:schemeClr w14:val="tx1"/>
                  </w14:solidFill>
                </w14:textFill>
              </w:rPr>
              <w:outlineLvl w:val="0"/>
            </w:pPr>
            <w:r>
              <w:rPr>
                <w:rFonts w:hint="eastAsia" w:ascii="宋体" w:hAnsi="宋体" w:eastAsia="宋体" w:cs="宋体"/>
                <w:color w:val="000000" w:themeColor="text1"/>
                <w:szCs w:val="21"/>
                <w14:textFill>
                  <w14:solidFill>
                    <w14:schemeClr w14:val="tx1"/>
                  </w14:solidFill>
                </w14:textFill>
              </w:rPr>
              <w:t xml:space="preserve">不锈钢整体屋顶</w:t>
            </w:r>
            <w:r>
              <w:rPr>
                <w:rFonts w:hint="eastAsia" w:ascii="宋体" w:hAnsi="宋体" w:eastAsia="宋体" w:cs="宋体"/>
                <w:color w:val="000000" w:themeColor="text1"/>
                <w:szCs w:val="21"/>
                <w:lang w:eastAsia="zh-CN"/>
                <w14:textFill>
                  <w14:solidFill>
                    <w14:schemeClr w14:val="tx1"/>
                  </w14:solidFill>
                </w14:textFill>
              </w:rPr>
              <w:t xml:space="preserve">：</w:t>
            </w:r>
            <w:r/>
          </w:p>
          <w:p>
            <w:pPr>
              <w:numPr>
                <w:ilvl w:val="0"/>
                <w:numId w:val="5"/>
              </w:num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000000" w:themeColor="text1"/>
                <w:szCs w:val="21"/>
                <w14:textFill>
                  <w14:solidFill>
                    <w14:schemeClr w14:val="tx1"/>
                  </w14:solidFill>
                </w14:textFill>
              </w:rPr>
              <w:t xml:space="preserve">屋顶上部整体采用厚壁不锈钢板整体焊接并与屋顶框架焊接成整体，确保永久防漏。</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000000" w:themeColor="text1"/>
                <w:szCs w:val="21"/>
                <w14:textFill>
                  <w14:solidFill>
                    <w14:schemeClr w14:val="tx1"/>
                  </w14:solidFill>
                </w14:textFill>
              </w:rPr>
              <w:t xml:space="preserve">≥200㎡</w:t>
            </w:r>
            <w:r/>
          </w:p>
        </w:tc>
      </w:tr>
      <w:tr>
        <w:trPr>
          <w:trHeight w:val="525"/>
        </w:trPr>
        <w:tc>
          <w:tcPr>
            <w:tcBorders>
              <w:left w:val="single" w:color="000000" w:sz="8" w:space="0"/>
              <w:bottom w:val="single" w:color="000000" w:sz="6" w:space="0"/>
              <w:right w:val="single" w:color="000000" w:sz="6" w:space="0"/>
            </w:tcBorders>
            <w:tcW w:w="713"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Borders>
              <w:left w:val="single" w:color="000000" w:sz="6" w:space="0"/>
              <w:bottom w:val="single" w:color="000000" w:sz="6" w:space="0"/>
              <w:right w:val="single" w:color="000000" w:sz="6" w:space="0"/>
            </w:tcBorders>
            <w:tcW w:w="1156" w:type="dxa"/>
            <w:vAlign w:val="center"/>
            <w:vMerge w:val="continue"/>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6257" w:type="dxa"/>
            <w:vAlign w:val="top"/>
            <w:textDirection w:val="lrTb"/>
            <w:noWrap/>
          </w:tcPr>
          <w:p>
            <w:pPr>
              <w:pStyle w:val="718"/>
              <w:numPr>
                <w:ilvl w:val="0"/>
                <w:numId w:val="0"/>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整体喷漆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对献血屋外部进行整体喷漆处理</w:t>
            </w:r>
            <w:r/>
          </w:p>
        </w:tc>
        <w:tc>
          <w:tcPr>
            <w:tcBorders>
              <w:top w:val="single" w:color="000000" w:sz="6" w:space="0"/>
              <w:left w:val="single" w:color="000000" w:sz="6" w:space="0"/>
              <w:bottom w:val="single" w:color="000000" w:sz="6" w:space="0"/>
              <w:right w:val="single" w:color="000000" w:sz="6" w:space="0"/>
            </w:tcBorders>
            <w:tcW w:w="887" w:type="dxa"/>
            <w:vAlign w:val="top"/>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000000" w:themeColor="text1"/>
                <w:szCs w:val="21"/>
                <w14:textFill>
                  <w14:solidFill>
                    <w14:schemeClr w14:val="tx1"/>
                  </w14:solidFill>
                </w14:textFill>
              </w:rPr>
              <w:t xml:space="preserve"> </w:t>
            </w:r>
            <w:r/>
          </w:p>
        </w:tc>
      </w:tr>
      <w:tr>
        <w:trPr>
          <w:trHeight w:val="3471"/>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eastAsia" w:ascii="宋体" w:hAnsi="宋体" w:eastAsia="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t xml:space="preserve">2</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上下楼装置及设施</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pStyle w:val="718"/>
              <w:numPr>
                <w:ilvl w:val="0"/>
                <w:numId w:val="0"/>
              </w:num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货梯（电梯）</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1）载重400kg</w:t>
            </w:r>
            <w:r>
              <w:rPr>
                <w:rFonts w:hint="eastAsia" w:ascii="宋体" w:hAnsi="宋体" w:eastAsia="宋体" w:cs="宋体"/>
                <w:color w:val="000000" w:themeColor="text1"/>
                <w:sz w:val="21"/>
                <w:szCs w:val="21"/>
                <w:highlight w:val="none"/>
                <w14:textFill>
                  <w14:solidFill>
                    <w14:schemeClr w14:val="tx1"/>
                  </w14:solidFill>
                </w14:textFill>
              </w:rPr>
              <w:t xml:space="preserve">（±5%）、运行速度0.25米/秒（-8%～+10%）、轿厢内净尺寸</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宽1100x深1000x高1900</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±10 mm）、层门手拉门（手动外开自动关闭），电源及功率AC220V/50Hz、功率≥1.1KW、整机自重700kg。</w:t>
            </w:r>
            <w:r/>
          </w:p>
          <w:p>
            <w:pPr>
              <w:pStyle w:val="718"/>
              <w:numPr>
                <w:ilvl w:val="0"/>
                <w:numId w:val="0"/>
              </w:num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安全功能：层门电插锁（轿厢不在楼层，层门无法打开），开门断电（门未关闭、轿厢无法运行），安全光幕（在轿厢口，有东西超出轿厢区域，轿厢停止运行），轿厢内急停、轿厢顶上急停和控制、轿厢底部防压触板、井道底部急停、安全防坠、应急电源、放冲顶保护、超压保护、电源波动保护等。</w:t>
            </w:r>
            <w:r/>
          </w:p>
          <w:p>
            <w:pPr>
              <w:pStyle w:val="719"/>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.踏步梯：踏步梯宽度1200mm</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 mm）</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，踏步宽230mm</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mm）</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、高210mm</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mm）</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auto"/>
                <w:sz w:val="21"/>
                <w:szCs w:val="21"/>
                <w:highlight w:val="none"/>
                <w:lang w:val="en-US" w:eastAsia="zh-CN" w:bidi="ar-SA"/>
              </w:rPr>
              <w:t xml:space="preserve">采用防滑踏步梯板，带整套楼梯扶手。踏步梯、外置金属构件全部采用热镀锌防腐处理；金属扶手为SUS304不锈钢。</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cs="宋体"/>
                <w:color w:val="auto"/>
                <w:sz w:val="21"/>
                <w:szCs w:val="21"/>
                <w:highlight w:val="none"/>
                <w:lang w:val="en-US" w:eastAsia="zh-CN"/>
              </w:rPr>
              <w:t xml:space="preserve">各</w:t>
            </w:r>
            <w:r>
              <w:rPr>
                <w:rFonts w:hint="eastAsia" w:ascii="宋体" w:hAnsi="宋体" w:eastAsia="宋体" w:cs="宋体"/>
                <w:color w:val="auto"/>
                <w:sz w:val="21"/>
                <w:szCs w:val="21"/>
                <w:highlight w:val="none"/>
              </w:rPr>
              <w:t xml:space="preserve">1套</w:t>
            </w:r>
            <w:r/>
          </w:p>
        </w:tc>
      </w:tr>
      <w:tr>
        <w:trPr>
          <w:trHeight w:val="525"/>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eastAsia" w:ascii="宋体" w:hAnsi="宋体" w:eastAsia="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t xml:space="preserve">3</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进出门及挡雨遮阳棚</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pStyle w:val="719"/>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配置铝合金制作肯德基对开门、带门厅、上平衡口及防水除尘型门口地板，配中空钢化玻璃，要求门口尺寸：≥1500mm*2200mm、密封性好、带锁具及拉手；外配遮阳挡雨棚，确保安全可靠、便捷美观。</w:t>
            </w:r>
            <w:r/>
          </w:p>
          <w:p>
            <w:pPr>
              <w:pStyle w:val="719"/>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应急出口各一个，要求门口尺寸：≥900mm*2200mm、二层配逃生绳2套</w:t>
            </w:r>
            <w:r>
              <w:rPr>
                <w:rFonts w:hint="eastAsia" w:ascii="宋体" w:hAnsi="宋体" w:cs="宋体"/>
                <w:color w:val="auto"/>
                <w:sz w:val="21"/>
                <w:szCs w:val="21"/>
                <w:highlight w:val="none"/>
                <w:lang w:val="en-US" w:eastAsia="zh-CN" w:bidi="ar-SA"/>
              </w:rPr>
              <w:t xml:space="preserve">。</w:t>
            </w:r>
            <w:r/>
          </w:p>
          <w:p>
            <w:pPr>
              <w:pStyle w:val="719"/>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主入口大门配置 180°限位器、智能</w:t>
            </w:r>
            <w:r>
              <w:rPr>
                <w:rFonts w:hint="eastAsia" w:ascii="宋体" w:hAnsi="宋体" w:cs="宋体"/>
                <w:color w:val="auto"/>
                <w:sz w:val="21"/>
                <w:szCs w:val="21"/>
                <w:highlight w:val="none"/>
                <w:lang w:val="en-US" w:eastAsia="zh-CN" w:bidi="ar-SA"/>
              </w:rPr>
              <w:t xml:space="preserve">防水</w:t>
            </w:r>
            <w:r>
              <w:rPr>
                <w:rFonts w:hint="eastAsia" w:ascii="宋体" w:hAnsi="宋体" w:eastAsia="宋体" w:cs="宋体"/>
                <w:color w:val="auto"/>
                <w:sz w:val="21"/>
                <w:szCs w:val="21"/>
                <w:highlight w:val="none"/>
                <w:lang w:val="en-US" w:eastAsia="zh-CN" w:bidi="ar-SA"/>
              </w:rPr>
              <w:t xml:space="preserve">密码锁，全套优质五金配件。</w:t>
            </w:r>
            <w:r/>
          </w:p>
          <w:p>
            <w:pPr>
              <w:pStyle w:val="719"/>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入口雨棚与建筑一体化，防雨抗风，与整体外观统一协调。</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1套</w:t>
            </w:r>
            <w:r/>
          </w:p>
        </w:tc>
      </w:tr>
      <w:tr>
        <w:trPr>
          <w:trHeight w:val="525"/>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eastAsia" w:ascii="宋体" w:hAnsi="宋体" w:eastAsia="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t xml:space="preserve">4</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隔断</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多套</w:t>
            </w:r>
            <w:r>
              <w:rPr>
                <w:rFonts w:hint="eastAsia" w:ascii="宋体" w:hAnsi="宋体" w:eastAsia="宋体" w:cs="宋体"/>
                <w:color w:val="auto"/>
                <w:sz w:val="21"/>
                <w:szCs w:val="21"/>
                <w:highlight w:val="none"/>
              </w:rPr>
              <w:t xml:space="preserve">用于区域分割，环保材料制作、安全可靠美观协调，门洞宽≥900mm*高2200mm。隔断板材为 E0 级环保板材，提供板材环保检测报告；隔断阻燃等级符合 A/B1 级；金属五金耐腐蚀，可多次拆装不变形。</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多</w:t>
            </w: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r>
      <w:tr>
        <w:trPr>
          <w:trHeight w:val="525"/>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eastAsia" w:ascii="宋体" w:hAnsi="宋体" w:eastAsia="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t xml:space="preserve">5</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cs="宋体"/>
                <w:color w:val="auto"/>
                <w:sz w:val="21"/>
                <w:szCs w:val="21"/>
                <w:highlight w:val="none"/>
                <w:lang w:val="en-US" w:eastAsia="zh-CN"/>
              </w:rPr>
              <w:t xml:space="preserve">门</w:t>
            </w:r>
            <w:r>
              <w:rPr>
                <w:rFonts w:hint="eastAsia" w:ascii="宋体" w:hAnsi="宋体" w:eastAsia="宋体" w:cs="宋体"/>
                <w:color w:val="auto"/>
                <w:sz w:val="21"/>
                <w:szCs w:val="21"/>
                <w:highlight w:val="none"/>
              </w:rPr>
              <w:t xml:space="preserve">窗</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1.要求部分窗户可打开通风，关闭后确保可靠锁止与密封，紫外线透过率＜2，隔音保温、明亮美观。</w:t>
            </w:r>
            <w:r/>
          </w:p>
          <w:p>
            <w:pPr>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2.可打开窗户均采用断桥铝制作制作；固定玻璃窗</w:t>
            </w:r>
            <w:r>
              <w:rPr>
                <w:rFonts w:hint="eastAsia" w:ascii="宋体" w:hAnsi="宋体" w:eastAsia="宋体" w:cs="宋体"/>
                <w:color w:val="auto"/>
                <w:sz w:val="21"/>
                <w:szCs w:val="21"/>
                <w:highlight w:val="none"/>
                <w:lang w:eastAsia="zh-CN"/>
              </w:rPr>
              <w:t xml:space="preserve">。</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3.窗外轮廓尺寸≥900mm*1100mm*60mm、数量应满足通风需求。</w:t>
            </w:r>
            <w:r/>
          </w:p>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4.门窗玻璃采用8LOW</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E+12A+8mm 钢化双层中空 LOW</w:t>
            </w:r>
            <w:r>
              <w:rPr>
                <w:rFonts w:hint="eastAsia" w:ascii="宋体" w:hAnsi="宋体" w:eastAsia="宋体" w:cs="宋体"/>
                <w:color w:val="auto"/>
                <w:sz w:val="21"/>
                <w:szCs w:val="21"/>
                <w:highlight w:val="none"/>
              </w:rPr>
              <w:noBreakHyphen/>
            </w:r>
            <w:r>
              <w:rPr>
                <w:rFonts w:hint="eastAsia" w:ascii="宋体" w:hAnsi="宋体" w:eastAsia="宋体" w:cs="宋体"/>
                <w:color w:val="auto"/>
                <w:sz w:val="21"/>
                <w:szCs w:val="21"/>
                <w:highlight w:val="none"/>
              </w:rPr>
              <w:t xml:space="preserve">E 玻璃，内充氩气</w:t>
            </w:r>
            <w:r>
              <w:rPr>
                <w:rFonts w:hint="eastAsia" w:ascii="宋体" w:hAnsi="宋体" w:cs="宋体"/>
                <w:color w:val="auto"/>
                <w:sz w:val="21"/>
                <w:szCs w:val="21"/>
                <w:highlight w:val="none"/>
                <w:lang w:eastAsia="zh-CN"/>
              </w:rPr>
              <w:t xml:space="preserve">。</w:t>
            </w:r>
            <w:r/>
          </w:p>
          <w:p>
            <w:pPr>
              <w:jc w:val="left"/>
              <w:spacing w:line="360" w:lineRule="auto"/>
              <w:widowControl/>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所有可开启外开窗全部配套 304 不锈钢金刚网纱窗，固定玻璃窗不配置纱窗；纱窗铝框与断桥铝窗同色配套；纱网丝径≥0.</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mm，网目 20 目，防蚊虫飞虫侵入；纱窗带锁止把手，可便捷拆卸清洗；纱窗关闭后贴合严密无明显缝隙，密封胶条采用三元乙丙耐候胶条，抗老化；纱窗五金铰链、锁具采用304不锈钢，启闭顺畅，使用寿命不低于5年。密封胶条耐候抗老化，整套窗户气密性、水密性满足国标门窗规范</w:t>
            </w:r>
            <w:r>
              <w:rPr>
                <w:rFonts w:hint="eastAsia" w:ascii="宋体" w:hAnsi="宋体" w:cs="宋体"/>
                <w:color w:val="auto"/>
                <w:sz w:val="21"/>
                <w:szCs w:val="21"/>
                <w:highlight w:val="none"/>
                <w:lang w:eastAsia="zh-CN"/>
              </w:rPr>
              <w:t xml:space="preserve">。</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窗户数量及位置，在确保安全可靠上、以客户使用需求为准。</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多</w:t>
            </w: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r>
      <w:tr>
        <w:trPr>
          <w:trHeight w:val="525"/>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eastAsia" w:ascii="宋体" w:hAnsi="宋体" w:eastAsia="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t xml:space="preserve">6</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窗帘</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numPr>
                <w:ilvl w:val="0"/>
                <w:numId w:val="6"/>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窗帘：</w:t>
            </w:r>
            <w:r>
              <w:rPr>
                <w:rFonts w:hint="eastAsia" w:ascii="宋体" w:hAnsi="宋体" w:cs="宋体"/>
                <w:color w:val="auto"/>
                <w:sz w:val="21"/>
                <w:szCs w:val="21"/>
                <w:highlight w:val="none"/>
                <w:lang w:val="en-US" w:eastAsia="zh-CN"/>
              </w:rPr>
              <w:t xml:space="preserve">采用</w:t>
            </w:r>
            <w:r>
              <w:rPr>
                <w:rFonts w:hint="eastAsia" w:ascii="宋体" w:hAnsi="宋体" w:eastAsia="宋体" w:cs="宋体"/>
                <w:color w:val="auto"/>
                <w:sz w:val="21"/>
                <w:szCs w:val="21"/>
                <w:highlight w:val="none"/>
              </w:rPr>
              <w:t xml:space="preserve">电动卷轴式（卷轴卷帘），阻燃面料，遮光率≥75%，加厚防紫外线面料；采用管状内置电机，电机功率≥50W，运行噪音≤45 分贝，防护等级 IP40；铝合金卷轴及配件，带锁位卷轴机构。</w:t>
            </w:r>
            <w:r/>
          </w:p>
          <w:p>
            <w:pPr>
              <w:numPr>
                <w:ilvl w:val="0"/>
                <w:numId w:val="6"/>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控制系统支持遥控器控制、手机 APP 控制、智能语音控制，可接入智能家居系统，卷帘可在行程内任意位置启停定位。</w:t>
            </w:r>
            <w:r/>
          </w:p>
          <w:p>
            <w:pPr>
              <w:numPr>
                <w:ilvl w:val="0"/>
                <w:numId w:val="6"/>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帘布采用 UV 数码打印工艺，可印制无偿献血公益宣传标语、爱心、血滴等宣传图案；图案、文字布局由投标人出具方案，经甲方确认后方可生产加工；面料及印刷图案耐光色牢度≥4 级，日晒不易褪色，环保无异味，不释放有害物质，可湿布擦拭清洁，印刷不得破坏面料阻燃、遮光、防紫外线性能。面料阻燃等级达到 B1 级，投标须提供面料阻燃、环保检测报告</w:t>
            </w:r>
            <w:r>
              <w:rPr>
                <w:rFonts w:hint="eastAsia" w:ascii="宋体" w:hAnsi="宋体" w:cs="宋体"/>
                <w:color w:val="auto"/>
                <w:sz w:val="21"/>
                <w:szCs w:val="21"/>
                <w:highlight w:val="none"/>
                <w:lang w:eastAsia="zh-CN"/>
              </w:rPr>
              <w:t xml:space="preserve">。</w:t>
            </w:r>
            <w:r/>
          </w:p>
          <w:p>
            <w:pPr>
              <w:numPr>
                <w:ilvl w:val="0"/>
                <w:numId w:val="6"/>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卷帘包含卷轴、电机、面料、宣传图案印制、五金配件、安装辅材、现场测量安装，全部费用包含在本项目总价内。</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lang w:eastAsia="zh-CN"/>
              </w:rPr>
              <w:outlineLvl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多套</w:t>
            </w:r>
            <w:r/>
          </w:p>
        </w:tc>
      </w:tr>
      <w:tr>
        <w:trPr>
          <w:trHeight w:val="525"/>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eastAsia" w:ascii="宋体" w:hAnsi="宋体" w:eastAsia="宋体" w:cs="宋体"/>
                <w:color w:val="auto"/>
                <w:sz w:val="21"/>
                <w:szCs w:val="21"/>
                <w:highlight w:val="none"/>
                <w:lang w:eastAsia="zh-CN"/>
              </w:rPr>
              <w:outlineLvl w:val="0"/>
            </w:pPr>
            <w:r>
              <w:rPr>
                <w:rFonts w:hint="eastAsia" w:ascii="宋体" w:hAnsi="宋体" w:cs="宋体"/>
                <w:color w:val="auto"/>
                <w:sz w:val="21"/>
                <w:szCs w:val="21"/>
                <w:highlight w:val="none"/>
                <w:lang w:val="en-US" w:eastAsia="zh-CN"/>
              </w:rPr>
              <w:t xml:space="preserve">7</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支撑装置及外置踏步</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numPr>
                <w:ilvl w:val="0"/>
                <w:numId w:val="7"/>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在底盘设置多处支撑点，安装时各支撑点节找平、固定，确保献血屋稳定安全可靠，使用时屋内无抖动摇摆现象</w:t>
            </w:r>
            <w:r>
              <w:rPr>
                <w:rFonts w:hint="eastAsia" w:ascii="宋体" w:hAnsi="宋体" w:cs="宋体"/>
                <w:color w:val="auto"/>
                <w:sz w:val="21"/>
                <w:szCs w:val="21"/>
                <w:highlight w:val="none"/>
                <w:lang w:eastAsia="zh-CN"/>
              </w:rPr>
              <w:t xml:space="preserve">。</w:t>
            </w:r>
            <w:r/>
          </w:p>
          <w:p>
            <w:pPr>
              <w:numPr>
                <w:ilvl w:val="0"/>
                <w:numId w:val="7"/>
              </w:numPr>
              <w:ind w:left="0" w:firstLine="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置踏步与献血屋门厅及外置遮阳棚有机结合，满足设计规范、采用优质防滑板做踏步板蒙板，配SUS304不锈钢管制作的安全扶手；支撑高度，按客户和安装场地定制，确保安全可靠、便捷美观、满足防水淹和上下安全。</w:t>
            </w:r>
            <w:r/>
          </w:p>
          <w:p>
            <w:pPr>
              <w:numPr>
                <w:ilvl w:val="0"/>
                <w:numId w:val="7"/>
              </w:numPr>
              <w:ind w:left="0" w:firstLine="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献血屋底部地面用C30混凝土加钢筋做≥8处等高高强度安置平台（800</w:t>
            </w:r>
            <w:r>
              <w:rPr>
                <w:rFonts w:hint="eastAsia" w:ascii="宋体" w:hAnsi="宋体" w:cs="宋体"/>
                <w:color w:val="auto"/>
                <w:sz w:val="21"/>
                <w:szCs w:val="21"/>
                <w:highlight w:val="none"/>
                <w:lang w:val="en-US" w:eastAsia="zh-CN"/>
              </w:rPr>
              <w:t xml:space="preserve">毫米</w:t>
            </w:r>
            <w:r>
              <w:rPr>
                <w:rFonts w:hint="eastAsia" w:ascii="宋体" w:hAnsi="宋体" w:eastAsia="宋体" w:cs="宋体"/>
                <w:color w:val="auto"/>
                <w:sz w:val="21"/>
                <w:szCs w:val="21"/>
                <w:highlight w:val="none"/>
              </w:rPr>
              <w:t xml:space="preserve">x800</w:t>
            </w:r>
            <w:r>
              <w:rPr>
                <w:rFonts w:hint="eastAsia" w:ascii="宋体" w:hAnsi="宋体" w:cs="宋体"/>
                <w:color w:val="auto"/>
                <w:sz w:val="21"/>
                <w:szCs w:val="21"/>
                <w:highlight w:val="none"/>
                <w:lang w:val="en-US" w:eastAsia="zh-CN"/>
              </w:rPr>
              <w:t xml:space="preserve">毫米</w:t>
            </w:r>
            <w:r>
              <w:rPr>
                <w:rFonts w:hint="eastAsia" w:ascii="宋体" w:hAnsi="宋体" w:eastAsia="宋体" w:cs="宋体"/>
                <w:color w:val="auto"/>
                <w:sz w:val="21"/>
                <w:szCs w:val="21"/>
                <w:highlight w:val="none"/>
              </w:rPr>
              <w:t xml:space="preserve">），确保献血屋落位后安全可靠、便捷美观；献血屋四周及进出通道，采用环保高强度PVC防滑板铺装。</w:t>
            </w:r>
            <w:r/>
          </w:p>
          <w:p>
            <w:pPr>
              <w:numPr>
                <w:ilvl w:val="0"/>
                <w:numId w:val="7"/>
              </w:numPr>
              <w:ind w:left="0" w:firstLine="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地基整体承重≥18吨，地基做耐腐蚀防水层</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设计使用年限≥50年；完成现场实地勘察后出具地基施工图纸。</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1套</w:t>
            </w:r>
            <w:r/>
          </w:p>
        </w:tc>
      </w:tr>
      <w:tr>
        <w:trPr>
          <w:trHeight w:val="525"/>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eastAsia" w:ascii="宋体" w:hAnsi="宋体" w:eastAsia="宋体" w:cs="宋体"/>
                <w:color w:val="auto"/>
                <w:sz w:val="21"/>
                <w:szCs w:val="21"/>
                <w:highlight w:val="none"/>
                <w:lang w:eastAsia="zh-CN"/>
              </w:rPr>
              <w:outlineLvl w:val="0"/>
            </w:pPr>
            <w:r>
              <w:rPr>
                <w:rFonts w:hint="eastAsia" w:ascii="宋体" w:hAnsi="宋体" w:cs="宋体"/>
                <w:color w:val="auto"/>
                <w:sz w:val="21"/>
                <w:szCs w:val="21"/>
                <w:highlight w:val="none"/>
                <w:lang w:val="en-US" w:eastAsia="zh-CN"/>
              </w:rPr>
              <w:t xml:space="preserve">8</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常温电气系统（含配电箱）</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numPr>
                <w:ilvl w:val="0"/>
                <w:numId w:val="8"/>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一二楼</w:t>
            </w:r>
            <w:r>
              <w:rPr>
                <w:rFonts w:hint="eastAsia" w:ascii="宋体" w:hAnsi="宋体" w:eastAsia="宋体" w:cs="宋体"/>
                <w:color w:val="auto"/>
                <w:sz w:val="21"/>
                <w:szCs w:val="21"/>
                <w:highlight w:val="none"/>
              </w:rPr>
              <w:t xml:space="preserve">配电箱</w:t>
            </w:r>
            <w:r>
              <w:rPr>
                <w:rFonts w:hint="eastAsia" w:ascii="宋体" w:hAnsi="宋体" w:eastAsia="宋体" w:cs="宋体"/>
                <w:color w:val="auto"/>
                <w:sz w:val="21"/>
                <w:szCs w:val="21"/>
                <w:highlight w:val="none"/>
                <w:lang w:val="en-US" w:eastAsia="zh-CN"/>
              </w:rPr>
              <w:t xml:space="preserve">与电表空开之间用50平方五</w:t>
            </w:r>
            <w:r>
              <w:rPr>
                <w:rFonts w:hint="eastAsia" w:ascii="宋体" w:hAnsi="宋体" w:eastAsia="宋体" w:cs="宋体"/>
                <w:color w:val="auto"/>
                <w:sz w:val="21"/>
                <w:szCs w:val="21"/>
                <w:highlight w:val="none"/>
              </w:rPr>
              <w:t xml:space="preserve">芯铜芯线</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插座等使用</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平方三芯铜芯线，</w:t>
            </w:r>
            <w:r>
              <w:rPr>
                <w:rFonts w:hint="eastAsia" w:ascii="宋体" w:hAnsi="宋体" w:eastAsia="宋体" w:cs="宋体"/>
                <w:color w:val="auto"/>
                <w:sz w:val="21"/>
                <w:szCs w:val="21"/>
                <w:highlight w:val="none"/>
                <w:lang w:val="en-US" w:eastAsia="zh-CN"/>
              </w:rPr>
              <w:t xml:space="preserve">室内照明使用1.5</w:t>
            </w:r>
            <w:r>
              <w:rPr>
                <w:rFonts w:hint="eastAsia" w:ascii="宋体" w:hAnsi="宋体" w:eastAsia="宋体" w:cs="宋体"/>
                <w:color w:val="auto"/>
                <w:sz w:val="21"/>
                <w:szCs w:val="21"/>
                <w:highlight w:val="none"/>
              </w:rPr>
              <w:t xml:space="preserve">平方铜芯线</w:t>
            </w:r>
            <w:r>
              <w:rPr>
                <w:rFonts w:hint="eastAsia" w:ascii="宋体" w:hAnsi="宋体" w:eastAsia="宋体" w:cs="宋体"/>
                <w:color w:val="auto"/>
                <w:sz w:val="21"/>
                <w:szCs w:val="21"/>
                <w:highlight w:val="none"/>
                <w:lang w:val="en-US" w:eastAsia="zh-CN"/>
              </w:rPr>
              <w:t xml:space="preserve">，380V5P空调和电梯使用6平方五</w:t>
            </w:r>
            <w:r>
              <w:rPr>
                <w:rFonts w:hint="eastAsia" w:ascii="宋体" w:hAnsi="宋体" w:eastAsia="宋体" w:cs="宋体"/>
                <w:color w:val="auto"/>
                <w:sz w:val="21"/>
                <w:szCs w:val="21"/>
                <w:highlight w:val="none"/>
              </w:rPr>
              <w:t xml:space="preserve">芯铜芯线</w:t>
            </w:r>
            <w:r>
              <w:rPr>
                <w:rFonts w:hint="eastAsia" w:ascii="宋体" w:hAnsi="宋体" w:eastAsia="宋体" w:cs="宋体"/>
                <w:color w:val="auto"/>
                <w:sz w:val="21"/>
                <w:szCs w:val="21"/>
                <w:highlight w:val="none"/>
                <w:lang w:val="en-US" w:eastAsia="zh-CN"/>
              </w:rPr>
              <w:t xml:space="preserve">套管施工，户外</w:t>
            </w:r>
            <w:r>
              <w:rPr>
                <w:rFonts w:hint="eastAsia" w:ascii="宋体" w:hAnsi="宋体" w:eastAsia="宋体" w:cs="宋体"/>
                <w:color w:val="auto"/>
                <w:sz w:val="21"/>
                <w:szCs w:val="21"/>
                <w:highlight w:val="none"/>
              </w:rPr>
              <w:t xml:space="preserve">发光字</w:t>
            </w:r>
            <w:r>
              <w:rPr>
                <w:rFonts w:hint="eastAsia" w:ascii="宋体" w:hAnsi="宋体" w:eastAsia="宋体" w:cs="宋体"/>
                <w:color w:val="auto"/>
                <w:sz w:val="21"/>
                <w:szCs w:val="21"/>
                <w:highlight w:val="none"/>
                <w:lang w:val="en-US" w:eastAsia="zh-CN"/>
              </w:rPr>
              <w:t xml:space="preserve">条屏</w:t>
            </w:r>
            <w:r>
              <w:rPr>
                <w:rFonts w:hint="eastAsia" w:ascii="宋体" w:hAnsi="宋体" w:eastAsia="宋体" w:cs="宋体"/>
                <w:color w:val="auto"/>
                <w:sz w:val="21"/>
                <w:szCs w:val="21"/>
                <w:highlight w:val="none"/>
              </w:rPr>
              <w:t xml:space="preserve">使用2.5平方三芯铜芯线</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大屏</w:t>
            </w:r>
            <w:r>
              <w:rPr>
                <w:rFonts w:hint="eastAsia" w:ascii="宋体" w:hAnsi="宋体" w:eastAsia="宋体" w:cs="宋体"/>
                <w:color w:val="auto"/>
                <w:sz w:val="21"/>
                <w:szCs w:val="21"/>
                <w:highlight w:val="none"/>
              </w:rPr>
              <w:t xml:space="preserve">使用</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平方三芯铜芯线</w:t>
            </w:r>
            <w:r>
              <w:rPr>
                <w:rFonts w:hint="eastAsia" w:ascii="宋体" w:hAnsi="宋体" w:eastAsia="宋体" w:cs="宋体"/>
                <w:color w:val="auto"/>
                <w:sz w:val="21"/>
                <w:szCs w:val="21"/>
                <w:highlight w:val="none"/>
                <w:lang w:val="en-US" w:eastAsia="zh-CN"/>
              </w:rPr>
              <w:t xml:space="preserve">套管施工并做好防水措施</w:t>
            </w:r>
            <w:r>
              <w:rPr>
                <w:rFonts w:hint="eastAsia" w:ascii="宋体" w:hAnsi="宋体" w:eastAsia="宋体" w:cs="宋体"/>
                <w:color w:val="auto"/>
                <w:sz w:val="21"/>
                <w:szCs w:val="21"/>
                <w:highlight w:val="none"/>
              </w:rPr>
              <w:t xml:space="preserve">。</w:t>
            </w:r>
            <w:r/>
          </w:p>
          <w:p>
            <w:pPr>
              <w:numPr>
                <w:ilvl w:val="0"/>
                <w:numId w:val="8"/>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室内墙壁上布置若干电源插座。电气总控制箱使用</w:t>
            </w:r>
            <w:r>
              <w:rPr>
                <w:rFonts w:hint="eastAsia" w:ascii="宋体" w:hAnsi="宋体" w:eastAsia="宋体" w:cs="宋体"/>
                <w:color w:val="auto"/>
                <w:sz w:val="21"/>
                <w:szCs w:val="21"/>
                <w:highlight w:val="none"/>
                <w:lang w:val="en-US" w:eastAsia="zh-CN"/>
              </w:rPr>
              <w:t xml:space="preserve">不锈钢材质</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暗</w:t>
            </w:r>
            <w:r>
              <w:rPr>
                <w:rFonts w:hint="eastAsia" w:ascii="宋体" w:hAnsi="宋体" w:eastAsia="宋体" w:cs="宋体"/>
                <w:color w:val="auto"/>
                <w:sz w:val="21"/>
                <w:szCs w:val="21"/>
                <w:highlight w:val="none"/>
              </w:rPr>
              <w:t xml:space="preserve">装布置，位置于</w:t>
            </w:r>
            <w:r>
              <w:rPr>
                <w:rFonts w:hint="eastAsia" w:ascii="宋体" w:hAnsi="宋体" w:eastAsia="宋体" w:cs="宋体"/>
                <w:color w:val="auto"/>
                <w:sz w:val="21"/>
                <w:szCs w:val="21"/>
                <w:highlight w:val="none"/>
                <w:lang w:val="en-US" w:eastAsia="zh-CN"/>
              </w:rPr>
              <w:t xml:space="preserve">1楼进门口和2楼楼梯口等便于</w:t>
            </w:r>
            <w:r>
              <w:rPr>
                <w:rFonts w:hint="eastAsia" w:ascii="宋体" w:hAnsi="宋体" w:eastAsia="宋体" w:cs="宋体"/>
                <w:color w:val="auto"/>
                <w:sz w:val="21"/>
                <w:szCs w:val="21"/>
                <w:highlight w:val="none"/>
              </w:rPr>
              <w:t xml:space="preserve">运维检修操作</w:t>
            </w:r>
            <w:r>
              <w:rPr>
                <w:rFonts w:hint="eastAsia" w:ascii="宋体" w:hAnsi="宋体" w:eastAsia="宋体" w:cs="宋体"/>
                <w:color w:val="auto"/>
                <w:sz w:val="21"/>
                <w:szCs w:val="21"/>
                <w:highlight w:val="none"/>
                <w:lang w:val="en-US" w:eastAsia="zh-CN"/>
              </w:rPr>
              <w:t xml:space="preserve">位置</w:t>
            </w:r>
            <w:r>
              <w:rPr>
                <w:rFonts w:hint="eastAsia" w:ascii="宋体" w:hAnsi="宋体" w:eastAsia="宋体" w:cs="宋体"/>
                <w:color w:val="auto"/>
                <w:sz w:val="21"/>
                <w:szCs w:val="21"/>
                <w:highlight w:val="none"/>
              </w:rPr>
              <w:t xml:space="preserve">；箱内安装整屋控制系统及</w:t>
            </w:r>
            <w:r>
              <w:rPr>
                <w:rFonts w:hint="eastAsia" w:ascii="宋体" w:hAnsi="宋体" w:eastAsia="宋体" w:cs="宋体"/>
                <w:color w:val="auto"/>
                <w:sz w:val="21"/>
                <w:szCs w:val="21"/>
                <w:highlight w:val="none"/>
                <w:lang w:val="en-US" w:eastAsia="zh-CN"/>
              </w:rPr>
              <w:t xml:space="preserve">线路空开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各功能区插座，动力，照明分开，一二楼电源进线分开。</w:t>
            </w:r>
            <w:r/>
          </w:p>
          <w:p>
            <w:pPr>
              <w:numPr>
                <w:ilvl w:val="0"/>
                <w:numId w:val="8"/>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为确保整屋供电安全，配电箱内设置过载保护开关、漏电保护开关、防雷开关，</w:t>
            </w:r>
            <w:r>
              <w:rPr>
                <w:rFonts w:hint="eastAsia" w:ascii="宋体" w:hAnsi="宋体" w:eastAsia="宋体" w:cs="宋体"/>
                <w:color w:val="auto"/>
                <w:sz w:val="21"/>
                <w:szCs w:val="21"/>
                <w:highlight w:val="none"/>
                <w:lang w:val="en-US" w:eastAsia="zh-CN"/>
              </w:rPr>
              <w:t xml:space="preserve">零</w:t>
            </w:r>
            <w:r>
              <w:rPr>
                <w:rFonts w:hint="eastAsia" w:ascii="宋体" w:hAnsi="宋体" w:eastAsia="宋体" w:cs="宋体"/>
                <w:color w:val="auto"/>
                <w:sz w:val="21"/>
                <w:szCs w:val="21"/>
                <w:highlight w:val="none"/>
              </w:rPr>
              <w:t xml:space="preserve">地装置。</w:t>
            </w:r>
            <w:r>
              <w:rPr>
                <w:rFonts w:hint="eastAsia" w:ascii="宋体" w:hAnsi="宋体" w:eastAsia="宋体" w:cs="宋体"/>
                <w:color w:val="auto"/>
                <w:sz w:val="21"/>
                <w:szCs w:val="21"/>
                <w:highlight w:val="none"/>
                <w:lang w:val="en-US" w:eastAsia="zh-CN"/>
              </w:rPr>
              <w:t xml:space="preserve">室外</w:t>
            </w:r>
            <w:r>
              <w:rPr>
                <w:rFonts w:hint="eastAsia" w:ascii="宋体" w:hAnsi="宋体" w:eastAsia="宋体" w:cs="宋体"/>
                <w:color w:val="auto"/>
                <w:sz w:val="21"/>
                <w:szCs w:val="21"/>
                <w:highlight w:val="none"/>
              </w:rPr>
              <w:t xml:space="preserve">发光字、</w:t>
            </w:r>
            <w:r>
              <w:rPr>
                <w:rFonts w:hint="eastAsia" w:ascii="宋体" w:hAnsi="宋体" w:eastAsia="宋体" w:cs="宋体"/>
                <w:color w:val="auto"/>
                <w:sz w:val="21"/>
                <w:szCs w:val="21"/>
                <w:highlight w:val="none"/>
                <w:lang w:val="en-US" w:eastAsia="zh-CN"/>
              </w:rPr>
              <w:t xml:space="preserve">条屏</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大屏</w:t>
            </w:r>
            <w:r>
              <w:rPr>
                <w:rFonts w:hint="eastAsia" w:ascii="宋体" w:hAnsi="宋体" w:eastAsia="宋体" w:cs="宋体"/>
                <w:color w:val="auto"/>
                <w:sz w:val="21"/>
                <w:szCs w:val="21"/>
                <w:highlight w:val="none"/>
              </w:rPr>
              <w:t xml:space="preserve">设备等单独回路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使用时控器控制，功率较大的使用交流接触器控制</w:t>
            </w:r>
            <w:r>
              <w:rPr>
                <w:rFonts w:hint="eastAsia" w:ascii="宋体" w:hAnsi="宋体" w:eastAsia="宋体" w:cs="宋体"/>
                <w:color w:val="auto"/>
                <w:sz w:val="21"/>
                <w:szCs w:val="21"/>
                <w:highlight w:val="none"/>
              </w:rPr>
              <w:t xml:space="preserve">。</w:t>
            </w:r>
            <w:r/>
          </w:p>
          <w:p>
            <w:pPr>
              <w:numPr>
                <w:ilvl w:val="0"/>
                <w:numId w:val="8"/>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献血屋顶铺设防</w:t>
            </w:r>
            <w:r>
              <w:rPr>
                <w:rFonts w:hint="eastAsia" w:ascii="宋体" w:hAnsi="宋体" w:eastAsia="宋体" w:cs="宋体"/>
                <w:color w:val="auto"/>
                <w:sz w:val="21"/>
                <w:szCs w:val="21"/>
                <w:highlight w:val="none"/>
              </w:rPr>
              <w:t xml:space="preserve">雷</w:t>
            </w:r>
            <w:r>
              <w:rPr>
                <w:rFonts w:hint="eastAsia" w:ascii="宋体" w:hAnsi="宋体" w:eastAsia="宋体" w:cs="宋体"/>
                <w:color w:val="auto"/>
                <w:sz w:val="21"/>
                <w:szCs w:val="21"/>
                <w:highlight w:val="none"/>
                <w:lang w:val="en-US" w:eastAsia="zh-CN"/>
              </w:rPr>
              <w:t xml:space="preserve">装置（出具防</w:t>
            </w:r>
            <w:r>
              <w:rPr>
                <w:rFonts w:hint="eastAsia" w:ascii="宋体" w:hAnsi="宋体" w:eastAsia="宋体" w:cs="宋体"/>
                <w:color w:val="auto"/>
                <w:sz w:val="21"/>
                <w:szCs w:val="21"/>
                <w:highlight w:val="none"/>
              </w:rPr>
              <w:t xml:space="preserve">雷</w:t>
            </w:r>
            <w:r>
              <w:rPr>
                <w:rFonts w:hint="eastAsia" w:ascii="宋体" w:hAnsi="宋体" w:eastAsia="宋体" w:cs="宋体"/>
                <w:color w:val="auto"/>
                <w:sz w:val="21"/>
                <w:szCs w:val="21"/>
                <w:highlight w:val="none"/>
                <w:lang w:val="en-US" w:eastAsia="zh-CN"/>
              </w:rPr>
              <w:t xml:space="preserve">检测报告），弱电</w:t>
            </w:r>
            <w:r>
              <w:rPr>
                <w:rFonts w:hint="eastAsia" w:ascii="宋体" w:hAnsi="宋体" w:eastAsia="宋体" w:cs="宋体"/>
                <w:color w:val="auto"/>
                <w:sz w:val="21"/>
                <w:szCs w:val="21"/>
                <w:highlight w:val="none"/>
              </w:rPr>
              <w:t xml:space="preserve">柜与登记体检吧台之间预埋 2 条网线。</w:t>
            </w:r>
            <w:r/>
          </w:p>
          <w:p>
            <w:pPr>
              <w:numPr>
                <w:ilvl w:val="0"/>
                <w:numId w:val="8"/>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所有</w:t>
            </w:r>
            <w:r>
              <w:rPr>
                <w:rFonts w:hint="eastAsia" w:ascii="宋体" w:hAnsi="宋体" w:eastAsia="宋体" w:cs="宋体"/>
                <w:color w:val="auto"/>
                <w:sz w:val="21"/>
                <w:szCs w:val="21"/>
                <w:highlight w:val="none"/>
              </w:rPr>
              <w:t xml:space="preserve">电源进</w:t>
            </w:r>
            <w:r>
              <w:rPr>
                <w:rFonts w:hint="eastAsia" w:ascii="宋体" w:hAnsi="宋体" w:eastAsia="宋体" w:cs="宋体"/>
                <w:color w:val="auto"/>
                <w:sz w:val="21"/>
                <w:szCs w:val="21"/>
                <w:highlight w:val="none"/>
                <w:lang w:val="en-US" w:eastAsia="zh-CN"/>
              </w:rPr>
              <w:t xml:space="preserve">出</w:t>
            </w:r>
            <w:r>
              <w:rPr>
                <w:rFonts w:hint="eastAsia" w:ascii="宋体" w:hAnsi="宋体" w:eastAsia="宋体" w:cs="宋体"/>
                <w:color w:val="auto"/>
                <w:sz w:val="21"/>
                <w:szCs w:val="21"/>
                <w:highlight w:val="none"/>
              </w:rPr>
              <w:t xml:space="preserve">线均采用隐藏式，施工采用穿线管</w:t>
            </w:r>
            <w:r>
              <w:rPr>
                <w:rFonts w:hint="eastAsia" w:ascii="宋体" w:hAnsi="宋体" w:eastAsia="宋体" w:cs="宋体"/>
                <w:color w:val="auto"/>
                <w:sz w:val="21"/>
                <w:szCs w:val="21"/>
                <w:highlight w:val="none"/>
                <w:lang w:val="en-US" w:eastAsia="zh-CN"/>
              </w:rPr>
              <w:t xml:space="preserve">施工</w:t>
            </w:r>
            <w:r>
              <w:rPr>
                <w:rFonts w:hint="eastAsia" w:ascii="宋体" w:hAnsi="宋体" w:eastAsia="宋体" w:cs="宋体"/>
                <w:color w:val="auto"/>
                <w:sz w:val="21"/>
                <w:szCs w:val="21"/>
                <w:highlight w:val="none"/>
              </w:rPr>
              <w:t xml:space="preserve">，符合《建筑电气与智能化通用规范》GB 55024-2022、《建筑电气工程施工质量验收规范》GB 50303-2015、《低压配电设计规范》GB 50054-2011、《建筑物防雷设计规范》GB 50057-2010等电气装置安装工程系列标准</w:t>
            </w:r>
            <w:r>
              <w:rPr>
                <w:rFonts w:hint="eastAsia" w:ascii="宋体" w:hAnsi="宋体" w:eastAsia="宋体" w:cs="宋体"/>
                <w:color w:val="auto"/>
                <w:sz w:val="21"/>
                <w:szCs w:val="21"/>
                <w:highlight w:val="none"/>
                <w:lang w:val="en-US" w:eastAsia="zh-CN"/>
              </w:rPr>
              <w:t xml:space="preserve">要求</w:t>
            </w:r>
            <w:r>
              <w:rPr>
                <w:rFonts w:hint="eastAsia" w:ascii="宋体" w:hAnsi="宋体" w:eastAsia="宋体" w:cs="宋体"/>
                <w:color w:val="auto"/>
                <w:sz w:val="21"/>
                <w:szCs w:val="21"/>
                <w:highlight w:val="none"/>
              </w:rPr>
              <w:t xml:space="preserve">。</w:t>
            </w:r>
            <w:r/>
          </w:p>
          <w:p>
            <w:pPr>
              <w:numPr>
                <w:ilvl w:val="0"/>
                <w:numId w:val="0"/>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1套</w:t>
            </w:r>
            <w:r/>
          </w:p>
        </w:tc>
      </w:tr>
      <w:tr>
        <w:trPr>
          <w:trHeight w:val="525"/>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eastAsia" w:ascii="宋体" w:hAnsi="宋体" w:eastAsia="宋体" w:cs="宋体"/>
                <w:color w:val="auto"/>
                <w:sz w:val="21"/>
                <w:szCs w:val="21"/>
                <w:highlight w:val="none"/>
                <w:lang w:eastAsia="zh-CN"/>
              </w:rPr>
              <w:outlineLvl w:val="0"/>
            </w:pPr>
            <w:r>
              <w:rPr>
                <w:rFonts w:hint="eastAsia" w:ascii="宋体" w:hAnsi="宋体" w:cs="宋体"/>
                <w:color w:val="auto"/>
                <w:sz w:val="21"/>
                <w:szCs w:val="21"/>
                <w:highlight w:val="none"/>
                <w:lang w:val="en-US" w:eastAsia="zh-CN"/>
              </w:rPr>
              <w:t xml:space="preserve">9</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照明系统</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numPr>
                <w:ilvl w:val="0"/>
                <w:numId w:val="9"/>
              </w:numPr>
              <w:jc w:val="left"/>
              <w:spacing w:line="360" w:lineRule="auto"/>
              <w:widowControl/>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各区照明单独控制（多联开关），照明灯LED平板灯、嵌入式安装，LED 灯带、LED 筒灯配置</w:t>
            </w:r>
            <w:r>
              <w:rPr>
                <w:rFonts w:hint="eastAsia" w:ascii="宋体" w:hAnsi="宋体" w:cs="宋体"/>
                <w:color w:val="auto"/>
                <w:sz w:val="21"/>
                <w:szCs w:val="21"/>
                <w:highlight w:val="none"/>
                <w:lang w:val="en-US" w:eastAsia="zh-CN"/>
              </w:rPr>
              <w:t xml:space="preserve">等根据设计要求安装</w:t>
            </w:r>
            <w:r>
              <w:rPr>
                <w:rFonts w:hint="eastAsia" w:ascii="宋体" w:hAnsi="宋体" w:eastAsia="宋体" w:cs="宋体"/>
                <w:color w:val="auto"/>
                <w:sz w:val="21"/>
                <w:szCs w:val="21"/>
                <w:highlight w:val="none"/>
              </w:rPr>
              <w:t xml:space="preserve">，符合建筑照明设计标准照明数量按面积合理布置</w:t>
            </w:r>
            <w:r>
              <w:rPr>
                <w:rFonts w:hint="eastAsia" w:ascii="宋体" w:hAnsi="宋体" w:cs="宋体"/>
                <w:color w:val="auto"/>
                <w:sz w:val="21"/>
                <w:szCs w:val="21"/>
                <w:highlight w:val="none"/>
                <w:lang w:eastAsia="zh-CN"/>
              </w:rPr>
              <w:t xml:space="preserve">。</w:t>
            </w:r>
            <w:r/>
          </w:p>
          <w:p>
            <w:pPr>
              <w:numPr>
                <w:ilvl w:val="0"/>
                <w:numId w:val="9"/>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工作区域操作面照度≥300lx</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保证明亮无死角</w:t>
            </w:r>
            <w:r>
              <w:rPr>
                <w:rFonts w:hint="eastAsia" w:ascii="宋体" w:hAnsi="宋体" w:cs="宋体"/>
                <w:color w:val="auto"/>
                <w:sz w:val="21"/>
                <w:szCs w:val="21"/>
                <w:highlight w:val="none"/>
                <w:lang w:eastAsia="zh-CN"/>
              </w:rPr>
              <w:t xml:space="preserve">。</w:t>
            </w:r>
            <w:r/>
          </w:p>
          <w:p>
            <w:pPr>
              <w:numPr>
                <w:ilvl w:val="0"/>
                <w:numId w:val="9"/>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每个</w:t>
            </w:r>
            <w:r>
              <w:rPr>
                <w:rFonts w:hint="eastAsia" w:ascii="宋体" w:hAnsi="宋体" w:eastAsia="宋体" w:cs="宋体"/>
                <w:color w:val="auto"/>
                <w:sz w:val="21"/>
                <w:szCs w:val="21"/>
                <w:highlight w:val="none"/>
                <w:lang w:val="en-US" w:eastAsia="zh-CN"/>
              </w:rPr>
              <w:t xml:space="preserve">区域按照消防设施标准配置符合最新国标</w:t>
            </w:r>
            <w:r>
              <w:rPr>
                <w:rFonts w:hint="eastAsia" w:ascii="宋体" w:hAnsi="宋体" w:eastAsia="宋体" w:cs="宋体"/>
                <w:color w:val="auto"/>
                <w:sz w:val="21"/>
                <w:szCs w:val="21"/>
                <w:highlight w:val="none"/>
              </w:rPr>
              <w:t xml:space="preserve">LED</w:t>
            </w:r>
            <w:r>
              <w:rPr>
                <w:rFonts w:hint="eastAsia" w:ascii="宋体" w:hAnsi="宋体" w:eastAsia="宋体" w:cs="宋体"/>
                <w:color w:val="auto"/>
                <w:sz w:val="21"/>
                <w:szCs w:val="21"/>
                <w:highlight w:val="none"/>
                <w:lang w:val="en-US" w:eastAsia="zh-CN"/>
              </w:rPr>
              <w:t xml:space="preserve">应</w:t>
            </w:r>
            <w:r>
              <w:rPr>
                <w:rFonts w:hint="eastAsia" w:ascii="宋体" w:hAnsi="宋体" w:eastAsia="宋体" w:cs="宋体"/>
                <w:color w:val="auto"/>
                <w:sz w:val="21"/>
                <w:szCs w:val="21"/>
                <w:highlight w:val="none"/>
              </w:rPr>
              <w:t xml:space="preserve">急照明灯</w:t>
            </w:r>
            <w:r>
              <w:rPr>
                <w:rFonts w:hint="eastAsia" w:ascii="宋体" w:hAnsi="宋体" w:eastAsia="宋体" w:cs="宋体"/>
                <w:color w:val="auto"/>
                <w:sz w:val="21"/>
                <w:szCs w:val="21"/>
                <w:highlight w:val="none"/>
                <w:lang w:val="en-US" w:eastAsia="zh-CN"/>
              </w:rPr>
              <w:t xml:space="preserve">和安全出口指示牌。</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1套</w:t>
            </w:r>
            <w:r/>
          </w:p>
        </w:tc>
      </w:tr>
      <w:tr>
        <w:trPr>
          <w:trHeight w:val="525"/>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default" w:ascii="宋体" w:hAnsi="宋体" w:eastAsia="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t xml:space="preserve">10</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widowControl/>
              <w:rPr>
                <w:rFonts w:hint="eastAsia" w:ascii="宋体" w:hAnsi="宋体" w:eastAsia="宋体" w:cs="宋体"/>
                <w:color w:val="auto"/>
                <w:sz w:val="21"/>
                <w:szCs w:val="21"/>
                <w:highlight w:val="none"/>
              </w:rPr>
            </w:pPr>
            <w:r/>
            <w:bookmarkStart w:id="1" w:name="OLE_LINK3"/>
            <w:r>
              <w:rPr>
                <w:rFonts w:hint="eastAsia" w:ascii="宋体" w:hAnsi="宋体" w:eastAsia="宋体" w:cs="宋体"/>
                <w:color w:val="auto"/>
                <w:sz w:val="21"/>
                <w:szCs w:val="21"/>
                <w:highlight w:val="none"/>
              </w:rPr>
              <w:t xml:space="preserve">空气调节系统</w:t>
            </w:r>
            <w:bookmarkEnd w:id="1"/>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pStyle w:val="858"/>
              <w:ind w:left="0"/>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bidi="ar-SA"/>
              </w:rPr>
              <w:t xml:space="preserve">1.新风系统 2套</w:t>
            </w:r>
            <w:r>
              <w:rPr>
                <w:rFonts w:hint="eastAsia" w:ascii="宋体" w:hAnsi="宋体" w:cs="宋体"/>
                <w:color w:val="auto"/>
                <w:sz w:val="21"/>
                <w:szCs w:val="21"/>
                <w:highlight w:val="none"/>
                <w:lang w:val="en-US" w:eastAsia="zh-CN" w:bidi="ar-SA"/>
              </w:rPr>
              <w:t xml:space="preserve">。</w:t>
            </w:r>
            <w:r/>
          </w:p>
          <w:p>
            <w:pPr>
              <w:pStyle w:val="858"/>
              <w:ind w:left="0"/>
              <w:jc w:val="left"/>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1）室内吸顶新风系统，降甲醛，过滤PM2.5双向全热交换器新风机。</w:t>
            </w: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新风系统噪音≤40dB (A)；吊装于吊顶内部，多风口布置；2）送风量：225m³/h。</w:t>
            </w:r>
            <w:r>
              <w:rPr>
                <w:rFonts w:hint="eastAsia" w:ascii="宋体" w:hAnsi="宋体" w:eastAsia="宋体" w:cs="宋体"/>
                <w:color w:val="ff0000"/>
                <w:sz w:val="21"/>
                <w:szCs w:val="21"/>
                <w:highlight w:val="none"/>
                <w:lang w:val="en-US" w:bidi="ar-SA"/>
              </w:rPr>
              <w:t xml:space="preserve">  </w:t>
            </w:r>
            <w:r>
              <w:rPr>
                <w:rFonts w:hint="eastAsia" w:ascii="宋体" w:hAnsi="宋体" w:eastAsia="宋体" w:cs="宋体"/>
                <w:color w:val="auto"/>
                <w:sz w:val="21"/>
                <w:szCs w:val="21"/>
                <w:highlight w:val="none"/>
                <w:lang w:val="en-US" w:bidi="ar-SA"/>
              </w:rPr>
              <w:t xml:space="preserve"> </w:t>
            </w:r>
            <w:r/>
          </w:p>
          <w:p>
            <w:pPr>
              <w:pStyle w:val="858"/>
              <w:ind w:left="0"/>
              <w:jc w:val="left"/>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3）电压：AC220V。</w:t>
            </w:r>
            <w:r/>
          </w:p>
          <w:p>
            <w:pPr>
              <w:pStyle w:val="858"/>
              <w:ind w:left="0"/>
              <w:jc w:val="left"/>
              <w:spacing w:line="360" w:lineRule="auto"/>
              <w:rPr>
                <w:rFonts w:hint="eastAsia" w:ascii="宋体" w:hAnsi="宋体" w:eastAsia="宋体" w:cs="宋体"/>
                <w:color w:val="auto"/>
                <w:sz w:val="21"/>
                <w:szCs w:val="21"/>
                <w:highlight w:val="none"/>
                <w:lang w:val="en-US" w:bidi="ar-SA"/>
              </w:rPr>
            </w:pPr>
            <w:r/>
            <w:bookmarkStart w:id="2" w:name="OLE_LINK40"/>
            <w:r>
              <w:rPr>
                <w:rFonts w:hint="eastAsia" w:ascii="宋体" w:hAnsi="宋体" w:eastAsia="宋体" w:cs="宋体"/>
                <w:color w:val="auto"/>
                <w:sz w:val="21"/>
                <w:szCs w:val="21"/>
                <w:highlight w:val="none"/>
                <w:lang w:val="en-US" w:bidi="ar-SA"/>
              </w:rPr>
              <w:t xml:space="preserve">4）</w:t>
            </w:r>
            <w:bookmarkEnd w:id="2"/>
            <w:r>
              <w:rPr>
                <w:rFonts w:hint="eastAsia" w:ascii="宋体" w:hAnsi="宋体" w:eastAsia="宋体" w:cs="宋体"/>
                <w:color w:val="auto"/>
                <w:sz w:val="21"/>
                <w:szCs w:val="21"/>
                <w:highlight w:val="none"/>
                <w:lang w:val="en-US" w:bidi="ar-SA"/>
              </w:rPr>
              <w:t xml:space="preserve">功率：150W。   </w:t>
            </w:r>
            <w:r/>
          </w:p>
          <w:p>
            <w:pPr>
              <w:pStyle w:val="858"/>
              <w:ind w:left="0"/>
              <w:jc w:val="left"/>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5）控制方式：遥控。</w:t>
            </w:r>
            <w:r/>
          </w:p>
          <w:p>
            <w:pPr>
              <w:pStyle w:val="858"/>
              <w:ind w:left="0"/>
              <w:jc w:val="left"/>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6）尺寸：≥701×380×200mm。</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7）功能：全热交换，过滤PM2.5。</w:t>
            </w:r>
            <w:r/>
          </w:p>
          <w:p>
            <w:pPr>
              <w:pStyle w:val="858"/>
              <w:ind w:left="0"/>
              <w:jc w:val="left"/>
              <w:spacing w:line="360" w:lineRule="auto"/>
              <w:rPr>
                <w:rFonts w:hint="eastAsia" w:ascii="宋体" w:hAnsi="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rPr>
              <w:t xml:space="preserve">.</w:t>
            </w:r>
            <w:r>
              <w:rPr>
                <w:rFonts w:hint="eastAsia" w:ascii="宋体" w:hAnsi="宋体" w:eastAsia="宋体" w:cs="宋体"/>
                <w:color w:val="auto"/>
                <w:sz w:val="21"/>
                <w:szCs w:val="21"/>
                <w:highlight w:val="none"/>
              </w:rPr>
              <w:t xml:space="preserve">温控系统</w:t>
            </w:r>
            <w:r>
              <w:rPr>
                <w:rFonts w:hint="eastAsia" w:ascii="宋体" w:hAnsi="宋体" w:eastAsia="宋体" w:cs="宋体"/>
                <w:color w:val="auto"/>
                <w:sz w:val="21"/>
                <w:szCs w:val="21"/>
                <w:highlight w:val="none"/>
                <w:lang w:val="en-US" w:bidi="ar-SA"/>
              </w:rPr>
              <w:t xml:space="preserve">，数量4套，5 匹吸顶式天井机（嵌入式天花机）</w:t>
            </w:r>
            <w:r>
              <w:rPr>
                <w:rFonts w:hint="eastAsia" w:ascii="宋体" w:hAnsi="宋体" w:cs="宋体"/>
                <w:color w:val="auto"/>
                <w:sz w:val="21"/>
                <w:szCs w:val="21"/>
                <w:highlight w:val="none"/>
                <w:lang w:val="en-US" w:eastAsia="zh-CN" w:bidi="ar-SA"/>
              </w:rPr>
              <w:t xml:space="preserve">：冷暖类型：冷暖电辅型</w:t>
            </w:r>
            <w:r/>
          </w:p>
          <w:p>
            <w:pPr>
              <w:pStyle w:val="858"/>
              <w:ind w:left="0"/>
              <w:jc w:val="left"/>
              <w:spacing w:line="360" w:lineRule="auto"/>
              <w:rPr>
                <w:rFonts w:hint="eastAsia" w:ascii="宋体" w:hAnsi="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bidi="ar-SA"/>
              </w:rPr>
              <w:t xml:space="preserve">1）</w:t>
            </w:r>
            <w:r>
              <w:rPr>
                <w:rFonts w:hint="eastAsia" w:ascii="宋体" w:hAnsi="宋体" w:cs="宋体"/>
                <w:color w:val="auto"/>
                <w:sz w:val="21"/>
                <w:szCs w:val="21"/>
                <w:highlight w:val="none"/>
                <w:lang w:val="en-US" w:eastAsia="zh-CN" w:bidi="ar-SA"/>
              </w:rPr>
              <w:t xml:space="preserve">变频方式：变频</w:t>
            </w:r>
            <w:r/>
          </w:p>
          <w:p>
            <w:pPr>
              <w:pStyle w:val="858"/>
              <w:ind w:left="0"/>
              <w:jc w:val="left"/>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2）电源规格：380V/50Hz</w:t>
            </w:r>
            <w:r/>
          </w:p>
          <w:p>
            <w:pPr>
              <w:pStyle w:val="858"/>
              <w:ind w:left="0"/>
              <w:jc w:val="left"/>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3）能效等级：二级及以上（能效比≥3.0）</w:t>
            </w:r>
            <w:r/>
          </w:p>
          <w:p>
            <w:pPr>
              <w:pStyle w:val="858"/>
              <w:ind w:left="0"/>
              <w:jc w:val="left"/>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3）循环风量：≥2000m³/h</w:t>
            </w:r>
            <w:r/>
          </w:p>
          <w:p>
            <w:pPr>
              <w:pStyle w:val="858"/>
              <w:ind w:left="0"/>
              <w:jc w:val="left"/>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4）室内机噪音：≤50dB(A)</w:t>
            </w:r>
            <w:r/>
          </w:p>
          <w:p>
            <w:pPr>
              <w:pStyle w:val="858"/>
              <w:ind w:left="0"/>
              <w:jc w:val="left"/>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5）室外机噪音：≤62dB(A)</w:t>
            </w:r>
            <w:r/>
          </w:p>
          <w:p>
            <w:pPr>
              <w:pStyle w:val="858"/>
              <w:ind w:left="0"/>
              <w:jc w:val="left"/>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6）冷媒类型：R32 或 R410a（环保新冷媒）</w:t>
            </w:r>
            <w:r/>
          </w:p>
          <w:p>
            <w:pPr>
              <w:pStyle w:val="858"/>
              <w:ind w:left="0"/>
              <w:jc w:val="left"/>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7）适用面积：单套适用 45～75㎡</w:t>
            </w:r>
            <w:r/>
          </w:p>
          <w:p>
            <w:pPr>
              <w:pStyle w:val="858"/>
              <w:ind w:left="0"/>
              <w:jc w:val="left"/>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8）需具备自动除霜、断电记忆、故障自诊断功能。</w:t>
            </w:r>
            <w:r/>
          </w:p>
          <w:p>
            <w:pPr>
              <w:pStyle w:val="858"/>
              <w:ind w:left="0"/>
              <w:jc w:val="left"/>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9）安装方式：室内机吸顶嵌入式安装，室外机落地或支架安装（由投标人勘查后确定）</w:t>
            </w:r>
            <w:r/>
          </w:p>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SA"/>
              </w:rPr>
              <w:t xml:space="preserve">10）质保期：整机质保不少于 6年（压缩机等主要部件同期限），质保</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期内免费上门维修、更换零配件。</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套</w:t>
            </w:r>
            <w:r/>
          </w:p>
        </w:tc>
      </w:tr>
      <w:tr>
        <w:trPr>
          <w:trHeight w:val="525"/>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default" w:ascii="宋体" w:hAnsi="宋体" w:eastAsia="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t xml:space="preserve">11</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监控系统</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共为</w:t>
            </w:r>
            <w:r>
              <w:rPr>
                <w:rFonts w:hint="default" w:ascii="宋体" w:hAnsi="宋体" w:eastAsia="宋体" w:cs="宋体"/>
                <w:color w:val="auto"/>
                <w:sz w:val="21"/>
                <w:szCs w:val="21"/>
                <w:highlight w:val="none"/>
                <w:lang w:val="en-US"/>
              </w:rPr>
              <w:t xml:space="preserve">12</w:t>
            </w:r>
            <w:r>
              <w:rPr>
                <w:rFonts w:hint="eastAsia" w:ascii="宋体" w:hAnsi="宋体" w:eastAsia="宋体" w:cs="宋体"/>
                <w:color w:val="auto"/>
                <w:sz w:val="21"/>
                <w:szCs w:val="21"/>
                <w:highlight w:val="none"/>
              </w:rPr>
              <w:t xml:space="preserve">处高清摄像头（屋外4处、屋内8处）电源、网线汇集在集中设备柜子内（六类网线）</w:t>
            </w:r>
            <w:r/>
          </w:p>
          <w:p>
            <w:pPr>
              <w:numPr>
                <w:ilvl w:val="0"/>
                <w:numId w:val="10"/>
              </w:numPr>
              <w:jc w:val="left"/>
              <w:spacing w:line="360" w:lineRule="auto"/>
              <w:widowControl/>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液晶显示器</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配置</w:t>
            </w:r>
            <w:r>
              <w:rPr>
                <w:rFonts w:hint="eastAsia" w:ascii="宋体" w:hAnsi="宋体" w:eastAsia="宋体" w:cs="宋体"/>
                <w:color w:val="auto"/>
                <w:sz w:val="21"/>
                <w:szCs w:val="21"/>
                <w:highlight w:val="none"/>
              </w:rPr>
              <w:t xml:space="preserve">≥19寸液晶显示器1台</w:t>
            </w:r>
            <w:r>
              <w:rPr>
                <w:rFonts w:hint="eastAsia" w:ascii="宋体" w:hAnsi="宋体" w:cs="宋体"/>
                <w:color w:val="auto"/>
                <w:sz w:val="21"/>
                <w:szCs w:val="21"/>
                <w:highlight w:val="none"/>
                <w:lang w:eastAsia="zh-CN"/>
              </w:rPr>
              <w:t xml:space="preserve">。</w:t>
            </w:r>
            <w:r/>
          </w:p>
          <w:p>
            <w:pPr>
              <w:numPr>
                <w:ilvl w:val="0"/>
                <w:numId w:val="10"/>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室内半球摄像机≥400 万像素，≥1/3 英寸 CMOS，分辨率≥2560×1440，内置 MIC 录音，IP67 防护，支持 H.264/H.265，宽动态</w:t>
            </w:r>
            <w:r>
              <w:rPr>
                <w:rFonts w:hint="eastAsia" w:ascii="宋体" w:hAnsi="宋体" w:cs="宋体"/>
                <w:color w:val="auto"/>
                <w:sz w:val="21"/>
                <w:szCs w:val="21"/>
                <w:highlight w:val="none"/>
                <w:lang w:eastAsia="zh-CN"/>
              </w:rPr>
              <w:t xml:space="preserve">。</w:t>
            </w:r>
            <w:r/>
          </w:p>
          <w:p>
            <w:pPr>
              <w:numPr>
                <w:ilvl w:val="0"/>
                <w:numId w:val="10"/>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室外枪机≥400 万像素，≥1/1.8 英寸 CMOS，IP67 防护</w:t>
            </w:r>
            <w:r>
              <w:rPr>
                <w:rFonts w:hint="eastAsia" w:ascii="宋体" w:hAnsi="宋体" w:cs="宋体"/>
                <w:color w:val="auto"/>
                <w:sz w:val="21"/>
                <w:szCs w:val="21"/>
                <w:highlight w:val="none"/>
                <w:lang w:eastAsia="zh-CN"/>
              </w:rPr>
              <w:t xml:space="preserve">。</w:t>
            </w:r>
            <w:r/>
          </w:p>
          <w:p>
            <w:pPr>
              <w:numPr>
                <w:ilvl w:val="0"/>
                <w:numId w:val="10"/>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NVR 网络硬盘录像机支持人脸检测、周界防范智能分析</w:t>
            </w:r>
            <w:r>
              <w:rPr>
                <w:rFonts w:hint="eastAsia" w:ascii="宋体" w:hAnsi="宋体" w:cs="宋体"/>
                <w:color w:val="auto"/>
                <w:sz w:val="21"/>
                <w:szCs w:val="21"/>
                <w:highlight w:val="none"/>
                <w:lang w:eastAsia="zh-CN"/>
              </w:rPr>
              <w:t xml:space="preserve">。</w:t>
            </w:r>
            <w:r/>
          </w:p>
          <w:p>
            <w:pPr>
              <w:numPr>
                <w:ilvl w:val="0"/>
                <w:numId w:val="10"/>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监控硬盘升级为≥6TB，录像存储时间≥6 个月</w:t>
            </w:r>
            <w:r>
              <w:rPr>
                <w:rFonts w:hint="eastAsia" w:ascii="宋体" w:hAnsi="宋体" w:cs="宋体"/>
                <w:color w:val="auto"/>
                <w:sz w:val="21"/>
                <w:szCs w:val="21"/>
                <w:highlight w:val="none"/>
                <w:lang w:eastAsia="zh-CN"/>
              </w:rPr>
              <w:t xml:space="preserve">。</w:t>
            </w:r>
            <w:r/>
          </w:p>
          <w:p>
            <w:pPr>
              <w:numPr>
                <w:ilvl w:val="0"/>
                <w:numId w:val="10"/>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支持对接血站现有监控平台，支持手机远程查看。</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1套</w:t>
            </w:r>
            <w:r/>
          </w:p>
        </w:tc>
      </w:tr>
      <w:tr>
        <w:trPr>
          <w:trHeight w:val="525"/>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2</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户外广告字</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根据客户需求安装足量发光字。使用时控开关控制。</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1套</w:t>
            </w:r>
            <w:r/>
          </w:p>
        </w:tc>
      </w:tr>
      <w:tr>
        <w:trPr>
          <w:trHeight w:val="596"/>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3</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献血宣传栏</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根据客户需求</w:t>
            </w:r>
            <w:r>
              <w:rPr>
                <w:rFonts w:hint="eastAsia" w:ascii="宋体" w:hAnsi="宋体" w:cs="宋体"/>
                <w:color w:val="auto"/>
                <w:sz w:val="21"/>
                <w:szCs w:val="21"/>
                <w:highlight w:val="none"/>
                <w:lang w:val="en-US" w:eastAsia="zh-CN"/>
              </w:rPr>
              <w:t xml:space="preserve">屋体周围（包括献血屋背面）</w:t>
            </w:r>
            <w:r>
              <w:rPr>
                <w:rFonts w:hint="eastAsia" w:ascii="宋体" w:hAnsi="宋体" w:eastAsia="宋体" w:cs="宋体"/>
                <w:color w:val="auto"/>
                <w:sz w:val="21"/>
                <w:szCs w:val="21"/>
                <w:highlight w:val="none"/>
              </w:rPr>
              <w:t xml:space="preserve">安装足量宣传栏，</w:t>
            </w:r>
            <w:r>
              <w:rPr>
                <w:rFonts w:hint="eastAsia" w:ascii="宋体" w:hAnsi="宋体" w:cs="宋体"/>
                <w:color w:val="auto"/>
                <w:sz w:val="21"/>
                <w:szCs w:val="21"/>
                <w:highlight w:val="none"/>
                <w:lang w:val="en-US" w:eastAsia="zh-CN"/>
              </w:rPr>
              <w:t xml:space="preserve">可</w:t>
            </w:r>
            <w:r>
              <w:rPr>
                <w:rFonts w:hint="eastAsia" w:ascii="宋体" w:hAnsi="宋体" w:eastAsia="宋体" w:cs="宋体"/>
                <w:color w:val="auto"/>
                <w:sz w:val="21"/>
                <w:szCs w:val="21"/>
                <w:highlight w:val="none"/>
              </w:rPr>
              <w:t xml:space="preserve">设有边框、便捷更换内部宣传画内容，美观、耐用。</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1套</w:t>
            </w:r>
            <w:r/>
          </w:p>
        </w:tc>
      </w:tr>
      <w:tr>
        <w:trPr>
          <w:trHeight w:val="596"/>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default" w:ascii="宋体" w:hAnsi="宋体" w:eastAsia="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t xml:space="preserve">14</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default" w:ascii="宋体" w:hAnsi="宋体" w:eastAsia="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t xml:space="preserve">户外电子宣传</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numPr>
                <w:ilvl w:val="0"/>
                <w:numId w:val="11"/>
              </w:numPr>
              <w:jc w:val="left"/>
              <w:spacing w:line="360" w:lineRule="auto"/>
              <w:widowControl/>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P10 LED滚动屏</w:t>
            </w:r>
            <w:r>
              <w:rPr>
                <w:rFonts w:hint="eastAsia" w:ascii="宋体" w:hAnsi="宋体" w:cs="宋体"/>
                <w:color w:val="auto"/>
                <w:sz w:val="21"/>
                <w:szCs w:val="21"/>
                <w:highlight w:val="none"/>
                <w:lang w:val="en-US" w:eastAsia="zh-CN"/>
              </w:rPr>
              <w:t xml:space="preserve">安装于进门处顶部</w:t>
            </w:r>
            <w:r>
              <w:rPr>
                <w:rFonts w:hint="eastAsia" w:ascii="宋体" w:hAnsi="宋体" w:eastAsia="宋体" w:cs="宋体"/>
                <w:color w:val="auto"/>
                <w:sz w:val="21"/>
                <w:szCs w:val="21"/>
                <w:highlight w:val="none"/>
              </w:rPr>
              <w:t xml:space="preserve">，尺寸约长≥4</w:t>
            </w:r>
            <w:r>
              <w:rPr>
                <w:rFonts w:hint="eastAsia" w:ascii="宋体" w:hAnsi="宋体" w:cs="宋体"/>
                <w:color w:val="auto"/>
                <w:sz w:val="21"/>
                <w:szCs w:val="21"/>
                <w:highlight w:val="none"/>
                <w:lang w:val="en-US" w:eastAsia="zh-CN"/>
              </w:rPr>
              <w:t xml:space="preserve">000mm</w:t>
            </w:r>
            <w:r>
              <w:rPr>
                <w:rFonts w:hint="eastAsia" w:ascii="宋体" w:hAnsi="宋体" w:eastAsia="宋体" w:cs="宋体"/>
                <w:color w:val="auto"/>
                <w:sz w:val="21"/>
                <w:szCs w:val="21"/>
                <w:highlight w:val="none"/>
              </w:rPr>
              <w:t xml:space="preserve">，高≥48</w:t>
            </w:r>
            <w:r>
              <w:rPr>
                <w:rFonts w:hint="eastAsia" w:ascii="宋体" w:hAnsi="宋体" w:cs="宋体"/>
                <w:color w:val="auto"/>
                <w:sz w:val="21"/>
                <w:szCs w:val="21"/>
                <w:highlight w:val="none"/>
                <w:lang w:val="en-US" w:eastAsia="zh-CN"/>
              </w:rPr>
              <w:t xml:space="preserve">0mm，像素间距≤10mm；冷热冲击、电气性能须提供带 CMA/CNAS 检测报告加盖投标人公章。</w:t>
            </w:r>
            <w:r/>
          </w:p>
          <w:p>
            <w:pPr>
              <w:numPr>
                <w:ilvl w:val="0"/>
                <w:numId w:val="11"/>
              </w:numPr>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ff0000"/>
                <w:sz w:val="21"/>
                <w:szCs w:val="21"/>
                <w:highlight w:val="none"/>
              </w:rPr>
              <w:t xml:space="preserve">P</w:t>
            </w:r>
            <w:r>
              <w:rPr>
                <w:rFonts w:hint="eastAsia" w:ascii="宋体" w:hAnsi="宋体" w:eastAsia="宋体" w:cs="宋体"/>
                <w:color w:val="ff0000"/>
                <w:sz w:val="21"/>
                <w:szCs w:val="21"/>
                <w:highlight w:val="none"/>
                <w:lang w:val="en-US" w:eastAsia="zh-CN"/>
              </w:rPr>
              <w:t xml:space="preserve">4</w:t>
            </w:r>
            <w:r>
              <w:rPr>
                <w:rFonts w:hint="eastAsia" w:ascii="宋体" w:hAnsi="宋体" w:eastAsia="宋体" w:cs="宋体"/>
                <w:color w:val="auto"/>
                <w:sz w:val="21"/>
                <w:szCs w:val="21"/>
                <w:highlight w:val="none"/>
              </w:rPr>
              <w:t xml:space="preserve">高清彩屏</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献血屋二层屋外侧壁挂或嵌入式安装，</w:t>
            </w:r>
            <w:r>
              <w:rPr>
                <w:rFonts w:hint="eastAsia" w:ascii="宋体" w:hAnsi="宋体" w:eastAsia="宋体" w:cs="宋体"/>
                <w:color w:val="000000" w:themeColor="text1"/>
                <w:sz w:val="21"/>
                <w:szCs w:val="21"/>
                <w:highlight w:val="none"/>
                <w14:textFill>
                  <w14:solidFill>
                    <w14:schemeClr w14:val="tx1"/>
                  </w14:solidFill>
                </w14:textFill>
              </w:rPr>
              <w:t xml:space="preserve">尺寸约长≥3</w:t>
            </w:r>
            <w:r>
              <w:rPr>
                <w:rFonts w:hint="eastAsia" w:ascii="宋体" w:hAnsi="宋体" w:cs="宋体"/>
                <w:color w:val="000000" w:themeColor="text1"/>
                <w:sz w:val="21"/>
                <w:szCs w:val="21"/>
                <w:highlight w:val="none"/>
                <w:lang w:val="en-US" w:eastAsia="zh-CN"/>
                <w14:textFill>
                  <w14:solidFill>
                    <w14:schemeClr w14:val="tx1"/>
                  </w14:solidFill>
                </w14:textFill>
              </w:rPr>
              <w:t xml:space="preserve">000mm</w:t>
            </w:r>
            <w:r>
              <w:rPr>
                <w:rFonts w:hint="eastAsia" w:ascii="宋体" w:hAnsi="宋体" w:eastAsia="宋体" w:cs="宋体"/>
                <w:color w:val="000000" w:themeColor="text1"/>
                <w:sz w:val="21"/>
                <w:szCs w:val="21"/>
                <w:highlight w:val="none"/>
                <w14:textFill>
                  <w14:solidFill>
                    <w14:schemeClr w14:val="tx1"/>
                  </w14:solidFill>
                </w14:textFill>
              </w:rPr>
              <w:t xml:space="preserve">，高≥17</w:t>
            </w:r>
            <w:r>
              <w:rPr>
                <w:rFonts w:hint="eastAsia" w:ascii="宋体" w:hAnsi="宋体" w:cs="宋体"/>
                <w:color w:val="000000" w:themeColor="text1"/>
                <w:sz w:val="21"/>
                <w:szCs w:val="21"/>
                <w:highlight w:val="none"/>
                <w:lang w:val="en-US" w:eastAsia="zh-CN"/>
                <w14:textFill>
                  <w14:solidFill>
                    <w14:schemeClr w14:val="tx1"/>
                  </w14:solidFill>
                </w14:textFill>
              </w:rPr>
              <w:t xml:space="preserve">00mm。</w:t>
            </w:r>
            <w:r/>
          </w:p>
          <w:p>
            <w:pPr>
              <w:numPr>
                <w:ilvl w:val="0"/>
                <w:numId w:val="0"/>
              </w:num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像数点间距：≤4mm；（须提供首页具有CNAS、ilac-MRA标识的检测报告复印件加盖原厂公章）</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像素密度：≥62500点/㎡；</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像素构成：1R1G1B；</w:t>
            </w:r>
            <w:r>
              <w:rPr>
                <w:rFonts w:hint="eastAsia" w:ascii="宋体" w:hAnsi="宋体" w:eastAsia="宋体" w:cs="宋体"/>
                <w:color w:val="auto"/>
                <w:sz w:val="21"/>
                <w:szCs w:val="21"/>
                <w:highlight w:val="none"/>
                <w:lang w:val="en-US" w:eastAsia="zh-CN"/>
              </w:rPr>
              <w:br/>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LED封装方式：SMD1921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                                     </w:t>
            </w:r>
            <w:r/>
          </w:p>
          <w:p>
            <w:pPr>
              <w:numPr>
                <w:ilvl w:val="0"/>
                <w:numId w:val="0"/>
              </w:numPr>
              <w:jc w:val="left"/>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auto"/>
                <w:sz w:val="21"/>
                <w:szCs w:val="21"/>
                <w:highlight w:val="none"/>
                <w:lang w:val="en-US" w:eastAsia="zh-CN"/>
              </w:rPr>
              <w:t xml:space="preserve">5</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驱动方式：动态1/10扫描，恒流驱动</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                                                 6</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刷新率：1920Hz；换帧频率：50&amp;60Hz；</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7</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水平/垂直视角：≥1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0°/≥1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8</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色温：2000K～9500K可调，出厂标准值默认为6500K±500K；</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9</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亮度：≥4500cd/㎡；</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10</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最大功耗：≤740W/m²，平均功耗：≤360W/m²</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11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像素失控率：≤1/100000</w:t>
            </w:r>
            <w:r/>
          </w:p>
          <w:p>
            <w:pPr>
              <w:numPr>
                <w:ilvl w:val="0"/>
                <w:numId w:val="12"/>
              </w:numPr>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亮度均匀性：≥98%；</w:t>
            </w:r>
            <w:r>
              <w:rPr>
                <w:rFonts w:hint="eastAsia" w:ascii="宋体" w:hAnsi="宋体" w:eastAsia="宋体" w:cs="宋体"/>
                <w:color w:val="000000" w:themeColor="text1"/>
                <w:sz w:val="21"/>
                <w:szCs w:val="21"/>
                <w:highlight w:val="none"/>
                <w:lang w:val="en-US" w:eastAsia="zh-CN"/>
                <w14:textFill>
                  <w14:solidFill>
                    <w14:schemeClr w14:val="tx1"/>
                  </w14:solidFill>
                </w14:textFill>
              </w:rPr>
              <w:br/>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使用寿命：≥100000小时；</w:t>
            </w:r>
            <w:r>
              <w:rPr>
                <w:rFonts w:hint="eastAsia" w:ascii="宋体" w:hAnsi="宋体" w:eastAsia="宋体" w:cs="宋体"/>
                <w:color w:val="000000" w:themeColor="text1"/>
                <w:sz w:val="21"/>
                <w:szCs w:val="21"/>
                <w:highlight w:val="none"/>
                <w:lang w:val="en-US" w:eastAsia="zh-CN"/>
                <w14:textFill>
                  <w14:solidFill>
                    <w14:schemeClr w14:val="tx1"/>
                  </w14:solidFill>
                </w14:textFill>
              </w:rPr>
              <w:br/>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低亮高灰：支持亮度为100%时信号处理深度，灰度级数达到14bit，亮度为20%时信号处理深度，灰度级数达到12bit</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p>
            <w:pPr>
              <w:numPr>
                <w:ilvl w:val="0"/>
                <w:numId w:val="0"/>
              </w:num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15）灰度等级</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≥14bit</w:t>
            </w:r>
            <w:r/>
          </w:p>
          <w:p>
            <w:pPr>
              <w:numPr>
                <w:ilvl w:val="0"/>
                <w:numId w:val="0"/>
              </w:num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16）使用寿命</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≥100000小时</w:t>
            </w:r>
            <w:r/>
          </w:p>
          <w:p>
            <w:pPr>
              <w:numPr>
                <w:ilvl w:val="0"/>
                <w:numId w:val="0"/>
              </w:num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17）工作温度范围</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-20℃ ～ +60℃</w:t>
            </w:r>
            <w:r/>
          </w:p>
          <w:p>
            <w:pPr>
              <w:keepLines w:val="0"/>
              <w:keepNext w:val="0"/>
              <w:pageBreakBefore w:val="0"/>
              <w:widowControl w:val="off"/>
            </w:pPr>
            <w:r>
              <w:rPr>
                <w:rFonts w:hint="eastAsia"/>
                <w:b w:val="0"/>
                <w:bCs w:val="0"/>
              </w:rPr>
              <w:t xml:space="preserve">18</w:t>
            </w:r>
            <w:r>
              <w:rPr>
                <w:rFonts w:hint="eastAsia"/>
                <w:b w:val="0"/>
                <w:bCs w:val="0"/>
                <w:lang w:eastAsia="zh-CN"/>
              </w:rPr>
              <w:t xml:space="preserve">）</w:t>
            </w:r>
            <w:r>
              <w:rPr>
                <w:rFonts w:hint="eastAsia"/>
              </w:rPr>
              <w:t xml:space="preserve">防护等级</w:t>
            </w:r>
            <w:r>
              <w:rPr>
                <w:rFonts w:hint="eastAsia"/>
                <w:lang w:eastAsia="zh-CN"/>
              </w:rPr>
              <w:t xml:space="preserve">：</w:t>
            </w:r>
            <w:r>
              <w:rPr>
                <w:rFonts w:hint="eastAsia"/>
              </w:rPr>
              <w:t xml:space="preserve">≥IP65（防尘防水）</w:t>
            </w:r>
            <w:r/>
          </w:p>
          <w:p>
            <w:pPr>
              <w:numPr>
                <w:ilvl w:val="0"/>
                <w:numId w:val="0"/>
              </w:num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抗电强度：在电源插输入端与外壳裸露金属部件之间施加AC1500V、1min电压，应无击穿和飞弧现象；                                                                  </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000000" w:themeColor="text1"/>
                <w:sz w:val="21"/>
                <w:szCs w:val="21"/>
                <w14:textFill>
                  <w14:solidFill>
                    <w14:schemeClr w14:val="tx1"/>
                  </w14:solidFill>
                </w14:textFill>
              </w:rPr>
              <w:t xml:space="preserve">投标人须承诺所投滚动屏为全新正品，非翻新改制产品；若为委托生产（OEM）产品，须提供3C证书及委托生产相关佐证材料，保证产品质量、售后责任由投标人承担。</w:t>
            </w:r>
            <w:r>
              <w:rPr>
                <w:rFonts w:ascii="宋体" w:hAnsi="宋体" w:eastAsia="宋体" w:cs="宋体"/>
                <w:color w:val="000000" w:themeColor="text1"/>
                <w:sz w:val="21"/>
                <w:szCs w:val="21"/>
                <w14:textFill>
                  <w14:solidFill>
                    <w14:schemeClr w14:val="tx1"/>
                  </w14:solidFill>
                </w14:textFill>
              </w:rPr>
              <w:t xml:space="preserve">投标产品须提供有效的 3C 认证证书。3C 证书中载明的申请人、制造商、生产企业三者名称应一致；如不一致，三者须同属一个集团公司（指母公司直接或间接持股比例不低于 51%，或受同一实际控制人控制），并须同时提供：①3C 证书；②国家企业信用信息公示系统出具的股权关系查询截图或集团公司盖章的股权结构证明；③集团公司出具的关联关系声明函。</w:t>
            </w:r>
            <w:r>
              <w:rPr>
                <w:rFonts w:hint="eastAsia" w:ascii="宋体" w:hAnsi="宋体" w:eastAsia="宋体" w:cs="宋体"/>
                <w:color w:val="000000" w:themeColor="text1"/>
                <w:sz w:val="21"/>
                <w:szCs w:val="21"/>
                <w:lang w:val="en-US" w:eastAsia="zh-CN"/>
                <w14:textFill>
                  <w14:solidFill>
                    <w14:schemeClr w14:val="tx1"/>
                  </w14:solidFill>
                </w14:textFill>
              </w:rPr>
              <w:t xml:space="preserve">上传证书、证明扫描件。</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1）屏体结构为</w:t>
            </w:r>
            <w:r>
              <w:rPr>
                <w:rFonts w:hint="eastAsia" w:ascii="宋体" w:hAnsi="宋体" w:eastAsia="宋体" w:cs="宋体"/>
                <w:color w:val="auto"/>
                <w:sz w:val="21"/>
                <w:szCs w:val="21"/>
                <w:highlight w:val="none"/>
                <w:lang w:val="en-US" w:eastAsia="zh-CN"/>
              </w:rPr>
              <w:t xml:space="preserve">Q235B镀锌钢材，不锈钢或铝塑板包边；抗风≥8级，抗震≥7级（须提供结构计算书）</w:t>
            </w:r>
            <w:r/>
          </w:p>
          <w:p>
            <w:pPr>
              <w:numPr>
                <w:ilvl w:val="0"/>
                <w:numId w:val="0"/>
              </w:num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lang w:val="en-US" w:eastAsia="zh-CN"/>
              </w:rPr>
              <w:t xml:space="preserve">所投显示屏厂家具有标准化良好行为证书（AAAAA级），</w:t>
            </w:r>
            <w:r>
              <w:rPr>
                <w:rFonts w:hint="eastAsia" w:ascii="宋体" w:hAnsi="宋体" w:cs="宋体"/>
                <w:color w:val="auto"/>
                <w:sz w:val="21"/>
                <w:szCs w:val="21"/>
                <w:highlight w:val="none"/>
                <w:lang w:val="en-US" w:eastAsia="zh-CN"/>
              </w:rPr>
              <w:t xml:space="preserve">上传</w:t>
            </w:r>
            <w:r>
              <w:rPr>
                <w:rFonts w:hint="eastAsia" w:ascii="宋体" w:hAnsi="宋体" w:eastAsia="宋体" w:cs="宋体"/>
                <w:color w:val="auto"/>
                <w:sz w:val="21"/>
                <w:szCs w:val="21"/>
                <w:highlight w:val="none"/>
                <w:lang w:val="en-US" w:eastAsia="zh-CN"/>
              </w:rPr>
              <w:t xml:space="preserve">有效期内证书</w:t>
            </w:r>
            <w:r>
              <w:rPr>
                <w:rFonts w:hint="eastAsia" w:ascii="宋体" w:hAnsi="宋体" w:cs="宋体"/>
                <w:color w:val="auto"/>
                <w:sz w:val="21"/>
                <w:szCs w:val="21"/>
                <w:highlight w:val="none"/>
                <w:lang w:val="en-US" w:eastAsia="zh-CN"/>
              </w:rPr>
              <w:t xml:space="preserve">扫描件。</w:t>
            </w:r>
            <w:r/>
          </w:p>
          <w:p>
            <w:pPr>
              <w:numPr>
                <w:ilvl w:val="0"/>
                <w:numId w:val="0"/>
              </w:numPr>
              <w:jc w:val="left"/>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支持远程节目发布、播放日程管理、设备状态监控及远程开关机</w:t>
            </w:r>
            <w:r>
              <w:rPr>
                <w:rFonts w:hint="eastAsia" w:ascii="宋体" w:hAnsi="宋体" w:cs="宋体"/>
                <w:color w:val="auto"/>
                <w:sz w:val="21"/>
                <w:szCs w:val="21"/>
                <w:highlight w:val="none"/>
                <w:lang w:val="en-US" w:eastAsia="zh-CN"/>
              </w:rPr>
              <w:t xml:space="preserve">，控制系统须接入血站现有统一信息发布平台；</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所投显示屏厂家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具备LED显示屏闪烁检测能力，可提供相关检测方法文件及第三方检测报告</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1套</w:t>
            </w:r>
            <w:r/>
          </w:p>
        </w:tc>
      </w:tr>
      <w:tr>
        <w:trPr>
          <w:trHeight w:val="596"/>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eastAsia" w:ascii="宋体" w:hAnsi="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default" w:ascii="宋体" w:hAnsi="宋体" w:eastAsia="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t xml:space="preserve">15</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numPr>
                <w:ilvl w:val="0"/>
                <w:numId w:val="0"/>
              </w:num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电表箱</w:t>
            </w:r>
            <w:r>
              <w:rPr>
                <w:rFonts w:hint="eastAsia" w:ascii="宋体" w:hAnsi="宋体" w:cs="宋体"/>
                <w:color w:val="auto"/>
                <w:sz w:val="21"/>
                <w:szCs w:val="21"/>
                <w:highlight w:val="none"/>
                <w:lang w:val="en-US" w:eastAsia="zh-CN"/>
              </w:rPr>
              <w:t xml:space="preserve">距离</w:t>
            </w:r>
            <w:r>
              <w:rPr>
                <w:rFonts w:hint="eastAsia" w:ascii="宋体" w:hAnsi="宋体" w:eastAsia="宋体" w:cs="宋体"/>
                <w:color w:val="auto"/>
                <w:sz w:val="21"/>
                <w:szCs w:val="21"/>
                <w:highlight w:val="none"/>
                <w:lang w:val="en-US" w:eastAsia="zh-CN"/>
              </w:rPr>
              <w:t xml:space="preserve">离献血屋10米，需下挖1米用混凝土浇筑电缆沟，用50平方电缆分别连接到献血屋1、2层电箱内。水表箱电缆一并接入献血屋。中国移动光纤井在献血屋向北20米马路拐角盲道处，需下挖1米用混凝土浇筑管道延伸至中国移动光纤井。所有施工后，恢复地面原貌。献血屋防雷设施需可靠接地，铺设符合国家标准的接地网。</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r>
      <w:tr>
        <w:trPr>
          <w:trHeight w:val="372"/>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val="false"/>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洗手池总成及供、排水系统</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val="false"/>
          </w:tcPr>
          <w:p>
            <w:pPr>
              <w:numPr>
                <w:ilvl w:val="0"/>
                <w:numId w:val="13"/>
              </w:numPr>
              <w:jc w:val="left"/>
              <w:spacing w:line="360" w:lineRule="auto"/>
              <w:widowControl/>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洗手池装置1套：</w:t>
            </w:r>
            <w:r>
              <w:rPr>
                <w:rFonts w:hint="eastAsia" w:ascii="宋体" w:hAnsi="宋体" w:eastAsia="宋体" w:cs="宋体"/>
                <w:color w:val="auto"/>
                <w:sz w:val="21"/>
                <w:szCs w:val="21"/>
                <w:highlight w:val="none"/>
                <w:lang w:eastAsia="zh-CN"/>
              </w:rPr>
              <w:t xml:space="preserve">不锈钢感应龙头，</w:t>
            </w:r>
            <w:r>
              <w:rPr>
                <w:rFonts w:hint="eastAsia" w:ascii="宋体" w:hAnsi="宋体" w:eastAsia="宋体" w:cs="宋体"/>
                <w:color w:val="auto"/>
                <w:sz w:val="21"/>
                <w:szCs w:val="21"/>
                <w:highlight w:val="none"/>
                <w:lang w:val="en-US" w:eastAsia="zh-CN"/>
              </w:rPr>
              <w:t xml:space="preserve">陶瓷</w:t>
            </w:r>
            <w:r>
              <w:rPr>
                <w:rFonts w:hint="eastAsia" w:ascii="宋体" w:hAnsi="宋体" w:eastAsia="宋体" w:cs="宋体"/>
                <w:color w:val="auto"/>
                <w:sz w:val="21"/>
                <w:szCs w:val="21"/>
                <w:highlight w:val="none"/>
                <w:lang w:eastAsia="zh-CN"/>
              </w:rPr>
              <w:t xml:space="preserve">洗手池，冷热水，</w:t>
            </w:r>
            <w:r>
              <w:rPr>
                <w:rFonts w:hint="eastAsia" w:ascii="宋体" w:hAnsi="宋体" w:eastAsia="宋体" w:cs="宋体"/>
                <w:color w:val="auto"/>
                <w:sz w:val="21"/>
                <w:szCs w:val="21"/>
                <w:highlight w:val="none"/>
              </w:rPr>
              <w:t xml:space="preserve">配高级圆型水盆、配皂液器，外廓尺寸按客户确定安置位置定制</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配备</w:t>
            </w:r>
            <w:r>
              <w:rPr>
                <w:rFonts w:hint="eastAsia" w:ascii="宋体" w:hAnsi="宋体" w:eastAsia="宋体" w:cs="宋体"/>
                <w:color w:val="auto"/>
                <w:sz w:val="21"/>
                <w:szCs w:val="21"/>
                <w:highlight w:val="none"/>
              </w:rPr>
              <w:t xml:space="preserve">微电脑温控加热</w:t>
            </w:r>
            <w:r>
              <w:rPr>
                <w:rFonts w:hint="eastAsia" w:ascii="宋体" w:hAnsi="宋体" w:cs="宋体"/>
                <w:color w:val="auto"/>
                <w:sz w:val="21"/>
                <w:szCs w:val="21"/>
                <w:highlight w:val="none"/>
                <w:lang w:val="en-US" w:eastAsia="zh-CN"/>
              </w:rPr>
              <w:t xml:space="preserve">设备</w:t>
            </w:r>
            <w:r>
              <w:rPr>
                <w:rFonts w:hint="eastAsia" w:ascii="宋体" w:hAnsi="宋体" w:cs="宋体"/>
                <w:color w:val="auto"/>
                <w:sz w:val="21"/>
                <w:szCs w:val="21"/>
                <w:highlight w:val="none"/>
                <w:lang w:eastAsia="zh-CN"/>
              </w:rPr>
              <w:t xml:space="preserve">。</w:t>
            </w:r>
            <w:r/>
          </w:p>
          <w:p>
            <w:pPr>
              <w:numPr>
                <w:ilvl w:val="0"/>
                <w:numId w:val="13"/>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给排水管路：食品级 PPR 给水管，PVC 排水管；管路完工水压试压≥10 公斤，保压≥30 分钟。</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val="false"/>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1套</w:t>
            </w:r>
            <w:r/>
          </w:p>
        </w:tc>
      </w:tr>
      <w:tr>
        <w:trPr>
          <w:trHeight w:val="372"/>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灭火器</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≥3升  </w:t>
            </w:r>
            <w:r>
              <w:rPr>
                <w:rFonts w:hint="default" w:ascii="宋体" w:hAnsi="宋体" w:eastAsia="宋体" w:cs="宋体"/>
                <w:color w:val="auto"/>
                <w:sz w:val="21"/>
                <w:szCs w:val="21"/>
                <w:highlight w:val="none"/>
                <w:lang w:val="en-US"/>
              </w:rPr>
              <w:t xml:space="preserve">二氧化碳</w:t>
            </w:r>
            <w:r>
              <w:rPr>
                <w:rFonts w:hint="eastAsia" w:ascii="宋体" w:hAnsi="宋体" w:eastAsia="宋体" w:cs="宋体"/>
                <w:color w:val="auto"/>
                <w:sz w:val="21"/>
                <w:szCs w:val="21"/>
                <w:highlight w:val="none"/>
              </w:rPr>
              <w:t xml:space="preserve">灭火器安放在视线醒目处做好标识。</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8个</w:t>
            </w:r>
            <w:r/>
          </w:p>
        </w:tc>
      </w:tr>
      <w:tr>
        <w:trPr>
          <w:trHeight w:val="372"/>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烟雾报警器</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3C消防认证。高音报警，360°烟雾探测，双光感烟，防蚊虫设计，阻燃外壳，≥10年强劲续航。</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w:t>
            </w:r>
            <w:r/>
          </w:p>
        </w:tc>
      </w:tr>
      <w:tr>
        <w:trPr>
          <w:trHeight w:val="372"/>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采血工作专用设施</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numPr>
                <w:ilvl w:val="0"/>
                <w:numId w:val="14"/>
              </w:numPr>
              <w:jc w:val="left"/>
              <w:spacing w:line="360" w:lineRule="auto"/>
              <w:widowControl/>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按照客户确认的布局尺寸定制，各桌子及橱柜等采用 E0 级环保多层实木板，提供板材环保检测报告</w:t>
            </w:r>
            <w:r>
              <w:rPr>
                <w:rFonts w:hint="eastAsia" w:ascii="宋体" w:hAnsi="宋体" w:cs="宋体"/>
                <w:color w:val="auto"/>
                <w:sz w:val="21"/>
                <w:szCs w:val="21"/>
                <w:highlight w:val="none"/>
                <w:lang w:eastAsia="zh-CN"/>
              </w:rPr>
              <w:t xml:space="preserve">。</w:t>
            </w:r>
            <w:r/>
          </w:p>
          <w:p>
            <w:pPr>
              <w:numPr>
                <w:ilvl w:val="0"/>
                <w:numId w:val="14"/>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台面选用岩板≥12mm；台面抗菌涂层抗菌率≥90%</w:t>
            </w:r>
            <w:r>
              <w:rPr>
                <w:rFonts w:hint="eastAsia" w:ascii="宋体" w:hAnsi="宋体" w:cs="宋体"/>
                <w:color w:val="auto"/>
                <w:sz w:val="21"/>
                <w:szCs w:val="21"/>
                <w:highlight w:val="none"/>
                <w:lang w:eastAsia="zh-CN"/>
              </w:rPr>
              <w:t xml:space="preserve">。</w:t>
            </w:r>
            <w:r/>
          </w:p>
          <w:p>
            <w:pPr>
              <w:numPr>
                <w:ilvl w:val="0"/>
                <w:numId w:val="14"/>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抽屉配置阻尼隐藏轨道</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抽屉脸及橱柜门均采用高环保密度板数控制作并作吸附处理，台面圆弧桌角，表面易清理，上带抽屉下带橱柜，采用优质五金和定制拉手，橱柜数量及结构尺寸承诺满足采血工作和客户需求。</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多</w:t>
            </w: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r>
      <w:tr>
        <w:trPr>
          <w:trHeight w:val="372"/>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rPr>
                <w:rFonts w:hint="eastAsia" w:ascii="宋体" w:hAnsi="宋体" w:eastAsia="宋体" w:cs="宋体"/>
                <w:color w:val="000000" w:themeColor="text1"/>
                <w:sz w:val="21"/>
                <w:szCs w:val="21"/>
                <w:highlight w:val="none"/>
                <w14:textFill>
                  <w14:solidFill>
                    <w14:schemeClr w14:val="tx1"/>
                  </w14:solidFill>
                </w14:textFill>
              </w:rPr>
              <w:t xml:space="preserve">▲智能恒温储物系统</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pStyle w:val="718"/>
              <w:ind w:firstLine="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1.外廓尺寸：长≥2000</w:t>
            </w:r>
            <w:r>
              <w:rPr>
                <w:rFonts w:hint="eastAsia" w:ascii="宋体" w:hAnsi="宋体" w:cs="宋体"/>
                <w:color w:val="000000" w:themeColor="text1"/>
                <w:sz w:val="21"/>
                <w:szCs w:val="21"/>
                <w:highlight w:val="none"/>
                <w:lang w:val="en-US" w:eastAsia="zh-CN"/>
                <w14:textFill>
                  <w14:solidFill>
                    <w14:schemeClr w14:val="tx1"/>
                  </w14:solidFill>
                </w14:textFill>
              </w:rPr>
              <w:t xml:space="preserve">mm</w:t>
            </w:r>
            <w:r>
              <w:rPr>
                <w:rFonts w:hint="eastAsia" w:ascii="宋体" w:hAnsi="宋体" w:eastAsia="宋体" w:cs="宋体"/>
                <w:color w:val="000000" w:themeColor="text1"/>
                <w:sz w:val="21"/>
                <w:szCs w:val="21"/>
                <w:highlight w:val="none"/>
                <w14:textFill>
                  <w14:solidFill>
                    <w14:schemeClr w14:val="tx1"/>
                  </w14:solidFill>
                </w14:textFill>
              </w:rPr>
              <w:t xml:space="preserve">、深≥1200</w:t>
            </w:r>
            <w:r>
              <w:rPr>
                <w:rFonts w:hint="eastAsia" w:ascii="宋体" w:hAnsi="宋体" w:cs="宋体"/>
                <w:color w:val="000000" w:themeColor="text1"/>
                <w:sz w:val="21"/>
                <w:szCs w:val="21"/>
                <w:highlight w:val="none"/>
                <w:lang w:val="en-US" w:eastAsia="zh-CN"/>
                <w14:textFill>
                  <w14:solidFill>
                    <w14:schemeClr w14:val="tx1"/>
                  </w14:solidFill>
                </w14:textFill>
              </w:rPr>
              <w:t xml:space="preserve">mm</w:t>
            </w:r>
            <w:r>
              <w:rPr>
                <w:rFonts w:hint="eastAsia" w:ascii="宋体" w:hAnsi="宋体" w:eastAsia="宋体" w:cs="宋体"/>
                <w:color w:val="000000" w:themeColor="text1"/>
                <w:sz w:val="21"/>
                <w:szCs w:val="21"/>
                <w:highlight w:val="none"/>
                <w14:textFill>
                  <w14:solidFill>
                    <w14:schemeClr w14:val="tx1"/>
                  </w14:solidFill>
                </w14:textFill>
              </w:rPr>
              <w:t xml:space="preserve">、高≥2400</w:t>
            </w:r>
            <w:r>
              <w:rPr>
                <w:rFonts w:hint="eastAsia" w:ascii="宋体" w:hAnsi="宋体" w:cs="宋体"/>
                <w:color w:val="000000" w:themeColor="text1"/>
                <w:sz w:val="21"/>
                <w:szCs w:val="21"/>
                <w:highlight w:val="none"/>
                <w:lang w:val="en-US" w:eastAsia="zh-CN"/>
                <w14:textFill>
                  <w14:solidFill>
                    <w14:schemeClr w14:val="tx1"/>
                  </w14:solidFill>
                </w14:textFill>
              </w:rPr>
              <w:t xml:space="preserve">mm</w:t>
            </w:r>
            <w:r>
              <w:rPr>
                <w:rFonts w:hint="eastAsia" w:ascii="宋体" w:hAnsi="宋体" w:eastAsia="宋体" w:cs="宋体"/>
                <w:color w:val="000000" w:themeColor="text1"/>
                <w:sz w:val="21"/>
                <w:szCs w:val="21"/>
                <w:highlight w:val="none"/>
                <w14:textFill>
                  <w14:solidFill>
                    <w14:schemeClr w14:val="tx1"/>
                  </w14:solidFill>
                </w14:textFill>
              </w:rPr>
              <w:t xml:space="preserve">（尺寸可根据实际情况定制）</w:t>
            </w:r>
            <w:r/>
          </w:p>
          <w:p>
            <w:pPr>
              <w:pStyle w:val="718"/>
              <w:ind w:firstLine="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▲2.系统组成：回转式存取装置及智能控制单元，温控制冷及制热单元，自动温控、杀菌及箱内温控空气循环单元，应急供电单元等组成。</w:t>
            </w:r>
            <w:r/>
          </w:p>
          <w:p>
            <w:pPr>
              <w:pStyle w:val="718"/>
              <w:ind w:firstLine="0"/>
              <w:jc w:val="left"/>
              <w:spacing w:line="360" w:lineRule="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功能要求：温度区间20±2℃，采用水性阻燃聚氨酯高压发泡保温工艺（保温板密度45kg/m³、厚度≥60mm）、全SUS304不锈钢内胆，定制回转传动机构（采用食药级润滑及润滑），内配多只大容量储物盒，触摸屏操控、存取物料记录一键式存取就位，矩阵式温控制冷及制热装置，箱内持续循环风确保箱内温度均匀可靠恒温，配UV遮光空气循环杀菌装置、确保箱内无菌储存。带远程监控功能，断电情况下可保证10小时稳定恒温。提供产品实物图及产品介绍</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pStyle w:val="718"/>
              <w:ind w:firstLine="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智能恒温储物系统，单层额定载荷≥50kg；设备具备应急手动取物功能，断电后可手动解锁取物。投标人可提供CMA资质第三方检测机构依据GB/T 3325《金属家具通用技术条件》出具的单层载荷检测报告</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扫描件或彩页或承诺书</w:t>
            </w: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1套</w:t>
            </w:r>
            <w:r/>
          </w:p>
        </w:tc>
      </w:tr>
      <w:tr>
        <w:trPr>
          <w:trHeight w:val="913"/>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6</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lang w:eastAsia="en-US"/>
              </w:rPr>
              <w:t xml:space="preserve">办公椅</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numPr>
                <w:ilvl w:val="0"/>
                <w:numId w:val="15"/>
              </w:numPr>
              <w:ind w:left="210" w:hanging="21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张可升降旋转</w:t>
            </w:r>
            <w:r>
              <w:rPr>
                <w:rFonts w:hint="eastAsia" w:ascii="宋体" w:hAnsi="宋体" w:cs="宋体"/>
                <w:color w:val="auto"/>
                <w:sz w:val="21"/>
                <w:szCs w:val="21"/>
                <w:highlight w:val="none"/>
                <w:lang w:val="en-US" w:eastAsia="zh-CN"/>
              </w:rPr>
              <w:t xml:space="preserve">带</w:t>
            </w:r>
            <w:r>
              <w:rPr>
                <w:rFonts w:hint="eastAsia" w:ascii="宋体" w:hAnsi="宋体" w:eastAsia="宋体" w:cs="宋体"/>
                <w:color w:val="auto"/>
                <w:sz w:val="21"/>
                <w:szCs w:val="21"/>
                <w:highlight w:val="none"/>
                <w:lang w:eastAsia="zh-CN"/>
              </w:rPr>
              <w:t xml:space="preserve">滑轮靠背座椅，PU皮软包坐垫</w:t>
            </w:r>
            <w:r>
              <w:rPr>
                <w:rFonts w:hint="eastAsia" w:ascii="宋体" w:hAnsi="宋体" w:cs="宋体"/>
                <w:color w:val="auto"/>
                <w:sz w:val="21"/>
                <w:szCs w:val="21"/>
                <w:highlight w:val="none"/>
                <w:lang w:eastAsia="zh-CN"/>
              </w:rPr>
              <w:t xml:space="preserve">。</w:t>
            </w:r>
            <w:r/>
          </w:p>
          <w:p>
            <w:pPr>
              <w:numPr>
                <w:ilvl w:val="0"/>
                <w:numId w:val="13"/>
              </w:numPr>
              <w:ind w:left="0" w:firstLine="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张可升降旋转</w:t>
            </w:r>
            <w:r>
              <w:rPr>
                <w:rFonts w:hint="eastAsia" w:ascii="宋体" w:hAnsi="宋体" w:cs="宋体"/>
                <w:color w:val="auto"/>
                <w:sz w:val="21"/>
                <w:szCs w:val="21"/>
                <w:highlight w:val="none"/>
                <w:lang w:val="en-US" w:eastAsia="zh-CN"/>
              </w:rPr>
              <w:t xml:space="preserve">不带轮</w:t>
            </w:r>
            <w:r>
              <w:rPr>
                <w:rFonts w:hint="eastAsia" w:ascii="宋体" w:hAnsi="宋体" w:eastAsia="宋体" w:cs="宋体"/>
                <w:color w:val="auto"/>
                <w:sz w:val="21"/>
                <w:szCs w:val="21"/>
                <w:highlight w:val="none"/>
                <w:lang w:eastAsia="zh-CN"/>
              </w:rPr>
              <w:t xml:space="preserve">，靠背座椅。</w:t>
            </w:r>
            <w:r/>
          </w:p>
          <w:p>
            <w:pPr>
              <w:numPr>
                <w:ilvl w:val="0"/>
                <w:numId w:val="14"/>
              </w:numPr>
              <w:ind w:left="0" w:firstLine="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采血转凳</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个</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可调式，皮质，不带靠背</w:t>
            </w:r>
            <w:r>
              <w:rPr>
                <w:rFonts w:hint="eastAsia" w:ascii="宋体" w:hAnsi="宋体" w:cs="宋体"/>
                <w:color w:val="auto"/>
                <w:sz w:val="21"/>
                <w:szCs w:val="21"/>
                <w:highlight w:val="none"/>
                <w:lang w:val="en-US" w:eastAsia="zh-CN"/>
              </w:rPr>
              <w:t xml:space="preserve">4个</w:t>
            </w:r>
            <w:r>
              <w:rPr>
                <w:rFonts w:hint="eastAsia" w:ascii="宋体" w:hAnsi="宋体" w:eastAsia="宋体" w:cs="宋体"/>
                <w:color w:val="auto"/>
                <w:sz w:val="21"/>
                <w:szCs w:val="21"/>
                <w:highlight w:val="none"/>
              </w:rPr>
              <w:t xml:space="preserve">，带靠背</w:t>
            </w:r>
            <w:r>
              <w:rPr>
                <w:rFonts w:hint="eastAsia" w:ascii="宋体" w:hAnsi="宋体" w:cs="宋体"/>
                <w:color w:val="auto"/>
                <w:sz w:val="21"/>
                <w:szCs w:val="21"/>
                <w:highlight w:val="none"/>
                <w:lang w:val="en-US" w:eastAsia="zh-CN"/>
              </w:rPr>
              <w:t xml:space="preserve">4个</w:t>
            </w:r>
            <w:r>
              <w:rPr>
                <w:rFonts w:hint="eastAsia" w:ascii="宋体" w:hAnsi="宋体" w:eastAsia="宋体" w:cs="宋体"/>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把</w:t>
            </w:r>
            <w:r/>
          </w:p>
        </w:tc>
      </w:tr>
      <w:tr>
        <w:trPr>
          <w:trHeight w:val="383"/>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7</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微波炉</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光波炉烤箱一体机，≥</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00W速热多功能一体平板加热，规格约：长457mm\宽389mm\高274mm；容量≥20L。</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1台</w:t>
            </w:r>
            <w:r/>
          </w:p>
        </w:tc>
      </w:tr>
      <w:tr>
        <w:trPr>
          <w:trHeight w:val="383"/>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饮水机</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numPr>
                <w:ilvl w:val="0"/>
                <w:numId w:val="16"/>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台式饮水机</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台、满足使用要求</w:t>
            </w:r>
            <w:r>
              <w:rPr>
                <w:rFonts w:hint="eastAsia" w:ascii="宋体" w:hAnsi="宋体" w:cs="宋体"/>
                <w:color w:val="auto"/>
                <w:sz w:val="21"/>
                <w:szCs w:val="21"/>
                <w:highlight w:val="none"/>
                <w:lang w:eastAsia="zh-CN"/>
              </w:rPr>
              <w:t xml:space="preserve">。</w:t>
            </w:r>
            <w:r/>
          </w:p>
          <w:p>
            <w:pPr>
              <w:pStyle w:val="719"/>
              <w:numPr>
                <w:ilvl w:val="0"/>
                <w:numId w:val="16"/>
              </w:num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壁挂式即热直饮机，1台。安装方式：壁挂式；面板材质：钢化玻璃；额定电压/频率：220V/50Hz；额定功率：≤2</w:t>
            </w:r>
            <w:r>
              <w:rPr>
                <w:rFonts w:hint="eastAsia" w:ascii="宋体" w:hAnsi="宋体" w:cs="宋体"/>
                <w:color w:val="auto"/>
                <w:sz w:val="21"/>
                <w:szCs w:val="21"/>
                <w:highlight w:val="none"/>
                <w:lang w:eastAsia="zh-CN"/>
              </w:rPr>
              <w:t xml:space="preserve">100W；加热方式：即热式（无胆）；过滤级数：不低于三级（须含反渗透RO膜，精度0.0001微米）；净水流量：≥1L/min；制热水能力：≥15L/h（≥90℃）；出水温度档位：常温/60℃/开水三档可调；控制方式：触控，带水温实时显示；安全防护：防干烧、防漏电、缺水保护、开水童锁；噪音：≤5dB(A)。整机须具有有效的《涉及饮用水卫生安全产品卫生许可批件》，批件型号与投标型号一致；出水水质符合 GB 5749-2022，提供CMA资质第三方水质检测报告。整机质保不少于2年，质保期内免费更换滤芯不少于2次。</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套</w:t>
            </w:r>
            <w:r/>
          </w:p>
        </w:tc>
      </w:tr>
      <w:tr>
        <w:trPr>
          <w:trHeight w:val="383"/>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ind w:left="210"/>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9</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lang w:eastAsia="en-US"/>
              </w:rPr>
              <w:t xml:space="preserve">食品</w:t>
            </w:r>
            <w:r>
              <w:rPr>
                <w:rFonts w:hint="eastAsia" w:ascii="宋体" w:hAnsi="宋体" w:eastAsia="宋体" w:cs="宋体"/>
                <w:color w:val="auto"/>
                <w:sz w:val="21"/>
                <w:szCs w:val="21"/>
                <w:highlight w:val="none"/>
                <w:lang w:val="en-US" w:eastAsia="zh-CN"/>
              </w:rPr>
              <w:t xml:space="preserve">冷冻冷藏冰箱</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能效等级：一级能效，制冷方式：直冷，参考尺寸</w:t>
            </w:r>
            <w:r>
              <w:rPr>
                <w:rFonts w:hint="eastAsia" w:ascii="宋体" w:hAnsi="宋体" w:cs="宋体"/>
                <w:color w:val="auto"/>
                <w:sz w:val="21"/>
                <w:szCs w:val="21"/>
                <w:highlight w:val="none"/>
                <w:lang w:val="en-US" w:eastAsia="zh-CN"/>
              </w:rPr>
              <w:t xml:space="preserve">符合橱柜嵌入安装</w:t>
            </w:r>
            <w:r>
              <w:rPr>
                <w:rFonts w:hint="eastAsia" w:ascii="宋体" w:hAnsi="宋体" w:eastAsia="宋体" w:cs="宋体"/>
                <w:color w:val="auto"/>
                <w:sz w:val="21"/>
                <w:szCs w:val="21"/>
                <w:highlight w:val="none"/>
              </w:rPr>
              <w:t xml:space="preserve">，容量≥</w:t>
            </w:r>
            <w:r>
              <w:rPr>
                <w:rFonts w:hint="eastAsia" w:ascii="宋体" w:hAnsi="宋体" w:cs="宋体"/>
                <w:color w:val="auto"/>
                <w:sz w:val="21"/>
                <w:szCs w:val="21"/>
                <w:highlight w:val="none"/>
                <w:lang w:val="en-US" w:eastAsia="zh-CN"/>
              </w:rPr>
              <w:t xml:space="preserve">180</w:t>
            </w:r>
            <w:r>
              <w:rPr>
                <w:rFonts w:hint="eastAsia" w:ascii="宋体" w:hAnsi="宋体" w:eastAsia="宋体" w:cs="宋体"/>
                <w:color w:val="auto"/>
                <w:sz w:val="21"/>
                <w:szCs w:val="21"/>
                <w:highlight w:val="none"/>
              </w:rPr>
              <w:t xml:space="preserve">L</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冷冻冷藏箱</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美的、海尔、容声或同档次品牌</w:t>
            </w:r>
            <w:r>
              <w:rPr>
                <w:rFonts w:hint="eastAsia" w:ascii="宋体" w:hAnsi="宋体" w:cs="宋体"/>
                <w:color w:val="auto"/>
                <w:sz w:val="21"/>
                <w:szCs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1台</w:t>
            </w:r>
            <w:r/>
          </w:p>
        </w:tc>
      </w:tr>
      <w:tr>
        <w:trPr>
          <w:trHeight w:val="383"/>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电动采血椅</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numPr>
                <w:ilvl w:val="0"/>
                <w:numId w:val="17"/>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▲外形尺寸：座椅高度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1112mm，座椅宽度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620mm，坐高</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480mm，座椅深度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880mm，总深度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1050mm，全伸展最大深度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1660mm。靠墙摆设不影响靠背躺下，不需预留空间。躺下时靠背座椅向前、向下移动。</w:t>
            </w:r>
            <w:r/>
          </w:p>
          <w:p>
            <w:pPr>
              <w:numPr>
                <w:ilvl w:val="0"/>
                <w:numId w:val="17"/>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材质：采用优质超纤皮，选用优质超软绵，具有弹性好、柔软度强、坐感舒适、使用稳定等特点。</w:t>
            </w:r>
            <w:r/>
          </w:p>
          <w:p>
            <w:pPr>
              <w:numPr>
                <w:ilvl w:val="0"/>
                <w:numId w:val="17"/>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功能架选择：选用出口加厚钢板冲压而成，使用更长久，质量更稳定，结构更稳固</w:t>
            </w:r>
            <w:r/>
          </w:p>
          <w:p>
            <w:pPr>
              <w:numPr>
                <w:ilvl w:val="0"/>
                <w:numId w:val="17"/>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电机：采用</w:t>
            </w:r>
            <w:r>
              <w:rPr>
                <w:rFonts w:hint="eastAsia" w:ascii="宋体" w:hAnsi="宋体" w:eastAsia="宋体" w:cs="宋体"/>
                <w:color w:val="auto"/>
                <w:sz w:val="21"/>
                <w:szCs w:val="21"/>
                <w:highlight w:val="none"/>
                <w:lang w:val="en-US" w:eastAsia="zh-CN"/>
              </w:rPr>
              <w:t xml:space="preserve">优质</w:t>
            </w:r>
            <w:r>
              <w:rPr>
                <w:rFonts w:hint="eastAsia" w:ascii="宋体" w:hAnsi="宋体" w:eastAsia="宋体" w:cs="宋体"/>
                <w:color w:val="auto"/>
                <w:sz w:val="21"/>
                <w:szCs w:val="21"/>
                <w:highlight w:val="none"/>
              </w:rPr>
              <w:t xml:space="preserve">电机五金架，质量优质稳定，配备USB充电口。</w:t>
            </w:r>
            <w:r/>
          </w:p>
          <w:p>
            <w:pPr>
              <w:numPr>
                <w:ilvl w:val="0"/>
                <w:numId w:val="17"/>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▲双控位操作：座椅扶手左右两侧均设置控制按键，献血者、采血工作人员均可便捷操作。</w:t>
            </w:r>
            <w:r/>
          </w:p>
          <w:p>
            <w:pPr>
              <w:numPr>
                <w:ilvl w:val="0"/>
                <w:numId w:val="17"/>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▲一键躺平应急开关（休克应急用）：按键位置可按需定制于左侧或右侧；献血者发生晕血休克状况应急时，工作人员可一键触发快速调节体位，便于应急处置，可满足全血采血、机采采血体位需求。</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10个</w:t>
            </w:r>
            <w:r/>
          </w:p>
        </w:tc>
      </w:tr>
      <w:tr>
        <w:trPr>
          <w:trHeight w:val="383"/>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空气消毒机</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numPr>
                <w:ilvl w:val="0"/>
                <w:numId w:val="0"/>
              </w:numPr>
              <w:jc w:val="left"/>
              <w:spacing w:line="240" w:lineRule="auto"/>
              <w:widowControl/>
              <w:rPr>
                <w:rFonts w:hint="eastAsia" w:ascii="宋体" w:hAnsi="宋体"/>
              </w:rPr>
            </w:pPr>
            <w:r>
              <w:rPr>
                <w:rFonts w:hint="eastAsia" w:ascii="宋体" w:hAnsi="宋体"/>
                <w:lang w:val="en-US" w:eastAsia="zh-CN"/>
              </w:rPr>
              <w:t xml:space="preserve">1.单台</w:t>
            </w:r>
            <w:r>
              <w:rPr>
                <w:rFonts w:hint="eastAsia" w:ascii="宋体" w:hAnsi="宋体"/>
              </w:rPr>
              <w:t xml:space="preserve">适用体积：100m</w:t>
            </w:r>
            <w:r>
              <w:rPr>
                <w:rFonts w:hint="eastAsia" w:ascii="宋体" w:hAnsi="宋体"/>
                <w:vertAlign w:val="superscript"/>
              </w:rPr>
              <w:t xml:space="preserve">3</w:t>
            </w:r>
            <w:r>
              <w:rPr>
                <w:rFonts w:hint="eastAsia" w:ascii="宋体" w:hAnsi="宋体"/>
              </w:rPr>
              <w:t xml:space="preserve">；</w:t>
            </w:r>
            <w:r/>
          </w:p>
          <w:p>
            <w:pPr>
              <w:numPr>
                <w:ilvl w:val="0"/>
                <w:numId w:val="0"/>
              </w:numPr>
              <w:jc w:val="left"/>
              <w:spacing w:line="240" w:lineRule="auto"/>
              <w:widowControl/>
              <w:rPr>
                <w:rFonts w:hint="eastAsia" w:ascii="宋体" w:hAnsi="宋体"/>
                <w:lang w:val="en-US" w:eastAsia="zh-CN"/>
              </w:rPr>
            </w:pPr>
            <w:r>
              <w:rPr>
                <w:rFonts w:hint="eastAsia" w:ascii="宋体" w:hAnsi="宋体"/>
              </w:rPr>
              <w:t xml:space="preserve">2</w:t>
            </w:r>
            <w:r>
              <w:rPr>
                <w:rFonts w:hint="eastAsia" w:ascii="宋体" w:hAnsi="宋体"/>
                <w:lang w:val="en-US" w:eastAsia="zh-CN"/>
              </w:rPr>
              <w:t xml:space="preserve">.消毒原理：等离子体或循环风紫外线（无臭氧），支持人机共存，无耗材；</w:t>
            </w:r>
            <w:r/>
          </w:p>
          <w:p>
            <w:pPr>
              <w:spacing w:line="336" w:lineRule="exact"/>
              <w:rPr>
                <w:rFonts w:hint="eastAsia" w:ascii="宋体" w:hAnsi="宋体"/>
              </w:rPr>
            </w:pPr>
            <w:r>
              <w:rPr>
                <w:rFonts w:hint="eastAsia" w:ascii="宋体" w:hAnsi="宋体"/>
              </w:rPr>
              <w:t xml:space="preserve">3</w:t>
            </w:r>
            <w:r>
              <w:rPr>
                <w:rFonts w:hint="eastAsia" w:ascii="宋体" w:hAnsi="宋体"/>
                <w:lang w:val="en-US" w:eastAsia="zh-CN"/>
              </w:rPr>
              <w:t xml:space="preserve">.外形</w:t>
            </w:r>
            <w:r>
              <w:rPr>
                <w:rFonts w:hint="eastAsia" w:ascii="宋体" w:hAnsi="宋体"/>
              </w:rPr>
              <w:t xml:space="preserve">：</w:t>
            </w:r>
            <w:r>
              <w:rPr>
                <w:rFonts w:hint="eastAsia" w:ascii="宋体" w:hAnsi="宋体"/>
                <w:color w:val="000000" w:themeColor="text1"/>
                <w:lang w:val="en-US" w:eastAsia="zh-CN"/>
                <w14:textFill>
                  <w14:solidFill>
                    <w14:schemeClr w14:val="tx1"/>
                  </w14:solidFill>
                </w14:textFill>
              </w:rPr>
              <w:t xml:space="preserve">吸顶嵌入式</w:t>
            </w:r>
            <w:r>
              <w:rPr>
                <w:rFonts w:hint="eastAsia" w:ascii="宋体" w:hAnsi="宋体"/>
              </w:rPr>
              <w:t xml:space="preserve">；</w:t>
            </w:r>
            <w:r/>
          </w:p>
          <w:p>
            <w:pPr>
              <w:spacing w:line="336" w:lineRule="exact"/>
              <w:rPr>
                <w:rFonts w:hint="eastAsia" w:ascii="宋体" w:hAnsi="宋体"/>
              </w:rPr>
            </w:pPr>
            <w:r>
              <w:rPr>
                <w:rFonts w:hint="eastAsia" w:ascii="宋体" w:hAnsi="宋体"/>
                <w:lang w:val="en-US" w:eastAsia="zh-CN"/>
              </w:rPr>
              <w:t xml:space="preserve">4.</w:t>
            </w:r>
            <w:r>
              <w:rPr>
                <w:rFonts w:hint="eastAsia" w:ascii="宋体" w:hAnsi="宋体"/>
              </w:rPr>
              <w:t xml:space="preserve">天花开孔尺寸</w:t>
            </w:r>
            <w:r>
              <w:rPr>
                <w:rFonts w:hint="eastAsia" w:ascii="宋体" w:hAnsi="宋体"/>
                <w:lang w:eastAsia="zh-CN"/>
              </w:rPr>
              <w:t xml:space="preserve">：</w:t>
            </w:r>
            <w:r>
              <w:rPr>
                <w:rFonts w:hint="eastAsia" w:ascii="宋体" w:hAnsi="宋体"/>
              </w:rPr>
              <w:t xml:space="preserve">由投标方提供，需与装修设计协调</w:t>
            </w:r>
            <w:r>
              <w:rPr>
                <w:rFonts w:hint="eastAsia" w:ascii="宋体" w:hAnsi="宋体"/>
                <w:lang w:eastAsia="zh-CN"/>
              </w:rPr>
              <w:t xml:space="preserve">；</w:t>
            </w:r>
            <w:r>
              <w:rPr>
                <w:rFonts w:hint="eastAsia" w:ascii="宋体" w:hAnsi="宋体"/>
              </w:rPr>
              <w:tab/>
            </w:r>
            <w:r/>
          </w:p>
          <w:p>
            <w:pPr>
              <w:spacing w:line="336" w:lineRule="exact"/>
              <w:rPr>
                <w:rFonts w:hint="eastAsia" w:ascii="宋体" w:hAnsi="宋体" w:eastAsia="宋体"/>
                <w:lang w:eastAsia="zh-CN"/>
              </w:rPr>
            </w:pPr>
            <w:r>
              <w:rPr>
                <w:rFonts w:hint="eastAsia" w:ascii="宋体" w:hAnsi="宋体"/>
                <w:lang w:val="en-US" w:eastAsia="zh-CN"/>
              </w:rPr>
              <w:t xml:space="preserve">5.</w:t>
            </w:r>
            <w:r>
              <w:rPr>
                <w:rFonts w:hint="eastAsia" w:ascii="宋体" w:hAnsi="宋体"/>
              </w:rPr>
              <w:t xml:space="preserve">天花到房顶预留空间</w:t>
            </w:r>
            <w:r>
              <w:rPr>
                <w:rFonts w:hint="eastAsia" w:ascii="宋体" w:hAnsi="宋体"/>
                <w:lang w:eastAsia="zh-CN"/>
              </w:rPr>
              <w:t xml:space="preserve">：</w:t>
            </w:r>
            <w:r>
              <w:rPr>
                <w:rFonts w:hint="eastAsia" w:ascii="宋体" w:hAnsi="宋体"/>
              </w:rPr>
              <w:t xml:space="preserve">≥ 500 mm</w:t>
            </w:r>
            <w:r>
              <w:rPr>
                <w:rFonts w:hint="eastAsia" w:ascii="宋体" w:hAnsi="宋体"/>
              </w:rPr>
              <w:tab/>
            </w:r>
            <w:r>
              <w:rPr>
                <w:rFonts w:hint="eastAsia" w:ascii="宋体" w:hAnsi="宋体"/>
                <w:lang w:eastAsia="zh-CN"/>
              </w:rPr>
              <w:t xml:space="preserve">，每台设备预留好检修口和安装空间；</w:t>
            </w:r>
            <w:r/>
          </w:p>
          <w:p>
            <w:pPr>
              <w:spacing w:line="336" w:lineRule="exact"/>
              <w:rPr>
                <w:rFonts w:hint="eastAsia" w:ascii="宋体" w:hAnsi="宋体"/>
              </w:rPr>
            </w:pPr>
            <w:r>
              <w:rPr>
                <w:rFonts w:hint="eastAsia" w:ascii="宋体" w:hAnsi="宋体"/>
                <w:lang w:val="en-US" w:eastAsia="zh-CN"/>
              </w:rPr>
              <w:t xml:space="preserve">6.</w:t>
            </w:r>
            <w:r>
              <w:rPr>
                <w:rFonts w:hint="eastAsia" w:ascii="宋体" w:hAnsi="宋体"/>
              </w:rPr>
              <w:t xml:space="preserve">整机重量</w:t>
            </w:r>
            <w:r>
              <w:rPr>
                <w:rFonts w:hint="eastAsia" w:ascii="宋体" w:hAnsi="宋体"/>
                <w:lang w:eastAsia="zh-CN"/>
              </w:rPr>
              <w:t xml:space="preserve">：</w:t>
            </w:r>
            <w:r>
              <w:rPr>
                <w:rFonts w:hint="eastAsia" w:ascii="宋体" w:hAnsi="宋体"/>
              </w:rPr>
              <w:t xml:space="preserve">≤ 35 kg</w:t>
            </w:r>
            <w:r>
              <w:rPr>
                <w:rFonts w:hint="eastAsia" w:ascii="宋体" w:hAnsi="宋体"/>
                <w:lang w:eastAsia="zh-CN"/>
              </w:rPr>
              <w:t xml:space="preserve">；</w:t>
            </w:r>
            <w:r/>
          </w:p>
          <w:p>
            <w:pPr>
              <w:spacing w:line="336" w:lineRule="exact"/>
              <w:rPr>
                <w:rFonts w:hint="eastAsia" w:ascii="宋体" w:hAnsi="宋体"/>
              </w:rPr>
            </w:pPr>
            <w:r>
              <w:rPr>
                <w:rFonts w:hint="eastAsia" w:ascii="宋体" w:hAnsi="宋体"/>
                <w:lang w:val="en-US" w:eastAsia="zh-CN"/>
              </w:rPr>
              <w:t xml:space="preserve">7.单台</w:t>
            </w:r>
            <w:r>
              <w:rPr>
                <w:rFonts w:hint="eastAsia" w:ascii="宋体" w:hAnsi="宋体"/>
              </w:rPr>
              <w:t xml:space="preserve">循环消毒风量：≥1000m³/h；</w:t>
            </w:r>
            <w:r/>
          </w:p>
          <w:p>
            <w:pPr>
              <w:spacing w:line="336" w:lineRule="exact"/>
              <w:rPr>
                <w:rFonts w:hint="eastAsia" w:ascii="宋体" w:hAnsi="宋体"/>
              </w:rPr>
            </w:pPr>
            <w:r>
              <w:rPr>
                <w:rFonts w:hint="eastAsia" w:ascii="宋体" w:hAnsi="宋体"/>
                <w:lang w:val="en-US" w:eastAsia="zh-CN"/>
              </w:rPr>
              <w:t xml:space="preserve">8.</w:t>
            </w:r>
            <w:r>
              <w:rPr>
                <w:rFonts w:hint="eastAsia" w:ascii="宋体" w:hAnsi="宋体"/>
              </w:rPr>
              <w:t xml:space="preserve">消毒时臭氧泄漏量≤0.01mg/m³；</w:t>
            </w:r>
            <w:r/>
          </w:p>
          <w:p>
            <w:pPr>
              <w:spacing w:line="336" w:lineRule="exact"/>
              <w:rPr>
                <w:rFonts w:hint="eastAsia" w:ascii="宋体" w:hAnsi="宋体"/>
              </w:rPr>
            </w:pPr>
            <w:r>
              <w:rPr>
                <w:rFonts w:hint="eastAsia" w:ascii="宋体" w:hAnsi="宋体"/>
                <w:lang w:val="en-US" w:eastAsia="zh-CN"/>
              </w:rPr>
              <w:t xml:space="preserve">9.</w:t>
            </w:r>
            <w:r>
              <w:rPr>
                <w:rFonts w:hint="eastAsia" w:ascii="宋体" w:hAnsi="宋体"/>
              </w:rPr>
              <w:t xml:space="preserve">噪音：≤</w:t>
            </w:r>
            <w:r>
              <w:rPr>
                <w:rFonts w:hint="eastAsia" w:ascii="宋体" w:hAnsi="宋体"/>
                <w:lang w:val="en-US" w:eastAsia="zh-CN"/>
              </w:rPr>
              <w:t xml:space="preserve">55</w:t>
            </w:r>
            <w:r>
              <w:rPr>
                <w:rFonts w:hint="eastAsia" w:ascii="宋体" w:hAnsi="宋体"/>
              </w:rPr>
              <w:t xml:space="preserve">dB(A)；</w:t>
            </w:r>
            <w:r/>
          </w:p>
          <w:p>
            <w:pPr>
              <w:spacing w:line="336" w:lineRule="exact"/>
              <w:rPr>
                <w:rFonts w:hint="eastAsia" w:ascii="宋体" w:hAnsi="宋体"/>
              </w:rPr>
            </w:pPr>
            <w:r>
              <w:rPr>
                <w:rFonts w:hint="eastAsia" w:ascii="宋体" w:hAnsi="宋体"/>
                <w:lang w:val="en-US" w:eastAsia="zh-CN"/>
              </w:rPr>
              <w:t xml:space="preserve">10.</w:t>
            </w:r>
            <w:r>
              <w:rPr>
                <w:rFonts w:hint="eastAsia" w:ascii="宋体" w:hAnsi="宋体"/>
              </w:rPr>
              <w:t xml:space="preserve">消毒机开机60min白色葡萄球菌杀灭率：≥99.9%（提供60min检测报告，扫描上传）；</w:t>
            </w:r>
            <w:r/>
          </w:p>
          <w:p>
            <w:pPr>
              <w:spacing w:line="336" w:lineRule="exact"/>
              <w:rPr>
                <w:rFonts w:hint="eastAsia" w:ascii="宋体" w:hAnsi="宋体"/>
              </w:rPr>
            </w:pPr>
            <w:r>
              <w:rPr>
                <w:rFonts w:hint="eastAsia" w:ascii="宋体" w:hAnsi="宋体"/>
                <w:lang w:val="en-US" w:eastAsia="zh-CN"/>
              </w:rPr>
              <w:t xml:space="preserve">11.</w:t>
            </w:r>
            <w:r>
              <w:rPr>
                <w:rFonts w:hint="eastAsia" w:ascii="宋体" w:hAnsi="宋体"/>
              </w:rPr>
              <w:t xml:space="preserve">消毒机开机120min自然菌消亡率：≥9</w:t>
            </w:r>
            <w:r>
              <w:rPr>
                <w:rFonts w:hint="eastAsia" w:ascii="宋体" w:hAnsi="宋体"/>
                <w:lang w:val="en-US" w:eastAsia="zh-CN"/>
              </w:rPr>
              <w:t xml:space="preserve">0</w:t>
            </w:r>
            <w:r>
              <w:rPr>
                <w:rFonts w:hint="eastAsia" w:ascii="宋体" w:hAnsi="宋体"/>
              </w:rPr>
              <w:t xml:space="preserve">%（提供120min检测报告，扫描上传）；</w:t>
            </w:r>
            <w:r/>
          </w:p>
          <w:p>
            <w:pPr>
              <w:spacing w:line="336" w:lineRule="exact"/>
              <w:rPr>
                <w:rFonts w:hint="eastAsia"/>
              </w:rPr>
            </w:pPr>
            <w:r>
              <w:rPr>
                <w:rFonts w:hint="eastAsia" w:ascii="宋体" w:hAnsi="宋体"/>
                <w:lang w:val="en-US" w:eastAsia="zh-CN"/>
              </w:rPr>
              <w:t xml:space="preserve">12.</w:t>
            </w:r>
            <w:r>
              <w:rPr>
                <w:rFonts w:hint="eastAsia" w:ascii="宋体" w:hAnsi="宋体"/>
              </w:rPr>
              <w:t xml:space="preserve">消毒后空气中细菌总数：≤112cfu/m3（提供120min检测报告，扫描上传）</w:t>
            </w:r>
            <w:r>
              <w:rPr>
                <w:rFonts w:hint="eastAsia" w:ascii="宋体" w:hAnsi="宋体"/>
                <w:lang w:val="en-US" w:eastAsia="zh-CN"/>
              </w:rPr>
              <w:t xml:space="preserve">,</w:t>
            </w:r>
            <w:r>
              <w:rPr>
                <w:rFonts w:hint="eastAsia" w:ascii="宋体" w:hAnsi="宋体"/>
                <w:lang w:val="zh-CN" w:eastAsia="zh-CN"/>
              </w:rPr>
              <w:t xml:space="preserve">（新华、肯格王、巨光</w:t>
            </w:r>
            <w:r>
              <w:rPr>
                <w:rFonts w:hint="eastAsia" w:ascii="宋体" w:hAnsi="宋体"/>
                <w:lang w:val="en-US" w:eastAsia="zh-CN"/>
              </w:rPr>
              <w:t xml:space="preserve">或同档次品牌</w:t>
            </w:r>
            <w:r>
              <w:rPr>
                <w:rFonts w:hint="eastAsia" w:ascii="宋体" w:hAnsi="宋体"/>
                <w:lang w:val="zh-CN" w:eastAsia="zh-CN"/>
              </w:rPr>
              <w:t xml:space="preserve">），</w:t>
            </w:r>
            <w:r>
              <w:rPr>
                <w:rFonts w:hint="eastAsia" w:ascii="宋体" w:hAnsi="宋体"/>
              </w:rPr>
              <w:t xml:space="preserve">提供消字号备案凭证复印件加盖投标人公章</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4台</w:t>
            </w:r>
            <w:r/>
          </w:p>
        </w:tc>
      </w:tr>
      <w:tr>
        <w:trPr>
          <w:trHeight w:val="383"/>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default" w:ascii="宋体" w:hAnsi="宋体" w:eastAsia="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t xml:space="preserve">移动式紫外线消毒灯车</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numPr>
                <w:ilvl w:val="0"/>
                <w:numId w:val="18"/>
              </w:numPr>
              <w:spacing w:line="336" w:lineRule="exact"/>
              <w:rPr>
                <w:rFonts w:hint="eastAsia" w:ascii="宋体" w:hAnsi="宋体" w:eastAsia="宋体"/>
                <w:lang w:eastAsia="zh-CN"/>
              </w:rPr>
            </w:pPr>
            <w:r>
              <w:rPr>
                <w:rFonts w:hint="eastAsia" w:ascii="宋体" w:hAnsi="宋体" w:eastAsia="宋体"/>
                <w:lang w:eastAsia="zh-CN"/>
              </w:rPr>
              <w:t xml:space="preserve">每台配置 2支40W、长度≥120cm 无臭氧紫外线灯管，波长 253.7nm；灯臂可 0</w:t>
            </w:r>
            <w:r>
              <w:rPr>
                <w:rFonts w:hint="eastAsia" w:ascii="宋体" w:hAnsi="宋体" w:eastAsia="宋体"/>
                <w:lang w:eastAsia="zh-CN"/>
              </w:rPr>
              <w:noBreakHyphen/>
            </w:r>
            <w:r>
              <w:rPr>
                <w:rFonts w:hint="eastAsia" w:ascii="宋体" w:hAnsi="宋体" w:eastAsia="宋体"/>
                <w:lang w:eastAsia="zh-CN"/>
              </w:rPr>
              <w:t xml:space="preserve">135° 角度调节，带灯管防护门；</w:t>
            </w:r>
            <w:r/>
          </w:p>
          <w:p>
            <w:pPr>
              <w:numPr>
                <w:ilvl w:val="0"/>
                <w:numId w:val="18"/>
              </w:numPr>
              <w:spacing w:line="336" w:lineRule="exact"/>
              <w:rPr>
                <w:rFonts w:hint="eastAsia" w:ascii="宋体" w:hAnsi="宋体" w:eastAsia="宋体"/>
                <w:lang w:eastAsia="zh-CN"/>
              </w:rPr>
            </w:pPr>
            <w:r>
              <w:rPr>
                <w:rFonts w:hint="eastAsia" w:ascii="宋体" w:hAnsi="宋体" w:eastAsia="宋体"/>
                <w:lang w:eastAsia="zh-CN"/>
              </w:rPr>
              <w:t xml:space="preserve">配备电子定时控制系统，定时范围 0</w:t>
            </w:r>
            <w:r>
              <w:rPr>
                <w:rFonts w:hint="eastAsia" w:ascii="宋体" w:hAnsi="宋体" w:eastAsia="宋体"/>
                <w:lang w:eastAsia="zh-CN"/>
              </w:rPr>
              <w:noBreakHyphen/>
            </w:r>
            <w:r>
              <w:rPr>
                <w:rFonts w:hint="eastAsia" w:ascii="宋体" w:hAnsi="宋体" w:eastAsia="宋体"/>
                <w:lang w:eastAsia="zh-CN"/>
              </w:rPr>
              <w:t xml:space="preserve">120min，定时结束自动断电停机，支持遥控控制；</w:t>
            </w:r>
            <w:r/>
          </w:p>
          <w:p>
            <w:pPr>
              <w:numPr>
                <w:ilvl w:val="0"/>
                <w:numId w:val="18"/>
              </w:numPr>
              <w:spacing w:line="336" w:lineRule="exact"/>
              <w:rPr>
                <w:rFonts w:hint="eastAsia" w:ascii="宋体" w:hAnsi="宋体" w:eastAsia="宋体"/>
                <w:lang w:eastAsia="zh-CN"/>
              </w:rPr>
            </w:pPr>
            <w:r>
              <w:rPr>
                <w:rFonts w:hint="eastAsia" w:ascii="宋体" w:hAnsi="宋体" w:eastAsia="宋体"/>
                <w:lang w:eastAsia="zh-CN"/>
              </w:rPr>
              <w:t xml:space="preserve">整机配置静音带锁万向脚轮，机架碳钢喷塑防腐；</w:t>
            </w:r>
            <w:r/>
          </w:p>
          <w:p>
            <w:pPr>
              <w:numPr>
                <w:ilvl w:val="0"/>
                <w:numId w:val="18"/>
              </w:numPr>
              <w:spacing w:line="336" w:lineRule="exact"/>
              <w:rPr>
                <w:rFonts w:hint="eastAsia" w:ascii="宋体" w:hAnsi="宋体" w:eastAsia="宋体"/>
                <w:lang w:eastAsia="zh-CN"/>
              </w:rPr>
            </w:pPr>
            <w:r>
              <w:rPr>
                <w:rFonts w:hint="eastAsia" w:ascii="宋体" w:hAnsi="宋体" w:eastAsia="宋体"/>
                <w:lang w:eastAsia="zh-CN"/>
              </w:rPr>
              <w:t xml:space="preserve">产品具备消字号备案资质，投标提供消毒产品卫生安全评价报告、消毒产品生产企业卫生许可证加盖投标人公章。</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default" w:ascii="宋体" w:hAnsi="宋体" w:eastAsia="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t xml:space="preserve">2台</w:t>
            </w:r>
            <w:r/>
          </w:p>
        </w:tc>
      </w:tr>
      <w:tr>
        <w:trPr>
          <w:trHeight w:val="383"/>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12</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▲移动式献血屋专用智能管理系统</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numPr>
                <w:ilvl w:val="0"/>
                <w:numId w:val="19"/>
              </w:numPr>
              <w:jc w:val="left"/>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配置</w:t>
            </w:r>
            <w:r>
              <w:rPr>
                <w:rFonts w:hint="eastAsia" w:ascii="宋体" w:hAnsi="宋体" w:eastAsia="宋体" w:cs="宋体"/>
                <w:color w:val="auto"/>
                <w:sz w:val="21"/>
                <w:szCs w:val="21"/>
                <w:highlight w:val="none"/>
              </w:rPr>
              <w:t xml:space="preserve">电路安全实时监控单元：整个系统做到对漏电、短路、过/欠压实时监控及保护，整个电路的运行状态在管理屏幕上有完整的显示</w:t>
            </w:r>
            <w:r>
              <w:rPr>
                <w:rFonts w:hint="eastAsia" w:ascii="宋体" w:hAnsi="宋体" w:cs="宋体"/>
                <w:color w:val="auto"/>
                <w:sz w:val="21"/>
                <w:szCs w:val="21"/>
                <w:highlight w:val="none"/>
                <w:lang w:val="en-US" w:eastAsia="zh-CN"/>
              </w:rPr>
              <w:t xml:space="preserve">；</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2.配置</w:t>
            </w:r>
            <w:r>
              <w:rPr>
                <w:rFonts w:hint="eastAsia" w:ascii="宋体" w:hAnsi="宋体" w:eastAsia="宋体" w:cs="宋体"/>
                <w:color w:val="auto"/>
                <w:sz w:val="21"/>
                <w:szCs w:val="21"/>
                <w:highlight w:val="none"/>
              </w:rPr>
              <w:t xml:space="preserve">血液</w:t>
            </w:r>
            <w:r>
              <w:rPr>
                <w:rFonts w:hint="eastAsia" w:ascii="宋体" w:hAnsi="宋体" w:cs="宋体"/>
                <w:color w:val="auto"/>
                <w:sz w:val="21"/>
                <w:szCs w:val="21"/>
                <w:highlight w:val="none"/>
                <w:lang w:val="en-US" w:eastAsia="zh-CN"/>
              </w:rPr>
              <w:t xml:space="preserve">冷链</w:t>
            </w:r>
            <w:r>
              <w:rPr>
                <w:rFonts w:hint="eastAsia" w:ascii="宋体" w:hAnsi="宋体" w:eastAsia="宋体" w:cs="宋体"/>
                <w:color w:val="auto"/>
                <w:sz w:val="21"/>
                <w:szCs w:val="21"/>
                <w:highlight w:val="none"/>
              </w:rPr>
              <w:t xml:space="preserve">安全监控单元：实时监控血液箱内部温度变化，如存储温度超出设定数值第一时间提醒工作人员</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3.配置</w:t>
            </w:r>
            <w:r>
              <w:rPr>
                <w:rFonts w:hint="eastAsia" w:ascii="宋体" w:hAnsi="宋体" w:eastAsia="宋体" w:cs="宋体"/>
                <w:color w:val="auto"/>
                <w:sz w:val="21"/>
                <w:szCs w:val="21"/>
                <w:highlight w:val="none"/>
              </w:rPr>
              <w:t xml:space="preserve">内部电器远程控制单元：可远程开启</w:t>
            </w:r>
            <w:r>
              <w:rPr>
                <w:rFonts w:hint="eastAsia" w:ascii="宋体" w:hAnsi="宋体" w:cs="宋体"/>
                <w:color w:val="auto"/>
                <w:sz w:val="21"/>
                <w:szCs w:val="21"/>
                <w:highlight w:val="none"/>
                <w:lang w:val="en-US" w:eastAsia="zh-CN"/>
              </w:rPr>
              <w:t xml:space="preserve">环境夏季制冷</w:t>
            </w:r>
            <w:r>
              <w:rPr>
                <w:rFonts w:hint="eastAsia" w:ascii="宋体" w:hAnsi="宋体" w:eastAsia="宋体" w:cs="宋体"/>
                <w:color w:val="auto"/>
                <w:sz w:val="21"/>
                <w:szCs w:val="21"/>
                <w:highlight w:val="none"/>
              </w:rPr>
              <w:t xml:space="preserve">、冬季加热</w:t>
            </w:r>
            <w:r>
              <w:rPr>
                <w:rFonts w:hint="eastAsia" w:ascii="宋体" w:hAnsi="宋体" w:cs="宋体"/>
                <w:color w:val="auto"/>
                <w:sz w:val="21"/>
                <w:szCs w:val="21"/>
                <w:highlight w:val="none"/>
                <w:lang w:val="en-US" w:eastAsia="zh-CN"/>
              </w:rPr>
              <w:t xml:space="preserve">通风</w:t>
            </w:r>
            <w:r>
              <w:rPr>
                <w:rFonts w:hint="eastAsia" w:ascii="宋体" w:hAnsi="宋体" w:eastAsia="宋体" w:cs="宋体"/>
                <w:color w:val="auto"/>
                <w:sz w:val="21"/>
                <w:szCs w:val="21"/>
                <w:highlight w:val="none"/>
              </w:rPr>
              <w:t xml:space="preserve">系统、</w:t>
            </w:r>
            <w:r>
              <w:rPr>
                <w:rFonts w:hint="eastAsia" w:ascii="宋体" w:hAnsi="宋体" w:cs="宋体"/>
                <w:color w:val="auto"/>
                <w:sz w:val="21"/>
                <w:szCs w:val="21"/>
                <w:highlight w:val="none"/>
                <w:lang w:val="en-US" w:eastAsia="zh-CN"/>
              </w:rPr>
              <w:t xml:space="preserve">空气消毒</w:t>
            </w:r>
            <w:r>
              <w:rPr>
                <w:rFonts w:hint="eastAsia" w:ascii="宋体" w:hAnsi="宋体" w:eastAsia="宋体" w:cs="宋体"/>
                <w:color w:val="auto"/>
                <w:sz w:val="21"/>
                <w:szCs w:val="21"/>
                <w:highlight w:val="none"/>
              </w:rPr>
              <w:t xml:space="preserve">统、led显示系统等电气设备</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4.配置</w:t>
            </w:r>
            <w:r>
              <w:rPr>
                <w:rFonts w:hint="eastAsia" w:ascii="宋体" w:hAnsi="宋体" w:eastAsia="宋体" w:cs="宋体"/>
                <w:color w:val="auto"/>
                <w:sz w:val="21"/>
                <w:szCs w:val="21"/>
                <w:highlight w:val="none"/>
              </w:rPr>
              <w:t xml:space="preserve">空气质量监控单元，对屋内空气质量及甲醛浓度等进行实时监控</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5.配置</w:t>
            </w:r>
            <w:r>
              <w:rPr>
                <w:rFonts w:hint="eastAsia" w:ascii="宋体" w:hAnsi="宋体" w:eastAsia="宋体" w:cs="宋体"/>
                <w:color w:val="auto"/>
                <w:sz w:val="21"/>
                <w:szCs w:val="21"/>
                <w:highlight w:val="none"/>
              </w:rPr>
              <w:t xml:space="preserve">电路安全实时监控单元、血液</w:t>
            </w:r>
            <w:r>
              <w:rPr>
                <w:rFonts w:hint="eastAsia" w:ascii="宋体" w:hAnsi="宋体" w:cs="宋体"/>
                <w:color w:val="auto"/>
                <w:sz w:val="21"/>
                <w:szCs w:val="21"/>
                <w:highlight w:val="none"/>
                <w:lang w:val="en-US" w:eastAsia="zh-CN"/>
              </w:rPr>
              <w:t xml:space="preserve">冷链</w:t>
            </w:r>
            <w:r>
              <w:rPr>
                <w:rFonts w:hint="eastAsia" w:ascii="宋体" w:hAnsi="宋体" w:eastAsia="宋体" w:cs="宋体"/>
                <w:color w:val="auto"/>
                <w:sz w:val="21"/>
                <w:szCs w:val="21"/>
                <w:highlight w:val="none"/>
              </w:rPr>
              <w:t xml:space="preserve">安全监控单元、内部电器远程控制单元等须在同一软件平台操作</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提供软件操作页面截图证明。</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1套</w:t>
            </w:r>
            <w:r/>
          </w:p>
        </w:tc>
      </w:tr>
      <w:tr>
        <w:trPr>
          <w:trHeight w:val="383"/>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13</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音响功放系统</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numPr>
                <w:ilvl w:val="0"/>
                <w:numId w:val="20"/>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配方舱室外音箱4个，防水牢固、功放1台，音箱布置在门口；</w:t>
            </w:r>
            <w:r/>
          </w:p>
          <w:p>
            <w:pPr>
              <w:numPr>
                <w:ilvl w:val="0"/>
                <w:numId w:val="20"/>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室内配4套高保真车用音响安装在顶棚相应位置；配150W 功放，规格尺寸：480mmx360mmx95mm,供电：直流:12V≥5A 交流:220V 功能介绍：可插 USB/有遥控/ 卡拉 OK 功能音频输入：功放后面 AUX 莲花座可接:电脑/MP3/DVD/等音频信号音频输出:L左+R右 声道输出分正负极各接一个音箱。</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1套</w:t>
            </w:r>
            <w:r/>
          </w:p>
        </w:tc>
      </w:tr>
      <w:tr>
        <w:trPr>
          <w:trHeight w:val="383"/>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14</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备用供电系统</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不间断电源系统</w:t>
            </w:r>
            <w:r>
              <w:rPr>
                <w:rFonts w:hint="eastAsia" w:ascii="宋体" w:hAnsi="宋体" w:eastAsia="宋体" w:cs="宋体"/>
                <w:color w:val="auto"/>
                <w:sz w:val="21"/>
                <w:szCs w:val="21"/>
                <w:highlight w:val="none"/>
              </w:rPr>
              <w:t xml:space="preserve">UPS 为整</w:t>
            </w:r>
            <w:r>
              <w:rPr>
                <w:rFonts w:hint="eastAsia" w:ascii="宋体" w:hAnsi="宋体" w:cs="宋体"/>
                <w:color w:val="auto"/>
                <w:sz w:val="21"/>
                <w:szCs w:val="21"/>
                <w:highlight w:val="none"/>
                <w:lang w:eastAsia="zh-CN"/>
              </w:rPr>
              <w:t xml:space="preserve">个</w:t>
            </w:r>
            <w:r>
              <w:rPr>
                <w:rFonts w:hint="eastAsia" w:ascii="宋体" w:hAnsi="宋体" w:cs="宋体"/>
                <w:color w:val="auto"/>
                <w:sz w:val="21"/>
                <w:szCs w:val="21"/>
                <w:highlight w:val="none"/>
                <w:lang w:val="en-US" w:eastAsia="zh-CN"/>
              </w:rPr>
              <w:t xml:space="preserve">工作场所</w:t>
            </w:r>
            <w:r>
              <w:rPr>
                <w:rFonts w:hint="eastAsia" w:ascii="宋体" w:hAnsi="宋体" w:eastAsia="宋体" w:cs="宋体"/>
                <w:color w:val="auto"/>
                <w:sz w:val="21"/>
                <w:szCs w:val="21"/>
                <w:highlight w:val="none"/>
              </w:rPr>
              <w:t xml:space="preserve">除空调外的采血</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检验和血液保存设备</w:t>
            </w:r>
            <w:r>
              <w:rPr>
                <w:rFonts w:hint="eastAsia" w:ascii="宋体" w:hAnsi="宋体" w:eastAsia="宋体" w:cs="宋体"/>
                <w:color w:val="auto"/>
                <w:sz w:val="21"/>
                <w:szCs w:val="21"/>
                <w:highlight w:val="none"/>
              </w:rPr>
              <w:t xml:space="preserve">设备应急供电，市电</w:t>
            </w:r>
            <w:r>
              <w:rPr>
                <w:rFonts w:hint="eastAsia" w:ascii="宋体" w:hAnsi="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rPr>
              <w:t xml:space="preserve">UPS 插座物理标识区分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功率≥10kVA、后备时间2小时，确保采血不间断用电需求，确保</w:t>
            </w:r>
            <w:r>
              <w:rPr>
                <w:rFonts w:hint="eastAsia" w:ascii="宋体" w:hAnsi="宋体" w:cs="宋体"/>
                <w:color w:val="auto"/>
                <w:sz w:val="21"/>
                <w:szCs w:val="21"/>
                <w:highlight w:val="none"/>
                <w:lang w:val="en-US" w:eastAsia="zh-CN"/>
              </w:rPr>
              <w:t xml:space="preserve">在线式</w:t>
            </w:r>
            <w:r>
              <w:rPr>
                <w:rFonts w:hint="eastAsia" w:ascii="宋体" w:hAnsi="宋体" w:eastAsia="宋体" w:cs="宋体"/>
                <w:color w:val="auto"/>
                <w:sz w:val="21"/>
                <w:szCs w:val="21"/>
                <w:highlight w:val="none"/>
              </w:rPr>
              <w:t xml:space="preserve">自动切换。</w:t>
            </w:r>
            <w:r>
              <w:rPr>
                <w:rFonts w:hint="eastAsia" w:ascii="宋体" w:hAnsi="宋体" w:eastAsia="宋体" w:cs="宋体"/>
                <w:color w:val="000000" w:themeColor="text1"/>
                <w:sz w:val="21"/>
                <w:szCs w:val="21"/>
                <w:highlight w:val="none"/>
                <w14:textFill>
                  <w14:solidFill>
                    <w14:schemeClr w14:val="tx1"/>
                  </w14:solidFill>
                </w14:textFill>
              </w:rPr>
              <w:t xml:space="preserve">UPS主机和电池组安装在干燥、通风良好的位置,机柜式安装时，前后需保留 15厘米以上的散热空间；底部离地至少10厘米,其他按照国家规范安装</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1套</w:t>
            </w:r>
            <w:r/>
          </w:p>
        </w:tc>
      </w:tr>
      <w:tr>
        <w:trPr>
          <w:trHeight w:val="383"/>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内部终端</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尺寸≥43寸</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高清LED </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可插</w:t>
            </w:r>
            <w:r>
              <w:rPr>
                <w:rFonts w:hint="eastAsia" w:ascii="宋体" w:hAnsi="宋体" w:cs="宋体"/>
                <w:color w:val="auto"/>
                <w:sz w:val="21"/>
                <w:szCs w:val="21"/>
                <w:highlight w:val="none"/>
                <w:lang w:val="en-US" w:eastAsia="zh-CN"/>
              </w:rPr>
              <w:t xml:space="preserve">u</w:t>
            </w:r>
            <w:r>
              <w:rPr>
                <w:rFonts w:hint="eastAsia" w:ascii="宋体" w:hAnsi="宋体" w:eastAsia="宋体" w:cs="宋体"/>
                <w:color w:val="auto"/>
                <w:sz w:val="21"/>
                <w:szCs w:val="21"/>
                <w:highlight w:val="none"/>
              </w:rPr>
              <w:t xml:space="preserve">盘播放</w:t>
            </w:r>
            <w:r>
              <w:rPr>
                <w:rFonts w:hint="eastAsia" w:ascii="宋体" w:hAnsi="宋体" w:cs="宋体"/>
                <w:color w:val="auto"/>
                <w:sz w:val="21"/>
                <w:szCs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套</w:t>
            </w:r>
            <w:r/>
          </w:p>
        </w:tc>
      </w:tr>
      <w:tr>
        <w:trPr>
          <w:trHeight w:val="383"/>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6</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身高体重秤</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numPr>
                <w:ilvl w:val="0"/>
                <w:numId w:val="21"/>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语音播报：语音提示测量步骤，播报测量结果，根据要求声音大小可自由调节；</w:t>
            </w:r>
            <w:r/>
          </w:p>
          <w:p>
            <w:pPr>
              <w:numPr>
                <w:ilvl w:val="0"/>
                <w:numId w:val="21"/>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LED显示：</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4寸高清VA显示屏，醒目清晰显示日期</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时间</w:t>
            </w:r>
            <w:r>
              <w:rPr>
                <w:rFonts w:hint="eastAsia" w:ascii="宋体" w:hAnsi="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rPr>
              <w:t xml:space="preserve">温度；</w:t>
            </w:r>
            <w:r/>
          </w:p>
          <w:p>
            <w:pPr>
              <w:numPr>
                <w:ilvl w:val="0"/>
                <w:numId w:val="21"/>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系统设置：显示屏和触摸按键一体化设计</w:t>
            </w:r>
            <w:r>
              <w:rPr>
                <w:rFonts w:hint="eastAsia" w:ascii="宋体" w:hAnsi="宋体" w:cs="宋体"/>
                <w:color w:val="auto"/>
                <w:sz w:val="21"/>
                <w:szCs w:val="21"/>
                <w:highlight w:val="none"/>
                <w:lang w:eastAsia="zh-CN"/>
              </w:rPr>
              <w:t xml:space="preserve">；</w:t>
            </w:r>
            <w:r/>
          </w:p>
          <w:p>
            <w:pPr>
              <w:numPr>
                <w:ilvl w:val="0"/>
                <w:numId w:val="21"/>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打印系统：自动打印体检报告，换纸方便；</w:t>
            </w:r>
            <w:r/>
          </w:p>
          <w:p>
            <w:pPr>
              <w:numPr>
                <w:ilvl w:val="0"/>
                <w:numId w:val="21"/>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折叠便携：可折叠方式，机器采用金属折叠扣可上</w:t>
            </w:r>
            <w:r>
              <w:rPr>
                <w:rFonts w:hint="eastAsia" w:ascii="宋体" w:hAnsi="宋体" w:cs="宋体"/>
                <w:color w:val="auto"/>
                <w:sz w:val="21"/>
                <w:szCs w:val="21"/>
                <w:highlight w:val="none"/>
                <w:lang w:val="en-US" w:eastAsia="zh-CN"/>
              </w:rPr>
              <w:t xml:space="preserve">锁；</w:t>
            </w:r>
            <w:r/>
          </w:p>
          <w:p>
            <w:pPr>
              <w:numPr>
                <w:ilvl w:val="0"/>
                <w:numId w:val="21"/>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测高范围：20-200cm，分度值:0.1cm或者0.5cm</w:t>
            </w:r>
            <w:r>
              <w:rPr>
                <w:rFonts w:hint="eastAsia" w:ascii="宋体" w:hAnsi="宋体" w:cs="宋体"/>
                <w:color w:val="auto"/>
                <w:sz w:val="21"/>
                <w:szCs w:val="21"/>
                <w:highlight w:val="none"/>
                <w:lang w:eastAsia="zh-CN"/>
              </w:rPr>
              <w:t xml:space="preserve">；</w:t>
            </w:r>
            <w:r/>
          </w:p>
          <w:p>
            <w:pPr>
              <w:numPr>
                <w:ilvl w:val="0"/>
                <w:numId w:val="21"/>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称重范围：2-500kg，分度值:0.1kg或者0.01kg</w:t>
            </w:r>
            <w:r>
              <w:rPr>
                <w:rFonts w:hint="eastAsia" w:ascii="宋体" w:hAnsi="宋体" w:cs="宋体"/>
                <w:color w:val="auto"/>
                <w:sz w:val="21"/>
                <w:szCs w:val="21"/>
                <w:highlight w:val="none"/>
                <w:lang w:eastAsia="zh-CN"/>
              </w:rPr>
              <w:t xml:space="preserve">；</w:t>
            </w:r>
            <w:r/>
          </w:p>
          <w:p>
            <w:pPr>
              <w:numPr>
                <w:ilvl w:val="0"/>
                <w:numId w:val="21"/>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测量速度：测量约480次/小时</w:t>
            </w:r>
            <w:r>
              <w:rPr>
                <w:rFonts w:hint="eastAsia" w:ascii="宋体" w:hAnsi="宋体" w:cs="宋体"/>
                <w:color w:val="auto"/>
                <w:sz w:val="21"/>
                <w:szCs w:val="21"/>
                <w:highlight w:val="none"/>
                <w:lang w:eastAsia="zh-CN"/>
              </w:rPr>
              <w:t xml:space="preserve">；</w:t>
            </w:r>
            <w:r/>
          </w:p>
          <w:p>
            <w:pPr>
              <w:numPr>
                <w:ilvl w:val="0"/>
                <w:numId w:val="21"/>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消耗功率：待机≤1W，测量过程中≤2W（不含打印机</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w:t>
            </w:r>
            <w:r/>
          </w:p>
          <w:p>
            <w:pPr>
              <w:numPr>
                <w:ilvl w:val="0"/>
                <w:numId w:val="21"/>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设备高度：整机高度</w:t>
            </w:r>
            <w:r>
              <w:rPr>
                <w:rFonts w:hint="eastAsia" w:ascii="宋体" w:hAnsi="宋体" w:cs="宋体"/>
                <w:color w:val="auto"/>
                <w:sz w:val="21"/>
                <w:szCs w:val="21"/>
                <w:highlight w:val="none"/>
                <w:lang w:val="en-US" w:eastAsia="zh-CN"/>
              </w:rPr>
              <w:t xml:space="preserve">不高于</w:t>
            </w: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0cm,折叠后高度</w:t>
            </w:r>
            <w:r>
              <w:rPr>
                <w:rFonts w:hint="eastAsia" w:ascii="宋体" w:hAnsi="宋体" w:cs="宋体"/>
                <w:color w:val="auto"/>
                <w:sz w:val="21"/>
                <w:szCs w:val="21"/>
                <w:highlight w:val="none"/>
                <w:lang w:val="en-US" w:eastAsia="zh-CN"/>
              </w:rPr>
              <w:t xml:space="preserve">不高于</w:t>
            </w: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0cm</w:t>
            </w:r>
            <w:r>
              <w:rPr>
                <w:rFonts w:hint="eastAsia" w:ascii="宋体" w:hAnsi="宋体" w:cs="宋体"/>
                <w:color w:val="auto"/>
                <w:sz w:val="21"/>
                <w:szCs w:val="21"/>
                <w:highlight w:val="none"/>
                <w:lang w:eastAsia="zh-CN"/>
              </w:rPr>
              <w:t xml:space="preserve">；</w:t>
            </w:r>
            <w:r/>
          </w:p>
          <w:p>
            <w:pPr>
              <w:numPr>
                <w:ilvl w:val="0"/>
                <w:numId w:val="21"/>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设备规格：外形尺寸≥长41.5x宽32.5x高226（单位</w:t>
            </w:r>
            <w:r>
              <w:rPr>
                <w:rFonts w:hint="eastAsia" w:ascii="宋体" w:hAnsi="宋体" w:cs="宋体"/>
                <w:color w:val="auto"/>
                <w:sz w:val="21"/>
                <w:szCs w:val="21"/>
                <w:highlight w:val="none"/>
                <w:lang w:val="en-US" w:eastAsia="zh-CN"/>
              </w:rPr>
              <w:t xml:space="preserve">cm</w:t>
            </w:r>
            <w:r>
              <w:rPr>
                <w:rFonts w:hint="eastAsia" w:ascii="宋体" w:hAnsi="宋体" w:eastAsia="宋体" w:cs="宋体"/>
                <w:color w:val="auto"/>
                <w:sz w:val="21"/>
                <w:szCs w:val="21"/>
                <w:highlight w:val="none"/>
              </w:rPr>
              <w:t xml:space="preserve">），重量：</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kg</w:t>
            </w:r>
            <w:r>
              <w:rPr>
                <w:rFonts w:hint="eastAsia" w:ascii="宋体" w:hAnsi="宋体" w:cs="宋体"/>
                <w:color w:val="auto"/>
                <w:sz w:val="21"/>
                <w:szCs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2台</w:t>
            </w:r>
            <w:r/>
          </w:p>
        </w:tc>
      </w:tr>
      <w:tr>
        <w:trPr>
          <w:trHeight w:val="383"/>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7</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AI智能互动系统</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pStyle w:val="859"/>
              <w:spacing w:before="78"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4"/>
                <w:sz w:val="21"/>
                <w:szCs w:val="21"/>
                <w:highlight w:val="none"/>
                <w:lang w:eastAsia="zh-CN"/>
              </w:rPr>
              <w:t xml:space="preserve">1</w:t>
            </w:r>
            <w:r>
              <w:rPr>
                <w:rFonts w:hint="eastAsia" w:ascii="宋体" w:hAnsi="宋体" w:eastAsia="宋体" w:cs="宋体"/>
                <w:color w:val="auto"/>
                <w:spacing w:val="-4"/>
                <w:sz w:val="21"/>
                <w:szCs w:val="21"/>
                <w:highlight w:val="none"/>
                <w:lang w:val="en-US" w:eastAsia="zh-CN"/>
              </w:rPr>
              <w:t xml:space="preserve">.</w:t>
            </w:r>
            <w:r>
              <w:rPr>
                <w:rFonts w:hint="eastAsia" w:ascii="宋体" w:hAnsi="宋体" w:eastAsia="宋体" w:cs="宋体"/>
                <w:color w:val="auto"/>
                <w:spacing w:val="-4"/>
                <w:sz w:val="21"/>
                <w:szCs w:val="21"/>
                <w:highlight w:val="none"/>
                <w:lang w:eastAsia="zh-CN"/>
              </w:rPr>
              <w:t xml:space="preserve">数字人唤醒：数字人软件搭载多模态唤醒能力，提供多种灵活唤醒方式；支持语音关键词触发唤醒、触屏点击一键唤醒、摄像头人脸识别自动唤醒，多种模式自由切换适配不同应用场景，响应灵敏、启动便捷，满足展厅</w:t>
            </w:r>
            <w:r>
              <w:rPr>
                <w:rFonts w:hint="eastAsia" w:ascii="宋体" w:hAnsi="宋体" w:eastAsia="宋体" w:cs="宋体"/>
                <w:color w:val="auto"/>
                <w:spacing w:val="-1"/>
                <w:sz w:val="21"/>
                <w:szCs w:val="21"/>
                <w:highlight w:val="none"/>
                <w:lang w:eastAsia="zh-CN"/>
              </w:rPr>
              <w:t xml:space="preserve">展示、前台接待、线下大屏、智能终端等各类落地使用需求。</w:t>
            </w:r>
            <w:r/>
          </w:p>
          <w:p>
            <w:pPr>
              <w:pStyle w:val="859"/>
              <w:spacing w:before="78" w:line="360" w:lineRule="auto"/>
              <w:rPr>
                <w:rFonts w:hint="eastAsia" w:ascii="宋体" w:hAnsi="宋体" w:eastAsia="宋体" w:cs="宋体"/>
                <w:color w:val="auto"/>
                <w:spacing w:val="-1"/>
                <w:sz w:val="21"/>
                <w:szCs w:val="21"/>
                <w:highlight w:val="none"/>
                <w:lang w:eastAsia="zh-CN"/>
              </w:rPr>
            </w:pPr>
            <w:r>
              <w:rPr>
                <w:rFonts w:hint="eastAsia" w:ascii="宋体" w:hAnsi="宋体" w:eastAsia="宋体" w:cs="宋体"/>
                <w:color w:val="auto"/>
                <w:spacing w:val="-3"/>
                <w:sz w:val="21"/>
                <w:szCs w:val="21"/>
                <w:highlight w:val="none"/>
                <w:lang w:eastAsia="zh-CN"/>
              </w:rPr>
              <w:t xml:space="preserve">2</w:t>
            </w:r>
            <w:r>
              <w:rPr>
                <w:rFonts w:hint="eastAsia" w:ascii="宋体" w:hAnsi="宋体" w:eastAsia="宋体" w:cs="宋体"/>
                <w:color w:val="auto"/>
                <w:spacing w:val="-3"/>
                <w:sz w:val="21"/>
                <w:szCs w:val="21"/>
                <w:highlight w:val="none"/>
                <w:lang w:val="en-US" w:eastAsia="zh-CN"/>
              </w:rPr>
              <w:t xml:space="preserve">.</w:t>
            </w:r>
            <w:r>
              <w:rPr>
                <w:rFonts w:hint="eastAsia" w:ascii="宋体" w:hAnsi="宋体" w:eastAsia="宋体" w:cs="宋体"/>
                <w:color w:val="auto"/>
                <w:spacing w:val="-3"/>
                <w:sz w:val="21"/>
                <w:szCs w:val="21"/>
                <w:highlight w:val="none"/>
                <w:lang w:eastAsia="zh-CN"/>
              </w:rPr>
              <w:t xml:space="preserve">SR</w:t>
            </w:r>
            <w:r>
              <w:rPr>
                <w:rFonts w:hint="eastAsia" w:ascii="宋体" w:hAnsi="宋体" w:eastAsia="宋体" w:cs="宋体"/>
                <w:color w:val="auto"/>
                <w:spacing w:val="-41"/>
                <w:sz w:val="21"/>
                <w:szCs w:val="21"/>
                <w:highlight w:val="none"/>
                <w:lang w:eastAsia="zh-CN"/>
              </w:rPr>
              <w:t xml:space="preserve"> </w:t>
            </w:r>
            <w:r>
              <w:rPr>
                <w:rFonts w:hint="eastAsia" w:ascii="宋体" w:hAnsi="宋体" w:eastAsia="宋体" w:cs="宋体"/>
                <w:color w:val="auto"/>
                <w:spacing w:val="-3"/>
                <w:sz w:val="21"/>
                <w:szCs w:val="21"/>
                <w:highlight w:val="none"/>
                <w:lang w:eastAsia="zh-CN"/>
              </w:rPr>
              <w:t xml:space="preserve">语音识别：软件内置智能语音识别模块，可兼容市面主流定向降噪麦克风设备，抗环境干扰能力强、收音更清晰；全程支持智能语音识别快捷输入；</w:t>
            </w:r>
            <w:r>
              <w:rPr>
                <w:rFonts w:hint="eastAsia" w:ascii="宋体" w:hAnsi="宋体" w:eastAsia="宋体" w:cs="宋体"/>
                <w:color w:val="auto"/>
                <w:spacing w:val="-1"/>
                <w:sz w:val="21"/>
                <w:szCs w:val="21"/>
                <w:highlight w:val="none"/>
                <w:lang w:eastAsia="zh-CN"/>
              </w:rPr>
              <w:t xml:space="preserve">软件标准版更是标配中英文双语高精度语音识别。</w:t>
            </w:r>
            <w:r/>
          </w:p>
          <w:p>
            <w:pPr>
              <w:pStyle w:val="859"/>
              <w:spacing w:before="78"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1"/>
                <w:sz w:val="21"/>
                <w:szCs w:val="21"/>
                <w:highlight w:val="none"/>
                <w:lang w:eastAsia="zh-CN"/>
              </w:rPr>
              <w:t xml:space="preserve">3</w:t>
            </w:r>
            <w:r>
              <w:rPr>
                <w:rFonts w:hint="eastAsia" w:ascii="宋体" w:hAnsi="宋体" w:eastAsia="宋体" w:cs="宋体"/>
                <w:color w:val="auto"/>
                <w:spacing w:val="-11"/>
                <w:sz w:val="21"/>
                <w:szCs w:val="21"/>
                <w:highlight w:val="none"/>
                <w:lang w:val="en-US" w:eastAsia="zh-CN"/>
              </w:rPr>
              <w:t xml:space="preserve">.</w:t>
            </w:r>
            <w:r>
              <w:rPr>
                <w:rFonts w:hint="eastAsia" w:ascii="宋体" w:hAnsi="宋体" w:eastAsia="宋体" w:cs="宋体"/>
                <w:color w:val="auto"/>
                <w:spacing w:val="-11"/>
                <w:sz w:val="21"/>
                <w:szCs w:val="21"/>
                <w:highlight w:val="none"/>
              </w:rPr>
              <w:t xml:space="preserve">AI</w:t>
            </w:r>
            <w:r>
              <w:rPr>
                <w:rFonts w:hint="eastAsia" w:ascii="宋体" w:hAnsi="宋体" w:eastAsia="宋体" w:cs="宋体"/>
                <w:color w:val="auto"/>
                <w:spacing w:val="-18"/>
                <w:sz w:val="21"/>
                <w:szCs w:val="21"/>
                <w:highlight w:val="none"/>
              </w:rPr>
              <w:t xml:space="preserve"> </w:t>
            </w:r>
            <w:r>
              <w:rPr>
                <w:rFonts w:hint="eastAsia" w:ascii="宋体" w:hAnsi="宋体" w:eastAsia="宋体" w:cs="宋体"/>
                <w:color w:val="auto"/>
                <w:spacing w:val="-11"/>
                <w:sz w:val="21"/>
                <w:szCs w:val="21"/>
                <w:highlight w:val="none"/>
              </w:rPr>
              <w:t xml:space="preserve">问答</w:t>
            </w:r>
            <w:r>
              <w:rPr>
                <w:rFonts w:hint="eastAsia" w:ascii="宋体" w:hAnsi="宋体" w:eastAsia="宋体" w:cs="宋体"/>
                <w:color w:val="auto"/>
                <w:spacing w:val="-11"/>
                <w:sz w:val="21"/>
                <w:szCs w:val="21"/>
                <w:highlight w:val="none"/>
                <w:lang w:eastAsia="zh-CN"/>
              </w:rPr>
              <w:t xml:space="preserve">：</w:t>
            </w:r>
            <w:r>
              <w:rPr>
                <w:rFonts w:hint="eastAsia" w:ascii="宋体" w:hAnsi="宋体" w:eastAsia="宋体" w:cs="宋体"/>
                <w:color w:val="auto"/>
                <w:spacing w:val="-54"/>
                <w:sz w:val="21"/>
                <w:szCs w:val="21"/>
                <w:highlight w:val="none"/>
              </w:rPr>
              <w:t xml:space="preserve"> </w:t>
            </w:r>
            <w:r>
              <w:rPr>
                <w:rFonts w:hint="eastAsia" w:ascii="宋体" w:hAnsi="宋体" w:eastAsia="宋体" w:cs="宋体"/>
                <w:color w:val="auto"/>
                <w:spacing w:val="8"/>
                <w:sz w:val="21"/>
                <w:szCs w:val="21"/>
                <w:highlight w:val="none"/>
              </w:rPr>
              <w:t xml:space="preserve">支持豆包、文心一言</w:t>
            </w:r>
            <w:r>
              <w:rPr>
                <w:rFonts w:hint="eastAsia" w:ascii="宋体" w:hAnsi="宋体" w:eastAsia="宋体" w:cs="宋体"/>
                <w:color w:val="auto"/>
                <w:spacing w:val="-65"/>
                <w:sz w:val="21"/>
                <w:szCs w:val="21"/>
                <w:highlight w:val="none"/>
              </w:rPr>
              <w:t xml:space="preserve"> </w:t>
            </w:r>
            <w:r>
              <w:rPr>
                <w:rFonts w:hint="eastAsia" w:ascii="宋体" w:hAnsi="宋体" w:eastAsia="宋体" w:cs="宋体"/>
                <w:color w:val="auto"/>
                <w:spacing w:val="8"/>
                <w:sz w:val="21"/>
                <w:szCs w:val="21"/>
                <w:highlight w:val="none"/>
              </w:rPr>
              <w:t xml:space="preserve">、讯飞星火</w:t>
            </w:r>
            <w:r>
              <w:rPr>
                <w:rFonts w:hint="eastAsia" w:ascii="宋体" w:hAnsi="宋体" w:eastAsia="宋体" w:cs="宋体"/>
                <w:color w:val="auto"/>
                <w:spacing w:val="-67"/>
                <w:sz w:val="21"/>
                <w:szCs w:val="21"/>
                <w:highlight w:val="none"/>
              </w:rPr>
              <w:t xml:space="preserve"> </w:t>
            </w:r>
            <w:r>
              <w:rPr>
                <w:rFonts w:hint="eastAsia" w:ascii="宋体" w:hAnsi="宋体" w:eastAsia="宋体" w:cs="宋体"/>
                <w:color w:val="auto"/>
                <w:spacing w:val="8"/>
                <w:sz w:val="21"/>
                <w:szCs w:val="21"/>
                <w:highlight w:val="none"/>
              </w:rPr>
              <w:t xml:space="preserve">、</w:t>
            </w:r>
            <w:r>
              <w:rPr>
                <w:rFonts w:hint="eastAsia" w:ascii="宋体" w:hAnsi="宋体" w:eastAsia="宋体" w:cs="宋体"/>
                <w:color w:val="auto"/>
                <w:sz w:val="21"/>
                <w:szCs w:val="21"/>
                <w:highlight w:val="none"/>
              </w:rPr>
              <w:t xml:space="preserve">DeepSeek</w:t>
            </w:r>
            <w:r>
              <w:rPr>
                <w:rFonts w:hint="eastAsia" w:ascii="宋体" w:hAnsi="宋体" w:eastAsia="宋体" w:cs="宋体"/>
                <w:color w:val="auto"/>
                <w:spacing w:val="-65"/>
                <w:sz w:val="21"/>
                <w:szCs w:val="21"/>
                <w:highlight w:val="none"/>
              </w:rPr>
              <w:t xml:space="preserve"> </w:t>
            </w:r>
            <w:r>
              <w:rPr>
                <w:rFonts w:hint="eastAsia" w:ascii="宋体" w:hAnsi="宋体" w:eastAsia="宋体" w:cs="宋体"/>
                <w:color w:val="auto"/>
                <w:spacing w:val="-65"/>
                <w:sz w:val="21"/>
                <w:szCs w:val="21"/>
                <w:highlight w:val="none"/>
                <w:lang w:eastAsia="zh-CN"/>
              </w:rPr>
              <w:t xml:space="preserve">、</w:t>
            </w:r>
            <w:r>
              <w:rPr>
                <w:rFonts w:hint="eastAsia" w:ascii="宋体" w:hAnsi="宋体" w:eastAsia="宋体" w:cs="宋体"/>
                <w:color w:val="auto"/>
                <w:spacing w:val="-6"/>
                <w:sz w:val="21"/>
                <w:szCs w:val="21"/>
                <w:highlight w:val="none"/>
              </w:rPr>
              <w:t xml:space="preserve">ChatGPT4.0（海外版）等市面所有主流AI</w:t>
            </w:r>
            <w:r>
              <w:rPr>
                <w:rFonts w:hint="eastAsia" w:ascii="宋体" w:hAnsi="宋体" w:eastAsia="宋体" w:cs="宋体"/>
                <w:color w:val="auto"/>
                <w:spacing w:val="-45"/>
                <w:sz w:val="21"/>
                <w:szCs w:val="21"/>
                <w:highlight w:val="none"/>
              </w:rPr>
              <w:t xml:space="preserve"> </w:t>
            </w:r>
            <w:r>
              <w:rPr>
                <w:rFonts w:hint="eastAsia" w:ascii="宋体" w:hAnsi="宋体" w:eastAsia="宋体" w:cs="宋体"/>
                <w:color w:val="auto"/>
                <w:spacing w:val="-7"/>
                <w:sz w:val="21"/>
                <w:szCs w:val="21"/>
                <w:highlight w:val="none"/>
              </w:rPr>
              <w:t xml:space="preserve">语言模型接入，进行 AI自</w:t>
            </w:r>
            <w:r>
              <w:rPr>
                <w:rFonts w:hint="eastAsia" w:ascii="宋体" w:hAnsi="宋体" w:eastAsia="宋体" w:cs="宋体"/>
                <w:color w:val="auto"/>
                <w:sz w:val="21"/>
                <w:szCs w:val="21"/>
                <w:highlight w:val="none"/>
              </w:rPr>
              <w:t xml:space="preserve">由问答</w:t>
            </w:r>
            <w:r>
              <w:rPr>
                <w:rFonts w:hint="eastAsia" w:ascii="宋体" w:hAnsi="宋体" w:eastAsia="宋体" w:cs="宋体"/>
                <w:color w:val="auto"/>
                <w:sz w:val="21"/>
                <w:szCs w:val="21"/>
                <w:highlight w:val="none"/>
                <w:lang w:eastAsia="zh-CN"/>
              </w:rPr>
              <w:t xml:space="preserve">。</w:t>
            </w:r>
            <w:r/>
          </w:p>
          <w:p>
            <w:pPr>
              <w:pStyle w:val="859"/>
              <w:spacing w:before="78" w:line="360" w:lineRule="auto"/>
              <w:rPr>
                <w:rFonts w:hint="eastAsia" w:ascii="宋体" w:hAnsi="宋体" w:eastAsia="宋体" w:cs="宋体"/>
                <w:color w:val="auto"/>
                <w:spacing w:val="8"/>
                <w:sz w:val="21"/>
                <w:szCs w:val="21"/>
                <w:highlight w:val="none"/>
                <w:lang w:eastAsia="zh-CN"/>
              </w:rPr>
            </w:pPr>
            <w:r>
              <w:rPr>
                <w:rFonts w:hint="eastAsia" w:ascii="宋体" w:hAnsi="宋体" w:eastAsia="宋体" w:cs="宋体"/>
                <w:color w:val="auto"/>
                <w:spacing w:val="-3"/>
                <w:sz w:val="21"/>
                <w:szCs w:val="21"/>
                <w:highlight w:val="none"/>
                <w:lang w:eastAsia="zh-CN"/>
              </w:rPr>
              <w:t xml:space="preserve">4</w:t>
            </w:r>
            <w:r>
              <w:rPr>
                <w:rFonts w:hint="eastAsia" w:ascii="宋体" w:hAnsi="宋体" w:eastAsia="宋体" w:cs="宋体"/>
                <w:color w:val="auto"/>
                <w:spacing w:val="-3"/>
                <w:sz w:val="21"/>
                <w:szCs w:val="21"/>
                <w:highlight w:val="none"/>
                <w:lang w:val="en-US" w:eastAsia="zh-CN"/>
              </w:rPr>
              <w:t xml:space="preserve">.</w:t>
            </w:r>
            <w:r>
              <w:rPr>
                <w:rFonts w:hint="eastAsia" w:ascii="宋体" w:hAnsi="宋体" w:eastAsia="宋体" w:cs="宋体"/>
                <w:color w:val="auto"/>
                <w:spacing w:val="8"/>
                <w:sz w:val="21"/>
                <w:szCs w:val="21"/>
                <w:highlight w:val="none"/>
                <w:lang w:eastAsia="zh-CN"/>
              </w:rPr>
              <w:t xml:space="preserve">TTS</w:t>
            </w:r>
            <w:r>
              <w:rPr>
                <w:rFonts w:hint="eastAsia" w:ascii="宋体" w:hAnsi="宋体" w:eastAsia="宋体" w:cs="宋体"/>
                <w:color w:val="auto"/>
                <w:spacing w:val="8"/>
                <w:sz w:val="21"/>
                <w:szCs w:val="21"/>
                <w:highlight w:val="none"/>
                <w:lang w:val="en-US" w:eastAsia="zh-CN"/>
              </w:rPr>
              <w:t xml:space="preserve">文本转</w:t>
            </w:r>
            <w:r>
              <w:rPr>
                <w:rFonts w:hint="eastAsia" w:ascii="宋体" w:hAnsi="宋体" w:eastAsia="宋体" w:cs="宋体"/>
                <w:color w:val="auto"/>
                <w:spacing w:val="8"/>
                <w:sz w:val="21"/>
                <w:szCs w:val="21"/>
                <w:highlight w:val="none"/>
                <w:lang w:eastAsia="zh-CN"/>
              </w:rPr>
              <w:t xml:space="preserve">语音</w:t>
            </w:r>
            <w:r>
              <w:rPr>
                <w:rFonts w:hint="eastAsia" w:ascii="宋体" w:hAnsi="宋体" w:eastAsia="宋体" w:cs="宋体"/>
                <w:color w:val="auto"/>
                <w:spacing w:val="8"/>
                <w:sz w:val="21"/>
                <w:szCs w:val="21"/>
                <w:highlight w:val="none"/>
                <w:lang w:val="en-US" w:eastAsia="zh-CN"/>
              </w:rPr>
              <w:t xml:space="preserve">功能</w:t>
            </w:r>
            <w:r>
              <w:rPr>
                <w:rFonts w:hint="eastAsia" w:ascii="宋体" w:hAnsi="宋体" w:eastAsia="宋体" w:cs="宋体"/>
                <w:color w:val="auto"/>
                <w:spacing w:val="8"/>
                <w:sz w:val="21"/>
                <w:szCs w:val="21"/>
                <w:highlight w:val="none"/>
                <w:lang w:eastAsia="zh-CN"/>
              </w:rPr>
              <w:t xml:space="preserve">：数字人可将回复文本快速智能转换为自然流畅的真人语音，播报清晰、音色逼真，实现沉浸式语音交互体验。</w:t>
            </w:r>
            <w:r/>
          </w:p>
          <w:p>
            <w:pPr>
              <w:pStyle w:val="859"/>
              <w:spacing w:before="78" w:line="360" w:lineRule="auto"/>
              <w:rPr>
                <w:rFonts w:hint="eastAsia" w:ascii="宋体" w:hAnsi="宋体" w:eastAsia="宋体" w:cs="宋体"/>
                <w:color w:val="auto"/>
                <w:spacing w:val="-1"/>
                <w:sz w:val="21"/>
                <w:szCs w:val="21"/>
                <w:highlight w:val="none"/>
                <w:lang w:eastAsia="zh-CN"/>
              </w:rPr>
            </w:pPr>
            <w:r>
              <w:rPr>
                <w:rFonts w:hint="eastAsia" w:ascii="宋体" w:hAnsi="宋体" w:eastAsia="宋体" w:cs="宋体"/>
                <w:color w:val="auto"/>
                <w:spacing w:val="8"/>
                <w:sz w:val="21"/>
                <w:szCs w:val="21"/>
                <w:highlight w:val="none"/>
                <w:lang w:eastAsia="zh-CN"/>
              </w:rPr>
              <w:t xml:space="preserve">5</w:t>
            </w:r>
            <w:r>
              <w:rPr>
                <w:rFonts w:hint="eastAsia" w:ascii="宋体" w:hAnsi="宋体" w:eastAsia="宋体" w:cs="宋体"/>
                <w:color w:val="auto"/>
                <w:spacing w:val="8"/>
                <w:sz w:val="21"/>
                <w:szCs w:val="21"/>
                <w:highlight w:val="none"/>
                <w:lang w:val="en-US" w:eastAsia="zh-CN"/>
              </w:rPr>
              <w:t xml:space="preserve">.</w:t>
            </w:r>
            <w:r>
              <w:rPr>
                <w:rFonts w:hint="eastAsia" w:ascii="宋体" w:hAnsi="宋体" w:eastAsia="宋体" w:cs="宋体"/>
                <w:color w:val="auto"/>
                <w:spacing w:val="8"/>
                <w:sz w:val="21"/>
                <w:szCs w:val="21"/>
                <w:highlight w:val="none"/>
                <w:lang w:eastAsia="zh-CN"/>
              </w:rPr>
              <w:t xml:space="preserve">音色库：支持多种音色库选择，专业音色库随心选择，音</w:t>
            </w:r>
            <w:r>
              <w:rPr>
                <w:rFonts w:hint="eastAsia" w:ascii="宋体" w:hAnsi="宋体" w:eastAsia="宋体" w:cs="宋体"/>
                <w:color w:val="auto"/>
                <w:spacing w:val="-4"/>
                <w:sz w:val="21"/>
                <w:szCs w:val="21"/>
                <w:highlight w:val="none"/>
                <w:lang w:eastAsia="zh-CN"/>
              </w:rPr>
              <w:t xml:space="preserve">色高度拟人逼真，语速语调流畅自然、贴近真人表达；可适配不同职业、人设风格与场景</w:t>
            </w:r>
            <w:r>
              <w:rPr>
                <w:rFonts w:hint="eastAsia" w:ascii="宋体" w:hAnsi="宋体" w:eastAsia="宋体" w:cs="宋体"/>
                <w:color w:val="auto"/>
                <w:spacing w:val="-1"/>
                <w:sz w:val="21"/>
                <w:szCs w:val="21"/>
                <w:highlight w:val="none"/>
                <w:lang w:eastAsia="zh-CN"/>
              </w:rPr>
              <w:t xml:space="preserve">定位，完美满足各类数字人身份塑造及个性化播报需求。</w:t>
            </w:r>
            <w:r/>
          </w:p>
          <w:p>
            <w:pPr>
              <w:pStyle w:val="859"/>
              <w:spacing w:before="78" w:line="360" w:lineRule="auto"/>
              <w:rPr>
                <w:rFonts w:hint="eastAsia" w:ascii="宋体" w:hAnsi="宋体" w:eastAsia="宋体" w:cs="宋体"/>
                <w:color w:val="auto"/>
                <w:spacing w:val="-1"/>
                <w:sz w:val="21"/>
                <w:szCs w:val="21"/>
                <w:highlight w:val="none"/>
                <w:lang w:eastAsia="zh-CN"/>
              </w:rPr>
            </w:pPr>
            <w:r>
              <w:rPr>
                <w:rFonts w:hint="eastAsia" w:ascii="宋体" w:hAnsi="宋体" w:eastAsia="宋体" w:cs="宋体"/>
                <w:color w:val="auto"/>
                <w:spacing w:val="-1"/>
                <w:sz w:val="21"/>
                <w:szCs w:val="21"/>
                <w:highlight w:val="none"/>
                <w:lang w:val="en-US" w:eastAsia="zh-CN"/>
              </w:rPr>
              <w:t xml:space="preserve">6.构建无偿献血专业知识库,实现7*24小时智能人机交互,具备献血知识答疑,献血健康咨询,献血网点查询,无偿献血政策解读等功能,有效填补非工作时间段服务缺口,减轻人工服务压力。</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1套</w:t>
            </w:r>
            <w:r/>
          </w:p>
        </w:tc>
      </w:tr>
      <w:tr>
        <w:trPr>
          <w:trHeight w:val="1144"/>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8</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自助查体系统</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numPr>
                <w:ilvl w:val="0"/>
                <w:numId w:val="22"/>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主要检测功能：身高、体重、BMI、血压、脉率、体温、人体脂肪成分、中医体质辨识、视力、色盲色弱。</w:t>
            </w:r>
            <w:r/>
          </w:p>
          <w:p>
            <w:pPr>
              <w:numPr>
                <w:ilvl w:val="0"/>
                <w:numId w:val="22"/>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机一体式设计，无任何分离检测部件与信息采集部件；所有外围检测设备内置式设计，以防外界环境污染；读卡器、摄像头、触摸屏等全部为内部嵌入式设计，目视看不到任何外露部件和摄像头孔，防止进尘进水等情况出现影响品质。</w:t>
            </w:r>
            <w:r/>
          </w:p>
          <w:p>
            <w:pPr>
              <w:numPr>
                <w:ilvl w:val="0"/>
                <w:numId w:val="22"/>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使用简单自助，具有良好的人机交互能力，每个检测项目都具有语音动画提示引导检测者完成检测。</w:t>
            </w:r>
            <w:r/>
          </w:p>
          <w:p>
            <w:pPr>
              <w:numPr>
                <w:ilvl w:val="0"/>
                <w:numId w:val="22"/>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整机只需一电源插口接入外部电源，电源插口须有电源指示灯和过载保护，电源插座须可单独开、关控制整机通电。</w:t>
            </w:r>
            <w:r/>
          </w:p>
          <w:p>
            <w:pPr>
              <w:numPr>
                <w:ilvl w:val="0"/>
                <w:numId w:val="22"/>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操作显示屏尺寸≥15寸电容触摸屏，显示规格为16:9宽屏显示，方便操作使用，触摸屏必须采用加硬钢化玻璃材质，采用金属边框整体嵌入，安全耐用。</w:t>
            </w:r>
            <w:r/>
          </w:p>
          <w:p>
            <w:pPr>
              <w:numPr>
                <w:ilvl w:val="0"/>
                <w:numId w:val="22"/>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操作屏内置摄像头，可用于人脸识别使用。</w:t>
            </w:r>
            <w:r/>
          </w:p>
          <w:p>
            <w:pPr>
              <w:numPr>
                <w:ilvl w:val="0"/>
                <w:numId w:val="22"/>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检测完成自动打印检测报告单。</w:t>
            </w:r>
            <w:r/>
          </w:p>
          <w:p>
            <w:pPr>
              <w:numPr>
                <w:ilvl w:val="0"/>
                <w:numId w:val="22"/>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一体式设计，所有外围检测设备、读卡器、触摸屏等全部为嵌入式设计。</w:t>
            </w:r>
            <w:r/>
          </w:p>
          <w:p>
            <w:pPr>
              <w:numPr>
                <w:ilvl w:val="0"/>
                <w:numId w:val="22"/>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安装移动轮，可方便移动，设备到达现场后只需接入电源和网络即可检测使用。</w:t>
            </w:r>
            <w:r/>
          </w:p>
          <w:p>
            <w:pPr>
              <w:numPr>
                <w:ilvl w:val="0"/>
                <w:numId w:val="22"/>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嵌入式打印机，报告自动打印</w:t>
            </w:r>
            <w:r/>
          </w:p>
          <w:p>
            <w:pPr>
              <w:numPr>
                <w:ilvl w:val="0"/>
                <w:numId w:val="22"/>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电源：AC 220V/50Hz </w:t>
            </w:r>
            <w:r/>
          </w:p>
          <w:p>
            <w:pPr>
              <w:numPr>
                <w:ilvl w:val="0"/>
                <w:numId w:val="22"/>
              </w:numPr>
              <w:spacing w:line="360" w:lineRule="auto"/>
              <w:rPr>
                <w:rFonts w:hint="eastAsia"/>
              </w:rPr>
            </w:pPr>
            <w:r>
              <w:rPr>
                <w:rFonts w:hint="eastAsia" w:ascii="宋体" w:hAnsi="宋体" w:eastAsia="宋体" w:cs="宋体"/>
                <w:color w:val="auto"/>
                <w:sz w:val="21"/>
                <w:szCs w:val="21"/>
                <w:highlight w:val="none"/>
              </w:rPr>
              <w:t xml:space="preserve">网络:支持RJ45、无线wifi</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1套</w:t>
            </w:r>
            <w:r/>
          </w:p>
        </w:tc>
      </w:tr>
      <w:tr>
        <w:trPr>
          <w:trHeight w:val="1144"/>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pStyle w:val="857"/>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19</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pStyle w:val="857"/>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采血秤</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pStyle w:val="857"/>
              <w:jc w:val="left"/>
              <w:spacing w:line="360" w:lineRule="auto"/>
              <w:rPr>
                <w:rFonts w:hint="eastAsia" w:ascii="宋体" w:hAnsi="宋体" w:eastAsia="宋体" w:cs="宋体"/>
                <w:color w:val="auto"/>
                <w:sz w:val="21"/>
                <w:szCs w:val="21"/>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w:t>
            </w:r>
            <w:r>
              <w:rPr>
                <w:rFonts w:hint="eastAsia" w:ascii="宋体" w:hAnsi="宋体" w:eastAsia="宋体" w:cs="宋体"/>
                <w:color w:val="auto"/>
                <w:sz w:val="21"/>
                <w:szCs w:val="21"/>
                <w:highlight w:val="none"/>
                <w:lang w:val="en-US" w:eastAsia="zh-CN"/>
              </w:rPr>
              <w:t xml:space="preserve">显示单位:ml、g，一键转换；</w:t>
            </w:r>
            <w:r/>
          </w:p>
          <w:p>
            <w:pPr>
              <w:pStyle w:val="857"/>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2.传感器：采液准确、校正方便，带计时功能；</w:t>
            </w:r>
            <w:r/>
          </w:p>
          <w:p>
            <w:pPr>
              <w:pStyle w:val="857"/>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3.称重范围:0~1500g</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液体比重:1.05g/ml；</w:t>
            </w:r>
            <w:r>
              <w:rPr>
                <w:rFonts w:hint="eastAsia" w:ascii="宋体" w:hAnsi="宋体" w:eastAsia="宋体" w:cs="宋体"/>
                <w:color w:val="auto"/>
                <w:sz w:val="21"/>
                <w:szCs w:val="21"/>
                <w:highlight w:val="none"/>
                <w:lang w:val="en-US" w:eastAsia="zh-CN"/>
              </w:rPr>
              <w:tab/>
            </w:r>
            <w:r/>
          </w:p>
          <w:p>
            <w:pPr>
              <w:pStyle w:val="857"/>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4.摇摆角度:13°±2°；</w:t>
            </w:r>
            <w:r>
              <w:rPr>
                <w:rFonts w:hint="eastAsia" w:ascii="宋体" w:hAnsi="宋体" w:eastAsia="宋体" w:cs="宋体"/>
                <w:color w:val="auto"/>
                <w:sz w:val="21"/>
                <w:szCs w:val="21"/>
                <w:highlight w:val="none"/>
                <w:lang w:val="en-US" w:eastAsia="zh-CN"/>
              </w:rPr>
              <w:tab/>
            </w:r>
            <w:r/>
          </w:p>
          <w:p>
            <w:pPr>
              <w:pStyle w:val="857"/>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5.摇摆频率:30±2次/分；</w:t>
            </w:r>
            <w:r>
              <w:rPr>
                <w:rFonts w:hint="eastAsia" w:ascii="宋体" w:hAnsi="宋体" w:eastAsia="宋体" w:cs="宋体"/>
                <w:color w:val="auto"/>
                <w:sz w:val="21"/>
                <w:szCs w:val="21"/>
                <w:highlight w:val="none"/>
                <w:lang w:val="en-US" w:eastAsia="zh-CN"/>
              </w:rPr>
              <w:tab/>
            </w:r>
            <w:r/>
          </w:p>
          <w:p>
            <w:pPr>
              <w:pStyle w:val="857"/>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6.报警:当采液量达到预定值时，有自动报警（声、光）提示；</w:t>
            </w:r>
            <w:r/>
          </w:p>
          <w:p>
            <w:pPr>
              <w:pStyle w:val="857"/>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7.显示屏：数码显示屏；</w:t>
            </w:r>
            <w:r/>
          </w:p>
          <w:p>
            <w:pPr>
              <w:pStyle w:val="857"/>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8.托盘连接：采用磁性连接，方便装卸；</w:t>
            </w:r>
            <w:r/>
          </w:p>
          <w:p>
            <w:pPr>
              <w:pStyle w:val="857"/>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9.外形尺寸（mm）（宽×深×高）：170×275×155（±20mm）</w:t>
            </w:r>
            <w:r/>
          </w:p>
          <w:p>
            <w:pPr>
              <w:pStyle w:val="857"/>
              <w:jc w:val="left"/>
              <w:spacing w:line="360" w:lineRule="auto"/>
              <w:rPr>
                <w:rFonts w:hint="eastAsia"/>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10.设备重量：小于2.5kg。</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default" w:ascii="宋体" w:hAnsi="宋体" w:eastAsia="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t xml:space="preserve">10</w:t>
            </w:r>
            <w:r/>
          </w:p>
        </w:tc>
      </w:tr>
      <w:tr>
        <w:trPr>
          <w:trHeight w:val="1144"/>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default" w:ascii="宋体" w:hAnsi="宋体" w:eastAsia="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t xml:space="preserve">20</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rPr>
                <w:rFonts w:hint="default" w:ascii="宋体" w:hAnsi="宋体" w:eastAsia="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t xml:space="preserve">热合机</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pStyle w:val="857"/>
              <w:numPr>
                <w:ilvl w:val="0"/>
                <w:numId w:val="23"/>
              </w:num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晶体管高频热合机，用于采血血袋管路热合封管；</w:t>
            </w:r>
            <w:r/>
          </w:p>
          <w:p>
            <w:pPr>
              <w:pStyle w:val="857"/>
              <w:numPr>
                <w:ilvl w:val="0"/>
                <w:numId w:val="23"/>
              </w:numPr>
              <w:jc w:val="left"/>
              <w:spacing w:line="360" w:lineRule="auto"/>
              <w:rPr>
                <w:rFonts w:hint="eastAsia"/>
              </w:rPr>
            </w:pPr>
            <w:r>
              <w:rPr>
                <w:rFonts w:hint="eastAsia" w:ascii="宋体" w:hAnsi="宋体" w:eastAsia="宋体" w:cs="宋体"/>
                <w:color w:val="auto"/>
                <w:sz w:val="21"/>
                <w:szCs w:val="21"/>
                <w:highlight w:val="none"/>
                <w:lang w:val="en-US" w:eastAsia="zh-CN"/>
              </w:rPr>
              <w:t xml:space="preserve">晶体管高频发生器，工作频率 ≤40.68MHz，无需预热；适配 2～6mm 医用 PVC 血袋导管，陶瓷隔热热合电极，避免溶血，封口带易撕线；多档功率可调</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可自动识别管路壁厚，亦可手动设置；热合时间 0.5～3 秒，完成自动弹开；带可拆卸透明防溅保护盖板，盖板联锁保护，过热、电火花异常声光报警；</w:t>
            </w:r>
            <w:r/>
          </w:p>
          <w:p>
            <w:pPr>
              <w:pStyle w:val="857"/>
              <w:numPr>
                <w:ilvl w:val="0"/>
                <w:numId w:val="23"/>
              </w:numPr>
              <w:jc w:val="left"/>
              <w:spacing w:line="360" w:lineRule="auto"/>
              <w:rPr>
                <w:rFonts w:hint="eastAsia"/>
              </w:rPr>
            </w:pPr>
            <w:r>
              <w:rPr>
                <w:rFonts w:hint="eastAsia" w:ascii="宋体" w:hAnsi="宋体" w:eastAsia="宋体" w:cs="宋体"/>
                <w:color w:val="auto"/>
                <w:sz w:val="21"/>
                <w:szCs w:val="21"/>
                <w:highlight w:val="none"/>
                <w:lang w:val="en-US" w:eastAsia="zh-CN"/>
              </w:rPr>
              <w:t xml:space="preserve">具备高频屏蔽防护；AC220V 供电，宽电压兼容 90～26</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V</w:t>
            </w:r>
            <w:r>
              <w:rPr>
                <w:rFonts w:hint="eastAsia" w:ascii="宋体" w:hAnsi="宋体" w:cs="宋体"/>
                <w:color w:val="auto"/>
                <w:sz w:val="21"/>
                <w:szCs w:val="21"/>
                <w:highlight w:val="none"/>
                <w:lang w:val="en-US" w:eastAsia="zh-CN"/>
              </w:rPr>
              <w:t xml:space="preserve">；</w:t>
            </w:r>
            <w:r/>
          </w:p>
          <w:p>
            <w:pPr>
              <w:pStyle w:val="857"/>
              <w:numPr>
                <w:ilvl w:val="0"/>
                <w:numId w:val="23"/>
              </w:numPr>
              <w:jc w:val="left"/>
              <w:spacing w:line="360" w:lineRule="auto"/>
              <w:rPr>
                <w:rFonts w:hint="eastAsia"/>
              </w:rPr>
            </w:pPr>
            <w:r>
              <w:rPr>
                <w:rFonts w:hint="eastAsia" w:ascii="宋体" w:hAnsi="宋体" w:eastAsia="宋体" w:cs="宋体"/>
                <w:color w:val="auto"/>
                <w:sz w:val="21"/>
                <w:szCs w:val="21"/>
                <w:highlight w:val="none"/>
                <w:lang w:val="en-US" w:eastAsia="zh-CN"/>
              </w:rPr>
              <w:t xml:space="preserve">铝合金小型机身，适合采血工位台面摆放，整机重量≤5kg</w:t>
            </w:r>
            <w:r>
              <w:rPr>
                <w:rFonts w:hint="eastAsia" w:ascii="宋体" w:hAnsi="宋体" w:cs="宋体"/>
                <w:color w:val="auto"/>
                <w:sz w:val="21"/>
                <w:szCs w:val="21"/>
                <w:highlight w:val="none"/>
                <w:lang w:val="en-US" w:eastAsia="zh-CN"/>
              </w:rPr>
              <w:t xml:space="preserve">。</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t xml:space="preserve">2</w:t>
            </w:r>
            <w:r/>
          </w:p>
        </w:tc>
      </w:tr>
      <w:tr>
        <w:trPr>
          <w:trHeight w:val="383"/>
        </w:trPr>
        <w:tc>
          <w:tcPr>
            <w:tcBorders>
              <w:top w:val="single" w:color="000000" w:sz="6" w:space="0"/>
              <w:left w:val="single" w:color="000000" w:sz="8" w:space="0"/>
              <w:right w:val="single" w:color="000000" w:sz="6" w:space="0"/>
            </w:tcBorders>
            <w:tcW w:w="713" w:type="dxa"/>
            <w:vAlign w:val="center"/>
            <w:vMerge w:val="restart"/>
            <w:textDirection w:val="lrTb"/>
            <w:noWrap/>
          </w:tcPr>
          <w:p>
            <w:pPr>
              <w:jc w:val="center"/>
              <w:spacing w:line="360" w:lineRule="auto"/>
              <w:rPr>
                <w:rFonts w:hint="default" w:ascii="宋体" w:hAnsi="宋体" w:eastAsia="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t xml:space="preserve">21</w:t>
            </w:r>
            <w:r/>
          </w:p>
        </w:tc>
        <w:tc>
          <w:tcPr>
            <w:tcBorders>
              <w:top w:val="single" w:color="000000" w:sz="6" w:space="0"/>
              <w:left w:val="single" w:color="000000" w:sz="6" w:space="0"/>
              <w:right w:val="single" w:color="000000" w:sz="6" w:space="0"/>
            </w:tcBorders>
            <w:tcW w:w="1156" w:type="dxa"/>
            <w:vAlign w:val="center"/>
            <w:vMerge w:val="restart"/>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cs="宋体"/>
                <w:color w:val="auto"/>
                <w:sz w:val="21"/>
                <w:szCs w:val="21"/>
                <w:highlight w:val="none"/>
                <w:lang w:val="en-US" w:eastAsia="zh-CN"/>
              </w:rPr>
              <w:t xml:space="preserve">采血业务终端配套基座及布</w:t>
            </w:r>
            <w:r>
              <w:rPr>
                <w:rFonts w:hint="eastAsia" w:ascii="宋体" w:hAnsi="宋体" w:eastAsia="宋体" w:cs="宋体"/>
                <w:color w:val="auto"/>
                <w:sz w:val="21"/>
                <w:szCs w:val="21"/>
                <w:highlight w:val="none"/>
                <w:lang w:val="en-US" w:eastAsia="zh-CN" w:bidi="ar-SA"/>
              </w:rPr>
              <w:t xml:space="preserve">线系统</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pStyle w:val="857"/>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移动终端</w:t>
            </w:r>
            <w:r/>
          </w:p>
          <w:p>
            <w:pPr>
              <w:pStyle w:val="857"/>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显卡类型：集成显卡</w:t>
            </w:r>
            <w:r/>
          </w:p>
          <w:p>
            <w:pPr>
              <w:pStyle w:val="857"/>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2.内存≥8GB </w:t>
            </w:r>
            <w:r/>
          </w:p>
          <w:p>
            <w:pPr>
              <w:pStyle w:val="857"/>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3.硬盘≥515G</w:t>
            </w:r>
            <w:r/>
          </w:p>
          <w:p>
            <w:pPr>
              <w:pStyle w:val="857"/>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4.显示屏≥15.6英寸</w:t>
            </w:r>
            <w:r/>
          </w:p>
          <w:p>
            <w:pPr>
              <w:pStyle w:val="857"/>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5.屏幕分辨率：1920*1080</w:t>
            </w:r>
            <w:r>
              <w:rPr>
                <w:rFonts w:hint="eastAsia" w:ascii="宋体" w:hAnsi="宋体" w:cs="宋体"/>
                <w:color w:val="auto"/>
                <w:sz w:val="21"/>
                <w:szCs w:val="21"/>
                <w:highlight w:val="none"/>
                <w:lang w:val="en-US" w:eastAsia="zh-CN"/>
              </w:rPr>
              <w:t xml:space="preserve">像素</w:t>
            </w:r>
            <w:r/>
          </w:p>
          <w:p>
            <w:pPr>
              <w:pStyle w:val="857"/>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6.操作系统: 预装 Windows 11 操作系统</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1台</w:t>
            </w:r>
            <w:r/>
          </w:p>
        </w:tc>
      </w:tr>
      <w:tr>
        <w:trPr>
          <w:trHeight w:val="383"/>
        </w:trPr>
        <w:tc>
          <w:tcPr>
            <w:tcBorders>
              <w:left w:val="single" w:color="000000" w:sz="8" w:space="0"/>
              <w:right w:val="single" w:color="000000" w:sz="6" w:space="0"/>
            </w:tcBorders>
            <w:tcW w:w="713"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r>
            <w:r/>
          </w:p>
        </w:tc>
        <w:tc>
          <w:tcPr>
            <w:tcBorders>
              <w:left w:val="single" w:color="000000" w:sz="6" w:space="0"/>
              <w:right w:val="single" w:color="000000" w:sz="6" w:space="0"/>
            </w:tcBorders>
            <w:tcW w:w="1156" w:type="dxa"/>
            <w:vAlign w:val="center"/>
            <w:vMerge w:val="continue"/>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pStyle w:val="857"/>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一体式终端</w:t>
            </w:r>
            <w:r/>
          </w:p>
          <w:p>
            <w:pPr>
              <w:pStyle w:val="857"/>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.处理器: i5或i5以上</w:t>
            </w:r>
            <w:r/>
          </w:p>
          <w:p>
            <w:pPr>
              <w:pStyle w:val="857"/>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2.内存≥16GB </w:t>
            </w:r>
            <w:r/>
          </w:p>
          <w:p>
            <w:pPr>
              <w:pStyle w:val="857"/>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3.硬盘≥515G</w:t>
            </w:r>
            <w:r/>
          </w:p>
          <w:p>
            <w:pPr>
              <w:pStyle w:val="857"/>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4.显示屏≥23.8英寸</w:t>
            </w:r>
            <w:r/>
          </w:p>
          <w:p>
            <w:pPr>
              <w:pStyle w:val="857"/>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5.显卡类型：集成显卡</w:t>
            </w:r>
            <w:r/>
          </w:p>
          <w:p>
            <w:pPr>
              <w:pStyle w:val="857"/>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6.屏幕比例：16:9</w:t>
            </w:r>
            <w:r/>
          </w:p>
          <w:p>
            <w:pPr>
              <w:pStyle w:val="857"/>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7.屏幕分辨率：1920*1080</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1台</w:t>
            </w:r>
            <w:r/>
          </w:p>
        </w:tc>
      </w:tr>
      <w:tr>
        <w:trPr>
          <w:trHeight w:val="383"/>
        </w:trPr>
        <w:tc>
          <w:tcPr>
            <w:tcBorders>
              <w:left w:val="single" w:color="000000" w:sz="8" w:space="0"/>
              <w:bottom w:val="single" w:color="000000" w:sz="6" w:space="0"/>
              <w:right w:val="single" w:color="000000" w:sz="6" w:space="0"/>
            </w:tcBorders>
            <w:tcW w:w="713"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r>
            <w:r/>
          </w:p>
        </w:tc>
        <w:tc>
          <w:tcPr>
            <w:tcBorders>
              <w:left w:val="single" w:color="000000" w:sz="6" w:space="0"/>
              <w:bottom w:val="single" w:color="000000" w:sz="6" w:space="0"/>
              <w:right w:val="single" w:color="000000" w:sz="6" w:space="0"/>
            </w:tcBorders>
            <w:tcW w:w="1156" w:type="dxa"/>
            <w:vAlign w:val="center"/>
            <w:vMerge w:val="continue"/>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pStyle w:val="857"/>
              <w:jc w:val="left"/>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信息复制系统</w:t>
            </w:r>
            <w:r/>
          </w:p>
          <w:p>
            <w:pPr>
              <w:pStyle w:val="857"/>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基本功能：</w:t>
            </w:r>
            <w:r>
              <w:rPr>
                <w:rFonts w:hint="eastAsia" w:ascii="宋体" w:hAnsi="宋体" w:cs="宋体"/>
                <w:color w:val="auto"/>
                <w:sz w:val="21"/>
                <w:szCs w:val="21"/>
                <w:highlight w:val="none"/>
                <w:lang w:val="en-US" w:eastAsia="zh-CN"/>
              </w:rPr>
              <w:t xml:space="preserve">黑白激光</w:t>
            </w:r>
            <w:r>
              <w:rPr>
                <w:rFonts w:hint="eastAsia" w:ascii="宋体" w:hAnsi="宋体" w:eastAsia="宋体" w:cs="宋体"/>
                <w:color w:val="auto"/>
                <w:sz w:val="21"/>
                <w:szCs w:val="21"/>
                <w:highlight w:val="none"/>
              </w:rPr>
              <w:t xml:space="preserve">打印、复印、扫描</w:t>
            </w:r>
            <w:r/>
          </w:p>
          <w:p>
            <w:pPr>
              <w:pStyle w:val="857"/>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3.进阶功能：自动双面打印</w:t>
            </w:r>
            <w:r/>
          </w:p>
          <w:p>
            <w:pPr>
              <w:pStyle w:val="857"/>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4.连接方式：无线网络、有线网络、USB线连接</w:t>
            </w:r>
            <w:r/>
          </w:p>
          <w:p>
            <w:pPr>
              <w:pStyle w:val="857"/>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5.打印速度：单面高达30页/分钟，双面高达15页/分钟</w:t>
            </w:r>
            <w:r/>
          </w:p>
          <w:p>
            <w:pPr>
              <w:pStyle w:val="857"/>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6月打印负荷：≧30000页</w:t>
            </w:r>
            <w:r/>
          </w:p>
          <w:p>
            <w:pPr>
              <w:pStyle w:val="857"/>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7.产品尺寸：≦460×420×400mm</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2台</w:t>
            </w:r>
            <w:r/>
          </w:p>
        </w:tc>
      </w:tr>
      <w:tr>
        <w:trPr>
          <w:trHeight w:val="383"/>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 外 视 觉 设 计 及 规划</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观设计温馨，具有行业特色，体现血站的工作，并具有宣传效果，外部装饰按照设计方式进行安装；内部装饰、元素、点缀呼应外部形象设计，内外融合；配备与血液行业相关的装饰与宣传内容，要求时尚、专业，方案需得到甲方认可（提供设计效果图电子文档）</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套</w:t>
            </w:r>
            <w:r/>
          </w:p>
        </w:tc>
      </w:tr>
      <w:tr>
        <w:trPr>
          <w:trHeight w:val="383"/>
        </w:trPr>
        <w:tc>
          <w:tcPr>
            <w:tcBorders>
              <w:top w:val="single" w:color="000000" w:sz="6" w:space="0"/>
              <w:left w:val="single" w:color="000000" w:sz="8" w:space="0"/>
              <w:bottom w:val="single" w:color="000000" w:sz="6" w:space="0"/>
              <w:right w:val="single" w:color="000000" w:sz="6" w:space="0"/>
            </w:tcBorders>
            <w:tcW w:w="713" w:type="dxa"/>
            <w:vAlign w:val="center"/>
            <w:textDirection w:val="lrTb"/>
            <w:noWrap/>
          </w:tcPr>
          <w:p>
            <w:pPr>
              <w:jc w:val="cente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156" w:type="dxa"/>
            <w:vAlign w:val="center"/>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屋 内 布 局</w:t>
            </w:r>
            <w:r/>
          </w:p>
        </w:tc>
        <w:tc>
          <w:tcPr>
            <w:tcBorders>
              <w:top w:val="single" w:color="000000" w:sz="6" w:space="0"/>
              <w:left w:val="single" w:color="000000" w:sz="6" w:space="0"/>
              <w:bottom w:val="single" w:color="000000" w:sz="6" w:space="0"/>
              <w:right w:val="single" w:color="000000" w:sz="6" w:space="0"/>
            </w:tcBorders>
            <w:tcW w:w="6257" w:type="dxa"/>
            <w:vAlign w:val="center"/>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内部设置、布局和工作流程符合采血现场专业规范和卫生学要求； </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业务工作区域内污染区与非污染区分开，安全区域与公共活动区域分开； </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主要功能区划分为献血者接待区域、体检咨询区域、登记区域、检验区域、休息区域、采血区、纪念品展示区（可复合设立，各区域面积和划分在制作时由使用单位委派业务专家进行现场督导）； </w:t>
            </w:r>
            <w:r/>
          </w:p>
          <w:p>
            <w:pPr>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区域配备生活、医疗废物暂时存放设施，体检区域要求具有良好的私密性</w:t>
            </w:r>
            <w:r>
              <w:rPr>
                <w:rFonts w:hint="eastAsia" w:ascii="宋体" w:hAnsi="宋体" w:cs="宋体"/>
                <w:color w:val="auto"/>
                <w:sz w:val="21"/>
                <w:szCs w:val="21"/>
                <w:highlight w:val="none"/>
                <w:lang w:eastAsia="zh-CN"/>
              </w:rPr>
              <w:t xml:space="preserve">；</w:t>
            </w:r>
            <w:r/>
          </w:p>
          <w:p>
            <w:pPr>
              <w:jc w:val="left"/>
              <w:spacing w:line="360" w:lineRule="auto"/>
              <w:widowControl/>
              <w:rPr>
                <w:rFonts w:hint="eastAsia" w:ascii="宋体" w:hAnsi="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含无偿献血品牌视觉引导系统：包含爱心发光 LOGO、室内功能导视牌、服务状态吊牌、缺血提示吊牌、人员信息公示牌</w:t>
            </w:r>
            <w:r>
              <w:rPr>
                <w:rFonts w:hint="eastAsia" w:ascii="宋体" w:hAnsi="宋体" w:cs="宋体"/>
                <w:b w:val="0"/>
                <w:bCs w:val="0"/>
                <w:color w:val="auto"/>
                <w:sz w:val="21"/>
                <w:szCs w:val="21"/>
                <w:highlight w:val="none"/>
                <w:lang w:val="en-US" w:eastAsia="zh-CN" w:bidi="ar-SA"/>
              </w:rPr>
              <w:t xml:space="preserve">等；</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投标人投标时提供内部设计的效果图，在中标后根据采购方的意见和建议进行调整和优化。在采购方确认后方可进行施工。</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tcPr>
          <w:p>
            <w:pPr>
              <w:jc w:val="left"/>
              <w:spacing w:line="360" w:lineRule="auto"/>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套</w:t>
            </w:r>
            <w:r/>
          </w:p>
        </w:tc>
      </w:tr>
    </w:tbl>
    <w:p>
      <w:r/>
      <w:r/>
    </w:p>
    <w:p>
      <w:pPr>
        <w:pStyle w:val="686"/>
        <w:rPr>
          <w:rFonts w:ascii="宋体" w:hAnsi="宋体" w:eastAsia="宋体" w:cs="宋体"/>
          <w:b/>
          <w:color w:val="000000"/>
          <w:sz w:val="36"/>
        </w:rPr>
      </w:pPr>
      <w:r>
        <w:rPr>
          <w:rFonts w:ascii="宋体" w:hAnsi="宋体" w:eastAsia="宋体" w:cs="宋体"/>
          <w:b/>
          <w:color w:val="000000"/>
          <w:sz w:val="36"/>
        </w:rPr>
      </w:r>
      <w:r/>
    </w:p>
    <w:p>
      <w:pPr>
        <w:pStyle w:val="686"/>
        <w:rPr>
          <w:rFonts w:ascii="宋体" w:hAnsi="宋体" w:eastAsia="宋体" w:cs="宋体"/>
          <w:b/>
          <w:color w:val="000000"/>
          <w:sz w:val="36"/>
        </w:rPr>
      </w:pPr>
      <w:r>
        <w:rPr>
          <w:rFonts w:ascii="宋体" w:hAnsi="宋体" w:eastAsia="宋体" w:cs="宋体"/>
          <w:b/>
          <w:color w:val="000000"/>
          <w:sz w:val="36"/>
        </w:rPr>
      </w:r>
      <w:r/>
    </w:p>
    <w:p>
      <w:pPr>
        <w:pStyle w:val="686"/>
        <w:rPr>
          <w:rFonts w:ascii="宋体" w:hAnsi="宋体" w:eastAsia="宋体" w:cs="宋体"/>
          <w:b/>
          <w:color w:val="000000"/>
          <w:sz w:val="36"/>
        </w:rPr>
      </w:pPr>
      <w:r>
        <w:rPr>
          <w:rFonts w:ascii="宋体" w:hAnsi="宋体" w:eastAsia="宋体" w:cs="宋体"/>
          <w:b/>
          <w:color w:val="000000"/>
          <w:sz w:val="36"/>
        </w:rPr>
      </w:r>
      <w:r/>
    </w:p>
    <w:p>
      <w:pPr>
        <w:pStyle w:val="686"/>
        <w:rPr>
          <w:rFonts w:ascii="宋体" w:hAnsi="宋体" w:eastAsia="宋体" w:cs="宋体"/>
          <w:b/>
          <w:color w:val="000000"/>
          <w:sz w:val="36"/>
        </w:rPr>
      </w:pPr>
      <w:r>
        <w:rPr>
          <w:rFonts w:ascii="宋体" w:hAnsi="宋体" w:eastAsia="宋体" w:cs="宋体"/>
          <w:b/>
          <w:color w:val="000000"/>
          <w:sz w:val="36"/>
        </w:rPr>
      </w:r>
      <w:r/>
    </w:p>
    <w:p>
      <w:pPr>
        <w:pStyle w:val="686"/>
        <w:rPr>
          <w:rFonts w:ascii="宋体" w:hAnsi="宋体" w:eastAsia="宋体" w:cs="宋体"/>
          <w:b/>
          <w:color w:val="000000"/>
          <w:sz w:val="36"/>
        </w:rPr>
      </w:pPr>
      <w:r>
        <w:rPr>
          <w:rFonts w:ascii="宋体" w:hAnsi="宋体" w:eastAsia="宋体" w:cs="宋体"/>
          <w:b/>
          <w:color w:val="000000"/>
          <w:sz w:val="36"/>
        </w:rPr>
      </w:r>
      <w:r/>
    </w:p>
    <w:p>
      <w:pPr>
        <w:pStyle w:val="686"/>
        <w:rPr>
          <w:rFonts w:ascii="宋体" w:hAnsi="宋体" w:eastAsia="宋体" w:cs="宋体"/>
          <w:b/>
          <w:color w:val="000000"/>
          <w:sz w:val="36"/>
        </w:rPr>
      </w:pPr>
      <w:r>
        <w:rPr>
          <w:rFonts w:ascii="宋体" w:hAnsi="宋体" w:eastAsia="宋体" w:cs="宋体"/>
          <w:b/>
          <w:color w:val="000000"/>
          <w:sz w:val="36"/>
        </w:rPr>
      </w:r>
      <w:r/>
    </w:p>
    <w:p>
      <w:pPr>
        <w:pStyle w:val="686"/>
        <w:rPr>
          <w:rFonts w:ascii="宋体" w:hAnsi="宋体" w:eastAsia="宋体" w:cs="宋体"/>
          <w:b/>
          <w:color w:val="000000"/>
          <w:sz w:val="36"/>
        </w:rPr>
      </w:pPr>
      <w:r>
        <w:rPr>
          <w:rFonts w:ascii="宋体" w:hAnsi="宋体" w:eastAsia="宋体" w:cs="宋体"/>
          <w:b/>
          <w:color w:val="000000"/>
          <w:sz w:val="36"/>
        </w:rPr>
      </w:r>
      <w:r/>
    </w:p>
    <w:p>
      <w:pPr>
        <w:pStyle w:val="686"/>
        <w:rPr>
          <w:rFonts w:ascii="宋体" w:hAnsi="宋体" w:eastAsia="宋体" w:cs="宋体"/>
          <w:b/>
          <w:color w:val="000000"/>
          <w:sz w:val="36"/>
        </w:rPr>
      </w:pPr>
      <w:r>
        <w:rPr>
          <w:rFonts w:ascii="宋体" w:hAnsi="宋体" w:eastAsia="宋体" w:cs="宋体"/>
          <w:b/>
          <w:color w:val="000000"/>
          <w:sz w:val="36"/>
        </w:rPr>
      </w:r>
      <w:r/>
    </w:p>
    <w:p>
      <w:pPr>
        <w:pStyle w:val="686"/>
        <w:rPr>
          <w:rFonts w:ascii="宋体" w:hAnsi="宋体" w:eastAsia="宋体" w:cs="宋体"/>
          <w:b/>
          <w:color w:val="000000"/>
          <w:sz w:val="36"/>
        </w:rPr>
      </w:pPr>
      <w:r>
        <w:rPr>
          <w:rFonts w:ascii="宋体" w:hAnsi="宋体" w:eastAsia="宋体" w:cs="宋体"/>
          <w:b/>
          <w:color w:val="000000"/>
          <w:sz w:val="36"/>
        </w:rPr>
      </w:r>
      <w:r/>
    </w:p>
    <w:p>
      <w:pPr>
        <w:ind w:left="0" w:right="0" w:firstLine="0"/>
        <w:jc w:val="both"/>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第五章 评审方法和评审标准</w:t>
      </w:r>
      <w:r/>
    </w:p>
    <w:p>
      <w:pPr>
        <w:ind w:left="0" w:right="0" w:firstLine="422"/>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一、评标方法</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采用综合评分法的，评标结果按评审后得分由高到低顺序排列。得分相同的，按投标报价由低到高顺序排列。得分且投标报价相同的并列。</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采用最低评标价法评标时，除了算术修正和落实政府采购政策需进行的价格扣除外，不能对投标人的投标价格进行任何调整。</w:t>
      </w:r>
      <w:r/>
    </w:p>
    <w:tbl>
      <w:tblPr>
        <w:tblStyle w:val="70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0"/>
        <w:gridCol w:w="2250"/>
        <w:gridCol w:w="5406"/>
      </w:tblGrid>
      <w:tr>
        <w:trPr>
          <w:jc w:val="center"/>
          <w:trHeight w:val="2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0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选取中标候选人的原则</w:t>
            </w:r>
            <w:r/>
          </w:p>
        </w:tc>
      </w:tr>
      <w:tr>
        <w:trPr>
          <w:jc w:val="cente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6"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满足招标文件全部实质性要求，且按照评审因素的量化指标评审得分最高的投标人为中标候选人。</w:t>
            </w:r>
            <w:r/>
          </w:p>
        </w:tc>
      </w:tr>
    </w:tbl>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二、政府采购政策功能落实</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其他要求：</w:t>
      </w:r>
      <w:r/>
    </w:p>
    <w:p>
      <w:pPr>
        <w:ind w:firstLine="420"/>
        <w:spacing w:line="360" w:lineRule="auto"/>
        <w:rPr>
          <w:rFonts w:ascii="宋体" w:hAnsi="宋体" w:cs="宋体"/>
          <w:b/>
          <w:bCs/>
          <w:i w:val="0"/>
          <w:iCs w:val="0"/>
          <w:color w:val="auto"/>
          <w:highlight w:val="none"/>
          <w:u w:val="none"/>
        </w:rPr>
      </w:pPr>
      <w:r>
        <w:rPr>
          <w:rFonts w:hint="eastAsia" w:ascii="宋体" w:hAnsi="宋体" w:cs="宋体"/>
          <w:color w:val="auto"/>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w:t>
      </w:r>
      <w:r>
        <w:rPr>
          <w:rFonts w:hint="eastAsia" w:ascii="宋体" w:hAnsi="宋体" w:cs="宋体"/>
          <w:b/>
          <w:bCs/>
          <w:color w:val="auto"/>
          <w:highlight w:val="none"/>
        </w:rPr>
        <w:t xml:space="preserve">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w:t>
      </w:r>
      <w:r>
        <w:rPr>
          <w:rFonts w:hint="eastAsia" w:ascii="宋体" w:hAnsi="宋体" w:cs="宋体"/>
          <w:color w:val="auto"/>
          <w:highlight w:val="none"/>
        </w:rPr>
        <w:t xml:space="preserve">。其他条件相同情况下，应当优先采购节能产品、环境标志产品。</w:t>
      </w:r>
      <w:r/>
    </w:p>
    <w:p>
      <w:pPr>
        <w:numPr>
          <w:ilvl w:val="0"/>
          <w:numId w:val="0"/>
        </w:num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sz w:val="21"/>
          <w:szCs w:val="22"/>
          <w:highlight w:val="none"/>
          <w:lang w:val="en-US" w:eastAsia="zh-CN" w:bidi="ar-SA"/>
        </w:rPr>
        <w:t xml:space="preserve">2.</w:t>
      </w:r>
      <w:r>
        <w:rPr>
          <w:rFonts w:hint="eastAsia" w:ascii="宋体" w:hAnsi="宋体" w:eastAsia="宋体" w:cs="宋体"/>
          <w:b/>
          <w:bCs/>
          <w:color w:val="auto"/>
          <w:highlight w:val="none"/>
        </w:rPr>
        <w:t xml:space="preserve">政府采购中实施本国产品标准及相关政策</w:t>
      </w:r>
      <w:r/>
    </w:p>
    <w:p>
      <w:pPr>
        <w:numPr>
          <w:ilvl w:val="0"/>
          <w:numId w:val="0"/>
        </w:numPr>
        <w:ind w:firstLine="422"/>
        <w:spacing w:line="360" w:lineRule="auto"/>
        <w:rPr>
          <w:rFonts w:hint="eastAsia" w:ascii="宋体" w:hAnsi="宋体" w:eastAsia="宋体" w:cs="宋体"/>
          <w:b/>
          <w:bCs/>
          <w:color w:val="auto"/>
          <w:highlight w:val="none"/>
        </w:rPr>
      </w:pPr>
      <w:r>
        <w:rPr>
          <w:rFonts w:hint="eastAsia" w:ascii="宋体" w:hAnsi="宋体" w:cs="宋体"/>
          <w:b/>
          <w:bCs/>
          <w:color w:val="auto"/>
          <w:sz w:val="21"/>
          <w:szCs w:val="22"/>
          <w:highlight w:val="none"/>
          <w:lang w:val="en-US" w:eastAsia="zh-CN" w:bidi="ar-SA"/>
        </w:rPr>
        <w:t xml:space="preserve">2</w:t>
      </w:r>
      <w:r>
        <w:rPr>
          <w:rFonts w:hint="eastAsia" w:ascii="宋体" w:hAnsi="宋体" w:eastAsia="宋体" w:cs="宋体"/>
          <w:b/>
          <w:bCs/>
          <w:color w:val="auto"/>
          <w:sz w:val="21"/>
          <w:szCs w:val="22"/>
          <w:highlight w:val="none"/>
          <w:lang w:val="en-US" w:eastAsia="zh-CN" w:bidi="ar-SA"/>
        </w:rPr>
        <w:t xml:space="preserve">.</w:t>
      </w:r>
      <w:r>
        <w:rPr>
          <w:rFonts w:hint="eastAsia" w:ascii="宋体" w:hAnsi="宋体" w:eastAsia="宋体" w:cs="宋体"/>
          <w:b/>
          <w:bCs/>
          <w:color w:val="auto"/>
          <w:highlight w:val="none"/>
        </w:rPr>
        <w:t xml:space="preserve">1本项目对采购本国产品给予政策支持，具体内容见招标文件“第五章 评标方法与评标标准”。</w:t>
      </w:r>
      <w:r/>
    </w:p>
    <w:p>
      <w:pPr>
        <w:numPr>
          <w:ilvl w:val="0"/>
          <w:numId w:val="0"/>
        </w:numPr>
        <w:ind w:firstLine="422"/>
        <w:spacing w:line="360" w:lineRule="auto"/>
        <w:rPr>
          <w:rFonts w:hint="eastAsia" w:ascii="宋体" w:hAnsi="宋体" w:eastAsia="宋体" w:cs="宋体"/>
          <w:b/>
          <w:bCs/>
          <w:color w:val="auto"/>
          <w:highlight w:val="none"/>
        </w:rPr>
      </w:pPr>
      <w:r>
        <w:rPr>
          <w:rFonts w:hint="eastAsia" w:ascii="宋体" w:hAnsi="宋体" w:cs="宋体"/>
          <w:b/>
          <w:bCs/>
          <w:color w:val="auto"/>
          <w:sz w:val="21"/>
          <w:szCs w:val="22"/>
          <w:highlight w:val="none"/>
          <w:lang w:val="en-US" w:eastAsia="zh-CN" w:bidi="ar-SA"/>
        </w:rPr>
        <w:t xml:space="preserve">2</w:t>
      </w:r>
      <w:r>
        <w:rPr>
          <w:rFonts w:hint="eastAsia" w:ascii="宋体" w:hAnsi="宋体" w:eastAsia="宋体" w:cs="宋体"/>
          <w:b/>
          <w:bCs/>
          <w:color w:val="auto"/>
          <w:sz w:val="21"/>
          <w:szCs w:val="22"/>
          <w:highlight w:val="none"/>
          <w:lang w:val="en-US" w:eastAsia="zh-CN" w:bidi="ar-SA"/>
        </w:rPr>
        <w:t xml:space="preserve">.</w:t>
      </w:r>
      <w:r>
        <w:rPr>
          <w:rFonts w:hint="eastAsia" w:ascii="宋体" w:hAnsi="宋体" w:eastAsia="宋体" w:cs="宋体"/>
          <w:b/>
          <w:bCs/>
          <w:color w:val="auto"/>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pPr>
      <w:r>
        <w:rPr>
          <w:rFonts w:hint="eastAsia" w:ascii="宋体" w:hAnsi="宋体" w:cs="宋体"/>
          <w:b/>
          <w:bCs/>
          <w:color w:val="auto"/>
          <w:sz w:val="21"/>
          <w:szCs w:val="22"/>
          <w:highlight w:val="none"/>
          <w:lang w:val="en-US" w:eastAsia="zh-CN" w:bidi="ar-SA"/>
        </w:rPr>
        <w:t xml:space="preserve">2</w:t>
      </w:r>
      <w:r>
        <w:rPr>
          <w:rFonts w:hint="eastAsia" w:ascii="宋体" w:hAnsi="宋体" w:eastAsia="宋体" w:cs="宋体"/>
          <w:b/>
          <w:bCs/>
          <w:color w:val="auto"/>
          <w:sz w:val="21"/>
          <w:szCs w:val="22"/>
          <w:highlight w:val="none"/>
          <w:lang w:val="en-US" w:eastAsia="zh-CN" w:bidi="ar-SA"/>
        </w:rPr>
        <w:t xml:space="preserve">.</w:t>
      </w:r>
      <w:r>
        <w:rPr>
          <w:rFonts w:hint="eastAsia" w:ascii="宋体" w:hAnsi="宋体" w:eastAsia="宋体" w:cs="宋体"/>
          <w:b/>
          <w:bCs/>
          <w:color w:val="auto"/>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宋体"/>
          <w:b/>
          <w:color w:val="000000"/>
          <w:sz w:val="21"/>
        </w:rPr>
        <w:t xml:space="preserve"> </w:t>
      </w:r>
      <w:r/>
    </w:p>
    <w:p>
      <w:pPr>
        <w:ind w:left="0" w:right="0" w:firstLine="422"/>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22"/>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三、评标标准</w:t>
      </w:r>
      <w:r/>
    </w:p>
    <w:p>
      <w:pPr>
        <w:pStyle w:val="719"/>
      </w:pPr>
      <w:r/>
      <w:r/>
    </w:p>
    <w:tbl>
      <w:tblPr>
        <w:tblStyle w:val="683"/>
        <w:tblW w:w="0" w:type="auto"/>
        <w:tblInd w:w="-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2"/>
        <w:gridCol w:w="8796"/>
      </w:tblGrid>
      <w:tr>
        <w:trPr>
          <w:trHeight w:val="0"/>
        </w:trPr>
        <w:tc>
          <w:tcPr>
            <w:tcW w:w="1172" w:type="dxa"/>
            <w:vAlign w:val="center"/>
            <w:textDirection w:val="lrTb"/>
            <w:noWrap w:val="false"/>
          </w:tcPr>
          <w:p>
            <w:pPr>
              <w:jc w:val="center"/>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评审因素</w:t>
            </w:r>
            <w:r/>
          </w:p>
        </w:tc>
        <w:tc>
          <w:tcPr>
            <w:tcW w:w="0" w:type="auto"/>
            <w:vAlign w:val="center"/>
            <w:textDirection w:val="lrTb"/>
            <w:noWrap w:val="false"/>
          </w:tcPr>
          <w:p>
            <w:pPr>
              <w:jc w:val="center"/>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评分标准说明</w:t>
            </w:r>
            <w:r/>
          </w:p>
        </w:tc>
      </w:tr>
      <w:tr>
        <w:trPr>
          <w:trHeight w:val="0"/>
        </w:trPr>
        <w:tc>
          <w:tcPr>
            <w:tcW w:w="1172" w:type="dxa"/>
            <w:vAlign w:val="center"/>
            <w:textDirection w:val="lrTb"/>
            <w:noWrap w:val="false"/>
          </w:tcPr>
          <w:p>
            <w:pPr>
              <w:ind w:left="0" w:right="0" w:firstLine="28"/>
              <w:jc w:val="center"/>
              <w:keepLines w:val="0"/>
              <w:keepNext w:val="0"/>
              <w:pageBreakBefore w:val="0"/>
              <w:spacing w:before="0" w:beforeAutospacing="0" w:after="0" w:afterAutospacing="0" w:line="360" w:lineRule="exact"/>
              <w:shd w:val="clear" w:color="auto" w:fill="auto"/>
              <w:rPr>
                <w:rFonts w:hint="eastAsia" w:asciiTheme="minorEastAsia" w:hAnsiTheme="minorEastAsia" w:eastAsiaTheme="minorEastAsia" w:cstheme="minorEastAsia"/>
                <w:b w:val="0"/>
                <w:bCs w:val="0"/>
                <w:color w:val="auto"/>
                <w:sz w:val="21"/>
                <w:szCs w:val="21"/>
                <w:highlight w:val="none"/>
              </w:rPr>
              <w:suppressLineNumbers w:val="0"/>
            </w:pPr>
            <w:r>
              <w:rPr>
                <w:rFonts w:hint="eastAsia" w:asciiTheme="minorEastAsia" w:hAnsiTheme="minorEastAsia" w:eastAsiaTheme="minorEastAsia" w:cstheme="minorEastAsia"/>
                <w:b w:val="0"/>
                <w:bCs w:val="0"/>
                <w:color w:val="auto"/>
                <w:sz w:val="21"/>
                <w:szCs w:val="21"/>
                <w:highlight w:val="none"/>
              </w:rPr>
              <w:t xml:space="preserve">投标报价</w:t>
            </w:r>
            <w:r/>
          </w:p>
          <w:p>
            <w:pPr>
              <w:ind w:left="0" w:right="0" w:firstLine="28"/>
              <w:jc w:val="center"/>
              <w:keepLines w:val="0"/>
              <w:keepNext w:val="0"/>
              <w:pageBreakBefore w:val="0"/>
              <w:spacing w:before="0" w:beforeAutospacing="0" w:after="0" w:afterAutospacing="0" w:line="360" w:lineRule="exact"/>
              <w:shd w:val="clear" w:color="auto" w:fill="auto"/>
              <w:rPr>
                <w:rFonts w:hint="eastAsia" w:asciiTheme="minorEastAsia" w:hAnsiTheme="minorEastAsia" w:eastAsiaTheme="minorEastAsia" w:cstheme="minorEastAsia"/>
                <w:b/>
                <w:bCs/>
              </w:rPr>
              <w:suppressLineNumbers w:val="0"/>
            </w:pPr>
            <w:r>
              <w:rPr>
                <w:rFonts w:hint="eastAsia" w:asciiTheme="minorEastAsia" w:hAnsiTheme="minorEastAsia" w:eastAsiaTheme="minorEastAsia" w:cstheme="minorEastAsia"/>
              </w:rPr>
              <w:t xml:space="preserve">（30分）</w:t>
            </w:r>
            <w:r/>
          </w:p>
        </w:tc>
        <w:tc>
          <w:tcPr>
            <w:tcW w:w="0" w:type="auto"/>
            <w:vAlign w:val="center"/>
            <w:textDirection w:val="lrTb"/>
            <w:noWrap w:val="false"/>
          </w:tcPr>
          <w:p>
            <w:pPr>
              <w:ind w:right="0"/>
              <w:keepLines w:val="0"/>
              <w:keepNext w:val="0"/>
              <w:pageBreakBefore w:val="0"/>
              <w:spacing w:before="0" w:beforeAutospacing="0" w:after="0" w:afterAutospacing="0" w:line="360" w:lineRule="exact"/>
              <w:shd w:val="clear" w:color="auto" w:fill="auto"/>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有效的投标报价中的最低价为评标基准价，其价格分为满分。其他投标人的价格分统一按照下列公式计算：</w:t>
            </w:r>
            <w:r/>
          </w:p>
          <w:p>
            <w:pPr>
              <w:ind w:right="0"/>
              <w:keepLines w:val="0"/>
              <w:keepNext w:val="0"/>
              <w:pageBreakBefore w:val="0"/>
              <w:spacing w:before="0" w:beforeAutospacing="0" w:after="0" w:afterAutospacing="0" w:line="360" w:lineRule="exact"/>
              <w:shd w:val="clear" w:color="auto" w:fill="auto"/>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投标报价得分＝（评标基准价/投标报价）×</w:t>
            </w:r>
            <w:r>
              <w:rPr>
                <w:rFonts w:hint="eastAsia" w:eastAsia="宋体" w:asciiTheme="minorEastAsia" w:hAnsiTheme="minorEastAsia" w:cstheme="minorEastAsia"/>
                <w:color w:val="auto"/>
                <w:sz w:val="21"/>
                <w:szCs w:val="21"/>
                <w:highlight w:val="none"/>
                <w:lang w:val="en-US" w:eastAsia="zh-CN"/>
              </w:rPr>
              <w:t xml:space="preserve">30</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100</w:t>
            </w:r>
            <w:r>
              <w:rPr>
                <w:rFonts w:hint="eastAsia" w:ascii="宋体" w:hAnsi="宋体" w:eastAsia="宋体" w:cs="宋体"/>
                <w:color w:val="auto"/>
                <w:sz w:val="21"/>
                <w:szCs w:val="21"/>
                <w:highlight w:val="none"/>
              </w:rPr>
              <w:t xml:space="preserve">%</w:t>
            </w:r>
            <w:r/>
          </w:p>
          <w:p>
            <w:pPr>
              <w:ind w:right="0"/>
              <w:keepLines w:val="0"/>
              <w:keepNext w:val="0"/>
              <w:pageBreakBefore w:val="0"/>
              <w:spacing w:before="0" w:beforeAutospacing="0" w:after="0" w:afterAutospacing="0" w:line="360" w:lineRule="exact"/>
              <w:shd w:val="clear" w:color="auto" w:fill="auto"/>
              <w:rPr>
                <w:rFonts w:hint="eastAsia" w:asciiTheme="minorEastAsia" w:hAnsiTheme="minorEastAsia" w:eastAsiaTheme="minorEastAsia" w:cstheme="minorEastAsia"/>
                <w:b/>
                <w:bCs/>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计算结果保留2位小数，第三位四舍五入。</w:t>
            </w:r>
            <w:r/>
          </w:p>
        </w:tc>
      </w:tr>
      <w:tr>
        <w:trPr>
          <w:trHeight w:val="0"/>
        </w:trPr>
        <w:tc>
          <w:tcPr>
            <w:tcW w:w="1172" w:type="dxa"/>
            <w:vAlign w:val="center"/>
            <w:textDirection w:val="lrTb"/>
            <w:noWrap w:val="false"/>
          </w:tcPr>
          <w:p>
            <w:pPr>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货物技术参数和性能指标</w:t>
            </w:r>
            <w:r/>
          </w:p>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val="en-US" w:eastAsia="zh-CN"/>
              </w:rPr>
              <w:t xml:space="preserve">40</w:t>
            </w:r>
            <w:r>
              <w:rPr>
                <w:rFonts w:hint="eastAsia" w:asciiTheme="minorEastAsia" w:hAnsiTheme="minorEastAsia" w:eastAsiaTheme="minorEastAsia" w:cstheme="minorEastAsia"/>
              </w:rPr>
              <w:t xml:space="preserve">分）</w:t>
            </w:r>
            <w:r/>
          </w:p>
        </w:tc>
        <w:tc>
          <w:tcPr>
            <w:tcW w:w="0" w:type="auto"/>
            <w:vAlign w:val="center"/>
            <w:textDirection w:val="lrTb"/>
            <w:noWrap w:val="false"/>
          </w:tcPr>
          <w:p>
            <w:pPr>
              <w:ind w:left="-78" w:right="-73"/>
              <w:rPr>
                <w:rFonts w:hint="eastAsia" w:asciiTheme="minorEastAsia" w:hAnsiTheme="minorEastAsia" w:eastAsiaTheme="minorEastAsia" w:cstheme="minorEastAsia"/>
                <w:lang w:val="zh-CN" w:eastAsia="zh-CN"/>
              </w:rPr>
            </w:pPr>
            <w:r>
              <w:rPr>
                <w:rFonts w:hint="eastAsia" w:asciiTheme="minorEastAsia" w:hAnsiTheme="minorEastAsia" w:eastAsiaTheme="minorEastAsia" w:cstheme="minorEastAsia"/>
                <w:lang w:eastAsia="zh-CN"/>
              </w:rPr>
              <w:t xml:space="preserve">根据招标文件中各项技术参数的规定，</w:t>
            </w:r>
            <w:r>
              <w:rPr>
                <w:rFonts w:hint="eastAsia" w:asciiTheme="minorEastAsia" w:hAnsiTheme="minorEastAsia" w:eastAsiaTheme="minorEastAsia" w:cstheme="minorEastAsia"/>
                <w:lang w:val="en-US" w:eastAsia="zh-CN"/>
              </w:rPr>
              <w:t xml:space="preserve">投标人</w:t>
            </w:r>
            <w:r>
              <w:rPr>
                <w:rFonts w:hint="eastAsia" w:asciiTheme="minorEastAsia" w:hAnsiTheme="minorEastAsia" w:eastAsiaTheme="minorEastAsia" w:cstheme="minorEastAsia"/>
                <w:lang w:eastAsia="zh-CN"/>
              </w:rPr>
              <w:t xml:space="preserve">的技术参数响应程度，配置的对应性、技术指标偏离度进行评分。</w:t>
            </w:r>
            <w:r>
              <w:rPr>
                <w:rFonts w:hint="eastAsia" w:asciiTheme="minorEastAsia" w:hAnsiTheme="minorEastAsia" w:eastAsiaTheme="minorEastAsia" w:cstheme="minorEastAsia"/>
                <w:lang w:val="en-US" w:eastAsia="zh-CN"/>
              </w:rPr>
              <w:t xml:space="preserve">普通技术参数</w:t>
            </w:r>
            <w:r>
              <w:rPr>
                <w:rFonts w:hint="eastAsia" w:asciiTheme="minorEastAsia" w:hAnsiTheme="minorEastAsia" w:eastAsiaTheme="minorEastAsia" w:cstheme="minorEastAsia"/>
                <w:lang w:eastAsia="zh-CN"/>
              </w:rPr>
              <w:t xml:space="preserve">有一项不满足扣</w:t>
            </w:r>
            <w:r>
              <w:rPr>
                <w:rFonts w:hint="eastAsia" w:asciiTheme="minorEastAsia" w:hAnsiTheme="minorEastAsia" w:eastAsiaTheme="minorEastAsia" w:cstheme="minorEastAsia"/>
                <w:lang w:val="en-US" w:eastAsia="zh-CN"/>
              </w:rPr>
              <w:t xml:space="preserve">0.5</w:t>
            </w:r>
            <w:r>
              <w:rPr>
                <w:rFonts w:hint="eastAsia" w:asciiTheme="minorEastAsia" w:hAnsiTheme="minorEastAsia" w:eastAsiaTheme="minorEastAsia" w:cstheme="minorEastAsia"/>
                <w:lang w:eastAsia="zh-CN"/>
              </w:rPr>
              <w:t xml:space="preserve">分，</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en-US" w:eastAsia="zh-CN"/>
              </w:rPr>
              <w:t xml:space="preserve">项技术参数</w:t>
            </w:r>
            <w:r>
              <w:rPr>
                <w:rFonts w:hint="eastAsia" w:asciiTheme="minorEastAsia" w:hAnsiTheme="minorEastAsia" w:eastAsiaTheme="minorEastAsia" w:cstheme="minorEastAsia"/>
                <w:lang w:eastAsia="zh-CN"/>
              </w:rPr>
              <w:t xml:space="preserve">有一项不满足扣</w:t>
            </w:r>
            <w:r>
              <w:rPr>
                <w:rFonts w:hint="eastAsia" w:asciiTheme="minorEastAsia" w:hAnsiTheme="minorEastAsia" w:eastAsiaTheme="minorEastAsia" w:cstheme="minorEastAsia"/>
                <w:lang w:val="en-US" w:eastAsia="zh-CN"/>
              </w:rPr>
              <w:t xml:space="preserve">2</w:t>
            </w:r>
            <w:r>
              <w:rPr>
                <w:rFonts w:hint="eastAsia" w:asciiTheme="minorEastAsia" w:hAnsiTheme="minorEastAsia" w:eastAsiaTheme="minorEastAsia" w:cstheme="minorEastAsia"/>
                <w:lang w:eastAsia="zh-CN"/>
              </w:rPr>
              <w:t xml:space="preserve">分，</w:t>
            </w:r>
            <w:r>
              <w:rPr>
                <w:rFonts w:hint="eastAsia" w:asciiTheme="minorEastAsia" w:hAnsiTheme="minorEastAsia" w:eastAsiaTheme="minorEastAsia" w:cstheme="minorEastAsia"/>
                <w:lang w:val="en-US" w:eastAsia="zh-CN"/>
              </w:rPr>
              <w:t xml:space="preserve">总分40分</w:t>
            </w:r>
            <w:r>
              <w:rPr>
                <w:rFonts w:hint="eastAsia" w:asciiTheme="minorEastAsia" w:hAnsiTheme="minorEastAsia" w:eastAsiaTheme="minorEastAsia" w:cstheme="minorEastAsia"/>
                <w:lang w:eastAsia="zh-CN"/>
              </w:rPr>
              <w:t xml:space="preserve">。须提供相关证明材料佐证参数（</w:t>
            </w:r>
            <w:r>
              <w:rPr>
                <w:rFonts w:hint="eastAsia" w:asciiTheme="minorEastAsia" w:hAnsiTheme="minorEastAsia" w:eastAsiaTheme="minorEastAsia" w:cstheme="minorEastAsia"/>
                <w:lang w:val="en-US" w:eastAsia="zh-CN"/>
              </w:rPr>
              <w:t xml:space="preserve">文件要求的佐证资料、</w:t>
            </w:r>
            <w:r>
              <w:rPr>
                <w:rFonts w:hint="eastAsia" w:asciiTheme="minorEastAsia" w:hAnsiTheme="minorEastAsia" w:eastAsiaTheme="minorEastAsia" w:cstheme="minorEastAsia"/>
                <w:lang w:eastAsia="zh-CN"/>
              </w:rPr>
              <w:t xml:space="preserve">技术参数的彩页或厂方说明书等）。</w:t>
            </w:r>
            <w:r/>
          </w:p>
        </w:tc>
      </w:tr>
      <w:tr>
        <w:trPr>
          <w:trHeight w:val="0"/>
        </w:trPr>
        <w:tc>
          <w:tcPr>
            <w:tcW w:w="1172" w:type="dxa"/>
            <w:vAlign w:val="center"/>
            <w:textDirection w:val="lrTb"/>
            <w:noWrap w:val="false"/>
          </w:tcPr>
          <w:p>
            <w:pPr>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整体技术服务方案</w:t>
            </w:r>
            <w:r/>
          </w:p>
          <w:p>
            <w:pPr>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w:t>
            </w:r>
            <w:r>
              <w:rPr>
                <w:rFonts w:hint="eastAsia" w:asciiTheme="minorEastAsia" w:hAnsiTheme="minorEastAsia" w:eastAsiaTheme="minorEastAsia" w:cstheme="minorEastAsia"/>
                <w:lang w:val="en-US" w:eastAsia="zh-CN"/>
              </w:rPr>
              <w:t xml:space="preserve">10</w:t>
            </w:r>
            <w:r>
              <w:rPr>
                <w:rFonts w:hint="eastAsia" w:asciiTheme="minorEastAsia" w:hAnsiTheme="minorEastAsia" w:eastAsiaTheme="minorEastAsia" w:cstheme="minorEastAsia"/>
                <w:lang w:eastAsia="zh-CN"/>
              </w:rPr>
              <w:t xml:space="preserve">分）</w:t>
            </w:r>
            <w:r/>
          </w:p>
        </w:tc>
        <w:tc>
          <w:tcPr>
            <w:tcW w:w="0" w:type="auto"/>
            <w:vAlign w:val="center"/>
            <w:textDirection w:val="lrTb"/>
            <w:noWrap w:val="false"/>
          </w:tcPr>
          <w:p>
            <w:pPr>
              <w:ind w:right="0"/>
              <w:keepLines w:val="0"/>
              <w:keepNext w:val="0"/>
              <w:pageBreakBefore w:val="0"/>
              <w:spacing w:before="0" w:beforeAutospacing="0" w:after="0" w:afterAutospacing="0" w:line="360" w:lineRule="exact"/>
              <w:shd w:val="clear" w:color="auto" w:fill="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lang w:eastAsia="zh-CN"/>
              </w:rPr>
              <w:t xml:space="preserve">根据对投标货物的安装、调试、验收及操作、培训计划、质保期及售后服务方案进行比较，</w:t>
            </w:r>
            <w:r>
              <w:rPr>
                <w:rFonts w:hint="eastAsia" w:asciiTheme="minorEastAsia" w:hAnsiTheme="minorEastAsia" w:eastAsiaTheme="minorEastAsia" w:cstheme="minorEastAsia"/>
                <w:color w:val="auto"/>
                <w:sz w:val="21"/>
                <w:szCs w:val="21"/>
                <w:highlight w:val="none"/>
                <w:lang w:val="en-US" w:eastAsia="zh-CN"/>
              </w:rPr>
              <w:t xml:space="preserve">方案内容包括但不限于：①运输及安全保障措施；②安装调试方案；③售后服务承诺及售后服务范围；④售后服务方式（如送修、上门或现场派驻服务人员等）、响应时间及对应流程；⑤出现各种售后问题的解决方案以及突发事件及应急保障措施。</w:t>
            </w:r>
            <w:r/>
          </w:p>
          <w:p>
            <w:pPr>
              <w:pStyle w:val="687"/>
              <w:numPr>
                <w:ilvl w:val="0"/>
                <w:numId w:val="0"/>
              </w:numP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方案满足招标文件要求，结构清晰，详细、规范全面，内容完整，可行性强得10分；</w:t>
            </w:r>
            <w:r/>
          </w:p>
          <w:p>
            <w:pPr>
              <w:pStyle w:val="687"/>
              <w:numPr>
                <w:ilvl w:val="0"/>
                <w:numId w:val="0"/>
              </w:numP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方案结构清晰性及规范性、内容完整性略有瑕疵但不影响项目实施的，得7分；</w:t>
            </w:r>
            <w:r/>
          </w:p>
          <w:p>
            <w:pPr>
              <w:pStyle w:val="687"/>
              <w:numPr>
                <w:ilvl w:val="0"/>
                <w:numId w:val="0"/>
              </w:numP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方案结构清晰性、规范性及内容完整性一般的，得4分；</w:t>
            </w:r>
            <w:r/>
          </w:p>
          <w:p>
            <w:pPr>
              <w:pStyle w:val="687"/>
              <w:numPr>
                <w:ilvl w:val="0"/>
                <w:numId w:val="0"/>
              </w:numP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方案结构清晰性、规范性及内容完整性有欠缺的，得1分；</w:t>
            </w:r>
            <w:r/>
          </w:p>
          <w:p>
            <w:pPr>
              <w:ind w:right="0"/>
              <w:keepLines w:val="0"/>
              <w:keepNext w:val="0"/>
              <w:pageBreakBefore w:val="0"/>
              <w:spacing w:before="0" w:beforeAutospacing="0" w:after="0" w:afterAutospacing="0" w:line="360" w:lineRule="exact"/>
              <w:shd w:val="clear" w:color="auto" w:fill="auto"/>
              <w:rPr>
                <w:rFonts w:hint="eastAsia" w:asciiTheme="minorEastAsia" w:hAnsiTheme="minorEastAsia" w:eastAsiaTheme="minorEastAsia" w:cstheme="minorEastAsia"/>
                <w:lang w:eastAsia="zh-CN"/>
              </w:rPr>
              <w:suppressLineNumbers w:val="0"/>
            </w:pPr>
            <w:r>
              <w:rPr>
                <w:rFonts w:hint="eastAsia" w:ascii="新宋体" w:hAnsi="新宋体" w:eastAsia="新宋体" w:cs="新宋体"/>
                <w:color w:val="000000"/>
                <w:sz w:val="21"/>
                <w:szCs w:val="21"/>
                <w:highlight w:val="none"/>
                <w:lang w:val="en-US" w:eastAsia="zh-CN"/>
              </w:rPr>
              <w:t xml:space="preserve">未提供不得分。</w:t>
            </w:r>
            <w:r/>
          </w:p>
        </w:tc>
      </w:tr>
      <w:tr>
        <w:trPr>
          <w:trHeight w:val="0"/>
        </w:trPr>
        <w:tc>
          <w:tcPr>
            <w:tcW w:w="1172" w:type="dxa"/>
            <w:vAlign w:val="center"/>
            <w:textDirection w:val="lrTb"/>
            <w:noWrap w:val="false"/>
          </w:tcPr>
          <w:p>
            <w:pPr>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产品设计方案</w:t>
            </w:r>
            <w:r/>
          </w:p>
          <w:p>
            <w:pPr>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w:t>
            </w:r>
            <w:r>
              <w:rPr>
                <w:rFonts w:hint="eastAsia" w:asciiTheme="minorEastAsia" w:hAnsiTheme="minorEastAsia" w:eastAsiaTheme="minorEastAsia" w:cstheme="minorEastAsia"/>
                <w:lang w:val="en-US" w:eastAsia="zh-CN"/>
              </w:rPr>
              <w:t xml:space="preserve">10</w:t>
            </w:r>
            <w:r>
              <w:rPr>
                <w:rFonts w:hint="eastAsia" w:asciiTheme="minorEastAsia" w:hAnsiTheme="minorEastAsia" w:eastAsiaTheme="minorEastAsia" w:cstheme="minorEastAsia"/>
                <w:lang w:eastAsia="zh-CN"/>
              </w:rPr>
              <w:t xml:space="preserve">分）</w:t>
            </w:r>
            <w:r/>
          </w:p>
        </w:tc>
        <w:tc>
          <w:tcPr>
            <w:tcW w:w="0" w:type="auto"/>
            <w:vAlign w:val="center"/>
            <w:textDirection w:val="lrTb"/>
            <w:noWrap w:val="false"/>
          </w:tcPr>
          <w:p>
            <w:p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根据整体内部布局、外部效果设计图，布局合理及外观设计进行评审。</w:t>
            </w:r>
            <w:r/>
          </w:p>
          <w:p>
            <w:pPr>
              <w:numPr>
                <w:ilvl w:val="0"/>
                <w:numId w:val="0"/>
              </w:num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z w:val="21"/>
                <w:szCs w:val="22"/>
                <w:lang w:eastAsia="zh-CN"/>
              </w:rPr>
              <w:t xml:space="preserve">1.</w:t>
            </w:r>
            <w:r>
              <w:rPr>
                <w:rFonts w:hint="eastAsia" w:asciiTheme="minorEastAsia" w:hAnsiTheme="minorEastAsia" w:eastAsiaTheme="minorEastAsia" w:cstheme="minorEastAsia"/>
                <w:lang w:eastAsia="zh-CN"/>
              </w:rPr>
              <w:t xml:space="preserve">设计图新颖</w:t>
            </w:r>
            <w:r>
              <w:rPr>
                <w:rFonts w:hint="eastAsia" w:asciiTheme="minorEastAsia" w:hAnsiTheme="minorEastAsia" w:eastAsiaTheme="minorEastAsia" w:cstheme="minorEastAsia"/>
                <w:lang w:val="en-US" w:eastAsia="zh-CN"/>
              </w:rPr>
              <w:t xml:space="preserve">美观</w:t>
            </w:r>
            <w:r>
              <w:rPr>
                <w:rFonts w:hint="eastAsia" w:asciiTheme="minorEastAsia" w:hAnsiTheme="minorEastAsia" w:eastAsiaTheme="minorEastAsia" w:cstheme="minorEastAsia"/>
                <w:lang w:eastAsia="zh-CN"/>
              </w:rPr>
              <w:t xml:space="preserve">，布局合理可行，得</w:t>
            </w:r>
            <w:r>
              <w:rPr>
                <w:rFonts w:hint="eastAsia" w:asciiTheme="minorEastAsia" w:hAnsiTheme="minorEastAsia" w:eastAsiaTheme="minorEastAsia" w:cstheme="minorEastAsia"/>
                <w:lang w:val="en-US" w:eastAsia="zh-CN"/>
              </w:rPr>
              <w:t xml:space="preserve">10</w:t>
            </w:r>
            <w:r>
              <w:rPr>
                <w:rFonts w:hint="eastAsia" w:asciiTheme="minorEastAsia" w:hAnsiTheme="minorEastAsia" w:eastAsiaTheme="minorEastAsia" w:cstheme="minorEastAsia"/>
                <w:lang w:eastAsia="zh-CN"/>
              </w:rPr>
              <w:t xml:space="preserve">分；</w:t>
            </w:r>
            <w:r/>
          </w:p>
          <w:p>
            <w:pPr>
              <w:numPr>
                <w:ilvl w:val="0"/>
                <w:numId w:val="0"/>
              </w:num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z w:val="21"/>
                <w:szCs w:val="22"/>
                <w:lang w:eastAsia="zh-CN"/>
              </w:rPr>
              <w:t xml:space="preserve">2.</w:t>
            </w:r>
            <w:r>
              <w:rPr>
                <w:rFonts w:hint="eastAsia" w:asciiTheme="minorEastAsia" w:hAnsiTheme="minorEastAsia" w:eastAsiaTheme="minorEastAsia" w:cstheme="minorEastAsia"/>
                <w:lang w:eastAsia="zh-CN"/>
              </w:rPr>
              <w:t xml:space="preserve">设计图简单单调，布局较合理可行，得</w:t>
            </w:r>
            <w:r>
              <w:rPr>
                <w:rFonts w:hint="eastAsia" w:asciiTheme="minorEastAsia" w:hAnsiTheme="minorEastAsia" w:eastAsiaTheme="minorEastAsia" w:cstheme="minorEastAsia"/>
                <w:lang w:val="en-US" w:eastAsia="zh-CN"/>
              </w:rPr>
              <w:t xml:space="preserve">6</w:t>
            </w:r>
            <w:r>
              <w:rPr>
                <w:rFonts w:hint="eastAsia" w:asciiTheme="minorEastAsia" w:hAnsiTheme="minorEastAsia" w:eastAsiaTheme="minorEastAsia" w:cstheme="minorEastAsia"/>
                <w:lang w:eastAsia="zh-CN"/>
              </w:rPr>
              <w:t xml:space="preserve">分；</w:t>
            </w:r>
            <w:r/>
          </w:p>
          <w:p>
            <w:pPr>
              <w:numPr>
                <w:ilvl w:val="0"/>
                <w:numId w:val="0"/>
              </w:num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z w:val="21"/>
                <w:szCs w:val="22"/>
                <w:lang w:eastAsia="zh-CN"/>
              </w:rPr>
              <w:t xml:space="preserve">3.</w:t>
            </w:r>
            <w:r>
              <w:rPr>
                <w:rFonts w:hint="eastAsia" w:asciiTheme="minorEastAsia" w:hAnsiTheme="minorEastAsia" w:eastAsiaTheme="minorEastAsia" w:cstheme="minorEastAsia"/>
                <w:lang w:eastAsia="zh-CN"/>
              </w:rPr>
              <w:t xml:space="preserve">设计图单调，布局一般，得</w:t>
            </w:r>
            <w:r>
              <w:rPr>
                <w:rFonts w:hint="eastAsia" w:asciiTheme="minorEastAsia" w:hAnsiTheme="minorEastAsia" w:eastAsiaTheme="minorEastAsia" w:cstheme="minorEastAsia"/>
                <w:lang w:val="en-US" w:eastAsia="zh-CN"/>
              </w:rPr>
              <w:t xml:space="preserve">4</w:t>
            </w:r>
            <w:r>
              <w:rPr>
                <w:rFonts w:hint="eastAsia" w:asciiTheme="minorEastAsia" w:hAnsiTheme="minorEastAsia" w:eastAsiaTheme="minorEastAsia" w:cstheme="minorEastAsia"/>
                <w:lang w:eastAsia="zh-CN"/>
              </w:rPr>
              <w:t xml:space="preserve">分；</w:t>
            </w:r>
            <w:r/>
          </w:p>
          <w:p>
            <w:pPr>
              <w:numPr>
                <w:ilvl w:val="0"/>
                <w:numId w:val="0"/>
              </w:numPr>
              <w:rPr>
                <w:rFonts w:hint="eastAsia" w:asciiTheme="minorEastAsia" w:hAnsiTheme="minorEastAsia" w:eastAsiaTheme="minorEastAsia" w:cstheme="minorEastAsia"/>
                <w:lang w:eastAsia="zh-CN"/>
              </w:rPr>
            </w:pPr>
            <w:r>
              <w:rPr>
                <w:rFonts w:hint="eastAsia" w:asciiTheme="minorEastAsia" w:hAnsiTheme="minorEastAsia" w:cstheme="minorEastAsia"/>
                <w:lang w:val="en-US" w:eastAsia="zh-CN"/>
              </w:rPr>
              <w:t xml:space="preserve">4.</w:t>
            </w:r>
            <w:r>
              <w:rPr>
                <w:rFonts w:hint="eastAsia" w:asciiTheme="minorEastAsia" w:hAnsiTheme="minorEastAsia" w:eastAsiaTheme="minorEastAsia" w:cstheme="minorEastAsia"/>
                <w:lang w:eastAsia="zh-CN"/>
              </w:rPr>
              <w:t xml:space="preserve">未提供不得分。</w:t>
            </w:r>
            <w:r/>
          </w:p>
        </w:tc>
      </w:tr>
      <w:tr>
        <w:trPr>
          <w:trHeight w:val="0"/>
        </w:trPr>
        <w:tc>
          <w:tcPr>
            <w:tcW w:w="1172" w:type="dxa"/>
            <w:vAlign w:val="center"/>
            <w:textDirection w:val="lrTb"/>
            <w:noWrap w:val="false"/>
          </w:tcPr>
          <w:p>
            <w:pPr>
              <w:ind w:left="-63" w:right="-88"/>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专业程度</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val="en-US" w:eastAsia="zh-CN"/>
              </w:rPr>
              <w:t xml:space="preserve">7</w:t>
            </w:r>
            <w:r>
              <w:rPr>
                <w:rFonts w:hint="eastAsia" w:asciiTheme="minorEastAsia" w:hAnsiTheme="minorEastAsia" w:eastAsiaTheme="minorEastAsia" w:cstheme="minorEastAsia"/>
              </w:rPr>
              <w:t xml:space="preserve">分）</w:t>
            </w:r>
            <w:r/>
          </w:p>
        </w:tc>
        <w:tc>
          <w:tcPr>
            <w:tcW w:w="0" w:type="auto"/>
            <w:vAlign w:val="center"/>
            <w:textDirection w:val="lrTb"/>
            <w:noWrap w:val="false"/>
          </w:tcPr>
          <w:p>
            <w:pPr>
              <w:rPr>
                <w:rFonts w:hint="eastAsia" w:asciiTheme="minorEastAsia" w:hAnsiTheme="minorEastAsia" w:eastAsiaTheme="minorEastAsia" w:cstheme="minorEastAsia"/>
                <w:lang w:val="en-US" w:eastAsia="zh-CN" w:bidi="ar"/>
              </w:rPr>
            </w:pPr>
            <w:r>
              <w:rPr>
                <w:rFonts w:hint="eastAsia" w:asciiTheme="minorEastAsia" w:hAnsiTheme="minorEastAsia" w:eastAsiaTheme="minorEastAsia" w:cstheme="minorEastAsia"/>
                <w:lang w:val="en-US" w:eastAsia="zh-CN" w:bidi="ar"/>
              </w:rPr>
              <w:t xml:space="preserve">根据提供的献血屋生产厂家介绍等相关资料等</w:t>
            </w:r>
            <w:r>
              <w:rPr>
                <w:rFonts w:hint="eastAsia" w:asciiTheme="minorEastAsia" w:hAnsiTheme="minorEastAsia" w:eastAsiaTheme="minorEastAsia" w:cstheme="minorEastAsia"/>
                <w:lang w:eastAsia="zh-CN"/>
              </w:rPr>
              <w:t xml:space="preserve">进行评审</w:t>
            </w:r>
            <w:r>
              <w:rPr>
                <w:rFonts w:hint="eastAsia" w:asciiTheme="minorEastAsia" w:hAnsiTheme="minorEastAsia" w:eastAsiaTheme="minorEastAsia" w:cstheme="minorEastAsia"/>
                <w:lang w:eastAsia="zh-CN" w:bidi="ar"/>
              </w:rPr>
              <w:t xml:space="preserve">（</w:t>
            </w:r>
            <w:r>
              <w:rPr>
                <w:rFonts w:hint="eastAsia" w:asciiTheme="minorEastAsia" w:hAnsiTheme="minorEastAsia" w:eastAsiaTheme="minorEastAsia" w:cstheme="minorEastAsia"/>
                <w:lang w:val="en-US" w:eastAsia="zh-CN" w:bidi="ar"/>
              </w:rPr>
              <w:t xml:space="preserve">上传</w:t>
            </w:r>
            <w:r>
              <w:rPr>
                <w:rFonts w:hint="eastAsia" w:asciiTheme="minorEastAsia" w:hAnsiTheme="minorEastAsia" w:eastAsiaTheme="minorEastAsia" w:cstheme="minorEastAsia"/>
                <w:lang w:eastAsia="zh-CN" w:bidi="ar"/>
              </w:rPr>
              <w:t xml:space="preserve">ISO9001质量管理体系认证</w:t>
            </w:r>
            <w:r>
              <w:rPr>
                <w:rFonts w:hint="eastAsia" w:asciiTheme="minorEastAsia" w:hAnsiTheme="minorEastAsia" w:eastAsiaTheme="minorEastAsia" w:cstheme="minorEastAsia"/>
                <w:lang w:val="en-US" w:eastAsia="zh-CN" w:bidi="ar"/>
              </w:rPr>
              <w:t xml:space="preserve">证书扫描件）</w:t>
            </w:r>
            <w:r/>
          </w:p>
          <w:p>
            <w:pPr>
              <w:rPr>
                <w:rFonts w:hint="default" w:asciiTheme="minorEastAsia" w:hAnsiTheme="minorEastAsia" w:eastAsiaTheme="minorEastAsia" w:cstheme="minorEastAsia"/>
                <w:lang w:val="en-US" w:eastAsia="zh-CN" w:bidi="ar"/>
              </w:rPr>
            </w:pPr>
            <w:r>
              <w:rPr>
                <w:rFonts w:hint="eastAsia" w:asciiTheme="minorEastAsia" w:hAnsiTheme="minorEastAsia" w:eastAsiaTheme="minorEastAsia" w:cstheme="minorEastAsia"/>
                <w:lang w:val="en-US" w:eastAsia="zh-CN" w:bidi="ar"/>
              </w:rPr>
              <w:t xml:space="preserve">1.</w:t>
            </w:r>
            <w:r>
              <w:rPr>
                <w:rFonts w:hint="eastAsia" w:asciiTheme="minorEastAsia" w:hAnsiTheme="minorEastAsia" w:eastAsiaTheme="minorEastAsia" w:cstheme="minorEastAsia"/>
                <w:lang w:eastAsia="zh-CN" w:bidi="ar"/>
              </w:rPr>
              <w:t xml:space="preserve">生产厂家</w:t>
            </w:r>
            <w:r>
              <w:rPr>
                <w:rFonts w:hint="eastAsia" w:asciiTheme="minorEastAsia" w:hAnsiTheme="minorEastAsia" w:eastAsiaTheme="minorEastAsia" w:cstheme="minorEastAsia"/>
                <w:lang w:val="en-US" w:eastAsia="zh-CN" w:bidi="ar"/>
              </w:rPr>
              <w:t xml:space="preserve">专业程度高，</w:t>
            </w:r>
            <w:r>
              <w:rPr>
                <w:rFonts w:hint="eastAsia" w:asciiTheme="minorEastAsia" w:hAnsiTheme="minorEastAsia" w:eastAsiaTheme="minorEastAsia" w:cstheme="minorEastAsia"/>
                <w:lang w:eastAsia="zh-CN" w:bidi="ar"/>
              </w:rPr>
              <w:t xml:space="preserve">提供完善的管理制度，且通过ISO9001质量管理体系认证</w:t>
            </w:r>
            <w:r>
              <w:rPr>
                <w:rFonts w:hint="eastAsia" w:asciiTheme="minorEastAsia" w:hAnsiTheme="minorEastAsia" w:eastAsiaTheme="minorEastAsia" w:cstheme="minorEastAsia"/>
                <w:lang w:eastAsia="zh-CN"/>
              </w:rPr>
              <w:t xml:space="preserve">，</w:t>
            </w:r>
            <w:r>
              <w:rPr>
                <w:rFonts w:hint="eastAsia" w:asciiTheme="minorEastAsia" w:hAnsiTheme="minorEastAsia" w:eastAsiaTheme="minorEastAsia" w:cstheme="minorEastAsia"/>
                <w:lang w:eastAsia="zh-CN" w:bidi="ar"/>
              </w:rPr>
              <w:t xml:space="preserve">有完整的质量承诺，完善的质量保障措施得</w:t>
            </w:r>
            <w:r>
              <w:rPr>
                <w:rFonts w:hint="eastAsia" w:asciiTheme="minorEastAsia" w:hAnsiTheme="minorEastAsia" w:eastAsiaTheme="minorEastAsia" w:cstheme="minorEastAsia"/>
                <w:lang w:val="en-US" w:eastAsia="zh-CN"/>
              </w:rPr>
              <w:t xml:space="preserve">7</w:t>
            </w:r>
            <w:r>
              <w:rPr>
                <w:rFonts w:hint="eastAsia" w:asciiTheme="minorEastAsia" w:hAnsiTheme="minorEastAsia" w:eastAsiaTheme="minorEastAsia" w:cstheme="minorEastAsia"/>
                <w:lang w:eastAsia="zh-CN"/>
              </w:rPr>
              <w:t xml:space="preserve">分</w:t>
            </w:r>
            <w:r>
              <w:rPr>
                <w:rFonts w:hint="eastAsia" w:asciiTheme="minorEastAsia" w:hAnsiTheme="minorEastAsia" w:eastAsiaTheme="minorEastAsia" w:cstheme="minorEastAsia"/>
                <w:lang w:eastAsia="zh-CN" w:bidi="ar"/>
              </w:rPr>
              <w:t xml:space="preserve">；</w:t>
            </w:r>
            <w:r/>
          </w:p>
          <w:p>
            <w:pPr>
              <w:rPr>
                <w:rFonts w:hint="eastAsia" w:asciiTheme="minorEastAsia" w:hAnsiTheme="minorEastAsia" w:eastAsiaTheme="minorEastAsia" w:cstheme="minorEastAsia"/>
                <w:lang w:eastAsia="zh-CN" w:bidi="ar"/>
              </w:rPr>
            </w:pPr>
            <w:r>
              <w:rPr>
                <w:rFonts w:hint="eastAsia" w:asciiTheme="minorEastAsia" w:hAnsiTheme="minorEastAsia" w:eastAsiaTheme="minorEastAsia" w:cstheme="minorEastAsia"/>
                <w:lang w:val="en-US" w:eastAsia="zh-CN" w:bidi="ar"/>
              </w:rPr>
              <w:t xml:space="preserve">2.</w:t>
            </w:r>
            <w:r>
              <w:rPr>
                <w:rFonts w:hint="eastAsia" w:asciiTheme="minorEastAsia" w:hAnsiTheme="minorEastAsia" w:eastAsiaTheme="minorEastAsia" w:cstheme="minorEastAsia"/>
                <w:lang w:eastAsia="zh-CN" w:bidi="ar"/>
              </w:rPr>
              <w:t xml:space="preserve">提供较完善的管理制度， 较完整的质量承诺得</w:t>
            </w:r>
            <w:r>
              <w:rPr>
                <w:rFonts w:hint="eastAsia" w:asciiTheme="minorEastAsia" w:hAnsiTheme="minorEastAsia" w:eastAsiaTheme="minorEastAsia" w:cstheme="minorEastAsia"/>
                <w:lang w:val="en-US" w:eastAsia="zh-CN" w:bidi="ar"/>
              </w:rPr>
              <w:t xml:space="preserve">4</w:t>
            </w:r>
            <w:r>
              <w:rPr>
                <w:rFonts w:hint="eastAsia" w:asciiTheme="minorEastAsia" w:hAnsiTheme="minorEastAsia" w:eastAsiaTheme="minorEastAsia" w:cstheme="minorEastAsia"/>
                <w:lang w:eastAsia="zh-CN" w:bidi="ar"/>
              </w:rPr>
              <w:t xml:space="preserve">分；</w:t>
            </w:r>
            <w:r/>
          </w:p>
          <w:p>
            <w:p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val="en-US" w:eastAsia="zh-CN" w:bidi="ar"/>
              </w:rPr>
              <w:t xml:space="preserve">3.</w:t>
            </w:r>
            <w:r>
              <w:rPr>
                <w:rFonts w:hint="eastAsia" w:asciiTheme="minorEastAsia" w:hAnsiTheme="minorEastAsia" w:eastAsiaTheme="minorEastAsia" w:cstheme="minorEastAsia"/>
                <w:lang w:eastAsia="zh-CN"/>
              </w:rPr>
              <w:t xml:space="preserve">提供基本的</w:t>
            </w:r>
            <w:r>
              <w:rPr>
                <w:rFonts w:hint="eastAsia" w:asciiTheme="minorEastAsia" w:hAnsiTheme="minorEastAsia" w:eastAsiaTheme="minorEastAsia" w:cstheme="minorEastAsia"/>
                <w:lang w:eastAsia="zh-CN" w:bidi="ar"/>
              </w:rPr>
              <w:t xml:space="preserve">管理制度及质量承诺</w:t>
            </w:r>
            <w:r>
              <w:rPr>
                <w:rFonts w:hint="eastAsia" w:asciiTheme="minorEastAsia" w:hAnsiTheme="minorEastAsia" w:eastAsiaTheme="minorEastAsia" w:cstheme="minorEastAsia"/>
                <w:lang w:eastAsia="zh-CN"/>
              </w:rPr>
              <w:t xml:space="preserve">，得</w:t>
            </w:r>
            <w:r>
              <w:rPr>
                <w:rFonts w:hint="eastAsia" w:asciiTheme="minorEastAsia" w:hAnsiTheme="minorEastAsia" w:eastAsiaTheme="minorEastAsia" w:cstheme="minorEastAsia"/>
                <w:lang w:val="en-US" w:eastAsia="zh-CN"/>
              </w:rPr>
              <w:t xml:space="preserve">2</w:t>
            </w:r>
            <w:r>
              <w:rPr>
                <w:rFonts w:hint="eastAsia" w:asciiTheme="minorEastAsia" w:hAnsiTheme="minorEastAsia" w:eastAsiaTheme="minorEastAsia" w:cstheme="minorEastAsia"/>
                <w:lang w:eastAsia="zh-CN"/>
              </w:rPr>
              <w:t xml:space="preserve">分；</w:t>
            </w:r>
            <w:r/>
          </w:p>
          <w:p>
            <w:p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val="en-US" w:eastAsia="zh-CN"/>
              </w:rPr>
              <w:t xml:space="preserve">4.</w:t>
            </w:r>
            <w:r>
              <w:rPr>
                <w:rFonts w:hint="eastAsia" w:asciiTheme="minorEastAsia" w:hAnsiTheme="minorEastAsia" w:eastAsiaTheme="minorEastAsia" w:cstheme="minorEastAsia"/>
                <w:lang w:eastAsia="zh-CN" w:bidi="ar"/>
              </w:rPr>
              <w:t xml:space="preserve">无完善的管理制度，无完整的质量承诺不得分。</w:t>
            </w:r>
            <w:r/>
          </w:p>
        </w:tc>
      </w:tr>
      <w:tr>
        <w:trPr>
          <w:trHeight w:val="0"/>
        </w:trPr>
        <w:tc>
          <w:tcPr>
            <w:tcW w:w="1172" w:type="dxa"/>
            <w:vAlign w:val="center"/>
            <w:textDirection w:val="lrTb"/>
            <w:noWrap w:val="false"/>
          </w:tcPr>
          <w:p>
            <w:pPr>
              <w:ind w:left="-63" w:right="-88"/>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业绩</w:t>
            </w:r>
            <w:r/>
          </w:p>
          <w:p>
            <w:pPr>
              <w:ind w:left="-63" w:right="-88"/>
              <w:jc w:val="center"/>
              <w:rPr>
                <w:rFonts w:hint="eastAsia" w:asciiTheme="minorEastAsia" w:hAnsiTheme="minorEastAsia" w:eastAsiaTheme="minorEastAsia" w:cstheme="minorEastAsia"/>
                <w:lang w:val="zh-CN"/>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分）</w:t>
            </w:r>
            <w:r/>
          </w:p>
        </w:tc>
        <w:tc>
          <w:tcPr>
            <w:tcW w:w="0" w:type="auto"/>
            <w:vAlign w:val="center"/>
            <w:textDirection w:val="lrTb"/>
            <w:noWrap w:val="false"/>
          </w:tcPr>
          <w:p>
            <w:pPr>
              <w:ind w:left="-63" w:right="-88"/>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val="en-US" w:eastAsia="zh-CN"/>
              </w:rPr>
              <w:t xml:space="preserve">投标人或生产厂家自2023年1月1日</w:t>
            </w:r>
            <w:r>
              <w:rPr>
                <w:rFonts w:hint="eastAsia" w:asciiTheme="minorEastAsia" w:hAnsiTheme="minorEastAsia" w:eastAsiaTheme="minorEastAsia" w:cstheme="minorEastAsia"/>
                <w:lang w:eastAsia="zh-CN"/>
              </w:rPr>
              <w:t xml:space="preserve">以来（以合同签订时间为准）承接的</w:t>
            </w:r>
            <w:r>
              <w:rPr>
                <w:rFonts w:hint="eastAsia" w:asciiTheme="minorEastAsia" w:hAnsiTheme="minorEastAsia" w:cstheme="minorEastAsia"/>
                <w:lang w:val="en-US" w:eastAsia="zh-CN"/>
              </w:rPr>
              <w:t xml:space="preserve">同类</w:t>
            </w:r>
            <w:r>
              <w:rPr>
                <w:rFonts w:hint="eastAsia" w:asciiTheme="minorEastAsia" w:hAnsiTheme="minorEastAsia" w:eastAsiaTheme="minorEastAsia" w:cstheme="minorEastAsia"/>
                <w:lang w:eastAsia="zh-CN"/>
              </w:rPr>
              <w:t xml:space="preserve">业绩，每提供一项得</w:t>
            </w:r>
            <w:r>
              <w:rPr>
                <w:rFonts w:hint="eastAsia" w:asciiTheme="minorEastAsia" w:hAnsiTheme="minorEastAsia" w:eastAsiaTheme="minorEastAsia" w:cstheme="minorEastAsia"/>
                <w:lang w:val="en-US" w:eastAsia="zh-CN"/>
              </w:rPr>
              <w:t xml:space="preserve">1</w:t>
            </w:r>
            <w:r>
              <w:rPr>
                <w:rFonts w:hint="eastAsia" w:asciiTheme="minorEastAsia" w:hAnsiTheme="minorEastAsia" w:eastAsiaTheme="minorEastAsia" w:cstheme="minorEastAsia"/>
                <w:lang w:eastAsia="zh-CN"/>
              </w:rPr>
              <w:t xml:space="preserve">分，本项最高得</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lang w:eastAsia="zh-CN"/>
              </w:rPr>
              <w:t xml:space="preserve">分。</w:t>
            </w:r>
            <w:r/>
          </w:p>
          <w:p>
            <w:pPr>
              <w:ind w:left="-63" w:right="-88"/>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提供</w:t>
            </w:r>
            <w:r>
              <w:rPr>
                <w:rFonts w:hint="eastAsia" w:asciiTheme="minorEastAsia" w:hAnsiTheme="minorEastAsia" w:eastAsiaTheme="minorEastAsia" w:cstheme="minorEastAsia"/>
                <w:lang w:eastAsia="zh-CN"/>
              </w:rPr>
              <w:t xml:space="preserve">合同（含签订合同双方的单位名称、合同项目名称、项目金额与含签订合同双方的落款盖章、签订日期的关键页）</w:t>
            </w:r>
            <w:r>
              <w:rPr>
                <w:rFonts w:hint="eastAsia" w:asciiTheme="minorEastAsia" w:hAnsiTheme="minorEastAsia" w:eastAsiaTheme="minorEastAsia" w:cstheme="minorEastAsia"/>
                <w:lang w:val="en-US" w:eastAsia="zh-CN"/>
              </w:rPr>
              <w:t xml:space="preserve">扫描件</w:t>
            </w:r>
            <w:r>
              <w:rPr>
                <w:rFonts w:hint="eastAsia" w:asciiTheme="minorEastAsia" w:hAnsiTheme="minorEastAsia" w:eastAsiaTheme="minorEastAsia" w:cstheme="minorEastAsia"/>
                <w:lang w:eastAsia="zh-CN"/>
              </w:rPr>
              <w:t xml:space="preserve">作为同类业绩评价证明资料。</w:t>
            </w:r>
            <w:r/>
          </w:p>
        </w:tc>
      </w:tr>
    </w:tbl>
    <w:p>
      <w:pPr>
        <w:pStyle w:val="719"/>
      </w:pPr>
      <w:r/>
      <w:r/>
    </w:p>
    <w:p>
      <w:pPr>
        <w:pStyle w:val="719"/>
      </w:pPr>
      <w:r/>
      <w:r/>
    </w:p>
    <w:p>
      <w:pPr>
        <w:pStyle w:val="719"/>
      </w:pPr>
      <w:r/>
      <w:r/>
    </w:p>
    <w:p>
      <w:pPr>
        <w:pStyle w:val="719"/>
      </w:pPr>
      <w:r/>
      <w:r/>
    </w:p>
    <w:p>
      <w:pPr>
        <w:pStyle w:val="719"/>
      </w:pPr>
      <w:r/>
      <w:r/>
    </w:p>
    <w:p>
      <w:pPr>
        <w:pStyle w:val="719"/>
      </w:pPr>
      <w:r/>
      <w:r/>
    </w:p>
    <w:p>
      <w:pPr>
        <w:pStyle w:val="719"/>
      </w:pPr>
      <w:r/>
      <w:r/>
    </w:p>
    <w:p>
      <w:pPr>
        <w:pStyle w:val="719"/>
      </w:pPr>
      <w:r/>
      <w:r/>
    </w:p>
    <w:p>
      <w:pPr>
        <w:pStyle w:val="719"/>
      </w:pPr>
      <w:r/>
      <w:r/>
    </w:p>
    <w:p>
      <w:pPr>
        <w:pStyle w:val="719"/>
      </w:pPr>
      <w:r/>
      <w:r/>
    </w:p>
    <w:p>
      <w:pPr>
        <w:pStyle w:val="719"/>
      </w:pPr>
      <w:r/>
      <w:r/>
    </w:p>
    <w:p>
      <w:pPr>
        <w:pStyle w:val="719"/>
      </w:pPr>
      <w:r/>
      <w:r/>
    </w:p>
    <w:p>
      <w:pPr>
        <w:pStyle w:val="719"/>
      </w:pPr>
      <w:r/>
      <w:r/>
    </w:p>
    <w:p>
      <w:pPr>
        <w:pStyle w:val="719"/>
      </w:pPr>
      <w:r/>
      <w:r/>
    </w:p>
    <w:p>
      <w:pPr>
        <w:pStyle w:val="719"/>
      </w:pPr>
      <w:r/>
      <w:r/>
    </w:p>
    <w:p>
      <w:pPr>
        <w:pStyle w:val="719"/>
      </w:pPr>
      <w:r/>
      <w:r/>
    </w:p>
    <w:p>
      <w:pPr>
        <w:pStyle w:val="719"/>
      </w:pPr>
      <w:r/>
      <w:r/>
    </w:p>
    <w:p>
      <w:pPr>
        <w:pStyle w:val="719"/>
      </w:pPr>
      <w:r/>
      <w:r/>
    </w:p>
    <w:p>
      <w:pPr>
        <w:pStyle w:val="719"/>
      </w:pPr>
      <w:r/>
      <w:r/>
    </w:p>
    <w:p>
      <w:pPr>
        <w:pStyle w:val="719"/>
      </w:pPr>
      <w:r/>
      <w:r/>
    </w:p>
    <w:p>
      <w:pPr>
        <w:pStyle w:val="719"/>
      </w:pPr>
      <w:r/>
      <w:r/>
    </w:p>
    <w:p>
      <w:pPr>
        <w:pStyle w:val="719"/>
      </w:pPr>
      <w:r/>
      <w:r/>
    </w:p>
    <w:p>
      <w:pPr>
        <w:pStyle w:val="719"/>
      </w:pPr>
      <w:r/>
      <w:r/>
    </w:p>
    <w:p>
      <w:pPr>
        <w:pStyle w:val="719"/>
      </w:pPr>
      <w:r/>
      <w:r/>
    </w:p>
    <w:p>
      <w:pPr>
        <w:pStyle w:val="719"/>
      </w:pPr>
      <w:r/>
      <w:r/>
    </w:p>
    <w:p>
      <w:pPr>
        <w:pStyle w:val="719"/>
      </w:pPr>
      <w:r/>
      <w:r/>
    </w:p>
    <w:p>
      <w:pPr>
        <w:pStyle w:val="719"/>
      </w:pPr>
      <w:r/>
      <w:r/>
    </w:p>
    <w:p>
      <w:pPr>
        <w:pStyle w:val="719"/>
      </w:pPr>
      <w:r/>
      <w:r/>
    </w:p>
    <w:p>
      <w:pPr>
        <w:pStyle w:val="719"/>
      </w:pPr>
      <w:r/>
      <w:r/>
    </w:p>
    <w:p>
      <w:pPr>
        <w:pStyle w:val="719"/>
      </w:pPr>
      <w:r/>
      <w:r/>
    </w:p>
    <w:p>
      <w:pPr>
        <w:pStyle w:val="719"/>
      </w:pPr>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第六章 竞争性磋商响应文件格式</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竞争性磋商响应文件</w:t>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96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 目 名 称：</w:t>
      </w:r>
      <w:r/>
    </w:p>
    <w:p>
      <w:pPr>
        <w:ind w:left="0" w:right="0" w:firstLine="96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 目 编 号：</w:t>
      </w:r>
      <w:r/>
    </w:p>
    <w:p>
      <w:pPr>
        <w:ind w:left="0" w:right="0" w:firstLine="96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磋商供应商名称：（电子签章）</w:t>
      </w:r>
      <w:r/>
    </w:p>
    <w:p>
      <w:pPr>
        <w:ind w:left="0" w:right="0" w:firstLine="96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日期：</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47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说明：</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对本章所有的响应文件格式，供应商可根据自身情况进行补充和修改，但补充和修改不得造成与本格式内容有实质性的违背。</w:t>
      </w:r>
      <w:r>
        <w:rPr>
          <w:rFonts w:ascii="宋体" w:hAnsi="宋体" w:eastAsia="宋体" w:cs="宋体"/>
          <w:b/>
          <w:color w:val="000000"/>
          <w:sz w:val="24"/>
        </w:rPr>
        <w:br w:type="page" w:clear="all"/>
      </w:r>
      <w:r/>
    </w:p>
    <w:p>
      <w:pPr>
        <w:ind w:left="0" w:right="0" w:firstLine="48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响应文件主要目录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一、资格审查响应对照表</w:t>
      </w:r>
      <w:r/>
    </w:p>
    <w:p>
      <w:pPr>
        <w:ind w:left="48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二、符合性审查响应对照表</w:t>
      </w:r>
      <w:r/>
    </w:p>
    <w:p>
      <w:pPr>
        <w:ind w:left="48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三、非实质性响应对照表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w:t>
      </w:r>
      <w:r>
        <w:rPr>
          <w:rFonts w:ascii="宋体" w:hAnsi="宋体" w:eastAsia="宋体" w:cs="宋体"/>
          <w:b/>
          <w:color w:val="000000"/>
          <w:sz w:val="24"/>
        </w:rPr>
        <w:t xml:space="preserve">、</w:t>
      </w:r>
      <w:r>
        <w:rPr>
          <w:rFonts w:ascii="宋体" w:hAnsi="宋体" w:eastAsia="宋体" w:cs="宋体"/>
          <w:i/>
          <w:color w:val="000000"/>
          <w:sz w:val="24"/>
          <w:u w:val="single"/>
        </w:rPr>
        <w:t xml:space="preserve">磋商响应报价表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五、技术参数响应及偏离表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六、商务条款响应及偏离表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七、拟投入施工人员一览表</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八、业绩一览表</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九、实施方案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十、其他（采购文件要求必须提供的或供应商认为有必要提供的声明和文件，如有自拟并自行添加）</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一、资格审查响应对照表</w:t>
      </w:r>
      <w:r/>
    </w:p>
    <w:tbl>
      <w:tblPr>
        <w:tblStyle w:val="70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6"/>
        <w:gridCol w:w="6792"/>
        <w:gridCol w:w="1610"/>
      </w:tblGrid>
      <w:tr>
        <w:trPr>
          <w:jc w:val="cente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资格审查响应内容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是否响应</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（填是或者否）</w:t>
            </w:r>
            <w:r/>
          </w:p>
        </w:tc>
      </w:tr>
      <w:tr>
        <w:trPr>
          <w:jc w:val="center"/>
          <w:trHeight w:val="51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通用资格条件</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法人或者其他组织的营业执照等证明文件，自然人的身份证明</w:t>
            </w:r>
            <w:r>
              <w:rPr>
                <w:rFonts w:ascii="宋体" w:hAnsi="宋体" w:eastAsia="宋体" w:cs="宋体"/>
                <w:color w:val="000000"/>
                <w:sz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上一年度的财务状况报告（成立不满一年无需提供）；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依法缴纳税收和社会保障资金的相关材料（提供提交投标文件截止时间前12个月内任意一个月依法缴纳税收及缴纳社会保障资金的证明材料。投标人依法享受缓缴、免缴税收、社会保障资金的提供证明材料）；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具备履行合同所必需的设备和专业技术能力的书面声明；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参加政府采购活动前3年内在经营活动中没有重大违法记录的书面声明；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供应商信用承诺函。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未被“信用中国”网站（www.creditchina.gov.cn）、“中国政府采购网”www.ccgp.gov.cn）列入失信被执行人、重大税收违法案件当事人名单、政府采购严重违法失信行为记录名单。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落实政府采购政策需满足的资格要求</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特定资格条件</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其他资格条件</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hint="eastAsia" w:ascii="宋体" w:hAnsi="宋体" w:eastAsia="宋体" w:cs="宋体"/>
                <w:color w:val="000000"/>
                <w:sz w:val="21"/>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磋商响应函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hint="eastAsia" w:ascii="宋体" w:hAnsi="宋体" w:eastAsia="宋体" w:cs="宋体"/>
                <w:color w:val="000000"/>
                <w:sz w:val="21"/>
                <w:lang w:val="en-US" w:eastAsia="zh-CN"/>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法人授权书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156" w:after="156" w:line="85" w:lineRule="atLeast"/>
        <w:pBdr>
          <w:top w:val="none" w:color="000000" w:sz="0" w:space="0"/>
          <w:left w:val="none" w:color="000000" w:sz="0" w:space="0"/>
          <w:bottom w:val="none" w:color="000000" w:sz="0" w:space="0"/>
          <w:right w:val="none" w:color="000000" w:sz="0" w:space="0"/>
        </w:pBdr>
      </w:pPr>
      <w:r/>
      <w:r/>
    </w:p>
    <w:p>
      <w:pPr>
        <w:pStyle w:val="686"/>
      </w:pPr>
      <w:r/>
      <w:r/>
    </w:p>
    <w:p>
      <w:pPr>
        <w:pStyle w:val="686"/>
      </w:pPr>
      <w:r/>
      <w:r/>
    </w:p>
    <w:p>
      <w:pPr>
        <w:pStyle w:val="686"/>
      </w:pPr>
      <w:r/>
      <w:r/>
    </w:p>
    <w:p>
      <w:pPr>
        <w:pStyle w:val="686"/>
      </w:pPr>
      <w:r/>
      <w:r/>
    </w:p>
    <w:p>
      <w:pPr>
        <w:ind w:left="0" w:right="0" w:firstLine="0"/>
        <w:jc w:val="center"/>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具备履行合同所必需的设备和专业技术能力的书面声明</w:t>
      </w:r>
      <w:r/>
    </w:p>
    <w:p>
      <w:pPr>
        <w:ind w:left="0" w:right="0" w:firstLine="49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主要设备有：</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9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主要专业技术能力有：</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0"/>
        <w:jc w:val="both"/>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pStyle w:val="686"/>
        <w:rPr>
          <w:rFonts w:ascii="宋体" w:hAnsi="宋体" w:eastAsia="宋体" w:cs="宋体"/>
          <w:b/>
          <w:color w:val="000000"/>
          <w:sz w:val="36"/>
        </w:rPr>
      </w:pPr>
      <w:r>
        <w:rPr>
          <w:rFonts w:ascii="宋体" w:hAnsi="宋体" w:eastAsia="宋体" w:cs="宋体"/>
          <w:b/>
          <w:color w:val="000000"/>
          <w:sz w:val="36"/>
        </w:rPr>
      </w:r>
      <w:r/>
    </w:p>
    <w:p>
      <w:pPr>
        <w:pStyle w:val="686"/>
        <w:rPr>
          <w:rFonts w:ascii="宋体" w:hAnsi="宋体" w:eastAsia="宋体" w:cs="宋体"/>
          <w:b/>
          <w:color w:val="000000"/>
          <w:sz w:val="36"/>
        </w:rPr>
      </w:pPr>
      <w:r>
        <w:rPr>
          <w:rFonts w:ascii="宋体" w:hAnsi="宋体" w:eastAsia="宋体" w:cs="宋体"/>
          <w:b/>
          <w:color w:val="000000"/>
          <w:sz w:val="36"/>
        </w:rPr>
      </w:r>
      <w:r/>
    </w:p>
    <w:p>
      <w:pPr>
        <w:pStyle w:val="686"/>
        <w:rPr>
          <w:rFonts w:ascii="宋体" w:hAnsi="宋体" w:eastAsia="宋体" w:cs="宋体"/>
          <w:b/>
          <w:color w:val="000000"/>
          <w:sz w:val="36"/>
        </w:rPr>
      </w:pPr>
      <w:r>
        <w:rPr>
          <w:rFonts w:ascii="宋体" w:hAnsi="宋体" w:eastAsia="宋体" w:cs="宋体"/>
          <w:b/>
          <w:color w:val="000000"/>
          <w:sz w:val="36"/>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参加本次政府采购活动前3年内在经营活动中没有重大违法记录的书面声明</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声明</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我公司郑重声明：参加本次政府采购活动前3年内，我公司在经营活动中没有因违法经营受到刑事处罚或者责令停产停业、吊销许可证或者执照、较大数额罚款等行政处罚。</w:t>
      </w:r>
      <w:r/>
    </w:p>
    <w:p>
      <w:pPr>
        <w:ind w:left="0" w:right="0" w:firstLine="325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供应商名称（加盖CA电子公章）：</w:t>
      </w:r>
      <w:r/>
    </w:p>
    <w:p>
      <w:pPr>
        <w:ind w:left="0" w:right="0" w:firstLine="325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法定代表人签章：</w:t>
      </w:r>
      <w:r>
        <w:rPr>
          <w:rFonts w:ascii="宋体" w:hAnsi="宋体" w:eastAsia="宋体" w:cs="宋体"/>
          <w:color w:val="000000"/>
          <w:sz w:val="21"/>
          <w:u w:val="single"/>
        </w:rPr>
        <w:t xml:space="preserve">_______________________</w:t>
      </w:r>
      <w:r/>
    </w:p>
    <w:p>
      <w:pPr>
        <w:ind w:left="0" w:right="0" w:firstLine="325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ascii="宋体" w:hAnsi="宋体" w:eastAsia="宋体" w:cs="宋体"/>
          <w:color w:val="000000"/>
          <w:sz w:val="21"/>
          <w:u w:val="single"/>
        </w:rPr>
        <w:t xml:space="preserve">_2026_</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供应商信用承诺书</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承诺主体名称：</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四、自觉接受行政管理部门、行业组织、社会公众、新闻舆论的监督；</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六、提出政府采购质疑和投诉坚持依法依规、诚实信用原则，在全国范围12个月内没有三次以上查无实据的政府采购投诉；</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七、严格遵守信用信息公示相关规定，向社会公示信用信息；</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八、在“信用中国”和“中国政府采购网”网站中无违法违规、较重或严重失信记录；</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十、本承诺书自签订之日起生效。</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（注：法定代表人或负责人、主体名称发生变更的应当重新做出承诺。）</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37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承诺单位（加盖CA电子公章）：</w:t>
      </w:r>
      <w:r/>
    </w:p>
    <w:p>
      <w:pPr>
        <w:ind w:left="0" w:right="0" w:firstLine="493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2026年   月   日</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780" w:right="0" w:hanging="360"/>
        <w:jc w:val="both"/>
        <w:spacing w:before="210" w:after="210"/>
        <w:tabs>
          <w:tab w:val="left" w:pos="780" w:leader="none"/>
        </w:tabs>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磋商响应函</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致：</w:t>
      </w:r>
      <w:r>
        <w:rPr>
          <w:rFonts w:ascii="宋体" w:hAnsi="宋体" w:eastAsia="宋体" w:cs="宋体"/>
          <w:color w:val="000000"/>
          <w:sz w:val="21"/>
          <w:u w:val="single"/>
        </w:rPr>
        <w:t xml:space="preserve">                         </w:t>
      </w:r>
      <w:r>
        <w:rPr>
          <w:rFonts w:ascii="宋体" w:hAnsi="宋体" w:eastAsia="宋体" w:cs="宋体"/>
          <w:color w:val="000000"/>
          <w:sz w:val="21"/>
        </w:rPr>
        <w:t xml:space="preserve">（采购人名称）</w:t>
      </w:r>
      <w:r>
        <w:rPr>
          <w:rFonts w:ascii="宋体" w:hAnsi="宋体" w:eastAsia="宋体" w:cs="宋体"/>
          <w:color w:val="000000"/>
          <w:sz w:val="21"/>
          <w:u w:val="single"/>
        </w:rPr>
        <w:t xml:space="preserve">                         </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根据贵方的</w:t>
      </w:r>
      <w:r>
        <w:rPr>
          <w:rFonts w:ascii="宋体" w:hAnsi="宋体" w:eastAsia="宋体" w:cs="宋体"/>
          <w:color w:val="000000"/>
          <w:sz w:val="21"/>
          <w:u w:val="single"/>
        </w:rPr>
        <w:t xml:space="preserve">       </w:t>
      </w:r>
      <w:r>
        <w:rPr>
          <w:rFonts w:ascii="宋体" w:hAnsi="宋体" w:eastAsia="宋体" w:cs="宋体"/>
          <w:color w:val="000000"/>
          <w:sz w:val="21"/>
        </w:rPr>
        <w:t xml:space="preserve">号</w:t>
      </w:r>
      <w:r>
        <w:rPr>
          <w:rFonts w:ascii="宋体" w:hAnsi="宋体" w:eastAsia="宋体" w:cs="宋体"/>
          <w:color w:val="000000"/>
          <w:sz w:val="21"/>
          <w:u w:val="single"/>
        </w:rPr>
        <w:t xml:space="preserve">            （</w:t>
      </w:r>
      <w:r>
        <w:rPr>
          <w:rFonts w:ascii="宋体" w:hAnsi="宋体" w:eastAsia="宋体" w:cs="宋体"/>
          <w:color w:val="000000"/>
          <w:sz w:val="21"/>
        </w:rPr>
        <w:t xml:space="preserve">项目名称）磋商文件，正式授权下述签字人_________ （姓名和职务）代表我方______________（供应商的名称），全权处理本次项目磋商采购的有关事宜。</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据此函，__________（签字人）兹宣布同意如下：</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1.按磋商文件规定的各项要求，向买方提供所需服务。</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2.我们已详细审核全部磋商文件及其有效补充文件，我们知道必须放弃提出含糊不清或误解问题的权利。</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3.我们同意从规定的响应文件接收截止时间起遵循本响应文件，并在规定的磋商有效期期满之前均具有约束力。</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4.同意向贵方提供贵方可能另外要求的与磋商采购有关的任何证据或资料，并保证我方已提供和将要提供的文件是真实的、准确的。</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5.一旦我方成交，我方将根据磋商文件的规定，严格履行合同的责任和义务，并保证在磋商文件规定的时间完成项目，交付买方验收、使用。</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6.遵守磋商文件中要求的收费项目和标准。</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7.与本磋商采购有关的正式通讯地址为：</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 址：邮 编：</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 话：传 真：</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供应商开户行：账 户：</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法定代表人或授权代表姓名（签字）：联系电话：</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供应商名称（加盖CA电子公章）：</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 期：_</w:t>
      </w:r>
      <w:r>
        <w:rPr>
          <w:rFonts w:ascii="宋体" w:hAnsi="宋体" w:eastAsia="宋体" w:cs="宋体"/>
          <w:color w:val="000000"/>
          <w:sz w:val="21"/>
          <w:u w:val="single"/>
        </w:rPr>
        <w:t xml:space="preserve">2026</w:t>
      </w:r>
      <w:r>
        <w:rPr>
          <w:rFonts w:ascii="宋体" w:hAnsi="宋体" w:eastAsia="宋体" w:cs="宋体"/>
          <w:color w:val="000000"/>
          <w:sz w:val="21"/>
        </w:rPr>
        <w:t xml:space="preserve">_年___月___日</w:t>
      </w:r>
      <w:r/>
    </w:p>
    <w:p>
      <w:pPr>
        <w:ind w:left="0" w:right="0" w:firstLine="422"/>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422"/>
        <w:jc w:val="center"/>
        <w:spacing w:before="240" w:after="240" w:line="8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法人授权书</w:t>
      </w:r>
      <w:r/>
    </w:p>
    <w:p>
      <w:pPr>
        <w:ind w:left="0" w:right="0" w:firstLine="422"/>
        <w:jc w:val="center"/>
        <w:spacing w:before="240" w:after="240" w:line="8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本授权书声明：____________（供应商名称）授权________________（被授权人的姓名）为我方就</w:t>
      </w:r>
      <w:r>
        <w:rPr>
          <w:rFonts w:ascii="宋体" w:hAnsi="宋体" w:eastAsia="宋体" w:cs="宋体"/>
          <w:color w:val="000000"/>
          <w:sz w:val="21"/>
          <w:u w:val="single"/>
        </w:rPr>
        <w:t xml:space="preserve">       </w:t>
      </w:r>
      <w:r>
        <w:rPr>
          <w:rFonts w:ascii="宋体" w:hAnsi="宋体" w:eastAsia="宋体" w:cs="宋体"/>
          <w:color w:val="000000"/>
          <w:sz w:val="21"/>
        </w:rPr>
        <w:t xml:space="preserve">号____________项目采购活动的合法代理人，以本公司名义全权处理一切与该项目采购有关的事务。</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本授权书于______年____月____日起生效，特此声明。</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被授权人签字：_____________________</w:t>
      </w:r>
      <w:r>
        <w:rPr>
          <w:rFonts w:ascii="宋体" w:hAnsi="宋体" w:eastAsia="宋体" w:cs="宋体"/>
          <w:color w:val="000000"/>
          <w:sz w:val="21"/>
          <w:u w:val="single"/>
        </w:rPr>
        <w:t xml:space="preserve">         </w:t>
      </w:r>
      <w:r>
        <w:rPr>
          <w:rFonts w:ascii="宋体" w:hAnsi="宋体" w:eastAsia="宋体" w:cs="宋体"/>
          <w:color w:val="000000"/>
          <w:sz w:val="21"/>
        </w:rPr>
        <w:t xml:space="preserve">__</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联系电话（手机）：____________________________</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单位名称：____________________________________</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授权单位盖章：________________________________</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地址：________________________________________</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ascii="宋体" w:hAnsi="宋体" w:eastAsia="宋体" w:cs="宋体"/>
          <w:color w:val="000000"/>
          <w:sz w:val="21"/>
          <w:u w:val="single"/>
        </w:rPr>
        <w:t xml:space="preserve"> 2026</w:t>
      </w:r>
      <w:r>
        <w:rPr>
          <w:rFonts w:ascii="宋体" w:hAnsi="宋体" w:eastAsia="宋体" w:cs="宋体"/>
          <w:color w:val="000000"/>
          <w:sz w:val="21"/>
        </w:rPr>
        <w:t xml:space="preserve">_年___月___日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被授权人身份证复印件：</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w:t>
      </w:r>
      <w:r>
        <w:rPr>
          <w:rFonts w:ascii="宋体" w:hAnsi="宋体" w:eastAsia="宋体" w:cs="宋体"/>
          <w:b/>
          <w:color w:val="000000"/>
          <w:sz w:val="24"/>
        </w:rPr>
        <w:t xml:space="preserve">符合性审查响应对照表</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符合性审查响应内容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是否响应</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响应情况</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采购需求中必须满足的实质性要求（即加斜体下划线内容，每条详细列出）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三、非实质性响应对照表</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非实质性响应内容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是否响应</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响应情况</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《关于符合本国产品标准的声明函》</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620"/>
        <w:spacing w:before="0" w:after="0" w:line="85" w:lineRule="atLeast"/>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rPr>
        <w:t xml:space="preserve">关于符合本国产品标准的声明函（采购包号：）</w:t>
      </w:r>
      <w:r/>
    </w:p>
    <w:p>
      <w:pPr>
        <w:ind w:left="0" w:right="0" w:firstLine="420"/>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ind w:left="0" w:right="0" w:firstLine="420"/>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571500" cy="142875"/>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a:stretch/>
                      </pic:blipFill>
                      <pic:spPr bwMode="auto">
                        <a:xfrm>
                          <a:off x="0" y="0"/>
                          <a:ext cx="57150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0pt;height:11.2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200025" cy="104775"/>
                <wp:effectExtent l="0" t="0" r="0"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a:stretch/>
                      </pic:blipFill>
                      <pic:spPr bwMode="auto">
                        <a:xfrm>
                          <a:off x="0" y="0"/>
                          <a:ext cx="200025"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8pt;height:8.2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19150" cy="152400"/>
                <wp:effectExtent l="0" t="0" r="0"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r/>
                      </pic:nvPicPr>
                      <pic:blipFill>
                        <a:blip/>
                        <a:stretch/>
                      </pic:blipFill>
                      <pic:spPr bwMode="auto">
                        <a:xfrm>
                          <a:off x="0" y="0"/>
                          <a:ext cx="819149"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4.5pt;height:12.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371475" cy="104775"/>
                <wp:effectExtent l="0" t="0" r="0" b="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r/>
                      </pic:nvPicPr>
                      <pic:blipFill>
                        <a:blip/>
                        <a:stretch/>
                      </pic:blipFill>
                      <pic:spPr bwMode="auto">
                        <a:xfrm>
                          <a:off x="0" y="0"/>
                          <a:ext cx="371475"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9.2pt;height:8.2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571500" cy="104775"/>
                <wp:effectExtent l="0" t="0" r="0" b="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r/>
                      </pic:nvPicPr>
                      <pic:blipFill>
                        <a:blip/>
                        <a:stretch/>
                      </pic:blipFill>
                      <pic:spPr bwMode="auto">
                        <a:xfrm>
                          <a:off x="0" y="0"/>
                          <a:ext cx="571500"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0pt;height:8.2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76300" cy="123825"/>
                <wp:effectExtent l="0" t="0" r="0" b="0"/>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r/>
                      </pic:nvPicPr>
                      <pic:blipFill>
                        <a:blip/>
                        <a:stretch/>
                      </pic:blipFill>
                      <pic:spPr bwMode="auto">
                        <a:xfrm>
                          <a:off x="0" y="0"/>
                          <a:ext cx="87629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9.0pt;height:9.8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19150" cy="114300"/>
                <wp:effectExtent l="0" t="0" r="0" b="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4.5pt;height:9.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19150" cy="85725"/>
                <wp:effectExtent l="0" t="0" r="0" b="0"/>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4.5pt;height:6.8pt;mso-wrap-distance-left:0.0pt;mso-wrap-distance-top:0.0pt;mso-wrap-distance-right:0.0pt;mso-wrap-distance-bottom:0.0pt;" stroked="false">
                <v:path textboxrect="0,0,0,0"/>
              </v:shape>
            </w:pict>
          </mc:Fallback>
        </mc:AlternateContent>
      </w:r>
      <w:r>
        <w:rPr>
          <w:rFonts w:ascii="Arial" w:hAnsi="Arial" w:eastAsia="Arial" w:cs="Arial"/>
          <w:color w:val="000000"/>
          <w:sz w:val="24"/>
          <w:highlight w:val="white"/>
        </w:rPr>
        <w:t xml:space="preserve">1.</w:t>
      </w:r>
      <w:r>
        <w:rPr>
          <w:rFonts w:ascii="Arial" w:hAnsi="Arial" w:eastAsia="Arial" w:cs="Arial"/>
          <w:color w:val="000000"/>
          <w:sz w:val="24"/>
          <w:highlight w:val="white"/>
          <w:u w:val="single"/>
        </w:rPr>
        <w:t xml:space="preserve">（产品名称1）</w:t>
      </w:r>
      <w:r>
        <w:rPr>
          <w:rFonts w:ascii="Arial" w:hAnsi="Arial" w:eastAsia="Arial" w:cs="Arial"/>
          <w:color w:val="000000"/>
          <w:sz w:val="20"/>
          <w:highlight w:val="white"/>
          <w:vertAlign w:val="superscript"/>
        </w:rPr>
        <w:t xml:space="preserve">1</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0"/>
          <w:highlight w:val="white"/>
          <w:vertAlign w:val="superscript"/>
        </w:rPr>
        <w:t xml:space="preserve">2</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 （产品名称1） </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（规定比例）</w:t>
      </w:r>
      <w:r>
        <w:rPr>
          <w:rFonts w:ascii="Arial" w:hAnsi="Arial" w:eastAsia="Arial" w:cs="Arial"/>
          <w:color w:val="000000"/>
          <w:sz w:val="20"/>
          <w:highlight w:val="white"/>
          <w:vertAlign w:val="superscript"/>
        </w:rPr>
        <w:t xml:space="preserve">3</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（关键组件）</w:t>
      </w:r>
      <w:r>
        <w:rPr>
          <w:rFonts w:ascii="Arial" w:hAnsi="Arial" w:eastAsia="Arial" w:cs="Arial"/>
          <w:color w:val="000000"/>
          <w:sz w:val="20"/>
          <w:highlight w:val="white"/>
          <w:vertAlign w:val="superscript"/>
        </w:rPr>
        <w:t xml:space="preserve">4</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（关键工序）</w:t>
      </w:r>
      <w:r>
        <w:rPr>
          <w:rFonts w:ascii="Arial" w:hAnsi="Arial" w:eastAsia="Arial" w:cs="Arial"/>
          <w:color w:val="000000"/>
          <w:sz w:val="20"/>
          <w:highlight w:val="white"/>
          <w:vertAlign w:val="superscript"/>
        </w:rPr>
        <w:t xml:space="preserve">5</w:t>
      </w:r>
      <w:r>
        <w:rPr>
          <w:rFonts w:ascii="Arial" w:hAnsi="Arial" w:eastAsia="Arial" w:cs="Arial"/>
          <w:color w:val="000000"/>
          <w:sz w:val="24"/>
          <w:highlight w:val="white"/>
        </w:rPr>
        <w:t xml:space="preserve">在中国境内完成。</w:t>
      </w:r>
      <w:r/>
    </w:p>
    <w:p>
      <w:pPr>
        <w:ind w:left="0" w:right="0" w:firstLine="420"/>
        <w:spacing w:before="30" w:after="30"/>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466725" cy="152400"/>
                <wp:effectExtent l="0" t="0" r="0" b="0"/>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r/>
                      </pic:nvPicPr>
                      <pic:blipFill>
                        <a:blip/>
                        <a:stretch/>
                      </pic:blipFill>
                      <pic:spPr bwMode="auto">
                        <a:xfrm>
                          <a:off x="0" y="0"/>
                          <a:ext cx="466724"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6.8pt;height:12.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428625" cy="114300"/>
                <wp:effectExtent l="0" t="0" r="0" b="0"/>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pic:cNvPicPr>
                          <a:picLocks noChangeAspect="1"/>
                        </pic:cNvPicPr>
                        <pic:nvPr/>
                      </pic:nvPicPr>
                      <pic:blipFill>
                        <a:blip/>
                        <a:stretch/>
                      </pic:blipFill>
                      <pic:spPr bwMode="auto">
                        <a:xfrm>
                          <a:off x="0" y="0"/>
                          <a:ext cx="42862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3.8pt;height:9.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238125" cy="95250"/>
                <wp:effectExtent l="0" t="0" r="0" b="0"/>
                <wp:docPr id="1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pic:cNvPicPr>
                          <a:picLocks noChangeAspect="1"/>
                        </pic:cNvPicPr>
                        <pic:nvPr/>
                      </pic:nvPicPr>
                      <pic:blipFill>
                        <a:blip/>
                        <a:stretch/>
                      </pic:blipFill>
                      <pic:spPr bwMode="auto">
                        <a:xfrm>
                          <a:off x="0" y="0"/>
                          <a:ext cx="238124"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8.8pt;height:7.5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723900" cy="114300"/>
                <wp:effectExtent l="0" t="0" r="0" b="0"/>
                <wp:docPr id="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pic:cNvPicPr>
                          <a:picLocks noChangeAspect="1"/>
                        </pic:cNvPicPr>
                        <pic:nvPr/>
                      </pic:nvPicPr>
                      <pic:blipFill>
                        <a:blip/>
                        <a:stretch/>
                      </pic:blipFill>
                      <pic:spPr bwMode="auto">
                        <a:xfrm>
                          <a:off x="0" y="0"/>
                          <a:ext cx="7238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57.0pt;height:9.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914400" cy="152400"/>
                <wp:effectExtent l="0" t="0" r="0" b="0"/>
                <wp:docPr id="1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pic:cNvPicPr>
                          <a:picLocks noChangeAspect="1"/>
                        </pic:cNvPicPr>
                        <pic:nvPr/>
                      </pic:nvPicPr>
                      <pic:blipFill>
                        <a:blip/>
                        <a:stretch/>
                      </pic:blipFill>
                      <pic:spPr bwMode="auto">
                        <a:xfrm>
                          <a:off x="0" y="0"/>
                          <a:ext cx="914400"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2.0pt;height:12.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19150" cy="114300"/>
                <wp:effectExtent l="0" t="0" r="0" b="0"/>
                <wp:docPr id="1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4.5pt;height:9.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47725" cy="123825"/>
                <wp:effectExtent l="0" t="0" r="0" b="0"/>
                <wp:docPr id="1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6"/>
                        <pic:cNvPicPr>
                          <a:picLocks noChangeAspect="1"/>
                        </pic:cNvPicPr>
                        <pic:nvPr/>
                      </pic:nvPicPr>
                      <pic:blipFill>
                        <a:blip/>
                        <a:stretch/>
                      </pic:blipFill>
                      <pic:spPr bwMode="auto">
                        <a:xfrm>
                          <a:off x="0" y="0"/>
                          <a:ext cx="847724"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6.8pt;height:9.8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38200" cy="133350"/>
                <wp:effectExtent l="0" t="0" r="0" b="0"/>
                <wp:docPr id="1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7"/>
                        <pic:cNvPicPr>
                          <a:picLocks noChangeAspect="1"/>
                        </pic:cNvPicPr>
                        <pic:nvPr/>
                      </pic:nvPicPr>
                      <pic:blipFill>
                        <a:blip/>
                        <a:stretch/>
                      </pic:blipFill>
                      <pic:spPr bwMode="auto">
                        <a:xfrm>
                          <a:off x="0" y="0"/>
                          <a:ext cx="838198"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66.0pt;height:10.5pt;mso-wrap-distance-left:0.0pt;mso-wrap-distance-top:0.0pt;mso-wrap-distance-right:0.0pt;mso-wrap-distance-bottom:0.0pt;" stroked="false">
                <v:path textboxrect="0,0,0,0"/>
              </v:shape>
            </w:pict>
          </mc:Fallback>
        </mc:AlternateContent>
      </w:r>
      <w:r>
        <w:rPr>
          <w:rFonts w:ascii="Arial" w:hAnsi="Arial" w:eastAsia="Arial" w:cs="Arial"/>
          <w:color w:val="000000"/>
          <w:sz w:val="24"/>
          <w:highlight w:val="white"/>
        </w:rPr>
        <w:t xml:space="preserve">2.</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（规定比例）</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（关键组件）</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（关键工序）</w:t>
      </w:r>
      <w:r>
        <w:rPr>
          <w:rFonts w:ascii="Arial" w:hAnsi="Arial" w:eastAsia="Arial" w:cs="Arial"/>
          <w:color w:val="000000"/>
          <w:sz w:val="24"/>
          <w:highlight w:val="white"/>
        </w:rPr>
        <w:t xml:space="preserve">在中国境内完成。</w:t>
      </w:r>
      <w:r/>
    </w:p>
    <w:p>
      <w:pPr>
        <w:ind w:left="0" w:right="0" w:firstLine="42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white"/>
        </w:rPr>
        <w:t xml:space="preserve">……</w:t>
      </w:r>
      <w:r/>
    </w:p>
    <w:p>
      <w:pPr>
        <w:ind w:left="0" w:right="0" w:firstLine="42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ind w:left="0" w:right="480" w:firstLine="360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white"/>
        </w:rPr>
        <w:t xml:space="preserve">公司（单位）名称（</w:t>
      </w:r>
      <w:r>
        <w:rPr>
          <w:rFonts w:ascii="宋体" w:hAnsi="宋体" w:eastAsia="宋体" w:cs="宋体"/>
          <w:color w:val="000000"/>
          <w:sz w:val="24"/>
        </w:rPr>
        <w:t xml:space="preserve">加盖CA电子公章</w:t>
      </w:r>
      <w:r>
        <w:rPr>
          <w:rFonts w:ascii="Arial" w:hAnsi="Arial" w:eastAsia="Arial" w:cs="Arial"/>
          <w:color w:val="000000"/>
          <w:sz w:val="24"/>
          <w:highlight w:val="white"/>
        </w:rPr>
        <w:t xml:space="preserve">）：　</w:t>
      </w:r>
      <w:r/>
    </w:p>
    <w:p>
      <w:pPr>
        <w:ind w:left="0" w:right="0" w:firstLine="0"/>
        <w:jc w:val="center"/>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white"/>
        </w:rPr>
        <w:t xml:space="preserve">                                日期：　   年　  月　  日         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white"/>
        </w:rPr>
        <w:t xml:space="preserve">__________________</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white"/>
        </w:rPr>
        <w:t xml:space="preserve">1.产品如有型号，请在“产品名称”栏一并填写。</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white"/>
        </w:rPr>
        <w:t xml:space="preserve">2.生产厂名与厂址应与生产厂营业执照载明的相关信息保持一致。</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white"/>
        </w:rPr>
        <w:t xml:space="preserve">4.该产品的关键组件要求实施前，“关键组件”栏可不填，下同。</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white"/>
        </w:rPr>
        <w:t xml:space="preserve">5.该产品的关键工序要求实施前，“关键工序”栏可不填，下同。</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white"/>
        </w:rPr>
        <w:t xml:space="preserve">6.用斜线划除的地方无需填写。</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38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四、磋商响应报价表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项目编号：</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89"/>
        <w:gridCol w:w="7165"/>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名  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第一轮报价</w:t>
            </w:r>
            <w:r/>
          </w:p>
        </w:tc>
      </w:tr>
      <w:tr>
        <w:trPr>
          <w:trHeight w:val="17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大写：</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小写：              （人民币）</w:t>
            </w:r>
            <w:r/>
          </w:p>
        </w:tc>
      </w:tr>
      <w:tr>
        <w:trPr>
          <w:trHeight w:val="12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工期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备 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磋商供应商全称（加盖CA电子公章）：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法定代表人或者授权代表（签字或盖章）：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日期：2026年  月  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价格构成或报价要求：</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1、此表可以根据需要自行增减行数，且该表报价非本次磋商中的最后报价。</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2、项目如有分包，请各磋商供应商按投报的分包分别列表</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rPr>
          <w:rFonts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五、技术参数响应及偏离表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项目编号：</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3"/>
        <w:gridCol w:w="2233"/>
        <w:gridCol w:w="2046"/>
        <w:gridCol w:w="1416"/>
        <w:gridCol w:w="1259"/>
        <w:gridCol w:w="136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3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响应承诺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原因或说明</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磋商供应商全称（加盖CA电子公章）：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日期：2026年   月   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注：1、按照项目需求详细填列。</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2、行数不够，可自行添加。</w:t>
      </w:r>
      <w:r/>
    </w:p>
    <w:p>
      <w:pPr>
        <w:ind w:left="780" w:right="0" w:hanging="360"/>
        <w:jc w:val="center"/>
        <w:spacing w:before="210" w:after="210" w:line="85" w:lineRule="atLeast"/>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六、商务条款响应及偏离表</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3"/>
        <w:gridCol w:w="2464"/>
        <w:gridCol w:w="1809"/>
        <w:gridCol w:w="3468"/>
      </w:tblGrid>
      <w:tr>
        <w:trPr>
          <w:trHeight w:val="6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4"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9"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68"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供应商的承诺或说明</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交付时间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4"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top"/>
            <w:textDirection w:val="lrTb"/>
            <w:noWrap w:val="false"/>
          </w:tcPr>
          <w:p>
            <w:pPr>
              <w:ind w:left="43"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8" w:type="dxa"/>
            <w:vAlign w:val="top"/>
            <w:textDirection w:val="lrTb"/>
            <w:noWrap w:val="false"/>
          </w:tcPr>
          <w:p>
            <w:pPr>
              <w:ind w:left="43"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交货方式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4" w:type="dxa"/>
            <w:vAlign w:val="top"/>
            <w:textDirection w:val="lrTb"/>
            <w:noWrap w:val="false"/>
          </w:tcPr>
          <w:p>
            <w:pPr>
              <w:ind w:left="0" w:right="0" w:firstLine="0"/>
              <w:jc w:val="both"/>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top"/>
            <w:textDirection w:val="lrTb"/>
            <w:noWrap w:val="false"/>
          </w:tcPr>
          <w:p>
            <w:pPr>
              <w:ind w:left="43"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8" w:type="dxa"/>
            <w:vAlign w:val="top"/>
            <w:textDirection w:val="lrTb"/>
            <w:noWrap w:val="false"/>
          </w:tcPr>
          <w:p>
            <w:pPr>
              <w:ind w:left="43"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交货地点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4" w:type="dxa"/>
            <w:vAlign w:val="top"/>
            <w:textDirection w:val="lrTb"/>
            <w:noWrap w:val="false"/>
          </w:tcPr>
          <w:p>
            <w:pPr>
              <w:ind w:left="0" w:right="0" w:firstLine="0"/>
              <w:jc w:val="both"/>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top"/>
            <w:textDirection w:val="lrTb"/>
            <w:noWrap w:val="false"/>
          </w:tcPr>
          <w:p>
            <w:pPr>
              <w:ind w:left="43"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8" w:type="dxa"/>
            <w:vAlign w:val="top"/>
            <w:textDirection w:val="lrTb"/>
            <w:noWrap w:val="false"/>
          </w:tcPr>
          <w:p>
            <w:pPr>
              <w:ind w:left="43"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4" w:type="dxa"/>
            <w:vAlign w:val="top"/>
            <w:textDirection w:val="lrTb"/>
            <w:noWrap w:val="false"/>
          </w:tcPr>
          <w:p>
            <w:pPr>
              <w:ind w:left="0" w:right="0" w:firstLine="0"/>
              <w:jc w:val="both"/>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8"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4"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8"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780" w:right="0" w:hanging="360"/>
        <w:jc w:val="both"/>
        <w:spacing w:before="210" w:after="210" w:line="85" w:lineRule="atLeast"/>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磋商供应商全称（加盖CA电子公章）：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日期：2026年   月   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注：1、按照项目需求详细填列。</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2、行数不够，可自行添加。</w:t>
      </w:r>
      <w:r/>
    </w:p>
    <w:p>
      <w:pPr>
        <w:ind w:left="780" w:right="0" w:hanging="360"/>
        <w:jc w:val="both"/>
        <w:spacing w:before="210" w:after="210"/>
        <w:tabs>
          <w:tab w:val="left" w:pos="780" w:leader="none"/>
        </w:tabs>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686"/>
        <w:rPr>
          <w:rFonts w:ascii="宋体" w:hAnsi="宋体" w:eastAsia="宋体" w:cs="宋体"/>
          <w:b/>
          <w:color w:val="000000"/>
          <w:sz w:val="24"/>
        </w:rPr>
      </w:pPr>
      <w:r>
        <w:rPr>
          <w:rFonts w:ascii="宋体" w:hAnsi="宋体" w:eastAsia="宋体" w:cs="宋体"/>
          <w:b/>
          <w:color w:val="000000"/>
          <w:sz w:val="24"/>
        </w:rPr>
      </w:r>
      <w:r/>
    </w:p>
    <w:p>
      <w:pPr>
        <w:pStyle w:val="686"/>
        <w:rPr>
          <w:rFonts w:ascii="宋体" w:hAnsi="宋体" w:eastAsia="宋体" w:cs="宋体"/>
          <w:b/>
          <w:color w:val="000000"/>
          <w:sz w:val="24"/>
        </w:rPr>
      </w:pPr>
      <w:r>
        <w:rPr>
          <w:rFonts w:ascii="宋体" w:hAnsi="宋体" w:eastAsia="宋体" w:cs="宋体"/>
          <w:b/>
          <w:color w:val="000000"/>
          <w:sz w:val="24"/>
        </w:rPr>
      </w:r>
      <w:r/>
    </w:p>
    <w:p>
      <w:pPr>
        <w:pStyle w:val="686"/>
        <w:rPr>
          <w:rFonts w:ascii="宋体" w:hAnsi="宋体" w:eastAsia="宋体" w:cs="宋体"/>
          <w:b/>
          <w:color w:val="000000"/>
          <w:sz w:val="24"/>
        </w:rPr>
      </w:pPr>
      <w:r>
        <w:rPr>
          <w:rFonts w:ascii="宋体" w:hAnsi="宋体" w:eastAsia="宋体" w:cs="宋体"/>
          <w:b/>
          <w:color w:val="000000"/>
          <w:sz w:val="24"/>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七、拟投入项目组成员一览表</w:t>
      </w:r>
      <w:r/>
    </w:p>
    <w:p>
      <w:pPr>
        <w:ind w:left="425"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3"/>
        <w:gridCol w:w="893"/>
        <w:gridCol w:w="794"/>
        <w:gridCol w:w="794"/>
        <w:gridCol w:w="695"/>
        <w:gridCol w:w="696"/>
        <w:gridCol w:w="696"/>
        <w:gridCol w:w="835"/>
        <w:gridCol w:w="1154"/>
        <w:gridCol w:w="1141"/>
        <w:gridCol w:w="1175"/>
      </w:tblGrid>
      <w:tr>
        <w:trPr>
          <w:trHeight w:val="8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联系方式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工作经验（承担过同类项目）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在本项目拟任职务</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72"/>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（可加行）</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磋商供应商全称（加盖CA电子公章）：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日期：2026年  月  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注：附相关人员资质。</w:t>
      </w:r>
      <w:r/>
    </w:p>
    <w:p>
      <w:pPr>
        <w:ind w:left="0" w:right="0" w:firstLine="561"/>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八、业绩一览表</w:t>
      </w:r>
      <w:r/>
    </w:p>
    <w:p>
      <w:pPr>
        <w:ind w:left="212"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9"/>
        <w:gridCol w:w="1379"/>
        <w:gridCol w:w="1241"/>
        <w:gridCol w:w="1315"/>
        <w:gridCol w:w="1306"/>
        <w:gridCol w:w="1378"/>
        <w:gridCol w:w="1408"/>
        <w:gridCol w:w="768"/>
      </w:tblGrid>
      <w:tr>
        <w:trPr>
          <w:trHeight w:val="8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委托单位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项目合同价（或规模）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211"/>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开始/完成日期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成果评审结论及获奖情况（如有）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847"/>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可添行 </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磋商供应商全称（加盖CA电子公章）：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日期：2026年  月  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注：</w:t>
      </w:r>
      <w:r>
        <w:rPr>
          <w:rFonts w:ascii="宋体" w:hAnsi="宋体" w:eastAsia="宋体" w:cs="宋体"/>
          <w:b/>
          <w:color w:val="000000"/>
          <w:sz w:val="21"/>
        </w:rPr>
        <w:t xml:space="preserve">（同时提供以下材料，原件扫描上传，否则不得分：1、合同）</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九、实施方案</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根据招标文件评分细则要求自行编制（格式自拟）。</w:t>
      </w:r>
      <w:r/>
    </w:p>
    <w:p>
      <w:pPr>
        <w:ind w:left="425"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十、其他</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（采购文件要求必须提供的或供应商认为有必要提供的声明和文件，如有自拟并自行添加）</w:t>
      </w:r>
      <w:r/>
    </w:p>
    <w:p>
      <w:pPr>
        <w:ind w:left="0" w:right="0" w:firstLine="42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r/>
      <w:r/>
    </w:p>
    <w:sectPr>
      <w:footerReference w:type="default" r:id="rId10"/>
      <w:footnotePr/>
      <w:endnotePr/>
      <w:type w:val="nextPage"/>
      <w:pgSz w:w="11906" w:h="16838" w:orient="portrait"/>
      <w:pgMar w:top="1440" w:right="1083" w:bottom="1440" w:left="1083" w:header="709" w:footer="709"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新宋体">
    <w:panose1 w:val="02010609030101010101"/>
  </w:font>
  <w:font w:name="Symbol">
    <w:panose1 w:val="05050102010706020507"/>
  </w:font>
  <w:font w:name="Wingdings">
    <w:panose1 w:val="05000000000000000000"/>
  </w:font>
  <w:font w:name="Courier New">
    <w:panose1 w:val="02070309020205020404"/>
  </w:font>
  <w:font w:name="Times New Roman">
    <w:panose1 w:val="02020603050405020304"/>
  </w:font>
  <w:font w:name="Calibri">
    <w:panose1 w:val="020F0502020204030204"/>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jc w:val="center"/>
    </w:pPr>
    <w:r>
      <w:fldChar w:fldCharType="begin"/>
    </w:r>
    <w:r>
      <w:instrText xml:space="preserve">PAGE \* MERGEFORMAT</w:instrText>
    </w:r>
    <w:r>
      <w:fldChar w:fldCharType="separate"/>
    </w:r>
    <w:r>
      <w:t xml:space="preserve">1</w:t>
    </w:r>
    <w:r>
      <w:fldChar w:fldCharType="end"/>
    </w:r>
    <w:r/>
  </w:p>
  <w:p>
    <w:pPr>
      <w:pStyle w:val="6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ind w:left="525"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68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9"/>
  </w:num>
  <w:num w:numId="4">
    <w:abstractNumId w:val="3"/>
  </w:num>
  <w:num w:numId="5">
    <w:abstractNumId w:val="2"/>
  </w:num>
  <w:num w:numId="6">
    <w:abstractNumId w:val="11"/>
  </w:num>
  <w:num w:numId="7">
    <w:abstractNumId w:val="14"/>
  </w:num>
  <w:num w:numId="8">
    <w:abstractNumId w:val="22"/>
  </w:num>
  <w:num w:numId="9">
    <w:abstractNumId w:val="10"/>
  </w:num>
  <w:num w:numId="10">
    <w:abstractNumId w:val="0"/>
  </w:num>
  <w:num w:numId="11">
    <w:abstractNumId w:val="15"/>
  </w:num>
  <w:num w:numId="12">
    <w:abstractNumId w:val="20"/>
  </w:num>
  <w:num w:numId="13">
    <w:abstractNumId w:val="4"/>
  </w:num>
  <w:num w:numId="14">
    <w:abstractNumId w:val="18"/>
  </w:num>
  <w:num w:numId="15">
    <w:abstractNumId w:val="8"/>
  </w:num>
  <w:num w:numId="16">
    <w:abstractNumId w:val="13"/>
  </w:num>
  <w:num w:numId="17">
    <w:abstractNumId w:val="7"/>
  </w:num>
  <w:num w:numId="18">
    <w:abstractNumId w:val="6"/>
  </w:num>
  <w:num w:numId="19">
    <w:abstractNumId w:val="1"/>
  </w:num>
  <w:num w:numId="20">
    <w:abstractNumId w:val="17"/>
  </w:num>
  <w:num w:numId="21">
    <w:abstractNumId w:val="21"/>
  </w:num>
  <w:num w:numId="22">
    <w:abstractNumId w:val="12"/>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uiPriority w:val="0"/>
    <w:qFormat/>
    <w:rPr>
      <w:rFonts w:hint="default" w:asciiTheme="minorHAnsi" w:hAnsiTheme="minorHAnsi" w:eastAsiaTheme="minorEastAsia" w:cstheme="minorBidi"/>
      <w:sz w:val="21"/>
      <w:szCs w:val="22"/>
    </w:rPr>
  </w:style>
  <w:style w:type="paragraph" w:styleId="673">
    <w:name w:val="Heading 1"/>
    <w:link w:val="709"/>
    <w:uiPriority w:val="9"/>
    <w:qFormat/>
    <w:pPr>
      <w:keepLines/>
      <w:keepNext/>
      <w:spacing w:before="480" w:after="200"/>
      <w:outlineLvl w:val="0"/>
    </w:pPr>
    <w:rPr>
      <w:rFonts w:hint="default" w:ascii="Arial" w:hAnsi="Arial" w:eastAsia="Arial" w:cs="Arial"/>
      <w:sz w:val="40"/>
      <w:szCs w:val="40"/>
    </w:rPr>
  </w:style>
  <w:style w:type="paragraph" w:styleId="674">
    <w:name w:val="Heading 2"/>
    <w:link w:val="710"/>
    <w:uiPriority w:val="9"/>
    <w:unhideWhenUsed/>
    <w:qFormat/>
    <w:pPr>
      <w:keepLines/>
      <w:keepNext/>
      <w:spacing w:before="360" w:after="200"/>
      <w:outlineLvl w:val="1"/>
    </w:pPr>
    <w:rPr>
      <w:rFonts w:hint="default" w:ascii="Arial" w:hAnsi="Arial" w:eastAsia="Arial" w:cs="Arial"/>
      <w:sz w:val="34"/>
      <w:szCs w:val="22"/>
    </w:rPr>
  </w:style>
  <w:style w:type="paragraph" w:styleId="675">
    <w:name w:val="Heading 3"/>
    <w:link w:val="711"/>
    <w:uiPriority w:val="9"/>
    <w:unhideWhenUsed/>
    <w:qFormat/>
    <w:pPr>
      <w:keepLines/>
      <w:keepNext/>
      <w:spacing w:before="320" w:after="200"/>
      <w:outlineLvl w:val="2"/>
    </w:pPr>
    <w:rPr>
      <w:rFonts w:hint="default" w:ascii="Arial" w:hAnsi="Arial" w:eastAsia="Arial" w:cs="Arial"/>
      <w:sz w:val="30"/>
      <w:szCs w:val="30"/>
    </w:rPr>
  </w:style>
  <w:style w:type="paragraph" w:styleId="676">
    <w:name w:val="Heading 4"/>
    <w:link w:val="712"/>
    <w:uiPriority w:val="9"/>
    <w:unhideWhenUsed/>
    <w:qFormat/>
    <w:pPr>
      <w:keepLines/>
      <w:keepNext/>
      <w:spacing w:before="320" w:after="200"/>
      <w:outlineLvl w:val="3"/>
    </w:pPr>
    <w:rPr>
      <w:rFonts w:hint="default" w:ascii="Arial" w:hAnsi="Arial" w:eastAsia="Arial" w:cs="Arial"/>
      <w:b/>
      <w:bCs/>
      <w:sz w:val="26"/>
      <w:szCs w:val="26"/>
    </w:rPr>
  </w:style>
  <w:style w:type="paragraph" w:styleId="677">
    <w:name w:val="Heading 5"/>
    <w:link w:val="713"/>
    <w:uiPriority w:val="9"/>
    <w:unhideWhenUsed/>
    <w:qFormat/>
    <w:pPr>
      <w:keepLines/>
      <w:keepNext/>
      <w:spacing w:before="320" w:after="200"/>
      <w:outlineLvl w:val="4"/>
    </w:pPr>
    <w:rPr>
      <w:rFonts w:hint="default" w:ascii="Arial" w:hAnsi="Arial" w:eastAsia="Arial" w:cs="Arial"/>
      <w:b/>
      <w:bCs/>
      <w:sz w:val="24"/>
      <w:szCs w:val="24"/>
    </w:rPr>
  </w:style>
  <w:style w:type="paragraph" w:styleId="678">
    <w:name w:val="Heading 6"/>
    <w:link w:val="714"/>
    <w:uiPriority w:val="9"/>
    <w:unhideWhenUsed/>
    <w:qFormat/>
    <w:pPr>
      <w:keepLines/>
      <w:keepNext/>
      <w:spacing w:before="320" w:after="200"/>
      <w:outlineLvl w:val="5"/>
    </w:pPr>
    <w:rPr>
      <w:rFonts w:hint="default" w:ascii="Arial" w:hAnsi="Arial" w:eastAsia="Arial" w:cs="Arial"/>
      <w:b/>
      <w:bCs/>
      <w:sz w:val="22"/>
      <w:szCs w:val="22"/>
    </w:rPr>
  </w:style>
  <w:style w:type="paragraph" w:styleId="679">
    <w:name w:val="Heading 7"/>
    <w:link w:val="715"/>
    <w:uiPriority w:val="9"/>
    <w:unhideWhenUsed/>
    <w:qFormat/>
    <w:pPr>
      <w:keepLines/>
      <w:keepNext/>
      <w:spacing w:before="320" w:after="200"/>
      <w:outlineLvl w:val="6"/>
    </w:pPr>
    <w:rPr>
      <w:rFonts w:hint="default" w:ascii="Arial" w:hAnsi="Arial" w:eastAsia="Arial" w:cs="Arial"/>
      <w:b/>
      <w:bCs/>
      <w:i/>
      <w:iCs/>
      <w:sz w:val="22"/>
      <w:szCs w:val="22"/>
    </w:rPr>
  </w:style>
  <w:style w:type="paragraph" w:styleId="680">
    <w:name w:val="Heading 8"/>
    <w:link w:val="716"/>
    <w:uiPriority w:val="9"/>
    <w:unhideWhenUsed/>
    <w:qFormat/>
    <w:pPr>
      <w:keepLines/>
      <w:keepNext/>
      <w:spacing w:before="320" w:after="200"/>
      <w:outlineLvl w:val="7"/>
    </w:pPr>
    <w:rPr>
      <w:rFonts w:hint="default" w:ascii="Arial" w:hAnsi="Arial" w:eastAsia="Arial" w:cs="Arial"/>
      <w:i/>
      <w:iCs/>
      <w:sz w:val="22"/>
      <w:szCs w:val="22"/>
    </w:rPr>
  </w:style>
  <w:style w:type="paragraph" w:styleId="681">
    <w:name w:val="Heading 9"/>
    <w:link w:val="717"/>
    <w:uiPriority w:val="9"/>
    <w:unhideWhenUsed/>
    <w:qFormat/>
    <w:pPr>
      <w:keepLines/>
      <w:keepNext/>
      <w:spacing w:before="320" w:after="200"/>
      <w:outlineLvl w:val="8"/>
    </w:pPr>
    <w:rPr>
      <w:rFonts w:hint="default"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toc 7"/>
    <w:uiPriority w:val="39"/>
    <w:unhideWhenUsed/>
    <w:qFormat/>
    <w:pPr>
      <w:ind w:left="1701" w:right="0" w:firstLine="0"/>
      <w:spacing w:after="57"/>
    </w:pPr>
    <w:rPr>
      <w:rFonts w:hint="default" w:asciiTheme="minorHAnsi" w:hAnsiTheme="minorHAnsi" w:eastAsiaTheme="minorEastAsia" w:cstheme="minorBidi"/>
      <w:sz w:val="21"/>
      <w:szCs w:val="22"/>
    </w:rPr>
  </w:style>
  <w:style w:type="paragraph" w:styleId="685">
    <w:name w:val="Caption"/>
    <w:uiPriority w:val="35"/>
    <w:semiHidden/>
    <w:unhideWhenUsed/>
    <w:qFormat/>
    <w:pPr>
      <w:spacing w:line="276" w:lineRule="auto"/>
    </w:pPr>
    <w:rPr>
      <w:rFonts w:hint="default" w:asciiTheme="minorHAnsi" w:hAnsiTheme="minorHAnsi" w:eastAsiaTheme="minorEastAsia" w:cstheme="minorBidi"/>
      <w:b/>
      <w:bCs/>
      <w:color w:val="4f81bd" w:themeColor="accent1"/>
      <w:sz w:val="18"/>
      <w:szCs w:val="18"/>
      <w14:textFill>
        <w14:solidFill>
          <w14:schemeClr w14:val="accent1"/>
        </w14:solidFill>
      </w14:textFill>
    </w:rPr>
  </w:style>
  <w:style w:type="paragraph" w:styleId="686">
    <w:name w:val="Block Text"/>
    <w:basedOn w:val="672"/>
    <w:uiPriority w:val="0"/>
    <w:qFormat/>
    <w:pPr>
      <w:ind w:left="237" w:right="216" w:firstLine="420"/>
      <w:spacing w:line="360" w:lineRule="auto"/>
    </w:pPr>
    <w:rPr>
      <w:rFonts w:ascii="宋体" w:hAnsi="宋体"/>
      <w:sz w:val="24"/>
      <w:szCs w:val="21"/>
    </w:rPr>
  </w:style>
  <w:style w:type="paragraph" w:styleId="687">
    <w:name w:val="List Bullet 2"/>
    <w:basedOn w:val="672"/>
    <w:uiPriority w:val="99"/>
    <w:semiHidden/>
    <w:unhideWhenUsed/>
    <w:qFormat/>
    <w:pPr>
      <w:numPr>
        <w:ilvl w:val="0"/>
        <w:numId w:val="1"/>
      </w:numPr>
    </w:pPr>
  </w:style>
  <w:style w:type="paragraph" w:styleId="688">
    <w:name w:val="toc 5"/>
    <w:uiPriority w:val="39"/>
    <w:unhideWhenUsed/>
    <w:qFormat/>
    <w:pPr>
      <w:ind w:left="1134" w:right="0" w:firstLine="0"/>
      <w:spacing w:after="57"/>
    </w:pPr>
    <w:rPr>
      <w:rFonts w:hint="default" w:asciiTheme="minorHAnsi" w:hAnsiTheme="minorHAnsi" w:eastAsiaTheme="minorEastAsia" w:cstheme="minorBidi"/>
      <w:sz w:val="21"/>
      <w:szCs w:val="22"/>
    </w:rPr>
  </w:style>
  <w:style w:type="paragraph" w:styleId="689">
    <w:name w:val="toc 3"/>
    <w:uiPriority w:val="39"/>
    <w:unhideWhenUsed/>
    <w:qFormat/>
    <w:pPr>
      <w:ind w:left="567" w:right="0" w:firstLine="0"/>
      <w:spacing w:after="57"/>
    </w:pPr>
    <w:rPr>
      <w:rFonts w:hint="default" w:asciiTheme="minorHAnsi" w:hAnsiTheme="minorHAnsi" w:eastAsiaTheme="minorEastAsia" w:cstheme="minorBidi"/>
      <w:sz w:val="21"/>
      <w:szCs w:val="22"/>
    </w:rPr>
  </w:style>
  <w:style w:type="paragraph" w:styleId="690">
    <w:name w:val="Plain Text"/>
    <w:basedOn w:val="672"/>
    <w:uiPriority w:val="0"/>
    <w:qFormat/>
    <w:pPr>
      <w:ind w:firstLine="424"/>
      <w:spacing w:line="360" w:lineRule="auto"/>
    </w:pPr>
    <w:rPr>
      <w:rFonts w:ascii="宋体" w:hAnsi="宋体" w:cs="宋体"/>
      <w:b/>
      <w:szCs w:val="21"/>
    </w:rPr>
  </w:style>
  <w:style w:type="paragraph" w:styleId="691">
    <w:name w:val="toc 8"/>
    <w:uiPriority w:val="39"/>
    <w:unhideWhenUsed/>
    <w:qFormat/>
    <w:pPr>
      <w:ind w:left="1984" w:right="0" w:firstLine="0"/>
      <w:spacing w:after="57"/>
    </w:pPr>
    <w:rPr>
      <w:rFonts w:hint="default" w:asciiTheme="minorHAnsi" w:hAnsiTheme="minorHAnsi" w:eastAsiaTheme="minorEastAsia" w:cstheme="minorBidi"/>
      <w:sz w:val="21"/>
      <w:szCs w:val="22"/>
    </w:rPr>
  </w:style>
  <w:style w:type="paragraph" w:styleId="692">
    <w:name w:val="endnote text"/>
    <w:link w:val="855"/>
    <w:uiPriority w:val="99"/>
    <w:semiHidden/>
    <w:unhideWhenUsed/>
    <w:qFormat/>
    <w:pPr>
      <w:spacing w:after="0" w:line="240" w:lineRule="auto"/>
    </w:pPr>
    <w:rPr>
      <w:rFonts w:hint="default" w:asciiTheme="minorHAnsi" w:hAnsiTheme="minorHAnsi" w:eastAsiaTheme="minorEastAsia" w:cstheme="minorBidi"/>
      <w:sz w:val="20"/>
      <w:szCs w:val="22"/>
    </w:rPr>
  </w:style>
  <w:style w:type="paragraph" w:styleId="693">
    <w:name w:val="Footer"/>
    <w:link w:val="728"/>
    <w:uiPriority w:val="99"/>
    <w:unhideWhenUsed/>
    <w:qFormat/>
    <w:pPr>
      <w:spacing w:after="0" w:line="240" w:lineRule="auto"/>
      <w:tabs>
        <w:tab w:val="center" w:pos="7143" w:leader="none"/>
        <w:tab w:val="right" w:pos="14287" w:leader="none"/>
      </w:tabs>
    </w:pPr>
    <w:rPr>
      <w:rFonts w:hint="default" w:asciiTheme="minorHAnsi" w:hAnsiTheme="minorHAnsi" w:eastAsiaTheme="minorEastAsia" w:cstheme="minorBidi"/>
      <w:sz w:val="21"/>
      <w:szCs w:val="22"/>
    </w:rPr>
  </w:style>
  <w:style w:type="paragraph" w:styleId="694">
    <w:name w:val="Header"/>
    <w:link w:val="726"/>
    <w:uiPriority w:val="99"/>
    <w:unhideWhenUsed/>
    <w:qFormat/>
    <w:pPr>
      <w:spacing w:after="0" w:line="240" w:lineRule="auto"/>
      <w:tabs>
        <w:tab w:val="center" w:pos="7143" w:leader="none"/>
        <w:tab w:val="right" w:pos="14287" w:leader="none"/>
      </w:tabs>
    </w:pPr>
    <w:rPr>
      <w:rFonts w:hint="default" w:asciiTheme="minorHAnsi" w:hAnsiTheme="minorHAnsi" w:eastAsiaTheme="minorEastAsia" w:cstheme="minorBidi"/>
      <w:sz w:val="21"/>
      <w:szCs w:val="22"/>
    </w:rPr>
  </w:style>
  <w:style w:type="paragraph" w:styleId="695">
    <w:name w:val="toc 1"/>
    <w:basedOn w:val="672"/>
    <w:next w:val="672"/>
    <w:uiPriority w:val="39"/>
    <w:unhideWhenUsed/>
    <w:qFormat/>
    <w:pPr>
      <w:ind w:left="0" w:right="0" w:firstLine="0"/>
      <w:spacing w:after="57"/>
    </w:pPr>
    <w:rPr>
      <w:rFonts w:asciiTheme="minorHAnsi" w:hAnsiTheme="minorHAnsi" w:eastAsiaTheme="minorEastAsia" w:cstheme="minorBidi"/>
      <w:sz w:val="21"/>
      <w:szCs w:val="22"/>
    </w:rPr>
  </w:style>
  <w:style w:type="paragraph" w:styleId="696">
    <w:name w:val="toc 4"/>
    <w:uiPriority w:val="39"/>
    <w:unhideWhenUsed/>
    <w:qFormat/>
    <w:pPr>
      <w:ind w:left="850" w:right="0" w:firstLine="0"/>
      <w:spacing w:after="57"/>
    </w:pPr>
    <w:rPr>
      <w:rFonts w:hint="default" w:asciiTheme="minorHAnsi" w:hAnsiTheme="minorHAnsi" w:eastAsiaTheme="minorEastAsia" w:cstheme="minorBidi"/>
      <w:sz w:val="21"/>
      <w:szCs w:val="22"/>
    </w:rPr>
  </w:style>
  <w:style w:type="paragraph" w:styleId="697">
    <w:name w:val="Subtitle"/>
    <w:link w:val="721"/>
    <w:uiPriority w:val="11"/>
    <w:qFormat/>
    <w:pPr>
      <w:spacing w:before="200" w:after="200"/>
    </w:pPr>
    <w:rPr>
      <w:rFonts w:hint="default" w:asciiTheme="minorHAnsi" w:hAnsiTheme="minorHAnsi" w:eastAsiaTheme="minorEastAsia" w:cstheme="minorBidi"/>
      <w:sz w:val="24"/>
      <w:szCs w:val="24"/>
    </w:rPr>
  </w:style>
  <w:style w:type="paragraph" w:styleId="698">
    <w:name w:val="footnote text"/>
    <w:link w:val="854"/>
    <w:uiPriority w:val="99"/>
    <w:semiHidden/>
    <w:unhideWhenUsed/>
    <w:qFormat/>
    <w:pPr>
      <w:spacing w:after="40" w:line="240" w:lineRule="auto"/>
    </w:pPr>
    <w:rPr>
      <w:rFonts w:hint="default" w:asciiTheme="minorHAnsi" w:hAnsiTheme="minorHAnsi" w:eastAsiaTheme="minorEastAsia" w:cstheme="minorBidi"/>
      <w:sz w:val="18"/>
      <w:szCs w:val="22"/>
    </w:rPr>
  </w:style>
  <w:style w:type="paragraph" w:styleId="699">
    <w:name w:val="toc 6"/>
    <w:uiPriority w:val="39"/>
    <w:unhideWhenUsed/>
    <w:qFormat/>
    <w:pPr>
      <w:ind w:left="1417" w:right="0" w:firstLine="0"/>
      <w:spacing w:after="57"/>
    </w:pPr>
    <w:rPr>
      <w:rFonts w:hint="default" w:asciiTheme="minorHAnsi" w:hAnsiTheme="minorHAnsi" w:eastAsiaTheme="minorEastAsia" w:cstheme="minorBidi"/>
      <w:sz w:val="21"/>
      <w:szCs w:val="22"/>
    </w:rPr>
  </w:style>
  <w:style w:type="paragraph" w:styleId="700">
    <w:name w:val="table of figures"/>
    <w:uiPriority w:val="99"/>
    <w:unhideWhenUsed/>
    <w:qFormat/>
    <w:pPr>
      <w:spacing w:after="0" w:afterAutospacing="0"/>
    </w:pPr>
    <w:rPr>
      <w:rFonts w:hint="default" w:asciiTheme="minorHAnsi" w:hAnsiTheme="minorHAnsi" w:eastAsiaTheme="minorEastAsia" w:cstheme="minorBidi"/>
      <w:sz w:val="21"/>
      <w:szCs w:val="22"/>
    </w:rPr>
  </w:style>
  <w:style w:type="paragraph" w:styleId="701">
    <w:name w:val="toc 2"/>
    <w:uiPriority w:val="39"/>
    <w:unhideWhenUsed/>
    <w:qFormat/>
    <w:pPr>
      <w:ind w:left="283" w:right="0" w:firstLine="0"/>
      <w:spacing w:after="57"/>
    </w:pPr>
    <w:rPr>
      <w:rFonts w:hint="default" w:asciiTheme="minorHAnsi" w:hAnsiTheme="minorHAnsi" w:eastAsiaTheme="minorEastAsia" w:cstheme="minorBidi"/>
      <w:sz w:val="21"/>
      <w:szCs w:val="22"/>
    </w:rPr>
  </w:style>
  <w:style w:type="paragraph" w:styleId="702">
    <w:name w:val="toc 9"/>
    <w:uiPriority w:val="39"/>
    <w:unhideWhenUsed/>
    <w:qFormat/>
    <w:pPr>
      <w:ind w:left="2268" w:right="0" w:firstLine="0"/>
      <w:spacing w:after="57"/>
    </w:pPr>
    <w:rPr>
      <w:rFonts w:hint="default" w:asciiTheme="minorHAnsi" w:hAnsiTheme="minorHAnsi" w:eastAsiaTheme="minorEastAsia" w:cstheme="minorBidi"/>
      <w:sz w:val="21"/>
      <w:szCs w:val="22"/>
    </w:rPr>
  </w:style>
  <w:style w:type="paragraph" w:styleId="703">
    <w:name w:val="Title"/>
    <w:link w:val="720"/>
    <w:uiPriority w:val="10"/>
    <w:qFormat/>
    <w:pPr>
      <w:contextualSpacing/>
      <w:spacing w:before="300" w:after="200"/>
    </w:pPr>
    <w:rPr>
      <w:rFonts w:hint="default" w:asciiTheme="minorHAnsi" w:hAnsiTheme="minorHAnsi" w:eastAsiaTheme="minorEastAsia" w:cstheme="minorBidi"/>
      <w:sz w:val="48"/>
      <w:szCs w:val="48"/>
    </w:rPr>
  </w:style>
  <w:style w:type="table" w:styleId="70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5">
    <w:name w:val="Strong"/>
    <w:basedOn w:val="682"/>
    <w:uiPriority w:val="0"/>
    <w:qFormat/>
    <w:rPr>
      <w:b/>
    </w:rPr>
  </w:style>
  <w:style w:type="character" w:styleId="706">
    <w:name w:val="endnote reference"/>
    <w:uiPriority w:val="99"/>
    <w:semiHidden/>
    <w:unhideWhenUsed/>
    <w:qFormat/>
    <w:rPr>
      <w:vertAlign w:val="superscript"/>
    </w:rPr>
  </w:style>
  <w:style w:type="character" w:styleId="707">
    <w:name w:val="Hyperlink"/>
    <w:uiPriority w:val="99"/>
    <w:unhideWhenUsed/>
    <w:qFormat/>
    <w:rPr>
      <w:color w:val="0000ff" w:themeColor="hyperlink"/>
      <w:u w:val="single"/>
      <w14:textFill>
        <w14:solidFill>
          <w14:schemeClr w14:val="hlink"/>
        </w14:solidFill>
      </w14:textFill>
    </w:rPr>
  </w:style>
  <w:style w:type="character" w:styleId="708">
    <w:name w:val="footnote reference"/>
    <w:uiPriority w:val="99"/>
    <w:unhideWhenUsed/>
    <w:qFormat/>
    <w:rPr>
      <w:vertAlign w:val="superscript"/>
    </w:rPr>
  </w:style>
  <w:style w:type="character" w:styleId="709" w:customStyle="1">
    <w:name w:val="Heading 1 Char"/>
    <w:link w:val="673"/>
    <w:uiPriority w:val="9"/>
    <w:qFormat/>
    <w:rPr>
      <w:rFonts w:ascii="Arial" w:hAnsi="Arial" w:eastAsia="Arial" w:cs="Arial"/>
      <w:sz w:val="40"/>
      <w:szCs w:val="40"/>
    </w:rPr>
  </w:style>
  <w:style w:type="character" w:styleId="710" w:customStyle="1">
    <w:name w:val="Heading 2 Char"/>
    <w:link w:val="674"/>
    <w:uiPriority w:val="9"/>
    <w:qFormat/>
    <w:rPr>
      <w:rFonts w:ascii="Arial" w:hAnsi="Arial" w:eastAsia="Arial" w:cs="Arial"/>
      <w:sz w:val="34"/>
    </w:rPr>
  </w:style>
  <w:style w:type="character" w:styleId="711" w:customStyle="1">
    <w:name w:val="Heading 3 Char"/>
    <w:link w:val="675"/>
    <w:uiPriority w:val="9"/>
    <w:qFormat/>
    <w:rPr>
      <w:rFonts w:ascii="Arial" w:hAnsi="Arial" w:eastAsia="Arial" w:cs="Arial"/>
      <w:sz w:val="30"/>
      <w:szCs w:val="30"/>
    </w:rPr>
  </w:style>
  <w:style w:type="character" w:styleId="712" w:customStyle="1">
    <w:name w:val="Heading 4 Char"/>
    <w:link w:val="676"/>
    <w:uiPriority w:val="9"/>
    <w:qFormat/>
    <w:rPr>
      <w:rFonts w:ascii="Arial" w:hAnsi="Arial" w:eastAsia="Arial" w:cs="Arial"/>
      <w:b/>
      <w:bCs/>
      <w:sz w:val="26"/>
      <w:szCs w:val="26"/>
    </w:rPr>
  </w:style>
  <w:style w:type="character" w:styleId="713" w:customStyle="1">
    <w:name w:val="Heading 5 Char"/>
    <w:link w:val="677"/>
    <w:uiPriority w:val="9"/>
    <w:qFormat/>
    <w:rPr>
      <w:rFonts w:ascii="Arial" w:hAnsi="Arial" w:eastAsia="Arial" w:cs="Arial"/>
      <w:b/>
      <w:bCs/>
      <w:sz w:val="24"/>
      <w:szCs w:val="24"/>
    </w:rPr>
  </w:style>
  <w:style w:type="character" w:styleId="714" w:customStyle="1">
    <w:name w:val="Heading 6 Char"/>
    <w:link w:val="678"/>
    <w:uiPriority w:val="9"/>
    <w:qFormat/>
    <w:rPr>
      <w:rFonts w:ascii="Arial" w:hAnsi="Arial" w:eastAsia="Arial" w:cs="Arial"/>
      <w:b/>
      <w:bCs/>
      <w:sz w:val="22"/>
      <w:szCs w:val="22"/>
    </w:rPr>
  </w:style>
  <w:style w:type="character" w:styleId="715" w:customStyle="1">
    <w:name w:val="Heading 7 Char"/>
    <w:link w:val="679"/>
    <w:uiPriority w:val="9"/>
    <w:qFormat/>
    <w:rPr>
      <w:rFonts w:ascii="Arial" w:hAnsi="Arial" w:eastAsia="Arial" w:cs="Arial"/>
      <w:b/>
      <w:bCs/>
      <w:i/>
      <w:iCs/>
      <w:sz w:val="22"/>
      <w:szCs w:val="22"/>
    </w:rPr>
  </w:style>
  <w:style w:type="character" w:styleId="716" w:customStyle="1">
    <w:name w:val="Heading 8 Char"/>
    <w:link w:val="680"/>
    <w:uiPriority w:val="9"/>
    <w:qFormat/>
    <w:rPr>
      <w:rFonts w:ascii="Arial" w:hAnsi="Arial" w:eastAsia="Arial" w:cs="Arial"/>
      <w:i/>
      <w:iCs/>
      <w:sz w:val="22"/>
      <w:szCs w:val="22"/>
    </w:rPr>
  </w:style>
  <w:style w:type="character" w:styleId="717" w:customStyle="1">
    <w:name w:val="Heading 9 Char"/>
    <w:link w:val="681"/>
    <w:uiPriority w:val="9"/>
    <w:qFormat/>
    <w:rPr>
      <w:rFonts w:ascii="Arial" w:hAnsi="Arial" w:eastAsia="Arial" w:cs="Arial"/>
      <w:i/>
      <w:iCs/>
      <w:sz w:val="21"/>
      <w:szCs w:val="21"/>
    </w:rPr>
  </w:style>
  <w:style w:type="paragraph" w:styleId="718">
    <w:name w:val="List Paragraph"/>
    <w:basedOn w:val="672"/>
    <w:uiPriority w:val="34"/>
    <w:qFormat/>
    <w:pPr>
      <w:contextualSpacing/>
      <w:ind w:left="720"/>
    </w:pPr>
    <w:rPr>
      <w:rFonts w:asciiTheme="minorHAnsi" w:hAnsiTheme="minorHAnsi" w:eastAsiaTheme="minorEastAsia" w:cstheme="minorBidi"/>
      <w:sz w:val="21"/>
      <w:szCs w:val="22"/>
    </w:rPr>
  </w:style>
  <w:style w:type="paragraph" w:styleId="719">
    <w:name w:val="No Spacing"/>
    <w:uiPriority w:val="1"/>
    <w:qFormat/>
    <w:pPr>
      <w:spacing w:before="0" w:after="0" w:line="240" w:lineRule="auto"/>
    </w:pPr>
    <w:rPr>
      <w:rFonts w:hint="default" w:asciiTheme="minorHAnsi" w:hAnsiTheme="minorHAnsi" w:eastAsiaTheme="minorEastAsia" w:cstheme="minorBidi"/>
      <w:sz w:val="21"/>
      <w:szCs w:val="22"/>
    </w:rPr>
  </w:style>
  <w:style w:type="character" w:styleId="720" w:customStyle="1">
    <w:name w:val="Title Char"/>
    <w:link w:val="703"/>
    <w:uiPriority w:val="10"/>
    <w:qFormat/>
    <w:rPr>
      <w:sz w:val="48"/>
      <w:szCs w:val="48"/>
    </w:rPr>
  </w:style>
  <w:style w:type="character" w:styleId="721" w:customStyle="1">
    <w:name w:val="Subtitle Char"/>
    <w:link w:val="697"/>
    <w:uiPriority w:val="11"/>
    <w:qFormat/>
    <w:rPr>
      <w:sz w:val="24"/>
      <w:szCs w:val="24"/>
    </w:rPr>
  </w:style>
  <w:style w:type="paragraph" w:styleId="722">
    <w:name w:val="Quote"/>
    <w:link w:val="723"/>
    <w:uiPriority w:val="29"/>
    <w:qFormat/>
    <w:pPr>
      <w:ind w:left="720" w:right="720"/>
    </w:pPr>
    <w:rPr>
      <w:rFonts w:hint="default" w:asciiTheme="minorHAnsi" w:hAnsiTheme="minorHAnsi" w:eastAsiaTheme="minorEastAsia" w:cstheme="minorBidi"/>
      <w:i/>
      <w:sz w:val="21"/>
      <w:szCs w:val="22"/>
    </w:rPr>
  </w:style>
  <w:style w:type="character" w:styleId="723" w:customStyle="1">
    <w:name w:val="Quote Char"/>
    <w:link w:val="722"/>
    <w:uiPriority w:val="29"/>
    <w:qFormat/>
    <w:rPr>
      <w:i/>
    </w:rPr>
  </w:style>
  <w:style w:type="paragraph" w:styleId="724">
    <w:name w:val="Intense Quote"/>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heme="minorHAnsi" w:hAnsiTheme="minorHAnsi" w:eastAsiaTheme="minorEastAsia" w:cstheme="minorBidi"/>
      <w:i/>
      <w:sz w:val="21"/>
      <w:szCs w:val="22"/>
    </w:rPr>
  </w:style>
  <w:style w:type="character" w:styleId="725" w:customStyle="1">
    <w:name w:val="Intense Quote Char"/>
    <w:link w:val="724"/>
    <w:uiPriority w:val="30"/>
    <w:qFormat/>
    <w:rPr>
      <w:i/>
    </w:rPr>
  </w:style>
  <w:style w:type="character" w:styleId="726" w:customStyle="1">
    <w:name w:val="Header Char"/>
    <w:link w:val="694"/>
    <w:uiPriority w:val="99"/>
    <w:qFormat/>
  </w:style>
  <w:style w:type="character" w:styleId="727" w:customStyle="1">
    <w:name w:val="Footer Char"/>
    <w:link w:val="693"/>
    <w:uiPriority w:val="99"/>
    <w:qFormat/>
  </w:style>
  <w:style w:type="character" w:styleId="728" w:customStyle="1">
    <w:name w:val="Caption Char"/>
    <w:link w:val="693"/>
    <w:uiPriority w:val="99"/>
    <w:qFormat/>
  </w:style>
  <w:style w:type="table" w:styleId="72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4" w:customStyle="1">
    <w:name w:val="Footnote Text Char"/>
    <w:link w:val="698"/>
    <w:uiPriority w:val="99"/>
    <w:qFormat/>
    <w:rPr>
      <w:sz w:val="18"/>
    </w:rPr>
  </w:style>
  <w:style w:type="character" w:styleId="855" w:customStyle="1">
    <w:name w:val="Endnote Text Char"/>
    <w:link w:val="692"/>
    <w:uiPriority w:val="99"/>
    <w:qFormat/>
    <w:rPr>
      <w:sz w:val="20"/>
    </w:rPr>
  </w:style>
  <w:style w:type="paragraph" w:styleId="856" w:customStyle="1">
    <w:name w:val="TOC Heading"/>
    <w:uiPriority w:val="39"/>
    <w:unhideWhenUsed/>
    <w:qFormat/>
    <w:rPr>
      <w:rFonts w:hint="default" w:asciiTheme="minorHAnsi" w:hAnsiTheme="minorHAnsi" w:eastAsiaTheme="minorEastAsia" w:cstheme="minorBidi"/>
      <w:sz w:val="21"/>
      <w:szCs w:val="22"/>
    </w:rPr>
  </w:style>
  <w:style w:type="paragraph" w:styleId="857" w:customStyle="1">
    <w:name w:val="_Style 3"/>
    <w:uiPriority w:val="1"/>
    <w:qFormat/>
    <w:pPr>
      <w:jc w:val="both"/>
      <w:widowControl w:val="off"/>
    </w:pPr>
    <w:rPr>
      <w:rFonts w:hint="default" w:ascii="Calibri" w:hAnsi="Calibri" w:eastAsia="宋体" w:cs="Times New Roman"/>
      <w:sz w:val="21"/>
      <w:szCs w:val="22"/>
      <w:lang w:val="en-US" w:eastAsia="zh-CN" w:bidi="ar-SA"/>
    </w:rPr>
  </w:style>
  <w:style w:type="paragraph" w:styleId="858" w:customStyle="1">
    <w:name w:val="表格正文"/>
    <w:basedOn w:val="672"/>
    <w:next w:val="672"/>
    <w:uiPriority w:val="0"/>
    <w:qFormat/>
    <w:pPr>
      <w:ind w:left="100"/>
      <w:tabs>
        <w:tab w:val="left" w:pos="0" w:leader="none"/>
      </w:tabs>
    </w:pPr>
    <w:rPr>
      <w:rFonts w:ascii="Calibri" w:hAnsi="Calibri" w:cs="Calibri"/>
      <w:sz w:val="22"/>
      <w:lang w:val="zh-CN" w:bidi="zh-CN"/>
    </w:rPr>
  </w:style>
  <w:style w:type="paragraph" w:styleId="859" w:customStyle="1">
    <w:name w:val="Table Text"/>
    <w:basedOn w:val="672"/>
    <w:uiPriority w:val="0"/>
    <w:qFormat/>
    <w:rPr>
      <w:rFonts w:ascii="Arial" w:hAnsi="Arial" w:eastAsia="Arial" w:cs="Arial"/>
      <w:szCs w:val="21"/>
      <w:lang w:eastAsia="en-US"/>
    </w:rPr>
  </w:style>
  <w:style w:type="numbering" w:styleId="108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jpg"/><Relationship Id="rId1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扬州分公司</cp:lastModifiedBy>
  <cp:revision>7</cp:revision>
  <dcterms:created xsi:type="dcterms:W3CDTF">2026-09-03T06:14:00Z</dcterms:created>
  <dcterms:modified xsi:type="dcterms:W3CDTF">2026-10-13T06:49:51Z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eyJoZGlkIjoiNTExZjIwYWYyOGNlMGQ5YzJmNzMwMmY2ZDk0NmRmY2EiLCJ1c2VySWQiOiI0NTE2OTY5MTYifQ==</vt:lpwstr>
  </property>
  <property fmtid="{D5CDD505-2E9C-101B-9397-08002B2CF9AE}" pid="3" name="KSOProductBuildVer">
    <vt:lpwstr>2052-12.1.0.28505</vt:lpwstr>
  </property>
  <property fmtid="{D5CDD505-2E9C-101B-9397-08002B2CF9AE}" pid="4" name="ICV">
    <vt:lpwstr>8A2B30CFE5AE4FB4B61341726F93A8CE_13</vt:lpwstr>
  </property>
</Properties>
</file>