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常州市政府采购项目</w:t>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公开招标文件</w:t>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ind w:left="718" w:firstLine="0"/>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项目名称：</w:t>
      </w:r>
      <w:r>
        <w:rPr>
          <w:rFonts w:hint="eastAsia" w:ascii="宋体" w:hAnsi="宋体" w:cs="宋体"/>
          <w:bCs/>
          <w:color w:val="auto"/>
          <w:sz w:val="36"/>
          <w:szCs w:val="36"/>
          <w:highlight w:val="none"/>
          <w:lang w:eastAsia="zh-CN"/>
        </w:rPr>
        <w:t xml:space="preserve">2027年金坛区公路绿化养护项目（两年期）</w:t>
      </w:r>
      <w:r/>
    </w:p>
    <w:p>
      <w:pPr>
        <w:ind w:firstLine="72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项目编号：JSZC-320413-SRZC-G2026-0016</w:t>
      </w:r>
      <w:r/>
    </w:p>
    <w:p>
      <w:pPr>
        <w:ind w:firstLine="72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采 购 人：常州市金坛区公路事业发展中心</w:t>
      </w:r>
      <w:r/>
    </w:p>
    <w:p>
      <w:pPr>
        <w:ind w:firstLine="72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采购代理机构：江苏睿致诚工程咨询有限公司</w:t>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723"/>
        <w:jc w:val="center"/>
        <w:spacing w:line="500" w:lineRule="exact"/>
        <w:rPr>
          <w:rFonts w:hint="eastAsia" w:ascii="宋体" w:hAnsi="宋体" w:eastAsia="宋体" w:cs="宋体"/>
          <w:b/>
          <w:color w:val="auto"/>
          <w:sz w:val="36"/>
          <w:szCs w:val="36"/>
          <w:highlight w:val="none"/>
        </w:rPr>
        <w:sectPr>
          <w:headerReference w:type="default" r:id="rId9"/>
          <w:headerReference w:type="first" r:id="rId10"/>
          <w:footerReference w:type="default" r:id="rId16"/>
          <w:footerReference w:type="first" r:id="rId17"/>
          <w:footnotePr/>
          <w:endnotePr/>
          <w:type w:val="nextColumn"/>
          <w:pgSz w:w="11906" w:h="16838" w:orient="portrait"/>
          <w:pgMar w:top="1440" w:right="1080" w:bottom="1440" w:left="1080" w:header="851" w:footer="992" w:gutter="0"/>
          <w:cols w:num="1" w:sep="0" w:space="425" w:equalWidth="1"/>
          <w:docGrid w:linePitch="360"/>
          <w:titlePg/>
        </w:sectPr>
      </w:pPr>
      <w:r/>
      <w:bookmarkStart w:id="0" w:name="_Toc99301418"/>
      <w:r>
        <w:rPr>
          <w:rFonts w:hint="eastAsia" w:ascii="宋体" w:hAnsi="宋体" w:eastAsia="宋体" w:cs="宋体"/>
          <w:b/>
          <w:color w:val="auto"/>
          <w:sz w:val="36"/>
          <w:szCs w:val="36"/>
          <w:highlight w:val="none"/>
        </w:rPr>
        <w:br w:type="page" w:clear="all"/>
      </w:r>
      <w:bookmarkEnd w:id="0"/>
      <w:r/>
      <w:r/>
    </w:p>
    <w:p>
      <w:pPr>
        <w:jc w:val="center"/>
        <w:spacing w:line="360" w:lineRule="auto"/>
        <w:rPr>
          <w:rFonts w:hint="eastAsia" w:ascii="宋体" w:hAnsi="宋体" w:eastAsia="宋体" w:cs="宋体"/>
          <w:b/>
          <w:color w:val="auto"/>
          <w:sz w:val="36"/>
          <w:szCs w:val="36"/>
          <w:highlight w:val="none"/>
        </w:rPr>
        <w:outlineLvl w:val="0"/>
      </w:pPr>
      <w:r/>
      <w:bookmarkStart w:id="1" w:name="_Toc6654"/>
      <w:r/>
      <w:bookmarkStart w:id="931" w:name="_GoBack"/>
      <w:r/>
      <w:bookmarkEnd w:id="931"/>
      <w:r>
        <w:rPr>
          <w:rFonts w:hint="eastAsia" w:ascii="宋体" w:hAnsi="宋体" w:eastAsia="宋体" w:cs="宋体"/>
          <w:b/>
          <w:color w:val="auto"/>
          <w:sz w:val="36"/>
          <w:szCs w:val="36"/>
          <w:highlight w:val="none"/>
        </w:rPr>
        <w:t xml:space="preserve">第一章   投标邀请</w:t>
      </w:r>
      <w:bookmarkEnd w:id="1"/>
      <w:r/>
      <w:r/>
    </w:p>
    <w:p>
      <w:pPr>
        <w:pStyle w:val="1117"/>
        <w:jc w:val="left"/>
        <w:spacing w:before="0" w:line="360" w:lineRule="auto"/>
        <w:rPr>
          <w:rFonts w:hint="eastAsia" w:ascii="宋体" w:hAnsi="宋体" w:eastAsia="宋体" w:cs="宋体"/>
          <w:color w:val="auto"/>
          <w:sz w:val="24"/>
          <w:szCs w:val="24"/>
          <w:highlight w:val="none"/>
        </w:rPr>
      </w:pPr>
      <w:r/>
      <w:bookmarkStart w:id="2" w:name="_Toc35393790"/>
      <w:r/>
      <w:bookmarkStart w:id="3" w:name="_Toc28359002"/>
      <w:r/>
      <w:bookmarkStart w:id="4" w:name="_Toc28359079"/>
      <w:r/>
      <w:bookmarkStart w:id="5" w:name="_Toc35393621"/>
      <w:r/>
      <w:bookmarkStart w:id="6" w:name="_Hlk24379207"/>
      <w:r>
        <w:rPr>
          <w:rFonts w:hint="eastAsia" w:ascii="宋体" w:hAnsi="宋体" w:eastAsia="宋体" w:cs="宋体"/>
          <w:color w:val="auto"/>
          <w:sz w:val="24"/>
          <w:szCs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u w:val="single"/>
        </w:rPr>
        <w:t xml:space="preserve">JSZC-320413-SRZC-G2026-0016</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bookmarkEnd w:id="6"/>
      <w:r>
        <w:rPr>
          <w:rFonts w:hint="eastAsia" w:ascii="宋体" w:hAnsi="宋体" w:cs="宋体"/>
          <w:color w:val="auto"/>
          <w:sz w:val="24"/>
          <w:highlight w:val="none"/>
          <w:u w:val="single"/>
          <w:lang w:eastAsia="zh-CN"/>
        </w:rPr>
        <w:t xml:space="preserve">2027年金坛区公路绿化养护项目（两年期）</w:t>
      </w:r>
      <w:r/>
    </w:p>
    <w:p>
      <w:pPr>
        <w:ind w:firstLine="480"/>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3.项目预算金额：</w:t>
      </w:r>
      <w:r>
        <w:rPr>
          <w:rFonts w:hint="eastAsia" w:ascii="宋体" w:hAnsi="宋体" w:eastAsia="宋体" w:cs="宋体"/>
          <w:color w:val="auto"/>
          <w:sz w:val="24"/>
          <w:highlight w:val="none"/>
          <w:u w:val="single"/>
        </w:rPr>
        <w:t xml:space="preserve">3939.3795万元/</w:t>
      </w:r>
      <w:r>
        <w:rPr>
          <w:rFonts w:hint="eastAsia" w:ascii="宋体" w:hAnsi="宋体" w:eastAsia="宋体" w:cs="宋体"/>
          <w:color w:val="auto"/>
          <w:sz w:val="24"/>
          <w:highlight w:val="none"/>
          <w:u w:val="single"/>
          <w:lang w:val="en-US" w:eastAsia="zh-CN"/>
        </w:rPr>
        <w:t xml:space="preserve">24</w:t>
      </w:r>
      <w:r>
        <w:rPr>
          <w:rFonts w:hint="eastAsia" w:ascii="宋体" w:hAnsi="宋体" w:eastAsia="宋体" w:cs="宋体"/>
          <w:color w:val="auto"/>
          <w:sz w:val="24"/>
          <w:highlight w:val="none"/>
          <w:u w:val="single"/>
        </w:rPr>
        <w:t xml:space="preserve">个月</w:t>
      </w:r>
      <w:r>
        <w:rPr>
          <w:rFonts w:hint="eastAsia" w:ascii="宋体" w:hAnsi="宋体" w:cs="宋体"/>
          <w:color w:val="auto"/>
          <w:sz w:val="24"/>
          <w:highlight w:val="none"/>
          <w:u w:val="single"/>
          <w:lang w:eastAsia="zh-CN"/>
        </w:rPr>
        <w:t xml:space="preserve">。</w:t>
      </w:r>
      <w:r>
        <w:rPr>
          <w:color w:val="auto"/>
          <w:sz w:val="24"/>
          <w:highlight w:val="none"/>
        </w:rPr>
        <w:t xml:space="preserve">项目最高限价：</w:t>
      </w:r>
      <w:r>
        <w:rPr>
          <w:rFonts w:hint="eastAsia" w:ascii="宋体" w:hAnsi="宋体" w:cs="宋体"/>
          <w:bCs/>
          <w:color w:val="auto"/>
          <w:sz w:val="24"/>
          <w:highlight w:val="none"/>
          <w:lang w:val="en-US" w:eastAsia="zh-CN"/>
        </w:rPr>
        <w:t xml:space="preserve">2027JTGL-LHYH-1</w:t>
      </w:r>
      <w:r>
        <w:rPr>
          <w:rFonts w:hint="eastAsia" w:ascii="宋体" w:hAnsi="宋体" w:eastAsia="宋体" w:cs="宋体"/>
          <w:bCs/>
          <w:color w:val="auto"/>
          <w:sz w:val="24"/>
          <w:highlight w:val="none"/>
          <w:lang w:val="en-US" w:eastAsia="zh-CN"/>
        </w:rPr>
        <w:t xml:space="preserve">标段</w:t>
      </w:r>
      <w:r>
        <w:rPr>
          <w:rFonts w:hint="eastAsia" w:ascii="宋体" w:hAnsi="宋体" w:cs="宋体"/>
          <w:bCs/>
          <w:color w:val="auto"/>
          <w:sz w:val="24"/>
          <w:highlight w:val="none"/>
          <w:u w:val="single"/>
          <w:lang w:val="en-US" w:eastAsia="zh-CN"/>
        </w:rPr>
        <w:t xml:space="preserve"> 2015.2268 </w:t>
      </w:r>
      <w:r>
        <w:rPr>
          <w:rFonts w:hint="eastAsia" w:ascii="宋体" w:hAnsi="宋体" w:eastAsia="宋体" w:cs="宋体"/>
          <w:bCs/>
          <w:color w:val="auto"/>
          <w:sz w:val="24"/>
          <w:highlight w:val="none"/>
          <w:lang w:val="en-US" w:eastAsia="zh-CN"/>
        </w:rPr>
        <w:t xml:space="preserve">万元</w:t>
      </w:r>
      <w:r>
        <w:rPr>
          <w:rFonts w:hint="eastAsia" w:ascii="宋体" w:hAnsi="宋体" w:cs="宋体"/>
          <w:bCs/>
          <w:color w:val="auto"/>
          <w:sz w:val="24"/>
          <w:highlight w:val="none"/>
          <w:lang w:val="en-US" w:eastAsia="zh-CN"/>
        </w:rPr>
        <w:t xml:space="preserve">；</w:t>
      </w:r>
      <w:r>
        <w:rPr>
          <w:rFonts w:hint="eastAsia" w:ascii="宋体" w:hAnsi="宋体" w:cs="宋体"/>
          <w:color w:val="auto"/>
          <w:sz w:val="24"/>
          <w:highlight w:val="none"/>
          <w:lang w:val="en-US" w:eastAsia="zh-CN"/>
        </w:rPr>
        <w:t xml:space="preserve">2027JTGL-LHYH-2</w:t>
      </w:r>
      <w:r>
        <w:rPr>
          <w:rFonts w:hint="eastAsia" w:ascii="宋体" w:hAnsi="宋体" w:eastAsia="宋体" w:cs="宋体"/>
          <w:color w:val="auto"/>
          <w:sz w:val="24"/>
          <w:highlight w:val="none"/>
          <w:lang w:val="en-US" w:eastAsia="zh-CN"/>
        </w:rPr>
        <w:t xml:space="preserve">标段</w:t>
      </w:r>
      <w:r>
        <w:rPr>
          <w:rFonts w:hint="eastAsia" w:ascii="宋体" w:hAnsi="宋体" w:cs="宋体"/>
          <w:color w:val="auto"/>
          <w:sz w:val="24"/>
          <w:highlight w:val="none"/>
          <w:u w:val="single"/>
          <w:lang w:val="en-US" w:eastAsia="zh-CN"/>
        </w:rPr>
        <w:t xml:space="preserve"> 1924.1527 </w:t>
      </w:r>
      <w:r>
        <w:rPr>
          <w:rFonts w:hint="eastAsia" w:ascii="宋体" w:hAnsi="宋体" w:eastAsia="宋体" w:cs="宋体"/>
          <w:bCs/>
          <w:color w:val="auto"/>
          <w:sz w:val="24"/>
          <w:highlight w:val="none"/>
          <w:lang w:val="en-US" w:eastAsia="zh-CN"/>
        </w:rPr>
        <w:t xml:space="preserve">万元</w:t>
      </w:r>
      <w:r>
        <w:rPr>
          <w:rFonts w:hint="eastAsia" w:ascii="宋体" w:hAnsi="宋体" w:cs="宋体"/>
          <w:bCs/>
          <w:color w:val="auto"/>
          <w:sz w:val="24"/>
          <w:highlight w:val="none"/>
          <w:lang w:val="en-US" w:eastAsia="zh-CN"/>
        </w:rPr>
        <w:t xml:space="preserve">。</w:t>
      </w:r>
      <w:r/>
    </w:p>
    <w:p>
      <w:pPr>
        <w:numPr>
          <w:ilvl w:val="0"/>
          <w:numId w:val="18"/>
        </w:numPr>
        <w:ind w:firstLine="480"/>
        <w:spacing w:line="360" w:lineRule="auto"/>
        <w:tabs>
          <w:tab w:val="clear" w:pos="3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p>
    <w:tbl>
      <w:tblPr>
        <w:tblStyle w:val="86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1628"/>
        <w:gridCol w:w="1524"/>
        <w:gridCol w:w="1524"/>
        <w:gridCol w:w="1296"/>
        <w:gridCol w:w="620"/>
        <w:gridCol w:w="2888"/>
      </w:tblGrid>
      <w:tr>
        <w:trPr>
          <w:trHeight w:val="454"/>
        </w:trPr>
        <w:tc>
          <w:tcPr>
            <w:tcW w:w="239"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包号</w:t>
            </w:r>
            <w:r/>
          </w:p>
        </w:tc>
        <w:tc>
          <w:tcPr>
            <w:tcW w:w="817"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标的名称</w:t>
            </w:r>
            <w:r/>
          </w:p>
        </w:tc>
        <w:tc>
          <w:tcPr>
            <w:tcW w:w="765" w:type="pct"/>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期限</w:t>
            </w:r>
            <w:r/>
          </w:p>
        </w:tc>
        <w:tc>
          <w:tcPr>
            <w:tcW w:w="765"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采购包预算金额</w:t>
            </w:r>
            <w:r/>
          </w:p>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（万元）</w:t>
            </w:r>
            <w:r/>
          </w:p>
        </w:tc>
        <w:tc>
          <w:tcPr>
            <w:tcW w:w="650" w:type="pct"/>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合计采购包预算金额（万元）</w:t>
            </w:r>
            <w:r/>
          </w:p>
        </w:tc>
        <w:tc>
          <w:tcPr>
            <w:tcW w:w="311"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数量</w:t>
            </w:r>
            <w:r/>
          </w:p>
        </w:tc>
        <w:tc>
          <w:tcPr>
            <w:tcW w:w="144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简要技术需求或服务要求</w:t>
            </w:r>
            <w:r/>
          </w:p>
        </w:tc>
      </w:tr>
      <w:tr>
        <w:trPr>
          <w:trHeight w:val="454"/>
        </w:trPr>
        <w:tc>
          <w:tcPr>
            <w:tcW w:w="239"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01</w:t>
            </w:r>
            <w:r/>
          </w:p>
        </w:tc>
        <w:tc>
          <w:tcPr>
            <w:tcW w:w="817"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2027JTGL-LHYH-1</w:t>
            </w:r>
            <w:r>
              <w:rPr>
                <w:rFonts w:hint="eastAsia" w:ascii="宋体" w:hAnsi="宋体" w:eastAsia="宋体" w:cs="宋体"/>
                <w:bCs/>
                <w:color w:val="auto"/>
                <w:sz w:val="24"/>
                <w:highlight w:val="none"/>
                <w:lang w:val="en-US" w:eastAsia="zh-CN"/>
              </w:rPr>
              <w:t xml:space="preserve">标段</w:t>
            </w:r>
            <w:r/>
          </w:p>
        </w:tc>
        <w:tc>
          <w:tcPr>
            <w:tcW w:w="765" w:type="pct"/>
            <w:vAlign w:val="center"/>
            <w:textDirection w:val="lrTb"/>
            <w:noWrap w:val="false"/>
          </w:tcPr>
          <w:p>
            <w:pPr>
              <w:jc w:val="center"/>
              <w:rPr>
                <w:rFonts w:hint="eastAsia"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 xml:space="preserve">第一年</w:t>
            </w:r>
            <w:r/>
          </w:p>
          <w:p>
            <w:pPr>
              <w:jc w:val="center"/>
              <w:rPr>
                <w:rFonts w:hint="default"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 xml:space="preserve">（2026年12月1日-2027年11月30日）</w:t>
            </w:r>
            <w:r/>
          </w:p>
        </w:tc>
        <w:tc>
          <w:tcPr>
            <w:tcW w:w="765" w:type="pct"/>
            <w:vAlign w:val="center"/>
            <w:textDirection w:val="lrTb"/>
            <w:noWrap w:val="false"/>
          </w:tcPr>
          <w:p>
            <w:pPr>
              <w:jc w:val="center"/>
              <w:rPr>
                <w:rFonts w:hint="default" w:ascii="宋体" w:hAnsi="宋体" w:eastAsia="宋体" w:cs="宋体"/>
                <w:bCs/>
                <w:color w:val="auto"/>
                <w:sz w:val="24"/>
                <w:highlight w:val="none"/>
                <w:u w:val="none"/>
                <w:lang w:val="en-US"/>
              </w:rPr>
            </w:pPr>
            <w:r>
              <w:rPr>
                <w:rFonts w:hint="default" w:ascii="宋体" w:hAnsi="宋体" w:eastAsia="宋体" w:cs="宋体"/>
                <w:bCs/>
                <w:color w:val="auto"/>
                <w:sz w:val="24"/>
                <w:highlight w:val="none"/>
                <w:u w:val="none"/>
                <w:lang w:val="en-US"/>
              </w:rPr>
              <w:t xml:space="preserve">1002.5943</w:t>
            </w:r>
            <w:r/>
          </w:p>
        </w:tc>
        <w:tc>
          <w:tcPr>
            <w:tcW w:w="650"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2015.2268</w:t>
            </w:r>
            <w:r/>
          </w:p>
        </w:tc>
        <w:tc>
          <w:tcPr>
            <w:tcW w:w="311"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449" w:type="pct"/>
            <w:vAlign w:val="center"/>
            <w:vMerge w:val="restart"/>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金坛区范围内的公路绿化养护巡查、绿地保护、除草、绿化修剪、施肥、病虫害防治、灾害应急处置、刷白、移植、补植等工作。养护期限为</w:t>
            </w: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个月</w:t>
            </w:r>
            <w:r>
              <w:rPr>
                <w:rFonts w:hint="eastAsia" w:ascii="宋体" w:hAnsi="宋体" w:eastAsia="宋体" w:cs="宋体"/>
                <w:color w:val="auto"/>
                <w:sz w:val="24"/>
                <w:highlight w:val="none"/>
                <w:u w:val="none"/>
              </w:rPr>
              <w:t xml:space="preserve">(具体日期以合同签订为准)。</w:t>
            </w:r>
            <w:r>
              <w:rPr>
                <w:rFonts w:hint="eastAsia" w:ascii="宋体" w:hAnsi="宋体" w:eastAsia="宋体" w:cs="宋体"/>
                <w:color w:val="auto"/>
                <w:sz w:val="24"/>
                <w:szCs w:val="24"/>
                <w:highlight w:val="none"/>
                <w:u w:val="none"/>
                <w:lang w:val="en-US" w:eastAsia="zh-CN"/>
              </w:rPr>
              <w:t xml:space="preserve">具</w:t>
            </w:r>
            <w:r>
              <w:rPr>
                <w:rFonts w:hint="eastAsia" w:ascii="宋体" w:hAnsi="宋体" w:eastAsia="宋体" w:cs="宋体"/>
                <w:color w:val="auto"/>
                <w:sz w:val="24"/>
                <w:szCs w:val="24"/>
                <w:highlight w:val="none"/>
                <w:lang w:val="en-US" w:eastAsia="zh-CN"/>
              </w:rPr>
              <w:t xml:space="preserve">体路段里程和养护等级详见招标文件第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w:t>
            </w:r>
            <w:r/>
          </w:p>
        </w:tc>
      </w:tr>
      <w:tr>
        <w:trPr>
          <w:trHeight w:val="454"/>
        </w:trPr>
        <w:tc>
          <w:tcPr>
            <w:tcW w:w="239" w:type="pct"/>
            <w:vAlign w:val="center"/>
            <w:vMerge w:val="continue"/>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17" w:type="pct"/>
            <w:vAlign w:val="center"/>
            <w:vMerge w:val="continue"/>
            <w:textDirection w:val="lrTb"/>
            <w:noWrap w:val="false"/>
          </w:tcPr>
          <w:p>
            <w:pPr>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tc>
        <w:tc>
          <w:tcPr>
            <w:tcW w:w="765" w:type="pct"/>
            <w:vAlign w:val="center"/>
            <w:textDirection w:val="lrTb"/>
            <w:noWrap w:val="false"/>
          </w:tcPr>
          <w:p>
            <w:pPr>
              <w:jc w:val="center"/>
              <w:rPr>
                <w:rFonts w:hint="eastAsia" w:ascii="宋体" w:hAnsi="宋体" w:eastAsia="宋体" w:cs="宋体"/>
                <w:bCs/>
                <w:color w:val="auto"/>
                <w:sz w:val="24"/>
                <w:highlight w:val="none"/>
                <w:u w:val="none"/>
                <w:lang w:val="en-US" w:eastAsia="zh-CN"/>
              </w:rPr>
            </w:pPr>
            <w:r>
              <w:rPr>
                <w:rFonts w:hint="eastAsia" w:ascii="宋体" w:hAnsi="宋体" w:eastAsia="宋体" w:cs="宋体"/>
                <w:bCs/>
                <w:color w:val="auto"/>
                <w:sz w:val="24"/>
                <w:highlight w:val="none"/>
                <w:u w:val="none"/>
                <w:lang w:val="en-US" w:eastAsia="zh-CN"/>
              </w:rPr>
              <w:t xml:space="preserve">第二年</w:t>
            </w:r>
            <w:r/>
          </w:p>
          <w:p>
            <w:pPr>
              <w:jc w:val="center"/>
              <w:rPr>
                <w:rFonts w:hint="eastAsia" w:ascii="宋体" w:hAnsi="宋体" w:cs="宋体"/>
                <w:bCs/>
                <w:color w:val="auto"/>
                <w:sz w:val="24"/>
                <w:highlight w:val="none"/>
                <w:u w:val="none"/>
                <w:lang w:val="en-US" w:eastAsia="zh-CN"/>
              </w:rPr>
            </w:pPr>
            <w:r>
              <w:rPr>
                <w:rFonts w:hint="eastAsia" w:ascii="宋体" w:hAnsi="宋体" w:eastAsia="宋体" w:cs="宋体"/>
                <w:bCs/>
                <w:color w:val="auto"/>
                <w:sz w:val="24"/>
                <w:highlight w:val="none"/>
                <w:u w:val="none"/>
                <w:lang w:val="en-US" w:eastAsia="zh-CN"/>
              </w:rPr>
              <w:t xml:space="preserve">（2027年12月1日-2028年11月30日）</w:t>
            </w:r>
            <w:r/>
          </w:p>
        </w:tc>
        <w:tc>
          <w:tcPr>
            <w:tcW w:w="765" w:type="pct"/>
            <w:vAlign w:val="center"/>
            <w:textDirection w:val="lrTb"/>
            <w:noWrap w:val="false"/>
          </w:tcPr>
          <w:p>
            <w:pPr>
              <w:jc w:val="center"/>
              <w:rPr>
                <w:rFonts w:hint="eastAsia"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 xml:space="preserve">1012.6325</w:t>
            </w:r>
            <w:r/>
          </w:p>
        </w:tc>
        <w:tc>
          <w:tcPr>
            <w:tcW w:w="650" w:type="pct"/>
            <w:vAlign w:val="center"/>
            <w:vMerge w:val="continue"/>
            <w:textDirection w:val="lrTb"/>
            <w:noWrap w:val="false"/>
          </w:tcPr>
          <w:p>
            <w:pPr>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tc>
        <w:tc>
          <w:tcPr>
            <w:tcW w:w="311" w:type="pct"/>
            <w:vAlign w:val="center"/>
            <w:textDirection w:val="lrTb"/>
            <w:noWrap w:val="false"/>
          </w:tcPr>
          <w:p>
            <w:pPr>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p>
        </w:tc>
        <w:tc>
          <w:tcPr>
            <w:tcW w:w="1449" w:type="pct"/>
            <w:vAlign w:val="center"/>
            <w:vMerge w:val="continue"/>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4"/>
        </w:trPr>
        <w:tc>
          <w:tcPr>
            <w:tcW w:w="239"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02</w:t>
            </w:r>
            <w:r/>
          </w:p>
        </w:tc>
        <w:tc>
          <w:tcPr>
            <w:tcW w:w="817"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cs="宋体"/>
                <w:color w:val="auto"/>
                <w:sz w:val="24"/>
                <w:highlight w:val="none"/>
                <w:lang w:val="en-US" w:eastAsia="zh-CN"/>
              </w:rPr>
              <w:t xml:space="preserve">2027JTGL-LHYH-2</w:t>
            </w:r>
            <w:r>
              <w:rPr>
                <w:rFonts w:hint="eastAsia" w:ascii="宋体" w:hAnsi="宋体" w:eastAsia="宋体" w:cs="宋体"/>
                <w:color w:val="auto"/>
                <w:sz w:val="24"/>
                <w:highlight w:val="none"/>
                <w:lang w:val="en-US" w:eastAsia="zh-CN"/>
              </w:rPr>
              <w:t xml:space="preserve">标段</w:t>
            </w:r>
            <w:r/>
          </w:p>
        </w:tc>
        <w:tc>
          <w:tcPr>
            <w:shd w:val="clear" w:color="auto" w:fill="auto"/>
            <w:tcW w:w="765" w:type="pct"/>
            <w:vAlign w:val="center"/>
            <w:textDirection w:val="lrTb"/>
            <w:noWrap w:val="false"/>
          </w:tcPr>
          <w:p>
            <w:pPr>
              <w:jc w:val="center"/>
              <w:rPr>
                <w:rFonts w:hint="eastAsia"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 xml:space="preserve">第一年</w:t>
            </w:r>
            <w:r/>
          </w:p>
          <w:p>
            <w:pPr>
              <w:jc w:val="center"/>
              <w:rPr>
                <w:rFonts w:hint="eastAsia" w:ascii="宋体" w:hAnsi="宋体" w:eastAsia="宋体" w:cs="宋体"/>
                <w:bCs/>
                <w:color w:val="auto"/>
                <w:sz w:val="24"/>
                <w:szCs w:val="24"/>
                <w:highlight w:val="none"/>
                <w:u w:val="none"/>
                <w:lang w:val="en-US" w:eastAsia="zh-CN" w:bidi="ar-SA"/>
              </w:rPr>
            </w:pPr>
            <w:r>
              <w:rPr>
                <w:rFonts w:hint="eastAsia" w:ascii="宋体" w:hAnsi="宋体" w:cs="宋体"/>
                <w:bCs/>
                <w:color w:val="auto"/>
                <w:sz w:val="24"/>
                <w:highlight w:val="none"/>
                <w:u w:val="none"/>
                <w:lang w:val="en-US" w:eastAsia="zh-CN"/>
              </w:rPr>
              <w:t xml:space="preserve">（2026年12月1日-2027年11月30日）</w:t>
            </w:r>
            <w:r/>
          </w:p>
        </w:tc>
        <w:tc>
          <w:tcPr>
            <w:tcW w:w="765" w:type="pct"/>
            <w:vAlign w:val="center"/>
            <w:textDirection w:val="lrTb"/>
            <w:noWrap w:val="false"/>
          </w:tcPr>
          <w:p>
            <w:pPr>
              <w:jc w:val="center"/>
              <w:rPr>
                <w:rFonts w:hint="default" w:ascii="宋体" w:hAnsi="宋体" w:eastAsia="宋体" w:cs="宋体"/>
                <w:bCs/>
                <w:color w:val="auto"/>
                <w:sz w:val="24"/>
                <w:highlight w:val="none"/>
                <w:u w:val="none"/>
                <w:lang w:val="en-US"/>
              </w:rPr>
            </w:pPr>
            <w:r>
              <w:rPr>
                <w:rFonts w:hint="default" w:ascii="宋体" w:hAnsi="宋体" w:eastAsia="宋体" w:cs="宋体"/>
                <w:bCs/>
                <w:color w:val="auto"/>
                <w:sz w:val="24"/>
                <w:highlight w:val="none"/>
                <w:u w:val="none"/>
                <w:lang w:val="en-US"/>
              </w:rPr>
              <w:t xml:space="preserve">959.7568</w:t>
            </w:r>
            <w:r/>
          </w:p>
        </w:tc>
        <w:tc>
          <w:tcPr>
            <w:tcW w:w="650"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1924.1527</w:t>
            </w:r>
            <w:r/>
          </w:p>
        </w:tc>
        <w:tc>
          <w:tcPr>
            <w:tcW w:w="311"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449" w:type="pct"/>
            <w:vAlign w:val="center"/>
            <w:vMerge w:val="restart"/>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金坛区范围内的公路绿化养护巡查、绿地保护、除草、绿化修剪、施肥、病虫害防治、灾害应急处置、刷白、移植、补植等工作。养护期限为</w:t>
            </w: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个月</w:t>
            </w:r>
            <w:r>
              <w:rPr>
                <w:rFonts w:hint="eastAsia" w:ascii="宋体" w:hAnsi="宋体" w:eastAsia="宋体" w:cs="宋体"/>
                <w:color w:val="auto"/>
                <w:sz w:val="24"/>
                <w:highlight w:val="none"/>
                <w:u w:val="none"/>
              </w:rPr>
              <w:t xml:space="preserve">(具体日期以合同签订为准)。</w:t>
            </w:r>
            <w:r>
              <w:rPr>
                <w:rFonts w:hint="eastAsia" w:ascii="宋体" w:hAnsi="宋体" w:eastAsia="宋体" w:cs="宋体"/>
                <w:color w:val="auto"/>
                <w:sz w:val="24"/>
                <w:szCs w:val="24"/>
                <w:highlight w:val="none"/>
                <w:lang w:val="en-US" w:eastAsia="zh-CN"/>
              </w:rPr>
              <w:t xml:space="preserve">具体路段里程和养护等级详见招标文件第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w:t>
            </w:r>
            <w:r/>
          </w:p>
        </w:tc>
      </w:tr>
      <w:tr>
        <w:trPr>
          <w:trHeight w:val="454"/>
        </w:trPr>
        <w:tc>
          <w:tcPr>
            <w:tcW w:w="239" w:type="pct"/>
            <w:vAlign w:val="center"/>
            <w:vMerge w:val="continue"/>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17" w:type="pct"/>
            <w:vAlign w:val="center"/>
            <w:vMerge w:val="continue"/>
            <w:textDirection w:val="lrTb"/>
            <w:noWrap w:val="false"/>
          </w:tcPr>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shd w:val="clear" w:color="auto" w:fill="auto"/>
            <w:tcW w:w="765" w:type="pct"/>
            <w:vAlign w:val="center"/>
            <w:textDirection w:val="lrTb"/>
            <w:noWrap w:val="false"/>
          </w:tcPr>
          <w:p>
            <w:pPr>
              <w:jc w:val="center"/>
              <w:rPr>
                <w:rFonts w:hint="eastAsia" w:ascii="宋体" w:hAnsi="宋体" w:eastAsia="宋体" w:cs="宋体"/>
                <w:bCs/>
                <w:color w:val="auto"/>
                <w:sz w:val="24"/>
                <w:highlight w:val="none"/>
                <w:u w:val="none"/>
                <w:lang w:val="en-US" w:eastAsia="zh-CN"/>
              </w:rPr>
            </w:pPr>
            <w:r>
              <w:rPr>
                <w:rFonts w:hint="eastAsia" w:ascii="宋体" w:hAnsi="宋体" w:eastAsia="宋体" w:cs="宋体"/>
                <w:bCs/>
                <w:color w:val="auto"/>
                <w:sz w:val="24"/>
                <w:highlight w:val="none"/>
                <w:u w:val="none"/>
                <w:lang w:val="en-US" w:eastAsia="zh-CN"/>
              </w:rPr>
              <w:t xml:space="preserve">第二年</w:t>
            </w:r>
            <w:r/>
          </w:p>
          <w:p>
            <w:pPr>
              <w:jc w:val="center"/>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highlight w:val="none"/>
                <w:u w:val="none"/>
                <w:lang w:val="en-US" w:eastAsia="zh-CN"/>
              </w:rPr>
              <w:t xml:space="preserve">（2027年12月1日-2028年11月30日）</w:t>
            </w:r>
            <w:r/>
          </w:p>
        </w:tc>
        <w:tc>
          <w:tcPr>
            <w:tcW w:w="765" w:type="pct"/>
            <w:vAlign w:val="center"/>
            <w:textDirection w:val="lrTb"/>
            <w:noWrap w:val="false"/>
          </w:tcPr>
          <w:p>
            <w:pPr>
              <w:jc w:val="center"/>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964.3959</w:t>
            </w:r>
            <w:r/>
          </w:p>
        </w:tc>
        <w:tc>
          <w:tcPr>
            <w:tcW w:w="650" w:type="pct"/>
            <w:vAlign w:val="center"/>
            <w:vMerge w:val="continue"/>
            <w:textDirection w:val="lrTb"/>
            <w:noWrap w:val="false"/>
          </w:tcPr>
          <w:p>
            <w:pPr>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tc>
        <w:tc>
          <w:tcPr>
            <w:tcW w:w="311" w:type="pct"/>
            <w:vAlign w:val="center"/>
            <w:textDirection w:val="lrTb"/>
            <w:noWrap w:val="false"/>
          </w:tcPr>
          <w:p>
            <w:pPr>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p>
        </w:tc>
        <w:tc>
          <w:tcPr>
            <w:tcW w:w="1449" w:type="pct"/>
            <w:vAlign w:val="center"/>
            <w:vMerge w:val="continue"/>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left="0" w:firstLine="48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开标时投标人的投标报价超出招标人设定的最高投标限价的，招标人不予接受，</w:t>
      </w:r>
      <w:r>
        <w:rPr>
          <w:rFonts w:hint="eastAsia" w:ascii="宋体" w:hAnsi="宋体" w:eastAsia="宋体" w:cs="宋体"/>
          <w:b/>
          <w:bCs/>
          <w:color w:val="auto"/>
          <w:sz w:val="24"/>
          <w:highlight w:val="none"/>
          <w:lang w:val="en-US" w:eastAsia="zh-CN"/>
        </w:rPr>
        <w:t xml:space="preserve">投标文件</w:t>
      </w:r>
      <w:r>
        <w:rPr>
          <w:rFonts w:hint="eastAsia" w:ascii="宋体" w:hAnsi="宋体" w:eastAsia="宋体" w:cs="宋体"/>
          <w:b/>
          <w:bCs/>
          <w:color w:val="auto"/>
          <w:sz w:val="24"/>
          <w:highlight w:val="none"/>
        </w:rPr>
        <w:t xml:space="preserve">将作为无效投标处理。</w:t>
      </w:r>
      <w:r/>
    </w:p>
    <w:p>
      <w:pPr>
        <w:ind w:left="0" w:firstLine="480"/>
        <w:pageBreakBefore w:val="0"/>
        <w:spacing w:line="360" w:lineRule="auto"/>
        <w:widowControl w:val="off"/>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本项目共</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个标段，供应商最多可参加</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个标段的投标，但最多只能中标1个标段。评标顺序按</w:t>
      </w:r>
      <w:r>
        <w:rPr>
          <w:rFonts w:hint="eastAsia" w:ascii="宋体" w:hAnsi="宋体" w:cs="宋体"/>
          <w:b/>
          <w:bCs/>
          <w:color w:val="auto"/>
          <w:sz w:val="24"/>
          <w:highlight w:val="none"/>
          <w:lang w:val="en-US" w:eastAsia="zh-CN"/>
        </w:rPr>
        <w:t xml:space="preserve">2027JTGL-LHYH-1</w:t>
      </w:r>
      <w:r>
        <w:rPr>
          <w:rFonts w:hint="eastAsia" w:ascii="宋体" w:hAnsi="宋体" w:eastAsia="宋体" w:cs="宋体"/>
          <w:b/>
          <w:bCs/>
          <w:color w:val="auto"/>
          <w:sz w:val="24"/>
          <w:highlight w:val="none"/>
          <w:lang w:val="en-US" w:eastAsia="zh-CN"/>
        </w:rPr>
        <w:t xml:space="preserve">标段、</w:t>
      </w:r>
      <w:r>
        <w:rPr>
          <w:rFonts w:hint="eastAsia" w:ascii="宋体" w:hAnsi="宋体" w:cs="宋体"/>
          <w:b/>
          <w:bCs/>
          <w:color w:val="auto"/>
          <w:sz w:val="24"/>
          <w:highlight w:val="none"/>
          <w:lang w:val="en-US" w:eastAsia="zh-CN"/>
        </w:rPr>
        <w:t xml:space="preserve">2027JTGL-LHYH-2</w:t>
      </w:r>
      <w:r>
        <w:rPr>
          <w:rFonts w:hint="eastAsia" w:ascii="宋体" w:hAnsi="宋体" w:eastAsia="宋体" w:cs="宋体"/>
          <w:b/>
          <w:bCs/>
          <w:color w:val="auto"/>
          <w:sz w:val="24"/>
          <w:highlight w:val="none"/>
          <w:lang w:val="en-US" w:eastAsia="zh-CN"/>
        </w:rPr>
        <w:t xml:space="preserve">标段</w:t>
      </w:r>
      <w:r>
        <w:rPr>
          <w:rFonts w:hint="eastAsia" w:ascii="宋体" w:hAnsi="宋体" w:eastAsia="宋体" w:cs="宋体"/>
          <w:b/>
          <w:bCs/>
          <w:color w:val="auto"/>
          <w:sz w:val="24"/>
          <w:highlight w:val="none"/>
        </w:rPr>
        <w:t xml:space="preserve">进行评审。如某标段进入详细评审的供应商不足3家时，则重新招标，且不接受已在其他标段中标的供应商投标。若一个供应商同时在两个标段总分最高时，则</w:t>
      </w:r>
      <w:r>
        <w:rPr>
          <w:rFonts w:hint="eastAsia" w:ascii="宋体" w:hAnsi="宋体" w:cs="宋体"/>
          <w:b/>
          <w:bCs/>
          <w:color w:val="auto"/>
          <w:sz w:val="24"/>
          <w:highlight w:val="none"/>
          <w:lang w:val="en-US" w:eastAsia="zh-CN"/>
        </w:rPr>
        <w:t xml:space="preserve">优先推荐为2027JTGL-LHYH-1</w:t>
      </w:r>
      <w:r>
        <w:rPr>
          <w:rFonts w:hint="eastAsia" w:ascii="宋体" w:hAnsi="宋体" w:eastAsia="宋体" w:cs="宋体"/>
          <w:b/>
          <w:bCs/>
          <w:color w:val="auto"/>
          <w:sz w:val="24"/>
          <w:highlight w:val="none"/>
          <w:lang w:val="en-US" w:eastAsia="zh-CN"/>
        </w:rPr>
        <w:t xml:space="preserve">标段</w:t>
      </w:r>
      <w:r>
        <w:rPr>
          <w:rFonts w:hint="eastAsia" w:ascii="宋体" w:hAnsi="宋体" w:eastAsia="宋体" w:cs="宋体"/>
          <w:b/>
          <w:bCs/>
          <w:color w:val="auto"/>
          <w:sz w:val="24"/>
          <w:highlight w:val="none"/>
        </w:rPr>
        <w:t xml:space="preserve">的第一中标候选人，</w:t>
      </w:r>
      <w:r>
        <w:rPr>
          <w:rFonts w:hint="eastAsia" w:ascii="宋体" w:hAnsi="宋体" w:cs="宋体"/>
          <w:b/>
          <w:bCs/>
          <w:color w:val="auto"/>
          <w:sz w:val="24"/>
          <w:highlight w:val="none"/>
          <w:lang w:val="en-US" w:eastAsia="zh-CN"/>
        </w:rPr>
        <w:t xml:space="preserve">2027JTGL-LHYH-2</w:t>
      </w:r>
      <w:r>
        <w:rPr>
          <w:rFonts w:hint="eastAsia" w:ascii="宋体" w:hAnsi="宋体" w:eastAsia="宋体" w:cs="宋体"/>
          <w:b/>
          <w:bCs/>
          <w:color w:val="auto"/>
          <w:sz w:val="24"/>
          <w:highlight w:val="none"/>
          <w:lang w:val="en-US" w:eastAsia="zh-CN"/>
        </w:rPr>
        <w:t xml:space="preserve">标段</w:t>
      </w:r>
      <w:r>
        <w:rPr>
          <w:rFonts w:hint="eastAsia" w:ascii="宋体" w:hAnsi="宋体" w:eastAsia="宋体" w:cs="宋体"/>
          <w:b/>
          <w:bCs/>
          <w:color w:val="auto"/>
          <w:sz w:val="24"/>
          <w:highlight w:val="none"/>
        </w:rPr>
        <w:t xml:space="preserve">则不再推荐为中标候选人。如2个或以上的供应商在同一个标段总得分相同，则推荐服务方案得分高的为第一中标候选人；如服务方案得分也相同，则推荐报价低的供应商为第一中标候选人；</w:t>
      </w:r>
      <w:r>
        <w:rPr>
          <w:rFonts w:hint="eastAsia" w:ascii="宋体" w:hAnsi="宋体"/>
          <w:b/>
          <w:bCs/>
          <w:color w:val="auto"/>
          <w:sz w:val="24"/>
          <w:highlight w:val="none"/>
        </w:rPr>
        <w:t xml:space="preserve">如报价也相同，由采购人随机抽取确定推荐排序。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5.合同履行期限：</w:t>
      </w:r>
      <w:r>
        <w:rPr>
          <w:rFonts w:hint="eastAsia" w:ascii="宋体" w:hAnsi="宋体" w:eastAsia="宋体" w:cs="宋体"/>
          <w:b w:val="0"/>
          <w:bCs w:val="0"/>
          <w:color w:val="auto"/>
          <w:spacing w:val="8"/>
          <w:sz w:val="24"/>
          <w:szCs w:val="24"/>
          <w:highlight w:val="none"/>
          <w:u w:val="single"/>
          <w:lang w:val="en-US" w:eastAsia="zh-CN"/>
        </w:rPr>
        <w:t xml:space="preserve">1+1模式，合同一年一签，一年服务期满经采购方考核合格并确认同意后，可续签下一年合同(养护期限分为</w:t>
      </w:r>
      <w:r>
        <w:rPr>
          <w:rFonts w:hint="eastAsia" w:ascii="宋体" w:hAnsi="宋体" w:cs="宋体"/>
          <w:color w:val="auto"/>
          <w:sz w:val="24"/>
          <w:highlight w:val="none"/>
          <w:u w:val="single"/>
          <w:lang w:val="en-US" w:eastAsia="zh-CN"/>
        </w:rPr>
        <w:t xml:space="preserve">2026年12月1日-2027年11月30日和2027年12月1日至2028年11月30日。</w:t>
      </w:r>
      <w:r>
        <w:rPr>
          <w:rFonts w:hint="eastAsia" w:ascii="宋体" w:hAnsi="宋体" w:eastAsia="宋体" w:cs="宋体"/>
          <w:b w:val="0"/>
          <w:bCs w:val="0"/>
          <w:color w:val="auto"/>
          <w:spacing w:val="8"/>
          <w:sz w:val="24"/>
          <w:szCs w:val="24"/>
          <w:highlight w:val="none"/>
          <w:u w:val="single"/>
          <w:lang w:val="en-US" w:eastAsia="zh-CN"/>
        </w:rPr>
        <w:t xml:space="preserve">续签合同期限以甲方要求为准）。</w:t>
      </w:r>
      <w:r>
        <w:rPr>
          <w:rFonts w:hint="eastAsia" w:ascii="宋体" w:hAnsi="宋体"/>
          <w:color w:val="auto"/>
          <w:sz w:val="24"/>
          <w:highlight w:val="none"/>
          <w:u w:val="single"/>
        </w:rPr>
        <w:t xml:space="preserve">（苗木移植补植的缺陷责任期至合同期结束为止。）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6.本项目是否接受联合体投标：□是  ☑否。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7.本项目是否接受进口产品投标：□是 ☑否。</w:t>
      </w:r>
      <w:r/>
    </w:p>
    <w:p>
      <w:pPr>
        <w:pStyle w:val="1117"/>
        <w:jc w:val="left"/>
        <w:spacing w:before="0" w:line="360" w:lineRule="auto"/>
        <w:rPr>
          <w:rFonts w:hint="eastAsia" w:ascii="宋体" w:hAnsi="宋体" w:eastAsia="宋体" w:cs="宋体"/>
          <w:color w:val="auto"/>
          <w:sz w:val="24"/>
          <w:szCs w:val="24"/>
          <w:highlight w:val="none"/>
        </w:rPr>
      </w:pPr>
      <w:r/>
      <w:bookmarkStart w:id="7" w:name="_Toc35393791"/>
      <w:r/>
      <w:bookmarkStart w:id="8" w:name="_Toc35393622"/>
      <w:r/>
      <w:bookmarkStart w:id="9" w:name="_Toc28359003"/>
      <w:r/>
      <w:bookmarkStart w:id="10" w:name="_Toc28359080"/>
      <w:r>
        <w:rPr>
          <w:rFonts w:hint="eastAsia" w:ascii="宋体" w:hAnsi="宋体" w:eastAsia="宋体" w:cs="宋体"/>
          <w:color w:val="auto"/>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bookmarkStart w:id="11" w:name="_Toc28359004"/>
      <w:r/>
      <w:bookmarkStart w:id="12" w:name="_Toc28359081"/>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中小企业政策</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本项目不专门面向中小企业预留采购份额。</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本项目专门面向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其他落实政府采购政策的资格要求（如有）：</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3.2本项目是否属于政府购买服务：</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3.3其他特定资格要求：</w:t>
      </w:r>
      <w:r>
        <w:rPr>
          <w:rFonts w:hint="eastAsia" w:ascii="宋体" w:hAnsi="宋体" w:eastAsia="宋体" w:cs="宋体"/>
          <w:color w:val="auto"/>
          <w:sz w:val="24"/>
          <w:highlight w:val="none"/>
          <w:u w:val="single"/>
        </w:rPr>
        <w:t xml:space="preserve">投标人在</w:t>
      </w:r>
      <w:r>
        <w:rPr>
          <w:rFonts w:hint="eastAsia" w:ascii="宋体" w:hAnsi="宋体" w:cs="宋体"/>
          <w:color w:val="auto"/>
          <w:sz w:val="24"/>
          <w:highlight w:val="none"/>
          <w:u w:val="single"/>
          <w:lang w:val="en-US" w:eastAsia="zh-CN"/>
        </w:rPr>
        <w:t xml:space="preserve">2023年</w:t>
      </w:r>
      <w:r>
        <w:rPr>
          <w:rFonts w:hint="eastAsia" w:ascii="宋体" w:hAnsi="宋体"/>
          <w:color w:val="auto"/>
          <w:sz w:val="24"/>
          <w:highlight w:val="none"/>
          <w:u w:val="single"/>
        </w:rPr>
        <w:t xml:space="preserve">10月1日</w:t>
      </w:r>
      <w:r>
        <w:rPr>
          <w:rFonts w:hint="eastAsia" w:ascii="宋体" w:hAnsi="宋体" w:eastAsia="宋体" w:cs="宋体"/>
          <w:color w:val="auto"/>
          <w:sz w:val="24"/>
          <w:highlight w:val="none"/>
          <w:u w:val="single"/>
        </w:rPr>
        <w:t xml:space="preserve">至今已完成至少1个绿化养护项目。</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u w:val="none"/>
          <w:lang w:val="en-US" w:eastAsia="zh-CN"/>
        </w:rPr>
        <w:t xml:space="preserve">注：①</w:t>
      </w:r>
      <w:r>
        <w:rPr>
          <w:rFonts w:hint="eastAsia" w:ascii="宋体" w:hAnsi="宋体" w:eastAsia="宋体" w:cs="宋体"/>
          <w:color w:val="auto"/>
          <w:sz w:val="24"/>
          <w:highlight w:val="none"/>
          <w:u w:val="none"/>
          <w:lang w:eastAsia="en-US"/>
        </w:rPr>
        <w:t xml:space="preserve">提</w:t>
      </w:r>
      <w:r>
        <w:rPr>
          <w:rFonts w:hint="eastAsia" w:ascii="宋体" w:hAnsi="宋体" w:eastAsia="宋体" w:cs="宋体"/>
          <w:color w:val="auto"/>
          <w:sz w:val="24"/>
          <w:highlight w:val="none"/>
          <w:lang w:eastAsia="en-US"/>
        </w:rPr>
        <w:t xml:space="preserve">供中标通知书及合同扫描件，时间以合同载明的</w:t>
      </w:r>
      <w:r>
        <w:rPr>
          <w:rFonts w:hint="eastAsia" w:ascii="宋体" w:hAnsi="宋体" w:cs="宋体"/>
          <w:color w:val="auto"/>
          <w:sz w:val="24"/>
          <w:highlight w:val="none"/>
          <w:lang w:val="en-US" w:eastAsia="zh-CN"/>
        </w:rPr>
        <w:t xml:space="preserve">完工时间</w:t>
      </w:r>
      <w:r>
        <w:rPr>
          <w:rFonts w:hint="eastAsia" w:ascii="宋体" w:hAnsi="宋体" w:eastAsia="宋体" w:cs="宋体"/>
          <w:color w:val="auto"/>
          <w:sz w:val="24"/>
          <w:highlight w:val="none"/>
          <w:lang w:eastAsia="en-US"/>
        </w:rPr>
        <w:t xml:space="preserve">为准，合同中不能清晰载明的，则另需提供业绩采购人的书面证明（格式自拟）。提供的中标（成交） 通知书扫描件（以项目当地行政主管部门或其授权职能部门或公共资源交易中心或政府采购中心或政府采购代理机构</w:t>
      </w:r>
      <w:r>
        <w:rPr>
          <w:rFonts w:hint="eastAsia" w:ascii="宋体" w:hAnsi="宋体" w:cs="宋体"/>
          <w:color w:val="auto"/>
          <w:sz w:val="24"/>
          <w:highlight w:val="none"/>
          <w:lang w:val="en-US" w:eastAsia="zh-CN"/>
        </w:rPr>
        <w:t xml:space="preserve">或采购人</w:t>
      </w:r>
      <w:r>
        <w:rPr>
          <w:rFonts w:hint="eastAsia" w:ascii="宋体" w:hAnsi="宋体" w:eastAsia="宋体" w:cs="宋体"/>
          <w:color w:val="auto"/>
          <w:sz w:val="24"/>
          <w:highlight w:val="none"/>
          <w:lang w:eastAsia="en-US"/>
        </w:rPr>
        <w:t xml:space="preserve">签发的为准）</w:t>
      </w:r>
      <w:r>
        <w:rPr>
          <w:rFonts w:hint="eastAsia" w:ascii="宋体" w:hAnsi="宋体" w:eastAsia="宋体" w:cs="宋体"/>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u w:val="none"/>
        </w:rPr>
      </w:pPr>
      <w:r>
        <w:rPr>
          <w:rFonts w:hint="eastAsia" w:ascii="宋体" w:hAnsi="宋体"/>
          <w:color w:val="auto"/>
          <w:sz w:val="24"/>
          <w:highlight w:val="none"/>
        </w:rPr>
        <w:t xml:space="preserve">②</w:t>
      </w:r>
      <w:bookmarkStart w:id="13" w:name="OLE_LINK9"/>
      <w:r/>
      <w:bookmarkStart w:id="14" w:name="OLE_LINK8"/>
      <w:r/>
      <w:bookmarkStart w:id="15" w:name="OLE_LINK12"/>
      <w:r>
        <w:rPr>
          <w:rFonts w:hint="eastAsia" w:ascii="宋体" w:hAnsi="宋体"/>
          <w:color w:val="auto"/>
          <w:sz w:val="24"/>
          <w:highlight w:val="none"/>
        </w:rPr>
        <w:t xml:space="preserve">同一业主单位同一项目（同一中标通知书）在连续年度续签的合同，仅按一份合同计算。</w:t>
      </w:r>
      <w:bookmarkEnd w:id="13"/>
      <w:r/>
      <w:bookmarkEnd w:id="14"/>
      <w:r/>
      <w:bookmarkEnd w:id="15"/>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③本项所指绿化养护项目，不含单位附属绿地、居住区附属绿地、生产绿地、防护绿地、山林绿化，以及绿化施工和绿化施工完成后缺陷责任期内的绿化养护。</w:t>
      </w:r>
      <w:bookmarkEnd w:id="11"/>
      <w:r/>
      <w:bookmarkEnd w:id="12"/>
      <w:r/>
      <w:r/>
    </w:p>
    <w:p>
      <w:pPr>
        <w:pStyle w:val="1117"/>
        <w:jc w:val="left"/>
        <w:spacing w:before="0" w:line="360" w:lineRule="auto"/>
        <w:widowControl/>
        <w:rPr>
          <w:rFonts w:hint="eastAsia" w:ascii="宋体" w:hAnsi="宋体" w:eastAsia="宋体" w:cs="宋体"/>
          <w:color w:val="auto"/>
          <w:sz w:val="24"/>
          <w:szCs w:val="24"/>
          <w:highlight w:val="none"/>
        </w:rPr>
      </w:pPr>
      <w:r/>
      <w:bookmarkStart w:id="16" w:name="_Toc35393792"/>
      <w:r/>
      <w:bookmarkStart w:id="17" w:name="_Toc35393623"/>
      <w:r>
        <w:rPr>
          <w:rFonts w:hint="eastAsia" w:ascii="宋体" w:hAnsi="宋体" w:eastAsia="宋体" w:cs="宋体"/>
          <w:color w:val="auto"/>
          <w:sz w:val="24"/>
          <w:szCs w:val="24"/>
          <w:highlight w:val="none"/>
        </w:rPr>
        <w:t xml:space="preserve">三、获取招标文件</w:t>
      </w:r>
      <w:bookmarkEnd w:id="16"/>
      <w:r/>
      <w:bookmarkEnd w:id="1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1.时间：自招标文件公告发布之日起5个工作日。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2.地点：政府采购一体化平台“苏采云”。</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3.方式：投标人持CA数字认证证书登录政府采购一体化平台“苏采云”（ http://jszfcg.jscz.gov.cn/jszc/login）获取电子版招标文件。</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w:t>
      </w:r>
      <w:r>
        <w:rPr>
          <w:rFonts w:hint="eastAsia" w:ascii="宋体" w:hAnsi="宋体" w:eastAsia="宋体" w:cs="宋体"/>
          <w:color w:val="auto"/>
          <w:sz w:val="24"/>
          <w:highlight w:val="none"/>
          <w:u w:val="single"/>
        </w:rPr>
        <w:t xml:space="preserve"> 0 </w:t>
      </w:r>
      <w:r>
        <w:rPr>
          <w:rFonts w:hint="eastAsia" w:ascii="宋体" w:hAnsi="宋体" w:eastAsia="宋体" w:cs="宋体"/>
          <w:color w:val="auto"/>
          <w:sz w:val="24"/>
          <w:highlight w:val="none"/>
        </w:rPr>
        <w:t xml:space="preserve">元。</w:t>
      </w:r>
      <w:r/>
    </w:p>
    <w:p>
      <w:pPr>
        <w:pStyle w:val="1117"/>
        <w:jc w:val="left"/>
        <w:spacing w:before="0" w:line="360" w:lineRule="auto"/>
        <w:widowControl/>
        <w:rPr>
          <w:rFonts w:hint="eastAsia" w:ascii="宋体" w:hAnsi="宋体" w:eastAsia="宋体" w:cs="宋体"/>
          <w:color w:val="auto"/>
          <w:sz w:val="24"/>
          <w:szCs w:val="24"/>
          <w:highlight w:val="none"/>
        </w:rPr>
      </w:pPr>
      <w:r/>
      <w:bookmarkStart w:id="18" w:name="_Toc28359082"/>
      <w:r/>
      <w:bookmarkStart w:id="19" w:name="_Toc28359005"/>
      <w:r/>
      <w:bookmarkStart w:id="20" w:name="_Toc35393793"/>
      <w:r/>
      <w:bookmarkStart w:id="21" w:name="_Toc35393624"/>
      <w:r>
        <w:rPr>
          <w:rFonts w:hint="eastAsia" w:ascii="宋体" w:hAnsi="宋体" w:eastAsia="宋体" w:cs="宋体"/>
          <w:color w:val="auto"/>
          <w:sz w:val="24"/>
          <w:szCs w:val="24"/>
          <w:highlight w:val="none"/>
        </w:rPr>
        <w:t xml:space="preserve">四、提交投标文件</w:t>
      </w:r>
      <w:bookmarkEnd w:id="18"/>
      <w:r/>
      <w:bookmarkEnd w:id="19"/>
      <w:r>
        <w:rPr>
          <w:rFonts w:hint="eastAsia" w:ascii="宋体" w:hAnsi="宋体" w:eastAsia="宋体" w:cs="宋体"/>
          <w:color w:val="auto"/>
          <w:sz w:val="24"/>
          <w:szCs w:val="24"/>
          <w:highlight w:val="none"/>
        </w:rPr>
        <w:t xml:space="preserve">截止时间、开标时间和地点</w:t>
      </w:r>
      <w:bookmarkEnd w:id="20"/>
      <w:r/>
      <w:bookmarkEnd w:id="21"/>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投标截止时间、开标时间：</w:t>
      </w:r>
      <w:r>
        <w:rPr>
          <w:rFonts w:hint="eastAsia" w:ascii="宋体" w:hAnsi="宋体" w:eastAsia="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11</w:t>
      </w:r>
      <w:r>
        <w:rPr>
          <w:rFonts w:hint="eastAsia"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24</w:t>
      </w:r>
      <w:r>
        <w:rPr>
          <w:rFonts w:hint="eastAsia" w:ascii="宋体" w:hAnsi="宋体" w:eastAsia="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rPr>
        <w:t xml:space="preserve">点</w:t>
      </w:r>
      <w:r>
        <w:rPr>
          <w:rFonts w:hint="eastAsia" w:ascii="宋体" w:hAnsi="宋体" w:cs="宋体"/>
          <w:color w:val="auto"/>
          <w:sz w:val="24"/>
          <w:highlight w:val="none"/>
          <w:u w:val="single"/>
          <w:lang w:val="en-US" w:eastAsia="zh-CN"/>
        </w:rPr>
        <w:t xml:space="preserve">00</w:t>
      </w:r>
      <w:r>
        <w:rPr>
          <w:rFonts w:hint="eastAsia" w:ascii="宋体" w:hAnsi="宋体" w:eastAsia="宋体" w:cs="宋体"/>
          <w:color w:val="auto"/>
          <w:sz w:val="24"/>
          <w:highlight w:val="none"/>
          <w:u w:val="single"/>
        </w:rPr>
        <w:t xml:space="preserve">分</w:t>
      </w:r>
      <w:r>
        <w:rPr>
          <w:rFonts w:hint="eastAsia" w:ascii="宋体" w:hAnsi="宋体" w:eastAsia="宋体" w:cs="宋体"/>
          <w:bCs/>
          <w:color w:val="auto"/>
          <w:sz w:val="24"/>
          <w:highlight w:val="none"/>
        </w:rPr>
        <w:t xml:space="preserve">（北京时间）</w:t>
      </w:r>
      <w:r>
        <w:rPr>
          <w:rFonts w:hint="eastAsia" w:ascii="宋体" w:hAnsi="宋体" w:eastAsia="宋体" w:cs="宋体"/>
          <w:iCs/>
          <w:color w:val="auto"/>
          <w:sz w:val="24"/>
          <w:highlight w:val="none"/>
        </w:rPr>
        <w:t xml:space="preserve">。</w:t>
      </w:r>
      <w:r/>
    </w:p>
    <w:p>
      <w:pPr>
        <w:ind w:firstLine="480"/>
        <w:spacing w:line="360" w:lineRule="auto"/>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eastAsia="宋体" w:cs="宋体"/>
          <w:color w:val="auto"/>
          <w:sz w:val="24"/>
          <w:highlight w:val="none"/>
          <w:u w:val="single"/>
          <w:lang w:val="zh-TW"/>
        </w:rPr>
        <w:t xml:space="preserve">。</w:t>
      </w:r>
      <w:r/>
    </w:p>
    <w:p>
      <w:pPr>
        <w:pStyle w:val="1117"/>
        <w:jc w:val="left"/>
        <w:spacing w:before="0" w:line="360" w:lineRule="auto"/>
        <w:rPr>
          <w:rFonts w:hint="eastAsia" w:ascii="宋体" w:hAnsi="宋体" w:eastAsia="宋体" w:cs="宋体"/>
          <w:color w:val="auto"/>
          <w:sz w:val="24"/>
          <w:szCs w:val="24"/>
          <w:highlight w:val="none"/>
        </w:rPr>
      </w:pPr>
      <w:r/>
      <w:bookmarkStart w:id="22" w:name="_Toc28359084"/>
      <w:r/>
      <w:bookmarkStart w:id="23" w:name="_Toc28359007"/>
      <w:r/>
      <w:bookmarkStart w:id="24" w:name="_Toc35393794"/>
      <w:r/>
      <w:bookmarkStart w:id="25" w:name="_Toc35393625"/>
      <w:r>
        <w:rPr>
          <w:rFonts w:hint="eastAsia" w:ascii="宋体" w:hAnsi="宋体" w:eastAsia="宋体" w:cs="宋体"/>
          <w:color w:val="auto"/>
          <w:sz w:val="24"/>
          <w:szCs w:val="24"/>
          <w:highlight w:val="none"/>
        </w:rPr>
        <w:t xml:space="preserve">五、公告期限</w:t>
      </w:r>
      <w:bookmarkEnd w:id="22"/>
      <w:r/>
      <w:bookmarkEnd w:id="23"/>
      <w:r/>
      <w:bookmarkEnd w:id="24"/>
      <w:r/>
      <w:bookmarkEnd w:id="2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1117"/>
        <w:jc w:val="left"/>
        <w:spacing w:before="0" w:line="360" w:lineRule="auto"/>
        <w:rPr>
          <w:rFonts w:hint="eastAsia" w:ascii="宋体" w:hAnsi="宋体" w:eastAsia="宋体" w:cs="宋体"/>
          <w:color w:val="auto"/>
          <w:sz w:val="24"/>
          <w:szCs w:val="24"/>
          <w:highlight w:val="none"/>
        </w:rPr>
      </w:pPr>
      <w:r/>
      <w:bookmarkStart w:id="26" w:name="_Toc35393795"/>
      <w:r/>
      <w:bookmarkStart w:id="27" w:name="_Toc35393626"/>
      <w:r>
        <w:rPr>
          <w:rFonts w:hint="eastAsia" w:ascii="宋体" w:hAnsi="宋体" w:eastAsia="宋体" w:cs="宋体"/>
          <w:color w:val="auto"/>
          <w:sz w:val="24"/>
          <w:szCs w:val="24"/>
          <w:highlight w:val="none"/>
        </w:rPr>
        <w:t xml:space="preserve">六、其他补充事宜</w:t>
      </w:r>
      <w:bookmarkEnd w:id="26"/>
      <w:r/>
      <w:bookmarkEnd w:id="27"/>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1.本项目需要落实的政府采购政策：扶持小微企业、残疾人福利企业、监狱企业、绿色包装。</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技术支持服务热线    0519-85588210</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CA认证证书办理（可邮寄）联系电话   0519-85588120</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2.1办理CA认证证书</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2.2注册</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2.3控件、客户端下载</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投标人登录政府采购一体化平台“苏采云”下载“驱动下载”，安装驱动。</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 获取电子招标文件</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2.5编制电子投标文件</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Cs/>
          <w:color w:val="auto"/>
          <w:sz w:val="24"/>
          <w:highlight w:val="none"/>
          <w:lang w:val="zh-TW"/>
        </w:rPr>
      </w:pPr>
      <w:r>
        <w:rPr>
          <w:rFonts w:hint="eastAsia" w:ascii="宋体" w:hAnsi="宋体" w:eastAsia="宋体" w:cs="宋体"/>
          <w:bCs/>
          <w:color w:val="auto"/>
          <w:sz w:val="24"/>
          <w:highlight w:val="none"/>
          <w:lang w:val="zh-TW"/>
        </w:rPr>
        <w:t xml:space="preserve">2</w:t>
      </w:r>
      <w:r>
        <w:rPr>
          <w:rFonts w:hint="eastAsia" w:ascii="宋体" w:hAnsi="宋体" w:eastAsia="宋体" w:cs="宋体"/>
          <w:bCs/>
          <w:color w:val="auto"/>
          <w:sz w:val="24"/>
          <w:highlight w:val="none"/>
          <w:lang w:val="zh-TW" w:eastAsia="zh-TW"/>
        </w:rPr>
        <w:t xml:space="preserve">.6</w:t>
      </w:r>
      <w:r>
        <w:rPr>
          <w:rFonts w:hint="eastAsia" w:ascii="宋体" w:hAnsi="宋体" w:eastAsia="宋体" w:cs="宋体"/>
          <w:bCs/>
          <w:color w:val="auto"/>
          <w:sz w:val="24"/>
          <w:highlight w:val="none"/>
          <w:lang w:val="zh-TW"/>
        </w:rPr>
        <w:t xml:space="preserve">提交电子投标文件</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Cs/>
          <w:color w:val="auto"/>
          <w:sz w:val="24"/>
          <w:highlight w:val="none"/>
          <w:lang w:val="zh-TW"/>
        </w:rPr>
      </w:pPr>
      <w:r>
        <w:rPr>
          <w:rFonts w:hint="eastAsia" w:ascii="宋体" w:hAnsi="宋体" w:eastAsia="宋体" w:cs="宋体"/>
          <w:bCs/>
          <w:color w:val="auto"/>
          <w:sz w:val="24"/>
          <w:highlight w:val="none"/>
          <w:lang w:val="zh-TW"/>
        </w:rPr>
        <w:t xml:space="preserve">2.</w:t>
      </w:r>
      <w:r>
        <w:rPr>
          <w:rFonts w:hint="eastAsia" w:ascii="宋体" w:hAnsi="宋体" w:eastAsia="宋体" w:cs="宋体"/>
          <w:bCs/>
          <w:color w:val="auto"/>
          <w:sz w:val="24"/>
          <w:highlight w:val="none"/>
          <w:lang w:val="zh-TW" w:eastAsia="zh-TW"/>
        </w:rPr>
        <w:t xml:space="preserve">7</w:t>
      </w:r>
      <w:r>
        <w:rPr>
          <w:rFonts w:hint="eastAsia" w:ascii="宋体" w:hAnsi="宋体" w:eastAsia="宋体" w:cs="宋体"/>
          <w:bCs/>
          <w:color w:val="auto"/>
          <w:sz w:val="24"/>
          <w:highlight w:val="none"/>
          <w:lang w:val="zh-TW"/>
        </w:rPr>
        <w:t xml:space="preserve">电子开标</w:t>
      </w:r>
      <w:r/>
    </w:p>
    <w:p>
      <w:pPr>
        <w:ind w:firstLine="480"/>
        <w:jc w:val="left"/>
        <w:spacing w:line="360" w:lineRule="auto"/>
        <w:rPr>
          <w:rFonts w:hint="eastAsia" w:ascii="宋体" w:hAnsi="宋体" w:eastAsia="宋体" w:cs="宋体"/>
          <w:bCs/>
          <w:color w:val="auto"/>
          <w:sz w:val="24"/>
          <w:highlight w:val="none"/>
          <w:lang w:val="zh-TW"/>
        </w:rPr>
      </w:pPr>
      <w:r>
        <w:rPr>
          <w:rFonts w:hint="eastAsia" w:ascii="宋体" w:hAnsi="宋体" w:eastAsia="宋体" w:cs="宋体"/>
          <w:bCs/>
          <w:color w:val="auto"/>
          <w:sz w:val="24"/>
          <w:highlight w:val="none"/>
          <w:lang w:val="zh-TW"/>
        </w:rPr>
        <w:t xml:space="preserve">投标人使用</w:t>
      </w:r>
      <w:r>
        <w:rPr>
          <w:rFonts w:hint="eastAsia" w:ascii="宋体" w:hAnsi="宋体" w:eastAsia="宋体" w:cs="宋体"/>
          <w:bCs/>
          <w:color w:val="auto"/>
          <w:sz w:val="24"/>
          <w:highlight w:val="none"/>
        </w:rPr>
        <w:t xml:space="preserve">CA认证证书</w:t>
      </w:r>
      <w:r>
        <w:rPr>
          <w:rFonts w:hint="eastAsia" w:ascii="宋体" w:hAnsi="宋体" w:eastAsia="宋体" w:cs="宋体"/>
          <w:bCs/>
          <w:color w:val="auto"/>
          <w:sz w:val="24"/>
          <w:highlight w:val="none"/>
          <w:lang w:val="zh-TW"/>
        </w:rPr>
        <w:t xml:space="preserve">登录</w:t>
      </w:r>
      <w:r>
        <w:rPr>
          <w:rFonts w:hint="eastAsia" w:ascii="宋体" w:hAnsi="宋体" w:eastAsia="宋体" w:cs="宋体"/>
          <w:bCs/>
          <w:color w:val="auto"/>
          <w:sz w:val="24"/>
          <w:highlight w:val="none"/>
        </w:rPr>
        <w:t xml:space="preserve">政府采购一体化平台“苏采云”进行电子化不见面开标</w:t>
      </w:r>
      <w:r>
        <w:rPr>
          <w:rFonts w:hint="eastAsia" w:ascii="宋体" w:hAnsi="宋体" w:eastAsia="宋体" w:cs="宋体"/>
          <w:bCs/>
          <w:color w:val="auto"/>
          <w:sz w:val="24"/>
          <w:highlight w:val="none"/>
          <w:lang w:val="zh-TW"/>
        </w:rPr>
        <w:t xml:space="preserve">。</w:t>
      </w:r>
      <w:r/>
    </w:p>
    <w:p>
      <w:pPr>
        <w:ind w:firstLine="480"/>
        <w:jc w:val="left"/>
        <w:spacing w:line="360" w:lineRule="auto"/>
        <w:rPr>
          <w:rFonts w:hint="eastAsia" w:ascii="宋体" w:hAnsi="宋体" w:eastAsia="宋体" w:cs="宋体"/>
          <w:bCs/>
          <w:color w:val="auto"/>
          <w:sz w:val="24"/>
          <w:highlight w:val="none"/>
          <w:lang w:val="zh-TW"/>
        </w:rPr>
      </w:pPr>
      <w:r>
        <w:rPr>
          <w:rFonts w:hint="eastAsia" w:ascii="宋体" w:hAnsi="宋体" w:eastAsia="宋体" w:cs="宋体"/>
          <w:bCs/>
          <w:color w:val="auto"/>
          <w:sz w:val="24"/>
          <w:highlight w:val="none"/>
          <w:lang w:val="zh-TW"/>
        </w:rPr>
        <w:t xml:space="preserve">2.8注意事项</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TW"/>
        </w:rPr>
        <w:t xml:space="preserve">投标人在开标前应当</w:t>
      </w:r>
      <w:r>
        <w:rPr>
          <w:rFonts w:hint="eastAsia" w:ascii="宋体" w:hAnsi="宋体" w:eastAsia="宋体" w:cs="宋体"/>
          <w:bCs/>
          <w:color w:val="auto"/>
          <w:sz w:val="24"/>
          <w:highlight w:val="none"/>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left"/>
        <w:spacing w:line="360" w:lineRule="auto"/>
        <w:rPr>
          <w:rFonts w:hint="eastAsia" w:ascii="宋体" w:hAnsi="宋体" w:eastAsia="宋体" w:cs="宋体"/>
          <w:bCs/>
          <w:color w:val="auto"/>
          <w:sz w:val="24"/>
          <w:highlight w:val="none"/>
          <w:lang w:val="zh-TW"/>
        </w:rPr>
      </w:pPr>
      <w:r>
        <w:rPr>
          <w:rFonts w:hint="eastAsia" w:ascii="宋体" w:hAnsi="宋体" w:eastAsia="宋体" w:cs="宋体"/>
          <w:bCs/>
          <w:color w:val="auto"/>
          <w:sz w:val="24"/>
          <w:highlight w:val="none"/>
          <w:lang w:val="zh-TW"/>
        </w:rPr>
        <w:t xml:space="preserve">3.关于常州市中小企业政府采购信用融资：</w:t>
      </w:r>
      <w:r/>
    </w:p>
    <w:p>
      <w:pPr>
        <w:ind w:firstLine="480"/>
        <w:jc w:val="left"/>
        <w:spacing w:line="360" w:lineRule="auto"/>
        <w:rPr>
          <w:rFonts w:hint="eastAsia" w:ascii="宋体" w:hAnsi="宋体" w:eastAsia="宋体" w:cs="宋体"/>
          <w:bCs/>
          <w:color w:val="auto"/>
          <w:sz w:val="24"/>
          <w:highlight w:val="none"/>
          <w:lang w:val="zh-TW"/>
        </w:rPr>
      </w:pPr>
      <w:r>
        <w:rPr>
          <w:rFonts w:hint="eastAsia" w:ascii="宋体" w:hAnsi="宋体" w:eastAsia="宋体" w:cs="宋体"/>
          <w:bCs/>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p>
    <w:p>
      <w:pPr>
        <w:pStyle w:val="1117"/>
        <w:jc w:val="left"/>
        <w:spacing w:before="0" w:line="360" w:lineRule="auto"/>
        <w:rPr>
          <w:rFonts w:hint="eastAsia" w:ascii="宋体" w:hAnsi="宋体" w:eastAsia="宋体" w:cs="宋体"/>
          <w:color w:val="auto"/>
          <w:sz w:val="24"/>
          <w:szCs w:val="24"/>
          <w:highlight w:val="none"/>
        </w:rPr>
      </w:pPr>
      <w:r/>
      <w:bookmarkStart w:id="28" w:name="_Toc28359085"/>
      <w:r/>
      <w:bookmarkStart w:id="29" w:name="_Toc35393627"/>
      <w:r/>
      <w:bookmarkStart w:id="30" w:name="_Toc28359008"/>
      <w:r/>
      <w:bookmarkStart w:id="31" w:name="_Toc35393796"/>
      <w:r>
        <w:rPr>
          <w:rFonts w:hint="eastAsia" w:ascii="宋体" w:hAnsi="宋体" w:eastAsia="宋体" w:cs="宋体"/>
          <w:color w:val="auto"/>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 xml:space="preserve">1.采购人信息</w:t>
      </w:r>
      <w:r/>
    </w:p>
    <w:p>
      <w:pPr>
        <w:ind w:left="1079" w:hanging="300"/>
        <w:jc w:val="left"/>
        <w:spacing w:line="360" w:lineRule="auto"/>
        <w:rPr>
          <w:rFonts w:hint="eastAsia" w:ascii="宋体" w:hAnsi="宋体" w:eastAsia="宋体" w:cs="宋体"/>
          <w:color w:val="auto"/>
          <w:sz w:val="24"/>
          <w:highlight w:val="none"/>
          <w:u w:val="single"/>
        </w:rPr>
      </w:pPr>
      <w:r/>
      <w:bookmarkStart w:id="32" w:name="_Toc28359086"/>
      <w:r/>
      <w:bookmarkStart w:id="33" w:name="_Toc28359009"/>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常州市金坛区公路事业发展中心</w:t>
      </w:r>
      <w:r/>
    </w:p>
    <w:p>
      <w:pPr>
        <w:ind w:left="1079" w:hanging="30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u w:val="single"/>
          <w:lang w:eastAsia="zh-CN"/>
        </w:rPr>
        <w:t xml:space="preserve">常州市金坛区西门大街97号</w:t>
      </w:r>
      <w:r/>
    </w:p>
    <w:p>
      <w:pPr>
        <w:ind w:left="1079" w:hanging="30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秦鑫伟0519-82337132</w:t>
      </w:r>
      <w:r/>
    </w:p>
    <w:p>
      <w:pPr>
        <w:ind w:left="1078" w:hanging="299"/>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2.采购代理机构信息</w:t>
      </w:r>
      <w:bookmarkEnd w:id="32"/>
      <w:r/>
      <w:bookmarkEnd w:id="33"/>
      <w:r/>
      <w:r/>
    </w:p>
    <w:p>
      <w:pPr>
        <w:ind w:left="1079" w:hanging="300"/>
        <w:jc w:val="left"/>
        <w:spacing w:line="360" w:lineRule="auto"/>
        <w:rPr>
          <w:rFonts w:hint="eastAsia" w:ascii="宋体" w:hAnsi="宋体" w:eastAsia="宋体" w:cs="宋体"/>
          <w:color w:val="auto"/>
          <w:sz w:val="24"/>
          <w:highlight w:val="none"/>
        </w:rPr>
      </w:pPr>
      <w:r/>
      <w:bookmarkStart w:id="34" w:name="_Toc28359010"/>
      <w:r/>
      <w:bookmarkStart w:id="35" w:name="_Toc28359087"/>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江苏睿致诚工程咨询有限公司</w:t>
      </w:r>
      <w:r/>
    </w:p>
    <w:p>
      <w:pPr>
        <w:ind w:left="1079" w:hanging="30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rPr>
        <w:t xml:space="preserve">江苏省南京市江宁区江南路697号金轮星际中心A1栋7楼702室</w:t>
      </w:r>
      <w:r/>
    </w:p>
    <w:p>
      <w:pPr>
        <w:ind w:left="1076" w:hanging="297"/>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联系方式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025-52161262</w:t>
      </w:r>
      <w:r/>
    </w:p>
    <w:p>
      <w:pPr>
        <w:ind w:left="1078" w:hanging="299"/>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3.项目联系方式</w:t>
      </w:r>
      <w:r/>
    </w:p>
    <w:p>
      <w:pPr>
        <w:pStyle w:val="1154"/>
        <w:ind w:left="1076" w:hanging="297"/>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u w:val="single"/>
        </w:rPr>
        <w:t xml:space="preserve">孙芸</w:t>
      </w:r>
      <w:r/>
    </w:p>
    <w:p>
      <w:pPr>
        <w:pStyle w:val="1154"/>
        <w:ind w:left="1076" w:hanging="297"/>
        <w:spacing w:line="360" w:lineRule="auto"/>
        <w:rPr>
          <w:rFonts w:hint="eastAsia" w:ascii="宋体" w:hAnsi="宋体" w:eastAsia="宋体" w:cs="宋体"/>
          <w:color w:val="auto"/>
          <w:sz w:val="24"/>
          <w:highlight w:val="none"/>
          <w:u w:val="single"/>
        </w:rPr>
        <w:sectPr>
          <w:footerReference w:type="default" r:id="rId18"/>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宋体" w:hAnsi="宋体" w:eastAsia="宋体" w:cs="宋体"/>
          <w:color w:val="auto"/>
          <w:sz w:val="24"/>
          <w:highlight w:val="none"/>
        </w:rPr>
        <w:t xml:space="preserve">电      话：</w:t>
      </w:r>
      <w:bookmarkEnd w:id="34"/>
      <w:r/>
      <w:bookmarkEnd w:id="35"/>
      <w:r>
        <w:rPr>
          <w:rFonts w:hint="eastAsia" w:ascii="宋体" w:hAnsi="宋体" w:eastAsia="宋体" w:cs="宋体"/>
          <w:color w:val="auto"/>
          <w:sz w:val="24"/>
          <w:highlight w:val="none"/>
          <w:u w:val="single"/>
        </w:rPr>
        <w:t xml:space="preserve">025-52161262</w:t>
      </w:r>
      <w:r/>
    </w:p>
    <w:p>
      <w:pPr>
        <w:jc w:val="center"/>
        <w:spacing w:line="360" w:lineRule="auto"/>
        <w:rPr>
          <w:rFonts w:hint="eastAsia" w:ascii="宋体" w:hAnsi="宋体" w:eastAsia="宋体" w:cs="宋体"/>
          <w:b/>
          <w:color w:val="auto"/>
          <w:sz w:val="32"/>
          <w:szCs w:val="32"/>
          <w:highlight w:val="none"/>
        </w:rPr>
        <w:outlineLvl w:val="0"/>
      </w:pPr>
      <w:r/>
      <w:bookmarkStart w:id="36" w:name="_Toc265228423"/>
      <w:r/>
      <w:bookmarkStart w:id="37" w:name="_Toc226965856"/>
      <w:r/>
      <w:bookmarkStart w:id="38" w:name="_Toc127151777"/>
      <w:r/>
      <w:bookmarkStart w:id="39" w:name="_Toc512937850"/>
      <w:r/>
      <w:bookmarkStart w:id="40" w:name="_Toc305158854"/>
      <w:r/>
      <w:bookmarkStart w:id="41" w:name="_Toc21836"/>
      <w:r/>
      <w:bookmarkStart w:id="42" w:name="_Toc305158928"/>
      <w:r/>
      <w:bookmarkStart w:id="43" w:name="_Toc353873938"/>
      <w:r/>
      <w:bookmarkStart w:id="44" w:name="_Toc264969275"/>
      <w:r/>
      <w:bookmarkStart w:id="45" w:name="_Toc353825548"/>
      <w:r/>
      <w:bookmarkStart w:id="46" w:name="_Toc127161488"/>
      <w:r/>
      <w:bookmarkStart w:id="47" w:name="_Toc150774783"/>
      <w:r/>
      <w:bookmarkStart w:id="48" w:name="_Toc195842950"/>
      <w:r>
        <w:rPr>
          <w:rFonts w:hint="eastAsia" w:ascii="宋体" w:hAnsi="宋体" w:eastAsia="宋体" w:cs="宋体"/>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17"/>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49" w:name="_Toc151193833"/>
      <w:r/>
      <w:bookmarkStart w:id="50" w:name="_Toc226337215"/>
      <w:r/>
      <w:bookmarkStart w:id="51" w:name="_Toc150774619"/>
      <w:r/>
      <w:bookmarkStart w:id="52" w:name="_Toc164608788"/>
      <w:r/>
      <w:bookmarkStart w:id="53" w:name="_Toc151193907"/>
      <w:r/>
      <w:bookmarkStart w:id="54" w:name="_Toc164351613"/>
      <w:r/>
      <w:bookmarkStart w:id="55" w:name="_Toc151190146"/>
      <w:r/>
      <w:bookmarkStart w:id="56" w:name="_Toc195842884"/>
      <w:r/>
      <w:bookmarkStart w:id="57" w:name="_Toc151193689"/>
      <w:r/>
      <w:bookmarkStart w:id="58" w:name="_Toc150509270"/>
      <w:r/>
      <w:bookmarkStart w:id="59" w:name="_Toc150480757"/>
      <w:r/>
      <w:bookmarkStart w:id="60" w:name="_Toc164229360"/>
      <w:r/>
      <w:bookmarkStart w:id="61" w:name="_Toc164608633"/>
      <w:r/>
      <w:bookmarkStart w:id="62" w:name="_Toc149720812"/>
      <w:r/>
      <w:bookmarkStart w:id="63" w:name="_Toc151193761"/>
      <w:r/>
      <w:bookmarkStart w:id="64" w:name="_Toc150774724"/>
      <w:r/>
      <w:bookmarkStart w:id="65" w:name="_Toc520356144"/>
      <w:r/>
      <w:bookmarkStart w:id="66" w:name="_Toc151193617"/>
      <w:r/>
      <w:bookmarkStart w:id="67" w:name="_Toc127151720"/>
      <w:r/>
      <w:bookmarkStart w:id="68" w:name="_Toc226309763"/>
      <w:r/>
      <w:bookmarkStart w:id="69" w:name="_Toc142311021"/>
      <w:r/>
      <w:bookmarkStart w:id="70" w:name="_Toc127161433"/>
      <w:r/>
      <w:bookmarkStart w:id="71" w:name="_Toc226965792"/>
      <w:r/>
      <w:bookmarkStart w:id="72" w:name="_Toc164229214"/>
      <w:r/>
      <w:bookmarkStart w:id="73" w:name="_Toc127151519"/>
      <w:r/>
      <w:bookmarkStart w:id="74" w:name="_Toc226965709"/>
      <w:r>
        <w:rPr>
          <w:rFonts w:hint="eastAsia" w:ascii="宋体" w:hAnsi="宋体" w:eastAsia="宋体" w:cs="宋体"/>
          <w:color w:val="auto"/>
          <w:sz w:val="28"/>
          <w:highlight w:val="none"/>
        </w:rPr>
        <w:t xml:space="preserve">投标人须知资料表</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标记“</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”的选项意为适用于本项目，标记“□”的选项意为不适用于本项目。</w:t>
      </w:r>
      <w:r/>
    </w:p>
    <w:tbl>
      <w:tblPr>
        <w:tblStyle w:val="86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654"/>
        <w:gridCol w:w="7352"/>
      </w:tblGrid>
      <w:tr>
        <w:trPr>
          <w:cantSplit/>
          <w:jc w:val="center"/>
          <w:trHeight w:val="595"/>
          <w:tblHeader/>
        </w:trPr>
        <w:tc>
          <w:tcPr>
            <w:tcW w:w="478"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条款号</w:t>
            </w:r>
            <w:r/>
          </w:p>
        </w:tc>
        <w:tc>
          <w:tcPr>
            <w:tcW w:w="830"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条目</w:t>
            </w:r>
            <w:r/>
          </w:p>
        </w:tc>
        <w:tc>
          <w:tcPr>
            <w:tcW w:w="3690"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内容</w:t>
            </w:r>
            <w:r/>
          </w:p>
        </w:tc>
      </w:tr>
      <w:tr>
        <w:trPr>
          <w:cantSplit/>
          <w:jc w:val="center"/>
          <w:trHeight w:val="20"/>
        </w:trPr>
        <w:tc>
          <w:tcPr>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w:t>
            </w:r>
            <w:r/>
          </w:p>
        </w:tc>
        <w:tc>
          <w:tcPr>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w:t>
            </w:r>
            <w:r/>
          </w:p>
          <w:p>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服务</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□货物</w:t>
            </w:r>
            <w:r/>
          </w:p>
        </w:tc>
      </w:tr>
      <w:tr>
        <w:trPr>
          <w:cantSplit/>
          <w:jc w:val="center"/>
          <w:trHeight w:val="20"/>
        </w:trPr>
        <w:tc>
          <w:tcPr>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科研仪器设备</w:t>
            </w:r>
            <w:r/>
          </w:p>
        </w:tc>
        <w:tc>
          <w:tcPr>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是否属于科研仪器设备采购项目：</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w:t>
            </w:r>
            <w:r/>
          </w:p>
          <w:p>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否</w:t>
            </w:r>
            <w:r/>
          </w:p>
        </w:tc>
      </w:tr>
      <w:tr>
        <w:trPr>
          <w:cantSplit/>
          <w:jc w:val="center"/>
          <w:trHeight w:val="20"/>
        </w:trPr>
        <w:tc>
          <w:tcPr>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核心产品</w:t>
            </w:r>
            <w:r/>
          </w:p>
        </w:tc>
        <w:tc>
          <w:tcPr>
            <w:tcW w:w="3690" w:type="pct"/>
            <w:vAlign w:val="center"/>
            <w:textDirection w:val="lrTb"/>
            <w:noWrap w:val="false"/>
          </w:tcPr>
          <w:p>
            <w:pPr>
              <w:pStyle w:val="1154"/>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color w:val="auto"/>
                <w:sz w:val="24"/>
                <w:szCs w:val="24"/>
                <w:highlight w:val="none"/>
              </w:rPr>
              <w:t xml:space="preserve">关于核心产品本项目__包不适用。</w:t>
            </w:r>
            <w:r/>
          </w:p>
          <w:p>
            <w:pPr>
              <w:pStyle w:val="1154"/>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本项目__包为单一产品采购项目。</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□本项目为非单一产品采购项目，核心产品为：</w:t>
            </w:r>
            <w:r>
              <w:rPr>
                <w:rFonts w:hint="eastAsia" w:ascii="宋体" w:hAnsi="宋体" w:eastAsia="宋体" w:cs="宋体"/>
                <w:b/>
                <w:bCs/>
                <w:color w:val="auto"/>
                <w:sz w:val="24"/>
                <w:highlight w:val="none"/>
                <w:u w:val="single"/>
              </w:rPr>
              <w:t xml:space="preserve">  </w:t>
            </w:r>
            <w:r/>
          </w:p>
        </w:tc>
      </w:tr>
      <w:tr>
        <w:trPr>
          <w:cantSplit/>
          <w:jc w:val="center"/>
          <w:trHeight w:val="20"/>
        </w:trPr>
        <w:tc>
          <w:tcPr>
            <w:tcW w:w="478" w:type="pct"/>
            <w:vAlign w:val="center"/>
            <w:vMerge w:val="restart"/>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现场考察</w:t>
            </w:r>
            <w:r/>
          </w:p>
        </w:tc>
        <w:tc>
          <w:tcPr>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不组织。</w:t>
            </w:r>
            <w:r/>
          </w:p>
          <w:p>
            <w:pPr>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□组织，考察时间：___年___月___日___点___分</w:t>
            </w:r>
            <w:r/>
          </w:p>
          <w:p>
            <w:pPr>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考察地点：___________。</w:t>
            </w:r>
            <w:r/>
          </w:p>
        </w:tc>
      </w:tr>
      <w:tr>
        <w:trPr>
          <w:cantSplit/>
          <w:jc w:val="center"/>
          <w:trHeight w:val="20"/>
        </w:trPr>
        <w:tc>
          <w:tcPr>
            <w:tcW w:w="478" w:type="pct"/>
            <w:vAlign w:val="center"/>
            <w:vMerge w:val="continue"/>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不召开</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□召开，召开时间：__年_月_日_</w:t>
            </w:r>
            <w:r>
              <w:rPr>
                <w:rFonts w:hint="eastAsia" w:ascii="宋体" w:hAnsi="宋体" w:eastAsia="宋体" w:cs="宋体"/>
                <w:bCs/>
                <w:color w:val="auto"/>
                <w:sz w:val="24"/>
                <w:highlight w:val="none"/>
              </w:rPr>
              <w:t xml:space="preserve">点</w:t>
            </w:r>
            <w:r>
              <w:rPr>
                <w:rFonts w:hint="eastAsia" w:ascii="宋体" w:hAnsi="宋体" w:eastAsia="宋体" w:cs="宋体"/>
                <w:color w:val="auto"/>
                <w:sz w:val="24"/>
                <w:highlight w:val="none"/>
              </w:rPr>
              <w:t xml:space="preserve">_</w:t>
            </w:r>
            <w:r>
              <w:rPr>
                <w:rFonts w:hint="eastAsia" w:ascii="宋体" w:hAnsi="宋体" w:eastAsia="宋体" w:cs="宋体"/>
                <w:bCs/>
                <w:color w:val="auto"/>
                <w:sz w:val="24"/>
                <w:highlight w:val="none"/>
              </w:rPr>
              <w:t xml:space="preserve">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召开地点：____________。</w:t>
            </w:r>
            <w:r/>
          </w:p>
        </w:tc>
      </w:tr>
      <w:tr>
        <w:trPr>
          <w:cantSplit/>
          <w:jc w:val="center"/>
          <w:trHeight w:val="20"/>
        </w:trPr>
        <w:tc>
          <w:tcPr>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投标样品递交：</w:t>
            </w:r>
            <w:r/>
          </w:p>
          <w:p>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不需要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□需要，具体要求如下：</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（1）样品制作的标准和要求：_________；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（2）是否需要随样品提交相关检测报告：</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□不需要</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（3）样品递交要求：_________；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（4）未中标人样品退还：_________；</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（5）中标人样品保管、封存及退还：_________；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（6）其他要求（如有）：_________。</w:t>
            </w:r>
            <w:r/>
          </w:p>
        </w:tc>
      </w:tr>
      <w:tr>
        <w:trPr>
          <w:cantSplit/>
          <w:jc w:val="center"/>
          <w:trHeight w:val="631"/>
        </w:trPr>
        <w:tc>
          <w:tcPr>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5.2.5</w:t>
            </w:r>
            <w:r/>
          </w:p>
        </w:tc>
        <w:tc>
          <w:tcPr>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标的所属行业</w:t>
            </w:r>
            <w:r/>
          </w:p>
        </w:tc>
        <w:tc>
          <w:tcPr>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本项目采购标的对应的中小企业划分标准所属行业：</w:t>
            </w:r>
            <w:r>
              <w:rPr>
                <w:rFonts w:hint="eastAsia" w:ascii="宋体" w:hAnsi="宋体" w:eastAsia="宋体" w:cs="宋体"/>
                <w:color w:val="auto"/>
                <w:sz w:val="24"/>
                <w:highlight w:val="none"/>
                <w:u w:val="single"/>
              </w:rPr>
              <w:t xml:space="preserve">其他未列明行业</w:t>
            </w:r>
            <w:r/>
          </w:p>
        </w:tc>
      </w:tr>
      <w:tr>
        <w:trPr>
          <w:jc w:val="center"/>
          <w:trHeight w:val="841"/>
        </w:trPr>
        <w:tc>
          <w:tcPr>
            <w:shd w:val="clear" w:color="auto" w:fill="ffffff"/>
            <w:tcW w:w="478" w:type="pct"/>
            <w:vAlign w:val="center"/>
            <w:textDirection w:val="lrTb"/>
            <w:noWrap w:val="false"/>
          </w:tcPr>
          <w:p>
            <w:pPr>
              <w:pStyle w:val="115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11.2</w:t>
            </w:r>
            <w:r/>
          </w:p>
        </w:tc>
        <w:tc>
          <w:tcPr>
            <w:shd w:val="clear" w:color="auto" w:fill="ffffff"/>
            <w:tcW w:w="830" w:type="pct"/>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投标报价</w:t>
            </w:r>
            <w:r/>
          </w:p>
        </w:tc>
        <w:tc>
          <w:tcPr>
            <w:shd w:val="clear" w:color="auto" w:fill="ffffff"/>
            <w:tcW w:w="3690" w:type="pct"/>
            <w:vAlign w:val="center"/>
            <w:textDirection w:val="lrTb"/>
            <w:noWrap w:val="false"/>
          </w:tcPr>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投标报价的特殊规定：</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■无</w:t>
            </w:r>
            <w:r/>
          </w:p>
          <w:p>
            <w:pPr>
              <w:jc w:val="left"/>
              <w:rPr>
                <w:rFonts w:hint="eastAsia" w:ascii="宋体" w:hAnsi="宋体" w:eastAsia="宋体" w:cs="宋体"/>
                <w:b/>
                <w:color w:val="auto"/>
                <w:highlight w:val="none"/>
              </w:rPr>
            </w:pPr>
            <w:r>
              <w:rPr>
                <w:rFonts w:hint="eastAsia" w:ascii="宋体" w:hAnsi="宋体" w:eastAsia="宋体" w:cs="宋体"/>
                <w:b/>
                <w:color w:val="auto"/>
                <w:sz w:val="24"/>
                <w:highlight w:val="none"/>
              </w:rPr>
              <w:t xml:space="preserve">□有，具体情形：_____。</w:t>
            </w:r>
            <w:r/>
          </w:p>
        </w:tc>
      </w:tr>
      <w:tr>
        <w:trPr>
          <w:jc w:val="center"/>
          <w:trHeight w:val="20"/>
        </w:trPr>
        <w:tc>
          <w:tcPr>
            <w:shd w:val="clear" w:color="auto" w:fill="ffffff"/>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shd w:val="clear" w:color="auto" w:fill="ffffff"/>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投标保证金</w:t>
            </w:r>
            <w:r/>
          </w:p>
        </w:tc>
        <w:tc>
          <w:tcPr>
            <w:shd w:val="clear" w:color="auto" w:fill="ffffff"/>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免收</w:t>
            </w:r>
            <w:r/>
          </w:p>
        </w:tc>
      </w:tr>
      <w:tr>
        <w:trPr>
          <w:jc w:val="center"/>
          <w:trHeight w:val="20"/>
        </w:trPr>
        <w:tc>
          <w:tcPr>
            <w:shd w:val="clear" w:color="auto" w:fill="ffffff"/>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p>
        </w:tc>
        <w:tc>
          <w:tcPr>
            <w:shd w:val="clear" w:color="auto" w:fill="ffffff"/>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shd w:val="clear" w:color="auto" w:fill="ffffff"/>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自提交投标文件的截止之日起算</w:t>
            </w:r>
            <w:r>
              <w:rPr>
                <w:rFonts w:hint="eastAsia" w:ascii="宋体" w:hAnsi="宋体" w:cs="宋体"/>
                <w:color w:val="auto"/>
                <w:sz w:val="24"/>
                <w:highlight w:val="none"/>
                <w:u w:val="single"/>
                <w:lang w:val="en-US" w:eastAsia="zh-CN"/>
              </w:rPr>
              <w:t xml:space="preserve">60</w:t>
            </w:r>
            <w:r>
              <w:rPr>
                <w:rFonts w:hint="eastAsia" w:ascii="宋体" w:hAnsi="宋体" w:eastAsia="宋体" w:cs="宋体"/>
                <w:color w:val="auto"/>
                <w:sz w:val="24"/>
                <w:highlight w:val="none"/>
              </w:rPr>
              <w:t xml:space="preserve">日历</w:t>
            </w:r>
            <w:r>
              <w:rPr>
                <w:rFonts w:hint="eastAsia" w:ascii="宋体" w:hAnsi="宋体" w:cs="宋体"/>
                <w:color w:val="auto"/>
                <w:sz w:val="24"/>
                <w:highlight w:val="none"/>
                <w:lang w:val="en-US" w:eastAsia="zh-CN"/>
              </w:rPr>
              <w:t xml:space="preserve">天</w:t>
            </w:r>
            <w:r>
              <w:rPr>
                <w:rFonts w:hint="eastAsia" w:ascii="宋体" w:hAnsi="宋体" w:eastAsia="宋体" w:cs="宋体"/>
                <w:color w:val="auto"/>
                <w:sz w:val="24"/>
                <w:highlight w:val="none"/>
              </w:rPr>
              <w:t xml:space="preserve">。</w:t>
            </w:r>
            <w:r/>
          </w:p>
        </w:tc>
      </w:tr>
      <w:tr>
        <w:trPr>
          <w:jc w:val="center"/>
          <w:trHeight w:val="90"/>
        </w:trPr>
        <w:tc>
          <w:tcPr>
            <w:shd w:val="clear" w:color="auto" w:fill="ffffff"/>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p>
        </w:tc>
        <w:tc>
          <w:tcPr>
            <w:shd w:val="clear" w:color="auto" w:fill="ffffff"/>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w:t>
            </w:r>
            <w:r/>
          </w:p>
        </w:tc>
        <w:tc>
          <w:tcPr>
            <w:shd w:val="clear" w:color="auto" w:fill="ffffff"/>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中标人在领取中标通知书后7日内向招标人缴纳履约保证金(中标价的</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以现金（转账、电汇、网银）、银行保函、担保机构的保函、保险机构的保单等其他非现金交易担保、法律法规允许的其他支付形式缴纳或提交至甲方指定账户，逾期不缴纳履约保证金的按自动放弃中标处理；项目养护期满后一次性退还（无息）。</w:t>
            </w:r>
            <w:r/>
          </w:p>
        </w:tc>
      </w:tr>
      <w:tr>
        <w:trPr>
          <w:jc w:val="center"/>
          <w:trHeight w:val="20"/>
        </w:trPr>
        <w:tc>
          <w:tcPr>
            <w:shd w:val="clear" w:color="auto" w:fill="ffffff"/>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p>
        </w:tc>
        <w:tc>
          <w:tcPr>
            <w:shd w:val="clear" w:color="auto" w:fill="ffffff"/>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w:t>
            </w:r>
            <w:r/>
          </w:p>
        </w:tc>
        <w:tc>
          <w:tcPr>
            <w:shd w:val="clear" w:color="auto" w:fill="ffffff"/>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本项目的非主体、非关键性工作是否允许分包：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■不允许</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□允许，具体要求：</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（1）可以分包履行的具体内容：_____；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（2）允许分包的金额或者比例：_____；</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（3）其他要求：_____。</w:t>
            </w:r>
            <w:r/>
          </w:p>
        </w:tc>
      </w:tr>
      <w:tr>
        <w:trPr>
          <w:jc w:val="center"/>
          <w:trHeight w:val="20"/>
        </w:trPr>
        <w:tc>
          <w:tcPr>
            <w:shd w:val="clear" w:color="auto" w:fill="ffffff"/>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p>
        </w:tc>
        <w:tc>
          <w:tcPr>
            <w:shd w:val="clear" w:color="auto" w:fill="ffffff"/>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w:t>
            </w:r>
            <w:r/>
          </w:p>
        </w:tc>
        <w:tc>
          <w:tcPr>
            <w:shd w:val="clear" w:color="auto" w:fill="ffffff"/>
            <w:tcW w:w="3690" w:type="pct"/>
            <w:vAlign w:val="center"/>
            <w:textDirection w:val="lrTb"/>
            <w:noWrap w:val="false"/>
          </w:tcPr>
          <w:p>
            <w:pPr>
              <w:ind w:left="0" w:firstLine="0"/>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已登记参加本项目的供应商对招标文件如有疑问，可于</w:t>
            </w:r>
            <w:r>
              <w:rPr>
                <w:rFonts w:hint="eastAsia" w:ascii="宋体" w:hAnsi="宋体" w:cs="宋体"/>
                <w:color w:val="auto"/>
                <w:sz w:val="24"/>
                <w:highlight w:val="none"/>
                <w:lang w:val="en-US" w:eastAsia="zh-CN"/>
              </w:rPr>
              <w:t xml:space="preserve">2026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8日</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rPr>
              <w:t xml:space="preserve">前将相关疑问（格式详见招标文件中“关于招标文件的询问内容”）发送至邮箱（1959795741@qq.com）进行咨询，如口头可解释的问题亦可电话咨询采购人。未提出疑问将被视为完全认同招标文件，逾期将不接受其对于采购文件的相关异议。如有变更，更正公告将会在常州市政府采购网公布。</w:t>
            </w:r>
            <w:r/>
          </w:p>
        </w:tc>
      </w:tr>
      <w:tr>
        <w:trPr>
          <w:jc w:val="center"/>
          <w:trHeight w:val="20"/>
        </w:trPr>
        <w:tc>
          <w:tcPr>
            <w:shd w:val="clear" w:color="auto" w:fill="ffffff"/>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p>
        </w:tc>
        <w:tc>
          <w:tcPr>
            <w:shd w:val="clear" w:color="auto" w:fill="ffffff"/>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p>
        </w:tc>
        <w:tc>
          <w:tcPr>
            <w:shd w:val="clear" w:color="auto" w:fill="ffffff"/>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接收询问和质疑的联系方式</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联系部门：</w:t>
            </w:r>
            <w:r>
              <w:rPr>
                <w:rFonts w:hint="eastAsia" w:ascii="宋体" w:hAnsi="宋体" w:eastAsia="宋体" w:cs="宋体"/>
                <w:color w:val="auto"/>
                <w:sz w:val="24"/>
                <w:highlight w:val="none"/>
                <w:u w:val="single"/>
              </w:rPr>
              <w:t xml:space="preserve">江苏睿致诚工程咨询有限公司</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025-52161262</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u w:val="single"/>
              </w:rPr>
              <w:t xml:space="preserve">江苏省南京市江宁区江南路697号金轮星际中心A1栋7楼702室</w:t>
            </w:r>
            <w:r>
              <w:rPr>
                <w:rFonts w:hint="eastAsia" w:ascii="宋体" w:hAnsi="宋体" w:eastAsia="宋体" w:cs="宋体"/>
                <w:color w:val="auto"/>
                <w:sz w:val="24"/>
                <w:highlight w:val="none"/>
              </w:rPr>
              <w:t xml:space="preserve">。</w:t>
            </w:r>
            <w:r/>
          </w:p>
        </w:tc>
      </w:tr>
      <w:tr>
        <w:trPr>
          <w:jc w:val="center"/>
          <w:trHeight w:val="20"/>
        </w:trPr>
        <w:tc>
          <w:tcPr>
            <w:shd w:val="clear" w:color="auto" w:fill="ffffff"/>
            <w:tcW w:w="478" w:type="pct"/>
            <w:vAlign w:val="center"/>
            <w:textDirection w:val="lrTb"/>
            <w:noWrap w:val="false"/>
          </w:tcPr>
          <w:p>
            <w:pPr>
              <w:pStyle w:val="11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c>
          <w:tcPr>
            <w:shd w:val="clear" w:color="auto" w:fill="ffffff"/>
            <w:tcW w:w="83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w:t>
            </w:r>
            <w:r/>
          </w:p>
        </w:tc>
        <w:tc>
          <w:tcPr>
            <w:shd w:val="clear" w:color="auto" w:fill="ffffff"/>
            <w:tcW w:w="3690"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收费对象：</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rFonts w:hint="eastAsia" w:ascii="宋体" w:hAnsi="宋体" w:eastAsia="宋体" w:cs="宋体"/>
                <w:color w:val="auto"/>
                <w:sz w:val="24"/>
                <w:highlight w:val="none"/>
                <w:u w:val="single"/>
              </w:rPr>
              <w:t xml:space="preserve">本项目招标代理服务费每标段按苏招协[2022]002号收费标准按差额定率累进法计算后乘以折扣率</w:t>
            </w:r>
            <w:r>
              <w:rPr>
                <w:rFonts w:hint="eastAsia" w:ascii="宋体" w:hAnsi="宋体" w:cs="宋体"/>
                <w:color w:val="auto"/>
                <w:sz w:val="24"/>
                <w:highlight w:val="none"/>
                <w:u w:val="single"/>
                <w:lang w:val="en-US" w:eastAsia="zh-CN"/>
              </w:rPr>
              <w:t xml:space="preserve">22.8</w:t>
            </w:r>
            <w:r>
              <w:rPr>
                <w:rFonts w:hint="eastAsia" w:ascii="宋体" w:hAnsi="宋体" w:eastAsia="宋体" w:cs="宋体"/>
                <w:color w:val="auto"/>
                <w:sz w:val="24"/>
                <w:highlight w:val="none"/>
                <w:u w:val="single"/>
              </w:rPr>
              <w:t xml:space="preserve">%，由中标人承担，该费用不单独计列，计入投标人投标报价中。中标人在收到中标通知书后7日内，向招标代理机构一次性支付招标代理服务费。</w:t>
            </w:r>
            <w:r/>
          </w:p>
        </w:tc>
      </w:tr>
    </w:tbl>
    <w:p>
      <w:pPr>
        <w:spacing w:line="360" w:lineRule="auto"/>
        <w:tabs>
          <w:tab w:val="left" w:pos="5580" w:leader="none"/>
        </w:tabs>
        <w:rPr>
          <w:rFonts w:hint="eastAsia" w:ascii="宋体" w:hAnsi="宋体" w:eastAsia="宋体" w:cs="宋体"/>
          <w:color w:val="auto"/>
          <w:sz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4"/>
          <w:highlight w:val="none"/>
        </w:rPr>
      </w:r>
      <w:r/>
    </w:p>
    <w:p>
      <w:pPr>
        <w:jc w:val="center"/>
        <w:spacing w:before="240" w:after="240"/>
        <w:rPr>
          <w:rFonts w:hint="eastAsia" w:ascii="宋体" w:hAnsi="宋体" w:eastAsia="宋体" w:cs="宋体"/>
          <w:b/>
          <w:color w:val="auto"/>
          <w:sz w:val="28"/>
          <w:szCs w:val="28"/>
          <w:highlight w:val="none"/>
        </w:rPr>
      </w:pPr>
      <w:r/>
      <w:bookmarkStart w:id="75" w:name="_Toc150480755"/>
      <w:r/>
      <w:bookmarkStart w:id="76" w:name="_Toc353873662"/>
      <w:r/>
      <w:bookmarkStart w:id="77" w:name="_Toc353825542"/>
      <w:r/>
      <w:bookmarkStart w:id="78" w:name="_Toc127151517"/>
      <w:r/>
      <w:bookmarkStart w:id="79" w:name="_Toc353873932"/>
      <w:r/>
      <w:bookmarkStart w:id="80" w:name="_Toc226337213"/>
      <w:r/>
      <w:bookmarkStart w:id="81" w:name="_Toc226965790"/>
      <w:r/>
      <w:bookmarkStart w:id="82" w:name="_Toc305158859"/>
      <w:r/>
      <w:bookmarkStart w:id="83" w:name="_Toc264969207"/>
      <w:r/>
      <w:bookmarkStart w:id="84" w:name="_Toc150774722"/>
      <w:r/>
      <w:bookmarkStart w:id="85" w:name="_Toc265228355"/>
      <w:r/>
      <w:bookmarkStart w:id="86" w:name="_Toc195842882"/>
      <w:r/>
      <w:bookmarkStart w:id="87" w:name="_Toc142311019"/>
      <w:r/>
      <w:bookmarkStart w:id="88" w:name="_Toc305158785"/>
      <w:r>
        <w:rPr>
          <w:rFonts w:hint="eastAsia" w:ascii="宋体" w:hAnsi="宋体" w:eastAsia="宋体" w:cs="宋体"/>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17"/>
        <w:jc w:val="left"/>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89" w:name="_Toc127151518"/>
      <w:r/>
      <w:bookmarkStart w:id="90" w:name="_Toc520356143"/>
      <w:r>
        <w:rPr>
          <w:rFonts w:hint="eastAsia" w:ascii="宋体" w:hAnsi="宋体" w:eastAsia="宋体" w:cs="宋体"/>
          <w:color w:val="auto"/>
          <w:sz w:val="28"/>
          <w:highlight w:val="none"/>
        </w:rPr>
        <w:tab/>
      </w:r>
      <w:bookmarkStart w:id="91" w:name="_Toc305158786"/>
      <w:r/>
      <w:bookmarkStart w:id="92" w:name="_Toc151193832"/>
      <w:r/>
      <w:bookmarkStart w:id="93" w:name="_Toc265228356"/>
      <w:r/>
      <w:bookmarkStart w:id="94" w:name="_Toc150480756"/>
      <w:r/>
      <w:bookmarkStart w:id="95" w:name="_Toc151193906"/>
      <w:r/>
      <w:bookmarkStart w:id="96" w:name="_Toc151190145"/>
      <w:r/>
      <w:bookmarkStart w:id="97" w:name="_Toc150509269"/>
      <w:r/>
      <w:bookmarkStart w:id="98" w:name="_Toc226965791"/>
      <w:r/>
      <w:bookmarkStart w:id="99" w:name="_Toc150774723"/>
      <w:r/>
      <w:bookmarkStart w:id="100" w:name="_Toc305158860"/>
      <w:r/>
      <w:bookmarkStart w:id="101" w:name="_Toc151193760"/>
      <w:r/>
      <w:bookmarkStart w:id="102" w:name="_Toc264969208"/>
      <w:r/>
      <w:bookmarkStart w:id="103" w:name="_Toc150774618"/>
      <w:r/>
      <w:bookmarkStart w:id="104" w:name="_Toc151193688"/>
      <w:r/>
      <w:bookmarkStart w:id="105" w:name="_Toc151193616"/>
      <w:r/>
      <w:bookmarkStart w:id="106" w:name="_Toc226337214"/>
      <w:r/>
      <w:bookmarkStart w:id="107" w:name="_Toc195842883"/>
      <w:r/>
      <w:bookmarkStart w:id="108" w:name="_Toc226309762"/>
      <w:r/>
      <w:bookmarkStart w:id="109" w:name="_Toc226965708"/>
      <w:r/>
      <w:bookmarkStart w:id="110" w:name="_Toc142311020"/>
      <w:r>
        <w:rPr>
          <w:rFonts w:hint="eastAsia" w:ascii="宋体" w:hAnsi="宋体" w:eastAsia="宋体" w:cs="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auto"/>
          <w:sz w:val="28"/>
          <w:highlight w:val="none"/>
        </w:rPr>
        <w:tab/>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111" w:name="_Toc265228357"/>
      <w:r/>
      <w:bookmarkStart w:id="112" w:name="_Toc305158787"/>
      <w:r/>
      <w:bookmarkStart w:id="113" w:name="_Toc305158861"/>
      <w:r/>
      <w:bookmarkStart w:id="114" w:name="_Toc264969209"/>
      <w:r>
        <w:rPr>
          <w:rFonts w:hint="eastAsia" w:ascii="宋体" w:hAnsi="宋体" w:eastAsia="宋体" w:cs="宋体"/>
          <w:color w:val="auto"/>
          <w:sz w:val="24"/>
          <w:highlight w:val="none"/>
        </w:rPr>
        <w:t xml:space="preserve">1采购人、采购代理机构、投标人</w:t>
      </w:r>
      <w:bookmarkEnd w:id="111"/>
      <w:r/>
      <w:bookmarkEnd w:id="112"/>
      <w:r/>
      <w:bookmarkEnd w:id="113"/>
      <w:r/>
      <w:bookmarkEnd w:id="114"/>
      <w:r>
        <w:rPr>
          <w:rFonts w:hint="eastAsia" w:ascii="宋体" w:hAnsi="宋体" w:eastAsia="宋体" w:cs="宋体"/>
          <w:color w:val="auto"/>
          <w:sz w:val="24"/>
          <w:highlight w:val="none"/>
        </w:rPr>
        <w:t xml:space="preserve">、联合体</w:t>
      </w:r>
      <w:r/>
    </w:p>
    <w:p>
      <w:pPr>
        <w:numPr>
          <w:ilvl w:val="1"/>
          <w:numId w:val="0"/>
        </w:numPr>
        <w:ind w:firstLine="48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1.1采购人、采购代理机构：指依法进行政府采购的国家机关、事业单位、团体组织，及其委托的采购代理机构。本项目采购人、采购代理机构见第一章《投标邀请》。</w:t>
      </w:r>
      <w:r/>
    </w:p>
    <w:p>
      <w:pPr>
        <w:numPr>
          <w:ilvl w:val="1"/>
          <w:numId w:val="0"/>
        </w:numPr>
        <w:ind w:firstLine="48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1.2投标人（也称“供应商”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“申请人”）：指向采购人提供货物、工程或者服务的法人、其他组织或者自然人。</w:t>
      </w:r>
      <w:r/>
    </w:p>
    <w:p>
      <w:pPr>
        <w:numPr>
          <w:ilvl w:val="1"/>
          <w:numId w:val="0"/>
        </w:numPr>
        <w:ind w:firstLine="48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1.3联合体：指两个以上的自然人、法人或者其他组织组成一个联合体，以一个供应商的身份共同参加政府采购。</w:t>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115" w:name="_Toc164229215"/>
      <w:r/>
      <w:bookmarkStart w:id="116" w:name="_Toc127151721"/>
      <w:r/>
      <w:bookmarkStart w:id="117" w:name="_Toc151193762"/>
      <w:r/>
      <w:bookmarkStart w:id="118" w:name="_Toc151193908"/>
      <w:r/>
      <w:bookmarkStart w:id="119" w:name="_Toc305158788"/>
      <w:r/>
      <w:bookmarkStart w:id="120" w:name="_Toc127161434"/>
      <w:r/>
      <w:bookmarkStart w:id="121" w:name="_Toc226337216"/>
      <w:r/>
      <w:bookmarkStart w:id="122" w:name="_Toc164608789"/>
      <w:r/>
      <w:bookmarkStart w:id="123" w:name="_Toc264969210"/>
      <w:r/>
      <w:bookmarkStart w:id="124" w:name="_Toc226965793"/>
      <w:r/>
      <w:bookmarkStart w:id="125" w:name="_Toc142311022"/>
      <w:r/>
      <w:bookmarkStart w:id="126" w:name="_Toc164351614"/>
      <w:r/>
      <w:bookmarkStart w:id="127" w:name="_Toc150480758"/>
      <w:r/>
      <w:bookmarkStart w:id="128" w:name="_Toc265228358"/>
      <w:r/>
      <w:bookmarkStart w:id="129" w:name="_Toc164608634"/>
      <w:r/>
      <w:bookmarkStart w:id="130" w:name="_Toc151190147"/>
      <w:r/>
      <w:bookmarkStart w:id="131" w:name="_Toc150774725"/>
      <w:r/>
      <w:bookmarkStart w:id="132" w:name="_Toc164229361"/>
      <w:r/>
      <w:bookmarkStart w:id="133" w:name="_Toc150509271"/>
      <w:r/>
      <w:bookmarkStart w:id="134" w:name="_Toc305158862"/>
      <w:r/>
      <w:bookmarkStart w:id="135" w:name="_Toc151193690"/>
      <w:r/>
      <w:bookmarkStart w:id="136" w:name="_Toc151193618"/>
      <w:r/>
      <w:bookmarkStart w:id="137" w:name="_Toc151193834"/>
      <w:r/>
      <w:bookmarkStart w:id="138" w:name="_Toc226309764"/>
      <w:r/>
      <w:bookmarkStart w:id="139" w:name="_Toc127151520"/>
      <w:r/>
      <w:bookmarkStart w:id="140" w:name="_Toc149720813"/>
      <w:r/>
      <w:bookmarkStart w:id="141" w:name="_Toc195842885"/>
      <w:r/>
      <w:bookmarkStart w:id="142" w:name="_Toc150774620"/>
      <w:r/>
      <w:bookmarkStart w:id="143" w:name="_Toc226965710"/>
      <w:r>
        <w:rPr>
          <w:rFonts w:hint="eastAsia" w:ascii="宋体" w:hAnsi="宋体" w:eastAsia="宋体" w:cs="宋体"/>
          <w:color w:val="auto"/>
          <w:sz w:val="24"/>
          <w:highlight w:val="none"/>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eastAsia="宋体" w:cs="宋体"/>
          <w:color w:val="auto"/>
          <w:sz w:val="24"/>
          <w:highlight w:val="none"/>
        </w:rPr>
        <w:t xml:space="preserve">、项目属性、科研仪器设备采购、核心产品</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2.1资金来源为财政性资金和/或本项目采购中无法与财政性资金分割的非财政性资金。</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2.2项目属性见《投标人须知资料表》。</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2.3是否属于科研仪器设备采购见《投标人须知资料表》。</w:t>
      </w:r>
      <w:r/>
    </w:p>
    <w:p>
      <w:pPr>
        <w:numPr>
          <w:ilvl w:val="1"/>
          <w:numId w:val="0"/>
        </w:numPr>
        <w:ind w:firstLine="48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2.4核心产品见《投标人须知资料表》。</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3现场考察、开标前答疑会</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8"/>
          <w:highlight w:val="none"/>
        </w:rPr>
      </w:pPr>
      <w:r>
        <w:rPr>
          <w:rFonts w:hint="eastAsia" w:ascii="宋体" w:hAnsi="宋体" w:eastAsia="宋体" w:cs="宋体"/>
          <w:color w:val="auto"/>
          <w:sz w:val="24"/>
          <w:highlight w:val="none"/>
        </w:rPr>
        <w:t xml:space="preserve">3.1若《投标人须知资料表》中规定了组织现场考察、召开开标前答疑会，则投标人应按要求在规定的时间和地点参加。</w:t>
      </w:r>
      <w:bookmarkStart w:id="144" w:name="_Toc127151522"/>
      <w:r/>
      <w:bookmarkStart w:id="145" w:name="_Toc150774727"/>
      <w:r/>
      <w:bookmarkStart w:id="146" w:name="_Toc151193692"/>
      <w:r/>
      <w:bookmarkStart w:id="147" w:name="_Toc151193620"/>
      <w:r/>
      <w:bookmarkStart w:id="148" w:name="_Toc150774622"/>
      <w:r/>
      <w:bookmarkStart w:id="149" w:name="_Toc151193836"/>
      <w:r/>
      <w:bookmarkStart w:id="150" w:name="_Toc226309766"/>
      <w:r/>
      <w:bookmarkStart w:id="151" w:name="_Toc305158864"/>
      <w:r/>
      <w:bookmarkStart w:id="152" w:name="_Toc264969212"/>
      <w:r/>
      <w:bookmarkStart w:id="153" w:name="_Toc142311024"/>
      <w:r/>
      <w:bookmarkStart w:id="154" w:name="_Toc265228360"/>
      <w:r/>
      <w:bookmarkStart w:id="155" w:name="_Toc151193910"/>
      <w:r/>
      <w:bookmarkStart w:id="156" w:name="_Toc226337218"/>
      <w:r/>
      <w:bookmarkStart w:id="157" w:name="_Toc305158790"/>
      <w:r/>
      <w:bookmarkStart w:id="158" w:name="_Toc150509273"/>
      <w:r/>
      <w:bookmarkStart w:id="159" w:name="_Toc520356146"/>
      <w:r/>
      <w:bookmarkStart w:id="160" w:name="_Toc151193764"/>
      <w:r/>
      <w:bookmarkStart w:id="161" w:name="_Toc226965712"/>
      <w:r/>
      <w:bookmarkStart w:id="162" w:name="_Toc150480760"/>
      <w:r/>
      <w:bookmarkStart w:id="163" w:name="_Toc195842887"/>
      <w:r/>
      <w:bookmarkStart w:id="164" w:name="_Toc151190149"/>
      <w:r/>
      <w:bookmarkStart w:id="165" w:name="_Toc226965795"/>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4样品</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4.1本项目是否要求投标人提供样品，以及样品制作的标准和要求、是否需要随样品提交相关检测报告、样品的递交与退还等要求见《投标人须知资料表》。</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4.2样品的评审方法以及评审标准等内容见第</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章《评标方法和评标标准》。</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5政府采购政策（包括但不限于下列具体政策要求）</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5.1进口产品</w:t>
      </w:r>
      <w:r/>
    </w:p>
    <w:p>
      <w:pPr>
        <w:numPr>
          <w:ilvl w:val="2"/>
          <w:numId w:val="0"/>
        </w:numPr>
        <w:ind w:firstLine="48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5.2中小企业、监狱企业及残疾人福利性单位</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5.2.1中小企业定义：</w:t>
      </w:r>
      <w:r/>
    </w:p>
    <w:p>
      <w:pPr>
        <w:pStyle w:val="1213"/>
        <w:ind w:firstLine="480"/>
        <w:spacing w:line="360" w:lineRule="auto"/>
        <w:tabs>
          <w:tab w:val="left" w:pos="1980" w:leader="none"/>
          <w:tab w:val="left" w:pos="203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5.2.1.2供应商提供的货物、工程或者服务符合下列情形的，享受中小企业扶持政策：</w:t>
      </w:r>
      <w:r/>
    </w:p>
    <w:p>
      <w:pPr>
        <w:ind w:firstLine="480"/>
        <w:spacing w:line="360" w:lineRule="auto"/>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（2）在工程采购项目中，工程由中小企业承建，即工程施工单位为中小企业；</w:t>
      </w:r>
      <w:r/>
    </w:p>
    <w:p>
      <w:pPr>
        <w:ind w:firstLine="480"/>
        <w:spacing w:line="360" w:lineRule="auto"/>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5.2.1.3在货物采购项目中，供应商提供的货物既有中小企业制造货物，也有大型企业制造货物的，不享受中小企业扶持政策。</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5.2.1.4以联合体形式参加政府采购活动，联合体各方均为中小企业的，联合体视同中小企业。其中，联合体各方均为小微企业的，联合体视同小微企业。</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5.2.3残疾人福利单位定义：享受政府采购支持政策的残疾人福利性单位应当同时满足以下条件：</w:t>
      </w:r>
      <w:r/>
    </w:p>
    <w:p>
      <w:pPr>
        <w:pStyle w:val="1213"/>
        <w:numPr>
          <w:ilvl w:val="2"/>
          <w:numId w:val="0"/>
        </w:numPr>
        <w:ind w:firstLine="480"/>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t xml:space="preserve">5.2.2</w:t>
      </w:r>
      <w:r/>
    </w:p>
    <w:p>
      <w:pPr>
        <w:pStyle w:val="1213"/>
        <w:numPr>
          <w:ilvl w:val="2"/>
          <w:numId w:val="0"/>
        </w:numPr>
        <w:ind w:firstLine="480"/>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t xml:space="preserve">5.2.3</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5.2.3.1安置的残疾人占本单位在职职工人数的比例不低于25%（含25%），并且安置的残疾人人数不少于10 人（含10 人）；</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5.2.3.2依法与安置的每位残疾人签订了一年以上（含一年）的劳动合同或服务协议；</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5.2.3.3为安置的每位残疾人按月足额缴纳了基本养老保险、基本医疗保险、失业保险、工伤保险和生育保险等社会保险费；</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5.2.3.4通过银行等金融机构向安置的每位残疾人，按月支付了不低于单位所在区县适用的经省级人民政府批准的月最低工资标准的工资；</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5.2.3.5提供本单位制造的货物、承担的工程或者服务（以下简称产品），或者提供其他残疾人福利性单位制造的货物（不包括使用非残疾人福利性单位注册商标的货物）；</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5.2.4本项目是否专门面向中小企业预留采购份额见第一章《投标邀请》。</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5.2.5采购标的对应的中小企业划分标准所属行业见《投标人须知资料表》。</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5.2.6小微企业价格评审优惠的政策调整：见第</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章《</w:t>
      </w:r>
      <w:r>
        <w:rPr>
          <w:color w:val="auto"/>
          <w:sz w:val="24"/>
          <w:highlight w:val="none"/>
        </w:rPr>
        <w:t xml:space="preserve">评标方法和评标标准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5.3政府采购节能产品、环境标志产品</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5.3.4非政府强制采购的节能产品或环境标志产品，依据品目清单和认证证书实施政府优先采购。优先采购的具体规定见第</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章《</w:t>
      </w:r>
      <w:r>
        <w:rPr>
          <w:color w:val="auto"/>
          <w:sz w:val="24"/>
          <w:highlight w:val="none"/>
        </w:rPr>
        <w:t xml:space="preserve">评标方法和评标标准》</w:t>
      </w:r>
      <w:r>
        <w:rPr>
          <w:rFonts w:hint="eastAsia" w:ascii="宋体" w:hAnsi="宋体" w:eastAsia="宋体" w:cs="宋体"/>
          <w:color w:val="auto"/>
          <w:sz w:val="24"/>
          <w:highlight w:val="none"/>
        </w:rPr>
        <w:t xml:space="preserve">（如涉及）。</w:t>
      </w:r>
      <w:r/>
    </w:p>
    <w:p>
      <w:pPr>
        <w:numPr>
          <w:ilvl w:val="2"/>
          <w:numId w:val="0"/>
        </w:numPr>
        <w:ind w:firstLine="48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供应商必须严格执行，必要时应按照要求在履约验收环节出具检测报告。</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5.4支持乡村产业振兴管理</w:t>
      </w:r>
      <w:r/>
    </w:p>
    <w:p>
      <w:pPr>
        <w:numPr>
          <w:ilvl w:val="2"/>
          <w:numId w:val="0"/>
        </w:numPr>
        <w:ind w:firstLine="48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5.4.1为落实《关于运用政府采购政策支持乡村产业振兴的通知》（财库〔2021〕19号）有关要求，做好支持脱贫攻坚工作，本项目采购活动中对于支持乡村振兴管理的相关要求见第</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章《采购需求》（如涉及）。</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5.5正版软件</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5.6信息安全产品</w:t>
      </w:r>
      <w:r/>
    </w:p>
    <w:p>
      <w:pPr>
        <w:numPr>
          <w:ilvl w:val="2"/>
          <w:numId w:val="0"/>
        </w:numPr>
        <w:ind w:firstLine="48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5.6.1所投产品属于《关于调整信息安全产品强制性认证实施要求的公告》（2009 年第33 号）范围的，采购经国家认证的信息安全产品，否则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。关于信息安全相关规定依据《关于信息安全产品实施政府采购的通知》（财库〔2010〕48 号）。</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5.7政府采购创新产品政策</w:t>
      </w:r>
      <w:r/>
    </w:p>
    <w:p>
      <w:pPr>
        <w:numPr>
          <w:ilvl w:val="2"/>
          <w:numId w:val="0"/>
        </w:numPr>
        <w:ind w:firstLine="48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6投标费用</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eastAsia="宋体" w:cs="宋体"/>
          <w:color w:val="auto"/>
          <w:sz w:val="28"/>
          <w:highlight w:val="none"/>
        </w:rPr>
      </w:pPr>
      <w:r/>
      <w:bookmarkStart w:id="166" w:name="_1.8_计量单位"/>
      <w:r/>
      <w:bookmarkEnd w:id="166"/>
      <w:r/>
      <w:r/>
    </w:p>
    <w:p>
      <w:pPr>
        <w:pStyle w:val="1117"/>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167" w:name="_Toc151193837"/>
      <w:r/>
      <w:bookmarkStart w:id="168" w:name="_Toc226965796"/>
      <w:r/>
      <w:bookmarkStart w:id="169" w:name="_Toc264969213"/>
      <w:r/>
      <w:bookmarkStart w:id="170" w:name="_Toc195842888"/>
      <w:r/>
      <w:bookmarkStart w:id="171" w:name="_Toc164351617"/>
      <w:r/>
      <w:bookmarkStart w:id="172" w:name="_Toc142311025"/>
      <w:r/>
      <w:bookmarkStart w:id="173" w:name="_Toc151193765"/>
      <w:r/>
      <w:bookmarkStart w:id="174" w:name="_Toc164229218"/>
      <w:r/>
      <w:bookmarkStart w:id="175" w:name="_Toc149720816"/>
      <w:r/>
      <w:bookmarkStart w:id="176" w:name="_Toc164229364"/>
      <w:r/>
      <w:bookmarkStart w:id="177" w:name="_Toc164608637"/>
      <w:r/>
      <w:bookmarkStart w:id="178" w:name="_Toc150480761"/>
      <w:r/>
      <w:bookmarkStart w:id="179" w:name="_Toc226337219"/>
      <w:r/>
      <w:bookmarkStart w:id="180" w:name="_Toc127161437"/>
      <w:r/>
      <w:bookmarkStart w:id="181" w:name="_Toc151190150"/>
      <w:r/>
      <w:bookmarkStart w:id="182" w:name="_Toc150774728"/>
      <w:r/>
      <w:bookmarkStart w:id="183" w:name="_Toc305158791"/>
      <w:r/>
      <w:bookmarkStart w:id="184" w:name="_Toc265228361"/>
      <w:r/>
      <w:bookmarkStart w:id="185" w:name="_Toc150509274"/>
      <w:r/>
      <w:bookmarkStart w:id="186" w:name="_Toc226309767"/>
      <w:r/>
      <w:bookmarkStart w:id="187" w:name="_Toc151193621"/>
      <w:r/>
      <w:bookmarkStart w:id="188" w:name="_Toc164608792"/>
      <w:r/>
      <w:bookmarkStart w:id="189" w:name="_Toc151193693"/>
      <w:r/>
      <w:bookmarkStart w:id="190" w:name="_Toc305158865"/>
      <w:r/>
      <w:bookmarkStart w:id="191" w:name="_Toc127151523"/>
      <w:r/>
      <w:bookmarkStart w:id="192" w:name="_Toc150774623"/>
      <w:r/>
      <w:bookmarkStart w:id="193" w:name="_Toc520356147"/>
      <w:r/>
      <w:bookmarkStart w:id="194" w:name="_Toc226965713"/>
      <w:r/>
      <w:bookmarkStart w:id="195" w:name="_Toc151193911"/>
      <w:r/>
      <w:bookmarkStart w:id="196" w:name="_Toc127151724"/>
      <w:r>
        <w:rPr>
          <w:rFonts w:hint="eastAsia" w:ascii="宋体" w:hAnsi="宋体" w:eastAsia="宋体" w:cs="宋体"/>
          <w:color w:val="auto"/>
          <w:sz w:val="24"/>
          <w:highlight w:val="none"/>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eastAsia="宋体" w:cs="宋体"/>
          <w:color w:val="auto"/>
          <w:sz w:val="24"/>
          <w:highlight w:val="none"/>
        </w:rPr>
        <w:t xml:space="preserve">成</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7.1招标文件包括以下部分：</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第一章 </w:t>
      </w:r>
      <w:r>
        <w:rPr>
          <w:rFonts w:hint="eastAsia" w:ascii="宋体" w:hAnsi="宋体" w:eastAsia="宋体" w:cs="宋体"/>
          <w:color w:val="auto"/>
          <w:sz w:val="24"/>
          <w:highlight w:val="none"/>
        </w:rPr>
        <w:t xml:space="preserve">投标邀请</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第二章 </w:t>
      </w:r>
      <w:r>
        <w:rPr>
          <w:rFonts w:hint="eastAsia" w:ascii="宋体" w:hAnsi="宋体" w:eastAsia="宋体" w:cs="宋体"/>
          <w:color w:val="auto"/>
          <w:sz w:val="24"/>
          <w:highlight w:val="none"/>
        </w:rPr>
        <w:t xml:space="preserve">投标人须知</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第三章 </w:t>
      </w:r>
      <w:r>
        <w:rPr>
          <w:rFonts w:hint="eastAsia" w:ascii="宋体" w:hAnsi="宋体" w:eastAsia="宋体" w:cs="宋体"/>
          <w:color w:val="auto"/>
          <w:sz w:val="24"/>
          <w:highlight w:val="none"/>
        </w:rPr>
        <w:t xml:space="preserve">资格审查</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第四章 </w:t>
      </w:r>
      <w:r>
        <w:rPr>
          <w:rFonts w:hint="eastAsia" w:ascii="宋体" w:hAnsi="宋体" w:eastAsia="宋体" w:cs="宋体"/>
          <w:color w:val="auto"/>
          <w:sz w:val="24"/>
          <w:highlight w:val="none"/>
        </w:rPr>
        <w:t xml:space="preserve">评标程序、评标方法和评标标准</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第五章 </w:t>
      </w:r>
      <w:r>
        <w:rPr>
          <w:rFonts w:hint="eastAsia" w:ascii="宋体" w:hAnsi="宋体" w:eastAsia="宋体" w:cs="宋体"/>
          <w:color w:val="auto"/>
          <w:sz w:val="24"/>
          <w:highlight w:val="none"/>
        </w:rPr>
        <w:t xml:space="preserve">采购需求</w:t>
      </w:r>
      <w:r/>
    </w:p>
    <w:p>
      <w:pPr>
        <w:numPr>
          <w:ilvl w:val="0"/>
          <w:numId w:val="0"/>
        </w:numPr>
        <w:ind w:left="0" w:firstLine="480"/>
        <w:jc w:val="both"/>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第六章 </w:t>
      </w:r>
      <w:r>
        <w:rPr>
          <w:rFonts w:hint="eastAsia" w:ascii="宋体" w:hAnsi="宋体" w:eastAsia="宋体" w:cs="宋体"/>
          <w:color w:val="auto"/>
          <w:sz w:val="24"/>
          <w:highlight w:val="none"/>
        </w:rPr>
        <w:t xml:space="preserve">拟签订的合同文本</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第七章 </w:t>
      </w:r>
      <w:r>
        <w:rPr>
          <w:rFonts w:hint="eastAsia" w:ascii="宋体" w:hAnsi="宋体" w:eastAsia="宋体" w:cs="宋体"/>
          <w:color w:val="auto"/>
          <w:sz w:val="24"/>
          <w:highlight w:val="none"/>
        </w:rPr>
        <w:t xml:space="preserve">投标文件格式</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7.2投标人应认真阅读招标文件的全部内容。投标人应按照招标文件要求提交投标文件并保证所提供的全部资料的真实性，并对招标文件</w:t>
      </w:r>
      <w:r>
        <w:rPr>
          <w:rFonts w:hint="eastAsia" w:ascii="宋体" w:hAnsi="宋体" w:cs="宋体"/>
          <w:color w:val="auto"/>
          <w:sz w:val="24"/>
          <w:highlight w:val="none"/>
          <w:lang w:val="en-US" w:eastAsia="zh-CN"/>
        </w:rPr>
        <w:t xml:space="preserve">做出</w:t>
      </w:r>
      <w:r>
        <w:rPr>
          <w:rFonts w:hint="eastAsia" w:ascii="宋体" w:hAnsi="宋体" w:eastAsia="宋体" w:cs="宋体"/>
          <w:color w:val="auto"/>
          <w:sz w:val="24"/>
          <w:highlight w:val="none"/>
        </w:rPr>
        <w:t xml:space="preserve">实质性响应，否则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spacing w:line="360" w:lineRule="auto"/>
        <w:tabs>
          <w:tab w:val="left" w:pos="1080" w:leader="none"/>
          <w:tab w:val="left" w:pos="2014"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8对招标文件的澄清或修改</w:t>
      </w:r>
      <w:r/>
    </w:p>
    <w:p>
      <w:pPr>
        <w:numPr>
          <w:ilvl w:val="1"/>
          <w:numId w:val="0"/>
        </w:numPr>
        <w:ind w:firstLine="480"/>
        <w:spacing w:line="360" w:lineRule="auto"/>
        <w:tabs>
          <w:tab w:val="left" w:pos="1080" w:leader="none"/>
          <w:tab w:val="left" w:pos="1561"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8.1采购人或采购代理机构对已发出的招标文件进行必要澄清或者修改的，将在原公告发布媒体上以发布更正公告的形式通知所有获取招标文件的潜在投标人。</w:t>
      </w:r>
      <w:r/>
    </w:p>
    <w:p>
      <w:pPr>
        <w:numPr>
          <w:ilvl w:val="1"/>
          <w:numId w:val="0"/>
        </w:numPr>
        <w:ind w:firstLine="480"/>
        <w:spacing w:line="360" w:lineRule="auto"/>
        <w:tabs>
          <w:tab w:val="left" w:pos="1080" w:leader="none"/>
          <w:tab w:val="left" w:pos="1561"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8.2澄清或者修改的内容为招标文件的组成部分，并对所有获取招标文件的潜在投标人具有约束力。澄清或者修改的内容可能影响投标文件编制的，将在投标截止时间至少15日前，</w:t>
      </w:r>
      <w:r>
        <w:rPr>
          <w:rFonts w:hint="eastAsia" w:ascii="宋体" w:hAnsi="宋体" w:eastAsia="宋体" w:cs="宋体"/>
          <w:b/>
          <w:bCs/>
          <w:color w:val="auto"/>
          <w:sz w:val="24"/>
          <w:highlight w:val="none"/>
        </w:rPr>
        <w:t xml:space="preserve">在采购公告发布媒体以更正公告形式通知所有获取招标文件的潜在投标人，请潜在投标人及时关注更正公告</w:t>
      </w:r>
      <w:r>
        <w:rPr>
          <w:rFonts w:hint="eastAsia" w:ascii="宋体" w:hAnsi="宋体" w:eastAsia="宋体" w:cs="宋体"/>
          <w:color w:val="auto"/>
          <w:sz w:val="24"/>
          <w:highlight w:val="none"/>
        </w:rPr>
        <w:t xml:space="preserve">；不足15日的，将顺延提交投标文件的截止时间和开标时间。</w:t>
      </w:r>
      <w:r/>
    </w:p>
    <w:p>
      <w:pPr>
        <w:ind w:firstLine="560"/>
        <w:spacing w:line="360" w:lineRule="auto"/>
        <w:tabs>
          <w:tab w:val="left" w:pos="1080" w:leader="none"/>
          <w:tab w:val="left" w:pos="1561" w:leader="none"/>
        </w:tabs>
        <w:rPr>
          <w:rFonts w:hint="eastAsia" w:ascii="宋体" w:hAnsi="宋体" w:eastAsia="宋体" w:cs="宋体"/>
          <w:color w:val="auto"/>
          <w:sz w:val="28"/>
          <w:highlight w:val="none"/>
        </w:rPr>
      </w:pPr>
      <w:r/>
      <w:bookmarkStart w:id="197" w:name="_Toc516367020"/>
      <w:r/>
      <w:bookmarkStart w:id="198" w:name="_Toc151193768"/>
      <w:r/>
      <w:bookmarkStart w:id="199" w:name="_Toc151193914"/>
      <w:r/>
      <w:bookmarkStart w:id="200" w:name="_Toc150774731"/>
      <w:r/>
      <w:bookmarkStart w:id="201" w:name="_Toc226309770"/>
      <w:r/>
      <w:bookmarkStart w:id="202" w:name="_Toc226337222"/>
      <w:r/>
      <w:bookmarkStart w:id="203" w:name="_Toc151190153"/>
      <w:r/>
      <w:bookmarkStart w:id="204" w:name="_Toc151193696"/>
      <w:r/>
      <w:bookmarkStart w:id="205" w:name="_Toc520356150"/>
      <w:r/>
      <w:bookmarkStart w:id="206" w:name="_Toc305158794"/>
      <w:r/>
      <w:bookmarkStart w:id="207" w:name="_Toc150480764"/>
      <w:r/>
      <w:bookmarkStart w:id="208" w:name="_Toc151193624"/>
      <w:r/>
      <w:bookmarkStart w:id="209" w:name="_Toc226965799"/>
      <w:r/>
      <w:bookmarkStart w:id="210" w:name="_Toc226965716"/>
      <w:r/>
      <w:bookmarkStart w:id="211" w:name="_Toc150774626"/>
      <w:r/>
      <w:bookmarkStart w:id="212" w:name="_Toc151193840"/>
      <w:r/>
      <w:bookmarkStart w:id="213" w:name="_Toc142311028"/>
      <w:r/>
      <w:bookmarkStart w:id="214" w:name="_Toc264969216"/>
      <w:r/>
      <w:bookmarkStart w:id="215" w:name="_Toc305158868"/>
      <w:r/>
      <w:bookmarkStart w:id="216" w:name="_Toc265228364"/>
      <w:r/>
      <w:bookmarkStart w:id="217" w:name="_Toc195842891"/>
      <w:r/>
      <w:bookmarkStart w:id="218" w:name="_Toc150509277"/>
      <w:r/>
      <w:bookmarkStart w:id="219" w:name="_Toc127151526"/>
      <w:r/>
      <w:r/>
    </w:p>
    <w:p>
      <w:pPr>
        <w:pStyle w:val="1117"/>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三   投标文件</w:t>
      </w:r>
      <w:bookmarkEnd w:id="197"/>
      <w:r>
        <w:rPr>
          <w:rFonts w:hint="eastAsia" w:ascii="宋体" w:hAnsi="宋体" w:eastAsia="宋体" w:cs="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220" w:name="_Toc164229222"/>
      <w:r/>
      <w:bookmarkStart w:id="221" w:name="_Toc305158795"/>
      <w:r/>
      <w:bookmarkStart w:id="222" w:name="_Toc151193841"/>
      <w:r/>
      <w:bookmarkStart w:id="223" w:name="_Toc264969217"/>
      <w:r/>
      <w:bookmarkStart w:id="224" w:name="_Toc127161441"/>
      <w:r/>
      <w:bookmarkStart w:id="225" w:name="_Toc142311029"/>
      <w:r/>
      <w:bookmarkStart w:id="226" w:name="_Toc226337223"/>
      <w:r/>
      <w:bookmarkStart w:id="227" w:name="_Toc151190154"/>
      <w:r/>
      <w:bookmarkStart w:id="228" w:name="_Toc226965717"/>
      <w:r/>
      <w:bookmarkStart w:id="229" w:name="_Toc149720820"/>
      <w:r/>
      <w:bookmarkStart w:id="230" w:name="_Toc164608641"/>
      <w:r/>
      <w:bookmarkStart w:id="231" w:name="_Toc127151728"/>
      <w:r/>
      <w:bookmarkStart w:id="232" w:name="_Toc151193915"/>
      <w:r/>
      <w:bookmarkStart w:id="233" w:name="_Toc226965800"/>
      <w:r/>
      <w:bookmarkStart w:id="234" w:name="_Toc226309771"/>
      <w:r/>
      <w:bookmarkStart w:id="235" w:name="_Toc150774732"/>
      <w:r/>
      <w:bookmarkStart w:id="236" w:name="_Toc516367021"/>
      <w:r/>
      <w:bookmarkStart w:id="237" w:name="_Toc151193769"/>
      <w:r/>
      <w:bookmarkStart w:id="238" w:name="_Toc151193697"/>
      <w:r/>
      <w:bookmarkStart w:id="239" w:name="_Toc150774627"/>
      <w:r/>
      <w:bookmarkStart w:id="240" w:name="_Toc265228365"/>
      <w:r/>
      <w:bookmarkStart w:id="241" w:name="_Toc305158869"/>
      <w:r/>
      <w:bookmarkStart w:id="242" w:name="_Toc164608796"/>
      <w:r/>
      <w:bookmarkStart w:id="243" w:name="_Toc127151527"/>
      <w:r/>
      <w:bookmarkStart w:id="244" w:name="_Toc151193625"/>
      <w:r/>
      <w:bookmarkStart w:id="245" w:name="_Toc164229368"/>
      <w:r/>
      <w:bookmarkStart w:id="246" w:name="_Toc195842892"/>
      <w:r/>
      <w:bookmarkStart w:id="247" w:name="_Toc150480765"/>
      <w:r/>
      <w:bookmarkStart w:id="248" w:name="_Toc164351621"/>
      <w:r/>
      <w:bookmarkStart w:id="249" w:name="_Toc520356151"/>
      <w:r/>
      <w:bookmarkStart w:id="250" w:name="_Toc150509278"/>
      <w:r>
        <w:rPr>
          <w:rFonts w:hint="eastAsia" w:ascii="宋体" w:hAnsi="宋体" w:eastAsia="宋体" w:cs="宋体"/>
          <w:color w:val="auto"/>
          <w:sz w:val="24"/>
          <w:highlight w:val="none"/>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color w:val="auto"/>
          <w:sz w:val="24"/>
          <w:highlight w:val="none"/>
        </w:rPr>
        <w:t xml:space="preserve">及投标语言</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9.1本项目如划分采购包，投标人可以对本项目的其中一个采购包进行投标，也可同时对多个采购包进行投标。投标人应当对所投采购包对应第</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章《采购需求》所列的全部内容进行投标，不得将一个采购包中的内容拆开投标，否则其对该采购包的投标将被认定为</w:t>
      </w:r>
      <w:r>
        <w:rPr>
          <w:rFonts w:hint="eastAsia" w:ascii="宋体" w:hAnsi="宋体" w:eastAsia="宋体" w:cs="宋体"/>
          <w:b/>
          <w:color w:val="auto"/>
          <w:sz w:val="24"/>
          <w:highlight w:val="none"/>
        </w:rPr>
        <w:t xml:space="preserve">无效投标</w:t>
      </w:r>
      <w:r>
        <w:rPr>
          <w:rFonts w:hint="eastAsia" w:ascii="宋体" w:hAnsi="宋体" w:eastAsia="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9.2除招标文件有特殊要求外，本项目投标所使用的计量单位，应采用中华人民共和国法定计量单位。</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251" w:name="_Ref467306676"/>
      <w:r/>
      <w:bookmarkStart w:id="252" w:name="_Ref467306195"/>
      <w:r/>
      <w:bookmarkStart w:id="253" w:name="_Toc516367022"/>
      <w:r/>
      <w:bookmarkStart w:id="254" w:name="_Toc142311030"/>
      <w:r/>
      <w:bookmarkStart w:id="255" w:name="_Toc164229369"/>
      <w:r/>
      <w:bookmarkStart w:id="256" w:name="_Toc265228366"/>
      <w:r/>
      <w:bookmarkStart w:id="257" w:name="_Toc305158796"/>
      <w:r/>
      <w:bookmarkStart w:id="258" w:name="_Toc226309772"/>
      <w:r/>
      <w:bookmarkStart w:id="259" w:name="_Toc226965801"/>
      <w:r/>
      <w:bookmarkStart w:id="260" w:name="_Toc150480766"/>
      <w:r/>
      <w:bookmarkStart w:id="261" w:name="_Toc226337224"/>
      <w:r/>
      <w:bookmarkStart w:id="262" w:name="_Toc151193698"/>
      <w:r/>
      <w:bookmarkStart w:id="263" w:name="_Toc150774628"/>
      <w:r/>
      <w:bookmarkStart w:id="264" w:name="_Toc151193842"/>
      <w:r/>
      <w:bookmarkStart w:id="265" w:name="_Toc150509279"/>
      <w:r/>
      <w:bookmarkStart w:id="266" w:name="_Toc164608797"/>
      <w:r/>
      <w:bookmarkStart w:id="267" w:name="_Toc150774733"/>
      <w:r/>
      <w:bookmarkStart w:id="268" w:name="_Toc127151528"/>
      <w:r/>
      <w:bookmarkStart w:id="269" w:name="_Toc151193916"/>
      <w:r/>
      <w:bookmarkStart w:id="270" w:name="_Toc226965718"/>
      <w:r/>
      <w:bookmarkStart w:id="271" w:name="_Toc149720821"/>
      <w:r/>
      <w:bookmarkStart w:id="272" w:name="_Toc164229223"/>
      <w:r/>
      <w:bookmarkStart w:id="273" w:name="_Toc264969218"/>
      <w:r/>
      <w:bookmarkStart w:id="274" w:name="_Toc164608642"/>
      <w:r/>
      <w:bookmarkStart w:id="275" w:name="_Toc151193770"/>
      <w:r/>
      <w:bookmarkStart w:id="276" w:name="_Toc151193626"/>
      <w:r/>
      <w:bookmarkStart w:id="277" w:name="_Toc151190155"/>
      <w:r/>
      <w:bookmarkStart w:id="278" w:name="_Toc127151729"/>
      <w:r/>
      <w:bookmarkStart w:id="279" w:name="_Toc520356152"/>
      <w:r/>
      <w:bookmarkStart w:id="280" w:name="_Toc195842893"/>
      <w:r/>
      <w:bookmarkStart w:id="281" w:name="_Toc305158870"/>
      <w:r/>
      <w:bookmarkStart w:id="282" w:name="_Toc164351622"/>
      <w:r/>
      <w:bookmarkStart w:id="283" w:name="_Toc127161442"/>
      <w:r>
        <w:rPr>
          <w:rFonts w:hint="eastAsia" w:ascii="宋体" w:hAnsi="宋体" w:eastAsia="宋体" w:cs="宋体"/>
          <w:color w:val="auto"/>
          <w:sz w:val="24"/>
          <w:highlight w:val="none"/>
        </w:rPr>
        <w:t xml:space="preserve">10投标文件</w:t>
      </w:r>
      <w:bookmarkEnd w:id="251"/>
      <w:r/>
      <w:bookmarkEnd w:id="252"/>
      <w:r/>
      <w:bookmarkEnd w:id="253"/>
      <w:r>
        <w:rPr>
          <w:rFonts w:hint="eastAsia" w:ascii="宋体" w:hAnsi="宋体" w:eastAsia="宋体" w:cs="宋体"/>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bookmarkStart w:id="284" w:name="_Ref467052588"/>
      <w:r>
        <w:rPr>
          <w:rFonts w:hint="eastAsia" w:ascii="宋体" w:hAnsi="宋体" w:eastAsia="宋体" w:cs="宋体"/>
          <w:color w:val="auto"/>
          <w:sz w:val="24"/>
          <w:highlight w:val="none"/>
        </w:rPr>
        <w:t xml:space="preserve">10.1投标人应当按照招标文件的要求编制投标文件。投标文件应由《资格证明文件》、《商务技术文件》两部分构成。投标文件的部分格式要求，见第</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章《投标文件格式》。</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。未标记“实质性格式”的文件和招标文件未提供格式的内容，可由投标人自行编写。</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10.3第</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章《</w:t>
      </w:r>
      <w:r>
        <w:rPr>
          <w:color w:val="auto"/>
          <w:sz w:val="24"/>
          <w:highlight w:val="none"/>
        </w:rPr>
        <w:t xml:space="preserve">评标程序、评标方法和评标标准</w:t>
      </w:r>
      <w:r>
        <w:rPr>
          <w:rFonts w:hint="eastAsia" w:ascii="宋体" w:hAnsi="宋体" w:eastAsia="宋体" w:cs="宋体"/>
          <w:color w:val="auto"/>
          <w:sz w:val="24"/>
          <w:highlight w:val="none"/>
        </w:rPr>
        <w:t xml:space="preserve">》中涉及的证明文件。</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10.4对照第</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章《采购需求》，说明所提供货物和服务已对第</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章《采购需求》做出了响应，或申明与第</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章《采购需求》的偏差和例外。如第</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章《采购需求》中要求提供证明文件的，投标人应当按具体要求提供证明文件。</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10.5投标人认为应附的其他材料。</w:t>
      </w:r>
      <w:bookmarkEnd w:id="284"/>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285" w:name="_Toc150774735"/>
      <w:r/>
      <w:bookmarkStart w:id="286" w:name="_Toc164229225"/>
      <w:r/>
      <w:bookmarkStart w:id="287" w:name="_Toc151193918"/>
      <w:r/>
      <w:bookmarkStart w:id="288" w:name="_Toc520356155"/>
      <w:r/>
      <w:bookmarkStart w:id="289" w:name="_Toc150509281"/>
      <w:r/>
      <w:bookmarkStart w:id="290" w:name="_Toc142311032"/>
      <w:r/>
      <w:bookmarkStart w:id="291" w:name="_Toc164229371"/>
      <w:r/>
      <w:bookmarkStart w:id="292" w:name="_Toc149720823"/>
      <w:r/>
      <w:bookmarkStart w:id="293" w:name="_Toc151193700"/>
      <w:r/>
      <w:bookmarkStart w:id="294" w:name="_Toc127161444"/>
      <w:r/>
      <w:bookmarkStart w:id="295" w:name="_Toc164608644"/>
      <w:r/>
      <w:bookmarkStart w:id="296" w:name="_Toc151190157"/>
      <w:r/>
      <w:bookmarkStart w:id="297" w:name="_Toc150774630"/>
      <w:r/>
      <w:bookmarkStart w:id="298" w:name="_Toc150480768"/>
      <w:r/>
      <w:bookmarkStart w:id="299" w:name="_Toc151193628"/>
      <w:r/>
      <w:bookmarkStart w:id="300" w:name="_Toc195842895"/>
      <w:r/>
      <w:bookmarkStart w:id="301" w:name="_Toc164351624"/>
      <w:r/>
      <w:bookmarkStart w:id="302" w:name="_Toc151193844"/>
      <w:r/>
      <w:bookmarkStart w:id="303" w:name="_Toc151193772"/>
      <w:r/>
      <w:bookmarkStart w:id="304" w:name="_Toc127151731"/>
      <w:r/>
      <w:bookmarkStart w:id="305" w:name="_Toc164608799"/>
      <w:r/>
      <w:bookmarkStart w:id="306" w:name="_Toc127151530"/>
      <w:r>
        <w:rPr>
          <w:rFonts w:hint="eastAsia" w:ascii="宋体" w:hAnsi="宋体" w:eastAsia="宋体" w:cs="宋体"/>
          <w:color w:val="auto"/>
          <w:sz w:val="24"/>
          <w:highlight w:val="none"/>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11.1所有投标均以人民币报价。</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11.2.2按照招标文件要求完成本项目的全部相关服务费用。</w:t>
      </w:r>
      <w:r/>
    </w:p>
    <w:p>
      <w:pPr>
        <w:numPr>
          <w:ilvl w:val="2"/>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11.2.3按照投标文件格式中“分项报价表”要求填写总价及各项分项报价。</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11.4投标人不能提供任何有选择性或可调整的报价，否则其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307" w:name="_Toc164608800"/>
      <w:r/>
      <w:bookmarkStart w:id="308" w:name="_Toc305158873"/>
      <w:r/>
      <w:bookmarkStart w:id="309" w:name="_Toc164229226"/>
      <w:r/>
      <w:bookmarkStart w:id="310" w:name="_Toc151193845"/>
      <w:r/>
      <w:bookmarkStart w:id="311" w:name="_Toc127151531"/>
      <w:r/>
      <w:bookmarkStart w:id="312" w:name="_Toc150774631"/>
      <w:r/>
      <w:bookmarkStart w:id="313" w:name="_Toc264969221"/>
      <w:r/>
      <w:bookmarkStart w:id="314" w:name="_Toc226965804"/>
      <w:r/>
      <w:bookmarkStart w:id="315" w:name="_Toc151193773"/>
      <w:r/>
      <w:bookmarkStart w:id="316" w:name="_Toc151190158"/>
      <w:r/>
      <w:bookmarkStart w:id="317" w:name="_Toc265228369"/>
      <w:r/>
      <w:bookmarkStart w:id="318" w:name="_Toc226965721"/>
      <w:r/>
      <w:bookmarkStart w:id="319" w:name="_Toc305158799"/>
      <w:r/>
      <w:bookmarkStart w:id="320" w:name="_Toc520356156"/>
      <w:r/>
      <w:bookmarkStart w:id="321" w:name="_Toc150509282"/>
      <w:r/>
      <w:bookmarkStart w:id="322" w:name="_Toc164608645"/>
      <w:r/>
      <w:bookmarkStart w:id="323" w:name="_Toc149720824"/>
      <w:r/>
      <w:bookmarkStart w:id="324" w:name="_Toc195842896"/>
      <w:r/>
      <w:bookmarkStart w:id="325" w:name="_Toc151193629"/>
      <w:r/>
      <w:bookmarkStart w:id="326" w:name="_Toc127151732"/>
      <w:r/>
      <w:bookmarkStart w:id="327" w:name="_Toc164229372"/>
      <w:r/>
      <w:bookmarkStart w:id="328" w:name="_Ref467306513"/>
      <w:r/>
      <w:bookmarkStart w:id="329" w:name="_Toc226309775"/>
      <w:r/>
      <w:bookmarkStart w:id="330" w:name="_Toc150774736"/>
      <w:r/>
      <w:bookmarkStart w:id="331" w:name="_Toc150480769"/>
      <w:r/>
      <w:bookmarkStart w:id="332" w:name="_Toc127161445"/>
      <w:r/>
      <w:bookmarkStart w:id="333" w:name="_Toc226337227"/>
      <w:r/>
      <w:bookmarkStart w:id="334" w:name="_Toc164351625"/>
      <w:r/>
      <w:bookmarkStart w:id="335" w:name="_Toc151193919"/>
      <w:r/>
      <w:bookmarkStart w:id="336" w:name="_Toc142311033"/>
      <w:r/>
      <w:bookmarkStart w:id="337" w:name="_Toc151193701"/>
      <w:r>
        <w:rPr>
          <w:rFonts w:hint="eastAsia" w:ascii="宋体" w:hAnsi="宋体" w:eastAsia="宋体" w:cs="宋体"/>
          <w:color w:val="auto"/>
          <w:sz w:val="24"/>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投标保证金：根据江苏省和常州市的相关文件规定，免收投标保证金。</w:t>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338" w:name="_Toc151193774"/>
      <w:r/>
      <w:bookmarkStart w:id="339" w:name="_Toc164608801"/>
      <w:r/>
      <w:bookmarkStart w:id="340" w:name="_Toc226965805"/>
      <w:r/>
      <w:bookmarkStart w:id="341" w:name="_Toc151193630"/>
      <w:r/>
      <w:bookmarkStart w:id="342" w:name="_Toc226309776"/>
      <w:r/>
      <w:bookmarkStart w:id="343" w:name="_Toc151190159"/>
      <w:r/>
      <w:bookmarkStart w:id="344" w:name="_Toc305158800"/>
      <w:r/>
      <w:bookmarkStart w:id="345" w:name="_Toc164608646"/>
      <w:r/>
      <w:bookmarkStart w:id="346" w:name="_Toc305158874"/>
      <w:r/>
      <w:bookmarkStart w:id="347" w:name="_Toc264969222"/>
      <w:r/>
      <w:bookmarkStart w:id="348" w:name="_Toc226337228"/>
      <w:r/>
      <w:bookmarkStart w:id="349" w:name="_Toc150509283"/>
      <w:r/>
      <w:bookmarkStart w:id="350" w:name="_Toc195842897"/>
      <w:r/>
      <w:bookmarkStart w:id="351" w:name="_Toc150774632"/>
      <w:r/>
      <w:bookmarkStart w:id="352" w:name="_Toc150480770"/>
      <w:r/>
      <w:bookmarkStart w:id="353" w:name="_Toc164229373"/>
      <w:r/>
      <w:bookmarkStart w:id="354" w:name="_Toc142311034"/>
      <w:r/>
      <w:bookmarkStart w:id="355" w:name="_Toc127161446"/>
      <w:r/>
      <w:bookmarkStart w:id="356" w:name="_Toc265228370"/>
      <w:r/>
      <w:bookmarkStart w:id="357" w:name="_Toc127151733"/>
      <w:r/>
      <w:bookmarkStart w:id="358" w:name="_Toc151193846"/>
      <w:r/>
      <w:bookmarkStart w:id="359" w:name="_Toc151193702"/>
      <w:r/>
      <w:bookmarkStart w:id="360" w:name="_Toc520356157"/>
      <w:r/>
      <w:bookmarkStart w:id="361" w:name="_Toc164229227"/>
      <w:r/>
      <w:bookmarkStart w:id="362" w:name="_Toc127151532"/>
      <w:r/>
      <w:bookmarkStart w:id="363" w:name="_Toc226965722"/>
      <w:r/>
      <w:bookmarkStart w:id="364" w:name="_Toc151193920"/>
      <w:r/>
      <w:bookmarkStart w:id="365" w:name="_Toc150774737"/>
      <w:r/>
      <w:bookmarkStart w:id="366" w:name="_Toc149720825"/>
      <w:r/>
      <w:bookmarkStart w:id="367" w:name="_Toc164351626"/>
      <w:r>
        <w:rPr>
          <w:rFonts w:hint="eastAsia" w:ascii="宋体" w:hAnsi="宋体" w:eastAsia="宋体" w:cs="宋体"/>
          <w:color w:val="auto"/>
          <w:sz w:val="24"/>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368" w:name="_Toc127151533"/>
      <w:r/>
      <w:bookmarkStart w:id="369" w:name="_Toc164608802"/>
      <w:r/>
      <w:bookmarkStart w:id="370" w:name="_Toc151190160"/>
      <w:r/>
      <w:bookmarkStart w:id="371" w:name="_Toc151193703"/>
      <w:r/>
      <w:bookmarkStart w:id="372" w:name="_Toc164229228"/>
      <w:r/>
      <w:bookmarkStart w:id="373" w:name="_Toc127161447"/>
      <w:r/>
      <w:bookmarkStart w:id="374" w:name="_Toc150774633"/>
      <w:r/>
      <w:bookmarkStart w:id="375" w:name="_Toc226965723"/>
      <w:r/>
      <w:bookmarkStart w:id="376" w:name="_Toc151193921"/>
      <w:r/>
      <w:bookmarkStart w:id="377" w:name="_Toc195842898"/>
      <w:r/>
      <w:bookmarkStart w:id="378" w:name="_Toc305158801"/>
      <w:r/>
      <w:bookmarkStart w:id="379" w:name="_Toc226337229"/>
      <w:r/>
      <w:bookmarkStart w:id="380" w:name="_Toc127151734"/>
      <w:r/>
      <w:bookmarkStart w:id="381" w:name="_Toc150509284"/>
      <w:r/>
      <w:bookmarkStart w:id="382" w:name="_Toc164608647"/>
      <w:r/>
      <w:bookmarkStart w:id="383" w:name="_Toc151193631"/>
      <w:r/>
      <w:bookmarkStart w:id="384" w:name="_Toc164351627"/>
      <w:r/>
      <w:bookmarkStart w:id="385" w:name="_Toc265228371"/>
      <w:r/>
      <w:bookmarkStart w:id="386" w:name="_Toc264969223"/>
      <w:r/>
      <w:bookmarkStart w:id="387" w:name="_Toc149720826"/>
      <w:r/>
      <w:bookmarkStart w:id="388" w:name="_Toc520356158"/>
      <w:r/>
      <w:bookmarkStart w:id="389" w:name="_Toc150774738"/>
      <w:r/>
      <w:bookmarkStart w:id="390" w:name="_Toc142311035"/>
      <w:r/>
      <w:bookmarkStart w:id="391" w:name="_Toc150480771"/>
      <w:r/>
      <w:bookmarkStart w:id="392" w:name="_Toc164229374"/>
      <w:r/>
      <w:bookmarkStart w:id="393" w:name="_Toc151193847"/>
      <w:r/>
      <w:bookmarkStart w:id="394" w:name="_Toc226309777"/>
      <w:r/>
      <w:bookmarkStart w:id="395" w:name="_Toc305158875"/>
      <w:r/>
      <w:bookmarkStart w:id="396" w:name="_Toc151193775"/>
      <w:r/>
      <w:bookmarkStart w:id="397" w:name="_Toc226965806"/>
      <w:r>
        <w:rPr>
          <w:rFonts w:hint="eastAsia" w:ascii="宋体" w:hAnsi="宋体" w:eastAsia="宋体" w:cs="宋体"/>
          <w:color w:val="auto"/>
          <w:sz w:val="24"/>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eastAsia="宋体" w:cs="宋体"/>
          <w:color w:val="auto"/>
          <w:sz w:val="24"/>
          <w:highlight w:val="none"/>
        </w:rPr>
        <w:t xml:space="preserve">、加盖公章</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bookmarkStart w:id="398" w:name="_Toc151193704"/>
      <w:r/>
      <w:bookmarkStart w:id="399" w:name="_Toc127151534"/>
      <w:r/>
      <w:bookmarkStart w:id="400" w:name="_Toc150774634"/>
      <w:r/>
      <w:bookmarkStart w:id="401" w:name="_Toc150480772"/>
      <w:r/>
      <w:bookmarkStart w:id="402" w:name="_Toc305158802"/>
      <w:r/>
      <w:bookmarkStart w:id="403" w:name="_Toc265228372"/>
      <w:r/>
      <w:bookmarkStart w:id="404" w:name="_Toc150509285"/>
      <w:r/>
      <w:bookmarkStart w:id="405" w:name="_Toc226965807"/>
      <w:r/>
      <w:bookmarkStart w:id="406" w:name="_Toc226337230"/>
      <w:r/>
      <w:bookmarkStart w:id="407" w:name="_Toc226965724"/>
      <w:r/>
      <w:bookmarkStart w:id="408" w:name="_Toc195842899"/>
      <w:r/>
      <w:bookmarkStart w:id="409" w:name="_Toc151193848"/>
      <w:r/>
      <w:bookmarkStart w:id="410" w:name="_Toc520356159"/>
      <w:r/>
      <w:bookmarkStart w:id="411" w:name="_Toc151193922"/>
      <w:r/>
      <w:bookmarkStart w:id="412" w:name="_Toc305158876"/>
      <w:r/>
      <w:bookmarkStart w:id="413" w:name="_Toc142311036"/>
      <w:r/>
      <w:bookmarkStart w:id="414" w:name="_Toc151193632"/>
      <w:r/>
      <w:bookmarkStart w:id="415" w:name="_Toc151190161"/>
      <w:r/>
      <w:bookmarkStart w:id="416" w:name="_Toc150774739"/>
      <w:r/>
      <w:bookmarkStart w:id="417" w:name="_Toc226309778"/>
      <w:r/>
      <w:bookmarkStart w:id="418" w:name="_Toc264969224"/>
      <w:r/>
      <w:bookmarkStart w:id="419" w:name="_Toc151193776"/>
      <w:r>
        <w:rPr>
          <w:rFonts w:hint="eastAsia" w:ascii="宋体" w:hAnsi="宋体" w:eastAsia="宋体" w:cs="宋体"/>
          <w:color w:val="auto"/>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7"/>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420" w:name="_Toc127151736"/>
      <w:r/>
      <w:bookmarkStart w:id="421" w:name="_Toc150774635"/>
      <w:r/>
      <w:bookmarkStart w:id="422" w:name="_Toc164608649"/>
      <w:r/>
      <w:bookmarkStart w:id="423" w:name="_Toc264969225"/>
      <w:r/>
      <w:bookmarkStart w:id="424" w:name="_Toc305158803"/>
      <w:r/>
      <w:bookmarkStart w:id="425" w:name="_Toc151190162"/>
      <w:r/>
      <w:bookmarkStart w:id="426" w:name="_Toc151193849"/>
      <w:r/>
      <w:bookmarkStart w:id="427" w:name="_Toc150480773"/>
      <w:r/>
      <w:bookmarkStart w:id="428" w:name="_Toc127151535"/>
      <w:r/>
      <w:bookmarkStart w:id="429" w:name="_Toc195842900"/>
      <w:r/>
      <w:bookmarkStart w:id="430" w:name="_Toc151193633"/>
      <w:r/>
      <w:bookmarkStart w:id="431" w:name="_Toc226309779"/>
      <w:r/>
      <w:bookmarkStart w:id="432" w:name="_Toc164351629"/>
      <w:r/>
      <w:bookmarkStart w:id="433" w:name="_Toc150509286"/>
      <w:r/>
      <w:bookmarkStart w:id="434" w:name="_Toc151193923"/>
      <w:r/>
      <w:bookmarkStart w:id="435" w:name="_Toc226965808"/>
      <w:r/>
      <w:bookmarkStart w:id="436" w:name="_Toc265228373"/>
      <w:r/>
      <w:bookmarkStart w:id="437" w:name="_Toc520356160"/>
      <w:r/>
      <w:bookmarkStart w:id="438" w:name="_Toc164229230"/>
      <w:r/>
      <w:bookmarkStart w:id="439" w:name="_Toc127161449"/>
      <w:r/>
      <w:bookmarkStart w:id="440" w:name="_Toc164229376"/>
      <w:r/>
      <w:bookmarkStart w:id="441" w:name="_Toc150774740"/>
      <w:r/>
      <w:bookmarkStart w:id="442" w:name="_Toc149720828"/>
      <w:r/>
      <w:bookmarkStart w:id="443" w:name="_Toc142311037"/>
      <w:r/>
      <w:bookmarkStart w:id="444" w:name="_Toc305158877"/>
      <w:r/>
      <w:bookmarkStart w:id="445" w:name="_Toc151193705"/>
      <w:r/>
      <w:bookmarkStart w:id="446" w:name="_Toc226337231"/>
      <w:r/>
      <w:bookmarkStart w:id="447" w:name="_Toc164608804"/>
      <w:r/>
      <w:bookmarkStart w:id="448" w:name="_Toc151193777"/>
      <w:r/>
      <w:bookmarkStart w:id="449" w:name="_Toc226965725"/>
      <w:r>
        <w:rPr>
          <w:rFonts w:hint="eastAsia" w:ascii="宋体" w:hAnsi="宋体" w:eastAsia="宋体" w:cs="宋体"/>
          <w:color w:val="auto"/>
          <w:sz w:val="24"/>
          <w:highlight w:val="none"/>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eastAsia="宋体" w:cs="宋体"/>
          <w:color w:val="auto"/>
          <w:sz w:val="24"/>
          <w:highlight w:val="none"/>
        </w:rPr>
        <w:t xml:space="preserve">提交</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15.1本项目使用政府采购一体化平台“苏采云”。投标人根据招标文件及政府采购一体化平台“苏采云”供应商操作手册要求编制、生成并提交电子投标文件。</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15.2采购人及采购代理机构拒绝接受通过政府采购一体化平台“苏采云”以外任何形式提交的投标文件。</w:t>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450" w:name="_Toc164229231"/>
      <w:r/>
      <w:bookmarkStart w:id="451" w:name="_Toc127151536"/>
      <w:r/>
      <w:bookmarkStart w:id="452" w:name="_Toc265228374"/>
      <w:r/>
      <w:bookmarkStart w:id="453" w:name="_Toc226309780"/>
      <w:r/>
      <w:bookmarkStart w:id="454" w:name="_Toc195842901"/>
      <w:r/>
      <w:bookmarkStart w:id="455" w:name="_Toc226965726"/>
      <w:r/>
      <w:bookmarkStart w:id="456" w:name="_Toc164351630"/>
      <w:r/>
      <w:bookmarkStart w:id="457" w:name="_Toc305158878"/>
      <w:r/>
      <w:bookmarkStart w:id="458" w:name="_Toc150774636"/>
      <w:r/>
      <w:bookmarkStart w:id="459" w:name="_Toc151193778"/>
      <w:r/>
      <w:bookmarkStart w:id="460" w:name="_Toc151193850"/>
      <w:r/>
      <w:bookmarkStart w:id="461" w:name="_Toc151193634"/>
      <w:r/>
      <w:bookmarkStart w:id="462" w:name="_Toc226337232"/>
      <w:r/>
      <w:bookmarkStart w:id="463" w:name="_Toc150509287"/>
      <w:r/>
      <w:bookmarkStart w:id="464" w:name="_Toc305158804"/>
      <w:r/>
      <w:bookmarkStart w:id="465" w:name="_Toc150774741"/>
      <w:r/>
      <w:bookmarkStart w:id="466" w:name="_Toc150480774"/>
      <w:r/>
      <w:bookmarkStart w:id="467" w:name="_Toc264969226"/>
      <w:r/>
      <w:bookmarkStart w:id="468" w:name="_Toc127161450"/>
      <w:r/>
      <w:bookmarkStart w:id="469" w:name="_Toc520356161"/>
      <w:r/>
      <w:bookmarkStart w:id="470" w:name="_Toc164608650"/>
      <w:r/>
      <w:bookmarkStart w:id="471" w:name="_Toc151193706"/>
      <w:r/>
      <w:bookmarkStart w:id="472" w:name="_Toc226965809"/>
      <w:r/>
      <w:bookmarkStart w:id="473" w:name="_Toc151193924"/>
      <w:r/>
      <w:bookmarkStart w:id="474" w:name="_Toc127151737"/>
      <w:r/>
      <w:bookmarkStart w:id="475" w:name="_Toc164229377"/>
      <w:r/>
      <w:bookmarkStart w:id="476" w:name="_Toc149720829"/>
      <w:r/>
      <w:bookmarkStart w:id="477" w:name="_Toc164608805"/>
      <w:r/>
      <w:bookmarkStart w:id="478" w:name="_Toc142311038"/>
      <w:r/>
      <w:bookmarkStart w:id="479" w:name="_Toc151190163"/>
      <w:r>
        <w:rPr>
          <w:rFonts w:hint="eastAsia" w:ascii="宋体" w:hAnsi="宋体" w:eastAsia="宋体" w:cs="宋体"/>
          <w:color w:val="auto"/>
          <w:sz w:val="24"/>
          <w:highlight w:val="none"/>
        </w:rPr>
        <w:t xml:space="preserve">16投标截止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eastAsia="宋体" w:cs="宋体"/>
          <w:color w:val="auto"/>
          <w:sz w:val="24"/>
          <w:highlight w:val="none"/>
        </w:rPr>
        <w:t xml:space="preserve">时间</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16.1投标人应在招标文件要求提交投标文件截止时间前，将电子投标文件提交至政府采购一体化平台“苏采云”。</w:t>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480" w:name="_Toc151193779"/>
      <w:r/>
      <w:bookmarkStart w:id="481" w:name="_Toc150480775"/>
      <w:r/>
      <w:bookmarkStart w:id="482" w:name="_Toc150509288"/>
      <w:r/>
      <w:bookmarkStart w:id="483" w:name="_Toc149720830"/>
      <w:r/>
      <w:bookmarkStart w:id="484" w:name="_Toc164351631"/>
      <w:r/>
      <w:bookmarkStart w:id="485" w:name="_Toc127151738"/>
      <w:r/>
      <w:bookmarkStart w:id="486" w:name="_Toc305158879"/>
      <w:r/>
      <w:bookmarkStart w:id="487" w:name="_Toc151193925"/>
      <w:r/>
      <w:bookmarkStart w:id="488" w:name="_Toc151193707"/>
      <w:r/>
      <w:bookmarkStart w:id="489" w:name="_Toc142311039"/>
      <w:r/>
      <w:bookmarkStart w:id="490" w:name="_Toc150774742"/>
      <w:r/>
      <w:bookmarkStart w:id="491" w:name="_Toc265228375"/>
      <w:r/>
      <w:bookmarkStart w:id="492" w:name="_Toc226965810"/>
      <w:r/>
      <w:bookmarkStart w:id="493" w:name="_Toc305158805"/>
      <w:r/>
      <w:bookmarkStart w:id="494" w:name="_Toc164229232"/>
      <w:r/>
      <w:bookmarkStart w:id="495" w:name="_Toc226965727"/>
      <w:r/>
      <w:bookmarkStart w:id="496" w:name="_Toc150774637"/>
      <w:r/>
      <w:bookmarkStart w:id="497" w:name="_Toc226337233"/>
      <w:r/>
      <w:bookmarkStart w:id="498" w:name="_Toc127151537"/>
      <w:r/>
      <w:bookmarkStart w:id="499" w:name="_Toc151193635"/>
      <w:r/>
      <w:bookmarkStart w:id="500" w:name="_Toc127161451"/>
      <w:r/>
      <w:bookmarkStart w:id="501" w:name="_Toc164608651"/>
      <w:r/>
      <w:bookmarkStart w:id="502" w:name="_Toc264969227"/>
      <w:r/>
      <w:bookmarkStart w:id="503" w:name="_Toc195842902"/>
      <w:r/>
      <w:bookmarkStart w:id="504" w:name="_Toc151190164"/>
      <w:r/>
      <w:bookmarkStart w:id="505" w:name="_Toc164608806"/>
      <w:r/>
      <w:bookmarkStart w:id="506" w:name="_Toc226309781"/>
      <w:r/>
      <w:bookmarkStart w:id="507" w:name="_Toc520356162"/>
      <w:r/>
      <w:bookmarkStart w:id="508" w:name="_Toc151193851"/>
      <w:r/>
      <w:bookmarkStart w:id="509" w:name="_Toc164229378"/>
      <w:r>
        <w:rPr>
          <w:rFonts w:hint="eastAsia" w:ascii="宋体" w:hAnsi="宋体" w:eastAsia="宋体" w:cs="宋体"/>
          <w:color w:val="auto"/>
          <w:sz w:val="24"/>
          <w:highlight w:val="none"/>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17.1投标截止时间前，投标人可以通过政府采购一体化平台“苏采云”对所提交的投标文件进行补充、修改或者撤回。</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17.2投标人对投标文件的补充、修改的内容应当按照招标文件要求签署、加盖公章，作为投标文件的组成部分。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17"/>
        <w:ind w:firstLine="562"/>
        <w:spacing w:before="0" w:line="360" w:lineRule="auto"/>
        <w:rPr>
          <w:rFonts w:hint="eastAsia" w:ascii="宋体" w:hAnsi="宋体" w:eastAsia="宋体" w:cs="宋体"/>
          <w:color w:val="auto"/>
          <w:sz w:val="28"/>
          <w:highlight w:val="none"/>
        </w:rPr>
      </w:pPr>
      <w:r/>
      <w:bookmarkStart w:id="510" w:name="_Toc151193708"/>
      <w:r/>
      <w:bookmarkStart w:id="511" w:name="_Toc226309782"/>
      <w:r/>
      <w:bookmarkStart w:id="512" w:name="_Toc265228376"/>
      <w:r/>
      <w:bookmarkStart w:id="513" w:name="_Toc226965728"/>
      <w:r/>
      <w:bookmarkStart w:id="514" w:name="_Toc305158806"/>
      <w:r/>
      <w:bookmarkStart w:id="515" w:name="_Toc226965811"/>
      <w:r/>
      <w:bookmarkStart w:id="516" w:name="_Toc142311040"/>
      <w:r/>
      <w:bookmarkStart w:id="517" w:name="_Toc150480776"/>
      <w:r/>
      <w:bookmarkStart w:id="518" w:name="_Toc520356163"/>
      <w:r/>
      <w:bookmarkStart w:id="519" w:name="_Toc151193926"/>
      <w:r/>
      <w:bookmarkStart w:id="520" w:name="_Toc127151538"/>
      <w:r/>
      <w:bookmarkStart w:id="521" w:name="_Toc151193780"/>
      <w:r/>
      <w:bookmarkStart w:id="522" w:name="_Toc195842903"/>
      <w:r/>
      <w:bookmarkStart w:id="523" w:name="_Toc150774743"/>
      <w:r/>
      <w:bookmarkStart w:id="524" w:name="_Toc151193636"/>
      <w:r/>
      <w:bookmarkStart w:id="525" w:name="_Toc151193852"/>
      <w:r/>
      <w:bookmarkStart w:id="526" w:name="_Toc151190165"/>
      <w:r/>
      <w:bookmarkStart w:id="527" w:name="_Toc150774638"/>
      <w:r/>
      <w:bookmarkStart w:id="528" w:name="_Toc264969228"/>
      <w:r/>
      <w:bookmarkStart w:id="529" w:name="_Toc305158880"/>
      <w:r/>
      <w:bookmarkStart w:id="530" w:name="_Toc150509289"/>
      <w:r/>
      <w:bookmarkStart w:id="531" w:name="_Toc226337234"/>
      <w:r>
        <w:rPr>
          <w:rFonts w:hint="eastAsia" w:ascii="宋体" w:hAnsi="宋体" w:eastAsia="宋体" w:cs="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532" w:name="_Toc164351633"/>
      <w:r/>
      <w:bookmarkStart w:id="533" w:name="_Toc305158881"/>
      <w:r/>
      <w:bookmarkStart w:id="534" w:name="_Toc150774744"/>
      <w:r/>
      <w:bookmarkStart w:id="535" w:name="_Toc264969229"/>
      <w:r/>
      <w:bookmarkStart w:id="536" w:name="_Toc142311041"/>
      <w:r/>
      <w:bookmarkStart w:id="537" w:name="_Toc151193781"/>
      <w:r/>
      <w:bookmarkStart w:id="538" w:name="_Toc150480777"/>
      <w:r/>
      <w:bookmarkStart w:id="539" w:name="_Toc195842904"/>
      <w:r/>
      <w:bookmarkStart w:id="540" w:name="_Toc226309783"/>
      <w:r/>
      <w:bookmarkStart w:id="541" w:name="_Toc226965812"/>
      <w:r/>
      <w:bookmarkStart w:id="542" w:name="_Toc127151539"/>
      <w:r/>
      <w:bookmarkStart w:id="543" w:name="_Toc164608808"/>
      <w:r/>
      <w:bookmarkStart w:id="544" w:name="_Toc520356164"/>
      <w:r/>
      <w:bookmarkStart w:id="545" w:name="_Toc164608653"/>
      <w:r/>
      <w:bookmarkStart w:id="546" w:name="_Toc151193927"/>
      <w:r/>
      <w:bookmarkStart w:id="547" w:name="_Toc127161453"/>
      <w:r/>
      <w:bookmarkStart w:id="548" w:name="_Toc164229380"/>
      <w:r/>
      <w:bookmarkStart w:id="549" w:name="_Toc151190166"/>
      <w:r/>
      <w:bookmarkStart w:id="550" w:name="_Toc151193709"/>
      <w:r/>
      <w:bookmarkStart w:id="551" w:name="_Toc127151740"/>
      <w:r/>
      <w:bookmarkStart w:id="552" w:name="_Toc149720832"/>
      <w:r/>
      <w:bookmarkStart w:id="553" w:name="_Toc151193853"/>
      <w:r/>
      <w:bookmarkStart w:id="554" w:name="_Toc226337235"/>
      <w:r/>
      <w:bookmarkStart w:id="555" w:name="_Toc305158807"/>
      <w:r/>
      <w:bookmarkStart w:id="556" w:name="_Toc151193637"/>
      <w:r/>
      <w:bookmarkStart w:id="557" w:name="_Toc150774639"/>
      <w:r/>
      <w:bookmarkStart w:id="558" w:name="_Toc164229234"/>
      <w:r/>
      <w:bookmarkStart w:id="559" w:name="_Toc150509290"/>
      <w:r/>
      <w:bookmarkStart w:id="560" w:name="_Toc265228377"/>
      <w:r/>
      <w:bookmarkStart w:id="561" w:name="_Toc226965729"/>
      <w:r>
        <w:rPr>
          <w:rFonts w:hint="eastAsia" w:ascii="宋体" w:hAnsi="宋体" w:eastAsia="宋体" w:cs="宋体"/>
          <w:color w:val="auto"/>
          <w:sz w:val="24"/>
          <w:highlight w:val="none"/>
        </w:rPr>
        <w:t xml:space="preserve">18开标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18.1采购人或采购代理机构将按招标文件的规定，在投标截止时间的同一时间和招标文件预先确定的地点组织开标。</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18.2本项目开标采用不见面招投标模式，使用政府采购一体化平台“苏采云”在线进行开标。投标人应在规定的时间内对投标文件进行解密，因非系统原因导致的解密失败，视为</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eastAsia="宋体" w:cs="宋体"/>
          <w:color w:val="auto"/>
          <w:sz w:val="24"/>
          <w:highlight w:val="none"/>
        </w:rPr>
        <w:t xml:space="preserve">。投标人超过规定时间未确认但是未提出异议的，系统将视同已确认。</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18.5投标人不足3家的，不予开标。</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如果在采购活动过程中出现以下情形，导致“政府采购一体化平台“苏采云””系统无法正常运行，或者无法保证本项目采购活动的公平、公正和安全时，代理机构可以延缓或者暂停采购活动，情况严重的可以终止采购活动：</w:t>
      </w:r>
      <w:r>
        <w:rPr>
          <w:rFonts w:hint="eastAsia" w:ascii="宋体" w:hAnsi="宋体" w:eastAsia="宋体" w:cs="宋体"/>
          <w:color w:val="auto"/>
          <w:sz w:val="24"/>
          <w:highlight w:val="none"/>
        </w:rPr>
        <w:br w:type="textWrapping" w:clear="all"/>
      </w:r>
      <w:r>
        <w:rPr>
          <w:rFonts w:hint="eastAsia" w:ascii="宋体" w:hAnsi="宋体" w:eastAsia="宋体" w:cs="宋体"/>
          <w:color w:val="auto"/>
          <w:sz w:val="24"/>
          <w:highlight w:val="none"/>
        </w:rPr>
        <w:t xml:space="preserve">    1)平台系统发生故障而无法登录访问的；</w:t>
      </w:r>
      <w:r/>
    </w:p>
    <w:p>
      <w:pPr>
        <w:ind w:firstLine="48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2)平台系统应用或数据库出现错误，不能进行正常操作的；</w:t>
      </w:r>
      <w:r/>
    </w:p>
    <w:p>
      <w:pPr>
        <w:ind w:firstLine="48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3)平台系统发现严重安全漏洞，有潜在泄密危险的；</w:t>
      </w:r>
      <w:r/>
    </w:p>
    <w:p>
      <w:pPr>
        <w:ind w:firstLine="48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4)病毒发作导致平台系统不能进行正常操作的；</w:t>
      </w:r>
      <w:r/>
    </w:p>
    <w:p>
      <w:pPr>
        <w:ind w:firstLine="48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19资格审查</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19.1见第</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章《</w:t>
      </w:r>
      <w:r>
        <w:rPr>
          <w:color w:val="auto"/>
          <w:sz w:val="24"/>
          <w:highlight w:val="none"/>
        </w:rPr>
        <w:t xml:space="preserve">资格审查</w:t>
      </w:r>
      <w:r>
        <w:rPr>
          <w:rFonts w:hint="eastAsia" w:ascii="宋体" w:hAnsi="宋体" w:eastAsia="宋体" w:cs="宋体"/>
          <w:color w:val="auto"/>
          <w:sz w:val="24"/>
          <w:highlight w:val="none"/>
        </w:rPr>
        <w:t xml:space="preserve">》。</w:t>
      </w:r>
      <w:bookmarkEnd w:id="562"/>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563" w:name="_Toc151193710"/>
      <w:r/>
      <w:bookmarkStart w:id="564" w:name="_Toc226965730"/>
      <w:r/>
      <w:bookmarkStart w:id="565" w:name="_Toc264969230"/>
      <w:r/>
      <w:bookmarkStart w:id="566" w:name="_Toc150774745"/>
      <w:r/>
      <w:bookmarkStart w:id="567" w:name="_Toc305158808"/>
      <w:r/>
      <w:bookmarkStart w:id="568" w:name="_Toc164351634"/>
      <w:r/>
      <w:bookmarkStart w:id="569" w:name="_Toc151193638"/>
      <w:r/>
      <w:bookmarkStart w:id="570" w:name="_Toc226965813"/>
      <w:r/>
      <w:bookmarkStart w:id="571" w:name="_Toc150774640"/>
      <w:r/>
      <w:bookmarkStart w:id="572" w:name="_Toc149720833"/>
      <w:r/>
      <w:bookmarkStart w:id="573" w:name="_Toc151193928"/>
      <w:r/>
      <w:bookmarkStart w:id="574" w:name="_Toc150480778"/>
      <w:r/>
      <w:bookmarkStart w:id="575" w:name="_Toc265228378"/>
      <w:r/>
      <w:bookmarkStart w:id="576" w:name="_Toc226309784"/>
      <w:r/>
      <w:bookmarkStart w:id="577" w:name="_Toc127151741"/>
      <w:r/>
      <w:bookmarkStart w:id="578" w:name="_Toc164229381"/>
      <w:r/>
      <w:bookmarkStart w:id="579" w:name="_Toc226337236"/>
      <w:r/>
      <w:bookmarkStart w:id="580" w:name="_Toc164608654"/>
      <w:r/>
      <w:bookmarkStart w:id="581" w:name="_Toc164229235"/>
      <w:r/>
      <w:bookmarkStart w:id="582" w:name="_Toc151190167"/>
      <w:r/>
      <w:bookmarkStart w:id="583" w:name="_Toc127161454"/>
      <w:r/>
      <w:bookmarkStart w:id="584" w:name="_Toc164608809"/>
      <w:r/>
      <w:bookmarkStart w:id="585" w:name="_Toc151193854"/>
      <w:r/>
      <w:bookmarkStart w:id="586" w:name="_Toc142311042"/>
      <w:r/>
      <w:bookmarkStart w:id="587" w:name="_Toc150509291"/>
      <w:r/>
      <w:bookmarkStart w:id="588" w:name="_Toc127151540"/>
      <w:r/>
      <w:bookmarkStart w:id="589" w:name="_Toc151193782"/>
      <w:r/>
      <w:bookmarkStart w:id="590" w:name="_Toc305158882"/>
      <w:r/>
      <w:bookmarkStart w:id="591" w:name="_Toc195842905"/>
      <w:r>
        <w:rPr>
          <w:rFonts w:hint="eastAsia" w:ascii="宋体" w:hAnsi="宋体" w:eastAsia="宋体" w:cs="宋体"/>
          <w:color w:val="auto"/>
          <w:sz w:val="24"/>
          <w:highlight w:val="none"/>
        </w:rPr>
        <w:t xml:space="preserve">20评标委员会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20.1评标委员会根据政府采购有关规定和本次招标采购项目的特点进行组建，并负责具体评标事务，独立履行职责。</w:t>
      </w:r>
      <w:bookmarkStart w:id="592" w:name="_Toc520356166"/>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21评标程序、评标方法和评标标准</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21.1见第</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章《</w:t>
      </w:r>
      <w:r>
        <w:rPr>
          <w:color w:val="auto"/>
          <w:sz w:val="24"/>
          <w:highlight w:val="none"/>
        </w:rPr>
        <w:t xml:space="preserve">评标程序、评标方法和评标标准</w:t>
      </w:r>
      <w:r>
        <w:rPr>
          <w:rFonts w:hint="eastAsia" w:ascii="宋体" w:hAnsi="宋体" w:eastAsia="宋体" w:cs="宋体"/>
          <w:color w:val="auto"/>
          <w:sz w:val="24"/>
          <w:highlight w:val="none"/>
        </w:rPr>
        <w:t xml:space="preserve">》。</w:t>
      </w:r>
      <w:r/>
    </w:p>
    <w:p>
      <w:pPr>
        <w:ind w:firstLine="480"/>
        <w:spacing w:line="360" w:lineRule="auto"/>
        <w:tabs>
          <w:tab w:val="left" w:pos="36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17"/>
        <w:ind w:firstLine="562"/>
        <w:spacing w:before="0" w:line="360" w:lineRule="auto"/>
        <w:rPr>
          <w:rFonts w:hint="eastAsia" w:ascii="宋体" w:hAnsi="宋体" w:eastAsia="宋体" w:cs="宋体"/>
          <w:color w:val="auto"/>
          <w:sz w:val="28"/>
          <w:highlight w:val="none"/>
        </w:rPr>
      </w:pPr>
      <w:r/>
      <w:bookmarkStart w:id="594" w:name="_Toc305158887"/>
      <w:r/>
      <w:bookmarkStart w:id="595" w:name="_Toc226965735"/>
      <w:r/>
      <w:bookmarkStart w:id="596" w:name="_Toc305158813"/>
      <w:r/>
      <w:bookmarkStart w:id="597" w:name="_Toc226965818"/>
      <w:r/>
      <w:bookmarkStart w:id="598" w:name="_Toc226337241"/>
      <w:r/>
      <w:bookmarkStart w:id="599" w:name="_Toc151193859"/>
      <w:r/>
      <w:bookmarkStart w:id="600" w:name="_Toc195842910"/>
      <w:r/>
      <w:bookmarkStart w:id="601" w:name="_Toc150774645"/>
      <w:r/>
      <w:bookmarkStart w:id="602" w:name="_Toc264969235"/>
      <w:r/>
      <w:bookmarkStart w:id="603" w:name="_Toc150509296"/>
      <w:r/>
      <w:bookmarkStart w:id="604" w:name="_Toc265228383"/>
      <w:r/>
      <w:bookmarkStart w:id="605" w:name="_Toc151193787"/>
      <w:r/>
      <w:bookmarkStart w:id="606" w:name="_Toc151193643"/>
      <w:r/>
      <w:bookmarkStart w:id="607" w:name="_Toc150774750"/>
      <w:r/>
      <w:bookmarkStart w:id="608" w:name="_Toc151193933"/>
      <w:r/>
      <w:bookmarkStart w:id="609" w:name="_Toc142311047"/>
      <w:r/>
      <w:bookmarkStart w:id="610" w:name="_Toc151193715"/>
      <w:r/>
      <w:bookmarkStart w:id="611" w:name="_Toc226309789"/>
      <w:r/>
      <w:bookmarkStart w:id="612" w:name="_Toc150480783"/>
      <w:r/>
      <w:bookmarkStart w:id="613" w:name="_Toc127151545"/>
      <w:r/>
      <w:bookmarkStart w:id="614" w:name="_Toc151190172"/>
      <w:r>
        <w:rPr>
          <w:rFonts w:hint="eastAsia" w:ascii="宋体" w:hAnsi="宋体" w:eastAsia="宋体" w:cs="宋体"/>
          <w:color w:val="auto"/>
          <w:sz w:val="28"/>
          <w:highlight w:val="none"/>
        </w:rPr>
        <w:t xml:space="preserve">六   </w:t>
      </w:r>
      <w:bookmarkEnd w:id="593"/>
      <w:r>
        <w:rPr>
          <w:rFonts w:hint="eastAsia" w:ascii="宋体" w:hAnsi="宋体" w:eastAsia="宋体" w:cs="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27151547"/>
      <w:r/>
      <w:bookmarkStart w:id="616" w:name="_Toc265228385"/>
      <w:r/>
      <w:bookmarkStart w:id="617" w:name="_Toc264969237"/>
      <w:r/>
      <w:bookmarkStart w:id="618" w:name="_Toc150480785"/>
      <w:r/>
      <w:bookmarkStart w:id="619" w:name="_Toc151193861"/>
      <w:r/>
      <w:bookmarkStart w:id="620" w:name="_Toc151193935"/>
      <w:r/>
      <w:bookmarkStart w:id="621" w:name="_Toc151193789"/>
      <w:r/>
      <w:bookmarkStart w:id="622" w:name="_Toc164608661"/>
      <w:r/>
      <w:bookmarkStart w:id="623" w:name="_Toc164351641"/>
      <w:r/>
      <w:bookmarkStart w:id="624" w:name="_Toc226309791"/>
      <w:r/>
      <w:bookmarkStart w:id="625" w:name="_Toc151193717"/>
      <w:r/>
      <w:bookmarkStart w:id="626" w:name="_Toc149720840"/>
      <w:r/>
      <w:bookmarkStart w:id="627" w:name="_Toc151190174"/>
      <w:r/>
      <w:bookmarkStart w:id="628" w:name="_Toc226337243"/>
      <w:r/>
      <w:bookmarkStart w:id="629" w:name="_Toc150774752"/>
      <w:r/>
      <w:bookmarkStart w:id="630" w:name="_Toc164608816"/>
      <w:r/>
      <w:bookmarkStart w:id="631" w:name="_Toc226965820"/>
      <w:r/>
      <w:bookmarkStart w:id="632" w:name="_Toc164229388"/>
      <w:r/>
      <w:bookmarkStart w:id="633" w:name="_Toc150509298"/>
      <w:r/>
      <w:bookmarkStart w:id="634" w:name="_Toc195842912"/>
      <w:r/>
      <w:bookmarkStart w:id="635" w:name="_Toc305158815"/>
      <w:r/>
      <w:bookmarkStart w:id="636" w:name="_Toc305158889"/>
      <w:r/>
      <w:bookmarkStart w:id="637" w:name="_Toc151193645"/>
      <w:r/>
      <w:bookmarkStart w:id="638" w:name="_Toc226965737"/>
      <w:r/>
      <w:bookmarkStart w:id="639" w:name="_Toc127151748"/>
      <w:r/>
      <w:bookmarkStart w:id="640" w:name="_Toc164229242"/>
      <w:r/>
      <w:bookmarkStart w:id="641" w:name="_Toc127161461"/>
      <w:r/>
      <w:bookmarkStart w:id="642" w:name="_Toc150774647"/>
      <w:r/>
      <w:bookmarkStart w:id="643" w:name="_Toc142311049"/>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22确定中标人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22.1采购人将在评标报告确定的中标候选人名单中按顺序确定中标人，中标候选人并列的，由采购人依法确定。</w:t>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644" w:name="_Toc305158817"/>
      <w:r/>
      <w:bookmarkStart w:id="645" w:name="_Toc305158891"/>
      <w:r/>
      <w:bookmarkStart w:id="646" w:name="_Toc151190176"/>
      <w:r/>
      <w:bookmarkStart w:id="647" w:name="_Toc127161463"/>
      <w:r/>
      <w:bookmarkStart w:id="648" w:name="_Toc195842914"/>
      <w:r/>
      <w:bookmarkStart w:id="649" w:name="_Toc226965739"/>
      <w:r/>
      <w:bookmarkStart w:id="650" w:name="_Toc150774754"/>
      <w:r/>
      <w:bookmarkStart w:id="651" w:name="_Toc164229390"/>
      <w:r/>
      <w:bookmarkStart w:id="652" w:name="_Toc264969239"/>
      <w:r/>
      <w:bookmarkStart w:id="653" w:name="_Toc150509300"/>
      <w:r/>
      <w:bookmarkStart w:id="654" w:name="_Toc164608663"/>
      <w:r/>
      <w:bookmarkStart w:id="655" w:name="_Toc151193719"/>
      <w:r/>
      <w:bookmarkStart w:id="656" w:name="_Toc226309793"/>
      <w:r/>
      <w:bookmarkStart w:id="657" w:name="_Toc164351643"/>
      <w:r/>
      <w:bookmarkStart w:id="658" w:name="_Toc164229244"/>
      <w:r/>
      <w:bookmarkStart w:id="659" w:name="_Toc151193791"/>
      <w:r/>
      <w:bookmarkStart w:id="660" w:name="_Toc149720842"/>
      <w:r/>
      <w:bookmarkStart w:id="661" w:name="_Toc164608818"/>
      <w:r/>
      <w:bookmarkStart w:id="662" w:name="_Toc226337245"/>
      <w:r/>
      <w:bookmarkStart w:id="663" w:name="_Toc127151750"/>
      <w:r/>
      <w:bookmarkStart w:id="664" w:name="_Toc150480787"/>
      <w:r/>
      <w:bookmarkStart w:id="665" w:name="_Toc226965822"/>
      <w:r/>
      <w:bookmarkStart w:id="666" w:name="_Toc142311051"/>
      <w:r/>
      <w:bookmarkStart w:id="667" w:name="_Toc150774649"/>
      <w:r/>
      <w:bookmarkStart w:id="668" w:name="_Toc151193647"/>
      <w:r/>
      <w:bookmarkStart w:id="669" w:name="_Toc151193937"/>
      <w:r/>
      <w:bookmarkStart w:id="670" w:name="_Toc151193863"/>
      <w:r/>
      <w:bookmarkStart w:id="671" w:name="_Toc265228387"/>
      <w:r/>
      <w:bookmarkStart w:id="672" w:name="_Toc127151549"/>
      <w:r/>
      <w:bookmarkStart w:id="673" w:name="_Toc520356176"/>
      <w:r/>
      <w:bookmarkStart w:id="674" w:name="_Ref467307090"/>
      <w:r/>
      <w:bookmarkStart w:id="675" w:name="_Ref467306425"/>
      <w:r>
        <w:rPr>
          <w:rFonts w:hint="eastAsia" w:ascii="宋体" w:hAnsi="宋体" w:eastAsia="宋体" w:cs="宋体"/>
          <w:color w:val="auto"/>
          <w:sz w:val="24"/>
          <w:highlight w:val="none"/>
        </w:rPr>
        <w:t xml:space="preserve">23中标公告与中标通知书</w:t>
      </w:r>
      <w:bookmarkEnd w:id="644"/>
      <w:r/>
      <w:bookmarkEnd w:id="645"/>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23.1采购人或采购代理机构自中标人确定之日起2个工作日内，在常州市政府采购网公告中标结果，同时向中标人发出中标通知书，中标公告期限为1个工作日。</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23.2中标通知书对采购人和中标供应商均具有法律效力。中标通知书发出后，采购人改变中标结果的，或者中标供应商放弃中标项目的，应当依法承担法律责任。</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23.3履约保证金:中标人在领取中标通知书后7日内向招标人缴纳履约保证金(中标价的</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%)。福利、慰问品、保险等采购项目不需要缴纳履约保证金。逾期不缴纳履约保证金的按自动放弃中标处理。</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24废标</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24.1在招标采购中，出现下列情形之一的，应予废标：</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24.1.1符合专业条件的供应商或者对招标文件作实质响应的供应商不足三家的；</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24.1.2出现影响采购公正的违法、违规行为的；</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24.1.3投标人的报价均超过了采购预算，采购人不能支付的；</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24.1.4因重大变故，采购任务取消的。</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24.1.5</w:t>
      </w:r>
      <w:r>
        <w:rPr>
          <w:rFonts w:hint="eastAsia" w:ascii="宋体" w:hAnsi="宋体" w:eastAsia="宋体" w:cs="宋体"/>
          <w:color w:val="auto"/>
          <w:spacing w:val="2"/>
          <w:sz w:val="24"/>
          <w:highlight w:val="none"/>
        </w:rPr>
        <w:t xml:space="preserve">平台系统</w:t>
      </w:r>
      <w:r>
        <w:rPr>
          <w:rFonts w:hint="eastAsia" w:ascii="宋体" w:hAnsi="宋体" w:eastAsia="宋体" w:cs="宋体"/>
          <w:color w:val="auto"/>
          <w:sz w:val="24"/>
          <w:highlight w:val="none"/>
        </w:rPr>
        <w:t xml:space="preserve">出现序号18.8的所述情形，情况严重且影响采购活动公平、公正性的。</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ind w:firstLine="480"/>
        <w:spacing w:line="360" w:lineRule="auto"/>
        <w:tabs>
          <w:tab w:val="left" w:pos="360" w:leader="none"/>
        </w:tabs>
        <w:rPr>
          <w:rFonts w:hint="eastAsia" w:ascii="宋体" w:hAnsi="宋体" w:eastAsia="宋体" w:cs="宋体"/>
          <w:color w:val="auto"/>
          <w:sz w:val="24"/>
          <w:highlight w:val="none"/>
        </w:rPr>
        <w:outlineLvl w:val="1"/>
      </w:pPr>
      <w:r/>
      <w:bookmarkStart w:id="676" w:name="_Ref467306978"/>
      <w:r/>
      <w:bookmarkStart w:id="677" w:name="_Toc265228388"/>
      <w:r/>
      <w:bookmarkStart w:id="678" w:name="_Toc150774650"/>
      <w:r/>
      <w:bookmarkStart w:id="679" w:name="_Toc150480788"/>
      <w:r/>
      <w:bookmarkStart w:id="680" w:name="_Toc520356175"/>
      <w:r/>
      <w:bookmarkStart w:id="681" w:name="_Toc151193864"/>
      <w:r/>
      <w:bookmarkStart w:id="682" w:name="_Toc305158818"/>
      <w:r/>
      <w:bookmarkStart w:id="683" w:name="_Ref467307062"/>
      <w:r/>
      <w:bookmarkStart w:id="684" w:name="_Toc226309794"/>
      <w:r/>
      <w:bookmarkStart w:id="685" w:name="_Toc151190177"/>
      <w:r/>
      <w:bookmarkStart w:id="686" w:name="_Toc164608664"/>
      <w:r/>
      <w:bookmarkStart w:id="687" w:name="_Toc150774755"/>
      <w:r/>
      <w:bookmarkStart w:id="688" w:name="_Toc264969240"/>
      <w:r/>
      <w:bookmarkStart w:id="689" w:name="_Toc151193720"/>
      <w:r/>
      <w:bookmarkStart w:id="690" w:name="_Toc164229245"/>
      <w:r/>
      <w:bookmarkStart w:id="691" w:name="_Toc226965740"/>
      <w:r/>
      <w:bookmarkStart w:id="692" w:name="_Toc226965823"/>
      <w:r/>
      <w:bookmarkStart w:id="693" w:name="_Toc164608819"/>
      <w:r/>
      <w:bookmarkStart w:id="694" w:name="_Ref467306377"/>
      <w:r/>
      <w:bookmarkStart w:id="695" w:name="_Toc149720843"/>
      <w:r/>
      <w:bookmarkStart w:id="696" w:name="_Toc150509301"/>
      <w:r/>
      <w:bookmarkStart w:id="697" w:name="_Toc127161464"/>
      <w:r/>
      <w:bookmarkStart w:id="698" w:name="_Toc305158892"/>
      <w:r/>
      <w:bookmarkStart w:id="699" w:name="_Toc151193792"/>
      <w:r/>
      <w:bookmarkStart w:id="700" w:name="_Toc142311052"/>
      <w:r/>
      <w:bookmarkStart w:id="701" w:name="_Toc226337246"/>
      <w:r/>
      <w:bookmarkStart w:id="702" w:name="_Toc164351644"/>
      <w:r/>
      <w:bookmarkStart w:id="703" w:name="_Toc151193938"/>
      <w:r/>
      <w:bookmarkStart w:id="704" w:name="_Toc195842915"/>
      <w:r/>
      <w:bookmarkStart w:id="705" w:name="_Ref467307204"/>
      <w:r/>
      <w:bookmarkStart w:id="706" w:name="_Toc127151550"/>
      <w:r/>
      <w:bookmarkStart w:id="707" w:name="_Toc127151751"/>
      <w:r/>
      <w:bookmarkStart w:id="708" w:name="_Toc151193648"/>
      <w:r/>
      <w:bookmarkStart w:id="709" w:name="_Toc164229391"/>
      <w:r>
        <w:rPr>
          <w:rFonts w:hint="eastAsia" w:ascii="宋体" w:hAnsi="宋体" w:eastAsia="宋体" w:cs="宋体"/>
          <w:color w:val="auto"/>
          <w:sz w:val="24"/>
          <w:highlight w:val="none"/>
        </w:rPr>
        <w:t xml:space="preserve">25签订合同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25.2中标人拒绝与采购人签订合同的，采购人可以按照评标报告推荐的中标候选人名单排序，确定下一候选人为中标人，也可以重新开展政府采购活动。</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25.3联合体中标的，联合体各方应当共同与采购人签订合同，就中标项目向采购人承担连带责任。</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25.4政府采购合同不能转包。</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。中标人就采购项目和分包项目向采购人负责，分包供应商就分包项目承担责任。</w:t>
      </w:r>
      <w:bookmarkEnd w:id="673"/>
      <w:r/>
      <w:bookmarkEnd w:id="674"/>
      <w:r/>
      <w:bookmarkEnd w:id="675"/>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26询问与质疑</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26.1询问</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26.1.1投标人对政府采购活动事项有疑问的，可依法提出询问，并按《投标人须知资料表》载明的形式送达采购人或采购代理机构。</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26.2质疑</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26.2.2</w:t>
      </w:r>
      <w:r>
        <w:rPr>
          <w:rFonts w:hint="eastAsia" w:ascii="宋体" w:hAnsi="宋体" w:eastAsia="宋体" w:cs="宋体"/>
          <w:b/>
          <w:color w:val="auto"/>
          <w:sz w:val="24"/>
          <w:highlight w:val="none"/>
        </w:rPr>
        <w:t xml:space="preserve">招标文件中采购需求以及相关部分（第</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章、第</w:t>
      </w: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章以及投标人资格要求）由采购人负责制定和管理，对该部分内容有询问或者质疑的，投标人应当向采购人书面提出，由采购人负责接收和回复。</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26.2.3质疑函须使用财政部制定的范本文件。（下载网址：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"http://gks.mof.gov.cn/ztztz/zhengfucaigouguanli/201802/t20180201_2804589.htm" </w:instrText>
      </w:r>
      <w:r>
        <w:rPr>
          <w:rFonts w:hint="eastAsia" w:ascii="宋体" w:hAnsi="宋体" w:eastAsia="宋体" w:cs="宋体"/>
          <w:color w:val="auto"/>
          <w:highlight w:val="none"/>
        </w:rPr>
        <w:fldChar w:fldCharType="separate"/>
      </w:r>
      <w:r>
        <w:rPr>
          <w:rStyle w:val="1192"/>
          <w:rFonts w:hint="eastAsia" w:ascii="宋体" w:hAnsi="宋体" w:eastAsia="宋体" w:cs="宋体"/>
          <w:color w:val="auto"/>
          <w:highlight w:val="none"/>
        </w:rPr>
        <w:t xml:space="preserve">http://gk</w:t>
      </w:r>
      <w:bookmarkStart w:id="710" w:name="_Hlt100654014"/>
      <w:r>
        <w:rPr>
          <w:rStyle w:val="1192"/>
          <w:rFonts w:hint="eastAsia" w:ascii="宋体" w:hAnsi="宋体" w:eastAsia="宋体" w:cs="宋体"/>
          <w:color w:val="auto"/>
          <w:highlight w:val="none"/>
        </w:rPr>
        <w:t xml:space="preserve">s</w:t>
      </w:r>
      <w:bookmarkEnd w:id="710"/>
      <w:r>
        <w:rPr>
          <w:rStyle w:val="1192"/>
          <w:rFonts w:hint="eastAsia" w:ascii="宋体" w:hAnsi="宋体" w:eastAsia="宋体" w:cs="宋体"/>
          <w:color w:val="auto"/>
          <w:highlight w:val="none"/>
        </w:rPr>
        <w:t xml:space="preserve">.m</w:t>
      </w:r>
      <w:bookmarkStart w:id="711" w:name="_Hlt100653993"/>
      <w:r/>
      <w:bookmarkStart w:id="712" w:name="_Hlt100653994"/>
      <w:r>
        <w:rPr>
          <w:rStyle w:val="1192"/>
          <w:rFonts w:hint="eastAsia" w:ascii="宋体" w:hAnsi="宋体" w:eastAsia="宋体" w:cs="宋体"/>
          <w:color w:val="auto"/>
          <w:highlight w:val="none"/>
        </w:rPr>
        <w:t xml:space="preserve">o</w:t>
      </w:r>
      <w:bookmarkEnd w:id="711"/>
      <w:r/>
      <w:bookmarkEnd w:id="712"/>
      <w:r>
        <w:rPr>
          <w:rStyle w:val="1192"/>
          <w:rFonts w:hint="eastAsia" w:ascii="宋体" w:hAnsi="宋体" w:eastAsia="宋体" w:cs="宋体"/>
          <w:color w:val="auto"/>
          <w:highlight w:val="none"/>
        </w:rPr>
        <w:t xml:space="preserve">f.gov.cn/ztztz/zhengfucaigouguanli/201802/t20180201_2804589.htm</w:t>
      </w:r>
      <w:r>
        <w:rPr>
          <w:rStyle w:val="1192"/>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26.2.4投标人为自然人的，应当由本人签字；投标人为法人或者其他组织的，应当由法定代表人、主要负责人，或者其授权代表签字或者加盖公章，并加盖公章。</w:t>
      </w:r>
      <w:r/>
    </w:p>
    <w:p>
      <w:pPr>
        <w:numPr>
          <w:ilvl w:val="2"/>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26.2.5投标人应在法定质疑期内一次性提出针对同一采购程序环节的质疑，法定质疑期内针对同一采购程序环节再次提出的质疑，采购人、采购代理机构有权不予答复。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26.3接收询问和质疑的联系部门、联系电话和通讯地址见《投标人须知资料表》。</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27代理费</w:t>
      </w:r>
      <w:r/>
    </w:p>
    <w:p>
      <w:pPr>
        <w:numPr>
          <w:ilvl w:val="1"/>
          <w:numId w:val="0"/>
        </w:numPr>
        <w:ind w:firstLine="48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27.1收费对象、收费标准及缴纳时间见《投标人须知资料表》。由中标人支付的，中标人须一次性向采购代理机构缴纳代理费，投标报价应包含代理费用。</w:t>
      </w:r>
      <w:r/>
    </w:p>
    <w:p>
      <w:pPr>
        <w:jc w:val="center"/>
        <w:spacing w:line="360" w:lineRule="auto"/>
        <w:rPr>
          <w:rFonts w:hint="eastAsia" w:ascii="宋体" w:hAnsi="宋体" w:eastAsia="宋体" w:cs="宋体"/>
          <w:b/>
          <w:color w:val="auto"/>
          <w:sz w:val="36"/>
          <w:szCs w:val="36"/>
          <w:highlight w:val="none"/>
        </w:rPr>
        <w:outlineLvl w:val="0"/>
      </w:pPr>
      <w:r/>
      <w:bookmarkStart w:id="713" w:name="_Toc353873664"/>
      <w:r/>
      <w:bookmarkStart w:id="714" w:name="_Toc226337250"/>
      <w:r/>
      <w:bookmarkStart w:id="715" w:name="_Toc150480792"/>
      <w:r/>
      <w:bookmarkStart w:id="716" w:name="_Toc305158822"/>
      <w:r/>
      <w:bookmarkStart w:id="717" w:name="_Toc353825544"/>
      <w:r/>
      <w:bookmarkStart w:id="718" w:name="_Toc150774759"/>
      <w:r/>
      <w:bookmarkStart w:id="719" w:name="_Toc142311056"/>
      <w:r/>
      <w:bookmarkStart w:id="720" w:name="_Toc264969244"/>
      <w:r/>
      <w:bookmarkStart w:id="721" w:name="_Toc353873934"/>
      <w:r/>
      <w:bookmarkStart w:id="722" w:name="_Toc226965827"/>
      <w:r/>
      <w:bookmarkStart w:id="723" w:name="_Toc265228392"/>
      <w:r/>
      <w:bookmarkStart w:id="724" w:name="_Toc305158896"/>
      <w:r/>
      <w:bookmarkStart w:id="725" w:name="_Toc127151554"/>
      <w:r>
        <w:rPr>
          <w:rFonts w:hint="eastAsia" w:ascii="宋体" w:hAnsi="宋体" w:eastAsia="宋体" w:cs="宋体"/>
          <w:color w:val="auto"/>
          <w:sz w:val="24"/>
          <w:highlight w:val="none"/>
        </w:rPr>
        <w:br w:type="page" w:clear="all"/>
      </w:r>
      <w:bookmarkStart w:id="726" w:name="_Toc306"/>
      <w:r>
        <w:rPr>
          <w:rFonts w:hint="eastAsia" w:ascii="宋体" w:hAnsi="宋体" w:eastAsia="宋体" w:cs="宋体"/>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Start w:id="727" w:name="_Toc487900382"/>
      <w:r>
        <w:rPr>
          <w:rFonts w:hint="eastAsia" w:ascii="宋体" w:hAnsi="宋体" w:cs="宋体"/>
          <w:b/>
          <w:color w:val="auto"/>
          <w:sz w:val="36"/>
          <w:szCs w:val="36"/>
          <w:highlight w:val="none"/>
          <w:lang w:val="en-US" w:eastAsia="zh-CN"/>
        </w:rPr>
        <w:t xml:space="preserve">资格审查</w:t>
      </w:r>
      <w:bookmarkEnd w:id="726"/>
      <w:r/>
      <w:r/>
    </w:p>
    <w:p>
      <w:pPr>
        <w:jc w:val="center"/>
        <w:spacing w:line="360" w:lineRule="auto"/>
        <w:tabs>
          <w:tab w:val="left" w:pos="360" w:leader="none"/>
          <w:tab w:val="left" w:pos="900" w:leader="none"/>
        </w:tabs>
        <w:rPr>
          <w:rFonts w:hint="eastAsia" w:ascii="宋体" w:hAnsi="宋体" w:eastAsia="宋体" w:cs="宋体"/>
          <w:b/>
          <w:color w:val="auto"/>
          <w:sz w:val="24"/>
          <w:highlight w:val="none"/>
        </w:rPr>
        <w:outlineLvl w:val="1"/>
      </w:pPr>
      <w:r/>
      <w:bookmarkStart w:id="728" w:name="_Toc99301422"/>
      <w:r>
        <w:rPr>
          <w:rFonts w:hint="eastAsia" w:ascii="宋体" w:hAnsi="宋体" w:eastAsia="宋体" w:cs="宋体"/>
          <w:b/>
          <w:color w:val="auto"/>
          <w:sz w:val="24"/>
          <w:highlight w:val="none"/>
        </w:rPr>
        <w:t xml:space="preserve">一、资格审查程序</w:t>
      </w:r>
      <w:bookmarkEnd w:id="728"/>
      <w:r/>
      <w:r/>
    </w:p>
    <w:p>
      <w:pPr>
        <w:numPr>
          <w:ilvl w:val="0"/>
          <w:numId w:val="19"/>
        </w:numPr>
        <w:ind w:left="426" w:hanging="426"/>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开标结束后，采购人将根据《资格审查要求》中的规定，对投标人进行资格审查，并形成资格审查结果。</w:t>
      </w:r>
      <w:r/>
    </w:p>
    <w:p>
      <w:pPr>
        <w:numPr>
          <w:ilvl w:val="0"/>
          <w:numId w:val="19"/>
        </w:numPr>
        <w:ind w:left="426" w:hanging="426"/>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《资格审查要求》中对格式有要求的，除招标文件另有规定外，均为“实质性格式”文件。</w:t>
      </w:r>
      <w:r/>
    </w:p>
    <w:p>
      <w:pPr>
        <w:numPr>
          <w:ilvl w:val="0"/>
          <w:numId w:val="19"/>
        </w:numPr>
        <w:ind w:left="426" w:hanging="426"/>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投标人《资格证明文件》有任何一项不符合《资格审查要求》的，资格审查不合格，其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0"/>
          <w:numId w:val="19"/>
        </w:numPr>
        <w:ind w:left="426" w:hanging="426"/>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资格审查合格的投标人不足3家的，不进行评标。</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360" w:leader="none"/>
          <w:tab w:val="left" w:pos="900" w:leader="none"/>
        </w:tabs>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二、资格审查要求</w:t>
      </w:r>
      <w:r/>
    </w:p>
    <w:tbl>
      <w:tblPr>
        <w:tblStyle w:val="86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126"/>
        <w:gridCol w:w="5174"/>
        <w:gridCol w:w="1757"/>
      </w:tblGrid>
      <w:tr>
        <w:trPr>
          <w:cantSplit/>
          <w:trHeight w:val="468"/>
          <w:tblHeader/>
        </w:trPr>
        <w:tc>
          <w:tcPr>
            <w:tcW w:w="844"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bookmarkStart w:id="729" w:name="_Hlt487972895"/>
            <w:r/>
            <w:bookmarkEnd w:id="729"/>
            <w:r>
              <w:rPr>
                <w:rFonts w:hint="eastAsia" w:ascii="宋体" w:hAnsi="宋体" w:eastAsia="宋体" w:cs="宋体"/>
                <w:b/>
                <w:color w:val="auto"/>
                <w:sz w:val="24"/>
                <w:highlight w:val="none"/>
              </w:rPr>
              <w:t xml:space="preserve">序号</w:t>
            </w:r>
            <w:r/>
          </w:p>
        </w:tc>
        <w:tc>
          <w:tcPr>
            <w:tcW w:w="1983"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4823"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c>
          <w:tcPr>
            <w:tcW w:w="1638"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格式要求</w:t>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8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满足《中华人民共和国政府采购法》第二十二条规定及法律法规的其他规定</w:t>
            </w:r>
            <w:r/>
          </w:p>
        </w:tc>
        <w:tc>
          <w:tcPr>
            <w:tcW w:w="482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具体规定见第一章《投标邀请》</w:t>
            </w:r>
            <w:r/>
          </w:p>
        </w:tc>
        <w:tc>
          <w:tcPr>
            <w:tcW w:w="1638"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98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投标人资格声明函</w:t>
            </w:r>
            <w:r/>
          </w:p>
        </w:tc>
        <w:tc>
          <w:tcPr>
            <w:tcW w:w="482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提供了符合招标文件要求的《投标人资格声明函》。</w:t>
            </w:r>
            <w:r/>
          </w:p>
        </w:tc>
        <w:tc>
          <w:tcPr>
            <w:tcW w:w="1638"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98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投标人信用记录</w:t>
            </w:r>
            <w:r/>
          </w:p>
        </w:tc>
        <w:tc>
          <w:tcPr>
            <w:tcW w:w="482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查询渠道：信用中国网站和中国政府采购网（</w:t>
            </w:r>
            <w:r>
              <w:rPr>
                <w:rFonts w:hint="eastAsia" w:ascii="宋体" w:hAnsi="宋体" w:eastAsia="宋体" w:cs="宋体"/>
                <w:color w:val="auto"/>
                <w:highlight w:val="none"/>
              </w:rPr>
              <w:t xml:space="preserve">www.creditchina.gov.cn</w:t>
            </w:r>
            <w:r>
              <w:rPr>
                <w:rFonts w:hint="eastAsia" w:ascii="宋体" w:hAnsi="宋体" w:eastAsia="宋体" w:cs="宋体"/>
                <w:color w:val="auto"/>
                <w:sz w:val="24"/>
                <w:highlight w:val="none"/>
              </w:rPr>
              <w:t xml:space="preserve">、</w:t>
            </w:r>
            <w:r>
              <w:rPr>
                <w:rFonts w:hint="eastAsia" w:ascii="宋体" w:hAnsi="宋体" w:eastAsia="宋体" w:cs="宋体"/>
                <w:color w:val="auto"/>
                <w:highlight w:val="none"/>
              </w:rPr>
              <w:t xml:space="preserve">www.ccgp.gov.cn</w:t>
            </w:r>
            <w:r>
              <w:rPr>
                <w:rFonts w:hint="eastAsia" w:ascii="宋体" w:hAnsi="宋体" w:eastAsia="宋体" w:cs="宋体"/>
                <w:color w:val="auto"/>
                <w:sz w:val="24"/>
                <w:highlight w:val="none"/>
              </w:rPr>
              <w:t xml:space="preserve">）；</w:t>
            </w:r>
            <w:r/>
          </w:p>
          <w:p>
            <w:pPr>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无须投标人提供，由采购人查询。</w:t>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8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482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具体要求见第一章《投标邀请》</w:t>
            </w:r>
            <w:r/>
          </w:p>
        </w:tc>
        <w:tc>
          <w:tcPr>
            <w:tcW w:w="1638"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468"/>
        </w:trPr>
        <w:tc>
          <w:tcPr>
            <w:shd w:val="clear" w:color="auto" w:fill="auto"/>
            <w:tcW w:w="8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shd w:val="clear" w:color="auto" w:fill="auto"/>
            <w:tcW w:w="198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w:t>
            </w:r>
            <w:r/>
          </w:p>
        </w:tc>
        <w:tc>
          <w:tcPr>
            <w:shd w:val="clear" w:color="auto" w:fill="auto"/>
            <w:tcW w:w="4823" w:type="dxa"/>
            <w:vAlign w:val="center"/>
            <w:textDirection w:val="lrTb"/>
            <w:noWrap w:val="false"/>
          </w:tcPr>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1、供应商单独参与</w:t>
            </w:r>
            <w:r>
              <w:rPr>
                <w:rFonts w:hint="eastAsia" w:ascii="宋体" w:hAnsi="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2、如</w:t>
            </w:r>
            <w:r>
              <w:rPr>
                <w:rFonts w:hint="eastAsia" w:ascii="宋体" w:hAnsi="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注2：残疾人福利性单位须按</w:t>
            </w:r>
            <w:r>
              <w:rPr>
                <w:rFonts w:hint="eastAsia" w:ascii="宋体" w:hAnsi="宋体" w:cs="宋体"/>
                <w:bCs/>
                <w:color w:val="auto"/>
                <w:sz w:val="24"/>
                <w:highlight w:val="none"/>
                <w:lang w:val="en-US" w:eastAsia="zh-CN"/>
              </w:rPr>
              <w:t xml:space="preserve">招标</w:t>
            </w:r>
            <w:r>
              <w:rPr>
                <w:rFonts w:hint="eastAsia" w:ascii="宋体" w:hAnsi="宋体" w:eastAsia="宋体" w:cs="宋体"/>
                <w:bCs/>
                <w:color w:val="auto"/>
                <w:sz w:val="24"/>
                <w:highlight w:val="none"/>
              </w:rPr>
              <w:t xml:space="preserve">文件要求提供《残疾人福利性单位声明函》。</w:t>
            </w:r>
            <w:r/>
          </w:p>
        </w:tc>
        <w:tc>
          <w:tcPr>
            <w:shd w:val="clear" w:color="auto" w:fill="auto"/>
            <w:tcW w:w="1638"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文件格式》</w:t>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w:t>
            </w:r>
            <w:r/>
          </w:p>
        </w:tc>
        <w:tc>
          <w:tcPr>
            <w:tcW w:w="198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w:t>
            </w:r>
            <w:r>
              <w:rPr>
                <w:rFonts w:hint="eastAsia" w:ascii="宋体" w:hAnsi="宋体" w:cs="宋体"/>
                <w:color w:val="auto"/>
                <w:sz w:val="24"/>
                <w:highlight w:val="none"/>
                <w:lang w:val="en-US" w:eastAsia="zh-CN"/>
              </w:rPr>
              <w:t xml:space="preserve">它</w:t>
            </w:r>
            <w:r>
              <w:rPr>
                <w:rFonts w:hint="eastAsia" w:ascii="宋体" w:hAnsi="宋体" w:eastAsia="宋体" w:cs="宋体"/>
                <w:color w:val="auto"/>
                <w:sz w:val="24"/>
                <w:highlight w:val="none"/>
              </w:rPr>
              <w:t xml:space="preserve">落实政府采购政策的资格要求</w:t>
            </w:r>
            <w:r/>
          </w:p>
        </w:tc>
        <w:tc>
          <w:tcPr>
            <w:tcW w:w="482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如有，见第一章《投标邀请》</w:t>
            </w:r>
            <w:r/>
          </w:p>
        </w:tc>
        <w:tc>
          <w:tcPr>
            <w:tcW w:w="1638"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提供相应证明材料扫描件</w:t>
            </w:r>
            <w:r/>
          </w:p>
        </w:tc>
      </w:tr>
      <w:tr>
        <w:trPr>
          <w:cantSplit/>
          <w:trHeight w:val="468"/>
        </w:trPr>
        <w:tc>
          <w:tcPr>
            <w:tcW w:w="8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98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本项目的特定资格要求</w:t>
            </w:r>
            <w:r/>
          </w:p>
        </w:tc>
        <w:tc>
          <w:tcPr>
            <w:tcW w:w="482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如有，见第一章《投标邀请》</w:t>
            </w:r>
            <w:r/>
          </w:p>
        </w:tc>
        <w:tc>
          <w:tcPr>
            <w:tcW w:w="1638"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提供相应证明材料扫描件</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rFonts w:hint="eastAsia" w:ascii="宋体" w:hAnsi="宋体" w:eastAsia="宋体" w:cs="宋体"/>
          <w:color w:val="auto"/>
          <w:sz w:val="24"/>
          <w:highlight w:val="none"/>
        </w:rPr>
      </w:pPr>
      <w:r/>
      <w:bookmarkStart w:id="730" w:name="_Toc226965858"/>
      <w:r/>
      <w:bookmarkStart w:id="731" w:name="_Toc127161490"/>
      <w:r/>
      <w:bookmarkStart w:id="732" w:name="_Toc127151779"/>
      <w:r/>
      <w:bookmarkStart w:id="733" w:name="_Toc353825550"/>
      <w:r/>
      <w:bookmarkStart w:id="734" w:name="_Toc353873940"/>
      <w:r>
        <w:rPr>
          <w:rFonts w:hint="eastAsia" w:ascii="宋体" w:hAnsi="宋体" w:eastAsia="宋体" w:cs="宋体"/>
          <w:color w:val="auto"/>
          <w:sz w:val="24"/>
          <w:highlight w:val="none"/>
        </w:rPr>
        <w:br w:type="page" w:clear="all"/>
      </w:r>
      <w:bookmarkEnd w:id="730"/>
      <w:r/>
      <w:bookmarkEnd w:id="731"/>
      <w:r/>
      <w:bookmarkEnd w:id="732"/>
      <w:r/>
      <w:bookmarkEnd w:id="733"/>
      <w:r/>
      <w:bookmarkEnd w:id="734"/>
      <w:r/>
      <w:r/>
    </w:p>
    <w:p>
      <w:pPr>
        <w:jc w:val="center"/>
        <w:spacing w:line="360" w:lineRule="auto"/>
        <w:rPr>
          <w:rFonts w:hint="eastAsia" w:ascii="宋体" w:hAnsi="宋体" w:eastAsia="宋体" w:cs="宋体"/>
          <w:b/>
          <w:color w:val="auto"/>
          <w:sz w:val="36"/>
          <w:szCs w:val="36"/>
          <w:highlight w:val="none"/>
        </w:rPr>
        <w:outlineLvl w:val="0"/>
      </w:pPr>
      <w:r/>
      <w:bookmarkStart w:id="735" w:name="_Hlt164229061"/>
      <w:r/>
      <w:bookmarkEnd w:id="735"/>
      <w:r/>
      <w:bookmarkStart w:id="736" w:name="_Toc7874"/>
      <w:r>
        <w:rPr>
          <w:rFonts w:hint="eastAsia" w:ascii="宋体" w:hAnsi="宋体" w:eastAsia="宋体" w:cs="宋体"/>
          <w:b/>
          <w:color w:val="auto"/>
          <w:sz w:val="36"/>
          <w:szCs w:val="36"/>
          <w:highlight w:val="none"/>
        </w:rPr>
        <w:t xml:space="preserve">第四章   评标程序、评标方法和评标标准</w:t>
      </w:r>
      <w:bookmarkEnd w:id="736"/>
      <w:r/>
      <w:r/>
    </w:p>
    <w:p>
      <w:pPr>
        <w:jc w:val="center"/>
        <w:spacing w:line="360" w:lineRule="auto"/>
        <w:tabs>
          <w:tab w:val="left" w:pos="360" w:leader="none"/>
          <w:tab w:val="left" w:pos="900" w:leader="none"/>
        </w:tabs>
        <w:rPr>
          <w:rFonts w:hint="eastAsia" w:ascii="宋体" w:hAnsi="宋体" w:eastAsia="宋体" w:cs="宋体"/>
          <w:b/>
          <w:color w:val="auto"/>
          <w:highlight w:val="none"/>
        </w:rPr>
        <w:outlineLvl w:val="1"/>
      </w:pPr>
      <w:r>
        <w:rPr>
          <w:rFonts w:hint="eastAsia" w:ascii="宋体" w:hAnsi="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、评标程序</w:t>
      </w:r>
      <w:r/>
    </w:p>
    <w:p>
      <w:pPr>
        <w:ind w:left="900" w:hanging="900"/>
        <w:spacing w:line="360" w:lineRule="auto"/>
        <w:tabs>
          <w:tab w:val="left" w:pos="360" w:leader="none"/>
        </w:tabs>
        <w:rPr>
          <w:rFonts w:hint="eastAsia" w:ascii="宋体" w:hAnsi="宋体" w:eastAsia="宋体" w:cs="宋体"/>
          <w:color w:val="auto"/>
          <w:sz w:val="24"/>
          <w:highlight w:val="none"/>
        </w:rPr>
        <w:outlineLvl w:val="1"/>
      </w:pPr>
      <w:r/>
      <w:bookmarkStart w:id="737" w:name="_Toc226337237"/>
      <w:r/>
      <w:bookmarkStart w:id="738" w:name="_Toc151193855"/>
      <w:r/>
      <w:bookmarkStart w:id="739" w:name="_Toc151193929"/>
      <w:r/>
      <w:bookmarkStart w:id="740" w:name="_Toc127151541"/>
      <w:r/>
      <w:bookmarkStart w:id="741" w:name="_Toc305158883"/>
      <w:r/>
      <w:bookmarkStart w:id="742" w:name="_Toc164229236"/>
      <w:r/>
      <w:bookmarkStart w:id="743" w:name="_Toc164351635"/>
      <w:r/>
      <w:bookmarkStart w:id="744" w:name="_Toc265228379"/>
      <w:r/>
      <w:bookmarkStart w:id="745" w:name="_Toc142311043"/>
      <w:r/>
      <w:bookmarkStart w:id="746" w:name="_Toc151193783"/>
      <w:r/>
      <w:bookmarkStart w:id="747" w:name="_Toc149720834"/>
      <w:r/>
      <w:bookmarkStart w:id="748" w:name="_Toc226965814"/>
      <w:r/>
      <w:bookmarkStart w:id="749" w:name="_Toc164608655"/>
      <w:r/>
      <w:bookmarkStart w:id="750" w:name="_Toc150480779"/>
      <w:r/>
      <w:bookmarkStart w:id="751" w:name="_Toc150774641"/>
      <w:r/>
      <w:bookmarkStart w:id="752" w:name="_Toc305158809"/>
      <w:r/>
      <w:bookmarkStart w:id="753" w:name="_Toc150774746"/>
      <w:r/>
      <w:bookmarkStart w:id="754" w:name="_Toc127161455"/>
      <w:r/>
      <w:bookmarkStart w:id="755" w:name="_Toc226309785"/>
      <w:r/>
      <w:bookmarkStart w:id="756" w:name="_Toc195842906"/>
      <w:r/>
      <w:bookmarkStart w:id="757" w:name="_Toc164229382"/>
      <w:r/>
      <w:bookmarkStart w:id="758" w:name="_Toc226965731"/>
      <w:r/>
      <w:bookmarkStart w:id="759" w:name="_Toc264969231"/>
      <w:r/>
      <w:bookmarkStart w:id="760" w:name="_Toc151190168"/>
      <w:r/>
      <w:bookmarkStart w:id="761" w:name="_Toc127151742"/>
      <w:r/>
      <w:bookmarkStart w:id="762" w:name="_Toc150509292"/>
      <w:r/>
      <w:bookmarkStart w:id="763" w:name="_Toc151193711"/>
      <w:r/>
      <w:bookmarkStart w:id="764" w:name="_Toc151193639"/>
      <w:r/>
      <w:bookmarkStart w:id="765" w:name="_Toc164608810"/>
      <w:r/>
      <w:bookmarkStart w:id="766" w:name="_Toc353825551"/>
      <w:r/>
      <w:bookmarkStart w:id="767" w:name="_Toc353873941"/>
      <w:r/>
      <w:bookmarkStart w:id="768" w:name="_Toc127151555"/>
      <w:r/>
      <w:bookmarkStart w:id="769" w:name="_Toc264969245"/>
      <w:r/>
      <w:bookmarkStart w:id="770" w:name="_Toc142311057"/>
      <w:r/>
      <w:bookmarkStart w:id="771" w:name="_Toc195842920"/>
      <w:r/>
      <w:bookmarkStart w:id="772" w:name="_Toc305158823"/>
      <w:r/>
      <w:bookmarkStart w:id="773" w:name="_Toc150774760"/>
      <w:r/>
      <w:bookmarkStart w:id="774" w:name="_Toc226965828"/>
      <w:r/>
      <w:bookmarkStart w:id="775" w:name="_Toc353825545"/>
      <w:r/>
      <w:bookmarkStart w:id="776" w:name="_Toc226337251"/>
      <w:r/>
      <w:bookmarkStart w:id="777" w:name="_Toc353873935"/>
      <w:r/>
      <w:bookmarkStart w:id="778" w:name="_Toc305158897"/>
      <w:r/>
      <w:bookmarkStart w:id="779" w:name="_Toc150480793"/>
      <w:r/>
      <w:bookmarkStart w:id="780" w:name="_Toc353873665"/>
      <w:r/>
      <w:bookmarkStart w:id="781" w:name="_Toc265228393"/>
      <w:r>
        <w:rPr>
          <w:rFonts w:hint="eastAsia" w:ascii="宋体" w:hAnsi="宋体" w:eastAsia="宋体" w:cs="宋体"/>
          <w:color w:val="auto"/>
          <w:sz w:val="24"/>
          <w:highlight w:val="none"/>
        </w:rPr>
        <w:t xml:space="preserve">1投标文件的符合性审查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0"/>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1.1评标委员会对资格审查合格的投标人的投标文件进行符合性审查，以确定其是否满足招标文件的实质性要求。</w:t>
      </w:r>
      <w:bookmarkStart w:id="782" w:name="_Toc520356167"/>
      <w:r/>
      <w:r/>
    </w:p>
    <w:p>
      <w:pPr>
        <w:numPr>
          <w:ilvl w:val="1"/>
          <w:numId w:val="0"/>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eastAsia="宋体" w:cs="宋体"/>
          <w:color w:val="auto"/>
          <w:sz w:val="24"/>
          <w:highlight w:val="none"/>
        </w:rPr>
        <w:t xml:space="preserve">要求的，</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符合性审查要求</w:t>
      </w:r>
      <w:r/>
    </w:p>
    <w:tbl>
      <w:tblPr>
        <w:tblStyle w:val="86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45"/>
        <w:gridCol w:w="7212"/>
      </w:tblGrid>
      <w:tr>
        <w:trPr>
          <w:jc w:val="center"/>
          <w:trHeight w:val="300"/>
        </w:trPr>
        <w:tc>
          <w:tcPr>
            <w:tcW w:w="404" w:type="pct"/>
            <w:vAlign w:val="center"/>
            <w:textDirection w:val="lrTb"/>
            <w:noWrap w:val="false"/>
          </w:tcPr>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976" w:type="pct"/>
            <w:vAlign w:val="center"/>
            <w:textDirection w:val="lrTb"/>
            <w:noWrap w:val="false"/>
          </w:tcPr>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3620" w:type="pct"/>
            <w:vAlign w:val="center"/>
            <w:textDirection w:val="lrTb"/>
            <w:noWrap w:val="false"/>
          </w:tcPr>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投标函、法定代表人资格证明书和政府采购供应商信用承诺书</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按招标文件要求提供投标函、法定代表人资格证明书和政府采购供应商信用承诺书；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投标完整性</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报价唯一性</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投标文件未出现可选择性或可调整的报价（招标文件另有规定的除外）；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签署、加盖公章</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实质性格式</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★号条款响应</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投标文件满足招标文件第</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分包意向协议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按招标文件规定签订并提供分包意向协议原件的电子件的；（如有）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报价合理性</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进口产品</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公平竞争</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串通投标</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附加条件</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p>
        </w:tc>
        <w:tc>
          <w:tcPr>
            <w:tcW w:w="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其他无效情形</w:t>
            </w:r>
            <w:r/>
          </w:p>
        </w:tc>
        <w:tc>
          <w:tcPr>
            <w:tcW w:w="3620"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投标人、投标文件不存在不符合法律、法规和招标文件规定的其他无效情形。</w:t>
            </w:r>
            <w:r/>
          </w:p>
        </w:tc>
      </w:tr>
    </w:tbl>
    <w:p>
      <w:pPr>
        <w:numPr>
          <w:ilvl w:val="0"/>
          <w:numId w:val="20"/>
        </w:numPr>
        <w:spacing w:line="360" w:lineRule="auto"/>
        <w:tabs>
          <w:tab w:val="left" w:pos="1080" w:leader="none"/>
          <w:tab w:val="left" w:pos="1589" w:leader="none"/>
        </w:tabs>
        <w:rPr>
          <w:rFonts w:hint="eastAsia" w:ascii="宋体" w:hAnsi="宋体" w:eastAsia="宋体" w:cs="宋体"/>
          <w:color w:val="auto"/>
          <w:sz w:val="24"/>
          <w:highlight w:val="none"/>
        </w:rPr>
        <w:sectPr>
          <w:headerReference w:type="even" r:id="rId11"/>
          <w:headerReference w:type="first" r:id="rId12"/>
          <w:footerReference w:type="even" r:id="rId19"/>
          <w:footerReference w:type="first" r:id="rId20"/>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4"/>
          <w:highlight w:val="none"/>
        </w:rPr>
      </w:r>
      <w:r/>
    </w:p>
    <w:p>
      <w:pPr>
        <w:ind w:firstLine="482"/>
        <w:jc w:val="both"/>
        <w:spacing w:line="360" w:lineRule="auto"/>
        <w:tabs>
          <w:tab w:val="left" w:pos="360" w:leader="none"/>
        </w:tabs>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、投标文件有关事项的澄清或者说明</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auto"/>
          <w:sz w:val="24"/>
          <w:highlight w:val="none"/>
        </w:rPr>
        <w:t xml:space="preserve">无效投标处理</w:t>
      </w:r>
      <w:r>
        <w:rPr>
          <w:rFonts w:hint="eastAsia" w:ascii="宋体" w:hAnsi="宋体" w:eastAsia="宋体" w:cs="宋体"/>
          <w:color w:val="auto"/>
          <w:sz w:val="24"/>
          <w:highlight w:val="none"/>
        </w:rPr>
        <w:t xml:space="preserve">。</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.4投标文件报价出现前后不一致的，按照下列规定修正：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.4.1招标文件对于报价修正是否另有规定：</w:t>
      </w:r>
      <w:r/>
    </w:p>
    <w:p>
      <w:p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□有，具体规定为：______________</w:t>
      </w:r>
      <w:r/>
    </w:p>
    <w:p>
      <w:p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☑无，按下述</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.4.2-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.4.7项规定修正。</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.4.2单独递交的开标一览表（报价表）与投标文件中开标一览表（报价表）内容不一致的，以单独递交的开标一览表（报价表）为准；</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.4.3投标文件中开标一览表（报价表）内容与投标文件中相应内容不一致的，以开标一览表（报价表）为准；</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.4.4大写金额和小写金额不一致的，以大写金额为准；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.4.5单价金额小数点或者百分比有明显错位的，以开标一览表的总价为准，并修改单价；</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.4.6总价金额与按单价汇总金额不一致的，以单价金额计算结果为准。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.4.7同时出现两种以上不一致的，按照前款规定的顺序修正。修正后的报价经投标人书面确认后产生约束力，投标人不确认的，其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.5落实政府采购政策的价格调整：只有符合第二章《投标人须知》5.2条规定情形的，可以享受中小企业扶持政策，用扣除后的价格参加评审；否则，评标时价格不予扣除。</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.5.1对于未预留份额专门面向中小企业采购的采购项目，以及预留份额项目中的非预留部分采购包，对</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报价给予</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.5.2对于未预留份额专门面向中小企业采购的采购项目，以及预留份额项目中的非预留部分采购包，且接受大中型企业与</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组成联合体或者允许大中型企业向一家或者多家</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分包的采购项目，对于联合协议或者分包意向协议约定</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的合同份额占到合同总金额30%以上的联合体或者大中型企业的报价给予</w:t>
      </w:r>
      <w:r>
        <w:rPr>
          <w:rFonts w:hint="eastAsia" w:ascii="宋体" w:hAnsi="宋体" w:eastAsia="宋体" w:cs="宋体"/>
          <w:color w:val="auto"/>
          <w:sz w:val="24"/>
          <w:highlight w:val="none"/>
          <w:u w:val="single"/>
        </w:rPr>
        <w:t xml:space="preserve">3</w:t>
      </w:r>
      <w:r>
        <w:rPr>
          <w:rFonts w:hint="eastAsia" w:ascii="宋体" w:hAnsi="宋体" w:eastAsia="宋体" w:cs="宋体"/>
          <w:color w:val="auto"/>
          <w:sz w:val="24"/>
          <w:highlight w:val="none"/>
        </w:rPr>
        <w:t xml:space="preserve">%的扣除，用扣除后的价格参加评审。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.5.3组成联合体或者接受分包的小微企业与联合体内其他企业、分包企业之间存在直接控股、管理关系的，不享受价格扣除优惠政策。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.5.4价格扣除比例对小型企业和微型企业同等对待，不作区分。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.5.5中小企业参加政府采购活动，应当按照招标文件给定的格式出具《中小企业声明函》，否则不得享受相关中小企业扶持政策。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.5.6监狱企业提供了由省级以上监狱管理局（常州市含教育矫治局）、戒毒管理局（含新疆生产建设兵团）出具的属于监狱企业的证明文件的，视同小微企业。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.5.7残疾人福利性单位按招标文件要求提供了《残疾人福利性单位声明函》（见附件）的，视同小微企业。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.5.8若投标人同时属于小型或微型企业、监狱企业、残疾人福利性单位中的两种及以上，将不重复享受小微企业价格扣减的优惠政策。</w:t>
      </w:r>
      <w:r/>
    </w:p>
    <w:p>
      <w:pPr>
        <w:ind w:firstLine="482"/>
        <w:jc w:val="both"/>
        <w:spacing w:line="360" w:lineRule="auto"/>
        <w:tabs>
          <w:tab w:val="left" w:pos="360" w:leader="none"/>
        </w:tabs>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 投标文件的比较和评价</w:t>
      </w:r>
      <w:bookmarkEnd w:id="766"/>
      <w:r/>
      <w:bookmarkEnd w:id="767"/>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.2评标方法和评标标准</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.2.1本项目采用的评标方法为：</w:t>
      </w:r>
      <w:r/>
    </w:p>
    <w:p>
      <w:pPr>
        <w:ind w:firstLine="482"/>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☑综合评分法</w:t>
      </w:r>
      <w:r>
        <w:rPr>
          <w:rFonts w:hint="eastAsia" w:ascii="宋体" w:hAnsi="宋体" w:eastAsia="宋体" w:cs="宋体"/>
          <w:color w:val="auto"/>
          <w:sz w:val="24"/>
          <w:highlight w:val="none"/>
        </w:rPr>
        <w:t xml:space="preserve">，指投标文件满足招标文件全部实质性要求，且按照评审因素的量化指标评审得分最高的投标人为中标候选人的评标方法，见《评标标准》，招标文件中没有规定的评标标准不得作为评审的依据。</w:t>
      </w:r>
      <w:r/>
    </w:p>
    <w:p>
      <w:pPr>
        <w:ind w:firstLine="482"/>
        <w:spacing w:line="360" w:lineRule="auto"/>
        <w:tabs>
          <w:tab w:val="left" w:pos="900" w:leader="none"/>
          <w:tab w:val="left" w:pos="1589" w:leader="none"/>
          <w:tab w:val="left" w:pos="1701" w:leader="none"/>
        </w:tabs>
        <w:rPr>
          <w:rFonts w:hint="eastAsia" w:ascii="宋体" w:hAnsi="宋体" w:eastAsia="宋体" w:cs="宋体"/>
          <w:b/>
          <w:bCs/>
          <w:color w:val="auto"/>
          <w:sz w:val="24"/>
          <w:highlight w:val="none"/>
        </w:rPr>
      </w:pPr>
      <w:r>
        <w:rPr>
          <w:rFonts w:hint="default" w:ascii="宋体" w:hAnsi="宋体" w:eastAsia="宋体" w:cs="宋体"/>
          <w:b/>
          <w:bCs/>
          <w:color w:val="auto"/>
          <w:sz w:val="24"/>
          <w:highlight w:val="none"/>
          <w:lang w:val="en-US" w:eastAsia="zh-CN"/>
        </w:rPr>
        <w:t xml:space="preserve">根据江苏省财政厅文件《关于推动解决政府采购异常低价问题相关工作的通知》苏财购(2025)62号文第二条规定:强化政府采购异常低价审查。采购人应在采购文件中明确评审委员会启动异常低价投标(响应)审查的情形和具体要求，包括:(一)评审过程中出现下列情形之一的，评审委员会应当启动异常低价投标(响应)审查程序:1.投标(响应)报价低于采购项目预算50%的，投标(响应)报价&lt;采购项目预算</w:t>
      </w:r>
      <w:r>
        <w:rPr>
          <w:rFonts w:hint="eastAsia" w:ascii="宋体" w:hAnsi="宋体" w:eastAsia="宋体" w:cs="宋体"/>
          <w:b/>
          <w:bCs/>
          <w:color w:val="auto"/>
          <w:sz w:val="24"/>
          <w:highlight w:val="none"/>
          <w:lang w:val="en-US" w:eastAsia="zh-CN"/>
        </w:rPr>
        <w:t xml:space="preserve">*</w:t>
      </w:r>
      <w:r>
        <w:rPr>
          <w:rFonts w:hint="default" w:ascii="宋体" w:hAnsi="宋体" w:eastAsia="宋体" w:cs="宋体"/>
          <w:b/>
          <w:bCs/>
          <w:color w:val="auto"/>
          <w:sz w:val="24"/>
          <w:highlight w:val="none"/>
          <w:lang w:val="en-US" w:eastAsia="zh-CN"/>
        </w:rPr>
        <w:t xml:space="preserve">50% </w:t>
      </w:r>
      <w:r>
        <w:rPr>
          <w:rFonts w:hint="eastAsia" w:ascii="宋体" w:hAnsi="宋体" w:eastAsia="宋体" w:cs="宋体"/>
          <w:b/>
          <w:bCs/>
          <w:color w:val="auto"/>
          <w:sz w:val="24"/>
          <w:highlight w:val="none"/>
          <w:lang w:val="en-US" w:eastAsia="zh-CN"/>
        </w:rPr>
        <w:t xml:space="preserve">。</w:t>
      </w:r>
      <w:r>
        <w:rPr>
          <w:rFonts w:hint="default" w:ascii="宋体" w:hAnsi="宋体" w:eastAsia="宋体" w:cs="宋体"/>
          <w:b/>
          <w:bCs/>
          <w:color w:val="auto"/>
          <w:sz w:val="24"/>
          <w:highlight w:val="none"/>
          <w:lang w:val="en-US" w:eastAsia="zh-CN"/>
        </w:rPr>
        <w:t xml:space="preserve">2.投标(响应)报价低于采购项目最高限价45%的，即投标(响应)报价&lt;采购项目最高限价</w:t>
      </w:r>
      <w:r>
        <w:rPr>
          <w:rFonts w:hint="eastAsia" w:ascii="宋体" w:hAnsi="宋体" w:eastAsia="宋体" w:cs="宋体"/>
          <w:b/>
          <w:bCs/>
          <w:color w:val="auto"/>
          <w:sz w:val="24"/>
          <w:highlight w:val="none"/>
          <w:lang w:val="en-US" w:eastAsia="zh-CN"/>
        </w:rPr>
        <w:t xml:space="preserve">*</w:t>
      </w:r>
      <w:r>
        <w:rPr>
          <w:rFonts w:hint="default" w:ascii="宋体" w:hAnsi="宋体" w:eastAsia="宋体" w:cs="宋体"/>
          <w:b/>
          <w:bCs/>
          <w:color w:val="auto"/>
          <w:sz w:val="24"/>
          <w:highlight w:val="none"/>
          <w:lang w:val="en-US" w:eastAsia="zh-CN"/>
        </w:rPr>
        <w:t xml:space="preserve">45%,评审委员会认定的供应商报价过低、有可能影响产品质量或者不能诚信约的其他情形。(二)启动异常低价投标(响应)审查后，评审委员会应当要求相关供应商在评标现场合理的时间内(</w:t>
      </w:r>
      <w:r>
        <w:rPr>
          <w:rFonts w:hint="eastAsia" w:ascii="宋体" w:hAnsi="宋体" w:cs="宋体"/>
          <w:b/>
          <w:bCs/>
          <w:color w:val="auto"/>
          <w:sz w:val="24"/>
          <w:highlight w:val="none"/>
          <w:lang w:val="en-US" w:eastAsia="zh-CN"/>
        </w:rPr>
        <w:t xml:space="preserve">30</w:t>
      </w:r>
      <w:r>
        <w:rPr>
          <w:rFonts w:hint="default" w:ascii="宋体" w:hAnsi="宋体" w:eastAsia="宋体" w:cs="宋体"/>
          <w:b/>
          <w:bCs/>
          <w:color w:val="auto"/>
          <w:sz w:val="24"/>
          <w:highlight w:val="none"/>
          <w:lang w:val="en-US" w:eastAsia="zh-CN"/>
        </w:rPr>
        <w:t xml:space="preserve">分钟)，提供项目具体成本测算等与报价合理性相关的书面说明及相关证</w:t>
      </w:r>
      <w:r>
        <w:rPr>
          <w:rFonts w:hint="eastAsia" w:ascii="宋体" w:hAnsi="宋体" w:cs="宋体"/>
          <w:b/>
          <w:bCs/>
          <w:color w:val="auto"/>
          <w:sz w:val="24"/>
          <w:highlight w:val="none"/>
          <w:lang w:val="en-US" w:eastAsia="zh-CN"/>
        </w:rPr>
        <w:t xml:space="preserve">明材</w:t>
      </w:r>
      <w:r>
        <w:rPr>
          <w:rFonts w:hint="default" w:ascii="宋体" w:hAnsi="宋体" w:eastAsia="宋体" w:cs="宋体"/>
          <w:b/>
          <w:bCs/>
          <w:color w:val="auto"/>
          <w:sz w:val="24"/>
          <w:highlight w:val="none"/>
          <w:lang w:val="en-US" w:eastAsia="zh-CN"/>
        </w:rPr>
        <w:t xml:space="preserve">料，对投标(响应)价格作出解释，由评审委员会结合同类产品在主要电商平台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□最低评标价法，指投标文件满足招标文件全部实质性要求，且投标报价最低的投标人为中标候选人的评标方法。</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□随机抽取</w:t>
      </w:r>
      <w:r/>
    </w:p>
    <w:p>
      <w:p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□其他方式，具体要求：_____</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.2.3非政府强制采购的节能产品或环境标志产品，依据品目清单和认证证书实施政府优先采购。优先采购的具体规定（如涉及）_____。</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.2.4关于无线局域网认证产品政府采购清单中的产品，优先采购的具体规定（如涉及）_____。</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确定</w:t>
      </w:r>
      <w:bookmarkStart w:id="783" w:name="_Toc164229387"/>
      <w:r/>
      <w:bookmarkStart w:id="784" w:name="_Toc150774751"/>
      <w:r/>
      <w:bookmarkStart w:id="785" w:name="_Toc150774646"/>
      <w:r/>
      <w:bookmarkStart w:id="786" w:name="_Toc164351640"/>
      <w:r/>
      <w:bookmarkStart w:id="787" w:name="_Toc127161460"/>
      <w:r/>
      <w:bookmarkStart w:id="788" w:name="_Ref467307010"/>
      <w:r/>
      <w:bookmarkStart w:id="789" w:name="_Toc142311048"/>
      <w:r/>
      <w:bookmarkStart w:id="790" w:name="_Toc149720839"/>
      <w:r/>
      <w:bookmarkStart w:id="791" w:name="_Toc164608660"/>
      <w:r/>
      <w:bookmarkStart w:id="792" w:name="_Toc164229241"/>
      <w:r/>
      <w:bookmarkStart w:id="793" w:name="_Toc150480784"/>
      <w:r/>
      <w:bookmarkStart w:id="794" w:name="_Toc151193860"/>
      <w:r/>
      <w:bookmarkStart w:id="795" w:name="_Toc151190173"/>
      <w:r/>
      <w:bookmarkStart w:id="796" w:name="_Toc151193644"/>
      <w:r/>
      <w:bookmarkStart w:id="797" w:name="_Toc151193788"/>
      <w:r/>
      <w:bookmarkStart w:id="798" w:name="_Toc127151747"/>
      <w:r/>
      <w:bookmarkStart w:id="799" w:name="_Toc520356170"/>
      <w:r/>
      <w:bookmarkStart w:id="800" w:name="_Toc226337242"/>
      <w:r/>
      <w:bookmarkStart w:id="801" w:name="_Toc305158814"/>
      <w:r/>
      <w:bookmarkStart w:id="802" w:name="_Toc264969236"/>
      <w:r/>
      <w:bookmarkStart w:id="803" w:name="_Toc305158888"/>
      <w:r/>
      <w:bookmarkStart w:id="804" w:name="_Toc226965736"/>
      <w:r/>
      <w:bookmarkStart w:id="805" w:name="_Toc150509297"/>
      <w:r/>
      <w:bookmarkStart w:id="806" w:name="_Toc151193716"/>
      <w:r/>
      <w:bookmarkStart w:id="807" w:name="_Toc195842911"/>
      <w:r/>
      <w:bookmarkStart w:id="808" w:name="_Toc226309790"/>
      <w:r/>
      <w:bookmarkStart w:id="809" w:name="_Toc164608815"/>
      <w:r/>
      <w:bookmarkStart w:id="810" w:name="_Toc265228384"/>
      <w:r/>
      <w:bookmarkStart w:id="811" w:name="_Toc226965819"/>
      <w:r/>
      <w:bookmarkStart w:id="812" w:name="_Toc127151546"/>
      <w:r/>
      <w:bookmarkStart w:id="813" w:name="_Toc151193934"/>
      <w:r>
        <w:rPr>
          <w:rFonts w:hint="eastAsia" w:ascii="宋体" w:hAnsi="宋体" w:eastAsia="宋体" w:cs="宋体"/>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54"/>
        <w:ind w:firstLine="480"/>
        <w:spacing w:line="360" w:lineRule="auto"/>
        <w:tabs>
          <w:tab w:val="left" w:pos="900" w:leader="none"/>
          <w:tab w:val="left" w:pos="21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□随机抽取</w:t>
      </w:r>
      <w:r/>
    </w:p>
    <w:p>
      <w:pPr>
        <w:pStyle w:val="1154"/>
        <w:ind w:firstLine="480"/>
        <w:spacing w:line="360" w:lineRule="auto"/>
        <w:tabs>
          <w:tab w:val="left" w:pos="900" w:leader="none"/>
          <w:tab w:val="left" w:pos="21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□其他方式，具体要求：</w:t>
      </w:r>
      <w:r>
        <w:rPr>
          <w:rFonts w:hint="eastAsia" w:ascii="宋体" w:hAnsi="宋体" w:eastAsia="宋体" w:cs="宋体"/>
          <w:color w:val="auto"/>
          <w:sz w:val="24"/>
          <w:szCs w:val="24"/>
          <w:highlight w:val="none"/>
          <w:u w:val="single"/>
        </w:rPr>
        <w:t xml:space="preserve">                    </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.4评标委员会要对评分汇总情况进行复核，特别是对排名第一的、报价最低的、投标或响应文件被认定为无效的情形进行重点复核。</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.5评标委员会将根据各投标人的评标排序，依次推荐本项目（各采购包）的中标候选人，起草并签署评标报告。本项目（各采购包）评标委员会共（各）推荐不少于3名中标候选人。</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报告违法行为</w:t>
      </w:r>
      <w:r/>
    </w:p>
    <w:p>
      <w:pPr>
        <w:numPr>
          <w:ilvl w:val="1"/>
          <w:numId w:val="0"/>
        </w:num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.1评标委员会在评标过程中发现投标人有行贿、提供虚假材料或者串通等违法行为时，有向采购人、采购代理机构或者有关部门报告的职责。</w:t>
      </w:r>
      <w:r/>
    </w:p>
    <w:p>
      <w:pPr>
        <w:ind w:firstLine="482"/>
        <w:spacing w:line="360" w:lineRule="auto"/>
        <w:widowControl/>
        <w:rPr>
          <w:rFonts w:hint="eastAsia" w:ascii="宋体" w:hAnsi="宋体" w:eastAsia="宋体" w:cs="宋体"/>
          <w:b/>
          <w:color w:val="auto"/>
          <w:sz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b/>
          <w:color w:val="auto"/>
          <w:sz w:val="24"/>
          <w:highlight w:val="none"/>
        </w:rPr>
      </w:r>
      <w:r/>
    </w:p>
    <w:p>
      <w:pPr>
        <w:ind w:firstLine="482"/>
        <w:jc w:val="center"/>
        <w:spacing w:line="360" w:lineRule="auto"/>
        <w:tabs>
          <w:tab w:val="left" w:pos="360" w:leader="none"/>
        </w:tabs>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、评标标准</w:t>
      </w:r>
      <w:r/>
    </w:p>
    <w:tbl>
      <w:tblPr>
        <w:tblStyle w:val="861"/>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513"/>
        <w:gridCol w:w="944"/>
        <w:gridCol w:w="4525"/>
        <w:gridCol w:w="2110"/>
      </w:tblGrid>
      <w:tr>
        <w:trPr/>
        <w:tc>
          <w:tcPr>
            <w:tcW w:w="432" w:type="pct"/>
            <w:vAlign w:val="center"/>
            <w:textDirection w:val="lrTb"/>
            <w:noWrap w:val="false"/>
          </w:tcPr>
          <w:p>
            <w:pPr>
              <w:jc w:val="center"/>
              <w:rPr>
                <w:rFonts w:hint="eastAsia" w:ascii="宋体" w:hAnsi="宋体" w:eastAsia="宋体" w:cs="宋体"/>
                <w:color w:val="auto"/>
                <w:sz w:val="24"/>
                <w:highlight w:val="none"/>
              </w:rPr>
              <w:outlineLvl w:val="0"/>
            </w:pPr>
            <w:r/>
            <w:bookmarkStart w:id="814" w:name="_Toc8501"/>
            <w:r/>
            <w:bookmarkStart w:id="815" w:name="_Toc16473"/>
            <w:r/>
            <w:bookmarkStart w:id="816" w:name="_Toc29242"/>
            <w:r>
              <w:rPr>
                <w:rFonts w:hint="eastAsia" w:ascii="宋体" w:hAnsi="宋体" w:eastAsia="宋体" w:cs="宋体"/>
                <w:color w:val="auto"/>
                <w:sz w:val="24"/>
                <w:highlight w:val="none"/>
              </w:rPr>
              <w:t xml:space="preserve">序号</w:t>
            </w:r>
            <w:bookmarkEnd w:id="814"/>
            <w:r/>
            <w:bookmarkEnd w:id="815"/>
            <w:r/>
            <w:bookmarkEnd w:id="816"/>
            <w:r/>
            <w:r/>
          </w:p>
        </w:tc>
        <w:tc>
          <w:tcPr>
            <w:tcW w:w="759" w:type="pct"/>
            <w:vAlign w:val="center"/>
            <w:textDirection w:val="lrTb"/>
            <w:noWrap w:val="false"/>
          </w:tcPr>
          <w:p>
            <w:pPr>
              <w:jc w:val="center"/>
              <w:rPr>
                <w:rFonts w:hint="eastAsia" w:ascii="宋体" w:hAnsi="宋体" w:eastAsia="宋体" w:cs="宋体"/>
                <w:color w:val="auto"/>
                <w:sz w:val="24"/>
                <w:highlight w:val="none"/>
              </w:rPr>
              <w:outlineLvl w:val="0"/>
            </w:pPr>
            <w:r/>
            <w:bookmarkStart w:id="817" w:name="_Toc910"/>
            <w:r/>
            <w:bookmarkStart w:id="818" w:name="_Toc27307"/>
            <w:r/>
            <w:bookmarkStart w:id="819" w:name="_Toc8643"/>
            <w:r>
              <w:rPr>
                <w:rFonts w:hint="eastAsia" w:ascii="宋体" w:hAnsi="宋体" w:eastAsia="宋体" w:cs="宋体"/>
                <w:color w:val="auto"/>
                <w:sz w:val="24"/>
                <w:highlight w:val="none"/>
              </w:rPr>
              <w:t xml:space="preserve">评分因素</w:t>
            </w:r>
            <w:bookmarkEnd w:id="817"/>
            <w:r/>
            <w:bookmarkEnd w:id="818"/>
            <w:r/>
            <w:bookmarkEnd w:id="819"/>
            <w:r/>
            <w:r/>
          </w:p>
        </w:tc>
        <w:tc>
          <w:tcPr>
            <w:tcW w:w="474" w:type="pct"/>
            <w:vAlign w:val="center"/>
            <w:textDirection w:val="lrTb"/>
            <w:noWrap w:val="false"/>
          </w:tcPr>
          <w:p>
            <w:pPr>
              <w:jc w:val="center"/>
              <w:rPr>
                <w:rFonts w:hint="eastAsia" w:ascii="宋体" w:hAnsi="宋体" w:eastAsia="宋体" w:cs="宋体"/>
                <w:color w:val="auto"/>
                <w:sz w:val="24"/>
                <w:highlight w:val="none"/>
              </w:rPr>
              <w:outlineLvl w:val="0"/>
            </w:pPr>
            <w:r/>
            <w:bookmarkStart w:id="820" w:name="_Toc15305"/>
            <w:r/>
            <w:bookmarkStart w:id="821" w:name="_Toc17346"/>
            <w:r/>
            <w:bookmarkStart w:id="822" w:name="_Toc31862"/>
            <w:r>
              <w:rPr>
                <w:rFonts w:hint="eastAsia" w:ascii="宋体" w:hAnsi="宋体" w:eastAsia="宋体" w:cs="宋体"/>
                <w:color w:val="auto"/>
                <w:sz w:val="24"/>
                <w:highlight w:val="none"/>
              </w:rPr>
              <w:t xml:space="preserve">分值</w:t>
            </w:r>
            <w:bookmarkEnd w:id="820"/>
            <w:r/>
            <w:bookmarkEnd w:id="821"/>
            <w:r/>
            <w:bookmarkEnd w:id="822"/>
            <w:r/>
            <w:r/>
          </w:p>
        </w:tc>
        <w:tc>
          <w:tcPr>
            <w:tcW w:w="2273" w:type="pct"/>
            <w:vAlign w:val="center"/>
            <w:textDirection w:val="lrTb"/>
            <w:noWrap w:val="false"/>
          </w:tcPr>
          <w:p>
            <w:pPr>
              <w:jc w:val="center"/>
              <w:keepLines w:val="0"/>
              <w:keepNext w:val="0"/>
              <w:pageBreakBefore w:val="0"/>
              <w:rPr>
                <w:rFonts w:hint="eastAsia" w:ascii="宋体" w:hAnsi="宋体" w:eastAsia="宋体" w:cs="宋体"/>
                <w:color w:val="auto"/>
                <w:sz w:val="24"/>
                <w:highlight w:val="none"/>
              </w:rPr>
              <w:outlineLvl w:val="0"/>
            </w:pPr>
            <w:r/>
            <w:bookmarkStart w:id="823" w:name="_Toc24606"/>
            <w:r/>
            <w:bookmarkStart w:id="824" w:name="_Toc1406"/>
            <w:r/>
            <w:bookmarkStart w:id="825" w:name="_Toc27519"/>
            <w:r>
              <w:rPr>
                <w:rFonts w:hint="eastAsia" w:ascii="宋体" w:hAnsi="宋体" w:eastAsia="宋体" w:cs="宋体"/>
                <w:color w:val="auto"/>
                <w:sz w:val="24"/>
                <w:highlight w:val="none"/>
              </w:rPr>
              <w:t xml:space="preserve">评分标准</w:t>
            </w:r>
            <w:bookmarkEnd w:id="823"/>
            <w:r/>
            <w:bookmarkEnd w:id="824"/>
            <w:r/>
            <w:bookmarkEnd w:id="825"/>
            <w:r/>
            <w:r/>
          </w:p>
        </w:tc>
        <w:tc>
          <w:tcPr>
            <w:tcW w:w="1059" w:type="pct"/>
            <w:vAlign w:val="center"/>
            <w:textDirection w:val="lrTb"/>
            <w:noWrap w:val="false"/>
          </w:tcPr>
          <w:p>
            <w:pPr>
              <w:jc w:val="center"/>
              <w:rPr>
                <w:rFonts w:hint="eastAsia" w:ascii="宋体" w:hAnsi="宋体" w:eastAsia="宋体" w:cs="宋体"/>
                <w:color w:val="auto"/>
                <w:sz w:val="24"/>
                <w:highlight w:val="none"/>
              </w:rPr>
              <w:outlineLvl w:val="0"/>
            </w:pPr>
            <w:r/>
            <w:bookmarkStart w:id="826" w:name="_Toc21599"/>
            <w:r/>
            <w:bookmarkStart w:id="827" w:name="_Toc27088"/>
            <w:r/>
            <w:bookmarkStart w:id="828" w:name="_Toc5887"/>
            <w:r>
              <w:rPr>
                <w:rFonts w:hint="eastAsia" w:ascii="宋体" w:hAnsi="宋体" w:eastAsia="宋体" w:cs="宋体"/>
                <w:color w:val="auto"/>
                <w:sz w:val="24"/>
                <w:highlight w:val="none"/>
              </w:rPr>
              <w:t xml:space="preserve">说明</w:t>
            </w:r>
            <w:bookmarkEnd w:id="826"/>
            <w:r/>
            <w:bookmarkEnd w:id="827"/>
            <w:r/>
            <w:bookmarkEnd w:id="828"/>
            <w:r/>
            <w:r/>
          </w:p>
        </w:tc>
      </w:tr>
      <w:tr>
        <w:trPr/>
        <w:tc>
          <w:tcPr>
            <w:tcW w:w="432" w:type="pct"/>
            <w:vAlign w:val="center"/>
            <w:textDirection w:val="lrTb"/>
            <w:noWrap w:val="false"/>
          </w:tcPr>
          <w:p>
            <w:pPr>
              <w:jc w:val="center"/>
              <w:rPr>
                <w:rFonts w:hint="eastAsia" w:ascii="宋体" w:hAnsi="宋体" w:eastAsia="宋体" w:cs="宋体"/>
                <w:b/>
                <w:color w:val="auto"/>
                <w:sz w:val="24"/>
                <w:highlight w:val="none"/>
              </w:rPr>
              <w:outlineLvl w:val="0"/>
            </w:pPr>
            <w:r/>
            <w:bookmarkStart w:id="829" w:name="_Toc29235"/>
            <w:r/>
            <w:bookmarkStart w:id="830" w:name="_Toc9714"/>
            <w:r/>
            <w:bookmarkStart w:id="831" w:name="_Toc31296"/>
            <w:r>
              <w:rPr>
                <w:rFonts w:hint="eastAsia" w:ascii="宋体" w:hAnsi="宋体" w:eastAsia="宋体" w:cs="宋体"/>
                <w:b/>
                <w:color w:val="auto"/>
                <w:sz w:val="24"/>
                <w:highlight w:val="none"/>
              </w:rPr>
              <w:t xml:space="preserve">1</w:t>
            </w:r>
            <w:bookmarkEnd w:id="829"/>
            <w:r/>
            <w:bookmarkEnd w:id="830"/>
            <w:r/>
            <w:bookmarkEnd w:id="831"/>
            <w:r/>
            <w:r/>
          </w:p>
        </w:tc>
        <w:tc>
          <w:tcPr>
            <w:tcW w:w="759" w:type="pct"/>
            <w:vAlign w:val="center"/>
            <w:textDirection w:val="lrTb"/>
            <w:noWrap w:val="false"/>
          </w:tcPr>
          <w:p>
            <w:pPr>
              <w:jc w:val="center"/>
              <w:rPr>
                <w:rFonts w:hint="eastAsia" w:ascii="宋体" w:hAnsi="宋体" w:eastAsia="宋体" w:cs="宋体"/>
                <w:b/>
                <w:color w:val="auto"/>
                <w:sz w:val="24"/>
                <w:highlight w:val="none"/>
              </w:rPr>
              <w:outlineLvl w:val="0"/>
            </w:pPr>
            <w:r/>
            <w:bookmarkStart w:id="832" w:name="_Toc8130"/>
            <w:r/>
            <w:bookmarkStart w:id="833" w:name="_Toc25396"/>
            <w:r/>
            <w:bookmarkStart w:id="834" w:name="_Toc16582"/>
            <w:r>
              <w:rPr>
                <w:rFonts w:hint="eastAsia" w:ascii="宋体" w:hAnsi="宋体" w:eastAsia="宋体" w:cs="宋体"/>
                <w:b/>
                <w:color w:val="auto"/>
                <w:sz w:val="24"/>
                <w:highlight w:val="none"/>
              </w:rPr>
              <w:t xml:space="preserve">价格分</w:t>
            </w:r>
            <w:bookmarkEnd w:id="832"/>
            <w:r/>
            <w:bookmarkEnd w:id="833"/>
            <w:r/>
            <w:bookmarkEnd w:id="834"/>
            <w:r/>
            <w:r/>
          </w:p>
        </w:tc>
        <w:tc>
          <w:tcPr>
            <w:tcW w:w="474" w:type="pct"/>
            <w:vAlign w:val="center"/>
            <w:textDirection w:val="lrTb"/>
            <w:noWrap w:val="false"/>
          </w:tcPr>
          <w:p>
            <w:pPr>
              <w:jc w:val="center"/>
              <w:rPr>
                <w:rFonts w:hint="eastAsia" w:ascii="宋体" w:hAnsi="宋体" w:eastAsia="宋体" w:cs="宋体"/>
                <w:color w:val="auto"/>
                <w:sz w:val="24"/>
                <w:highlight w:val="none"/>
              </w:rPr>
              <w:outlineLvl w:val="0"/>
            </w:pPr>
            <w:r/>
            <w:bookmarkStart w:id="835" w:name="_Toc29986"/>
            <w:r/>
            <w:bookmarkStart w:id="836" w:name="_Toc12782"/>
            <w:r/>
            <w:bookmarkStart w:id="837" w:name="_Toc15806"/>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分</w:t>
            </w:r>
            <w:bookmarkEnd w:id="835"/>
            <w:r/>
            <w:bookmarkEnd w:id="836"/>
            <w:r/>
            <w:bookmarkEnd w:id="837"/>
            <w:r/>
            <w:r/>
          </w:p>
        </w:tc>
        <w:tc>
          <w:tcPr>
            <w:tcW w:w="2273" w:type="pct"/>
            <w:vAlign w:val="center"/>
            <w:textDirection w:val="lrTb"/>
            <w:noWrap w:val="false"/>
          </w:tcPr>
          <w:p>
            <w:pPr>
              <w:jc w:val="both"/>
              <w:keepLines w:val="0"/>
              <w:keepNext w:val="0"/>
              <w:pageBreakBefore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采用低价优先法计算，即满足采购文件要求且报价最低的投标报价为评标基准价，其价格分为满分</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分。其他供应商的价格分统一按照以下公式计算：报价得分=评标基准价／投标报价×</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w:t>
            </w:r>
            <w:r/>
          </w:p>
        </w:tc>
        <w:tc>
          <w:tcPr>
            <w:tcW w:w="105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此处最终报价指经过报价修正，及因落实政府采购政策进行价格调整后的最终报价。</w:t>
            </w:r>
            <w:r/>
          </w:p>
        </w:tc>
      </w:tr>
      <w:tr>
        <w:trPr/>
        <w:tc>
          <w:tcPr>
            <w:tcW w:w="432" w:type="pct"/>
            <w:vAlign w:val="center"/>
            <w:textDirection w:val="lrTb"/>
            <w:noWrap w:val="false"/>
          </w:tcPr>
          <w:p>
            <w:pPr>
              <w:jc w:val="center"/>
              <w:rPr>
                <w:rFonts w:hint="eastAsia" w:ascii="宋体" w:hAnsi="宋体" w:eastAsia="宋体" w:cs="宋体"/>
                <w:b/>
                <w:color w:val="auto"/>
                <w:sz w:val="24"/>
                <w:highlight w:val="none"/>
              </w:rPr>
              <w:outlineLvl w:val="0"/>
            </w:pPr>
            <w:r/>
            <w:bookmarkStart w:id="838" w:name="_Toc17972"/>
            <w:r/>
            <w:bookmarkStart w:id="839" w:name="_Toc31855"/>
            <w:r/>
            <w:bookmarkStart w:id="840" w:name="_Toc3960"/>
            <w:r>
              <w:rPr>
                <w:rFonts w:hint="eastAsia" w:ascii="宋体" w:hAnsi="宋体" w:eastAsia="宋体" w:cs="宋体"/>
                <w:b/>
                <w:color w:val="auto"/>
                <w:sz w:val="24"/>
                <w:highlight w:val="none"/>
              </w:rPr>
              <w:t xml:space="preserve">2</w:t>
            </w:r>
            <w:bookmarkEnd w:id="838"/>
            <w:r/>
            <w:bookmarkEnd w:id="839"/>
            <w:r/>
            <w:bookmarkEnd w:id="840"/>
            <w:r/>
            <w:r/>
          </w:p>
        </w:tc>
        <w:tc>
          <w:tcPr>
            <w:tcW w:w="759" w:type="pct"/>
            <w:vAlign w:val="center"/>
            <w:textDirection w:val="lrTb"/>
            <w:noWrap w:val="false"/>
          </w:tcPr>
          <w:p>
            <w:pPr>
              <w:jc w:val="center"/>
              <w:rPr>
                <w:rFonts w:hint="eastAsia" w:ascii="宋体" w:hAnsi="宋体" w:eastAsia="宋体" w:cs="宋体"/>
                <w:b/>
                <w:color w:val="auto"/>
                <w:sz w:val="24"/>
                <w:highlight w:val="none"/>
              </w:rPr>
              <w:outlineLvl w:val="0"/>
            </w:pPr>
            <w:r/>
            <w:bookmarkStart w:id="841" w:name="_Toc27098"/>
            <w:r/>
            <w:bookmarkStart w:id="842" w:name="_Toc16900"/>
            <w:r/>
            <w:bookmarkStart w:id="843" w:name="_Toc23901"/>
            <w:r>
              <w:rPr>
                <w:rFonts w:hint="eastAsia" w:ascii="宋体" w:hAnsi="宋体" w:eastAsia="宋体" w:cs="宋体"/>
                <w:b/>
                <w:color w:val="auto"/>
                <w:sz w:val="24"/>
                <w:highlight w:val="none"/>
              </w:rPr>
              <w:t xml:space="preserve">主观分</w:t>
            </w:r>
            <w:bookmarkEnd w:id="841"/>
            <w:r/>
            <w:bookmarkEnd w:id="842"/>
            <w:r/>
            <w:bookmarkEnd w:id="843"/>
            <w:r/>
            <w:r/>
          </w:p>
        </w:tc>
        <w:tc>
          <w:tcPr>
            <w:tcW w:w="474" w:type="pct"/>
            <w:vAlign w:val="center"/>
            <w:textDirection w:val="lrTb"/>
            <w:noWrap w:val="false"/>
          </w:tcPr>
          <w:p>
            <w:pPr>
              <w:jc w:val="center"/>
              <w:rPr>
                <w:rFonts w:hint="eastAsia" w:ascii="宋体" w:hAnsi="宋体" w:eastAsia="宋体" w:cs="宋体"/>
                <w:b/>
                <w:color w:val="auto"/>
                <w:sz w:val="24"/>
                <w:highlight w:val="none"/>
              </w:rPr>
              <w:outlineLvl w:val="0"/>
            </w:pPr>
            <w:r/>
            <w:bookmarkStart w:id="844" w:name="_Toc2769"/>
            <w:r/>
            <w:bookmarkStart w:id="845" w:name="_Toc28241"/>
            <w:r/>
            <w:bookmarkStart w:id="846" w:name="_Toc23541"/>
            <w:r>
              <w:rPr>
                <w:rFonts w:hint="eastAsia" w:ascii="宋体" w:hAnsi="宋体" w:eastAsia="宋体" w:cs="宋体"/>
                <w:b/>
                <w:color w:val="auto"/>
                <w:sz w:val="24"/>
                <w:highlight w:val="none"/>
              </w:rPr>
              <w:t xml:space="preserve">3</w:t>
            </w:r>
            <w:r>
              <w:rPr>
                <w:rFonts w:hint="eastAsia" w:ascii="宋体" w:hAnsi="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分</w:t>
            </w:r>
            <w:bookmarkEnd w:id="844"/>
            <w:r/>
            <w:bookmarkEnd w:id="845"/>
            <w:r/>
            <w:bookmarkEnd w:id="846"/>
            <w:r/>
            <w:r/>
          </w:p>
        </w:tc>
        <w:tc>
          <w:tcPr>
            <w:tcW w:w="2273" w:type="pct"/>
            <w:vAlign w:val="center"/>
            <w:textDirection w:val="lrTb"/>
            <w:noWrap w:val="false"/>
          </w:tcPr>
          <w:p>
            <w:pPr>
              <w:jc w:val="both"/>
              <w:keepLines w:val="0"/>
              <w:keepNext w:val="0"/>
              <w:pageBreakBefore w:val="0"/>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tc>
        <w:tc>
          <w:tcPr>
            <w:tcW w:w="1059" w:type="pct"/>
            <w:vAlign w:val="center"/>
            <w:textDirection w:val="lrTb"/>
            <w:noWrap w:val="false"/>
          </w:tcPr>
          <w:p>
            <w:pPr>
              <w:jc w:val="center"/>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tc>
      </w:tr>
      <w:tr>
        <w:trPr>
          <w:trHeight w:val="90"/>
        </w:trPr>
        <w:tc>
          <w:tcPr>
            <w:tcW w:w="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759" w:type="pct"/>
            <w:vAlign w:val="center"/>
            <w:textDirection w:val="lrTb"/>
            <w:noWrap w:val="false"/>
          </w:tcPr>
          <w:p>
            <w:pPr>
              <w:pStyle w:val="1381"/>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总体养护组</w:t>
            </w:r>
            <w:r>
              <w:rPr>
                <w:rFonts w:hint="eastAsia" w:ascii="宋体" w:hAnsi="宋体" w:eastAsia="宋体" w:cs="宋体"/>
                <w:color w:val="auto"/>
                <w:spacing w:val="-2"/>
                <w:highlight w:val="none"/>
              </w:rPr>
              <w:t xml:space="preserve">织布置及规</w:t>
            </w:r>
            <w:r>
              <w:rPr>
                <w:rFonts w:hint="eastAsia" w:ascii="宋体" w:hAnsi="宋体" w:eastAsia="宋体" w:cs="宋体"/>
                <w:color w:val="auto"/>
                <w:highlight w:val="none"/>
              </w:rPr>
              <w:t xml:space="preserve">划</w:t>
            </w:r>
            <w:r/>
          </w:p>
        </w:tc>
        <w:tc>
          <w:tcPr>
            <w:tcW w:w="474" w:type="pct"/>
            <w:vAlign w:val="center"/>
            <w:textDirection w:val="lrTb"/>
            <w:noWrap w:val="false"/>
          </w:tcPr>
          <w:p>
            <w:pPr>
              <w:pStyle w:val="1381"/>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8分</w:t>
            </w:r>
            <w:r/>
          </w:p>
        </w:tc>
        <w:tc>
          <w:tcPr>
            <w:tcW w:w="4525" w:type="dxa"/>
            <w:vAlign w:val="center"/>
            <w:textDirection w:val="lrTb"/>
            <w:noWrap w:val="false"/>
          </w:tcPr>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投标人针对项目设置总体养护组织布置及规划，包含但不限于养护目标与范围、组织框架与职责、资源配置规划、养护方案与流程、进度与成本管控、质量与安全保障、信息化与台账管理等内容。</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上述内容全部包含，且每项内容都有量化，操作性高，适配性高得</w:t>
            </w:r>
            <w:r>
              <w:rPr>
                <w:rFonts w:hint="eastAsia"/>
                <w:color w:val="auto"/>
                <w:spacing w:val="-1"/>
                <w:highlight w:val="none"/>
                <w:lang w:val="en-US" w:eastAsia="zh-CN"/>
              </w:rPr>
              <w:t xml:space="preserve">8</w:t>
            </w:r>
            <w:r>
              <w:rPr>
                <w:rFonts w:hint="eastAsia"/>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eastAsia="zh-CN"/>
              </w:rPr>
              <w:t xml:space="preserve">需要有少量优化得</w:t>
            </w:r>
            <w:r>
              <w:rPr>
                <w:rFonts w:hint="eastAsia"/>
                <w:color w:val="auto"/>
                <w:spacing w:val="-1"/>
                <w:highlight w:val="none"/>
                <w:lang w:val="en-US" w:eastAsia="zh-CN"/>
              </w:rPr>
              <w:t xml:space="preserve">7</w:t>
            </w:r>
            <w:r>
              <w:rPr>
                <w:rFonts w:hint="eastAsia"/>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eastAsia="zh-CN"/>
              </w:rPr>
              <w:t xml:space="preserve">无明显漏洞，需要简单补充得</w:t>
            </w:r>
            <w:r>
              <w:rPr>
                <w:rFonts w:hint="eastAsia"/>
                <w:color w:val="auto"/>
                <w:spacing w:val="-1"/>
                <w:highlight w:val="none"/>
                <w:lang w:val="en-US" w:eastAsia="zh-CN"/>
              </w:rPr>
              <w:t xml:space="preserve">6</w:t>
            </w:r>
            <w:r>
              <w:rPr>
                <w:rFonts w:hint="eastAsia"/>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eastAsia="zh-CN"/>
              </w:rPr>
              <w:t xml:space="preserve">但内容笼统，缺乏具体措施，需较多完善得</w:t>
            </w:r>
            <w:r>
              <w:rPr>
                <w:rFonts w:hint="eastAsia"/>
                <w:color w:val="auto"/>
                <w:spacing w:val="-1"/>
                <w:highlight w:val="none"/>
                <w:lang w:val="en-US" w:eastAsia="zh-CN"/>
              </w:rPr>
              <w:t xml:space="preserve">5</w:t>
            </w:r>
            <w:r>
              <w:rPr>
                <w:rFonts w:hint="eastAsia"/>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上述内容缺少</w:t>
            </w:r>
            <w:r>
              <w:rPr>
                <w:rFonts w:hint="eastAsia"/>
                <w:color w:val="auto"/>
                <w:spacing w:val="-1"/>
                <w:highlight w:val="none"/>
                <w:lang w:val="en-US" w:eastAsia="zh-CN"/>
              </w:rPr>
              <w:t xml:space="preserve">1</w:t>
            </w:r>
            <w:r>
              <w:rPr>
                <w:rFonts w:hint="eastAsia"/>
                <w:color w:val="auto"/>
                <w:spacing w:val="-1"/>
                <w:highlight w:val="none"/>
                <w:lang w:eastAsia="zh-CN"/>
              </w:rPr>
              <w:t xml:space="preserve">项，或多项内容模糊，执行性差得</w:t>
            </w:r>
            <w:r>
              <w:rPr>
                <w:rFonts w:hint="eastAsia"/>
                <w:color w:val="auto"/>
                <w:spacing w:val="-1"/>
                <w:highlight w:val="none"/>
                <w:lang w:val="en-US" w:eastAsia="zh-CN"/>
              </w:rPr>
              <w:t xml:space="preserve">4</w:t>
            </w:r>
            <w:r>
              <w:rPr>
                <w:rFonts w:hint="eastAsia"/>
                <w:color w:val="auto"/>
                <w:spacing w:val="-1"/>
                <w:highlight w:val="none"/>
                <w:lang w:eastAsia="zh-CN"/>
              </w:rPr>
              <w:t xml:space="preserve">分；</w:t>
            </w:r>
            <w:r/>
          </w:p>
          <w:p>
            <w:pPr>
              <w:pStyle w:val="1381"/>
              <w:jc w:val="both"/>
              <w:keepLines w:val="0"/>
              <w:keepNext w:val="0"/>
              <w:pageBreakBefore w:val="0"/>
              <w:rPr>
                <w:rFonts w:hint="eastAsia"/>
                <w:color w:val="auto"/>
                <w:spacing w:val="-1"/>
                <w:highlight w:val="none"/>
                <w:lang w:eastAsia="zh-CN"/>
              </w:rPr>
            </w:pPr>
            <w:r>
              <w:rPr>
                <w:rFonts w:hint="eastAsia"/>
                <w:color w:val="auto"/>
                <w:spacing w:val="-1"/>
                <w:highlight w:val="none"/>
                <w:lang w:eastAsia="zh-CN"/>
              </w:rPr>
              <w:t xml:space="preserve">上述内容缺少</w:t>
            </w:r>
            <w:r>
              <w:rPr>
                <w:rFonts w:hint="eastAsia"/>
                <w:color w:val="auto"/>
                <w:spacing w:val="-1"/>
                <w:highlight w:val="none"/>
                <w:lang w:val="en-US" w:eastAsia="zh-CN"/>
              </w:rPr>
              <w:t xml:space="preserve">2</w:t>
            </w:r>
            <w:r>
              <w:rPr>
                <w:rFonts w:hint="eastAsia"/>
                <w:color w:val="auto"/>
                <w:spacing w:val="-1"/>
                <w:highlight w:val="none"/>
                <w:lang w:eastAsia="zh-CN"/>
              </w:rPr>
              <w:t xml:space="preserve">项及以上，框架不完整，关键信息缺失得</w:t>
            </w:r>
            <w:r>
              <w:rPr>
                <w:rFonts w:hint="eastAsia"/>
                <w:color w:val="auto"/>
                <w:spacing w:val="-1"/>
                <w:highlight w:val="none"/>
                <w:lang w:val="en-US" w:eastAsia="zh-CN"/>
              </w:rPr>
              <w:t xml:space="preserve">3</w:t>
            </w:r>
            <w:r>
              <w:rPr>
                <w:rFonts w:hint="eastAsia"/>
                <w:color w:val="auto"/>
                <w:spacing w:val="-1"/>
                <w:highlight w:val="none"/>
                <w:lang w:eastAsia="zh-CN"/>
              </w:rPr>
              <w:t xml:space="preserve">分；</w:t>
            </w:r>
            <w:r/>
          </w:p>
          <w:p>
            <w:pPr>
              <w:pStyle w:val="1381"/>
              <w:jc w:val="both"/>
              <w:keepLines w:val="0"/>
              <w:keepNext w:val="0"/>
              <w:pageBreakBefore w:val="0"/>
              <w:rPr>
                <w:rFonts w:hint="eastAsia"/>
                <w:color w:val="auto"/>
                <w:spacing w:val="-1"/>
                <w:highlight w:val="none"/>
                <w:lang w:eastAsia="zh-CN"/>
              </w:rPr>
            </w:pPr>
            <w:r>
              <w:rPr>
                <w:rFonts w:hint="eastAsia" w:eastAsia="宋体"/>
                <w:color w:val="auto"/>
                <w:spacing w:val="-1"/>
                <w:highlight w:val="none"/>
                <w:lang w:eastAsia="zh-CN"/>
              </w:rPr>
              <w:t xml:space="preserve">上述内容缺少</w:t>
            </w:r>
            <w:r>
              <w:rPr>
                <w:rFonts w:hint="eastAsia"/>
                <w:color w:val="auto"/>
                <w:spacing w:val="-1"/>
                <w:highlight w:val="none"/>
                <w:lang w:val="en-US" w:eastAsia="zh-CN"/>
              </w:rPr>
              <w:t xml:space="preserve">3</w:t>
            </w:r>
            <w:r>
              <w:rPr>
                <w:rFonts w:hint="eastAsia" w:eastAsia="宋体"/>
                <w:color w:val="auto"/>
                <w:spacing w:val="-1"/>
                <w:highlight w:val="none"/>
                <w:lang w:eastAsia="zh-CN"/>
              </w:rPr>
              <w:t xml:space="preserve">项及以上，框架不完整，关键信息缺失得</w:t>
            </w:r>
            <w:r>
              <w:rPr>
                <w:rFonts w:hint="eastAsia" w:ascii="Times New Roman"/>
                <w:color w:val="auto"/>
                <w:spacing w:val="-1"/>
                <w:highlight w:val="none"/>
                <w:lang w:val="en-US" w:eastAsia="zh-CN"/>
              </w:rPr>
              <w:t xml:space="preserve">2</w:t>
            </w:r>
            <w:r>
              <w:rPr>
                <w:rFonts w:hint="eastAsia" w:eastAsia="宋体"/>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未覆盖上述内容，内容混乱无逻辑、无明确养护目标、方案及保障措施得</w:t>
            </w:r>
            <w:r>
              <w:rPr>
                <w:rFonts w:hint="eastAsia"/>
                <w:color w:val="auto"/>
                <w:spacing w:val="-1"/>
                <w:highlight w:val="none"/>
                <w:lang w:val="en-US" w:eastAsia="zh-CN"/>
              </w:rPr>
              <w:t xml:space="preserve">1</w:t>
            </w:r>
            <w:r>
              <w:rPr>
                <w:rFonts w:hint="eastAsia"/>
                <w:color w:val="auto"/>
                <w:spacing w:val="-1"/>
                <w:highlight w:val="none"/>
                <w:lang w:eastAsia="zh-CN"/>
              </w:rPr>
              <w:t xml:space="preserve">分；</w:t>
            </w:r>
            <w:r/>
          </w:p>
          <w:p>
            <w:pPr>
              <w:pStyle w:val="1381"/>
              <w:jc w:val="both"/>
              <w:keepLines w:val="0"/>
              <w:keepNext w:val="0"/>
              <w:pageBreakBefore w:val="0"/>
              <w:rPr>
                <w:rFonts w:hint="eastAsia" w:ascii="宋体" w:hAnsi="宋体" w:eastAsia="宋体" w:cs="宋体"/>
                <w:color w:val="auto"/>
                <w:highlight w:val="none"/>
              </w:rPr>
            </w:pPr>
            <w:r>
              <w:rPr>
                <w:rFonts w:hint="eastAsia"/>
                <w:color w:val="auto"/>
                <w:spacing w:val="-5"/>
                <w:highlight w:val="none"/>
                <w:lang w:eastAsia="zh-CN"/>
              </w:rPr>
              <w:t xml:space="preserve">未提供上述内容得0分。</w:t>
            </w:r>
            <w:r/>
          </w:p>
        </w:tc>
        <w:tc>
          <w:tcPr>
            <w:tcW w:w="1059" w:type="pct"/>
            <w:vAlign w:val="center"/>
            <w:textDirection w:val="lrTb"/>
            <w:noWrap w:val="false"/>
          </w:tcPr>
          <w:p>
            <w:pPr>
              <w:jc w:val="center"/>
              <w:rPr>
                <w:rFonts w:hint="default" w:ascii="宋体" w:hAnsi="宋体" w:eastAsia="宋体" w:cs="宋体"/>
                <w:color w:val="auto"/>
                <w:sz w:val="24"/>
                <w:highlight w:val="none"/>
                <w:lang w:val="en-US" w:eastAsia="zh-CN"/>
              </w:rPr>
              <w:outlineLvl w:val="0"/>
            </w:pPr>
            <w:r/>
            <w:bookmarkStart w:id="847" w:name="_Toc27980"/>
            <w:r/>
            <w:bookmarkStart w:id="848" w:name="_Toc10851"/>
            <w:r/>
            <w:bookmarkStart w:id="849" w:name="_Toc31542"/>
            <w:r>
              <w:rPr>
                <w:rFonts w:hint="eastAsia" w:ascii="宋体" w:hAnsi="宋体" w:cs="宋体"/>
                <w:color w:val="auto"/>
                <w:sz w:val="24"/>
                <w:highlight w:val="none"/>
                <w:lang w:val="en-US" w:eastAsia="zh-CN"/>
              </w:rPr>
              <w:t xml:space="preserve">采用暗标</w:t>
            </w:r>
            <w:bookmarkEnd w:id="847"/>
            <w:r/>
            <w:bookmarkEnd w:id="848"/>
            <w:r/>
            <w:bookmarkEnd w:id="849"/>
            <w:r/>
            <w:r/>
          </w:p>
        </w:tc>
      </w:tr>
      <w:tr>
        <w:trPr/>
        <w:tc>
          <w:tcPr>
            <w:tcW w:w="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p>
        </w:tc>
        <w:tc>
          <w:tcPr>
            <w:tcW w:w="759" w:type="pct"/>
            <w:vAlign w:val="center"/>
            <w:textDirection w:val="lrTb"/>
            <w:noWrap w:val="false"/>
          </w:tcPr>
          <w:p>
            <w:pPr>
              <w:pStyle w:val="1381"/>
              <w:jc w:val="center"/>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养护方法与技术措施</w:t>
            </w:r>
            <w:r/>
          </w:p>
        </w:tc>
        <w:tc>
          <w:tcPr>
            <w:tcW w:w="474" w:type="pct"/>
            <w:vAlign w:val="center"/>
            <w:textDirection w:val="lrTb"/>
            <w:noWrap w:val="false"/>
          </w:tcPr>
          <w:p>
            <w:pPr>
              <w:pStyle w:val="1381"/>
              <w:jc w:val="center"/>
              <w:rPr>
                <w:rFonts w:hint="default" w:ascii="宋体" w:hAnsi="宋体" w:eastAsia="宋体" w:cs="宋体"/>
                <w:color w:val="auto"/>
                <w:highlight w:val="none"/>
                <w:lang w:val="en-US" w:eastAsia="zh-CN"/>
              </w:rPr>
            </w:pPr>
            <w:r>
              <w:rPr>
                <w:rFonts w:hint="eastAsia" w:cs="宋体"/>
                <w:color w:val="auto"/>
                <w:spacing w:val="-6"/>
                <w:highlight w:val="none"/>
                <w:lang w:val="en-US" w:eastAsia="zh-CN"/>
              </w:rPr>
              <w:t xml:space="preserve">9分</w:t>
            </w:r>
            <w:r/>
          </w:p>
        </w:tc>
        <w:tc>
          <w:tcPr>
            <w:tcW w:w="4525" w:type="dxa"/>
            <w:vAlign w:val="center"/>
            <w:textDirection w:val="lrTb"/>
            <w:noWrap w:val="false"/>
          </w:tcPr>
          <w:p>
            <w:pPr>
              <w:pStyle w:val="1381"/>
              <w:jc w:val="both"/>
              <w:keepLines w:val="0"/>
              <w:keepNext w:val="0"/>
              <w:pageBreakBefore w:val="0"/>
              <w:rPr>
                <w:color w:val="auto"/>
                <w:spacing w:val="-9"/>
                <w:highlight w:val="none"/>
                <w:lang w:eastAsia="zh-CN"/>
              </w:rPr>
            </w:pPr>
            <w:r>
              <w:rPr>
                <w:rFonts w:hint="eastAsia"/>
                <w:color w:val="auto"/>
                <w:spacing w:val="-1"/>
                <w:highlight w:val="none"/>
                <w:lang w:eastAsia="zh-CN"/>
              </w:rPr>
              <w:t xml:space="preserve">投标人针对项目设置养护方法与技术措</w:t>
            </w:r>
            <w:r>
              <w:rPr>
                <w:rFonts w:hint="eastAsia"/>
                <w:color w:val="auto"/>
                <w:spacing w:val="-9"/>
                <w:highlight w:val="none"/>
                <w:lang w:eastAsia="zh-CN"/>
              </w:rPr>
              <w:t xml:space="preserve">施，包括但不限于日常巡检与基础养护、针对性病害处置技术、预防性养护措施、环保与安全配套措施等内容。</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上述内容全部包含，</w:t>
            </w:r>
            <w:r>
              <w:rPr>
                <w:rFonts w:hint="eastAsia"/>
                <w:color w:val="auto"/>
                <w:spacing w:val="-9"/>
                <w:highlight w:val="none"/>
                <w:lang w:eastAsia="zh-CN"/>
              </w:rPr>
              <w:t xml:space="preserve">且</w:t>
            </w:r>
            <w:r>
              <w:rPr>
                <w:rFonts w:hint="eastAsia"/>
                <w:color w:val="auto"/>
                <w:spacing w:val="-1"/>
                <w:highlight w:val="none"/>
                <w:lang w:eastAsia="zh-CN"/>
              </w:rPr>
              <w:t xml:space="preserve">每项内容都有量化，操作性高，措施完善得</w:t>
            </w:r>
            <w:r>
              <w:rPr>
                <w:rFonts w:hint="eastAsia"/>
                <w:color w:val="auto"/>
                <w:spacing w:val="-1"/>
                <w:highlight w:val="none"/>
                <w:lang w:val="en-US" w:eastAsia="zh-CN"/>
              </w:rPr>
              <w:t xml:space="preserve">9</w:t>
            </w:r>
            <w:r>
              <w:rPr>
                <w:rFonts w:hint="eastAsia"/>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val="en-US" w:eastAsia="zh-CN"/>
              </w:rPr>
              <w:t xml:space="preserve">操作性高，</w:t>
            </w:r>
            <w:r>
              <w:rPr>
                <w:rFonts w:hint="eastAsia"/>
                <w:color w:val="auto"/>
                <w:spacing w:val="-9"/>
                <w:highlight w:val="none"/>
                <w:lang w:eastAsia="zh-CN"/>
              </w:rPr>
              <w:t xml:space="preserve">需要少量优化</w:t>
            </w:r>
            <w:r>
              <w:rPr>
                <w:rFonts w:hint="eastAsia"/>
                <w:color w:val="auto"/>
                <w:spacing w:val="-1"/>
                <w:highlight w:val="none"/>
                <w:lang w:eastAsia="zh-CN"/>
              </w:rPr>
              <w:t xml:space="preserve">得</w:t>
            </w:r>
            <w:r>
              <w:rPr>
                <w:rFonts w:hint="eastAsia"/>
                <w:color w:val="auto"/>
                <w:spacing w:val="-1"/>
                <w:highlight w:val="none"/>
                <w:lang w:val="en-US" w:eastAsia="zh-CN"/>
              </w:rPr>
              <w:t xml:space="preserve">8</w:t>
            </w:r>
            <w:r>
              <w:rPr>
                <w:rFonts w:hint="eastAsia"/>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val="en-US" w:eastAsia="zh-CN"/>
              </w:rPr>
              <w:t xml:space="preserve">操作性较高，</w:t>
            </w:r>
            <w:r>
              <w:rPr>
                <w:rFonts w:hint="eastAsia"/>
                <w:color w:val="auto"/>
                <w:spacing w:val="-1"/>
                <w:highlight w:val="none"/>
                <w:lang w:eastAsia="zh-CN"/>
              </w:rPr>
              <w:t xml:space="preserve">无明显技术漏洞，需要简单补充。得</w:t>
            </w:r>
            <w:r>
              <w:rPr>
                <w:rFonts w:hint="eastAsia"/>
                <w:color w:val="auto"/>
                <w:spacing w:val="-1"/>
                <w:highlight w:val="none"/>
                <w:lang w:val="en-US" w:eastAsia="zh-CN"/>
              </w:rPr>
              <w:t xml:space="preserve">7</w:t>
            </w:r>
            <w:r>
              <w:rPr>
                <w:rFonts w:hint="eastAsia"/>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val="en-US" w:eastAsia="zh-CN"/>
              </w:rPr>
              <w:t xml:space="preserve">操作性良好，但存在技术漏洞，需要</w:t>
            </w:r>
            <w:r>
              <w:rPr>
                <w:rFonts w:hint="eastAsia"/>
                <w:color w:val="auto"/>
                <w:spacing w:val="-9"/>
                <w:highlight w:val="none"/>
                <w:lang w:eastAsia="zh-CN"/>
              </w:rPr>
              <w:t xml:space="preserve">补充</w:t>
            </w:r>
            <w:r>
              <w:rPr>
                <w:rFonts w:hint="eastAsia"/>
                <w:color w:val="auto"/>
                <w:spacing w:val="-9"/>
                <w:highlight w:val="none"/>
                <w:lang w:val="en-US" w:eastAsia="zh-CN"/>
              </w:rPr>
              <w:t xml:space="preserve">完善，</w:t>
            </w:r>
            <w:r>
              <w:rPr>
                <w:rFonts w:hint="eastAsia"/>
                <w:color w:val="auto"/>
                <w:spacing w:val="-1"/>
                <w:highlight w:val="none"/>
                <w:lang w:eastAsia="zh-CN"/>
              </w:rPr>
              <w:t xml:space="preserve">得</w:t>
            </w:r>
            <w:r>
              <w:rPr>
                <w:rFonts w:hint="eastAsia"/>
                <w:color w:val="auto"/>
                <w:spacing w:val="-1"/>
                <w:highlight w:val="none"/>
                <w:lang w:val="en-US" w:eastAsia="zh-CN"/>
              </w:rPr>
              <w:t xml:space="preserve">6</w:t>
            </w:r>
            <w:r>
              <w:rPr>
                <w:rFonts w:hint="eastAsia"/>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eastAsia="zh-CN"/>
              </w:rPr>
              <w:t xml:space="preserve">但部分内容缺乏具体操作细节，需较多完善得</w:t>
            </w:r>
            <w:r>
              <w:rPr>
                <w:rFonts w:hint="eastAsia"/>
                <w:color w:val="auto"/>
                <w:spacing w:val="-1"/>
                <w:highlight w:val="none"/>
                <w:lang w:val="en-US" w:eastAsia="zh-CN"/>
              </w:rPr>
              <w:t xml:space="preserve">5</w:t>
            </w:r>
            <w:r>
              <w:rPr>
                <w:rFonts w:hint="eastAsia"/>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上述内容缺失1项，或多项内容技术措施模糊，技术与养护对象不匹配，执行性差得</w:t>
            </w:r>
            <w:r>
              <w:rPr>
                <w:rFonts w:hint="eastAsia"/>
                <w:color w:val="auto"/>
                <w:spacing w:val="-1"/>
                <w:highlight w:val="none"/>
                <w:lang w:val="en-US" w:eastAsia="zh-CN"/>
              </w:rPr>
              <w:t xml:space="preserve">4</w:t>
            </w:r>
            <w:r>
              <w:rPr>
                <w:rFonts w:hint="eastAsia"/>
                <w:color w:val="auto"/>
                <w:spacing w:val="-1"/>
                <w:highlight w:val="none"/>
                <w:lang w:eastAsia="zh-CN"/>
              </w:rPr>
              <w:t xml:space="preserve">分；</w:t>
            </w:r>
            <w:r/>
          </w:p>
          <w:p>
            <w:pPr>
              <w:pStyle w:val="1381"/>
              <w:jc w:val="both"/>
              <w:keepLines w:val="0"/>
              <w:keepNext w:val="0"/>
              <w:pageBreakBefore w:val="0"/>
              <w:rPr>
                <w:rFonts w:hint="eastAsia"/>
                <w:color w:val="auto"/>
                <w:spacing w:val="-1"/>
                <w:highlight w:val="none"/>
                <w:lang w:eastAsia="zh-CN"/>
              </w:rPr>
            </w:pPr>
            <w:r>
              <w:rPr>
                <w:rFonts w:hint="eastAsia"/>
                <w:color w:val="auto"/>
                <w:spacing w:val="-1"/>
                <w:highlight w:val="none"/>
                <w:lang w:eastAsia="zh-CN"/>
              </w:rPr>
              <w:t xml:space="preserve">上述内容缺失2项及以上，技术框架不完整，关键技术缺失，无实际操作价值得</w:t>
            </w:r>
            <w:r>
              <w:rPr>
                <w:rFonts w:hint="eastAsia"/>
                <w:color w:val="auto"/>
                <w:spacing w:val="-1"/>
                <w:highlight w:val="none"/>
                <w:lang w:val="en-US" w:eastAsia="zh-CN"/>
              </w:rPr>
              <w:t xml:space="preserve">3</w:t>
            </w:r>
            <w:r>
              <w:rPr>
                <w:rFonts w:hint="eastAsia"/>
                <w:color w:val="auto"/>
                <w:spacing w:val="-1"/>
                <w:highlight w:val="none"/>
                <w:lang w:eastAsia="zh-CN"/>
              </w:rPr>
              <w:t xml:space="preserve">分；</w:t>
            </w:r>
            <w:r/>
          </w:p>
          <w:p>
            <w:pPr>
              <w:pStyle w:val="1381"/>
              <w:jc w:val="both"/>
              <w:keepLines w:val="0"/>
              <w:keepNext w:val="0"/>
              <w:pageBreakBefore w:val="0"/>
              <w:rPr>
                <w:rFonts w:hint="eastAsia"/>
                <w:color w:val="auto"/>
                <w:spacing w:val="-1"/>
                <w:highlight w:val="none"/>
                <w:lang w:eastAsia="zh-CN"/>
              </w:rPr>
            </w:pPr>
            <w:r>
              <w:rPr>
                <w:rFonts w:hint="eastAsia" w:eastAsia="宋体"/>
                <w:color w:val="auto"/>
                <w:spacing w:val="-1"/>
                <w:highlight w:val="none"/>
                <w:lang w:eastAsia="zh-CN"/>
              </w:rPr>
              <w:t xml:space="preserve">上述内容缺失</w:t>
            </w:r>
            <w:r>
              <w:rPr>
                <w:rFonts w:hint="eastAsia"/>
                <w:color w:val="auto"/>
                <w:spacing w:val="-1"/>
                <w:highlight w:val="none"/>
                <w:lang w:val="en-US" w:eastAsia="zh-CN"/>
              </w:rPr>
              <w:t xml:space="preserve">3</w:t>
            </w:r>
            <w:r>
              <w:rPr>
                <w:rFonts w:hint="eastAsia" w:eastAsia="宋体"/>
                <w:color w:val="auto"/>
                <w:spacing w:val="-1"/>
                <w:highlight w:val="none"/>
                <w:lang w:eastAsia="zh-CN"/>
              </w:rPr>
              <w:t xml:space="preserve">项及以上，技术框架不完整，关键技术缺失，无实际操作价值得</w:t>
            </w:r>
            <w:r>
              <w:rPr>
                <w:rFonts w:hint="eastAsia" w:ascii="Times New Roman"/>
                <w:color w:val="auto"/>
                <w:spacing w:val="-1"/>
                <w:highlight w:val="none"/>
                <w:lang w:val="en-US" w:eastAsia="zh-CN"/>
              </w:rPr>
              <w:t xml:space="preserve">2</w:t>
            </w:r>
            <w:r>
              <w:rPr>
                <w:rFonts w:hint="eastAsia" w:eastAsia="宋体"/>
                <w:color w:val="auto"/>
                <w:spacing w:val="-1"/>
                <w:highlight w:val="none"/>
                <w:lang w:eastAsia="zh-CN"/>
              </w:rPr>
              <w:t xml:space="preserve">分；</w:t>
            </w:r>
            <w:r/>
          </w:p>
          <w:p>
            <w:pPr>
              <w:pStyle w:val="1381"/>
              <w:jc w:val="both"/>
              <w:keepLines w:val="0"/>
              <w:keepNext w:val="0"/>
              <w:pageBreakBefore w:val="0"/>
              <w:rPr>
                <w:color w:val="auto"/>
                <w:spacing w:val="-1"/>
                <w:highlight w:val="none"/>
                <w:lang w:eastAsia="zh-CN"/>
              </w:rPr>
            </w:pPr>
            <w:r>
              <w:rPr>
                <w:rFonts w:hint="eastAsia"/>
                <w:color w:val="auto"/>
                <w:spacing w:val="-1"/>
                <w:highlight w:val="none"/>
                <w:lang w:eastAsia="zh-CN"/>
              </w:rPr>
              <w:t xml:space="preserve">未覆盖上述内容，内容混乱无逻辑、无明确养护方法、技术手段及操作要求得</w:t>
            </w:r>
            <w:r>
              <w:rPr>
                <w:rFonts w:hint="eastAsia"/>
                <w:color w:val="auto"/>
                <w:spacing w:val="-1"/>
                <w:highlight w:val="none"/>
                <w:lang w:val="en-US" w:eastAsia="zh-CN"/>
              </w:rPr>
              <w:t xml:space="preserve">1</w:t>
            </w:r>
            <w:r>
              <w:rPr>
                <w:rFonts w:hint="eastAsia"/>
                <w:color w:val="auto"/>
                <w:spacing w:val="-1"/>
                <w:highlight w:val="none"/>
                <w:lang w:eastAsia="zh-CN"/>
              </w:rPr>
              <w:t xml:space="preserve">分；</w:t>
            </w:r>
            <w:r/>
          </w:p>
          <w:p>
            <w:pPr>
              <w:pStyle w:val="1381"/>
              <w:jc w:val="both"/>
              <w:keepLines w:val="0"/>
              <w:keepNext w:val="0"/>
              <w:pageBreakBefore w:val="0"/>
              <w:rPr>
                <w:rFonts w:hint="eastAsia" w:ascii="宋体" w:hAnsi="宋体" w:eastAsia="宋体" w:cs="宋体"/>
                <w:color w:val="auto"/>
                <w:highlight w:val="none"/>
              </w:rPr>
            </w:pPr>
            <w:r>
              <w:rPr>
                <w:rFonts w:hint="eastAsia"/>
                <w:color w:val="auto"/>
                <w:spacing w:val="-5"/>
                <w:highlight w:val="none"/>
                <w:lang w:eastAsia="zh-CN"/>
              </w:rPr>
              <w:t xml:space="preserve">未提供上述内容得0分。</w:t>
            </w:r>
            <w:r/>
          </w:p>
        </w:tc>
        <w:tc>
          <w:tcPr>
            <w:tcW w:w="1059" w:type="pct"/>
            <w:vAlign w:val="center"/>
            <w:textDirection w:val="lrTb"/>
            <w:noWrap w:val="false"/>
          </w:tcPr>
          <w:p>
            <w:pPr>
              <w:jc w:val="center"/>
              <w:rPr>
                <w:rFonts w:hint="eastAsia" w:ascii="宋体" w:hAnsi="宋体" w:eastAsia="宋体" w:cs="宋体"/>
                <w:color w:val="auto"/>
                <w:sz w:val="24"/>
                <w:highlight w:val="none"/>
              </w:rPr>
              <w:outlineLvl w:val="0"/>
            </w:pPr>
            <w:r/>
            <w:bookmarkStart w:id="850" w:name="_Toc23843"/>
            <w:r/>
            <w:bookmarkStart w:id="851" w:name="_Toc17238"/>
            <w:r/>
            <w:bookmarkStart w:id="852" w:name="_Toc13740"/>
            <w:r>
              <w:rPr>
                <w:rFonts w:hint="eastAsia" w:ascii="宋体" w:hAnsi="宋体" w:cs="宋体"/>
                <w:color w:val="auto"/>
                <w:sz w:val="24"/>
                <w:highlight w:val="none"/>
                <w:lang w:val="en-US" w:eastAsia="zh-CN"/>
              </w:rPr>
              <w:t xml:space="preserve">采用暗标</w:t>
            </w:r>
            <w:bookmarkEnd w:id="850"/>
            <w:r/>
            <w:bookmarkEnd w:id="851"/>
            <w:r/>
            <w:bookmarkEnd w:id="852"/>
            <w:r/>
            <w:r/>
          </w:p>
        </w:tc>
      </w:tr>
      <w:tr>
        <w:trPr/>
        <w:tc>
          <w:tcPr>
            <w:tcW w:w="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w:t>
            </w:r>
            <w:r/>
          </w:p>
        </w:tc>
        <w:tc>
          <w:tcPr>
            <w:tcW w:w="759" w:type="pct"/>
            <w:vAlign w:val="center"/>
            <w:textDirection w:val="lrTb"/>
            <w:noWrap w:val="false"/>
          </w:tcPr>
          <w:p>
            <w:pPr>
              <w:pStyle w:val="1381"/>
              <w:jc w:val="center"/>
              <w:rPr>
                <w:rFonts w:hint="eastAsia" w:ascii="宋体" w:hAnsi="宋体" w:eastAsia="宋体" w:cs="宋体"/>
                <w:color w:val="auto"/>
                <w:highlight w:val="none"/>
                <w:lang w:val="zh-CN"/>
              </w:rPr>
            </w:pPr>
            <w:r>
              <w:rPr>
                <w:rFonts w:hint="eastAsia" w:ascii="宋体" w:hAnsi="宋体" w:eastAsia="宋体" w:cs="宋体"/>
                <w:color w:val="auto"/>
                <w:spacing w:val="-3"/>
                <w:highlight w:val="none"/>
              </w:rPr>
              <w:t xml:space="preserve">突发事件应急预案</w:t>
            </w:r>
            <w:r/>
          </w:p>
        </w:tc>
        <w:tc>
          <w:tcPr>
            <w:tcW w:w="474" w:type="pct"/>
            <w:vAlign w:val="center"/>
            <w:textDirection w:val="lrTb"/>
            <w:noWrap w:val="false"/>
          </w:tcPr>
          <w:p>
            <w:pPr>
              <w:pStyle w:val="1381"/>
              <w:jc w:val="center"/>
              <w:rPr>
                <w:rFonts w:hint="default" w:ascii="宋体" w:hAnsi="宋体" w:eastAsia="宋体" w:cs="宋体"/>
                <w:color w:val="auto"/>
                <w:highlight w:val="none"/>
                <w:lang w:val="en-US" w:eastAsia="zh-CN"/>
              </w:rPr>
            </w:pPr>
            <w:r>
              <w:rPr>
                <w:rFonts w:hint="eastAsia" w:cs="宋体"/>
                <w:color w:val="auto"/>
                <w:spacing w:val="-6"/>
                <w:highlight w:val="none"/>
                <w:lang w:val="en-US" w:eastAsia="zh-CN"/>
              </w:rPr>
              <w:t xml:space="preserve">8分</w:t>
            </w:r>
            <w:r/>
          </w:p>
        </w:tc>
        <w:tc>
          <w:tcPr>
            <w:tcW w:w="4525" w:type="dxa"/>
            <w:vAlign w:val="center"/>
            <w:textDirection w:val="lrTb"/>
            <w:noWrap w:val="false"/>
          </w:tcPr>
          <w:p>
            <w:pPr>
              <w:pStyle w:val="1381"/>
              <w:jc w:val="both"/>
              <w:keepLines w:val="0"/>
              <w:keepNext w:val="0"/>
              <w:pageBreakBefore w:val="0"/>
              <w:rPr>
                <w:color w:val="auto"/>
                <w:spacing w:val="-2"/>
                <w:highlight w:val="none"/>
                <w:lang w:eastAsia="zh-CN"/>
              </w:rPr>
            </w:pPr>
            <w:r>
              <w:rPr>
                <w:rFonts w:hint="eastAsia"/>
                <w:color w:val="auto"/>
                <w:spacing w:val="-1"/>
                <w:highlight w:val="none"/>
                <w:lang w:eastAsia="zh-CN"/>
              </w:rPr>
              <w:t xml:space="preserve">投标人根据养护区域实际情况制定的突</w:t>
            </w:r>
            <w:r>
              <w:rPr>
                <w:rFonts w:hint="eastAsia"/>
                <w:color w:val="auto"/>
                <w:spacing w:val="-2"/>
                <w:highlight w:val="none"/>
                <w:lang w:eastAsia="zh-CN"/>
              </w:rPr>
              <w:t xml:space="preserve">发事件应急事件处置预案，包括但不限于作业中人员遇险、公私财物受损、极端天气应急预案</w:t>
            </w:r>
            <w:r>
              <w:rPr>
                <w:rFonts w:hint="eastAsia"/>
                <w:color w:val="auto"/>
                <w:spacing w:val="-1"/>
                <w:highlight w:val="none"/>
                <w:lang w:eastAsia="zh-CN"/>
              </w:rPr>
              <w:t xml:space="preserve">和及时合理抢险措施等可能发生的应急</w:t>
            </w:r>
            <w:r>
              <w:rPr>
                <w:rFonts w:hint="eastAsia"/>
                <w:color w:val="auto"/>
                <w:spacing w:val="-2"/>
                <w:highlight w:val="none"/>
                <w:lang w:eastAsia="zh-CN"/>
              </w:rPr>
              <w:t xml:space="preserve">事件等内容。</w:t>
            </w:r>
            <w:r/>
          </w:p>
          <w:p>
            <w:pPr>
              <w:pStyle w:val="1381"/>
              <w:jc w:val="both"/>
              <w:keepLines w:val="0"/>
              <w:keepNext w:val="0"/>
              <w:pageBreakBefore w:val="0"/>
              <w:rPr>
                <w:color w:val="auto"/>
                <w:spacing w:val="-2"/>
                <w:highlight w:val="none"/>
                <w:lang w:eastAsia="zh-CN"/>
              </w:rPr>
            </w:pPr>
            <w:r>
              <w:rPr>
                <w:rFonts w:hint="eastAsia"/>
                <w:color w:val="auto"/>
                <w:spacing w:val="-1"/>
                <w:highlight w:val="none"/>
                <w:lang w:eastAsia="zh-CN"/>
              </w:rPr>
              <w:t xml:space="preserve">上述内容全部包含，</w:t>
            </w:r>
            <w:r>
              <w:rPr>
                <w:rFonts w:hint="eastAsia"/>
                <w:color w:val="auto"/>
                <w:spacing w:val="-9"/>
                <w:highlight w:val="none"/>
                <w:lang w:eastAsia="zh-CN"/>
              </w:rPr>
              <w:t xml:space="preserve">且</w:t>
            </w:r>
            <w:r>
              <w:rPr>
                <w:rFonts w:hint="eastAsia"/>
                <w:color w:val="auto"/>
                <w:spacing w:val="-1"/>
                <w:highlight w:val="none"/>
                <w:lang w:eastAsia="zh-CN"/>
              </w:rPr>
              <w:t xml:space="preserve">每项内容都有量化，</w:t>
            </w:r>
            <w:r>
              <w:rPr>
                <w:rFonts w:hint="eastAsia"/>
                <w:color w:val="auto"/>
                <w:spacing w:val="-2"/>
                <w:highlight w:val="none"/>
                <w:lang w:eastAsia="zh-CN"/>
              </w:rPr>
              <w:t xml:space="preserve">预案体系完整、逻辑严密，覆盖所有潜在突发事件，风险辨识精准，应急流程、责任分工、处置措施科学高效，可直接落地且能最大程度降低损失，具备示范价值得</w:t>
            </w:r>
            <w:r>
              <w:rPr>
                <w:rFonts w:hint="eastAsia"/>
                <w:color w:val="auto"/>
                <w:spacing w:val="-2"/>
                <w:highlight w:val="none"/>
                <w:lang w:val="en-US" w:eastAsia="zh-CN"/>
              </w:rPr>
              <w:t xml:space="preserve">8</w:t>
            </w:r>
            <w:r>
              <w:rPr>
                <w:rFonts w:hint="eastAsia"/>
                <w:color w:val="auto"/>
                <w:spacing w:val="-2"/>
                <w:highlight w:val="none"/>
                <w:lang w:eastAsia="zh-CN"/>
              </w:rPr>
              <w:t xml:space="preserve">分；</w:t>
            </w:r>
            <w:r/>
          </w:p>
          <w:p>
            <w:pPr>
              <w:pStyle w:val="1381"/>
              <w:jc w:val="both"/>
              <w:keepLines w:val="0"/>
              <w:keepNext w:val="0"/>
              <w:pageBreakBefore w:val="0"/>
              <w:rPr>
                <w:color w:val="auto"/>
                <w:spacing w:val="-2"/>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2"/>
                <w:highlight w:val="none"/>
                <w:lang w:eastAsia="zh-CN"/>
              </w:rPr>
              <w:t xml:space="preserve">仅个别细节</w:t>
            </w:r>
            <w:r>
              <w:rPr>
                <w:rFonts w:hint="eastAsia"/>
                <w:color w:val="auto"/>
                <w:spacing w:val="-2"/>
                <w:highlight w:val="none"/>
                <w:lang w:val="en-US" w:eastAsia="zh-CN"/>
              </w:rPr>
              <w:t xml:space="preserve">需要</w:t>
            </w:r>
            <w:r>
              <w:rPr>
                <w:rFonts w:hint="eastAsia"/>
                <w:color w:val="auto"/>
                <w:spacing w:val="-2"/>
                <w:highlight w:val="none"/>
                <w:lang w:eastAsia="zh-CN"/>
              </w:rPr>
              <w:t xml:space="preserve">优化，不影响应急响应效率，得</w:t>
            </w:r>
            <w:r>
              <w:rPr>
                <w:rFonts w:hint="eastAsia"/>
                <w:color w:val="auto"/>
                <w:spacing w:val="-2"/>
                <w:highlight w:val="none"/>
                <w:lang w:val="en-US" w:eastAsia="zh-CN"/>
              </w:rPr>
              <w:t xml:space="preserve">7</w:t>
            </w:r>
            <w:r>
              <w:rPr>
                <w:rFonts w:hint="eastAsia"/>
                <w:color w:val="auto"/>
                <w:spacing w:val="-2"/>
                <w:highlight w:val="none"/>
                <w:lang w:eastAsia="zh-CN"/>
              </w:rPr>
              <w:t xml:space="preserve">分；</w:t>
            </w:r>
            <w:r/>
          </w:p>
          <w:p>
            <w:pPr>
              <w:pStyle w:val="1381"/>
              <w:jc w:val="both"/>
              <w:keepLines w:val="0"/>
              <w:keepNext w:val="0"/>
              <w:pageBreakBefore w:val="0"/>
              <w:rPr>
                <w:color w:val="auto"/>
                <w:spacing w:val="-2"/>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eastAsia="zh-CN"/>
              </w:rPr>
              <w:t xml:space="preserve">无明显漏洞，需要简单补充</w:t>
            </w:r>
            <w:r>
              <w:rPr>
                <w:rFonts w:hint="eastAsia"/>
                <w:color w:val="auto"/>
                <w:spacing w:val="-2"/>
                <w:highlight w:val="none"/>
                <w:lang w:eastAsia="zh-CN"/>
              </w:rPr>
              <w:t xml:space="preserve">，得</w:t>
            </w:r>
            <w:r>
              <w:rPr>
                <w:rFonts w:hint="eastAsia"/>
                <w:color w:val="auto"/>
                <w:spacing w:val="-2"/>
                <w:highlight w:val="none"/>
                <w:lang w:val="en-US" w:eastAsia="zh-CN"/>
              </w:rPr>
              <w:t xml:space="preserve">6</w:t>
            </w:r>
            <w:r>
              <w:rPr>
                <w:rFonts w:hint="eastAsia"/>
                <w:color w:val="auto"/>
                <w:spacing w:val="-2"/>
                <w:highlight w:val="none"/>
                <w:lang w:eastAsia="zh-CN"/>
              </w:rPr>
              <w:t xml:space="preserve">分；</w:t>
            </w:r>
            <w:r/>
          </w:p>
          <w:p>
            <w:pPr>
              <w:pStyle w:val="1381"/>
              <w:jc w:val="both"/>
              <w:keepLines w:val="0"/>
              <w:keepNext w:val="0"/>
              <w:pageBreakBefore w:val="0"/>
              <w:rPr>
                <w:color w:val="auto"/>
                <w:spacing w:val="-2"/>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且每项内容都有量化，但内容笼统，缺乏具体</w:t>
            </w:r>
            <w:r>
              <w:rPr>
                <w:rFonts w:hint="eastAsia"/>
                <w:color w:val="auto"/>
                <w:spacing w:val="-1"/>
                <w:highlight w:val="none"/>
                <w:lang w:val="en-US" w:eastAsia="zh-CN"/>
              </w:rPr>
              <w:t xml:space="preserve">应急</w:t>
            </w:r>
            <w:r>
              <w:rPr>
                <w:rFonts w:hint="eastAsia" w:eastAsia="宋体"/>
                <w:color w:val="auto"/>
                <w:spacing w:val="-1"/>
                <w:highlight w:val="none"/>
                <w:lang w:eastAsia="zh-CN"/>
              </w:rPr>
              <w:t xml:space="preserve">措施，需较多完善得</w:t>
            </w:r>
            <w:r>
              <w:rPr>
                <w:rFonts w:hint="eastAsia"/>
                <w:color w:val="auto"/>
                <w:spacing w:val="-2"/>
                <w:highlight w:val="none"/>
                <w:lang w:eastAsia="zh-CN"/>
              </w:rPr>
              <w:t xml:space="preserve">，得</w:t>
            </w:r>
            <w:r>
              <w:rPr>
                <w:rFonts w:hint="eastAsia"/>
                <w:color w:val="auto"/>
                <w:spacing w:val="-2"/>
                <w:highlight w:val="none"/>
                <w:lang w:val="en-US" w:eastAsia="zh-CN"/>
              </w:rPr>
              <w:t xml:space="preserve">5</w:t>
            </w:r>
            <w:r>
              <w:rPr>
                <w:rFonts w:hint="eastAsia"/>
                <w:color w:val="auto"/>
                <w:spacing w:val="-2"/>
                <w:highlight w:val="none"/>
                <w:lang w:eastAsia="zh-CN"/>
              </w:rPr>
              <w:t xml:space="preserve">分；</w:t>
            </w:r>
            <w:r/>
          </w:p>
          <w:p>
            <w:pPr>
              <w:pStyle w:val="1381"/>
              <w:jc w:val="both"/>
              <w:keepLines w:val="0"/>
              <w:keepNext w:val="0"/>
              <w:pageBreakBefore w:val="0"/>
              <w:rPr>
                <w:color w:val="auto"/>
                <w:spacing w:val="-2"/>
                <w:highlight w:val="none"/>
                <w:lang w:eastAsia="zh-CN"/>
              </w:rPr>
            </w:pPr>
            <w:r>
              <w:rPr>
                <w:rFonts w:hint="eastAsia"/>
                <w:color w:val="auto"/>
                <w:spacing w:val="-1"/>
                <w:highlight w:val="none"/>
                <w:lang w:eastAsia="zh-CN"/>
              </w:rPr>
              <w:t xml:space="preserve">上述内容缺失1项，或多项</w:t>
            </w:r>
            <w:r>
              <w:rPr>
                <w:rFonts w:hint="eastAsia"/>
                <w:color w:val="auto"/>
                <w:spacing w:val="-2"/>
                <w:highlight w:val="none"/>
                <w:lang w:eastAsia="zh-CN"/>
              </w:rPr>
              <w:t xml:space="preserve">预案内容不全面，核心突发事件有缺失，风险辨识不够精准，处置措施针对性不足，需较大调整才能适配实际应急需求，得</w:t>
            </w:r>
            <w:r>
              <w:rPr>
                <w:rFonts w:hint="eastAsia"/>
                <w:color w:val="auto"/>
                <w:spacing w:val="-2"/>
                <w:highlight w:val="none"/>
                <w:lang w:val="en-US" w:eastAsia="zh-CN"/>
              </w:rPr>
              <w:t xml:space="preserve">4</w:t>
            </w:r>
            <w:r>
              <w:rPr>
                <w:rFonts w:hint="eastAsia"/>
                <w:color w:val="auto"/>
                <w:spacing w:val="-2"/>
                <w:highlight w:val="none"/>
                <w:lang w:eastAsia="zh-CN"/>
              </w:rPr>
              <w:t xml:space="preserve">分；</w:t>
            </w:r>
            <w:r/>
          </w:p>
          <w:p>
            <w:pPr>
              <w:pStyle w:val="1381"/>
              <w:jc w:val="both"/>
              <w:keepLines w:val="0"/>
              <w:keepNext w:val="0"/>
              <w:pageBreakBefore w:val="0"/>
              <w:rPr>
                <w:rFonts w:hint="eastAsia"/>
                <w:color w:val="auto"/>
                <w:spacing w:val="-2"/>
                <w:highlight w:val="none"/>
                <w:lang w:eastAsia="zh-CN"/>
              </w:rPr>
            </w:pPr>
            <w:r>
              <w:rPr>
                <w:rFonts w:hint="eastAsia"/>
                <w:color w:val="auto"/>
                <w:spacing w:val="-1"/>
                <w:highlight w:val="none"/>
                <w:lang w:eastAsia="zh-CN"/>
              </w:rPr>
              <w:t xml:space="preserve">上述内容缺失2项及以上，</w:t>
            </w:r>
            <w:r>
              <w:rPr>
                <w:rFonts w:hint="eastAsia"/>
                <w:color w:val="auto"/>
                <w:spacing w:val="-2"/>
                <w:highlight w:val="none"/>
                <w:lang w:eastAsia="zh-CN"/>
              </w:rPr>
              <w:t xml:space="preserve">预案框架混乱，关键内容（如责任分工、处置流程）缺失较多，与项目实际风险匹配度低，难以支撑有效应急响应，得</w:t>
            </w:r>
            <w:r>
              <w:rPr>
                <w:rFonts w:hint="eastAsia"/>
                <w:color w:val="auto"/>
                <w:spacing w:val="-2"/>
                <w:highlight w:val="none"/>
                <w:lang w:val="en-US" w:eastAsia="zh-CN"/>
              </w:rPr>
              <w:t xml:space="preserve">3</w:t>
            </w:r>
            <w:r>
              <w:rPr>
                <w:rFonts w:hint="eastAsia"/>
                <w:color w:val="auto"/>
                <w:spacing w:val="-2"/>
                <w:highlight w:val="none"/>
                <w:lang w:eastAsia="zh-CN"/>
              </w:rPr>
              <w:t xml:space="preserve">分；</w:t>
            </w:r>
            <w:r/>
          </w:p>
          <w:p>
            <w:pPr>
              <w:pStyle w:val="1381"/>
              <w:jc w:val="both"/>
              <w:keepLines w:val="0"/>
              <w:keepNext w:val="0"/>
              <w:pageBreakBefore w:val="0"/>
              <w:rPr>
                <w:rFonts w:hint="eastAsia"/>
                <w:color w:val="auto"/>
                <w:spacing w:val="-2"/>
                <w:highlight w:val="none"/>
                <w:lang w:eastAsia="zh-CN"/>
              </w:rPr>
            </w:pPr>
            <w:r>
              <w:rPr>
                <w:rFonts w:hint="eastAsia" w:eastAsia="宋体"/>
                <w:color w:val="auto"/>
                <w:spacing w:val="-1"/>
                <w:highlight w:val="none"/>
                <w:lang w:eastAsia="zh-CN"/>
              </w:rPr>
              <w:t xml:space="preserve">上述内容缺失</w:t>
            </w:r>
            <w:r>
              <w:rPr>
                <w:rFonts w:hint="eastAsia"/>
                <w:color w:val="auto"/>
                <w:spacing w:val="-1"/>
                <w:highlight w:val="none"/>
                <w:lang w:val="en-US" w:eastAsia="zh-CN"/>
              </w:rPr>
              <w:t xml:space="preserve">3</w:t>
            </w:r>
            <w:r>
              <w:rPr>
                <w:rFonts w:hint="eastAsia" w:eastAsia="宋体"/>
                <w:color w:val="auto"/>
                <w:spacing w:val="-1"/>
                <w:highlight w:val="none"/>
                <w:lang w:eastAsia="zh-CN"/>
              </w:rPr>
              <w:t xml:space="preserve">项及以上，</w:t>
            </w:r>
            <w:r>
              <w:rPr>
                <w:rFonts w:hint="eastAsia" w:eastAsia="宋体"/>
                <w:color w:val="auto"/>
                <w:spacing w:val="-2"/>
                <w:highlight w:val="none"/>
                <w:lang w:eastAsia="zh-CN"/>
              </w:rPr>
              <w:t xml:space="preserve">预案框架混乱，关键内容（如责任分工、处置流程）缺失较多，与项目实际风险匹配度低，难以支撑有效应急响应，得</w:t>
            </w:r>
            <w:r>
              <w:rPr>
                <w:rFonts w:hint="eastAsia" w:ascii="Times New Roman"/>
                <w:color w:val="auto"/>
                <w:spacing w:val="-2"/>
                <w:highlight w:val="none"/>
                <w:lang w:val="en-US" w:eastAsia="zh-CN"/>
              </w:rPr>
              <w:t xml:space="preserve">2</w:t>
            </w:r>
            <w:r>
              <w:rPr>
                <w:rFonts w:hint="eastAsia" w:eastAsia="宋体"/>
                <w:color w:val="auto"/>
                <w:spacing w:val="-2"/>
                <w:highlight w:val="none"/>
                <w:lang w:eastAsia="zh-CN"/>
              </w:rPr>
              <w:t xml:space="preserve">分；</w:t>
            </w:r>
            <w:r/>
          </w:p>
          <w:p>
            <w:pPr>
              <w:pStyle w:val="1381"/>
              <w:jc w:val="both"/>
              <w:keepLines w:val="0"/>
              <w:keepNext w:val="0"/>
              <w:pageBreakBefore w:val="0"/>
              <w:rPr>
                <w:color w:val="auto"/>
                <w:spacing w:val="-2"/>
                <w:highlight w:val="none"/>
                <w:lang w:eastAsia="zh-CN"/>
              </w:rPr>
            </w:pPr>
            <w:r>
              <w:rPr>
                <w:rFonts w:hint="eastAsia"/>
                <w:color w:val="auto"/>
                <w:spacing w:val="-1"/>
                <w:highlight w:val="none"/>
                <w:lang w:eastAsia="zh-CN"/>
              </w:rPr>
              <w:t xml:space="preserve">上述内容全部包含，但</w:t>
            </w:r>
            <w:r>
              <w:rPr>
                <w:rFonts w:hint="eastAsia"/>
                <w:color w:val="auto"/>
                <w:spacing w:val="-2"/>
                <w:highlight w:val="none"/>
                <w:lang w:eastAsia="zh-CN"/>
              </w:rPr>
              <w:t xml:space="preserve">无有效应急预案，未覆盖上述内容，内容混乱无逻辑、无明确应急预案，完全无法应对突发情况，存在重大安全与财产风险，得</w:t>
            </w:r>
            <w:r>
              <w:rPr>
                <w:rFonts w:hint="eastAsia"/>
                <w:color w:val="auto"/>
                <w:spacing w:val="-2"/>
                <w:highlight w:val="none"/>
                <w:lang w:val="en-US" w:eastAsia="zh-CN"/>
              </w:rPr>
              <w:t xml:space="preserve">1</w:t>
            </w:r>
            <w:r>
              <w:rPr>
                <w:rFonts w:hint="eastAsia"/>
                <w:color w:val="auto"/>
                <w:spacing w:val="-2"/>
                <w:highlight w:val="none"/>
                <w:lang w:eastAsia="zh-CN"/>
              </w:rPr>
              <w:t xml:space="preserve">分；</w:t>
            </w:r>
            <w:r/>
          </w:p>
          <w:p>
            <w:pPr>
              <w:pStyle w:val="1381"/>
              <w:jc w:val="both"/>
              <w:keepLines w:val="0"/>
              <w:keepNext w:val="0"/>
              <w:pageBreakBefore w:val="0"/>
              <w:rPr>
                <w:rFonts w:hint="eastAsia" w:ascii="宋体" w:hAnsi="宋体" w:eastAsia="宋体" w:cs="宋体"/>
                <w:color w:val="auto"/>
                <w:highlight w:val="none"/>
                <w:lang w:val="zh-CN"/>
              </w:rPr>
            </w:pPr>
            <w:r>
              <w:rPr>
                <w:rFonts w:hint="eastAsia"/>
                <w:color w:val="auto"/>
                <w:spacing w:val="-5"/>
                <w:highlight w:val="none"/>
                <w:lang w:eastAsia="zh-CN"/>
              </w:rPr>
              <w:t xml:space="preserve">未提供上述内容得0分。</w:t>
            </w:r>
            <w:r/>
          </w:p>
        </w:tc>
        <w:tc>
          <w:tcPr>
            <w:tcW w:w="1059" w:type="pct"/>
            <w:vAlign w:val="center"/>
            <w:textDirection w:val="lrTb"/>
            <w:noWrap w:val="false"/>
          </w:tcPr>
          <w:p>
            <w:pPr>
              <w:jc w:val="center"/>
              <w:rPr>
                <w:rFonts w:hint="eastAsia" w:ascii="宋体" w:hAnsi="宋体" w:eastAsia="宋体" w:cs="宋体"/>
                <w:color w:val="auto"/>
                <w:sz w:val="24"/>
                <w:highlight w:val="none"/>
              </w:rPr>
              <w:outlineLvl w:val="0"/>
            </w:pPr>
            <w:r/>
            <w:bookmarkStart w:id="853" w:name="_Toc13495"/>
            <w:r/>
            <w:bookmarkStart w:id="854" w:name="_Toc9594"/>
            <w:r/>
            <w:bookmarkStart w:id="855" w:name="_Toc22983"/>
            <w:r>
              <w:rPr>
                <w:rFonts w:hint="eastAsia" w:ascii="宋体" w:hAnsi="宋体" w:cs="宋体"/>
                <w:color w:val="auto"/>
                <w:sz w:val="24"/>
                <w:highlight w:val="none"/>
                <w:lang w:val="en-US" w:eastAsia="zh-CN"/>
              </w:rPr>
              <w:t xml:space="preserve">采用暗标</w:t>
            </w:r>
            <w:bookmarkEnd w:id="853"/>
            <w:r/>
            <w:bookmarkEnd w:id="854"/>
            <w:r/>
            <w:bookmarkEnd w:id="855"/>
            <w:r/>
            <w:r/>
          </w:p>
        </w:tc>
      </w:tr>
      <w:tr>
        <w:trPr/>
        <w:tc>
          <w:tcPr>
            <w:tcW w:w="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tcW w:w="759" w:type="pct"/>
            <w:vAlign w:val="center"/>
            <w:textDirection w:val="lrTb"/>
            <w:noWrap w:val="false"/>
          </w:tcPr>
          <w:p>
            <w:pPr>
              <w:pStyle w:val="1381"/>
              <w:jc w:val="center"/>
              <w:rPr>
                <w:rFonts w:hint="eastAsia" w:ascii="宋体" w:hAnsi="宋体" w:eastAsia="宋体" w:cs="宋体"/>
                <w:color w:val="auto"/>
                <w:highlight w:val="none"/>
                <w:lang w:val="zh-CN"/>
              </w:rPr>
            </w:pPr>
            <w:r>
              <w:rPr>
                <w:rFonts w:hint="eastAsia" w:ascii="宋体" w:hAnsi="宋体" w:eastAsia="宋体" w:cs="宋体"/>
                <w:color w:val="auto"/>
                <w:spacing w:val="-2"/>
                <w:highlight w:val="none"/>
              </w:rPr>
              <w:t xml:space="preserve">安全文明管理方案</w:t>
            </w:r>
            <w:r/>
          </w:p>
        </w:tc>
        <w:tc>
          <w:tcPr>
            <w:tcW w:w="474" w:type="pct"/>
            <w:vAlign w:val="center"/>
            <w:textDirection w:val="lrTb"/>
            <w:noWrap w:val="false"/>
          </w:tcPr>
          <w:p>
            <w:pPr>
              <w:pStyle w:val="1381"/>
              <w:jc w:val="center"/>
              <w:rPr>
                <w:rFonts w:hint="default" w:ascii="宋体" w:hAnsi="宋体" w:eastAsia="宋体" w:cs="宋体"/>
                <w:color w:val="auto"/>
                <w:highlight w:val="none"/>
                <w:lang w:val="en-US" w:eastAsia="zh-CN"/>
              </w:rPr>
            </w:pPr>
            <w:r>
              <w:rPr>
                <w:rFonts w:hint="eastAsia" w:cs="宋体"/>
                <w:color w:val="auto"/>
                <w:spacing w:val="-6"/>
                <w:highlight w:val="none"/>
                <w:lang w:val="en-US" w:eastAsia="zh-CN"/>
              </w:rPr>
              <w:t xml:space="preserve">9分</w:t>
            </w:r>
            <w:r/>
          </w:p>
        </w:tc>
        <w:tc>
          <w:tcPr>
            <w:tcW w:w="4525" w:type="dxa"/>
            <w:vAlign w:val="center"/>
            <w:textDirection w:val="lrTb"/>
            <w:noWrap w:val="false"/>
          </w:tcPr>
          <w:p>
            <w:pPr>
              <w:pStyle w:val="1381"/>
              <w:jc w:val="both"/>
              <w:keepLines w:val="0"/>
              <w:keepNext w:val="0"/>
              <w:pageBreakBefore w:val="0"/>
              <w:rPr>
                <w:color w:val="auto"/>
                <w:spacing w:val="-37"/>
                <w:highlight w:val="none"/>
                <w:lang w:eastAsia="zh-CN"/>
              </w:rPr>
            </w:pPr>
            <w:r>
              <w:rPr>
                <w:rFonts w:hint="eastAsia"/>
                <w:color w:val="auto"/>
                <w:spacing w:val="10"/>
                <w:highlight w:val="none"/>
                <w:lang w:eastAsia="zh-CN"/>
              </w:rPr>
              <w:t xml:space="preserve">投标人根据养护路段的实际情况编制</w:t>
            </w:r>
            <w:r>
              <w:rPr>
                <w:rFonts w:hint="eastAsia"/>
                <w:color w:val="auto"/>
                <w:spacing w:val="-2"/>
                <w:highlight w:val="none"/>
                <w:lang w:eastAsia="zh-CN"/>
              </w:rPr>
              <w:t xml:space="preserve">安全文明管理方案，包括但不限于组织框架与责任、作业安全规范、交通组</w:t>
            </w:r>
            <w:r>
              <w:rPr>
                <w:rFonts w:hint="eastAsia"/>
                <w:color w:val="auto"/>
                <w:spacing w:val="3"/>
                <w:highlight w:val="none"/>
                <w:lang w:eastAsia="zh-CN"/>
              </w:rPr>
              <w:t xml:space="preserve">织、日常养护时的安全文明管理等内容</w:t>
            </w:r>
            <w:r>
              <w:rPr>
                <w:rFonts w:hint="eastAsia"/>
                <w:color w:val="auto"/>
                <w:spacing w:val="-37"/>
                <w:highlight w:val="none"/>
                <w:lang w:eastAsia="zh-CN"/>
              </w:rPr>
              <w:t xml:space="preserve">。</w:t>
            </w:r>
            <w:r/>
          </w:p>
          <w:p>
            <w:pPr>
              <w:pStyle w:val="1381"/>
              <w:jc w:val="both"/>
              <w:keepLines w:val="0"/>
              <w:keepNext w:val="0"/>
              <w:pageBreakBefore w:val="0"/>
              <w:rPr>
                <w:color w:val="auto"/>
                <w:spacing w:val="3"/>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3"/>
                <w:highlight w:val="none"/>
                <w:lang w:val="en-US" w:eastAsia="zh-CN"/>
              </w:rPr>
              <w:t xml:space="preserve">方案</w:t>
            </w:r>
            <w:r>
              <w:rPr>
                <w:rFonts w:hint="eastAsia"/>
                <w:color w:val="auto"/>
                <w:spacing w:val="3"/>
                <w:highlight w:val="none"/>
                <w:lang w:eastAsia="zh-CN"/>
              </w:rPr>
              <w:t xml:space="preserve">完善，</w:t>
            </w:r>
            <w:r>
              <w:rPr>
                <w:rFonts w:hint="eastAsia"/>
                <w:color w:val="auto"/>
                <w:spacing w:val="3"/>
                <w:highlight w:val="none"/>
                <w:lang w:val="en-US" w:eastAsia="zh-CN"/>
              </w:rPr>
              <w:t xml:space="preserve">可行性高</w:t>
            </w:r>
            <w:r>
              <w:rPr>
                <w:rFonts w:hint="eastAsia"/>
                <w:color w:val="auto"/>
                <w:spacing w:val="3"/>
                <w:highlight w:val="none"/>
                <w:lang w:eastAsia="zh-CN"/>
              </w:rPr>
              <w:t xml:space="preserve">，得</w:t>
            </w:r>
            <w:r>
              <w:rPr>
                <w:rFonts w:hint="eastAsia"/>
                <w:color w:val="auto"/>
                <w:spacing w:val="3"/>
                <w:highlight w:val="none"/>
                <w:lang w:val="en-US" w:eastAsia="zh-CN"/>
              </w:rPr>
              <w:t xml:space="preserve">9</w:t>
            </w:r>
            <w:r>
              <w:rPr>
                <w:rFonts w:hint="eastAsia"/>
                <w:color w:val="auto"/>
                <w:spacing w:val="3"/>
                <w:highlight w:val="none"/>
                <w:lang w:eastAsia="zh-CN"/>
              </w:rPr>
              <w:t xml:space="preserve">分；</w:t>
            </w:r>
            <w:r/>
          </w:p>
          <w:p>
            <w:pPr>
              <w:pStyle w:val="1381"/>
              <w:jc w:val="both"/>
              <w:keepLines w:val="0"/>
              <w:keepNext w:val="0"/>
              <w:pageBreakBefore w:val="0"/>
              <w:rPr>
                <w:color w:val="auto"/>
                <w:spacing w:val="3"/>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val="en-US" w:eastAsia="zh-CN"/>
              </w:rPr>
              <w:t xml:space="preserve">可行性高，</w:t>
            </w:r>
            <w:r>
              <w:rPr>
                <w:rFonts w:hint="eastAsia"/>
                <w:color w:val="auto"/>
                <w:spacing w:val="3"/>
                <w:highlight w:val="none"/>
                <w:lang w:val="en-US" w:eastAsia="zh-CN"/>
              </w:rPr>
              <w:t xml:space="preserve">需要少量优化</w:t>
            </w:r>
            <w:r>
              <w:rPr>
                <w:rFonts w:hint="eastAsia"/>
                <w:color w:val="auto"/>
                <w:spacing w:val="3"/>
                <w:highlight w:val="none"/>
                <w:lang w:eastAsia="zh-CN"/>
              </w:rPr>
              <w:t xml:space="preserve">，不影响整体管理效果，得</w:t>
            </w:r>
            <w:r>
              <w:rPr>
                <w:rFonts w:hint="eastAsia"/>
                <w:color w:val="auto"/>
                <w:spacing w:val="3"/>
                <w:highlight w:val="none"/>
                <w:lang w:val="en-US" w:eastAsia="zh-CN"/>
              </w:rPr>
              <w:t xml:space="preserve">8</w:t>
            </w:r>
            <w:r>
              <w:rPr>
                <w:rFonts w:hint="eastAsia"/>
                <w:color w:val="auto"/>
                <w:spacing w:val="3"/>
                <w:highlight w:val="none"/>
                <w:lang w:eastAsia="zh-CN"/>
              </w:rPr>
              <w:t xml:space="preserve">分；</w:t>
            </w:r>
            <w:r/>
          </w:p>
          <w:p>
            <w:pPr>
              <w:pStyle w:val="1381"/>
              <w:jc w:val="both"/>
              <w:keepLines w:val="0"/>
              <w:keepNext w:val="0"/>
              <w:pageBreakBefore w:val="0"/>
              <w:rPr>
                <w:color w:val="auto"/>
                <w:spacing w:val="3"/>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val="en-US" w:eastAsia="zh-CN"/>
              </w:rPr>
              <w:t xml:space="preserve">可行性较高，但需要进一步优化，</w:t>
            </w:r>
            <w:r>
              <w:rPr>
                <w:rFonts w:hint="eastAsia"/>
                <w:color w:val="auto"/>
                <w:spacing w:val="3"/>
                <w:highlight w:val="none"/>
                <w:lang w:eastAsia="zh-CN"/>
              </w:rPr>
              <w:t xml:space="preserve">得</w:t>
            </w:r>
            <w:r>
              <w:rPr>
                <w:rFonts w:hint="eastAsia"/>
                <w:color w:val="auto"/>
                <w:spacing w:val="3"/>
                <w:highlight w:val="none"/>
                <w:lang w:val="en-US" w:eastAsia="zh-CN"/>
              </w:rPr>
              <w:t xml:space="preserve">7</w:t>
            </w:r>
            <w:r>
              <w:rPr>
                <w:rFonts w:hint="eastAsia"/>
                <w:color w:val="auto"/>
                <w:spacing w:val="3"/>
                <w:highlight w:val="none"/>
                <w:lang w:eastAsia="zh-CN"/>
              </w:rPr>
              <w:t xml:space="preserve">分；</w:t>
            </w:r>
            <w:r/>
          </w:p>
          <w:p>
            <w:pPr>
              <w:pStyle w:val="1381"/>
              <w:jc w:val="both"/>
              <w:keepLines w:val="0"/>
              <w:keepNext w:val="0"/>
              <w:pageBreakBefore w:val="0"/>
              <w:rPr>
                <w:color w:val="auto"/>
                <w:spacing w:val="3"/>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1"/>
                <w:highlight w:val="none"/>
                <w:lang w:val="en-US" w:eastAsia="zh-CN"/>
              </w:rPr>
              <w:t xml:space="preserve">可行性一般，</w:t>
            </w:r>
            <w:r>
              <w:rPr>
                <w:rFonts w:hint="eastAsia"/>
                <w:color w:val="auto"/>
                <w:spacing w:val="3"/>
                <w:highlight w:val="none"/>
                <w:lang w:val="en-US" w:eastAsia="zh-CN"/>
              </w:rPr>
              <w:t xml:space="preserve">需要简单补充完善</w:t>
            </w:r>
            <w:r>
              <w:rPr>
                <w:rFonts w:hint="eastAsia"/>
                <w:color w:val="auto"/>
                <w:spacing w:val="3"/>
                <w:highlight w:val="none"/>
                <w:lang w:eastAsia="zh-CN"/>
              </w:rPr>
              <w:t xml:space="preserve">，得</w:t>
            </w:r>
            <w:r>
              <w:rPr>
                <w:rFonts w:hint="eastAsia"/>
                <w:color w:val="auto"/>
                <w:spacing w:val="3"/>
                <w:highlight w:val="none"/>
                <w:lang w:val="en-US" w:eastAsia="zh-CN"/>
              </w:rPr>
              <w:t xml:space="preserve">6</w:t>
            </w:r>
            <w:r>
              <w:rPr>
                <w:rFonts w:hint="eastAsia"/>
                <w:color w:val="auto"/>
                <w:spacing w:val="3"/>
                <w:highlight w:val="none"/>
                <w:lang w:eastAsia="zh-CN"/>
              </w:rPr>
              <w:t xml:space="preserve">分；</w:t>
            </w:r>
            <w:r/>
          </w:p>
          <w:p>
            <w:pPr>
              <w:pStyle w:val="1381"/>
              <w:jc w:val="both"/>
              <w:keepLines w:val="0"/>
              <w:keepNext w:val="0"/>
              <w:pageBreakBefore w:val="0"/>
              <w:rPr>
                <w:color w:val="auto"/>
                <w:spacing w:val="3"/>
                <w:highlight w:val="none"/>
                <w:lang w:eastAsia="zh-CN"/>
              </w:rPr>
            </w:pPr>
            <w:r>
              <w:rPr>
                <w:rFonts w:hint="eastAsia"/>
                <w:color w:val="auto"/>
                <w:spacing w:val="-1"/>
                <w:highlight w:val="none"/>
                <w:lang w:eastAsia="zh-CN"/>
              </w:rPr>
              <w:t xml:space="preserve">上述内容全部包含，</w:t>
            </w:r>
            <w:r>
              <w:rPr>
                <w:rFonts w:hint="eastAsia" w:eastAsia="宋体"/>
                <w:color w:val="auto"/>
                <w:spacing w:val="-1"/>
                <w:highlight w:val="none"/>
                <w:lang w:eastAsia="zh-CN"/>
              </w:rPr>
              <w:t xml:space="preserve">且每项内容都有量化，</w:t>
            </w:r>
            <w:r>
              <w:rPr>
                <w:rFonts w:hint="eastAsia"/>
                <w:color w:val="auto"/>
                <w:spacing w:val="3"/>
                <w:highlight w:val="none"/>
                <w:lang w:val="en-US" w:eastAsia="zh-CN"/>
              </w:rPr>
              <w:t xml:space="preserve">但内容笼统，部分细节缺乏可行性，</w:t>
            </w:r>
            <w:r>
              <w:rPr>
                <w:rFonts w:hint="eastAsia"/>
                <w:color w:val="auto"/>
                <w:spacing w:val="3"/>
                <w:highlight w:val="none"/>
                <w:lang w:eastAsia="zh-CN"/>
              </w:rPr>
              <w:t xml:space="preserve">需</w:t>
            </w:r>
            <w:r>
              <w:rPr>
                <w:rFonts w:hint="eastAsia"/>
                <w:color w:val="auto"/>
                <w:spacing w:val="3"/>
                <w:highlight w:val="none"/>
                <w:lang w:val="en-US" w:eastAsia="zh-CN"/>
              </w:rPr>
              <w:t xml:space="preserve">较多</w:t>
            </w:r>
            <w:r>
              <w:rPr>
                <w:rFonts w:hint="eastAsia"/>
                <w:color w:val="auto"/>
                <w:spacing w:val="3"/>
                <w:highlight w:val="none"/>
                <w:lang w:eastAsia="zh-CN"/>
              </w:rPr>
              <w:t xml:space="preserve">补充完善，得</w:t>
            </w:r>
            <w:r>
              <w:rPr>
                <w:rFonts w:hint="eastAsia"/>
                <w:color w:val="auto"/>
                <w:spacing w:val="3"/>
                <w:highlight w:val="none"/>
                <w:lang w:val="en-US" w:eastAsia="zh-CN"/>
              </w:rPr>
              <w:t xml:space="preserve">5</w:t>
            </w:r>
            <w:r>
              <w:rPr>
                <w:rFonts w:hint="eastAsia"/>
                <w:color w:val="auto"/>
                <w:spacing w:val="3"/>
                <w:highlight w:val="none"/>
                <w:lang w:eastAsia="zh-CN"/>
              </w:rPr>
              <w:t xml:space="preserve">分；</w:t>
            </w:r>
            <w:r/>
          </w:p>
          <w:p>
            <w:pPr>
              <w:pStyle w:val="1381"/>
              <w:jc w:val="both"/>
              <w:keepLines w:val="0"/>
              <w:keepNext w:val="0"/>
              <w:pageBreakBefore w:val="0"/>
              <w:rPr>
                <w:color w:val="auto"/>
                <w:spacing w:val="3"/>
                <w:highlight w:val="none"/>
                <w:lang w:eastAsia="zh-CN"/>
              </w:rPr>
            </w:pPr>
            <w:r>
              <w:rPr>
                <w:rFonts w:hint="eastAsia"/>
                <w:color w:val="auto"/>
                <w:spacing w:val="3"/>
                <w:highlight w:val="none"/>
                <w:lang w:eastAsia="zh-CN"/>
              </w:rPr>
              <w:t xml:space="preserve">上述内容缺失1项或多项内容的管理体系不健全，制度措施针对性不足，安全责任划分模糊，文明施工要求不明确，核心管控环节有缺失，需较大调整才能适配实际管理需求，得</w:t>
            </w:r>
            <w:r>
              <w:rPr>
                <w:rFonts w:hint="eastAsia"/>
                <w:color w:val="auto"/>
                <w:spacing w:val="3"/>
                <w:highlight w:val="none"/>
                <w:lang w:val="en-US" w:eastAsia="zh-CN"/>
              </w:rPr>
              <w:t xml:space="preserve">4</w:t>
            </w:r>
            <w:r>
              <w:rPr>
                <w:rFonts w:hint="eastAsia"/>
                <w:color w:val="auto"/>
                <w:spacing w:val="3"/>
                <w:highlight w:val="none"/>
                <w:lang w:eastAsia="zh-CN"/>
              </w:rPr>
              <w:t xml:space="preserve">分；</w:t>
            </w:r>
            <w:r/>
          </w:p>
          <w:p>
            <w:pPr>
              <w:pStyle w:val="1381"/>
              <w:jc w:val="both"/>
              <w:keepLines w:val="0"/>
              <w:keepNext w:val="0"/>
              <w:pageBreakBefore w:val="0"/>
              <w:rPr>
                <w:rFonts w:hint="eastAsia"/>
                <w:color w:val="auto"/>
                <w:spacing w:val="3"/>
                <w:highlight w:val="none"/>
                <w:lang w:eastAsia="zh-CN"/>
              </w:rPr>
            </w:pPr>
            <w:r>
              <w:rPr>
                <w:rFonts w:hint="eastAsia"/>
                <w:color w:val="auto"/>
                <w:spacing w:val="3"/>
                <w:highlight w:val="none"/>
                <w:lang w:eastAsia="zh-CN"/>
              </w:rPr>
              <w:t xml:space="preserve">上述内容缺失2项及以上的，管理体系混乱，制度措施缺失较多，安全责任未落实，文明施工无有效管控，现场秩序混乱，存在较多安全隐患与不文明现象，得</w:t>
            </w:r>
            <w:r>
              <w:rPr>
                <w:rFonts w:hint="eastAsia"/>
                <w:color w:val="auto"/>
                <w:spacing w:val="3"/>
                <w:highlight w:val="none"/>
                <w:lang w:val="en-US" w:eastAsia="zh-CN"/>
              </w:rPr>
              <w:t xml:space="preserve">3</w:t>
            </w:r>
            <w:r>
              <w:rPr>
                <w:rFonts w:hint="eastAsia"/>
                <w:color w:val="auto"/>
                <w:spacing w:val="3"/>
                <w:highlight w:val="none"/>
                <w:lang w:eastAsia="zh-CN"/>
              </w:rPr>
              <w:t xml:space="preserve">分；</w:t>
            </w:r>
            <w:r/>
          </w:p>
          <w:p>
            <w:pPr>
              <w:pStyle w:val="1381"/>
              <w:jc w:val="both"/>
              <w:keepLines w:val="0"/>
              <w:keepNext w:val="0"/>
              <w:pageBreakBefore w:val="0"/>
              <w:rPr>
                <w:color w:val="auto"/>
                <w:spacing w:val="3"/>
                <w:highlight w:val="none"/>
                <w:lang w:eastAsia="zh-CN"/>
              </w:rPr>
            </w:pPr>
            <w:r>
              <w:rPr>
                <w:rFonts w:hint="eastAsia"/>
                <w:color w:val="auto"/>
                <w:spacing w:val="3"/>
                <w:highlight w:val="none"/>
                <w:lang w:eastAsia="zh-CN"/>
              </w:rPr>
              <w:t xml:space="preserve">上述内容缺失</w:t>
            </w:r>
            <w:r>
              <w:rPr>
                <w:rFonts w:hint="eastAsia"/>
                <w:color w:val="auto"/>
                <w:spacing w:val="3"/>
                <w:highlight w:val="none"/>
                <w:lang w:val="en-US" w:eastAsia="zh-CN"/>
              </w:rPr>
              <w:t xml:space="preserve">3</w:t>
            </w:r>
            <w:r>
              <w:rPr>
                <w:rFonts w:hint="eastAsia"/>
                <w:color w:val="auto"/>
                <w:spacing w:val="3"/>
                <w:highlight w:val="none"/>
                <w:lang w:eastAsia="zh-CN"/>
              </w:rPr>
              <w:t xml:space="preserve">项及以上的，管理体系混乱，制度措施缺失较多，安全责任未落实，文明施工无有效管控，现场秩序混乱，存在较多安全隐患与不文明现象，得</w:t>
            </w:r>
            <w:r>
              <w:rPr>
                <w:rFonts w:hint="eastAsia"/>
                <w:color w:val="auto"/>
                <w:spacing w:val="3"/>
                <w:highlight w:val="none"/>
                <w:lang w:val="en-US" w:eastAsia="zh-CN"/>
              </w:rPr>
              <w:t xml:space="preserve">2</w:t>
            </w:r>
            <w:r>
              <w:rPr>
                <w:rFonts w:hint="eastAsia"/>
                <w:color w:val="auto"/>
                <w:spacing w:val="3"/>
                <w:highlight w:val="none"/>
                <w:lang w:eastAsia="zh-CN"/>
              </w:rPr>
              <w:t xml:space="preserve">分；</w:t>
            </w:r>
            <w:r/>
          </w:p>
          <w:p>
            <w:pPr>
              <w:pStyle w:val="1381"/>
              <w:jc w:val="both"/>
              <w:keepLines w:val="0"/>
              <w:keepNext w:val="0"/>
              <w:pageBreakBefore w:val="0"/>
              <w:rPr>
                <w:rFonts w:hint="eastAsia"/>
                <w:color w:val="auto"/>
                <w:spacing w:val="3"/>
                <w:highlight w:val="none"/>
                <w:lang w:eastAsia="zh-CN"/>
              </w:rPr>
            </w:pPr>
            <w:r>
              <w:rPr>
                <w:rFonts w:hint="eastAsia"/>
                <w:color w:val="auto"/>
                <w:spacing w:val="3"/>
                <w:highlight w:val="none"/>
                <w:lang w:eastAsia="zh-CN"/>
              </w:rPr>
            </w:r>
            <w:r/>
          </w:p>
          <w:p>
            <w:pPr>
              <w:pStyle w:val="1381"/>
              <w:jc w:val="both"/>
              <w:keepLines w:val="0"/>
              <w:keepNext w:val="0"/>
              <w:pageBreakBefore w:val="0"/>
              <w:rPr>
                <w:color w:val="auto"/>
                <w:spacing w:val="3"/>
                <w:highlight w:val="none"/>
                <w:lang w:eastAsia="zh-CN"/>
              </w:rPr>
            </w:pPr>
            <w:r>
              <w:rPr>
                <w:rFonts w:hint="eastAsia"/>
                <w:color w:val="auto"/>
                <w:spacing w:val="3"/>
                <w:highlight w:val="none"/>
                <w:lang w:eastAsia="zh-CN"/>
              </w:rPr>
              <w:t xml:space="preserve">未覆盖上述内容，无有效安全文明管理体系与措施，完全不符合相关规范要求，现场无任何管控，存在重大安全风险与严重不文明行为，得</w:t>
            </w:r>
            <w:r>
              <w:rPr>
                <w:rFonts w:hint="eastAsia"/>
                <w:color w:val="auto"/>
                <w:spacing w:val="3"/>
                <w:highlight w:val="none"/>
                <w:lang w:val="en-US" w:eastAsia="zh-CN"/>
              </w:rPr>
              <w:t xml:space="preserve">1</w:t>
            </w:r>
            <w:r>
              <w:rPr>
                <w:rFonts w:hint="eastAsia"/>
                <w:color w:val="auto"/>
                <w:spacing w:val="3"/>
                <w:highlight w:val="none"/>
                <w:lang w:eastAsia="zh-CN"/>
              </w:rPr>
              <w:t xml:space="preserve">分；</w:t>
            </w:r>
            <w:r/>
          </w:p>
          <w:p>
            <w:pPr>
              <w:pStyle w:val="1381"/>
              <w:jc w:val="both"/>
              <w:keepLines w:val="0"/>
              <w:keepNext w:val="0"/>
              <w:pageBreakBefore w:val="0"/>
              <w:rPr>
                <w:rFonts w:hint="eastAsia" w:ascii="宋体" w:hAnsi="宋体" w:eastAsia="宋体" w:cs="宋体"/>
                <w:color w:val="auto"/>
                <w:highlight w:val="none"/>
                <w:lang w:val="zh-CN"/>
              </w:rPr>
            </w:pPr>
            <w:r>
              <w:rPr>
                <w:rFonts w:hint="eastAsia"/>
                <w:color w:val="auto"/>
                <w:spacing w:val="-4"/>
                <w:highlight w:val="none"/>
                <w:lang w:eastAsia="zh-CN"/>
              </w:rPr>
              <w:t xml:space="preserve">未提供上述内容得0分。</w:t>
            </w:r>
            <w:r/>
          </w:p>
        </w:tc>
        <w:tc>
          <w:tcPr>
            <w:tcW w:w="1059" w:type="pct"/>
            <w:vAlign w:val="center"/>
            <w:textDirection w:val="lrTb"/>
            <w:noWrap w:val="false"/>
          </w:tcPr>
          <w:p>
            <w:pPr>
              <w:jc w:val="center"/>
              <w:rPr>
                <w:rFonts w:hint="eastAsia" w:ascii="宋体" w:hAnsi="宋体" w:eastAsia="宋体" w:cs="宋体"/>
                <w:color w:val="auto"/>
                <w:sz w:val="24"/>
                <w:highlight w:val="none"/>
              </w:rPr>
              <w:outlineLvl w:val="0"/>
            </w:pPr>
            <w:r/>
            <w:bookmarkStart w:id="856" w:name="_Toc20019"/>
            <w:r/>
            <w:bookmarkStart w:id="857" w:name="_Toc16561"/>
            <w:r/>
            <w:bookmarkStart w:id="858" w:name="_Toc31798"/>
            <w:r>
              <w:rPr>
                <w:rFonts w:hint="eastAsia" w:ascii="宋体" w:hAnsi="宋体" w:cs="宋体"/>
                <w:color w:val="auto"/>
                <w:sz w:val="24"/>
                <w:highlight w:val="none"/>
                <w:lang w:val="en-US" w:eastAsia="zh-CN"/>
              </w:rPr>
              <w:t xml:space="preserve">采用暗标</w:t>
            </w:r>
            <w:bookmarkEnd w:id="856"/>
            <w:r/>
            <w:bookmarkEnd w:id="857"/>
            <w:r/>
            <w:bookmarkEnd w:id="858"/>
            <w:r/>
            <w:r/>
          </w:p>
        </w:tc>
      </w:tr>
      <w:tr>
        <w:trPr/>
        <w:tc>
          <w:tcPr>
            <w:tcW w:w="432" w:type="pct"/>
            <w:vAlign w:val="center"/>
            <w:textDirection w:val="lrTb"/>
            <w:noWrap w:val="false"/>
          </w:tcPr>
          <w:p>
            <w:pPr>
              <w:jc w:val="center"/>
              <w:rPr>
                <w:rFonts w:hint="eastAsia" w:ascii="宋体" w:hAnsi="宋体" w:eastAsia="宋体" w:cs="宋体"/>
                <w:b/>
                <w:color w:val="auto"/>
                <w:sz w:val="24"/>
                <w:highlight w:val="none"/>
              </w:rPr>
              <w:outlineLvl w:val="0"/>
            </w:pPr>
            <w:r/>
            <w:bookmarkStart w:id="859" w:name="_Toc1382"/>
            <w:r/>
            <w:bookmarkStart w:id="860" w:name="_Toc32270"/>
            <w:r/>
            <w:bookmarkStart w:id="861" w:name="_Toc14976"/>
            <w:r>
              <w:rPr>
                <w:rFonts w:hint="eastAsia" w:ascii="宋体" w:hAnsi="宋体" w:eastAsia="宋体" w:cs="宋体"/>
                <w:b/>
                <w:color w:val="auto"/>
                <w:sz w:val="24"/>
                <w:highlight w:val="none"/>
              </w:rPr>
              <w:t xml:space="preserve">3</w:t>
            </w:r>
            <w:bookmarkEnd w:id="859"/>
            <w:r/>
            <w:bookmarkEnd w:id="860"/>
            <w:r/>
            <w:bookmarkEnd w:id="861"/>
            <w:r/>
            <w:r/>
          </w:p>
        </w:tc>
        <w:tc>
          <w:tcPr>
            <w:tcW w:w="759" w:type="pct"/>
            <w:vAlign w:val="center"/>
            <w:textDirection w:val="lrTb"/>
            <w:noWrap w:val="false"/>
          </w:tcPr>
          <w:p>
            <w:pPr>
              <w:jc w:val="center"/>
              <w:rPr>
                <w:rFonts w:hint="eastAsia" w:ascii="宋体" w:hAnsi="宋体" w:eastAsia="宋体" w:cs="宋体"/>
                <w:b/>
                <w:color w:val="auto"/>
                <w:sz w:val="24"/>
                <w:highlight w:val="none"/>
              </w:rPr>
              <w:outlineLvl w:val="0"/>
            </w:pPr>
            <w:r/>
            <w:bookmarkStart w:id="862" w:name="_Toc15963"/>
            <w:r/>
            <w:bookmarkStart w:id="863" w:name="_Toc19028"/>
            <w:r/>
            <w:bookmarkStart w:id="864" w:name="_Toc5580"/>
            <w:r>
              <w:rPr>
                <w:rFonts w:hint="eastAsia" w:ascii="宋体" w:hAnsi="宋体" w:eastAsia="宋体" w:cs="宋体"/>
                <w:b/>
                <w:color w:val="auto"/>
                <w:sz w:val="24"/>
                <w:highlight w:val="none"/>
              </w:rPr>
              <w:t xml:space="preserve">客观分</w:t>
            </w:r>
            <w:bookmarkEnd w:id="862"/>
            <w:r/>
            <w:bookmarkEnd w:id="863"/>
            <w:r/>
            <w:bookmarkEnd w:id="864"/>
            <w:r/>
            <w:r/>
          </w:p>
        </w:tc>
        <w:tc>
          <w:tcPr>
            <w:tcW w:w="474" w:type="pct"/>
            <w:vAlign w:val="center"/>
            <w:textDirection w:val="lrTb"/>
            <w:noWrap w:val="false"/>
          </w:tcPr>
          <w:p>
            <w:pPr>
              <w:jc w:val="center"/>
              <w:rPr>
                <w:rFonts w:hint="eastAsia" w:ascii="宋体" w:hAnsi="宋体" w:eastAsia="宋体" w:cs="宋体"/>
                <w:b/>
                <w:color w:val="auto"/>
                <w:sz w:val="24"/>
                <w:highlight w:val="none"/>
              </w:rPr>
              <w:outlineLvl w:val="0"/>
            </w:pPr>
            <w:r/>
            <w:bookmarkStart w:id="865" w:name="_Toc17453"/>
            <w:r/>
            <w:bookmarkStart w:id="866" w:name="_Toc17411"/>
            <w:r/>
            <w:bookmarkStart w:id="867" w:name="_Toc25604"/>
            <w:r>
              <w:rPr>
                <w:rFonts w:hint="eastAsia" w:ascii="宋体" w:hAnsi="宋体" w:cs="宋体"/>
                <w:b/>
                <w:color w:val="auto"/>
                <w:sz w:val="24"/>
                <w:highlight w:val="none"/>
                <w:lang w:val="en-US" w:eastAsia="zh-CN"/>
              </w:rPr>
              <w:t xml:space="preserve">46</w:t>
            </w:r>
            <w:r>
              <w:rPr>
                <w:rFonts w:hint="eastAsia" w:ascii="宋体" w:hAnsi="宋体" w:eastAsia="宋体" w:cs="宋体"/>
                <w:b/>
                <w:color w:val="auto"/>
                <w:sz w:val="24"/>
                <w:highlight w:val="none"/>
              </w:rPr>
              <w:t xml:space="preserve">分</w:t>
            </w:r>
            <w:bookmarkEnd w:id="865"/>
            <w:r/>
            <w:bookmarkEnd w:id="866"/>
            <w:r/>
            <w:bookmarkEnd w:id="867"/>
            <w:r/>
            <w:r/>
          </w:p>
        </w:tc>
        <w:tc>
          <w:tcPr>
            <w:tcW w:w="2273" w:type="pct"/>
            <w:vAlign w:val="center"/>
            <w:textDirection w:val="lrTb"/>
            <w:noWrap w:val="false"/>
          </w:tcPr>
          <w:p>
            <w:pPr>
              <w:jc w:val="both"/>
              <w:keepLines w:val="0"/>
              <w:keepNext w:val="0"/>
              <w:pageBreakBefore w:val="0"/>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tc>
        <w:tc>
          <w:tcPr>
            <w:tcW w:w="1059" w:type="pct"/>
            <w:vAlign w:val="center"/>
            <w:textDirection w:val="lrTb"/>
            <w:noWrap w:val="false"/>
          </w:tcPr>
          <w:p>
            <w:pPr>
              <w:jc w:val="center"/>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tc>
      </w:tr>
      <w:tr>
        <w:trPr/>
        <w:tc>
          <w:tcPr>
            <w:tcW w:w="432" w:type="pct"/>
            <w:vAlign w:val="center"/>
            <w:textDirection w:val="lrTb"/>
            <w:noWrap w:val="false"/>
          </w:tcPr>
          <w:p>
            <w:pPr>
              <w:jc w:val="center"/>
              <w:rPr>
                <w:rFonts w:hint="eastAsia" w:ascii="宋体" w:hAnsi="宋体" w:eastAsia="宋体" w:cs="宋体"/>
                <w:color w:val="auto"/>
                <w:sz w:val="24"/>
                <w:highlight w:val="none"/>
              </w:rPr>
              <w:outlineLvl w:val="0"/>
            </w:pPr>
            <w:r/>
            <w:bookmarkStart w:id="868" w:name="_Toc31968"/>
            <w:r/>
            <w:bookmarkStart w:id="869" w:name="_Toc27192"/>
            <w:r/>
            <w:bookmarkStart w:id="870" w:name="_Toc32339"/>
            <w:r>
              <w:rPr>
                <w:rFonts w:hint="eastAsia" w:ascii="宋体" w:hAnsi="宋体" w:eastAsia="宋体" w:cs="宋体"/>
                <w:color w:val="auto"/>
                <w:sz w:val="24"/>
                <w:highlight w:val="none"/>
              </w:rPr>
              <w:t xml:space="preserve">3.1</w:t>
            </w:r>
            <w:bookmarkEnd w:id="868"/>
            <w:r/>
            <w:bookmarkEnd w:id="869"/>
            <w:r/>
            <w:bookmarkEnd w:id="870"/>
            <w:r/>
            <w:r/>
          </w:p>
        </w:tc>
        <w:tc>
          <w:tcPr>
            <w:tcW w:w="759" w:type="pct"/>
            <w:vAlign w:val="center"/>
            <w:textDirection w:val="lrTb"/>
            <w:noWrap w:val="false"/>
          </w:tcPr>
          <w:p>
            <w:pPr>
              <w:jc w:val="center"/>
              <w:rPr>
                <w:rFonts w:hint="eastAsia" w:ascii="宋体" w:hAnsi="宋体" w:eastAsia="宋体" w:cs="宋体"/>
                <w:color w:val="auto"/>
                <w:spacing w:val="-2"/>
                <w:sz w:val="24"/>
                <w:highlight w:val="none"/>
              </w:rPr>
              <w:outlineLvl w:val="0"/>
            </w:pPr>
            <w:r/>
            <w:bookmarkStart w:id="871" w:name="_Toc25206"/>
            <w:r/>
            <w:bookmarkStart w:id="872" w:name="_Toc29054"/>
            <w:r/>
            <w:bookmarkStart w:id="873" w:name="_Toc11712"/>
            <w:r>
              <w:rPr>
                <w:rFonts w:hint="eastAsia" w:ascii="宋体" w:hAnsi="宋体" w:eastAsia="宋体" w:cs="宋体"/>
                <w:color w:val="auto"/>
                <w:spacing w:val="-1"/>
                <w:sz w:val="24"/>
                <w:highlight w:val="none"/>
              </w:rPr>
              <w:t xml:space="preserve">拟投入项目</w:t>
            </w:r>
            <w:r>
              <w:rPr>
                <w:rFonts w:hint="eastAsia" w:ascii="宋体" w:hAnsi="宋体" w:cs="宋体"/>
                <w:color w:val="auto"/>
                <w:spacing w:val="-1"/>
                <w:sz w:val="24"/>
                <w:highlight w:val="none"/>
                <w:lang w:val="en-US" w:eastAsia="zh-CN"/>
              </w:rPr>
              <w:t xml:space="preserve">负责人</w:t>
            </w:r>
            <w:r>
              <w:rPr>
                <w:rFonts w:hint="eastAsia" w:ascii="宋体" w:hAnsi="宋体" w:eastAsia="宋体" w:cs="宋体"/>
                <w:color w:val="auto"/>
                <w:spacing w:val="-2"/>
                <w:sz w:val="24"/>
                <w:highlight w:val="none"/>
              </w:rPr>
              <w:t xml:space="preserve">资历</w:t>
            </w:r>
            <w:bookmarkEnd w:id="871"/>
            <w:r/>
            <w:bookmarkEnd w:id="872"/>
            <w:r/>
            <w:bookmarkEnd w:id="873"/>
            <w:r/>
            <w:r/>
          </w:p>
        </w:tc>
        <w:tc>
          <w:tcPr>
            <w:tcW w:w="474" w:type="pct"/>
            <w:vAlign w:val="center"/>
            <w:textDirection w:val="lrTb"/>
            <w:noWrap w:val="false"/>
          </w:tcPr>
          <w:p>
            <w:pPr>
              <w:jc w:val="center"/>
              <w:rPr>
                <w:rFonts w:hint="eastAsia" w:ascii="宋体" w:hAnsi="宋体" w:eastAsia="宋体" w:cs="宋体"/>
                <w:color w:val="auto"/>
                <w:spacing w:val="-2"/>
                <w:sz w:val="24"/>
                <w:highlight w:val="none"/>
              </w:rPr>
              <w:outlineLvl w:val="0"/>
            </w:pPr>
            <w:r/>
            <w:bookmarkStart w:id="874" w:name="_Toc30760"/>
            <w:r/>
            <w:bookmarkStart w:id="875" w:name="_Toc2215"/>
            <w:r/>
            <w:bookmarkStart w:id="876" w:name="_Toc18190"/>
            <w:r>
              <w:rPr>
                <w:rFonts w:hint="eastAsia" w:ascii="宋体" w:hAnsi="宋体" w:cs="宋体"/>
                <w:color w:val="auto"/>
                <w:spacing w:val="-2"/>
                <w:sz w:val="24"/>
                <w:highlight w:val="none"/>
                <w:lang w:val="en-US" w:eastAsia="zh-CN"/>
              </w:rPr>
              <w:t xml:space="preserve">6</w:t>
            </w:r>
            <w:r>
              <w:rPr>
                <w:rFonts w:hint="eastAsia" w:ascii="宋体" w:hAnsi="宋体" w:eastAsia="宋体" w:cs="宋体"/>
                <w:color w:val="auto"/>
                <w:spacing w:val="-2"/>
                <w:sz w:val="24"/>
                <w:highlight w:val="none"/>
              </w:rPr>
              <w:t xml:space="preserve">分</w:t>
            </w:r>
            <w:bookmarkEnd w:id="874"/>
            <w:r/>
            <w:bookmarkEnd w:id="875"/>
            <w:r/>
            <w:bookmarkEnd w:id="876"/>
            <w:r/>
            <w:r/>
          </w:p>
        </w:tc>
        <w:tc>
          <w:tcPr>
            <w:tcW w:w="2273" w:type="pct"/>
            <w:vAlign w:val="center"/>
            <w:textDirection w:val="lrTb"/>
            <w:noWrap w:val="false"/>
          </w:tcPr>
          <w:p>
            <w:pPr>
              <w:jc w:val="both"/>
              <w:keepLines w:val="0"/>
              <w:keepNext w:val="0"/>
              <w:pageBreakBefore w:val="0"/>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3.1.1 拟投入的项目</w:t>
            </w:r>
            <w:r>
              <w:rPr>
                <w:rFonts w:hint="eastAsia" w:ascii="宋体" w:hAnsi="宋体" w:cs="宋体"/>
                <w:color w:val="auto"/>
                <w:sz w:val="24"/>
                <w:highlight w:val="none"/>
                <w:lang w:val="en-US" w:eastAsia="zh-CN"/>
              </w:rPr>
              <w:t xml:space="preserve">负责人</w:t>
            </w:r>
            <w:r>
              <w:rPr>
                <w:rFonts w:hint="eastAsia" w:ascii="宋体" w:hAnsi="宋体" w:eastAsia="宋体" w:cs="宋体"/>
                <w:color w:val="auto"/>
                <w:sz w:val="24"/>
                <w:highlight w:val="none"/>
                <w:lang w:eastAsia="en-US"/>
              </w:rPr>
              <w:t xml:space="preserve">具有中级</w:t>
            </w:r>
            <w:r>
              <w:rPr>
                <w:rFonts w:hint="eastAsia" w:ascii="宋体" w:hAnsi="宋体" w:cs="宋体"/>
                <w:color w:val="auto"/>
                <w:sz w:val="24"/>
                <w:highlight w:val="none"/>
                <w:lang w:val="en-US" w:eastAsia="zh-CN"/>
              </w:rPr>
              <w:t xml:space="preserve">职称得1分，高级职称得2分，或具有</w:t>
            </w:r>
            <w:r>
              <w:rPr>
                <w:rFonts w:hint="eastAsia" w:ascii="宋体" w:hAnsi="宋体" w:eastAsia="宋体" w:cs="宋体"/>
                <w:color w:val="auto"/>
                <w:sz w:val="24"/>
                <w:highlight w:val="none"/>
                <w:lang w:eastAsia="en-US"/>
              </w:rPr>
              <w:t xml:space="preserve">二级</w:t>
            </w:r>
            <w:r>
              <w:rPr>
                <w:rFonts w:hint="eastAsia" w:ascii="宋体" w:hAnsi="宋体" w:cs="宋体"/>
                <w:color w:val="auto"/>
                <w:sz w:val="24"/>
                <w:highlight w:val="none"/>
                <w:lang w:val="en-US" w:eastAsia="zh-CN"/>
              </w:rPr>
              <w:t xml:space="preserve">及以上</w:t>
            </w:r>
            <w:r>
              <w:rPr>
                <w:rFonts w:hint="eastAsia" w:ascii="宋体" w:hAnsi="宋体" w:eastAsia="宋体" w:cs="宋体"/>
                <w:color w:val="auto"/>
                <w:sz w:val="24"/>
                <w:highlight w:val="none"/>
                <w:lang w:eastAsia="en-US"/>
              </w:rPr>
              <w:t xml:space="preserve">建造师</w:t>
            </w:r>
            <w:r>
              <w:rPr>
                <w:rFonts w:hint="eastAsia" w:ascii="宋体" w:hAnsi="宋体" w:cs="宋体"/>
                <w:color w:val="auto"/>
                <w:sz w:val="24"/>
                <w:highlight w:val="none"/>
                <w:lang w:val="en-US" w:eastAsia="zh-CN"/>
              </w:rPr>
              <w:t xml:space="preserve">资格证书</w:t>
            </w:r>
            <w:r>
              <w:rPr>
                <w:rFonts w:hint="eastAsia" w:ascii="宋体" w:hAnsi="宋体" w:eastAsia="宋体" w:cs="宋体"/>
                <w:color w:val="auto"/>
                <w:sz w:val="24"/>
                <w:highlight w:val="none"/>
                <w:lang w:eastAsia="en-US"/>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en-US"/>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最高得2分</w:t>
            </w:r>
            <w:r>
              <w:rPr>
                <w:rFonts w:hint="eastAsia" w:ascii="宋体" w:hAnsi="宋体" w:eastAsia="宋体" w:cs="宋体"/>
                <w:color w:val="auto"/>
                <w:sz w:val="24"/>
                <w:highlight w:val="none"/>
                <w:lang w:eastAsia="en-US"/>
              </w:rPr>
              <w:t xml:space="preserve">。</w:t>
            </w:r>
            <w:r/>
          </w:p>
          <w:p>
            <w:pPr>
              <w:jc w:val="both"/>
              <w:keepLines w:val="0"/>
              <w:keepNext w:val="0"/>
              <w:pageBreakBefore w:val="0"/>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上述职称专业要求为交通工程类或建设工程类或市政公用工程类（含园林类），园林类职称指由人社部门或其授权的单位评审的专业技术职称，如职称无法反映园林类专业，则须同时提供园林绿化类毕业证书（或学历证书）。园林绿化及相关专业：园林（含园林规划设计、园林植物、风景园林、园林绿化）、园艺、城市规划、景观、植物（含植保、森保）、风景旅游、环境艺术。</w:t>
            </w:r>
            <w:r/>
          </w:p>
          <w:p>
            <w:pPr>
              <w:jc w:val="both"/>
              <w:keepLines w:val="0"/>
              <w:keepNext w:val="0"/>
              <w:pageBreakBefore w:val="0"/>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注：</w:t>
            </w:r>
            <w:r/>
          </w:p>
          <w:p>
            <w:pPr>
              <w:jc w:val="both"/>
              <w:keepLines w:val="0"/>
              <w:keepNext w:val="0"/>
              <w:pageBreakBefore w:val="0"/>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①</w:t>
            </w:r>
            <w:r>
              <w:rPr>
                <w:rFonts w:hint="eastAsia" w:ascii="宋体" w:hAnsi="宋体" w:cs="宋体"/>
                <w:color w:val="auto"/>
                <w:spacing w:val="-2"/>
                <w:sz w:val="24"/>
                <w:highlight w:val="none"/>
                <w:lang w:eastAsia="zh-CN"/>
              </w:rPr>
              <w:t xml:space="preserve">提供</w:t>
            </w:r>
            <w:r>
              <w:rPr>
                <w:rFonts w:hint="eastAsia" w:ascii="宋体" w:hAnsi="宋体" w:cs="宋体"/>
                <w:color w:val="auto"/>
                <w:spacing w:val="-2"/>
                <w:sz w:val="24"/>
                <w:highlight w:val="none"/>
                <w:lang w:val="en-US" w:eastAsia="zh-CN"/>
              </w:rPr>
              <w:t xml:space="preserve">职称证书扫描件</w:t>
            </w:r>
            <w:r>
              <w:rPr>
                <w:rFonts w:hint="eastAsia" w:ascii="宋体" w:hAnsi="宋体" w:eastAsia="宋体" w:cs="宋体"/>
                <w:color w:val="auto"/>
                <w:sz w:val="24"/>
                <w:highlight w:val="none"/>
                <w:lang w:eastAsia="en-US"/>
              </w:rPr>
              <w:t xml:space="preserve">（如需要提供毕业证书则须同时提供毕业证书扫描件）</w:t>
            </w:r>
            <w:r>
              <w:rPr>
                <w:rFonts w:hint="eastAsia" w:ascii="宋体" w:hAnsi="宋体" w:cs="宋体"/>
                <w:color w:val="auto"/>
                <w:spacing w:val="-2"/>
                <w:sz w:val="24"/>
                <w:highlight w:val="none"/>
                <w:lang w:val="en-US" w:eastAsia="zh-CN"/>
              </w:rPr>
              <w:t xml:space="preserve">，扫描件必须清晰可辨，且有官方渠道</w:t>
            </w:r>
            <w:r>
              <w:rPr>
                <w:rFonts w:hint="eastAsia" w:ascii="宋体" w:hAnsi="宋体" w:cs="宋体"/>
                <w:color w:val="auto"/>
                <w:spacing w:val="-2"/>
                <w:sz w:val="24"/>
                <w:highlight w:val="none"/>
                <w:lang w:eastAsia="zh-CN"/>
              </w:rPr>
              <w:t xml:space="preserve">查询截图。</w:t>
            </w:r>
            <w:r/>
          </w:p>
          <w:p>
            <w:pPr>
              <w:jc w:val="both"/>
              <w:keepLines w:val="0"/>
              <w:keepNext w:val="0"/>
              <w:pageBreakBefore w:val="0"/>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②202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en-US"/>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en-US"/>
              </w:rPr>
              <w:t xml:space="preserve">月1日以来投标人为其任意1个月缴纳的社会保险的证明扫描件</w:t>
            </w:r>
            <w:r>
              <w:rPr>
                <w:rFonts w:hint="eastAsia" w:ascii="宋体" w:hAnsi="宋体" w:cs="宋体"/>
                <w:b/>
                <w:bCs/>
                <w:color w:val="auto"/>
                <w:sz w:val="24"/>
                <w:highlight w:val="none"/>
                <w:lang w:val="en-US" w:eastAsia="zh-CN"/>
              </w:rPr>
              <w:t xml:space="preserve">（缴费证明内容需含起止时间、缴费单位、缴费人员姓名并由社保机构加盖缴费证明专用章，社保机构官网上打印件与线下的盖章件具有同等效力，缴费单位与投标人名称一致）</w:t>
            </w:r>
            <w:r>
              <w:rPr>
                <w:rFonts w:hint="eastAsia" w:ascii="宋体" w:hAnsi="宋体" w:eastAsia="宋体" w:cs="宋体"/>
                <w:color w:val="auto"/>
                <w:sz w:val="24"/>
                <w:highlight w:val="none"/>
                <w:lang w:eastAsia="en-US"/>
              </w:rPr>
              <w:t xml:space="preserve">。</w:t>
            </w:r>
            <w:r/>
          </w:p>
          <w:p>
            <w:pPr>
              <w:jc w:val="both"/>
              <w:keepLines w:val="0"/>
              <w:keepNext w:val="0"/>
              <w:pageBreakBefore w:val="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en-US"/>
              </w:rPr>
              <w:t xml:space="preserve">③提供《拟投入</w:t>
            </w:r>
            <w:r>
              <w:rPr>
                <w:rFonts w:hint="eastAsia" w:ascii="宋体" w:hAnsi="宋体" w:cs="宋体"/>
                <w:color w:val="auto"/>
                <w:sz w:val="24"/>
                <w:highlight w:val="none"/>
                <w:lang w:eastAsia="zh-CN"/>
              </w:rPr>
              <w:t xml:space="preserve">项目负责人</w:t>
            </w:r>
            <w:r>
              <w:rPr>
                <w:rFonts w:hint="eastAsia" w:ascii="宋体" w:hAnsi="宋体" w:eastAsia="宋体" w:cs="宋体"/>
                <w:color w:val="auto"/>
                <w:sz w:val="24"/>
                <w:highlight w:val="none"/>
                <w:lang w:eastAsia="en-US"/>
              </w:rPr>
              <w:t xml:space="preserve">资历一览表》</w:t>
            </w:r>
            <w:r>
              <w:rPr>
                <w:rFonts w:hint="eastAsia" w:ascii="宋体" w:hAnsi="宋体" w:eastAsia="宋体" w:cs="宋体"/>
                <w:color w:val="auto"/>
                <w:sz w:val="24"/>
                <w:highlight w:val="none"/>
              </w:rPr>
              <w:t xml:space="preserve">。</w:t>
            </w:r>
            <w:r/>
          </w:p>
          <w:p>
            <w:pPr>
              <w:jc w:val="both"/>
              <w:keepLines w:val="0"/>
              <w:keepNext w:val="0"/>
              <w:pageBreakBefore w:val="0"/>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3.1.2 拟投入的</w:t>
            </w:r>
            <w:r>
              <w:rPr>
                <w:rFonts w:hint="eastAsia" w:ascii="宋体" w:hAnsi="宋体" w:cs="宋体"/>
                <w:color w:val="auto"/>
                <w:sz w:val="24"/>
                <w:highlight w:val="none"/>
                <w:lang w:eastAsia="zh-CN"/>
              </w:rPr>
              <w:t xml:space="preserve">项目负责人</w:t>
            </w:r>
            <w:r>
              <w:rPr>
                <w:rFonts w:hint="eastAsia" w:ascii="宋体" w:hAnsi="宋体" w:eastAsia="宋体" w:cs="宋体"/>
                <w:color w:val="auto"/>
                <w:sz w:val="24"/>
                <w:highlight w:val="none"/>
                <w:lang w:eastAsia="en-US"/>
              </w:rPr>
              <w:t xml:space="preserve">在</w:t>
            </w:r>
            <w:r>
              <w:rPr>
                <w:rFonts w:hint="eastAsia" w:ascii="宋体" w:hAnsi="宋体" w:cs="宋体"/>
                <w:color w:val="auto"/>
                <w:sz w:val="24"/>
                <w:highlight w:val="none"/>
                <w:lang w:val="en-US" w:eastAsia="zh-CN"/>
              </w:rPr>
              <w:t xml:space="preserve">2023年</w:t>
            </w:r>
            <w:r>
              <w:rPr>
                <w:rFonts w:hint="eastAsia" w:ascii="宋体" w:hAnsi="宋体"/>
                <w:color w:val="auto"/>
                <w:sz w:val="24"/>
                <w:highlight w:val="none"/>
              </w:rPr>
              <w:t xml:space="preserve">10月1日</w:t>
            </w:r>
            <w:r>
              <w:rPr>
                <w:rFonts w:hint="eastAsia" w:ascii="宋体" w:hAnsi="宋体" w:eastAsia="宋体" w:cs="宋体"/>
                <w:color w:val="auto"/>
                <w:sz w:val="24"/>
                <w:highlight w:val="none"/>
                <w:lang w:eastAsia="en-US"/>
              </w:rPr>
              <w:t xml:space="preserve">至今已完成一个绿化养护项目。每有1个得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en-US"/>
              </w:rPr>
              <w:t xml:space="preserve">分，最多得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eastAsia="en-US"/>
              </w:rPr>
              <w:t xml:space="preserve">分。</w:t>
            </w:r>
            <w:r/>
          </w:p>
          <w:p>
            <w:pPr>
              <w:jc w:val="both"/>
              <w:keepLines w:val="0"/>
              <w:keepNext w:val="0"/>
              <w:pageBreakBefore w:val="0"/>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注：</w:t>
            </w:r>
            <w:r/>
          </w:p>
          <w:p>
            <w:pPr>
              <w:jc w:val="both"/>
              <w:keepLines w:val="0"/>
              <w:keepNext w:val="0"/>
              <w:pageBreakBefore w:val="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en-US"/>
              </w:rPr>
              <w:t xml:space="preserve">①提供中标通知书及合同扫描件，时间以合同载明的</w:t>
            </w:r>
            <w:r>
              <w:rPr>
                <w:rFonts w:hint="eastAsia" w:ascii="宋体" w:hAnsi="宋体" w:cs="宋体"/>
                <w:color w:val="auto"/>
                <w:sz w:val="24"/>
                <w:highlight w:val="none"/>
                <w:lang w:val="en-US" w:eastAsia="zh-CN"/>
              </w:rPr>
              <w:t xml:space="preserve">完工时间</w:t>
            </w:r>
            <w:r>
              <w:rPr>
                <w:rFonts w:hint="eastAsia" w:ascii="宋体" w:hAnsi="宋体" w:eastAsia="宋体" w:cs="宋体"/>
                <w:color w:val="auto"/>
                <w:sz w:val="24"/>
                <w:highlight w:val="none"/>
                <w:lang w:eastAsia="en-US"/>
              </w:rPr>
              <w:t xml:space="preserve">为准，合同中不能清晰载明的，则另需提供业绩采购人的书面证明（格式自拟）。提供的中标（成交） 通知书扫描件（以项目当地行政主管部门或其授权职能部门或公共资源交易中心或政府采购中心或政府采购代理机构</w:t>
            </w:r>
            <w:r>
              <w:rPr>
                <w:rFonts w:hint="eastAsia" w:ascii="宋体" w:hAnsi="宋体" w:cs="宋体"/>
                <w:color w:val="auto"/>
                <w:sz w:val="24"/>
                <w:highlight w:val="none"/>
                <w:lang w:val="en-US" w:eastAsia="zh-CN"/>
              </w:rPr>
              <w:t xml:space="preserve">或采购人</w:t>
            </w:r>
            <w:r>
              <w:rPr>
                <w:rFonts w:hint="eastAsia" w:ascii="宋体" w:hAnsi="宋体" w:eastAsia="宋体" w:cs="宋体"/>
                <w:color w:val="auto"/>
                <w:sz w:val="24"/>
                <w:highlight w:val="none"/>
                <w:lang w:eastAsia="en-US"/>
              </w:rPr>
              <w:t xml:space="preserve">签发的为准）</w:t>
            </w:r>
            <w:r>
              <w:rPr>
                <w:rFonts w:hint="eastAsia" w:ascii="宋体" w:hAnsi="宋体" w:eastAsia="宋体" w:cs="宋体"/>
                <w:color w:val="auto"/>
                <w:sz w:val="24"/>
                <w:highlight w:val="none"/>
              </w:rPr>
              <w:t xml:space="preserve">。</w:t>
            </w:r>
            <w:r/>
          </w:p>
          <w:p>
            <w:pPr>
              <w:jc w:val="both"/>
              <w:keepLines w:val="0"/>
              <w:keepNext w:val="0"/>
              <w:pageBreakBefore w:val="0"/>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②</w:t>
            </w:r>
            <w:r>
              <w:rPr>
                <w:rFonts w:hint="eastAsia" w:ascii="宋体" w:hAnsi="宋体"/>
                <w:color w:val="auto"/>
                <w:sz w:val="24"/>
                <w:highlight w:val="none"/>
              </w:rPr>
              <w:t xml:space="preserve">同一业主单位同一项目（同一中标通知书）在连续年度续签的合同，仅按一份合同计算。</w:t>
            </w:r>
            <w:r/>
          </w:p>
          <w:p>
            <w:pPr>
              <w:jc w:val="both"/>
              <w:keepLines w:val="0"/>
              <w:keepNext w:val="0"/>
              <w:pageBreakBefore w:val="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en-US"/>
              </w:rPr>
              <w:t xml:space="preserve">③拟投入的本次项目</w:t>
            </w:r>
            <w:r>
              <w:rPr>
                <w:rFonts w:hint="eastAsia" w:ascii="宋体" w:hAnsi="宋体" w:cs="宋体"/>
                <w:color w:val="auto"/>
                <w:sz w:val="24"/>
                <w:highlight w:val="none"/>
                <w:lang w:val="en-US" w:eastAsia="zh-CN"/>
              </w:rPr>
              <w:t xml:space="preserve">负责人</w:t>
            </w:r>
            <w:r>
              <w:rPr>
                <w:rFonts w:hint="eastAsia" w:ascii="宋体" w:hAnsi="宋体" w:eastAsia="宋体" w:cs="宋体"/>
                <w:color w:val="auto"/>
                <w:sz w:val="24"/>
                <w:highlight w:val="none"/>
                <w:lang w:eastAsia="en-US"/>
              </w:rPr>
              <w:t xml:space="preserve">在上述提供的业绩资料中必须为</w:t>
            </w:r>
            <w:r>
              <w:rPr>
                <w:rFonts w:hint="eastAsia" w:ascii="宋体" w:hAnsi="宋体" w:cs="宋体"/>
                <w:color w:val="auto"/>
                <w:sz w:val="24"/>
                <w:highlight w:val="none"/>
                <w:lang w:eastAsia="zh-CN"/>
              </w:rPr>
              <w:t xml:space="preserve">项目负责人</w:t>
            </w:r>
            <w:r>
              <w:rPr>
                <w:rFonts w:hint="eastAsia" w:ascii="宋体" w:hAnsi="宋体" w:eastAsia="宋体" w:cs="宋体"/>
                <w:color w:val="auto"/>
                <w:sz w:val="24"/>
                <w:highlight w:val="none"/>
                <w:lang w:eastAsia="en-US"/>
              </w:rPr>
              <w:t xml:space="preserve">或项目总工或技术负责人（均不含副职）</w:t>
            </w:r>
            <w:r>
              <w:rPr>
                <w:rFonts w:hint="eastAsia" w:ascii="宋体" w:hAnsi="宋体" w:eastAsia="宋体" w:cs="宋体"/>
                <w:color w:val="auto"/>
                <w:sz w:val="24"/>
                <w:highlight w:val="none"/>
              </w:rPr>
              <w:t xml:space="preserve">。</w:t>
            </w:r>
            <w:r/>
          </w:p>
          <w:p>
            <w:pPr>
              <w:jc w:val="both"/>
              <w:keepLines w:val="0"/>
              <w:keepNext w:val="0"/>
              <w:pageBreakBefore w:val="0"/>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lang w:eastAsia="en-US"/>
              </w:rPr>
              <w:t xml:space="preserve">④项目</w:t>
            </w:r>
            <w:r>
              <w:rPr>
                <w:rFonts w:hint="eastAsia" w:ascii="宋体" w:hAnsi="宋体" w:cs="宋体"/>
                <w:color w:val="auto"/>
                <w:sz w:val="24"/>
                <w:highlight w:val="none"/>
                <w:lang w:val="en-US" w:eastAsia="zh-CN"/>
              </w:rPr>
              <w:t xml:space="preserve">负责人</w:t>
            </w:r>
            <w:r>
              <w:rPr>
                <w:rFonts w:hint="eastAsia" w:ascii="宋体" w:hAnsi="宋体" w:eastAsia="宋体" w:cs="宋体"/>
                <w:color w:val="auto"/>
                <w:spacing w:val="-2"/>
                <w:sz w:val="24"/>
                <w:highlight w:val="none"/>
                <w:lang w:eastAsia="en-US"/>
              </w:rPr>
              <w:t xml:space="preserve">业绩必须是投标供应商的业绩，否则该业绩无效</w:t>
            </w:r>
            <w:r>
              <w:rPr>
                <w:rFonts w:hint="eastAsia" w:ascii="宋体" w:hAnsi="宋体" w:eastAsia="宋体" w:cs="宋体"/>
                <w:color w:val="auto"/>
                <w:spacing w:val="-2"/>
                <w:sz w:val="24"/>
                <w:highlight w:val="none"/>
              </w:rPr>
              <w:t xml:space="preserve">。</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⑤如上述材料中不能反映项目</w:t>
            </w:r>
            <w:r>
              <w:rPr>
                <w:rFonts w:hint="eastAsia" w:ascii="宋体" w:hAnsi="宋体" w:cs="宋体"/>
                <w:color w:val="auto"/>
                <w:sz w:val="24"/>
                <w:highlight w:val="none"/>
                <w:lang w:val="en-US" w:eastAsia="zh-CN"/>
              </w:rPr>
              <w:t xml:space="preserve">负责人</w:t>
            </w:r>
            <w:r>
              <w:rPr>
                <w:rFonts w:hint="eastAsia" w:ascii="宋体" w:hAnsi="宋体" w:eastAsia="宋体" w:cs="宋体"/>
                <w:color w:val="auto"/>
                <w:spacing w:val="-2"/>
                <w:sz w:val="24"/>
                <w:highlight w:val="none"/>
                <w:lang w:eastAsia="en-US"/>
              </w:rPr>
              <w:t xml:space="preserve">在业绩中所担任职务指标的，则还应提供有效的相关业主证明材料扫描件。</w:t>
            </w:r>
            <w:r/>
          </w:p>
          <w:p>
            <w:pPr>
              <w:jc w:val="both"/>
              <w:keepLines w:val="0"/>
              <w:keepNext w:val="0"/>
              <w:pageBreakBefore w:val="0"/>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lang w:eastAsia="en-US"/>
              </w:rPr>
              <w:t xml:space="preserve">⑥本项所指绿化养护项目，不含单位附属绿地、居住区附属绿地、生产绿地、防护绿地、山林绿化，以及绿化施工和绿化施工完成后缺陷责任期内的绿化养护</w:t>
            </w:r>
            <w:r>
              <w:rPr>
                <w:rFonts w:hint="eastAsia" w:ascii="宋体" w:hAnsi="宋体" w:eastAsia="宋体" w:cs="宋体"/>
                <w:color w:val="auto"/>
                <w:spacing w:val="-2"/>
                <w:sz w:val="24"/>
                <w:highlight w:val="none"/>
              </w:rPr>
              <w:t xml:space="preserve">。</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⑦提供《项目</w:t>
            </w:r>
            <w:r>
              <w:rPr>
                <w:rFonts w:hint="eastAsia" w:ascii="宋体" w:hAnsi="宋体" w:cs="宋体"/>
                <w:color w:val="auto"/>
                <w:sz w:val="24"/>
                <w:highlight w:val="none"/>
                <w:lang w:val="en-US" w:eastAsia="zh-CN"/>
              </w:rPr>
              <w:t xml:space="preserve">负责人</w:t>
            </w:r>
            <w:r>
              <w:rPr>
                <w:rFonts w:hint="eastAsia" w:ascii="宋体" w:hAnsi="宋体" w:eastAsia="宋体" w:cs="宋体"/>
                <w:color w:val="auto"/>
                <w:spacing w:val="-2"/>
                <w:sz w:val="24"/>
                <w:highlight w:val="none"/>
                <w:lang w:eastAsia="en-US"/>
              </w:rPr>
              <w:t xml:space="preserve">业绩一览表》</w:t>
            </w:r>
            <w:r>
              <w:rPr>
                <w:rFonts w:hint="eastAsia" w:ascii="宋体" w:hAnsi="宋体" w:eastAsia="宋体" w:cs="宋体"/>
                <w:color w:val="auto"/>
                <w:spacing w:val="-2"/>
                <w:sz w:val="24"/>
                <w:highlight w:val="none"/>
              </w:rPr>
              <w:t xml:space="preserve">。</w:t>
            </w:r>
            <w:r/>
          </w:p>
        </w:tc>
        <w:tc>
          <w:tcPr>
            <w:tcW w:w="1059" w:type="pct"/>
            <w:vAlign w:val="center"/>
            <w:textDirection w:val="lrTb"/>
            <w:noWrap w:val="false"/>
          </w:tcPr>
          <w:p>
            <w:pPr>
              <w:jc w:val="center"/>
              <w:rPr>
                <w:rFonts w:hint="eastAsia" w:ascii="宋体" w:hAnsi="宋体" w:eastAsia="宋体" w:cs="宋体"/>
                <w:color w:val="auto"/>
                <w:spacing w:val="-2"/>
                <w:sz w:val="24"/>
                <w:highlight w:val="none"/>
              </w:rPr>
            </w:pPr>
            <w:r>
              <w:rPr>
                <w:rFonts w:hint="eastAsia" w:ascii="宋体" w:hAnsi="宋体" w:eastAsia="宋体" w:cs="宋体"/>
                <w:color w:val="auto"/>
                <w:spacing w:val="15"/>
                <w:sz w:val="24"/>
                <w:highlight w:val="none"/>
              </w:rPr>
              <w:t xml:space="preserve">材料提供不全或未提供</w:t>
            </w:r>
            <w:r>
              <w:rPr>
                <w:rFonts w:hint="eastAsia" w:ascii="宋体" w:hAnsi="宋体" w:eastAsia="宋体" w:cs="宋体"/>
                <w:color w:val="auto"/>
                <w:spacing w:val="-8"/>
                <w:sz w:val="24"/>
                <w:highlight w:val="none"/>
              </w:rPr>
              <w:t xml:space="preserve">的不得分。</w:t>
            </w:r>
            <w:r/>
          </w:p>
        </w:tc>
      </w:tr>
      <w:tr>
        <w:trPr>
          <w:trHeight w:val="339"/>
        </w:trPr>
        <w:tc>
          <w:tcPr>
            <w:tcW w:w="432" w:type="pct"/>
            <w:vAlign w:val="center"/>
            <w:textDirection w:val="lrTb"/>
            <w:noWrap w:val="false"/>
          </w:tcPr>
          <w:p>
            <w:pPr>
              <w:jc w:val="center"/>
              <w:rPr>
                <w:rFonts w:hint="eastAsia" w:ascii="宋体" w:hAnsi="宋体" w:eastAsia="宋体" w:cs="宋体"/>
                <w:color w:val="auto"/>
                <w:spacing w:val="-2"/>
                <w:sz w:val="24"/>
                <w:highlight w:val="none"/>
              </w:rPr>
              <w:outlineLvl w:val="0"/>
            </w:pPr>
            <w:r/>
            <w:bookmarkStart w:id="877" w:name="_Toc214"/>
            <w:r/>
            <w:bookmarkStart w:id="878" w:name="_Toc11307"/>
            <w:r/>
            <w:bookmarkStart w:id="879" w:name="_Toc7905"/>
            <w:r>
              <w:rPr>
                <w:rFonts w:hint="eastAsia" w:ascii="宋体" w:hAnsi="宋体" w:eastAsia="宋体" w:cs="宋体"/>
                <w:color w:val="auto"/>
                <w:spacing w:val="-2"/>
                <w:sz w:val="24"/>
                <w:highlight w:val="none"/>
              </w:rPr>
              <w:t xml:space="preserve">3.2</w:t>
            </w:r>
            <w:bookmarkEnd w:id="877"/>
            <w:r/>
            <w:bookmarkEnd w:id="878"/>
            <w:r/>
            <w:bookmarkEnd w:id="879"/>
            <w:r/>
            <w:r/>
          </w:p>
        </w:tc>
        <w:tc>
          <w:tcPr>
            <w:tcW w:w="759" w:type="pct"/>
            <w:vAlign w:val="center"/>
            <w:textDirection w:val="lrTb"/>
            <w:noWrap w:val="false"/>
          </w:tcPr>
          <w:p>
            <w:pPr>
              <w:jc w:val="center"/>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拟投入项目</w:t>
            </w:r>
            <w:r/>
          </w:p>
          <w:p>
            <w:pPr>
              <w:jc w:val="center"/>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组成员的配</w:t>
            </w:r>
            <w:r/>
          </w:p>
          <w:p>
            <w:pPr>
              <w:jc w:val="center"/>
              <w:rPr>
                <w:rFonts w:hint="eastAsia" w:ascii="宋体" w:hAnsi="宋体" w:eastAsia="宋体" w:cs="宋体"/>
                <w:color w:val="auto"/>
                <w:spacing w:val="-2"/>
                <w:sz w:val="24"/>
                <w:highlight w:val="none"/>
              </w:rPr>
            </w:pPr>
            <w:r>
              <w:rPr>
                <w:rFonts w:hint="eastAsia" w:ascii="宋体" w:hAnsi="宋体" w:eastAsia="宋体" w:cs="宋体"/>
                <w:color w:val="auto"/>
                <w:sz w:val="24"/>
                <w:highlight w:val="none"/>
                <w:lang w:eastAsia="en-US"/>
              </w:rPr>
              <w:t xml:space="preserve">备</w:t>
            </w:r>
            <w:r/>
          </w:p>
        </w:tc>
        <w:tc>
          <w:tcPr>
            <w:tcW w:w="474" w:type="pct"/>
            <w:vAlign w:val="center"/>
            <w:textDirection w:val="lrTb"/>
            <w:noWrap w:val="false"/>
          </w:tcPr>
          <w:p>
            <w:pPr>
              <w:jc w:val="center"/>
              <w:rPr>
                <w:rFonts w:hint="eastAsia" w:ascii="宋体" w:hAnsi="宋体" w:eastAsia="宋体" w:cs="宋体"/>
                <w:color w:val="auto"/>
                <w:spacing w:val="-2"/>
                <w:sz w:val="24"/>
                <w:highlight w:val="none"/>
              </w:rPr>
              <w:outlineLvl w:val="0"/>
            </w:pPr>
            <w:r/>
            <w:bookmarkStart w:id="880" w:name="_Toc436"/>
            <w:r/>
            <w:bookmarkStart w:id="881" w:name="_Toc30420"/>
            <w:r/>
            <w:bookmarkStart w:id="882" w:name="_Toc3348"/>
            <w:r>
              <w:rPr>
                <w:rFonts w:hint="eastAsia" w:ascii="宋体" w:hAnsi="宋体" w:cs="宋体"/>
                <w:color w:val="auto"/>
                <w:spacing w:val="-2"/>
                <w:sz w:val="24"/>
                <w:highlight w:val="none"/>
                <w:lang w:val="en-US" w:eastAsia="zh-CN"/>
              </w:rPr>
              <w:t xml:space="preserve">8</w:t>
            </w:r>
            <w:r>
              <w:rPr>
                <w:rFonts w:hint="eastAsia" w:ascii="宋体" w:hAnsi="宋体" w:eastAsia="宋体" w:cs="宋体"/>
                <w:color w:val="auto"/>
                <w:spacing w:val="-2"/>
                <w:sz w:val="24"/>
                <w:highlight w:val="none"/>
              </w:rPr>
              <w:t xml:space="preserve">分</w:t>
            </w:r>
            <w:bookmarkEnd w:id="880"/>
            <w:r/>
            <w:bookmarkEnd w:id="881"/>
            <w:r/>
            <w:bookmarkEnd w:id="882"/>
            <w:r/>
            <w:r/>
          </w:p>
        </w:tc>
        <w:tc>
          <w:tcPr>
            <w:tcW w:w="2273" w:type="pct"/>
            <w:vAlign w:val="center"/>
            <w:textDirection w:val="lrTb"/>
            <w:noWrap w:val="false"/>
          </w:tcPr>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3.2.1 </w:t>
            </w:r>
            <w:r>
              <w:rPr>
                <w:rFonts w:hint="eastAsia" w:ascii="宋体" w:hAnsi="宋体" w:cs="宋体"/>
                <w:color w:val="auto"/>
                <w:spacing w:val="-2"/>
                <w:sz w:val="24"/>
                <w:highlight w:val="none"/>
                <w:lang w:val="en-US" w:eastAsia="zh-CN"/>
              </w:rPr>
              <w:t xml:space="preserve">满足第五章采购需求“</w:t>
            </w:r>
            <w:r>
              <w:rPr>
                <w:rFonts w:hint="eastAsia" w:ascii="宋体" w:hAnsi="宋体" w:eastAsia="宋体" w:cs="宋体"/>
                <w:color w:val="auto"/>
                <w:spacing w:val="-2"/>
                <w:sz w:val="24"/>
                <w:highlight w:val="none"/>
                <w:lang w:eastAsia="en-US"/>
              </w:rPr>
              <w:t xml:space="preserve">各包段最低配备项目团队人员要求</w:t>
            </w:r>
            <w:r>
              <w:rPr>
                <w:rFonts w:hint="eastAsia" w:ascii="宋体" w:hAnsi="宋体" w:cs="宋体"/>
                <w:color w:val="auto"/>
                <w:spacing w:val="-2"/>
                <w:sz w:val="24"/>
                <w:highlight w:val="none"/>
                <w:lang w:val="en-US" w:eastAsia="zh-CN"/>
              </w:rPr>
              <w:t xml:space="preserve">”中专职安全员人数的基础上，每增加1名专职</w:t>
            </w:r>
            <w:r>
              <w:rPr>
                <w:rFonts w:hint="eastAsia" w:ascii="宋体" w:hAnsi="宋体" w:eastAsia="宋体" w:cs="宋体"/>
                <w:color w:val="auto"/>
                <w:spacing w:val="-2"/>
                <w:sz w:val="24"/>
                <w:highlight w:val="none"/>
                <w:lang w:eastAsia="en-US"/>
              </w:rPr>
              <w:t xml:space="preserve">安全员，得</w:t>
            </w:r>
            <w:r>
              <w:rPr>
                <w:rFonts w:hint="eastAsia" w:ascii="宋体" w:hAnsi="宋体" w:cs="宋体"/>
                <w:color w:val="auto"/>
                <w:spacing w:val="-2"/>
                <w:sz w:val="24"/>
                <w:highlight w:val="none"/>
                <w:lang w:val="en-US" w:eastAsia="zh-CN"/>
              </w:rPr>
              <w:t xml:space="preserve">2</w:t>
            </w:r>
            <w:r>
              <w:rPr>
                <w:rFonts w:hint="eastAsia" w:ascii="宋体" w:hAnsi="宋体" w:eastAsia="宋体" w:cs="宋体"/>
                <w:color w:val="auto"/>
                <w:spacing w:val="-2"/>
                <w:sz w:val="24"/>
                <w:highlight w:val="none"/>
                <w:lang w:eastAsia="en-US"/>
              </w:rPr>
              <w:t xml:space="preserve">分，最多得</w:t>
            </w:r>
            <w:r>
              <w:rPr>
                <w:rFonts w:hint="eastAsia" w:ascii="宋体" w:hAnsi="宋体" w:cs="宋体"/>
                <w:color w:val="auto"/>
                <w:spacing w:val="-2"/>
                <w:sz w:val="24"/>
                <w:highlight w:val="none"/>
                <w:lang w:val="en-US" w:eastAsia="zh-CN"/>
              </w:rPr>
              <w:t xml:space="preserve">2</w:t>
            </w:r>
            <w:r>
              <w:rPr>
                <w:rFonts w:hint="eastAsia" w:ascii="宋体" w:hAnsi="宋体" w:eastAsia="宋体" w:cs="宋体"/>
                <w:color w:val="auto"/>
                <w:spacing w:val="-2"/>
                <w:sz w:val="24"/>
                <w:highlight w:val="none"/>
                <w:lang w:eastAsia="en-US"/>
              </w:rPr>
              <w:t xml:space="preserve">分。</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注：</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①</w:t>
            </w:r>
            <w:r>
              <w:rPr>
                <w:rFonts w:hint="eastAsia" w:ascii="宋体" w:hAnsi="宋体" w:eastAsia="宋体" w:cs="宋体"/>
                <w:color w:val="auto"/>
                <w:spacing w:val="-2"/>
                <w:sz w:val="24"/>
                <w:highlight w:val="none"/>
                <w:lang w:val="en-US" w:eastAsia="en-US"/>
              </w:rPr>
              <w:t xml:space="preserve">提供</w:t>
            </w:r>
            <w:r>
              <w:rPr>
                <w:rFonts w:hint="eastAsia" w:ascii="宋体" w:hAnsi="宋体" w:cs="宋体"/>
                <w:color w:val="auto"/>
                <w:spacing w:val="-2"/>
                <w:sz w:val="24"/>
                <w:highlight w:val="none"/>
                <w:lang w:val="en-US" w:eastAsia="zh-CN"/>
              </w:rPr>
              <w:t xml:space="preserve">安全员资格证书或安全培训合格证明材料扫描件</w:t>
            </w:r>
            <w:r>
              <w:rPr>
                <w:rFonts w:hint="eastAsia" w:ascii="宋体" w:hAnsi="宋体" w:eastAsia="宋体" w:cs="宋体"/>
                <w:color w:val="auto"/>
                <w:spacing w:val="-2"/>
                <w:sz w:val="24"/>
                <w:highlight w:val="none"/>
                <w:lang w:val="zh-CN" w:eastAsia="en-US"/>
              </w:rPr>
              <w:t xml:space="preserve">。</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②提供202</w:t>
            </w:r>
            <w:r>
              <w:rPr>
                <w:rFonts w:hint="eastAsia" w:ascii="宋体" w:hAnsi="宋体" w:cs="宋体"/>
                <w:color w:val="auto"/>
                <w:spacing w:val="-2"/>
                <w:sz w:val="24"/>
                <w:highlight w:val="none"/>
                <w:lang w:val="en-US" w:eastAsia="zh-CN"/>
              </w:rPr>
              <w:t xml:space="preserve">6</w:t>
            </w:r>
            <w:r>
              <w:rPr>
                <w:rFonts w:hint="eastAsia" w:ascii="宋体" w:hAnsi="宋体" w:eastAsia="宋体" w:cs="宋体"/>
                <w:color w:val="auto"/>
                <w:spacing w:val="-2"/>
                <w:sz w:val="24"/>
                <w:highlight w:val="none"/>
                <w:lang w:eastAsia="en-US"/>
              </w:rPr>
              <w:t xml:space="preserve">年</w:t>
            </w:r>
            <w:r>
              <w:rPr>
                <w:rFonts w:hint="eastAsia" w:ascii="宋体" w:hAnsi="宋体" w:cs="宋体"/>
                <w:color w:val="auto"/>
                <w:spacing w:val="-2"/>
                <w:sz w:val="24"/>
                <w:highlight w:val="none"/>
                <w:lang w:val="en-US" w:eastAsia="zh-CN"/>
              </w:rPr>
              <w:t xml:space="preserve">5</w:t>
            </w:r>
            <w:r>
              <w:rPr>
                <w:rFonts w:hint="eastAsia" w:ascii="宋体" w:hAnsi="宋体" w:eastAsia="宋体" w:cs="宋体"/>
                <w:color w:val="auto"/>
                <w:spacing w:val="-2"/>
                <w:sz w:val="24"/>
                <w:highlight w:val="none"/>
                <w:lang w:eastAsia="en-US"/>
              </w:rPr>
              <w:t xml:space="preserve">月1日以来投标人为其任意1个月缴纳的社会保险的证明扫描件</w:t>
            </w:r>
            <w:r>
              <w:rPr>
                <w:rFonts w:hint="eastAsia" w:ascii="宋体" w:hAnsi="宋体" w:cs="宋体"/>
                <w:b/>
                <w:bCs/>
                <w:color w:val="auto"/>
                <w:sz w:val="24"/>
                <w:highlight w:val="none"/>
                <w:lang w:val="en-US" w:eastAsia="zh-CN"/>
              </w:rPr>
              <w:t xml:space="preserve">（缴费证明内容需含起止时间、缴费单位、缴费人员姓名并由社保机构加盖缴费证明专用章，社保机构官网上打印件与线下的盖章件具有同等效力，缴费单位与投标人名称一致）。</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③提供《拟投入项目组成员的配备一览表》。</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3.2.2 </w:t>
            </w:r>
            <w:r>
              <w:rPr>
                <w:rFonts w:hint="eastAsia" w:ascii="宋体" w:hAnsi="宋体" w:cs="宋体"/>
                <w:color w:val="auto"/>
                <w:spacing w:val="-2"/>
                <w:sz w:val="24"/>
                <w:highlight w:val="none"/>
                <w:lang w:val="en-US" w:eastAsia="zh-CN"/>
              </w:rPr>
              <w:t xml:space="preserve">本项目拟投入的养护人员中有</w:t>
            </w:r>
            <w:r>
              <w:rPr>
                <w:rFonts w:hint="eastAsia" w:ascii="宋体" w:hAnsi="宋体" w:eastAsia="宋体" w:cs="宋体"/>
                <w:color w:val="auto"/>
                <w:spacing w:val="-2"/>
                <w:sz w:val="24"/>
                <w:highlight w:val="none"/>
                <w:lang w:eastAsia="en-US"/>
              </w:rPr>
              <w:t xml:space="preserve">1名登高作业人员，</w:t>
            </w:r>
            <w:r>
              <w:rPr>
                <w:rFonts w:hint="eastAsia" w:ascii="宋体" w:hAnsi="宋体" w:cs="宋体"/>
                <w:color w:val="auto"/>
                <w:spacing w:val="-2"/>
                <w:sz w:val="24"/>
                <w:highlight w:val="none"/>
                <w:lang w:val="en-US" w:eastAsia="zh-CN"/>
              </w:rPr>
              <w:t xml:space="preserve">加1</w:t>
            </w:r>
            <w:r>
              <w:rPr>
                <w:rFonts w:hint="eastAsia" w:ascii="宋体" w:hAnsi="宋体" w:eastAsia="宋体" w:cs="宋体"/>
                <w:color w:val="auto"/>
                <w:spacing w:val="-2"/>
                <w:sz w:val="24"/>
                <w:highlight w:val="none"/>
                <w:lang w:eastAsia="en-US"/>
              </w:rPr>
              <w:t xml:space="preserve">分，最高</w:t>
            </w:r>
            <w:r>
              <w:rPr>
                <w:rFonts w:hint="eastAsia" w:ascii="宋体" w:hAnsi="宋体" w:cs="宋体"/>
                <w:color w:val="auto"/>
                <w:spacing w:val="-2"/>
                <w:sz w:val="24"/>
                <w:highlight w:val="none"/>
                <w:lang w:val="en-US" w:eastAsia="zh-CN"/>
              </w:rPr>
              <w:t xml:space="preserve">加2</w:t>
            </w:r>
            <w:r>
              <w:rPr>
                <w:rFonts w:hint="eastAsia" w:ascii="宋体" w:hAnsi="宋体" w:eastAsia="宋体" w:cs="宋体"/>
                <w:color w:val="auto"/>
                <w:spacing w:val="-2"/>
                <w:sz w:val="24"/>
                <w:highlight w:val="none"/>
                <w:lang w:eastAsia="en-US"/>
              </w:rPr>
              <w:t xml:space="preserve">分。</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注：</w:t>
            </w:r>
            <w:r/>
          </w:p>
          <w:p>
            <w:pPr>
              <w:jc w:val="both"/>
              <w:keepLines w:val="0"/>
              <w:keepNext w:val="0"/>
              <w:pageBreakBefore w:val="0"/>
              <w:rPr>
                <w:rFonts w:hint="eastAsia" w:ascii="宋体" w:hAnsi="宋体" w:eastAsia="宋体" w:cs="宋体"/>
                <w:color w:val="auto"/>
                <w:spacing w:val="-2"/>
                <w:sz w:val="24"/>
                <w:highlight w:val="none"/>
                <w:lang w:eastAsia="zh-CN"/>
              </w:rPr>
            </w:pPr>
            <w:r>
              <w:rPr>
                <w:rFonts w:hint="eastAsia" w:ascii="宋体" w:hAnsi="宋体" w:eastAsia="宋体" w:cs="宋体"/>
                <w:color w:val="auto"/>
                <w:spacing w:val="-2"/>
                <w:sz w:val="24"/>
                <w:highlight w:val="none"/>
                <w:lang w:eastAsia="en-US"/>
              </w:rPr>
              <w:t xml:space="preserve">①</w:t>
            </w:r>
            <w:r>
              <w:rPr>
                <w:rFonts w:hint="eastAsia" w:ascii="宋体" w:hAnsi="宋体"/>
                <w:color w:val="auto"/>
                <w:spacing w:val="-2"/>
                <w:sz w:val="24"/>
                <w:highlight w:val="none"/>
              </w:rPr>
              <w:t xml:space="preserve">提供应急管理部门颁发有效的高处安装、维护、拆除作业特种作业操作证。</w:t>
            </w:r>
            <w:r>
              <w:rPr>
                <w:rFonts w:hint="eastAsia" w:ascii="宋体" w:hAnsi="宋体"/>
                <w:color w:val="auto"/>
                <w:spacing w:val="-2"/>
                <w:sz w:val="24"/>
                <w:highlight w:val="none"/>
                <w:lang w:val="en-US" w:eastAsia="zh-CN"/>
              </w:rPr>
              <w:t xml:space="preserve">若提供旧版证书（安全监管部门颁发）的，证书需在有效期内且复审合格，否则不予认可；</w:t>
            </w:r>
            <w:r>
              <w:rPr>
                <w:rFonts w:hint="eastAsia" w:ascii="宋体" w:hAnsi="宋体" w:cs="宋体"/>
                <w:color w:val="auto"/>
                <w:spacing w:val="-2"/>
                <w:sz w:val="24"/>
                <w:highlight w:val="none"/>
                <w:lang w:val="en-US" w:eastAsia="zh-CN"/>
              </w:rPr>
              <w:t xml:space="preserve">并提供官方渠道</w:t>
            </w:r>
            <w:r>
              <w:rPr>
                <w:rFonts w:hint="eastAsia" w:ascii="宋体" w:hAnsi="宋体" w:cs="宋体"/>
                <w:color w:val="auto"/>
                <w:spacing w:val="-2"/>
                <w:sz w:val="24"/>
                <w:highlight w:val="none"/>
                <w:lang w:eastAsia="zh-CN"/>
              </w:rPr>
              <w:t xml:space="preserve">查询截图。</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②提供202</w:t>
            </w:r>
            <w:r>
              <w:rPr>
                <w:rFonts w:hint="eastAsia" w:ascii="宋体" w:hAnsi="宋体" w:cs="宋体"/>
                <w:color w:val="auto"/>
                <w:spacing w:val="-2"/>
                <w:sz w:val="24"/>
                <w:highlight w:val="none"/>
                <w:lang w:val="en-US" w:eastAsia="zh-CN"/>
              </w:rPr>
              <w:t xml:space="preserve">6</w:t>
            </w:r>
            <w:r>
              <w:rPr>
                <w:rFonts w:hint="eastAsia" w:ascii="宋体" w:hAnsi="宋体" w:eastAsia="宋体" w:cs="宋体"/>
                <w:color w:val="auto"/>
                <w:spacing w:val="-2"/>
                <w:sz w:val="24"/>
                <w:highlight w:val="none"/>
                <w:lang w:eastAsia="en-US"/>
              </w:rPr>
              <w:t xml:space="preserve">年</w:t>
            </w:r>
            <w:r>
              <w:rPr>
                <w:rFonts w:hint="eastAsia" w:ascii="宋体" w:hAnsi="宋体" w:cs="宋体"/>
                <w:color w:val="auto"/>
                <w:spacing w:val="-2"/>
                <w:sz w:val="24"/>
                <w:highlight w:val="none"/>
                <w:lang w:val="en-US" w:eastAsia="zh-CN"/>
              </w:rPr>
              <w:t xml:space="preserve">5</w:t>
            </w:r>
            <w:r>
              <w:rPr>
                <w:rFonts w:hint="eastAsia" w:ascii="宋体" w:hAnsi="宋体" w:eastAsia="宋体" w:cs="宋体"/>
                <w:color w:val="auto"/>
                <w:spacing w:val="-2"/>
                <w:sz w:val="24"/>
                <w:highlight w:val="none"/>
                <w:lang w:eastAsia="en-US"/>
              </w:rPr>
              <w:t xml:space="preserve">月1日以来投标人为其任意1个月缴纳的社会保险的证明扫描件</w:t>
            </w:r>
            <w:r>
              <w:rPr>
                <w:rFonts w:hint="eastAsia" w:ascii="宋体" w:hAnsi="宋体" w:cs="宋体"/>
                <w:b/>
                <w:bCs/>
                <w:color w:val="auto"/>
                <w:sz w:val="24"/>
                <w:highlight w:val="none"/>
                <w:lang w:val="en-US" w:eastAsia="zh-CN"/>
              </w:rPr>
              <w:t xml:space="preserve">（缴费证明内容需含起止时间、缴费单位、缴费人员姓名并由社保机构加盖缴费证明专用章，社保机构官网上打印件与线下的盖章件具有同等效力，缴费单位与投标人名称一致）。</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③提供《拟投入项目组成员的配备一览表》。</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3.2.3 </w:t>
            </w:r>
            <w:r>
              <w:rPr>
                <w:rFonts w:hint="eastAsia" w:ascii="宋体" w:hAnsi="宋体" w:cs="宋体"/>
                <w:color w:val="auto"/>
                <w:spacing w:val="-2"/>
                <w:sz w:val="24"/>
                <w:highlight w:val="none"/>
                <w:lang w:val="en-US" w:eastAsia="zh-CN"/>
              </w:rPr>
              <w:t xml:space="preserve">本项目拟投入的养护人员中</w:t>
            </w:r>
            <w:r>
              <w:rPr>
                <w:rFonts w:hint="eastAsia" w:ascii="宋体" w:hAnsi="宋体" w:eastAsia="宋体" w:cs="宋体"/>
                <w:color w:val="auto"/>
                <w:spacing w:val="-2"/>
                <w:sz w:val="24"/>
                <w:highlight w:val="none"/>
                <w:lang w:eastAsia="en-US"/>
              </w:rPr>
              <w:t xml:space="preserve">（不含项目负责人、</w:t>
            </w:r>
            <w:r>
              <w:rPr>
                <w:rFonts w:hint="default" w:ascii="宋体" w:hAnsi="宋体" w:eastAsia="宋体" w:cs="宋体"/>
                <w:color w:val="auto"/>
                <w:spacing w:val="-2"/>
                <w:sz w:val="24"/>
                <w:highlight w:val="none"/>
                <w:lang w:eastAsia="en-US"/>
              </w:rPr>
              <w:t xml:space="preserve">专职</w:t>
            </w:r>
            <w:r>
              <w:rPr>
                <w:rFonts w:hint="eastAsia" w:ascii="宋体" w:hAnsi="宋体" w:eastAsia="宋体" w:cs="宋体"/>
                <w:color w:val="auto"/>
                <w:spacing w:val="-2"/>
                <w:sz w:val="24"/>
                <w:highlight w:val="none"/>
                <w:lang w:eastAsia="en-US"/>
              </w:rPr>
              <w:t xml:space="preserve">安全员、登高作业人员）：</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有1人具备中级及以上绿化工或中级及以上花卉工或中级及以上植保员证书</w:t>
            </w:r>
            <w:r>
              <w:rPr>
                <w:rFonts w:hint="eastAsia" w:ascii="宋体" w:hAnsi="宋体"/>
                <w:color w:val="auto"/>
                <w:spacing w:val="-2"/>
                <w:sz w:val="24"/>
                <w:highlight w:val="none"/>
              </w:rPr>
              <w:t xml:space="preserve">或公路养护工证书</w:t>
            </w:r>
            <w:r>
              <w:rPr>
                <w:rFonts w:hint="eastAsia" w:ascii="宋体" w:hAnsi="宋体" w:eastAsia="宋体" w:cs="宋体"/>
                <w:color w:val="auto"/>
                <w:spacing w:val="-2"/>
                <w:sz w:val="24"/>
                <w:highlight w:val="none"/>
                <w:lang w:eastAsia="en-US"/>
              </w:rPr>
              <w:t xml:space="preserve">的，得基本分</w:t>
            </w:r>
            <w:r>
              <w:rPr>
                <w:rFonts w:hint="eastAsia" w:ascii="宋体" w:hAnsi="宋体" w:cs="宋体"/>
                <w:color w:val="auto"/>
                <w:spacing w:val="-2"/>
                <w:sz w:val="24"/>
                <w:highlight w:val="none"/>
                <w:lang w:val="en-US" w:eastAsia="zh-CN"/>
              </w:rPr>
              <w:t xml:space="preserve">2</w:t>
            </w:r>
            <w:r>
              <w:rPr>
                <w:rFonts w:hint="eastAsia" w:ascii="宋体" w:hAnsi="宋体" w:eastAsia="宋体" w:cs="宋体"/>
                <w:color w:val="auto"/>
                <w:spacing w:val="-2"/>
                <w:sz w:val="24"/>
                <w:highlight w:val="none"/>
                <w:lang w:eastAsia="en-US"/>
              </w:rPr>
              <w:t xml:space="preserve">分。在此基础上，每增加一名</w:t>
            </w:r>
            <w:r>
              <w:rPr>
                <w:rFonts w:hint="eastAsia" w:ascii="宋体" w:hAnsi="宋体"/>
                <w:color w:val="auto"/>
                <w:spacing w:val="-2"/>
                <w:sz w:val="24"/>
                <w:highlight w:val="none"/>
              </w:rPr>
              <w:t xml:space="preserve">上述人员</w:t>
            </w:r>
            <w:r>
              <w:rPr>
                <w:rFonts w:hint="eastAsia" w:ascii="宋体" w:hAnsi="宋体" w:eastAsia="宋体" w:cs="宋体"/>
                <w:color w:val="auto"/>
                <w:spacing w:val="-2"/>
                <w:sz w:val="24"/>
                <w:highlight w:val="none"/>
                <w:lang w:eastAsia="en-US"/>
              </w:rPr>
              <w:t xml:space="preserve">加</w:t>
            </w:r>
            <w:r>
              <w:rPr>
                <w:rFonts w:hint="eastAsia" w:ascii="宋体" w:hAnsi="宋体" w:cs="宋体"/>
                <w:color w:val="auto"/>
                <w:spacing w:val="-2"/>
                <w:sz w:val="24"/>
                <w:highlight w:val="none"/>
                <w:lang w:val="en-US" w:eastAsia="zh-CN"/>
              </w:rPr>
              <w:t xml:space="preserve">1</w:t>
            </w:r>
            <w:r>
              <w:rPr>
                <w:rFonts w:hint="eastAsia" w:ascii="宋体" w:hAnsi="宋体" w:eastAsia="宋体" w:cs="宋体"/>
                <w:color w:val="auto"/>
                <w:spacing w:val="-2"/>
                <w:sz w:val="24"/>
                <w:highlight w:val="none"/>
                <w:lang w:eastAsia="en-US"/>
              </w:rPr>
              <w:t xml:space="preserve">分，最多加</w:t>
            </w:r>
            <w:r>
              <w:rPr>
                <w:rFonts w:hint="eastAsia" w:ascii="宋体" w:hAnsi="宋体" w:cs="宋体"/>
                <w:color w:val="auto"/>
                <w:spacing w:val="-2"/>
                <w:sz w:val="24"/>
                <w:highlight w:val="none"/>
                <w:lang w:val="en-US" w:eastAsia="zh-CN"/>
              </w:rPr>
              <w:t xml:space="preserve">2</w:t>
            </w:r>
            <w:r>
              <w:rPr>
                <w:rFonts w:hint="eastAsia" w:ascii="宋体" w:hAnsi="宋体" w:eastAsia="宋体" w:cs="宋体"/>
                <w:color w:val="auto"/>
                <w:spacing w:val="-2"/>
                <w:sz w:val="24"/>
                <w:highlight w:val="none"/>
                <w:lang w:eastAsia="en-US"/>
              </w:rPr>
              <w:t xml:space="preserve">分。</w:t>
            </w:r>
            <w:r>
              <w:rPr>
                <w:rFonts w:hint="eastAsia" w:ascii="宋体" w:hAnsi="宋体"/>
                <w:color w:val="auto"/>
                <w:spacing w:val="-2"/>
                <w:sz w:val="24"/>
                <w:highlight w:val="none"/>
              </w:rPr>
              <w:t xml:space="preserve">（满分4分）</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注：</w:t>
            </w:r>
            <w:r/>
          </w:p>
          <w:p>
            <w:pPr>
              <w:jc w:val="both"/>
              <w:keepLines w:val="0"/>
              <w:keepNext w:val="0"/>
              <w:pageBreakBefore w:val="0"/>
              <w:rPr>
                <w:rFonts w:hint="default" w:ascii="宋体" w:hAnsi="宋体" w:eastAsia="宋体" w:cs="宋体"/>
                <w:color w:val="auto"/>
                <w:spacing w:val="-2"/>
                <w:sz w:val="24"/>
                <w:highlight w:val="none"/>
                <w:lang w:val="en-US"/>
              </w:rPr>
            </w:pPr>
            <w:r>
              <w:rPr>
                <w:rFonts w:hint="eastAsia" w:ascii="宋体" w:hAnsi="宋体" w:eastAsia="宋体" w:cs="宋体"/>
                <w:color w:val="auto"/>
                <w:spacing w:val="-2"/>
                <w:sz w:val="24"/>
                <w:highlight w:val="none"/>
                <w:lang w:eastAsia="en-US"/>
              </w:rPr>
              <w:t xml:space="preserve">①</w:t>
            </w:r>
            <w:r>
              <w:rPr>
                <w:rFonts w:hint="eastAsia" w:ascii="宋体" w:hAnsi="宋体" w:cs="宋体"/>
                <w:color w:val="auto"/>
                <w:spacing w:val="-2"/>
                <w:sz w:val="24"/>
                <w:highlight w:val="none"/>
                <w:lang w:eastAsia="zh-CN"/>
              </w:rPr>
              <w:t xml:space="preserve">提供</w:t>
            </w:r>
            <w:r>
              <w:rPr>
                <w:rFonts w:hint="eastAsia" w:ascii="宋体" w:hAnsi="宋体" w:cs="宋体"/>
                <w:color w:val="auto"/>
                <w:spacing w:val="-2"/>
                <w:sz w:val="24"/>
                <w:highlight w:val="none"/>
                <w:lang w:val="en-US" w:eastAsia="zh-CN"/>
              </w:rPr>
              <w:t xml:space="preserve">人力资源社会保障部门或农业农村等主管部门颁发的证书扫描件，扫描件必须清晰可辨，并提供有效的查询验证截图。</w:t>
            </w:r>
            <w:r/>
          </w:p>
          <w:p>
            <w:pPr>
              <w:jc w:val="both"/>
              <w:keepLines w:val="0"/>
              <w:keepNext w:val="0"/>
              <w:pageBreakBefore w:val="0"/>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②提供202</w:t>
            </w:r>
            <w:r>
              <w:rPr>
                <w:rFonts w:hint="eastAsia" w:ascii="宋体" w:hAnsi="宋体" w:cs="宋体"/>
                <w:color w:val="auto"/>
                <w:spacing w:val="-2"/>
                <w:sz w:val="24"/>
                <w:highlight w:val="none"/>
                <w:lang w:val="en-US" w:eastAsia="zh-CN"/>
              </w:rPr>
              <w:t xml:space="preserve">6</w:t>
            </w:r>
            <w:r>
              <w:rPr>
                <w:rFonts w:hint="eastAsia" w:ascii="宋体" w:hAnsi="宋体" w:eastAsia="宋体" w:cs="宋体"/>
                <w:color w:val="auto"/>
                <w:spacing w:val="-2"/>
                <w:sz w:val="24"/>
                <w:highlight w:val="none"/>
                <w:lang w:eastAsia="en-US"/>
              </w:rPr>
              <w:t xml:space="preserve">年</w:t>
            </w:r>
            <w:r>
              <w:rPr>
                <w:rFonts w:hint="eastAsia" w:ascii="宋体" w:hAnsi="宋体" w:cs="宋体"/>
                <w:color w:val="auto"/>
                <w:spacing w:val="-2"/>
                <w:sz w:val="24"/>
                <w:highlight w:val="none"/>
                <w:lang w:val="en-US" w:eastAsia="zh-CN"/>
              </w:rPr>
              <w:t xml:space="preserve">5</w:t>
            </w:r>
            <w:r>
              <w:rPr>
                <w:rFonts w:hint="eastAsia" w:ascii="宋体" w:hAnsi="宋体" w:eastAsia="宋体" w:cs="宋体"/>
                <w:color w:val="auto"/>
                <w:spacing w:val="-2"/>
                <w:sz w:val="24"/>
                <w:highlight w:val="none"/>
                <w:lang w:eastAsia="en-US"/>
              </w:rPr>
              <w:t xml:space="preserve">月1日以来投标人为其任意1个月缴纳的社会保险的证明扫描件</w:t>
            </w:r>
            <w:r>
              <w:rPr>
                <w:rFonts w:hint="eastAsia" w:ascii="宋体" w:hAnsi="宋体" w:cs="宋体"/>
                <w:b/>
                <w:bCs/>
                <w:color w:val="auto"/>
                <w:sz w:val="24"/>
                <w:highlight w:val="none"/>
                <w:lang w:val="en-US" w:eastAsia="zh-CN"/>
              </w:rPr>
              <w:t xml:space="preserve">（缴费证明内容需含起止时间、缴费单位、缴费人员姓名并由社保机构加盖缴费证明专用章，社保机构官网上打印件与线下的盖章件具有同等效力，缴费单位与投标人名称一致）</w:t>
            </w:r>
            <w:r>
              <w:rPr>
                <w:rFonts w:hint="eastAsia" w:ascii="宋体" w:hAnsi="宋体" w:eastAsia="宋体" w:cs="宋体"/>
                <w:color w:val="auto"/>
                <w:spacing w:val="-2"/>
                <w:sz w:val="24"/>
                <w:highlight w:val="none"/>
                <w:lang w:eastAsia="en-US"/>
              </w:rPr>
              <w:t xml:space="preserve">。</w:t>
            </w:r>
            <w:r/>
          </w:p>
          <w:p>
            <w:pPr>
              <w:jc w:val="both"/>
              <w:keepLines w:val="0"/>
              <w:keepNext w:val="0"/>
              <w:pageBreakBefore w:val="0"/>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lang w:eastAsia="en-US"/>
              </w:rPr>
              <w:t xml:space="preserve">③同一人有多个证书时，仅计分一次</w:t>
            </w:r>
            <w:r>
              <w:rPr>
                <w:rFonts w:hint="eastAsia" w:ascii="宋体" w:hAnsi="宋体" w:eastAsia="宋体" w:cs="宋体"/>
                <w:color w:val="auto"/>
                <w:spacing w:val="-2"/>
                <w:sz w:val="24"/>
                <w:highlight w:val="none"/>
              </w:rPr>
              <w:t xml:space="preserve">。</w:t>
            </w:r>
            <w:r/>
          </w:p>
          <w:p>
            <w:pPr>
              <w:jc w:val="both"/>
              <w:keepLines w:val="0"/>
              <w:keepNext w:val="0"/>
              <w:pageBreakBefore w:val="0"/>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lang w:eastAsia="en-US"/>
              </w:rPr>
              <w:t xml:space="preserve">④提供《拟投入项目组成员的配备一览表》。</w:t>
            </w:r>
            <w:r/>
          </w:p>
        </w:tc>
        <w:tc>
          <w:tcPr>
            <w:tcW w:w="1059" w:type="pct"/>
            <w:vAlign w:val="center"/>
            <w:textDirection w:val="lrTb"/>
            <w:noWrap w:val="false"/>
          </w:tcPr>
          <w:p>
            <w:pPr>
              <w:jc w:val="center"/>
              <w:rPr>
                <w:rFonts w:hint="eastAsia" w:ascii="宋体" w:hAnsi="宋体" w:eastAsia="宋体" w:cs="宋体"/>
                <w:color w:val="auto"/>
                <w:spacing w:val="-2"/>
                <w:sz w:val="24"/>
                <w:highlight w:val="none"/>
              </w:rPr>
            </w:pPr>
            <w:r>
              <w:rPr>
                <w:rFonts w:hint="eastAsia" w:ascii="宋体" w:hAnsi="宋体" w:eastAsia="宋体" w:cs="宋体"/>
                <w:color w:val="auto"/>
                <w:spacing w:val="15"/>
                <w:sz w:val="24"/>
                <w:highlight w:val="none"/>
              </w:rPr>
              <w:t xml:space="preserve">材料提供不全或未提供</w:t>
            </w:r>
            <w:r>
              <w:rPr>
                <w:rFonts w:hint="eastAsia" w:ascii="宋体" w:hAnsi="宋体" w:eastAsia="宋体" w:cs="宋体"/>
                <w:color w:val="auto"/>
                <w:spacing w:val="-8"/>
                <w:sz w:val="24"/>
                <w:highlight w:val="none"/>
              </w:rPr>
              <w:t xml:space="preserve">的不得分。</w:t>
            </w:r>
            <w:r/>
          </w:p>
        </w:tc>
      </w:tr>
      <w:tr>
        <w:trPr>
          <w:trHeight w:val="90"/>
        </w:trPr>
        <w:tc>
          <w:tcPr>
            <w:tcW w:w="432"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w:t>
            </w:r>
            <w:r/>
          </w:p>
        </w:tc>
        <w:tc>
          <w:tcPr>
            <w:tcW w:w="759"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color w:val="auto"/>
                <w:spacing w:val="-1"/>
                <w:sz w:val="24"/>
                <w:highlight w:val="none"/>
              </w:rPr>
              <w:t xml:space="preserve">拟投入设备</w:t>
            </w:r>
            <w:r/>
          </w:p>
        </w:tc>
        <w:tc>
          <w:tcPr>
            <w:tcW w:w="474"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cs="宋体"/>
                <w:color w:val="auto"/>
                <w:spacing w:val="-6"/>
                <w:sz w:val="24"/>
                <w:highlight w:val="none"/>
                <w:lang w:val="en-US" w:eastAsia="zh-CN"/>
              </w:rPr>
              <w:t xml:space="preserve">32</w:t>
            </w:r>
            <w:r>
              <w:rPr>
                <w:rFonts w:hint="eastAsia" w:ascii="宋体" w:hAnsi="宋体" w:eastAsia="宋体" w:cs="宋体"/>
                <w:bCs/>
                <w:color w:val="auto"/>
                <w:sz w:val="24"/>
                <w:highlight w:val="none"/>
              </w:rPr>
              <w:t xml:space="preserve">分</w:t>
            </w:r>
            <w:r/>
          </w:p>
        </w:tc>
        <w:tc>
          <w:tcPr>
            <w:tcW w:w="2273" w:type="pct"/>
            <w:vAlign w:val="center"/>
            <w:textDirection w:val="lrTb"/>
            <w:noWrap w:val="false"/>
          </w:tcPr>
          <w:p>
            <w:pPr>
              <w:jc w:val="both"/>
              <w:keepLines w:val="0"/>
              <w:keepNext w:val="0"/>
              <w:pageBreakBefore w:val="0"/>
              <w:widowControl w:val="off"/>
              <w:rPr>
                <w:rFonts w:hint="eastAsia" w:ascii="宋体" w:hAnsi="宋体" w:eastAsia="宋体" w:cs="宋体"/>
                <w:color w:val="auto"/>
                <w:spacing w:val="1"/>
                <w:sz w:val="24"/>
                <w:highlight w:val="none"/>
                <w:lang w:eastAsia="en-US"/>
              </w:rPr>
            </w:pPr>
            <w:r>
              <w:rPr>
                <w:rFonts w:hint="eastAsia" w:ascii="宋体" w:hAnsi="宋体" w:eastAsia="宋体" w:cs="宋体"/>
                <w:color w:val="auto"/>
                <w:spacing w:val="1"/>
                <w:sz w:val="24"/>
                <w:highlight w:val="none"/>
                <w:lang w:eastAsia="en-US"/>
              </w:rPr>
              <w:t xml:space="preserve">投标人在满足招标文件采购需求</w:t>
            </w:r>
            <w:r>
              <w:rPr>
                <w:rFonts w:hint="eastAsia" w:ascii="宋体" w:hAnsi="宋体" w:cs="宋体"/>
                <w:color w:val="auto"/>
                <w:spacing w:val="1"/>
                <w:sz w:val="24"/>
                <w:highlight w:val="none"/>
                <w:lang w:val="en-US" w:eastAsia="zh-CN"/>
              </w:rPr>
              <w:t xml:space="preserve">中</w:t>
            </w:r>
            <w:r>
              <w:rPr>
                <w:rFonts w:hint="eastAsia" w:ascii="宋体" w:hAnsi="宋体" w:eastAsia="宋体" w:cs="宋体"/>
                <w:color w:val="auto"/>
                <w:spacing w:val="1"/>
                <w:sz w:val="24"/>
                <w:highlight w:val="none"/>
                <w:lang w:eastAsia="en-US"/>
              </w:rPr>
              <w:t xml:space="preserve">要求的养护</w:t>
            </w:r>
            <w:r>
              <w:rPr>
                <w:rFonts w:hint="eastAsia" w:ascii="宋体" w:hAnsi="宋体" w:cs="宋体"/>
                <w:color w:val="auto"/>
                <w:spacing w:val="1"/>
                <w:sz w:val="24"/>
                <w:highlight w:val="none"/>
                <w:lang w:val="en-US" w:eastAsia="zh-CN"/>
              </w:rPr>
              <w:t xml:space="preserve">车辆及机械</w:t>
            </w:r>
            <w:r>
              <w:rPr>
                <w:rFonts w:hint="eastAsia" w:ascii="宋体" w:hAnsi="宋体" w:eastAsia="宋体" w:cs="宋体"/>
                <w:color w:val="auto"/>
                <w:spacing w:val="1"/>
                <w:sz w:val="24"/>
                <w:highlight w:val="none"/>
                <w:lang w:eastAsia="en-US"/>
              </w:rPr>
              <w:t xml:space="preserve">最低数量要求【</w:t>
            </w:r>
            <w:r>
              <w:rPr>
                <w:rFonts w:hint="eastAsia" w:ascii="宋体" w:hAnsi="宋体" w:cs="宋体"/>
                <w:color w:val="auto"/>
                <w:spacing w:val="1"/>
                <w:sz w:val="24"/>
                <w:highlight w:val="none"/>
                <w:lang w:val="en-US" w:eastAsia="zh-CN"/>
              </w:rPr>
              <w:t xml:space="preserve">8辆洒水车（每辆行驶证核定载质量均≥6000</w:t>
            </w:r>
            <w:r>
              <w:rPr>
                <w:rFonts w:hint="eastAsia" w:ascii="宋体" w:hAnsi="宋体"/>
                <w:color w:val="auto"/>
                <w:spacing w:val="1"/>
                <w:sz w:val="24"/>
                <w:highlight w:val="none"/>
              </w:rPr>
              <w:t xml:space="preserve">kg</w:t>
            </w:r>
            <w:r>
              <w:rPr>
                <w:rFonts w:hint="eastAsia" w:ascii="宋体" w:hAnsi="宋体" w:cs="宋体"/>
                <w:color w:val="auto"/>
                <w:spacing w:val="1"/>
                <w:sz w:val="24"/>
                <w:highlight w:val="none"/>
                <w:lang w:val="en-US" w:eastAsia="zh-CN"/>
              </w:rPr>
              <w:t xml:space="preserve">），2辆抑尘车（雾炮车）（行驶证核定载质量≥8000kg），1辆登高车（升降高度≥10 米），2辆工程车（行驶证核定载质量≥800kg、行驶证核定载人数≥8 人），2辆清运卡车，</w:t>
            </w:r>
            <w:r>
              <w:rPr>
                <w:rFonts w:hint="eastAsia" w:ascii="宋体" w:hAnsi="宋体" w:cs="宋体"/>
                <w:color w:val="auto"/>
                <w:sz w:val="24"/>
                <w:highlight w:val="none"/>
                <w:lang w:val="en-US" w:eastAsia="zh-CN"/>
              </w:rPr>
              <w:t xml:space="preserve">3辆防撞车</w:t>
            </w:r>
            <w:r>
              <w:rPr>
                <w:rFonts w:hint="eastAsia" w:ascii="宋体" w:hAnsi="宋体" w:eastAsia="宋体" w:cs="宋体"/>
                <w:color w:val="auto"/>
                <w:spacing w:val="1"/>
                <w:sz w:val="24"/>
                <w:highlight w:val="none"/>
                <w:lang w:eastAsia="en-US"/>
              </w:rPr>
              <w:t xml:space="preserve">（防撞能力不小于100km/h ，行驶证整备质量≥ 11000kg，行驶证总质量≥11500kg</w:t>
            </w:r>
            <w:r>
              <w:rPr>
                <w:rFonts w:hint="eastAsia" w:ascii="宋体" w:hAnsi="宋体" w:cs="宋体"/>
                <w:color w:val="auto"/>
                <w:spacing w:val="1"/>
                <w:sz w:val="24"/>
                <w:highlight w:val="none"/>
                <w:lang w:val="en-US" w:eastAsia="zh-CN"/>
              </w:rPr>
              <w:t xml:space="preserve">。</w:t>
            </w:r>
            <w:r>
              <w:rPr>
                <w:rFonts w:hint="eastAsia" w:ascii="宋体" w:hAnsi="宋体" w:eastAsia="宋体" w:cs="宋体"/>
                <w:color w:val="auto"/>
                <w:spacing w:val="1"/>
                <w:sz w:val="24"/>
                <w:highlight w:val="none"/>
                <w:lang w:eastAsia="en-US"/>
              </w:rPr>
              <w:t xml:space="preserve">】的基础上：</w:t>
            </w:r>
            <w:r/>
          </w:p>
          <w:p>
            <w:pPr>
              <w:jc w:val="both"/>
              <w:keepLines w:val="0"/>
              <w:keepNext w:val="0"/>
              <w:pageBreakBefore w:val="0"/>
              <w:widowControl w:val="off"/>
              <w:rPr>
                <w:rFonts w:hint="eastAsia" w:ascii="宋体" w:hAnsi="宋体" w:cs="宋体"/>
                <w:color w:val="auto"/>
                <w:spacing w:val="1"/>
                <w:sz w:val="24"/>
                <w:highlight w:val="none"/>
                <w:lang w:val="en-US" w:eastAsia="zh-CN"/>
              </w:rPr>
            </w:pPr>
            <w:r>
              <w:rPr>
                <w:rFonts w:hint="eastAsia" w:ascii="宋体" w:hAnsi="宋体" w:eastAsia="宋体" w:cs="宋体"/>
                <w:color w:val="auto"/>
                <w:spacing w:val="1"/>
                <w:sz w:val="24"/>
                <w:highlight w:val="none"/>
                <w:lang w:eastAsia="en-US"/>
              </w:rPr>
              <w:t xml:space="preserve">3.3.1 </w:t>
            </w:r>
            <w:r>
              <w:rPr>
                <w:rFonts w:hint="eastAsia" w:ascii="宋体" w:hAnsi="宋体" w:cs="宋体"/>
                <w:color w:val="auto"/>
                <w:spacing w:val="1"/>
                <w:sz w:val="24"/>
                <w:highlight w:val="none"/>
                <w:lang w:val="en-US" w:eastAsia="zh-CN"/>
              </w:rPr>
              <w:t xml:space="preserve">每增加投入1辆洒水车（每辆行驶证核定载质量均≥6000kg）加3分，最多12分；</w:t>
            </w:r>
            <w:r/>
          </w:p>
          <w:p>
            <w:pPr>
              <w:jc w:val="both"/>
              <w:keepLines w:val="0"/>
              <w:keepNext w:val="0"/>
              <w:pageBreakBefore w:val="0"/>
              <w:widowControl w:val="off"/>
              <w:rPr>
                <w:rFonts w:hint="eastAsia" w:ascii="宋体" w:hAnsi="宋体" w:cs="宋体"/>
                <w:color w:val="auto"/>
                <w:spacing w:val="1"/>
                <w:sz w:val="24"/>
                <w:highlight w:val="none"/>
                <w:lang w:val="en-US" w:eastAsia="zh-CN"/>
              </w:rPr>
            </w:pPr>
            <w:r>
              <w:rPr>
                <w:rFonts w:hint="eastAsia" w:ascii="宋体" w:hAnsi="宋体" w:cs="宋体"/>
                <w:color w:val="auto"/>
                <w:spacing w:val="1"/>
                <w:sz w:val="24"/>
                <w:highlight w:val="none"/>
                <w:lang w:val="en-US" w:eastAsia="zh-CN"/>
              </w:rPr>
              <w:t xml:space="preserve">3.3.2、每增加投入1辆抑尘车（雾炮车）（行驶证核定载质量≥8000kg）加3分，最多加6分；</w:t>
            </w:r>
            <w:r/>
          </w:p>
          <w:p>
            <w:pPr>
              <w:jc w:val="both"/>
              <w:keepLines w:val="0"/>
              <w:keepNext w:val="0"/>
              <w:pageBreakBefore w:val="0"/>
              <w:widowControl w:val="off"/>
              <w:rPr>
                <w:rFonts w:hint="eastAsia" w:ascii="宋体" w:hAnsi="宋体" w:cs="宋体"/>
                <w:color w:val="auto"/>
                <w:spacing w:val="1"/>
                <w:sz w:val="24"/>
                <w:highlight w:val="none"/>
                <w:lang w:val="en-US" w:eastAsia="zh-CN"/>
              </w:rPr>
            </w:pPr>
            <w:r>
              <w:rPr>
                <w:rFonts w:hint="eastAsia" w:ascii="宋体" w:hAnsi="宋体" w:cs="宋体"/>
                <w:color w:val="auto"/>
                <w:spacing w:val="1"/>
                <w:sz w:val="24"/>
                <w:highlight w:val="none"/>
                <w:lang w:val="en-US" w:eastAsia="zh-CN"/>
              </w:rPr>
              <w:t xml:space="preserve">3.3.3每增加投入1辆</w:t>
            </w:r>
            <w:r>
              <w:rPr>
                <w:rFonts w:hint="eastAsia" w:ascii="宋体" w:hAnsi="宋体" w:eastAsia="宋体" w:cs="宋体"/>
                <w:color w:val="auto"/>
                <w:spacing w:val="1"/>
                <w:sz w:val="24"/>
                <w:highlight w:val="none"/>
                <w:lang w:eastAsia="en-US"/>
              </w:rPr>
              <w:t xml:space="preserve">登高车</w:t>
            </w:r>
            <w:r>
              <w:rPr>
                <w:rFonts w:hint="eastAsia" w:ascii="宋体" w:hAnsi="宋体" w:cs="宋体"/>
                <w:color w:val="auto"/>
                <w:spacing w:val="1"/>
                <w:sz w:val="24"/>
                <w:highlight w:val="none"/>
                <w:lang w:val="en-US" w:eastAsia="zh-CN"/>
              </w:rPr>
              <w:t xml:space="preserve">（升降高度≥10 米）加3分，最多加6分；</w:t>
            </w:r>
            <w:r/>
          </w:p>
          <w:p>
            <w:pPr>
              <w:jc w:val="both"/>
              <w:keepLines w:val="0"/>
              <w:keepNext w:val="0"/>
              <w:pageBreakBefore w:val="0"/>
              <w:widowControl w:val="off"/>
              <w:rPr>
                <w:rFonts w:hint="eastAsia" w:ascii="宋体" w:hAnsi="宋体" w:eastAsia="宋体" w:cs="宋体"/>
                <w:color w:val="auto"/>
                <w:spacing w:val="1"/>
                <w:sz w:val="24"/>
                <w:highlight w:val="none"/>
                <w:lang w:eastAsia="en-US"/>
              </w:rPr>
            </w:pPr>
            <w:r>
              <w:rPr>
                <w:rFonts w:hint="eastAsia" w:ascii="宋体" w:hAnsi="宋体" w:cs="宋体"/>
                <w:color w:val="auto"/>
                <w:spacing w:val="1"/>
                <w:sz w:val="24"/>
                <w:highlight w:val="none"/>
                <w:lang w:val="en-US" w:eastAsia="zh-CN"/>
              </w:rPr>
              <w:t xml:space="preserve">3.3.4每增加投入1辆工程车</w:t>
            </w:r>
            <w:r>
              <w:rPr>
                <w:rFonts w:hint="eastAsia" w:ascii="宋体" w:hAnsi="宋体" w:eastAsia="宋体" w:cs="宋体"/>
                <w:color w:val="auto"/>
                <w:spacing w:val="1"/>
                <w:sz w:val="24"/>
                <w:highlight w:val="none"/>
                <w:lang w:eastAsia="en-US"/>
              </w:rPr>
              <w:t xml:space="preserve">（行驶证核定载质量≥800kg、行驶证核定载人数≥8 人）</w:t>
            </w:r>
            <w:r>
              <w:rPr>
                <w:rFonts w:hint="eastAsia" w:ascii="宋体" w:hAnsi="宋体" w:cs="宋体"/>
                <w:color w:val="auto"/>
                <w:spacing w:val="1"/>
                <w:sz w:val="24"/>
                <w:highlight w:val="none"/>
                <w:lang w:val="en-US" w:eastAsia="zh-CN"/>
              </w:rPr>
              <w:t xml:space="preserve">加2</w:t>
            </w:r>
            <w:r>
              <w:rPr>
                <w:rFonts w:hint="eastAsia" w:ascii="宋体" w:hAnsi="宋体" w:eastAsia="宋体" w:cs="宋体"/>
                <w:color w:val="auto"/>
                <w:spacing w:val="1"/>
                <w:sz w:val="24"/>
                <w:highlight w:val="none"/>
                <w:lang w:eastAsia="en-US"/>
              </w:rPr>
              <w:t xml:space="preserve">分</w:t>
            </w:r>
            <w:r>
              <w:rPr>
                <w:rFonts w:hint="eastAsia" w:ascii="宋体" w:hAnsi="宋体" w:cs="宋体"/>
                <w:color w:val="auto"/>
                <w:spacing w:val="1"/>
                <w:sz w:val="24"/>
                <w:highlight w:val="none"/>
                <w:lang w:val="en-US" w:eastAsia="zh-CN"/>
              </w:rPr>
              <w:t xml:space="preserve">，最多加4</w:t>
            </w:r>
            <w:r>
              <w:rPr>
                <w:rFonts w:hint="eastAsia" w:ascii="宋体" w:hAnsi="宋体" w:eastAsia="宋体" w:cs="宋体"/>
                <w:color w:val="auto"/>
                <w:spacing w:val="1"/>
                <w:sz w:val="24"/>
                <w:highlight w:val="none"/>
                <w:lang w:eastAsia="en-US"/>
              </w:rPr>
              <w:t xml:space="preserve">分。</w:t>
            </w:r>
            <w:r/>
          </w:p>
          <w:p>
            <w:pPr>
              <w:jc w:val="both"/>
              <w:keepLines w:val="0"/>
              <w:keepNext w:val="0"/>
              <w:pageBreakBefore w:val="0"/>
              <w:widowControl w:val="off"/>
              <w:rPr>
                <w:rFonts w:hint="eastAsia" w:ascii="宋体" w:hAnsi="宋体" w:eastAsia="宋体" w:cs="宋体"/>
                <w:color w:val="auto"/>
                <w:spacing w:val="1"/>
                <w:sz w:val="24"/>
                <w:highlight w:val="none"/>
                <w:lang w:eastAsia="en-US"/>
              </w:rPr>
            </w:pPr>
            <w:r>
              <w:rPr>
                <w:rFonts w:hint="eastAsia" w:ascii="宋体" w:hAnsi="宋体" w:eastAsia="宋体" w:cs="宋体"/>
                <w:color w:val="auto"/>
                <w:spacing w:val="1"/>
                <w:sz w:val="24"/>
                <w:highlight w:val="none"/>
                <w:lang w:eastAsia="en-US"/>
              </w:rPr>
              <w:t xml:space="preserve">3.3.</w:t>
            </w:r>
            <w:r>
              <w:rPr>
                <w:rFonts w:hint="eastAsia" w:ascii="宋体" w:hAnsi="宋体" w:cs="宋体"/>
                <w:color w:val="auto"/>
                <w:spacing w:val="1"/>
                <w:sz w:val="24"/>
                <w:highlight w:val="none"/>
                <w:lang w:val="en-US" w:eastAsia="zh-CN"/>
              </w:rPr>
              <w:t xml:space="preserve">5</w:t>
            </w:r>
            <w:r>
              <w:rPr>
                <w:rFonts w:hint="eastAsia" w:ascii="宋体" w:hAnsi="宋体" w:eastAsia="宋体" w:cs="宋体"/>
                <w:color w:val="auto"/>
                <w:spacing w:val="1"/>
                <w:sz w:val="24"/>
                <w:highlight w:val="none"/>
                <w:lang w:eastAsia="en-US"/>
              </w:rPr>
              <w:t xml:space="preserve"> </w:t>
            </w:r>
            <w:r>
              <w:rPr>
                <w:rFonts w:hint="eastAsia" w:ascii="宋体" w:hAnsi="宋体" w:cs="宋体"/>
                <w:color w:val="auto"/>
                <w:spacing w:val="1"/>
                <w:sz w:val="24"/>
                <w:highlight w:val="none"/>
                <w:lang w:val="en-US" w:eastAsia="zh-CN"/>
              </w:rPr>
              <w:t xml:space="preserve">每增加投入1辆清运卡车加2</w:t>
            </w:r>
            <w:r>
              <w:rPr>
                <w:rFonts w:hint="eastAsia" w:ascii="宋体" w:hAnsi="宋体" w:eastAsia="宋体" w:cs="宋体"/>
                <w:color w:val="auto"/>
                <w:spacing w:val="1"/>
                <w:sz w:val="24"/>
                <w:highlight w:val="none"/>
                <w:lang w:eastAsia="en-US"/>
              </w:rPr>
              <w:t xml:space="preserve">分，</w:t>
            </w:r>
            <w:r>
              <w:rPr>
                <w:rFonts w:hint="eastAsia" w:ascii="宋体" w:hAnsi="宋体" w:cs="宋体"/>
                <w:color w:val="auto"/>
                <w:spacing w:val="1"/>
                <w:sz w:val="24"/>
                <w:highlight w:val="none"/>
                <w:lang w:val="en-US" w:eastAsia="zh-CN"/>
              </w:rPr>
              <w:t xml:space="preserve">最多加4</w:t>
            </w:r>
            <w:r>
              <w:rPr>
                <w:rFonts w:hint="eastAsia" w:ascii="宋体" w:hAnsi="宋体" w:eastAsia="宋体" w:cs="宋体"/>
                <w:color w:val="auto"/>
                <w:spacing w:val="1"/>
                <w:sz w:val="24"/>
                <w:highlight w:val="none"/>
                <w:lang w:eastAsia="en-US"/>
              </w:rPr>
              <w:t xml:space="preserve">分。</w:t>
            </w:r>
            <w:r/>
          </w:p>
          <w:p>
            <w:pPr>
              <w:jc w:val="both"/>
              <w:keepLines w:val="0"/>
              <w:keepNext w:val="0"/>
              <w:pageBreakBefore w:val="0"/>
              <w:rPr>
                <w:rFonts w:hint="eastAsia" w:ascii="宋体" w:hAnsi="宋体" w:eastAsia="宋体" w:cs="宋体"/>
                <w:color w:val="auto"/>
                <w:spacing w:val="1"/>
                <w:sz w:val="24"/>
                <w:highlight w:val="none"/>
                <w:lang w:eastAsia="en-US"/>
              </w:rPr>
            </w:pPr>
            <w:r>
              <w:rPr>
                <w:rFonts w:hint="eastAsia" w:ascii="宋体" w:hAnsi="宋体" w:eastAsia="宋体" w:cs="宋体"/>
                <w:color w:val="auto"/>
                <w:spacing w:val="1"/>
                <w:sz w:val="24"/>
                <w:highlight w:val="none"/>
                <w:lang w:eastAsia="en-US"/>
              </w:rPr>
              <w:t xml:space="preserve">注：</w:t>
            </w:r>
            <w:r/>
          </w:p>
          <w:p>
            <w:pPr>
              <w:jc w:val="both"/>
              <w:keepLines w:val="0"/>
              <w:keepNext w:val="0"/>
              <w:pageBreakBefore w:val="0"/>
              <w:rPr>
                <w:rFonts w:hint="eastAsia" w:ascii="宋体" w:hAnsi="宋体" w:eastAsia="宋体" w:cs="宋体"/>
                <w:color w:val="auto"/>
                <w:spacing w:val="1"/>
                <w:sz w:val="24"/>
                <w:highlight w:val="none"/>
                <w:lang w:eastAsia="zh-CN"/>
              </w:rPr>
            </w:pPr>
            <w:r>
              <w:rPr>
                <w:rFonts w:hint="eastAsia" w:ascii="宋体" w:hAnsi="宋体" w:eastAsia="宋体" w:cs="宋体"/>
                <w:color w:val="auto"/>
                <w:spacing w:val="1"/>
                <w:sz w:val="24"/>
                <w:highlight w:val="none"/>
                <w:lang w:eastAsia="en-US"/>
              </w:rPr>
              <w:t xml:space="preserve">①如是自有车辆须提供以上车辆行驶证扫描件、发票扫描件（如无发票则提供购销合同扫描件）（自有定义：设备车辆行驶证上登记所有人须为投标人（含分公司）或企业法定代表人</w:t>
            </w:r>
            <w:r>
              <w:rPr>
                <w:rFonts w:hint="eastAsia" w:ascii="宋体" w:hAnsi="宋体" w:cs="宋体"/>
                <w:color w:val="auto"/>
                <w:spacing w:val="1"/>
                <w:sz w:val="24"/>
                <w:highlight w:val="none"/>
                <w:lang w:eastAsia="zh-CN"/>
              </w:rPr>
              <w:t xml:space="preserve">）。</w:t>
            </w:r>
            <w:r/>
          </w:p>
          <w:p>
            <w:pPr>
              <w:jc w:val="both"/>
              <w:keepLines w:val="0"/>
              <w:keepNext w:val="0"/>
              <w:pageBreakBefore w:val="0"/>
              <w:rPr>
                <w:rFonts w:hint="eastAsia" w:ascii="宋体" w:hAnsi="宋体" w:eastAsia="宋体" w:cs="宋体"/>
                <w:color w:val="auto"/>
                <w:spacing w:val="1"/>
                <w:sz w:val="24"/>
                <w:highlight w:val="none"/>
                <w:lang w:eastAsia="en-US"/>
              </w:rPr>
            </w:pPr>
            <w:r>
              <w:rPr>
                <w:rFonts w:hint="eastAsia" w:ascii="宋体" w:hAnsi="宋体" w:eastAsia="宋体" w:cs="宋体"/>
                <w:color w:val="auto"/>
                <w:spacing w:val="1"/>
                <w:sz w:val="24"/>
                <w:highlight w:val="none"/>
                <w:lang w:eastAsia="en-US"/>
              </w:rPr>
              <w:t xml:space="preserve">②如是租赁车辆须提供以上车辆行驶证扫描件、租赁协议扫描件</w:t>
            </w:r>
            <w:r>
              <w:rPr>
                <w:rFonts w:hint="eastAsia" w:ascii="宋体" w:hAnsi="宋体" w:cs="宋体"/>
                <w:color w:val="auto"/>
                <w:spacing w:val="1"/>
                <w:sz w:val="24"/>
                <w:highlight w:val="none"/>
                <w:lang w:eastAsia="zh-CN"/>
              </w:rPr>
              <w:t xml:space="preserve">、</w:t>
            </w:r>
            <w:r>
              <w:rPr>
                <w:rFonts w:hint="eastAsia" w:ascii="宋体" w:hAnsi="宋体" w:cs="宋体"/>
                <w:color w:val="auto"/>
                <w:spacing w:val="1"/>
                <w:sz w:val="24"/>
                <w:highlight w:val="none"/>
                <w:lang w:val="en-US" w:eastAsia="zh-CN"/>
              </w:rPr>
              <w:t xml:space="preserve">租赁交易资金流水凭证及发票扫描件</w:t>
            </w:r>
            <w:r>
              <w:rPr>
                <w:rFonts w:hint="eastAsia" w:ascii="宋体" w:hAnsi="宋体" w:eastAsia="宋体" w:cs="宋体"/>
                <w:color w:val="auto"/>
                <w:spacing w:val="1"/>
                <w:sz w:val="24"/>
                <w:highlight w:val="none"/>
                <w:lang w:eastAsia="en-US"/>
              </w:rPr>
              <w:t xml:space="preserve">（设备车辆行驶证上登记所有人须为租赁单位或租赁单位法定代表人）。</w:t>
            </w:r>
            <w:r/>
          </w:p>
          <w:p>
            <w:pPr>
              <w:jc w:val="both"/>
              <w:keepLines w:val="0"/>
              <w:keepNext w:val="0"/>
              <w:pageBreakBefore w:val="0"/>
              <w:rPr>
                <w:rFonts w:hint="eastAsia" w:ascii="宋体" w:hAnsi="宋体" w:eastAsia="宋体" w:cs="宋体"/>
                <w:color w:val="auto"/>
                <w:spacing w:val="1"/>
                <w:sz w:val="24"/>
                <w:highlight w:val="none"/>
                <w:lang w:eastAsia="en-US"/>
              </w:rPr>
            </w:pPr>
            <w:r>
              <w:rPr>
                <w:rFonts w:hint="eastAsia" w:ascii="宋体" w:hAnsi="宋体" w:eastAsia="宋体" w:cs="宋体"/>
                <w:color w:val="auto"/>
                <w:spacing w:val="1"/>
                <w:sz w:val="24"/>
                <w:highlight w:val="none"/>
                <w:lang w:eastAsia="en-US"/>
              </w:rPr>
              <w:t xml:space="preserve">③登高车</w:t>
            </w:r>
            <w:r>
              <w:rPr>
                <w:rFonts w:hint="default" w:ascii="宋体" w:hAnsi="宋体" w:eastAsia="宋体" w:cs="宋体"/>
                <w:color w:val="auto"/>
                <w:spacing w:val="1"/>
                <w:sz w:val="24"/>
                <w:highlight w:val="none"/>
                <w:lang w:eastAsia="en-US"/>
              </w:rPr>
              <w:t xml:space="preserve">、防撞车</w:t>
            </w:r>
            <w:r>
              <w:rPr>
                <w:rFonts w:hint="eastAsia" w:ascii="宋体" w:hAnsi="宋体" w:eastAsia="宋体" w:cs="宋体"/>
                <w:color w:val="auto"/>
                <w:spacing w:val="1"/>
                <w:sz w:val="24"/>
                <w:highlight w:val="none"/>
                <w:lang w:eastAsia="en-US"/>
              </w:rPr>
              <w:t xml:space="preserve">，如提供的行驶证、发票、车辆照片</w:t>
            </w:r>
            <w:r>
              <w:rPr>
                <w:rFonts w:hint="eastAsia" w:ascii="宋体" w:hAnsi="宋体" w:cs="宋体"/>
                <w:color w:val="auto"/>
                <w:spacing w:val="1"/>
                <w:sz w:val="24"/>
                <w:highlight w:val="none"/>
                <w:lang w:eastAsia="zh-CN"/>
              </w:rPr>
              <w:t xml:space="preserve">、</w:t>
            </w:r>
            <w:r>
              <w:rPr>
                <w:rFonts w:ascii="Arial" w:hAnsi="Arial" w:eastAsia="宋体" w:cs="Arial"/>
                <w:b/>
                <w:bCs/>
                <w:i w:val="0"/>
                <w:iCs w:val="0"/>
                <w:caps w:val="0"/>
                <w:color w:val="auto"/>
                <w:spacing w:val="0"/>
                <w:sz w:val="24"/>
                <w:szCs w:val="24"/>
                <w:highlight w:val="none"/>
                <w:shd w:val="clear" w:color="auto" w:fill="ffffff"/>
              </w:rPr>
              <w:t xml:space="preserve">机动车登记证书</w:t>
            </w:r>
            <w:r>
              <w:rPr>
                <w:rFonts w:hint="eastAsia" w:ascii="宋体" w:hAnsi="宋体" w:eastAsia="宋体" w:cs="宋体"/>
                <w:color w:val="auto"/>
                <w:spacing w:val="1"/>
                <w:sz w:val="24"/>
                <w:highlight w:val="none"/>
                <w:lang w:eastAsia="en-US"/>
              </w:rPr>
              <w:t xml:space="preserve">不能</w:t>
            </w:r>
            <w:r>
              <w:rPr>
                <w:rFonts w:hint="eastAsia" w:ascii="宋体" w:hAnsi="宋体" w:cs="宋体"/>
                <w:color w:val="auto"/>
                <w:spacing w:val="1"/>
                <w:sz w:val="24"/>
                <w:highlight w:val="none"/>
                <w:lang w:val="en-US" w:eastAsia="zh-CN"/>
              </w:rPr>
              <w:t xml:space="preserve">反映</w:t>
            </w:r>
            <w:r>
              <w:rPr>
                <w:rFonts w:hint="eastAsia" w:ascii="宋体" w:hAnsi="宋体" w:eastAsia="宋体" w:cs="宋体"/>
                <w:color w:val="auto"/>
                <w:spacing w:val="1"/>
                <w:sz w:val="24"/>
                <w:highlight w:val="none"/>
                <w:lang w:eastAsia="en-US"/>
              </w:rPr>
              <w:t xml:space="preserve">上述车辆要求的规格及生产能力的则须提供原厂出具的产品说明书扫描件或检验报告等材料用以证明其技术指标。</w:t>
            </w:r>
            <w:r/>
          </w:p>
          <w:p>
            <w:pPr>
              <w:jc w:val="both"/>
              <w:keepLines w:val="0"/>
              <w:keepNext w:val="0"/>
              <w:pageBreakBefore w:val="0"/>
              <w:rPr>
                <w:rFonts w:hint="eastAsia" w:ascii="宋体" w:hAnsi="宋体" w:eastAsia="宋体" w:cs="宋体"/>
                <w:color w:val="auto"/>
                <w:spacing w:val="1"/>
                <w:sz w:val="24"/>
                <w:highlight w:val="none"/>
                <w:lang w:eastAsia="en-US"/>
              </w:rPr>
            </w:pPr>
            <w:r>
              <w:rPr>
                <w:rFonts w:hint="eastAsia" w:ascii="宋体" w:hAnsi="宋体" w:eastAsia="宋体" w:cs="宋体"/>
                <w:color w:val="auto"/>
                <w:spacing w:val="1"/>
                <w:sz w:val="24"/>
                <w:highlight w:val="none"/>
                <w:lang w:eastAsia="en-US"/>
              </w:rPr>
              <w:t xml:space="preserve">④所有车辆必须提供照片。</w:t>
            </w:r>
            <w:r/>
          </w:p>
          <w:p>
            <w:pPr>
              <w:jc w:val="both"/>
              <w:keepLines w:val="0"/>
              <w:keepNext w:val="0"/>
              <w:pageBreakBefore w:val="0"/>
              <w:rPr>
                <w:rFonts w:hint="eastAsia" w:ascii="宋体" w:hAnsi="宋体" w:eastAsia="宋体" w:cs="宋体"/>
                <w:color w:val="auto"/>
                <w:spacing w:val="1"/>
                <w:sz w:val="24"/>
                <w:highlight w:val="none"/>
                <w:u w:val="single"/>
                <w:lang w:eastAsia="en-US"/>
              </w:rPr>
            </w:pPr>
            <w:r>
              <w:rPr>
                <w:rFonts w:hint="eastAsia" w:ascii="宋体" w:hAnsi="宋体" w:eastAsia="宋体" w:cs="宋体"/>
                <w:color w:val="auto"/>
                <w:spacing w:val="1"/>
                <w:sz w:val="24"/>
                <w:highlight w:val="none"/>
                <w:lang w:eastAsia="en-US"/>
              </w:rPr>
              <w:t xml:space="preserve">⑤提供《投标人拟投入设备情况一览表》。</w:t>
            </w:r>
            <w:r/>
          </w:p>
        </w:tc>
        <w:tc>
          <w:tcPr>
            <w:tcW w:w="1059"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color w:val="auto"/>
                <w:spacing w:val="15"/>
                <w:sz w:val="24"/>
                <w:highlight w:val="none"/>
              </w:rPr>
              <w:t xml:space="preserve">材料提供不全或未提供</w:t>
            </w:r>
            <w:r>
              <w:rPr>
                <w:rFonts w:hint="eastAsia" w:ascii="宋体" w:hAnsi="宋体" w:eastAsia="宋体" w:cs="宋体"/>
                <w:color w:val="auto"/>
                <w:spacing w:val="-8"/>
                <w:sz w:val="24"/>
                <w:highlight w:val="none"/>
              </w:rPr>
              <w:t xml:space="preserve">的不得分。</w:t>
            </w:r>
            <w:r/>
          </w:p>
        </w:tc>
      </w:tr>
      <w:tr>
        <w:trPr/>
        <w:tc>
          <w:tcPr>
            <w:gridSpan w:val="2"/>
            <w:tcW w:w="1192"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100分</w:t>
            </w:r>
            <w:r/>
          </w:p>
        </w:tc>
        <w:tc>
          <w:tcPr>
            <w:gridSpan w:val="2"/>
            <w:tcW w:w="3333" w:type="pct"/>
            <w:vAlign w:val="center"/>
            <w:textDirection w:val="lrTb"/>
            <w:noWrap w:val="false"/>
          </w:tcPr>
          <w:p>
            <w:pPr>
              <w:jc w:val="both"/>
              <w:keepLines w:val="0"/>
              <w:keepNext w:val="0"/>
              <w:pageBreakBefore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360" w:leader="none"/>
        </w:tabs>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注意事项：</w:t>
      </w:r>
      <w:r/>
    </w:p>
    <w:p>
      <w:pPr>
        <w:ind w:firstLine="482"/>
        <w:spacing w:line="360" w:lineRule="auto"/>
        <w:tabs>
          <w:tab w:val="left" w:pos="360" w:leader="none"/>
        </w:tabs>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评分标准中要求提供的证明文件及资料通过“苏采云系统”按对应评分项目（或数字编号）分别制作上传，必须保证内容具体、印章完整、清晰可辨。</w:t>
      </w:r>
      <w:r/>
    </w:p>
    <w:p>
      <w:pPr>
        <w:ind w:firstLine="482"/>
        <w:spacing w:line="360" w:lineRule="auto"/>
        <w:tabs>
          <w:tab w:val="left" w:pos="360" w:leader="none"/>
        </w:tabs>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本项目主观分整体方案采用暗标形式，必须按下列格式编制，否则主观分整体方案分不得分：主观分整体方案不得出现可识别响应人身份任何文字和徽标(包括文字、符号、图案、标识、标志、人员姓名、企业名称、投标人独享的企业标准或编号等), 相关人员姓名应以职务或职称代替。</w:t>
      </w:r>
      <w:r/>
    </w:p>
    <w:p>
      <w:pPr>
        <w:ind w:firstLine="482"/>
        <w:spacing w:line="360" w:lineRule="auto"/>
        <w:tabs>
          <w:tab w:val="left" w:pos="360" w:leader="none"/>
        </w:tabs>
        <w:rPr>
          <w:rFonts w:hint="eastAsia" w:ascii="宋体" w:hAnsi="宋体" w:eastAsia="宋体" w:cs="宋体"/>
          <w:b/>
          <w:bCs/>
          <w:color w:val="auto"/>
          <w:sz w:val="24"/>
          <w:highlight w:val="none"/>
        </w:rPr>
        <w:outlineLvl w:val="1"/>
      </w:pPr>
      <w:r>
        <w:rPr>
          <w:rFonts w:hint="eastAsia" w:ascii="宋体" w:hAnsi="宋体"/>
          <w:b/>
          <w:bCs/>
          <w:color w:val="auto"/>
          <w:sz w:val="24"/>
          <w:highlight w:val="none"/>
        </w:rPr>
        <w:t xml:space="preserve">主观分整体方案纸张页数不得超过250页，否则主观分整体方案不得分。</w:t>
      </w:r>
      <w:r/>
    </w:p>
    <w:p>
      <w:pPr>
        <w:ind w:left="0" w:firstLine="480"/>
        <w:pageBreakBefore w:val="0"/>
        <w:spacing w:line="360" w:lineRule="auto"/>
        <w:widowControl w:val="off"/>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本项目共</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个标段，供应商最多可参加</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个标段的投标，但最多只能中标1个标段。评标顺序按</w:t>
      </w:r>
      <w:r>
        <w:rPr>
          <w:rFonts w:hint="eastAsia" w:ascii="宋体" w:hAnsi="宋体" w:cs="宋体"/>
          <w:b/>
          <w:bCs/>
          <w:color w:val="auto"/>
          <w:sz w:val="24"/>
          <w:highlight w:val="none"/>
          <w:lang w:val="en-US" w:eastAsia="zh-CN"/>
        </w:rPr>
        <w:t xml:space="preserve">2027JTGL-LHYH-1</w:t>
      </w:r>
      <w:r>
        <w:rPr>
          <w:rFonts w:hint="eastAsia" w:ascii="宋体" w:hAnsi="宋体" w:eastAsia="宋体" w:cs="宋体"/>
          <w:b/>
          <w:bCs/>
          <w:color w:val="auto"/>
          <w:sz w:val="24"/>
          <w:highlight w:val="none"/>
          <w:lang w:val="en-US" w:eastAsia="zh-CN"/>
        </w:rPr>
        <w:t xml:space="preserve">标段、</w:t>
      </w:r>
      <w:r>
        <w:rPr>
          <w:rFonts w:hint="eastAsia" w:ascii="宋体" w:hAnsi="宋体" w:cs="宋体"/>
          <w:b/>
          <w:bCs/>
          <w:color w:val="auto"/>
          <w:sz w:val="24"/>
          <w:highlight w:val="none"/>
          <w:lang w:val="en-US" w:eastAsia="zh-CN"/>
        </w:rPr>
        <w:t xml:space="preserve">2027JTGL-LHYH-2</w:t>
      </w:r>
      <w:r>
        <w:rPr>
          <w:rFonts w:hint="eastAsia" w:ascii="宋体" w:hAnsi="宋体" w:eastAsia="宋体" w:cs="宋体"/>
          <w:b/>
          <w:bCs/>
          <w:color w:val="auto"/>
          <w:sz w:val="24"/>
          <w:highlight w:val="none"/>
          <w:lang w:val="en-US" w:eastAsia="zh-CN"/>
        </w:rPr>
        <w:t xml:space="preserve">标段</w:t>
      </w:r>
      <w:r>
        <w:rPr>
          <w:rFonts w:hint="eastAsia" w:ascii="宋体" w:hAnsi="宋体" w:eastAsia="宋体" w:cs="宋体"/>
          <w:b/>
          <w:bCs/>
          <w:color w:val="auto"/>
          <w:sz w:val="24"/>
          <w:highlight w:val="none"/>
        </w:rPr>
        <w:t xml:space="preserve">进行评审。如某标段进入详细评审的供应商不足3家时，则重新招标，且不接受已在其他标段中标的供应商投标。若一个供应商同时在两个标段总分最高时，则</w:t>
      </w:r>
      <w:r>
        <w:rPr>
          <w:rFonts w:hint="eastAsia" w:ascii="宋体" w:hAnsi="宋体" w:cs="宋体"/>
          <w:b/>
          <w:bCs/>
          <w:color w:val="auto"/>
          <w:sz w:val="24"/>
          <w:highlight w:val="none"/>
          <w:lang w:val="en-US" w:eastAsia="zh-CN"/>
        </w:rPr>
        <w:t xml:space="preserve">优先推荐为2027JTGL-LHYH-1</w:t>
      </w:r>
      <w:r>
        <w:rPr>
          <w:rFonts w:hint="eastAsia" w:ascii="宋体" w:hAnsi="宋体" w:eastAsia="宋体" w:cs="宋体"/>
          <w:b/>
          <w:bCs/>
          <w:color w:val="auto"/>
          <w:sz w:val="24"/>
          <w:highlight w:val="none"/>
          <w:lang w:val="en-US" w:eastAsia="zh-CN"/>
        </w:rPr>
        <w:t xml:space="preserve">标段</w:t>
      </w:r>
      <w:r>
        <w:rPr>
          <w:rFonts w:hint="eastAsia" w:ascii="宋体" w:hAnsi="宋体" w:eastAsia="宋体" w:cs="宋体"/>
          <w:b/>
          <w:bCs/>
          <w:color w:val="auto"/>
          <w:sz w:val="24"/>
          <w:highlight w:val="none"/>
        </w:rPr>
        <w:t xml:space="preserve">的第一中标候选人，</w:t>
      </w:r>
      <w:r>
        <w:rPr>
          <w:rFonts w:hint="eastAsia" w:ascii="宋体" w:hAnsi="宋体" w:cs="宋体"/>
          <w:b/>
          <w:bCs/>
          <w:color w:val="auto"/>
          <w:sz w:val="24"/>
          <w:highlight w:val="none"/>
          <w:lang w:val="en-US" w:eastAsia="zh-CN"/>
        </w:rPr>
        <w:t xml:space="preserve">2027JTGL-LHYH-2</w:t>
      </w:r>
      <w:r>
        <w:rPr>
          <w:rFonts w:hint="eastAsia" w:ascii="宋体" w:hAnsi="宋体" w:eastAsia="宋体" w:cs="宋体"/>
          <w:b/>
          <w:bCs/>
          <w:color w:val="auto"/>
          <w:sz w:val="24"/>
          <w:highlight w:val="none"/>
        </w:rPr>
        <w:t xml:space="preserve">标段则不再推荐为中标候选人。如2个或以上的供应商在同一个标段总得分相同，则推荐服务方案得分高的为第一中标候选人；如服务方案得分也相同，则推荐报价低的供应商为第一中标候选人；</w:t>
      </w:r>
      <w:bookmarkStart w:id="883" w:name="OLE_LINK16"/>
      <w:r/>
      <w:bookmarkStart w:id="884" w:name="OLE_LINK15"/>
      <w:r>
        <w:rPr>
          <w:rFonts w:hint="eastAsia" w:ascii="宋体" w:hAnsi="宋体"/>
          <w:b/>
          <w:bCs/>
          <w:color w:val="auto"/>
          <w:sz w:val="24"/>
          <w:highlight w:val="none"/>
        </w:rPr>
        <w:t xml:space="preserve">如报价也相同，</w:t>
      </w:r>
      <w:bookmarkEnd w:id="883"/>
      <w:r/>
      <w:bookmarkEnd w:id="884"/>
      <w:r>
        <w:rPr>
          <w:rFonts w:hint="eastAsia" w:ascii="宋体" w:hAnsi="宋体"/>
          <w:b/>
          <w:bCs/>
          <w:color w:val="auto"/>
          <w:sz w:val="24"/>
          <w:highlight w:val="none"/>
        </w:rPr>
        <w:t xml:space="preserve">由采购人随机抽取确定推荐排序。</w:t>
      </w:r>
      <w:r/>
    </w:p>
    <w:p>
      <w:pPr>
        <w:ind w:firstLine="482"/>
        <w:spacing w:line="360" w:lineRule="auto"/>
        <w:tabs>
          <w:tab w:val="left" w:pos="360" w:leader="none"/>
        </w:tabs>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r>
      <w:r/>
    </w:p>
    <w:p>
      <w:pPr>
        <w:ind w:firstLine="482"/>
        <w:spacing w:before="120" w:line="360" w:lineRule="auto"/>
        <w:tabs>
          <w:tab w:val="left" w:pos="360" w:leader="none"/>
        </w:tabs>
        <w:rPr>
          <w:rFonts w:hint="eastAsia" w:ascii="宋体" w:hAnsi="宋体" w:eastAsia="宋体" w:cs="宋体"/>
          <w:b/>
          <w:bCs/>
          <w:color w:val="auto"/>
          <w:sz w:val="24"/>
          <w:highlight w:val="none"/>
        </w:rPr>
        <w:sectPr>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bookmarkStart w:id="885" w:name="_Toc26868"/>
      <w:r>
        <w:rPr>
          <w:rFonts w:hint="eastAsia" w:ascii="宋体" w:hAnsi="宋体" w:eastAsia="宋体" w:cs="宋体"/>
          <w:b/>
          <w:color w:val="auto"/>
          <w:sz w:val="36"/>
          <w:szCs w:val="36"/>
          <w:highlight w:val="none"/>
        </w:rPr>
        <w:t xml:space="preserve">第</w:t>
      </w:r>
      <w:r>
        <w:rPr>
          <w:rFonts w:hint="eastAsia" w:ascii="宋体" w:hAnsi="宋体" w:cs="宋体"/>
          <w:b/>
          <w:color w:val="auto"/>
          <w:sz w:val="36"/>
          <w:szCs w:val="36"/>
          <w:highlight w:val="none"/>
          <w:lang w:val="en-US" w:eastAsia="zh-CN"/>
        </w:rPr>
        <w:t xml:space="preserve">五</w:t>
      </w:r>
      <w:r>
        <w:rPr>
          <w:rFonts w:hint="eastAsia" w:ascii="宋体" w:hAnsi="宋体" w:eastAsia="宋体" w:cs="宋体"/>
          <w:b/>
          <w:color w:val="auto"/>
          <w:sz w:val="36"/>
          <w:szCs w:val="36"/>
          <w:highlight w:val="none"/>
        </w:rPr>
        <w:t xml:space="preserve">章   采购需求</w:t>
      </w:r>
      <w:bookmarkEnd w:id="885"/>
      <w:r/>
      <w:r/>
    </w:p>
    <w:p>
      <w:pPr>
        <w:contextualSpacing/>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第一节  项目基本信息</w:t>
      </w:r>
      <w:r/>
    </w:p>
    <w:p>
      <w:pPr>
        <w:contextualSpacing/>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1、标段划分</w:t>
      </w:r>
      <w:r/>
    </w:p>
    <w:tbl>
      <w:tblPr>
        <w:tblStyle w:val="8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
        <w:gridCol w:w="1627"/>
        <w:gridCol w:w="1524"/>
        <w:gridCol w:w="1524"/>
        <w:gridCol w:w="1297"/>
        <w:gridCol w:w="619"/>
        <w:gridCol w:w="2888"/>
      </w:tblGrid>
      <w:tr>
        <w:trPr>
          <w:trHeight w:val="454"/>
        </w:trPr>
        <w:tc>
          <w:tcPr>
            <w:tcW w:w="237"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包号</w:t>
            </w:r>
            <w:r/>
          </w:p>
        </w:tc>
        <w:tc>
          <w:tcPr>
            <w:tcW w:w="817"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标的名称</w:t>
            </w:r>
            <w:r/>
          </w:p>
        </w:tc>
        <w:tc>
          <w:tcPr>
            <w:tcW w:w="765" w:type="pct"/>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期限</w:t>
            </w:r>
            <w:r/>
          </w:p>
        </w:tc>
        <w:tc>
          <w:tcPr>
            <w:tcW w:w="765"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采购包预算金额</w:t>
            </w:r>
            <w:r/>
          </w:p>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（万元）</w:t>
            </w:r>
            <w:r/>
          </w:p>
        </w:tc>
        <w:tc>
          <w:tcPr>
            <w:tcW w:w="651" w:type="pct"/>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合计采购包预算金额（万元）</w:t>
            </w:r>
            <w:r/>
          </w:p>
        </w:tc>
        <w:tc>
          <w:tcPr>
            <w:tcW w:w="311"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数量</w:t>
            </w:r>
            <w:r/>
          </w:p>
        </w:tc>
        <w:tc>
          <w:tcPr>
            <w:tcW w:w="145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简要技术需求或服务要求</w:t>
            </w:r>
            <w:r/>
          </w:p>
        </w:tc>
      </w:tr>
      <w:tr>
        <w:trPr>
          <w:trHeight w:val="454"/>
        </w:trPr>
        <w:tc>
          <w:tcPr>
            <w:tcW w:w="237"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01</w:t>
            </w:r>
            <w:r/>
          </w:p>
        </w:tc>
        <w:tc>
          <w:tcPr>
            <w:tcW w:w="817"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2027JTGL-LHYH-1</w:t>
            </w:r>
            <w:r>
              <w:rPr>
                <w:rFonts w:hint="eastAsia" w:ascii="宋体" w:hAnsi="宋体" w:eastAsia="宋体" w:cs="宋体"/>
                <w:bCs/>
                <w:color w:val="auto"/>
                <w:sz w:val="24"/>
                <w:highlight w:val="none"/>
                <w:lang w:val="en-US" w:eastAsia="zh-CN"/>
              </w:rPr>
              <w:t xml:space="preserve">标段</w:t>
            </w:r>
            <w:r/>
          </w:p>
        </w:tc>
        <w:tc>
          <w:tcPr>
            <w:tcW w:w="765" w:type="pct"/>
            <w:vAlign w:val="center"/>
            <w:textDirection w:val="lrTb"/>
            <w:noWrap w:val="false"/>
          </w:tcPr>
          <w:p>
            <w:pPr>
              <w:jc w:val="center"/>
              <w:rPr>
                <w:rFonts w:hint="eastAsia"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 xml:space="preserve">第一年</w:t>
            </w:r>
            <w:r/>
          </w:p>
          <w:p>
            <w:pPr>
              <w:jc w:val="center"/>
              <w:rPr>
                <w:rFonts w:hint="default"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 xml:space="preserve">（2026年12月1日-2027年11月30日）</w:t>
            </w:r>
            <w:r/>
          </w:p>
        </w:tc>
        <w:tc>
          <w:tcPr>
            <w:shd w:val="clear" w:color="auto" w:fill="auto"/>
            <w:tcW w:w="765" w:type="pct"/>
            <w:vAlign w:val="center"/>
            <w:textDirection w:val="lrTb"/>
            <w:noWrap w:val="false"/>
          </w:tcPr>
          <w:p>
            <w:pPr>
              <w:jc w:val="center"/>
              <w:rPr>
                <w:rFonts w:hint="default" w:ascii="宋体" w:hAnsi="宋体" w:eastAsia="宋体" w:cs="宋体"/>
                <w:bCs/>
                <w:color w:val="auto"/>
                <w:sz w:val="24"/>
                <w:szCs w:val="24"/>
                <w:highlight w:val="none"/>
                <w:u w:val="none"/>
                <w:lang w:val="en-US" w:eastAsia="zh-CN" w:bidi="ar-SA"/>
              </w:rPr>
            </w:pPr>
            <w:r>
              <w:rPr>
                <w:rFonts w:hint="default" w:ascii="宋体" w:hAnsi="宋体" w:eastAsia="宋体" w:cs="宋体"/>
                <w:bCs/>
                <w:color w:val="auto"/>
                <w:sz w:val="24"/>
                <w:highlight w:val="none"/>
                <w:u w:val="none"/>
                <w:lang w:val="en-US"/>
              </w:rPr>
              <w:t xml:space="preserve">1002.5943</w:t>
            </w:r>
            <w:r/>
          </w:p>
        </w:tc>
        <w:tc>
          <w:tcPr>
            <w:tcW w:w="651"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2015.2268</w:t>
            </w:r>
            <w:r/>
          </w:p>
        </w:tc>
        <w:tc>
          <w:tcPr>
            <w:tcW w:w="311"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450" w:type="pct"/>
            <w:vAlign w:val="center"/>
            <w:vMerge w:val="restart"/>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金坛区范围内的公路绿化养护巡查、绿地保护、除草、绿化修剪、施肥、病虫害防治、灾害应急处置、刷白、移植、补植等工作。养护期限为</w:t>
            </w: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个月</w:t>
            </w:r>
            <w:r>
              <w:rPr>
                <w:rFonts w:hint="eastAsia" w:ascii="宋体" w:hAnsi="宋体" w:eastAsia="宋体" w:cs="宋体"/>
                <w:color w:val="auto"/>
                <w:sz w:val="24"/>
                <w:highlight w:val="none"/>
                <w:u w:val="none"/>
              </w:rPr>
              <w:t xml:space="preserve">(具体日期以合同签订为准)。</w:t>
            </w:r>
            <w:r>
              <w:rPr>
                <w:rFonts w:hint="eastAsia" w:ascii="宋体" w:hAnsi="宋体" w:eastAsia="宋体" w:cs="宋体"/>
                <w:color w:val="auto"/>
                <w:sz w:val="24"/>
                <w:szCs w:val="24"/>
                <w:highlight w:val="none"/>
                <w:u w:val="none"/>
                <w:lang w:val="en-US" w:eastAsia="zh-CN"/>
              </w:rPr>
              <w:t xml:space="preserve">具</w:t>
            </w:r>
            <w:r>
              <w:rPr>
                <w:rFonts w:hint="eastAsia" w:ascii="宋体" w:hAnsi="宋体" w:eastAsia="宋体" w:cs="宋体"/>
                <w:color w:val="auto"/>
                <w:sz w:val="24"/>
                <w:szCs w:val="24"/>
                <w:highlight w:val="none"/>
                <w:lang w:val="en-US" w:eastAsia="zh-CN"/>
              </w:rPr>
              <w:t xml:space="preserve">体路段里程和养护等级详见招标文件第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w:t>
            </w:r>
            <w:r/>
          </w:p>
        </w:tc>
      </w:tr>
      <w:tr>
        <w:trPr>
          <w:trHeight w:val="454"/>
        </w:trPr>
        <w:tc>
          <w:tcPr>
            <w:tcW w:w="237" w:type="pct"/>
            <w:vAlign w:val="center"/>
            <w:vMerge w:val="continue"/>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17" w:type="pct"/>
            <w:vAlign w:val="center"/>
            <w:vMerge w:val="continue"/>
            <w:textDirection w:val="lrTb"/>
            <w:noWrap w:val="false"/>
          </w:tcPr>
          <w:p>
            <w:pPr>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tc>
        <w:tc>
          <w:tcPr>
            <w:tcW w:w="765" w:type="pct"/>
            <w:vAlign w:val="center"/>
            <w:textDirection w:val="lrTb"/>
            <w:noWrap w:val="false"/>
          </w:tcPr>
          <w:p>
            <w:pPr>
              <w:jc w:val="center"/>
              <w:rPr>
                <w:rFonts w:hint="eastAsia" w:ascii="宋体" w:hAnsi="宋体" w:eastAsia="宋体" w:cs="宋体"/>
                <w:bCs/>
                <w:color w:val="auto"/>
                <w:sz w:val="24"/>
                <w:highlight w:val="none"/>
                <w:u w:val="none"/>
                <w:lang w:val="en-US" w:eastAsia="zh-CN"/>
              </w:rPr>
            </w:pPr>
            <w:r>
              <w:rPr>
                <w:rFonts w:hint="eastAsia" w:ascii="宋体" w:hAnsi="宋体" w:eastAsia="宋体" w:cs="宋体"/>
                <w:bCs/>
                <w:color w:val="auto"/>
                <w:sz w:val="24"/>
                <w:highlight w:val="none"/>
                <w:u w:val="none"/>
                <w:lang w:val="en-US" w:eastAsia="zh-CN"/>
              </w:rPr>
              <w:t xml:space="preserve">第二年</w:t>
            </w:r>
            <w:r/>
          </w:p>
          <w:p>
            <w:pPr>
              <w:jc w:val="center"/>
              <w:rPr>
                <w:rFonts w:hint="eastAsia" w:ascii="宋体" w:hAnsi="宋体" w:cs="宋体"/>
                <w:bCs/>
                <w:color w:val="auto"/>
                <w:sz w:val="24"/>
                <w:highlight w:val="none"/>
                <w:u w:val="none"/>
                <w:lang w:val="en-US" w:eastAsia="zh-CN"/>
              </w:rPr>
            </w:pPr>
            <w:r>
              <w:rPr>
                <w:rFonts w:hint="eastAsia" w:ascii="宋体" w:hAnsi="宋体" w:eastAsia="宋体" w:cs="宋体"/>
                <w:bCs/>
                <w:color w:val="auto"/>
                <w:sz w:val="24"/>
                <w:highlight w:val="none"/>
                <w:u w:val="none"/>
                <w:lang w:val="en-US" w:eastAsia="zh-CN"/>
              </w:rPr>
              <w:t xml:space="preserve">（2027年12月1日-2028年11月30日）</w:t>
            </w:r>
            <w:r/>
          </w:p>
        </w:tc>
        <w:tc>
          <w:tcPr>
            <w:shd w:val="clear" w:color="auto" w:fill="auto"/>
            <w:tcW w:w="765" w:type="pct"/>
            <w:vAlign w:val="center"/>
            <w:textDirection w:val="lrTb"/>
            <w:noWrap w:val="false"/>
          </w:tcPr>
          <w:p>
            <w:pPr>
              <w:jc w:val="center"/>
              <w:rPr>
                <w:rFonts w:hint="eastAsia" w:ascii="宋体" w:hAnsi="宋体" w:eastAsia="宋体" w:cs="宋体"/>
                <w:bCs/>
                <w:color w:val="auto"/>
                <w:sz w:val="24"/>
                <w:szCs w:val="24"/>
                <w:highlight w:val="none"/>
                <w:u w:val="none"/>
                <w:lang w:val="en-US" w:eastAsia="zh-CN" w:bidi="ar-SA"/>
              </w:rPr>
            </w:pPr>
            <w:r>
              <w:rPr>
                <w:rFonts w:hint="eastAsia" w:ascii="宋体" w:hAnsi="宋体" w:cs="宋体"/>
                <w:bCs/>
                <w:color w:val="auto"/>
                <w:sz w:val="24"/>
                <w:highlight w:val="none"/>
                <w:u w:val="none"/>
                <w:lang w:val="en-US" w:eastAsia="zh-CN"/>
              </w:rPr>
              <w:t xml:space="preserve">1012.6325</w:t>
            </w:r>
            <w:r/>
          </w:p>
        </w:tc>
        <w:tc>
          <w:tcPr>
            <w:tcW w:w="651" w:type="pct"/>
            <w:vAlign w:val="center"/>
            <w:vMerge w:val="continue"/>
            <w:textDirection w:val="lrTb"/>
            <w:noWrap w:val="false"/>
          </w:tcPr>
          <w:p>
            <w:pPr>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tc>
        <w:tc>
          <w:tcPr>
            <w:tcW w:w="311" w:type="pct"/>
            <w:vAlign w:val="center"/>
            <w:textDirection w:val="lrTb"/>
            <w:noWrap w:val="false"/>
          </w:tcPr>
          <w:p>
            <w:pPr>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p>
        </w:tc>
        <w:tc>
          <w:tcPr>
            <w:tcW w:w="1450" w:type="pct"/>
            <w:vAlign w:val="center"/>
            <w:vMerge w:val="continue"/>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4"/>
        </w:trPr>
        <w:tc>
          <w:tcPr>
            <w:tcW w:w="237"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02</w:t>
            </w:r>
            <w:r/>
          </w:p>
        </w:tc>
        <w:tc>
          <w:tcPr>
            <w:tcW w:w="817"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cs="宋体"/>
                <w:color w:val="auto"/>
                <w:sz w:val="24"/>
                <w:highlight w:val="none"/>
                <w:lang w:val="en-US" w:eastAsia="zh-CN"/>
              </w:rPr>
              <w:t xml:space="preserve">2027JTGL-LHYH-2</w:t>
            </w:r>
            <w:r>
              <w:rPr>
                <w:rFonts w:hint="eastAsia" w:ascii="宋体" w:hAnsi="宋体" w:eastAsia="宋体" w:cs="宋体"/>
                <w:color w:val="auto"/>
                <w:sz w:val="24"/>
                <w:highlight w:val="none"/>
                <w:lang w:val="en-US" w:eastAsia="zh-CN"/>
              </w:rPr>
              <w:t xml:space="preserve">标段</w:t>
            </w:r>
            <w:r/>
          </w:p>
        </w:tc>
        <w:tc>
          <w:tcPr>
            <w:shd w:val="clear" w:color="auto" w:fill="auto"/>
            <w:tcW w:w="765" w:type="pct"/>
            <w:vAlign w:val="center"/>
            <w:textDirection w:val="lrTb"/>
            <w:noWrap w:val="false"/>
          </w:tcPr>
          <w:p>
            <w:pPr>
              <w:jc w:val="center"/>
              <w:rPr>
                <w:rFonts w:hint="eastAsia"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 xml:space="preserve">第一年</w:t>
            </w:r>
            <w:r/>
          </w:p>
          <w:p>
            <w:pPr>
              <w:jc w:val="center"/>
              <w:rPr>
                <w:rFonts w:hint="eastAsia" w:ascii="宋体" w:hAnsi="宋体" w:eastAsia="宋体" w:cs="宋体"/>
                <w:bCs/>
                <w:color w:val="auto"/>
                <w:sz w:val="24"/>
                <w:szCs w:val="24"/>
                <w:highlight w:val="none"/>
                <w:u w:val="none"/>
                <w:lang w:val="en-US" w:eastAsia="zh-CN" w:bidi="ar-SA"/>
              </w:rPr>
            </w:pPr>
            <w:r>
              <w:rPr>
                <w:rFonts w:hint="eastAsia" w:ascii="宋体" w:hAnsi="宋体" w:cs="宋体"/>
                <w:bCs/>
                <w:color w:val="auto"/>
                <w:sz w:val="24"/>
                <w:highlight w:val="none"/>
                <w:u w:val="none"/>
                <w:lang w:val="en-US" w:eastAsia="zh-CN"/>
              </w:rPr>
              <w:t xml:space="preserve">（2026年12月1日-2027年11月30日）</w:t>
            </w:r>
            <w:r/>
          </w:p>
        </w:tc>
        <w:tc>
          <w:tcPr>
            <w:shd w:val="clear" w:color="auto" w:fill="auto"/>
            <w:tcW w:w="765" w:type="pct"/>
            <w:vAlign w:val="center"/>
            <w:textDirection w:val="lrTb"/>
            <w:noWrap w:val="false"/>
          </w:tcPr>
          <w:p>
            <w:pPr>
              <w:jc w:val="center"/>
              <w:rPr>
                <w:rFonts w:hint="default" w:ascii="宋体" w:hAnsi="宋体" w:eastAsia="宋体" w:cs="宋体"/>
                <w:bCs/>
                <w:color w:val="auto"/>
                <w:sz w:val="24"/>
                <w:szCs w:val="24"/>
                <w:highlight w:val="none"/>
                <w:u w:val="none"/>
                <w:lang w:val="en-US" w:eastAsia="zh-CN" w:bidi="ar-SA"/>
              </w:rPr>
            </w:pPr>
            <w:r>
              <w:rPr>
                <w:rFonts w:hint="default" w:ascii="宋体" w:hAnsi="宋体" w:eastAsia="宋体" w:cs="宋体"/>
                <w:bCs/>
                <w:color w:val="auto"/>
                <w:sz w:val="24"/>
                <w:highlight w:val="none"/>
                <w:u w:val="none"/>
                <w:lang w:val="en-US"/>
              </w:rPr>
              <w:t xml:space="preserve">959.7568</w:t>
            </w:r>
            <w:r/>
          </w:p>
        </w:tc>
        <w:tc>
          <w:tcPr>
            <w:tcW w:w="651" w:type="pct"/>
            <w:vAlign w:val="center"/>
            <w:vMerge w:val="restart"/>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1924.1527</w:t>
            </w:r>
            <w:r/>
          </w:p>
        </w:tc>
        <w:tc>
          <w:tcPr>
            <w:tcW w:w="311"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450" w:type="pct"/>
            <w:vAlign w:val="center"/>
            <w:vMerge w:val="restart"/>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金坛区范围内的公路绿化养护巡查、绿地保护、除草、绿化修剪、施肥、病虫害防治、灾害应急处置、刷白、移植、补植等工作。养护期限为</w:t>
            </w: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个月</w:t>
            </w:r>
            <w:r>
              <w:rPr>
                <w:rFonts w:hint="eastAsia" w:ascii="宋体" w:hAnsi="宋体" w:eastAsia="宋体" w:cs="宋体"/>
                <w:color w:val="auto"/>
                <w:sz w:val="24"/>
                <w:highlight w:val="none"/>
                <w:u w:val="none"/>
              </w:rPr>
              <w:t xml:space="preserve">(具体日期以合同签订为准)。</w:t>
            </w:r>
            <w:r>
              <w:rPr>
                <w:rFonts w:hint="eastAsia" w:ascii="宋体" w:hAnsi="宋体" w:eastAsia="宋体" w:cs="宋体"/>
                <w:color w:val="auto"/>
                <w:sz w:val="24"/>
                <w:szCs w:val="24"/>
                <w:highlight w:val="none"/>
                <w:lang w:val="en-US" w:eastAsia="zh-CN"/>
              </w:rPr>
              <w:t xml:space="preserve">具体路段里程和养护等级详见招标文件第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w:t>
            </w:r>
            <w:r/>
          </w:p>
        </w:tc>
      </w:tr>
      <w:tr>
        <w:trPr>
          <w:trHeight w:val="454"/>
        </w:trPr>
        <w:tc>
          <w:tcPr>
            <w:tcW w:w="237" w:type="pct"/>
            <w:vAlign w:val="center"/>
            <w:vMerge w:val="continue"/>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17" w:type="pct"/>
            <w:vAlign w:val="center"/>
            <w:vMerge w:val="continue"/>
            <w:textDirection w:val="lrTb"/>
            <w:noWrap w:val="false"/>
          </w:tcPr>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shd w:val="clear" w:color="auto" w:fill="auto"/>
            <w:tcW w:w="765" w:type="pct"/>
            <w:vAlign w:val="center"/>
            <w:textDirection w:val="lrTb"/>
            <w:noWrap w:val="false"/>
          </w:tcPr>
          <w:p>
            <w:pPr>
              <w:jc w:val="center"/>
              <w:rPr>
                <w:rFonts w:hint="eastAsia" w:ascii="宋体" w:hAnsi="宋体" w:eastAsia="宋体" w:cs="宋体"/>
                <w:bCs/>
                <w:color w:val="auto"/>
                <w:sz w:val="24"/>
                <w:highlight w:val="none"/>
                <w:u w:val="none"/>
                <w:lang w:val="en-US" w:eastAsia="zh-CN"/>
              </w:rPr>
            </w:pPr>
            <w:r>
              <w:rPr>
                <w:rFonts w:hint="eastAsia" w:ascii="宋体" w:hAnsi="宋体" w:eastAsia="宋体" w:cs="宋体"/>
                <w:bCs/>
                <w:color w:val="auto"/>
                <w:sz w:val="24"/>
                <w:highlight w:val="none"/>
                <w:u w:val="none"/>
                <w:lang w:val="en-US" w:eastAsia="zh-CN"/>
              </w:rPr>
              <w:t xml:space="preserve">第二年</w:t>
            </w:r>
            <w:r/>
          </w:p>
          <w:p>
            <w:pPr>
              <w:jc w:val="center"/>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highlight w:val="none"/>
                <w:u w:val="none"/>
                <w:lang w:val="en-US" w:eastAsia="zh-CN"/>
              </w:rPr>
              <w:t xml:space="preserve">（2027年12月1日-2028年11月30日）</w:t>
            </w:r>
            <w:r/>
          </w:p>
        </w:tc>
        <w:tc>
          <w:tcPr>
            <w:shd w:val="clear" w:color="auto" w:fill="auto"/>
            <w:tcW w:w="765" w:type="pct"/>
            <w:vAlign w:val="center"/>
            <w:textDirection w:val="lrTb"/>
            <w:noWrap w:val="false"/>
          </w:tcPr>
          <w:p>
            <w:pPr>
              <w:jc w:val="center"/>
              <w:rPr>
                <w:rFonts w:hint="eastAsia" w:ascii="宋体" w:hAnsi="宋体" w:eastAsia="宋体" w:cs="宋体"/>
                <w:color w:val="auto"/>
                <w:sz w:val="24"/>
                <w:szCs w:val="24"/>
                <w:highlight w:val="none"/>
                <w:u w:val="none"/>
                <w:lang w:val="en-US" w:eastAsia="zh-CN" w:bidi="ar-SA"/>
              </w:rPr>
            </w:pPr>
            <w:r>
              <w:rPr>
                <w:rFonts w:hint="eastAsia" w:ascii="宋体" w:hAnsi="宋体" w:cs="宋体"/>
                <w:color w:val="auto"/>
                <w:sz w:val="24"/>
                <w:highlight w:val="none"/>
                <w:u w:val="none"/>
                <w:lang w:val="en-US" w:eastAsia="zh-CN"/>
              </w:rPr>
              <w:t xml:space="preserve">964.3959</w:t>
            </w:r>
            <w:r/>
          </w:p>
        </w:tc>
        <w:tc>
          <w:tcPr>
            <w:tcW w:w="651" w:type="pct"/>
            <w:vAlign w:val="center"/>
            <w:vMerge w:val="continue"/>
            <w:textDirection w:val="lrTb"/>
            <w:noWrap w:val="false"/>
          </w:tcPr>
          <w:p>
            <w:pPr>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tc>
        <w:tc>
          <w:tcPr>
            <w:tcW w:w="311" w:type="pct"/>
            <w:vAlign w:val="center"/>
            <w:textDirection w:val="lrTb"/>
            <w:noWrap w:val="false"/>
          </w:tcPr>
          <w:p>
            <w:pPr>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p>
        </w:tc>
        <w:tc>
          <w:tcPr>
            <w:tcW w:w="1450" w:type="pct"/>
            <w:vAlign w:val="center"/>
            <w:vMerge w:val="continue"/>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rPr>
        <w:t xml:space="preserve">2、路段划分及单价限价</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2027JTGL-LHYH-1</w:t>
      </w:r>
      <w:r>
        <w:rPr>
          <w:rFonts w:hint="eastAsia" w:ascii="宋体" w:hAnsi="宋体" w:eastAsia="宋体" w:cs="宋体"/>
          <w:bCs/>
          <w:color w:val="auto"/>
          <w:sz w:val="24"/>
          <w:szCs w:val="24"/>
          <w:highlight w:val="none"/>
          <w:lang w:val="en-US" w:eastAsia="zh-CN"/>
        </w:rPr>
        <w:t xml:space="preserve">标段：</w:t>
      </w:r>
      <w:r/>
    </w:p>
    <w:tbl>
      <w:tblPr>
        <w:tblStyle w:val="861"/>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91"/>
        <w:gridCol w:w="2289"/>
        <w:gridCol w:w="820"/>
        <w:gridCol w:w="1467"/>
        <w:gridCol w:w="1206"/>
        <w:gridCol w:w="2575"/>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起止</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养护等级</w:t>
            </w:r>
            <w:r/>
          </w:p>
        </w:tc>
        <w:tc>
          <w:tcPr>
            <w:shd w:val="clear" w:color="auto" w:fill="auto"/>
            <w:tcBorders>
              <w:top w:val="single" w:color="000000" w:sz="4" w:space="0"/>
              <w:left w:val="non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单价</w:t>
            </w:r>
            <w:r>
              <w:rPr>
                <w:rFonts w:hint="default" w:ascii="Times New Roman" w:hAnsi="Times New Roman" w:eastAsia="宋体" w:cs="Times New Roman"/>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（元</w:t>
            </w:r>
            <w:r>
              <w:rPr>
                <w:rFonts w:hint="default" w:ascii="Times New Roman" w:hAnsi="Times New Roman" w:eastAsia="宋体" w:cs="Times New Roman"/>
                <w:i w:val="0"/>
                <w:iCs w:val="0"/>
                <w:color w:val="auto"/>
                <w:sz w:val="22"/>
                <w:szCs w:val="22"/>
                <w:highlight w:val="none"/>
                <w:u w:val="none"/>
                <w:lang w:val="en-US" w:eastAsia="zh-CN" w:bidi="ar"/>
              </w:rPr>
              <w:t xml:space="preserve">/m</w:t>
            </w:r>
            <w:r>
              <w:rPr>
                <w:rFonts w:hint="default" w:ascii="Times New Roman" w:hAnsi="Times New Roman" w:eastAsia="宋体" w:cs="Times New Roman"/>
                <w:i w:val="0"/>
                <w:iCs w:val="0"/>
                <w:color w:val="auto"/>
                <w:sz w:val="22"/>
                <w:szCs w:val="22"/>
                <w:highlight w:val="none"/>
                <w:u w:val="none"/>
                <w:vertAlign w:val="superscript"/>
                <w:lang w:val="en-US" w:eastAsia="zh-CN" w:bidi="ar"/>
              </w:rPr>
              <w:t xml:space="preserve">2</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non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2026.12.1-2028.11.30</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限价</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养护面积（</w:t>
            </w:r>
            <w:r>
              <w:rPr>
                <w:rFonts w:hint="default" w:ascii="Times New Roman" w:hAnsi="Times New Roman" w:eastAsia="宋体" w:cs="Times New Roman"/>
                <w:i w:val="0"/>
                <w:iCs w:val="0"/>
                <w:color w:val="auto"/>
                <w:sz w:val="22"/>
                <w:szCs w:val="22"/>
                <w:highlight w:val="none"/>
                <w:u w:val="none"/>
                <w:lang w:val="en-US" w:eastAsia="zh-CN" w:bidi="ar"/>
              </w:rPr>
              <w:t xml:space="preserve">m</w:t>
            </w:r>
            <w:r>
              <w:rPr>
                <w:rFonts w:hint="default" w:ascii="Times New Roman" w:hAnsi="Times New Roman" w:eastAsia="宋体" w:cs="Times New Roman"/>
                <w:i w:val="0"/>
                <w:iCs w:val="0"/>
                <w:color w:val="auto"/>
                <w:sz w:val="22"/>
                <w:szCs w:val="22"/>
                <w:highlight w:val="none"/>
                <w:u w:val="none"/>
                <w:vertAlign w:val="superscript"/>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X305</w:t>
            </w:r>
            <w:r>
              <w:rPr>
                <w:rFonts w:hint="eastAsia" w:ascii="宋体" w:hAnsi="宋体" w:eastAsia="宋体" w:cs="宋体"/>
                <w:i w:val="0"/>
                <w:iCs w:val="0"/>
                <w:color w:val="auto"/>
                <w:sz w:val="22"/>
                <w:szCs w:val="22"/>
                <w:highlight w:val="none"/>
                <w:u w:val="none"/>
                <w:lang w:val="en-US" w:eastAsia="zh-CN" w:bidi="ar"/>
              </w:rPr>
              <w:t xml:space="preserve">金武线</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武进界～</w:t>
            </w:r>
            <w:r>
              <w:rPr>
                <w:rFonts w:hint="default" w:ascii="Times New Roman" w:hAnsi="Times New Roman" w:eastAsia="宋体" w:cs="Times New Roman"/>
                <w:i w:val="0"/>
                <w:iCs w:val="0"/>
                <w:color w:val="auto"/>
                <w:sz w:val="22"/>
                <w:szCs w:val="22"/>
                <w:highlight w:val="none"/>
                <w:u w:val="none"/>
                <w:lang w:val="en-US" w:eastAsia="zh-CN" w:bidi="ar"/>
              </w:rPr>
              <w:t xml:space="preserve">S240</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K0</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K12+293</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310960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中分带和侧分带约</w:t>
            </w:r>
            <w:r>
              <w:rPr>
                <w:rFonts w:hint="default" w:ascii="Times New Roman" w:hAnsi="Times New Roman" w:eastAsia="宋体" w:cs="Times New Roman"/>
                <w:i w:val="0"/>
                <w:iCs w:val="0"/>
                <w:color w:val="auto"/>
                <w:sz w:val="22"/>
                <w:szCs w:val="22"/>
                <w:highlight w:val="none"/>
                <w:u w:val="none"/>
                <w:lang w:val="en-US" w:eastAsia="zh-CN" w:bidi="ar"/>
              </w:rPr>
              <w:t xml:space="preserve">64495m</w:t>
            </w:r>
            <w:r>
              <w:rPr>
                <w:rFonts w:hint="default" w:ascii="Times New Roman" w:hAnsi="Times New Roman" w:eastAsia="宋体" w:cs="Times New Roman"/>
                <w:i w:val="0"/>
                <w:iCs w:val="0"/>
                <w:color w:val="auto"/>
                <w:sz w:val="22"/>
                <w:szCs w:val="22"/>
                <w:highlight w:val="none"/>
                <w:u w:val="none"/>
                <w:vertAlign w:val="superscript"/>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绿化为待接养路段，预计</w:t>
            </w:r>
            <w:r>
              <w:rPr>
                <w:rFonts w:hint="default" w:ascii="Times New Roman" w:hAnsi="Times New Roman" w:eastAsia="宋体" w:cs="Times New Roman"/>
                <w:i w:val="0"/>
                <w:iCs w:val="0"/>
                <w:color w:val="auto"/>
                <w:sz w:val="22"/>
                <w:szCs w:val="22"/>
                <w:highlight w:val="none"/>
                <w:u w:val="none"/>
                <w:lang w:val="en-US" w:eastAsia="zh-CN" w:bidi="ar"/>
              </w:rPr>
              <w:t xml:space="preserve">2026</w:t>
            </w:r>
            <w:r>
              <w:rPr>
                <w:rFonts w:hint="eastAsia" w:ascii="宋体" w:hAnsi="宋体" w:eastAsia="宋体" w:cs="宋体"/>
                <w:i w:val="0"/>
                <w:iCs w:val="0"/>
                <w:color w:val="auto"/>
                <w:sz w:val="22"/>
                <w:szCs w:val="22"/>
                <w:highlight w:val="none"/>
                <w:u w:val="none"/>
                <w:lang w:val="en-US" w:eastAsia="zh-CN" w:bidi="ar"/>
              </w:rPr>
              <w:t xml:space="preserve">年</w:t>
            </w: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Fonts w:hint="eastAsia" w:ascii="宋体" w:hAnsi="宋体" w:eastAsia="宋体" w:cs="宋体"/>
                <w:i w:val="0"/>
                <w:iCs w:val="0"/>
                <w:color w:val="auto"/>
                <w:sz w:val="22"/>
                <w:szCs w:val="22"/>
                <w:highlight w:val="none"/>
                <w:u w:val="none"/>
                <w:lang w:val="en-US" w:eastAsia="zh-CN" w:bidi="ar"/>
              </w:rPr>
              <w:t xml:space="preserve">日接养，具体进场时间以甲方通知为准。</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G233</w:t>
            </w:r>
            <w:r>
              <w:rPr>
                <w:rFonts w:hint="eastAsia" w:ascii="宋体" w:hAnsi="宋体" w:eastAsia="宋体" w:cs="宋体"/>
                <w:i w:val="0"/>
                <w:iCs w:val="0"/>
                <w:color w:val="auto"/>
                <w:sz w:val="22"/>
                <w:szCs w:val="22"/>
                <w:highlight w:val="none"/>
                <w:u w:val="none"/>
                <w:lang w:val="en-US" w:eastAsia="zh-CN" w:bidi="ar"/>
              </w:rPr>
              <w:t xml:space="preserve">克黄线</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丹阳界～金城大道交叉口（</w:t>
            </w:r>
            <w:r>
              <w:rPr>
                <w:rFonts w:hint="default" w:ascii="Times New Roman" w:hAnsi="Times New Roman" w:eastAsia="宋体" w:cs="Times New Roman"/>
                <w:i w:val="0"/>
                <w:iCs w:val="0"/>
                <w:color w:val="auto"/>
                <w:sz w:val="22"/>
                <w:szCs w:val="22"/>
                <w:highlight w:val="none"/>
                <w:u w:val="none"/>
                <w:lang w:val="en-US" w:eastAsia="zh-CN" w:bidi="ar"/>
              </w:rPr>
              <w:t xml:space="preserve">K1709+117</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K1717+035</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287421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待接养路段，预计</w:t>
            </w:r>
            <w:r>
              <w:rPr>
                <w:rFonts w:hint="default" w:ascii="Times New Roman" w:hAnsi="Times New Roman" w:eastAsia="宋体" w:cs="Times New Roman"/>
                <w:i w:val="0"/>
                <w:iCs w:val="0"/>
                <w:color w:val="auto"/>
                <w:sz w:val="22"/>
                <w:szCs w:val="22"/>
                <w:highlight w:val="none"/>
                <w:u w:val="none"/>
                <w:lang w:val="en-US" w:eastAsia="zh-CN" w:bidi="ar"/>
              </w:rPr>
              <w:t xml:space="preserve">2026</w:t>
            </w:r>
            <w:r>
              <w:rPr>
                <w:rFonts w:hint="eastAsia" w:ascii="宋体" w:hAnsi="宋体" w:eastAsia="宋体" w:cs="宋体"/>
                <w:i w:val="0"/>
                <w:iCs w:val="0"/>
                <w:color w:val="auto"/>
                <w:sz w:val="22"/>
                <w:szCs w:val="22"/>
                <w:highlight w:val="none"/>
                <w:u w:val="none"/>
                <w:lang w:val="en-US" w:eastAsia="zh-CN" w:bidi="ar"/>
              </w:rPr>
              <w:t xml:space="preserve">年</w:t>
            </w: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Fonts w:hint="eastAsia" w:ascii="宋体" w:hAnsi="宋体" w:eastAsia="宋体" w:cs="宋体"/>
                <w:i w:val="0"/>
                <w:iCs w:val="0"/>
                <w:color w:val="auto"/>
                <w:sz w:val="22"/>
                <w:szCs w:val="22"/>
                <w:highlight w:val="none"/>
                <w:u w:val="none"/>
                <w:lang w:val="en-US" w:eastAsia="zh-CN" w:bidi="ar"/>
              </w:rPr>
              <w:t xml:space="preserve">日接养，具体进场时间以甲方通知为准。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规划</w:t>
            </w:r>
            <w:r>
              <w:rPr>
                <w:rFonts w:hint="default" w:ascii="Times New Roman" w:hAnsi="Times New Roman" w:eastAsia="宋体" w:cs="Times New Roman"/>
                <w:i w:val="0"/>
                <w:iCs w:val="0"/>
                <w:color w:val="auto"/>
                <w:sz w:val="22"/>
                <w:szCs w:val="22"/>
                <w:highlight w:val="none"/>
                <w:u w:val="none"/>
                <w:lang w:val="en-US" w:eastAsia="zh-CN" w:bidi="ar"/>
              </w:rPr>
              <w:t xml:space="preserve">G233</w:t>
            </w:r>
            <w:r>
              <w:rPr>
                <w:rFonts w:hint="eastAsia" w:ascii="宋体" w:hAnsi="宋体" w:eastAsia="宋体" w:cs="宋体"/>
                <w:i w:val="0"/>
                <w:iCs w:val="0"/>
                <w:color w:val="auto"/>
                <w:sz w:val="22"/>
                <w:szCs w:val="22"/>
                <w:highlight w:val="none"/>
                <w:u w:val="none"/>
                <w:lang w:val="en-US" w:eastAsia="zh-CN" w:bidi="ar"/>
              </w:rPr>
              <w:t xml:space="preserve">（江东大道）</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S340</w:t>
            </w:r>
            <w:r>
              <w:rPr>
                <w:rFonts w:hint="eastAsia" w:ascii="宋体" w:hAnsi="宋体" w:eastAsia="宋体" w:cs="宋体"/>
                <w:i w:val="0"/>
                <w:iCs w:val="0"/>
                <w:color w:val="auto"/>
                <w:sz w:val="22"/>
                <w:szCs w:val="22"/>
                <w:highlight w:val="none"/>
                <w:u w:val="none"/>
                <w:lang w:val="en-US" w:eastAsia="zh-CN" w:bidi="ar"/>
              </w:rPr>
              <w:t xml:space="preserve">交叉口～华城路交叉口（</w:t>
            </w:r>
            <w:r>
              <w:rPr>
                <w:rFonts w:hint="default" w:ascii="Times New Roman" w:hAnsi="Times New Roman" w:eastAsia="宋体" w:cs="Times New Roman"/>
                <w:i w:val="0"/>
                <w:iCs w:val="0"/>
                <w:color w:val="auto"/>
                <w:sz w:val="22"/>
                <w:szCs w:val="22"/>
                <w:highlight w:val="none"/>
                <w:u w:val="none"/>
                <w:lang w:val="en-US" w:eastAsia="zh-CN" w:bidi="ar"/>
              </w:rPr>
              <w:t xml:space="preserve">K0</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K3+100</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81493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华城路交叉口</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金武路大桥（</w:t>
            </w:r>
            <w:r>
              <w:rPr>
                <w:rFonts w:hint="default" w:ascii="Times New Roman" w:hAnsi="Times New Roman" w:eastAsia="宋体" w:cs="Times New Roman"/>
                <w:i w:val="0"/>
                <w:iCs w:val="0"/>
                <w:color w:val="auto"/>
                <w:sz w:val="22"/>
                <w:szCs w:val="22"/>
                <w:highlight w:val="none"/>
                <w:u w:val="none"/>
                <w:lang w:val="en-US" w:eastAsia="zh-CN" w:bidi="ar"/>
              </w:rPr>
              <w:t xml:space="preserve">K3+100</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K6+100</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78864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金武路大桥</w:t>
            </w:r>
            <w:r>
              <w:rPr>
                <w:rFonts w:hint="default" w:ascii="Times New Roman" w:hAnsi="Times New Roman" w:eastAsia="宋体" w:cs="Times New Roman"/>
                <w:i w:val="0"/>
                <w:iCs w:val="0"/>
                <w:color w:val="auto"/>
                <w:sz w:val="22"/>
                <w:szCs w:val="22"/>
                <w:highlight w:val="none"/>
                <w:u w:val="none"/>
                <w:lang w:val="en-US" w:eastAsia="zh-CN" w:bidi="ar"/>
              </w:rPr>
              <w:t xml:space="preserve">-S240</w:t>
            </w:r>
            <w:r>
              <w:rPr>
                <w:rFonts w:hint="eastAsia" w:ascii="宋体" w:hAnsi="宋体" w:eastAsia="宋体" w:cs="宋体"/>
                <w:i w:val="0"/>
                <w:iCs w:val="0"/>
                <w:color w:val="auto"/>
                <w:sz w:val="22"/>
                <w:szCs w:val="22"/>
                <w:highlight w:val="none"/>
                <w:u w:val="none"/>
                <w:lang w:val="en-US" w:eastAsia="zh-CN" w:bidi="ar"/>
              </w:rPr>
              <w:t xml:space="preserve">交叉口（</w:t>
            </w:r>
            <w:r>
              <w:rPr>
                <w:rFonts w:hint="default" w:ascii="Times New Roman" w:hAnsi="Times New Roman" w:eastAsia="宋体" w:cs="Times New Roman"/>
                <w:i w:val="0"/>
                <w:iCs w:val="0"/>
                <w:color w:val="auto"/>
                <w:sz w:val="22"/>
                <w:szCs w:val="22"/>
                <w:highlight w:val="none"/>
                <w:u w:val="none"/>
                <w:lang w:val="en-US" w:eastAsia="zh-CN" w:bidi="ar"/>
              </w:rPr>
              <w:t xml:space="preserve">K6+100</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K16+700</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351145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S340</w:t>
            </w:r>
            <w:r>
              <w:rPr>
                <w:rFonts w:hint="eastAsia" w:ascii="宋体" w:hAnsi="宋体" w:eastAsia="宋体" w:cs="宋体"/>
                <w:i w:val="0"/>
                <w:iCs w:val="0"/>
                <w:color w:val="auto"/>
                <w:sz w:val="22"/>
                <w:szCs w:val="22"/>
                <w:highlight w:val="none"/>
                <w:u w:val="none"/>
                <w:lang w:val="en-US" w:eastAsia="zh-CN" w:bidi="ar"/>
              </w:rPr>
              <w:t xml:space="preserve">虞宁线</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规划</w:t>
            </w:r>
            <w:r>
              <w:rPr>
                <w:rFonts w:hint="default" w:ascii="Times New Roman" w:hAnsi="Times New Roman" w:eastAsia="宋体" w:cs="Times New Roman"/>
                <w:i w:val="0"/>
                <w:iCs w:val="0"/>
                <w:color w:val="auto"/>
                <w:sz w:val="22"/>
                <w:szCs w:val="22"/>
                <w:highlight w:val="none"/>
                <w:u w:val="none"/>
                <w:lang w:val="en-US" w:eastAsia="zh-CN" w:bidi="ar"/>
              </w:rPr>
              <w:t xml:space="preserve">G233</w:t>
            </w:r>
            <w:r>
              <w:rPr>
                <w:rFonts w:hint="eastAsia" w:ascii="宋体" w:hAnsi="宋体" w:eastAsia="宋体" w:cs="宋体"/>
                <w:i w:val="0"/>
                <w:iCs w:val="0"/>
                <w:color w:val="auto"/>
                <w:sz w:val="22"/>
                <w:szCs w:val="22"/>
                <w:highlight w:val="none"/>
                <w:u w:val="none"/>
                <w:lang w:val="en-US" w:eastAsia="zh-CN" w:bidi="ar"/>
              </w:rPr>
              <w:t xml:space="preserve">交叉口～</w:t>
            </w:r>
            <w:r>
              <w:rPr>
                <w:rFonts w:hint="default" w:ascii="Times New Roman" w:hAnsi="Times New Roman" w:eastAsia="宋体" w:cs="Times New Roman"/>
                <w:i w:val="0"/>
                <w:iCs w:val="0"/>
                <w:color w:val="auto"/>
                <w:sz w:val="22"/>
                <w:szCs w:val="22"/>
                <w:highlight w:val="none"/>
                <w:u w:val="none"/>
                <w:lang w:val="en-US" w:eastAsia="zh-CN" w:bidi="ar"/>
              </w:rPr>
              <w:t xml:space="preserve">S240</w:t>
            </w:r>
            <w:r>
              <w:rPr>
                <w:rFonts w:hint="eastAsia" w:ascii="宋体" w:hAnsi="宋体" w:eastAsia="宋体" w:cs="宋体"/>
                <w:i w:val="0"/>
                <w:iCs w:val="0"/>
                <w:color w:val="auto"/>
                <w:sz w:val="22"/>
                <w:szCs w:val="22"/>
                <w:highlight w:val="none"/>
                <w:u w:val="none"/>
                <w:lang w:val="en-US" w:eastAsia="zh-CN" w:bidi="ar"/>
              </w:rPr>
              <w:t xml:space="preserve">交叉口（</w:t>
            </w:r>
            <w:r>
              <w:rPr>
                <w:rFonts w:hint="default" w:ascii="Times New Roman" w:hAnsi="Times New Roman" w:eastAsia="宋体" w:cs="Times New Roman"/>
                <w:i w:val="0"/>
                <w:iCs w:val="0"/>
                <w:color w:val="auto"/>
                <w:sz w:val="22"/>
                <w:szCs w:val="22"/>
                <w:highlight w:val="none"/>
                <w:u w:val="none"/>
                <w:lang w:val="en-US" w:eastAsia="zh-CN" w:bidi="ar"/>
              </w:rPr>
              <w:t xml:space="preserve">K119+497</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K124+600</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184229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G233</w:t>
            </w:r>
            <w:r>
              <w:rPr>
                <w:rFonts w:hint="eastAsia" w:ascii="宋体" w:hAnsi="宋体" w:eastAsia="宋体" w:cs="宋体"/>
                <w:i w:val="0"/>
                <w:iCs w:val="0"/>
                <w:color w:val="auto"/>
                <w:sz w:val="22"/>
                <w:szCs w:val="22"/>
                <w:highlight w:val="none"/>
                <w:u w:val="none"/>
                <w:lang w:val="en-US" w:eastAsia="zh-CN" w:bidi="ar"/>
              </w:rPr>
              <w:t xml:space="preserve">交叉口～朱林薛埠界（</w:t>
            </w:r>
            <w:r>
              <w:rPr>
                <w:rFonts w:hint="default" w:ascii="Times New Roman" w:hAnsi="Times New Roman" w:eastAsia="宋体" w:cs="Times New Roman"/>
                <w:i w:val="0"/>
                <w:iCs w:val="0"/>
                <w:color w:val="auto"/>
                <w:sz w:val="22"/>
                <w:szCs w:val="22"/>
                <w:highlight w:val="none"/>
                <w:u w:val="none"/>
                <w:lang w:val="en-US" w:eastAsia="zh-CN" w:bidi="ar"/>
              </w:rPr>
              <w:t xml:space="preserve">K131</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K143+100</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753420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S240</w:t>
            </w:r>
            <w:r>
              <w:rPr>
                <w:rFonts w:hint="eastAsia" w:ascii="宋体" w:hAnsi="宋体" w:eastAsia="宋体" w:cs="宋体"/>
                <w:i w:val="0"/>
                <w:iCs w:val="0"/>
                <w:color w:val="auto"/>
                <w:sz w:val="22"/>
                <w:szCs w:val="22"/>
                <w:highlight w:val="none"/>
                <w:u w:val="none"/>
                <w:lang w:val="en-US" w:eastAsia="zh-CN" w:bidi="ar"/>
              </w:rPr>
              <w:t xml:space="preserve">镇宜线</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G233</w:t>
            </w:r>
            <w:r>
              <w:rPr>
                <w:rFonts w:hint="eastAsia" w:ascii="宋体" w:hAnsi="宋体" w:eastAsia="宋体" w:cs="宋体"/>
                <w:i w:val="0"/>
                <w:iCs w:val="0"/>
                <w:color w:val="auto"/>
                <w:sz w:val="22"/>
                <w:szCs w:val="22"/>
                <w:highlight w:val="none"/>
                <w:u w:val="none"/>
                <w:lang w:val="en-US" w:eastAsia="zh-CN" w:bidi="ar"/>
              </w:rPr>
              <w:t xml:space="preserve">交叉口～金城大道交叉口（</w:t>
            </w:r>
            <w:r>
              <w:rPr>
                <w:rFonts w:hint="default" w:ascii="Times New Roman" w:hAnsi="Times New Roman" w:eastAsia="宋体" w:cs="Times New Roman"/>
                <w:i w:val="0"/>
                <w:iCs w:val="0"/>
                <w:color w:val="auto"/>
                <w:sz w:val="22"/>
                <w:szCs w:val="22"/>
                <w:highlight w:val="none"/>
                <w:u w:val="none"/>
                <w:lang w:val="en-US" w:eastAsia="zh-CN" w:bidi="ar"/>
              </w:rPr>
              <w:t xml:space="preserve">K68+027</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K73+236</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127494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755"/>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河海大道交叉口～宜兴界（</w:t>
            </w:r>
            <w:r>
              <w:rPr>
                <w:rFonts w:hint="default" w:ascii="Times New Roman" w:hAnsi="Times New Roman" w:eastAsia="宋体" w:cs="Times New Roman"/>
                <w:i w:val="0"/>
                <w:iCs w:val="0"/>
                <w:color w:val="auto"/>
                <w:sz w:val="22"/>
                <w:szCs w:val="22"/>
                <w:highlight w:val="none"/>
                <w:u w:val="none"/>
                <w:lang w:val="en-US" w:eastAsia="zh-CN" w:bidi="ar"/>
              </w:rPr>
              <w:t xml:space="preserve">K85</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K92+304</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164242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不包含儒林收费站</w:t>
            </w:r>
            <w:r>
              <w:rPr>
                <w:rFonts w:hint="default" w:ascii="Times New Roman" w:hAnsi="Times New Roman" w:eastAsia="宋体" w:cs="Times New Roman"/>
                <w:i w:val="0"/>
                <w:iCs w:val="0"/>
                <w:color w:val="auto"/>
                <w:sz w:val="22"/>
                <w:szCs w:val="22"/>
                <w:highlight w:val="none"/>
                <w:u w:val="none"/>
                <w:lang w:val="en-US" w:eastAsia="zh-CN" w:bidi="ar"/>
              </w:rPr>
              <w:t xml:space="preserve">-S239</w:t>
            </w:r>
            <w:r>
              <w:rPr>
                <w:rFonts w:hint="eastAsia" w:ascii="宋体" w:hAnsi="宋体" w:eastAsia="宋体" w:cs="宋体"/>
                <w:i w:val="0"/>
                <w:iCs w:val="0"/>
                <w:color w:val="auto"/>
                <w:sz w:val="22"/>
                <w:szCs w:val="22"/>
                <w:highlight w:val="none"/>
                <w:u w:val="none"/>
                <w:lang w:val="en-US" w:eastAsia="zh-CN" w:bidi="ar"/>
              </w:rPr>
              <w:t xml:space="preserve">交叉口两侧绿化带，两侧绿化带由儒林镇管养，</w:t>
            </w:r>
            <w:r>
              <w:rPr>
                <w:rFonts w:hint="default" w:ascii="Times New Roman" w:hAnsi="Times New Roman" w:eastAsia="宋体" w:cs="Times New Roman"/>
                <w:i w:val="0"/>
                <w:iCs w:val="0"/>
                <w:color w:val="auto"/>
                <w:sz w:val="22"/>
                <w:szCs w:val="22"/>
                <w:highlight w:val="none"/>
                <w:u w:val="none"/>
                <w:lang w:val="en-US" w:eastAsia="zh-CN" w:bidi="ar"/>
              </w:rPr>
              <w:t xml:space="preserve">S239</w:t>
            </w:r>
            <w:r>
              <w:rPr>
                <w:rFonts w:hint="eastAsia" w:ascii="宋体" w:hAnsi="宋体" w:eastAsia="宋体" w:cs="宋体"/>
                <w:i w:val="0"/>
                <w:iCs w:val="0"/>
                <w:color w:val="auto"/>
                <w:sz w:val="22"/>
                <w:szCs w:val="22"/>
                <w:highlight w:val="none"/>
                <w:u w:val="none"/>
                <w:lang w:val="en-US" w:eastAsia="zh-CN" w:bidi="ar"/>
              </w:rPr>
              <w:t xml:space="preserve">交叉口至宜兴界约</w:t>
            </w:r>
            <w:r>
              <w:rPr>
                <w:rFonts w:hint="default" w:ascii="Times New Roman" w:hAnsi="Times New Roman" w:eastAsia="宋体" w:cs="Times New Roman"/>
                <w:i w:val="0"/>
                <w:iCs w:val="0"/>
                <w:color w:val="auto"/>
                <w:sz w:val="22"/>
                <w:szCs w:val="22"/>
                <w:highlight w:val="none"/>
                <w:u w:val="none"/>
                <w:lang w:val="en-US" w:eastAsia="zh-CN" w:bidi="ar"/>
              </w:rPr>
              <w:t xml:space="preserve">20845m</w:t>
            </w:r>
            <w:r>
              <w:rPr>
                <w:rFonts w:hint="default" w:ascii="Times New Roman" w:hAnsi="Times New Roman" w:eastAsia="宋体" w:cs="Times New Roman"/>
                <w:i w:val="0"/>
                <w:iCs w:val="0"/>
                <w:color w:val="auto"/>
                <w:sz w:val="22"/>
                <w:szCs w:val="22"/>
                <w:highlight w:val="none"/>
                <w:u w:val="none"/>
                <w:vertAlign w:val="superscript"/>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绿化为待接养路段，预计</w:t>
            </w:r>
            <w:r>
              <w:rPr>
                <w:rFonts w:hint="default" w:ascii="Times New Roman" w:hAnsi="Times New Roman" w:eastAsia="宋体" w:cs="Times New Roman"/>
                <w:i w:val="0"/>
                <w:iCs w:val="0"/>
                <w:color w:val="auto"/>
                <w:sz w:val="22"/>
                <w:szCs w:val="22"/>
                <w:highlight w:val="none"/>
                <w:u w:val="none"/>
                <w:lang w:val="en-US" w:eastAsia="zh-CN" w:bidi="ar"/>
              </w:rPr>
              <w:t xml:space="preserve">2026</w:t>
            </w:r>
            <w:r>
              <w:rPr>
                <w:rFonts w:hint="eastAsia" w:ascii="宋体" w:hAnsi="宋体" w:eastAsia="宋体" w:cs="宋体"/>
                <w:i w:val="0"/>
                <w:iCs w:val="0"/>
                <w:color w:val="auto"/>
                <w:sz w:val="22"/>
                <w:szCs w:val="22"/>
                <w:highlight w:val="none"/>
                <w:u w:val="none"/>
                <w:lang w:val="en-US" w:eastAsia="zh-CN" w:bidi="ar"/>
              </w:rPr>
              <w:t xml:space="preserve">年</w:t>
            </w: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Fonts w:hint="eastAsia" w:ascii="宋体" w:hAnsi="宋体" w:eastAsia="宋体" w:cs="宋体"/>
                <w:i w:val="0"/>
                <w:iCs w:val="0"/>
                <w:color w:val="auto"/>
                <w:sz w:val="22"/>
                <w:szCs w:val="22"/>
                <w:highlight w:val="none"/>
                <w:u w:val="none"/>
                <w:lang w:val="en-US" w:eastAsia="zh-CN" w:bidi="ar"/>
              </w:rPr>
              <w:t xml:space="preserve">日接养，具体进场时间以甲方通知为准。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X351</w:t>
            </w:r>
            <w:r>
              <w:rPr>
                <w:rFonts w:hint="eastAsia" w:ascii="宋体" w:hAnsi="宋体" w:eastAsia="宋体" w:cs="宋体"/>
                <w:i w:val="0"/>
                <w:iCs w:val="0"/>
                <w:color w:val="auto"/>
                <w:sz w:val="22"/>
                <w:szCs w:val="22"/>
                <w:highlight w:val="none"/>
                <w:u w:val="none"/>
                <w:lang w:val="en-US" w:eastAsia="zh-CN" w:bidi="ar"/>
              </w:rPr>
              <w:t xml:space="preserve">钱资湖大道</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S240</w:t>
            </w:r>
            <w:r>
              <w:rPr>
                <w:rFonts w:hint="eastAsia" w:ascii="宋体" w:hAnsi="宋体" w:eastAsia="宋体" w:cs="宋体"/>
                <w:i w:val="0"/>
                <w:iCs w:val="0"/>
                <w:color w:val="auto"/>
                <w:sz w:val="22"/>
                <w:szCs w:val="22"/>
                <w:highlight w:val="none"/>
                <w:u w:val="none"/>
                <w:lang w:val="en-US" w:eastAsia="zh-CN" w:bidi="ar"/>
              </w:rPr>
              <w:t xml:space="preserve">～武进界（</w:t>
            </w:r>
            <w:r>
              <w:rPr>
                <w:rFonts w:hint="default" w:ascii="Times New Roman" w:hAnsi="Times New Roman" w:eastAsia="宋体" w:cs="Times New Roman"/>
                <w:i w:val="0"/>
                <w:iCs w:val="0"/>
                <w:color w:val="auto"/>
                <w:sz w:val="22"/>
                <w:szCs w:val="22"/>
                <w:highlight w:val="none"/>
                <w:u w:val="none"/>
                <w:lang w:val="en-US" w:eastAsia="zh-CN" w:bidi="ar"/>
              </w:rPr>
              <w:t xml:space="preserve">K0</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K12+464</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408900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扬溧高速金坛西</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46837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待接养路段，预计</w:t>
            </w:r>
            <w:r>
              <w:rPr>
                <w:rFonts w:hint="default" w:ascii="Times New Roman" w:hAnsi="Times New Roman" w:eastAsia="宋体" w:cs="Times New Roman"/>
                <w:i w:val="0"/>
                <w:iCs w:val="0"/>
                <w:color w:val="auto"/>
                <w:sz w:val="22"/>
                <w:szCs w:val="22"/>
                <w:highlight w:val="none"/>
                <w:u w:val="none"/>
                <w:lang w:val="en-US" w:eastAsia="zh-CN" w:bidi="ar"/>
              </w:rPr>
              <w:t xml:space="preserve">2026</w:t>
            </w:r>
            <w:r>
              <w:rPr>
                <w:rFonts w:hint="eastAsia" w:ascii="宋体" w:hAnsi="宋体" w:eastAsia="宋体" w:cs="宋体"/>
                <w:i w:val="0"/>
                <w:iCs w:val="0"/>
                <w:color w:val="auto"/>
                <w:sz w:val="22"/>
                <w:szCs w:val="22"/>
                <w:highlight w:val="none"/>
                <w:u w:val="none"/>
                <w:lang w:val="en-US" w:eastAsia="zh-CN" w:bidi="ar"/>
              </w:rPr>
              <w:t xml:space="preserve">年</w:t>
            </w: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Fonts w:hint="eastAsia" w:ascii="宋体" w:hAnsi="宋体" w:eastAsia="宋体" w:cs="宋体"/>
                <w:i w:val="0"/>
                <w:iCs w:val="0"/>
                <w:color w:val="auto"/>
                <w:sz w:val="22"/>
                <w:szCs w:val="22"/>
                <w:highlight w:val="none"/>
                <w:u w:val="none"/>
                <w:lang w:val="en-US" w:eastAsia="zh-CN" w:bidi="ar"/>
              </w:rPr>
              <w:t xml:space="preserve">日接养，具体进场时间以甲方通知为准。</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阜溧高速儒林互通</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22297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待接养路段，预计</w:t>
            </w:r>
            <w:r>
              <w:rPr>
                <w:rFonts w:hint="default" w:ascii="Times New Roman" w:hAnsi="Times New Roman" w:eastAsia="宋体" w:cs="Times New Roman"/>
                <w:i w:val="0"/>
                <w:iCs w:val="0"/>
                <w:color w:val="auto"/>
                <w:sz w:val="22"/>
                <w:szCs w:val="22"/>
                <w:highlight w:val="none"/>
                <w:u w:val="none"/>
                <w:lang w:val="en-US" w:eastAsia="zh-CN" w:bidi="ar"/>
              </w:rPr>
              <w:t xml:space="preserve">2026</w:t>
            </w:r>
            <w:r>
              <w:rPr>
                <w:rFonts w:hint="eastAsia" w:ascii="宋体" w:hAnsi="宋体" w:eastAsia="宋体" w:cs="宋体"/>
                <w:i w:val="0"/>
                <w:iCs w:val="0"/>
                <w:color w:val="auto"/>
                <w:sz w:val="22"/>
                <w:szCs w:val="22"/>
                <w:highlight w:val="none"/>
                <w:u w:val="none"/>
                <w:lang w:val="en-US" w:eastAsia="zh-CN" w:bidi="ar"/>
              </w:rPr>
              <w:t xml:space="preserve">年</w:t>
            </w: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Fonts w:hint="eastAsia" w:ascii="宋体" w:hAnsi="宋体" w:eastAsia="宋体" w:cs="宋体"/>
                <w:i w:val="0"/>
                <w:iCs w:val="0"/>
                <w:color w:val="auto"/>
                <w:sz w:val="22"/>
                <w:szCs w:val="22"/>
                <w:highlight w:val="none"/>
                <w:u w:val="none"/>
                <w:lang w:val="en-US" w:eastAsia="zh-CN" w:bidi="ar"/>
              </w:rPr>
              <w:t xml:space="preserve">日接养，具体进场时间以甲方通知为准。</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X251</w:t>
            </w:r>
            <w:r>
              <w:rPr>
                <w:rFonts w:hint="eastAsia" w:ascii="宋体" w:hAnsi="宋体" w:eastAsia="宋体" w:cs="宋体"/>
                <w:i w:val="0"/>
                <w:iCs w:val="0"/>
                <w:color w:val="auto"/>
                <w:sz w:val="22"/>
                <w:szCs w:val="22"/>
                <w:highlight w:val="none"/>
                <w:u w:val="none"/>
                <w:lang w:val="en-US" w:eastAsia="zh-CN" w:bidi="ar"/>
              </w:rPr>
              <w:t xml:space="preserve">长荡湖旅游大道</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河海大道交叉口～</w:t>
            </w:r>
            <w:r>
              <w:rPr>
                <w:rFonts w:hint="default" w:ascii="Times New Roman" w:hAnsi="Times New Roman" w:eastAsia="宋体" w:cs="Times New Roman"/>
                <w:i w:val="0"/>
                <w:iCs w:val="0"/>
                <w:color w:val="auto"/>
                <w:sz w:val="22"/>
                <w:szCs w:val="22"/>
                <w:highlight w:val="none"/>
                <w:u w:val="none"/>
                <w:lang w:val="en-US" w:eastAsia="zh-CN" w:bidi="ar"/>
              </w:rPr>
              <w:t xml:space="preserve">X201</w:t>
            </w:r>
            <w:r>
              <w:rPr>
                <w:rFonts w:hint="eastAsia" w:ascii="宋体" w:hAnsi="宋体" w:eastAsia="宋体" w:cs="宋体"/>
                <w:i w:val="0"/>
                <w:iCs w:val="0"/>
                <w:color w:val="auto"/>
                <w:sz w:val="22"/>
                <w:szCs w:val="22"/>
                <w:highlight w:val="none"/>
                <w:u w:val="none"/>
                <w:lang w:val="en-US" w:eastAsia="zh-CN" w:bidi="ar"/>
              </w:rPr>
              <w:t xml:space="preserve">交叉口（</w:t>
            </w:r>
            <w:r>
              <w:rPr>
                <w:rFonts w:hint="default" w:ascii="Times New Roman" w:hAnsi="Times New Roman" w:eastAsia="宋体" w:cs="Times New Roman"/>
                <w:i w:val="0"/>
                <w:iCs w:val="0"/>
                <w:color w:val="auto"/>
                <w:sz w:val="22"/>
                <w:szCs w:val="22"/>
                <w:highlight w:val="none"/>
                <w:u w:val="none"/>
                <w:lang w:val="en-US" w:eastAsia="zh-CN" w:bidi="ar"/>
              </w:rPr>
              <w:t xml:space="preserve">K6+173</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K11+291</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20485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不含河海大道交叉口和两侧绿化带，两侧绿化带由长管办管养。</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X201</w:t>
            </w:r>
            <w:r>
              <w:rPr>
                <w:rFonts w:hint="eastAsia" w:ascii="宋体" w:hAnsi="宋体" w:eastAsia="宋体" w:cs="宋体"/>
                <w:i w:val="0"/>
                <w:iCs w:val="0"/>
                <w:color w:val="auto"/>
                <w:sz w:val="22"/>
                <w:szCs w:val="22"/>
                <w:highlight w:val="none"/>
                <w:u w:val="none"/>
                <w:lang w:val="en-US" w:eastAsia="zh-CN" w:bidi="ar"/>
              </w:rPr>
              <w:t xml:space="preserve">河儒线</w:t>
            </w:r>
            <w:r/>
          </w:p>
        </w:tc>
        <w:tc>
          <w:tcPr>
            <w:shd w:val="clear" w:color="auto" w:fill="auto"/>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长荡湖大道交叉口～</w:t>
            </w:r>
            <w:r>
              <w:rPr>
                <w:rFonts w:hint="default" w:ascii="Times New Roman" w:hAnsi="Times New Roman" w:eastAsia="宋体" w:cs="Times New Roman"/>
                <w:i w:val="0"/>
                <w:iCs w:val="0"/>
                <w:color w:val="auto"/>
                <w:sz w:val="22"/>
                <w:szCs w:val="22"/>
                <w:highlight w:val="none"/>
                <w:u w:val="none"/>
                <w:lang w:val="en-US" w:eastAsia="zh-CN" w:bidi="ar"/>
              </w:rPr>
              <w:t xml:space="preserve">S239</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K23+125</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K26+7631</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54286 </w:t>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gridSpan w:val="4"/>
            <w:shd w:val="clear" w:color="auto" w:fill="auto"/>
            <w:tcBorders>
              <w:top w:val="single" w:color="000000" w:sz="4" w:space="0"/>
              <w:left w:val="single" w:color="000000" w:sz="4" w:space="0"/>
              <w:bottom w:val="single" w:color="000000" w:sz="4" w:space="0"/>
              <w:right w:val="single" w:color="000000" w:sz="4" w:space="0"/>
            </w:tcBorders>
            <w:tcW w:w="309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苗木移植、补植等零星工程</w:t>
            </w:r>
            <w:r/>
          </w:p>
        </w:tc>
        <w:tc>
          <w:tcPr>
            <w:shd w:val="clear" w:color="auto" w:fill="auto"/>
            <w:tcBorders>
              <w:top w:val="single" w:color="000000" w:sz="4" w:space="0"/>
              <w:left w:val="single" w:color="000000" w:sz="4" w:space="0"/>
              <w:bottom w:val="single" w:color="000000" w:sz="4" w:space="0"/>
              <w:right w:val="non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详见《苗木移植、补植等零星工程清单表》</w:t>
            </w:r>
            <w:r/>
          </w:p>
        </w:tc>
      </w:tr>
    </w:tbl>
    <w:p>
      <w:pPr>
        <w:ind w:firstLine="481"/>
        <w:jc w:val="both"/>
        <w:keepLines/>
        <w:keepNext/>
        <w:pageBreakBefore w:val="0"/>
        <w:spacing w:line="360" w:lineRule="auto"/>
        <w:widowControl w:val="off"/>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2027JTGL-LHYH-2</w:t>
      </w:r>
      <w:r>
        <w:rPr>
          <w:rFonts w:hint="eastAsia" w:ascii="宋体" w:hAnsi="宋体" w:eastAsia="宋体" w:cs="宋体"/>
          <w:bCs/>
          <w:color w:val="auto"/>
          <w:sz w:val="24"/>
          <w:szCs w:val="24"/>
          <w:highlight w:val="none"/>
          <w:lang w:val="en-US" w:eastAsia="zh-CN"/>
        </w:rPr>
        <w:t xml:space="preserve">标段：</w:t>
      </w:r>
      <w:r/>
    </w:p>
    <w:tbl>
      <w:tblPr>
        <w:tblStyle w:val="861"/>
        <w:tblW w:w="498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11"/>
        <w:gridCol w:w="2064"/>
        <w:gridCol w:w="701"/>
        <w:gridCol w:w="1552"/>
        <w:gridCol w:w="1206"/>
        <w:gridCol w:w="2798"/>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起止</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养护等级</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单价</w:t>
            </w:r>
            <w:r>
              <w:rPr>
                <w:rFonts w:hint="default" w:ascii="Times New Roman" w:hAnsi="Times New Roman" w:eastAsia="宋体" w:cs="Times New Roman"/>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（元</w:t>
            </w:r>
            <w:r>
              <w:rPr>
                <w:rFonts w:hint="default" w:ascii="Times New Roman" w:hAnsi="Times New Roman" w:eastAsia="宋体" w:cs="Times New Roman"/>
                <w:i w:val="0"/>
                <w:iCs w:val="0"/>
                <w:color w:val="auto"/>
                <w:sz w:val="22"/>
                <w:szCs w:val="22"/>
                <w:highlight w:val="none"/>
                <w:u w:val="none"/>
                <w:lang w:val="en-US" w:eastAsia="zh-CN" w:bidi="ar"/>
              </w:rPr>
              <w:t xml:space="preserve">/m</w:t>
            </w:r>
            <w:r>
              <w:rPr>
                <w:rFonts w:hint="default" w:ascii="Times New Roman" w:hAnsi="Times New Roman" w:eastAsia="宋体" w:cs="Times New Roman"/>
                <w:i w:val="0"/>
                <w:iCs w:val="0"/>
                <w:color w:val="auto"/>
                <w:sz w:val="22"/>
                <w:szCs w:val="22"/>
                <w:highlight w:val="none"/>
                <w:u w:val="none"/>
                <w:vertAlign w:val="superscript"/>
                <w:lang w:val="en-US" w:eastAsia="zh-CN" w:bidi="ar"/>
              </w:rPr>
              <w:t xml:space="preserve">2</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non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2026.12.1-2028.11.30</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限价</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养护面积（</w:t>
            </w:r>
            <w:r>
              <w:rPr>
                <w:rFonts w:hint="default" w:ascii="Times New Roman" w:hAnsi="Times New Roman" w:eastAsia="宋体" w:cs="Times New Roman"/>
                <w:i w:val="0"/>
                <w:iCs w:val="0"/>
                <w:color w:val="auto"/>
                <w:sz w:val="22"/>
                <w:szCs w:val="22"/>
                <w:highlight w:val="none"/>
                <w:u w:val="none"/>
                <w:lang w:val="en-US" w:eastAsia="zh-CN" w:bidi="ar"/>
              </w:rPr>
              <w:t xml:space="preserve">m</w:t>
            </w:r>
            <w:r>
              <w:rPr>
                <w:rFonts w:hint="default" w:ascii="Times New Roman" w:hAnsi="Times New Roman" w:eastAsia="宋体" w:cs="Times New Roman"/>
                <w:i w:val="0"/>
                <w:iCs w:val="0"/>
                <w:color w:val="auto"/>
                <w:sz w:val="22"/>
                <w:szCs w:val="22"/>
                <w:highlight w:val="none"/>
                <w:u w:val="none"/>
                <w:vertAlign w:val="superscript"/>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茅山旅游大道</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G233～S340（K19+060～K40+427）</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959543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G233克黄线</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河海大道交叉口～溧阳界（K1728+535～K1740+395）</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113820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待接养路段，预计2026年12月25日接养，具体进场时间以甲方通知为准。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X301直荣线</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G233～荣登桥（K0～K16+909）</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244092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X302白茅线</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G233～排涝桥西（K0～K4+145）</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46598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白乾线环境综合整治待接养路段，预计</w:t>
            </w:r>
            <w:r>
              <w:rPr>
                <w:rFonts w:hint="default" w:ascii="Times New Roman" w:hAnsi="Times New Roman" w:eastAsia="宋体" w:cs="Times New Roman"/>
                <w:i w:val="0"/>
                <w:iCs w:val="0"/>
                <w:color w:val="auto"/>
                <w:sz w:val="22"/>
                <w:szCs w:val="22"/>
                <w:highlight w:val="none"/>
                <w:u w:val="none"/>
                <w:lang w:val="en-US" w:eastAsia="zh-CN" w:bidi="ar"/>
              </w:rPr>
              <w:t xml:space="preserve">2027</w:t>
            </w:r>
            <w:r>
              <w:rPr>
                <w:rFonts w:hint="eastAsia" w:ascii="宋体" w:hAnsi="宋体" w:eastAsia="宋体" w:cs="宋体"/>
                <w:i w:val="0"/>
                <w:iCs w:val="0"/>
                <w:color w:val="auto"/>
                <w:sz w:val="22"/>
                <w:szCs w:val="22"/>
                <w:highlight w:val="none"/>
                <w:u w:val="none"/>
                <w:lang w:val="en-US" w:eastAsia="zh-CN" w:bidi="ar"/>
              </w:rPr>
              <w:t xml:space="preserve">年</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日接养，具体进场时间以甲方通知为准。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排涝桥西～直溪薛埠界（K4+145～K16）</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207722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X303金茅线</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沈渎大桥～X203延别线交叉口（K6+472～K16）</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172708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老金茅线交叉口～茅兴桥东（K17+036～K19+497）</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40554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包含老金茅线0.8km段绿化，不包含茅兴桥。</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X202建社线</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建昌转盘～西岗高速桥（K0～K13+175）</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156330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X203延别线</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延陵界～X302交叉口东（K0～K6+200）</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68238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X302交叉口西～S340交叉口</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258568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S340交叉口～茅旅交叉口</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62863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直别路南延交叉口～原大社线交叉口</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68406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X306水直线</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X302交叉口～X303交叉口</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58332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X303交叉口～S340交叉口</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102000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G233交叉口～西岗高速桥</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102880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西岗高速桥～茅山旅游大道交叉口南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34843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X304金薛线</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金龙大桥～薛埠朱林界（K3～K18）</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94094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X205薛社线</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G233交叉口～扬溧高速桥东</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118594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X372山湖线</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X205交叉口～扬溧高速桥西</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145052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丹金溧漕河金坛水上服务区</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gridSpan w:val="4"/>
            <w:shd w:val="clear" w:color="auto" w:fill="auto"/>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苗木移植、补植等零星工程</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详见《苗木移植、补植等零星工程清单表》</w:t>
            </w:r>
            <w:r/>
          </w:p>
        </w:tc>
      </w:tr>
    </w:tbl>
    <w:p>
      <w:pPr>
        <w:jc w:val="both"/>
        <w:keepLines/>
        <w:keepNext/>
        <w:spacing w:line="360" w:lineRule="auto"/>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r>
      <w:r/>
    </w:p>
    <w:p>
      <w:pPr>
        <w:jc w:val="both"/>
        <w:keepLines/>
        <w:keepNext/>
        <w:spacing w:line="360" w:lineRule="auto"/>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t xml:space="preserve">补充说明：</w:t>
      </w:r>
      <w:r/>
    </w:p>
    <w:p>
      <w:pPr>
        <w:jc w:val="both"/>
        <w:keepLines/>
        <w:keepNext/>
        <w:spacing w:line="360" w:lineRule="auto"/>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t xml:space="preserve">1.本项目零星工程不执行报价优惠折扣，工程量清单数量为养护服务期内累计暂估工程量，仅作为投标报价及计量控制参考，不作为最终结算依据。实际计量与结算以经跟踪审计、发包人确认的实际完成合格工程量为准，据实结算。</w:t>
      </w:r>
      <w:r/>
    </w:p>
    <w:p>
      <w:pPr>
        <w:jc w:val="both"/>
        <w:keepLines/>
        <w:keepNext/>
        <w:spacing w:line="360" w:lineRule="auto"/>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t xml:space="preserve">2.零星工程总价控制，不单独对各子目设置限价。各零星工程子目汇总后的总价款不得超过零星工程清单总价；在不超过该总价的前提下，各子目之间可统筹平衡，但汇总总价不得突破限额。</w:t>
      </w:r>
      <w:r/>
    </w:p>
    <w:p>
      <w:pPr>
        <w:jc w:val="both"/>
        <w:keepLines/>
        <w:keepNext/>
        <w:spacing w:line="360" w:lineRule="auto"/>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t xml:space="preserve">3.</w:t>
      </w:r>
      <w:r>
        <w:rPr>
          <w:rFonts w:hint="eastAsia" w:ascii="宋体" w:hAnsi="宋体" w:eastAsia="宋体" w:cs="宋体"/>
          <w:b/>
          <w:color w:val="auto"/>
          <w:sz w:val="24"/>
          <w:highlight w:val="none"/>
          <w:lang w:eastAsia="en-US"/>
        </w:rPr>
        <w:t xml:space="preserve">本工程养护期内发包人根据《常州市金坛区公路绿化养护管理考核办法》对承包人绿化养护情况按实际养护天数和面积进行计量，并根据考核结果每年</w:t>
      </w:r>
      <w:r>
        <w:rPr>
          <w:rFonts w:hint="eastAsia" w:ascii="宋体" w:hAnsi="宋体" w:cs="宋体"/>
          <w:b/>
          <w:color w:val="auto"/>
          <w:sz w:val="24"/>
          <w:highlight w:val="none"/>
          <w:lang w:val="en-US" w:eastAsia="zh-CN"/>
        </w:rPr>
        <w:t xml:space="preserve">7</w:t>
      </w:r>
      <w:r>
        <w:rPr>
          <w:rFonts w:hint="eastAsia" w:ascii="宋体" w:hAnsi="宋体" w:eastAsia="宋体" w:cs="宋体"/>
          <w:b/>
          <w:color w:val="auto"/>
          <w:sz w:val="24"/>
          <w:highlight w:val="none"/>
          <w:lang w:eastAsia="en-US"/>
        </w:rPr>
        <w:t xml:space="preserve">月和</w:t>
      </w:r>
      <w:r>
        <w:rPr>
          <w:rFonts w:hint="eastAsia" w:ascii="宋体" w:hAnsi="宋体" w:cs="宋体"/>
          <w:b/>
          <w:color w:val="auto"/>
          <w:sz w:val="24"/>
          <w:highlight w:val="none"/>
          <w:lang w:val="en-US" w:eastAsia="zh-CN"/>
        </w:rPr>
        <w:t xml:space="preserve">12</w:t>
      </w:r>
      <w:r>
        <w:rPr>
          <w:rFonts w:hint="eastAsia" w:ascii="宋体" w:hAnsi="宋体" w:eastAsia="宋体" w:cs="宋体"/>
          <w:b/>
          <w:color w:val="auto"/>
          <w:sz w:val="24"/>
          <w:highlight w:val="none"/>
          <w:lang w:eastAsia="en-US"/>
        </w:rPr>
        <w:t xml:space="preserve">月支付一次当期养护经费（移植或补植的苗木在确保成活后按合同中单价随养护经费一同支付），养护期满经</w:t>
      </w:r>
      <w:r>
        <w:rPr>
          <w:rFonts w:hint="eastAsia" w:ascii="宋体" w:hAnsi="宋体" w:cs="宋体"/>
          <w:b/>
          <w:color w:val="auto"/>
          <w:sz w:val="24"/>
          <w:highlight w:val="none"/>
          <w:lang w:val="en-US" w:eastAsia="zh-CN"/>
        </w:rPr>
        <w:t xml:space="preserve">发包</w:t>
      </w:r>
      <w:r>
        <w:rPr>
          <w:rFonts w:hint="eastAsia" w:ascii="宋体" w:hAnsi="宋体" w:eastAsia="宋体" w:cs="宋体"/>
          <w:b/>
          <w:color w:val="auto"/>
          <w:sz w:val="24"/>
          <w:highlight w:val="none"/>
          <w:lang w:eastAsia="en-US"/>
        </w:rPr>
        <w:t xml:space="preserve">人组织履约验收合格后退还履约保证金，所有应付款不计息。</w:t>
      </w:r>
      <w:r>
        <w:rPr>
          <w:rFonts w:hint="eastAsia" w:ascii="宋体" w:hAnsi="宋体" w:eastAsia="宋体" w:cs="宋体"/>
          <w:b/>
          <w:color w:val="auto"/>
          <w:sz w:val="24"/>
          <w:highlight w:val="none"/>
        </w:rPr>
        <w:t xml:space="preserve">移植苗如出现死亡乙方需按照《关于调整常州市市区园林绿化损坏赔偿标准的通知》文件中相应标准进行赔偿，赔偿费用在作业服务款中扣除。</w:t>
      </w:r>
      <w:r/>
    </w:p>
    <w:p>
      <w:pPr>
        <w:jc w:val="both"/>
        <w:keepLines/>
        <w:keepNext/>
        <w:spacing w:line="360" w:lineRule="auto"/>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r>
      <w:r/>
    </w:p>
    <w:p>
      <w:pPr>
        <w:jc w:val="both"/>
        <w:keepLines/>
        <w:keepNext/>
        <w:spacing w:line="360" w:lineRule="auto"/>
        <w:rPr>
          <w:rFonts w:hint="eastAsia" w:ascii="宋体" w:hAnsi="宋体" w:eastAsia="宋体" w:cs="宋体"/>
          <w:b/>
          <w:color w:val="auto"/>
          <w:sz w:val="24"/>
          <w:highlight w:val="none"/>
        </w:rPr>
        <w:outlineLvl w:val="2"/>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承诺：</w:t>
      </w:r>
      <w:r/>
    </w:p>
    <w:p>
      <w:pPr>
        <w:jc w:val="both"/>
        <w:keepLines/>
        <w:keepNext/>
        <w:spacing w:line="360" w:lineRule="auto"/>
        <w:rPr>
          <w:rFonts w:hint="eastAsia" w:ascii="宋体" w:hAnsi="宋体" w:eastAsia="宋体" w:cs="宋体"/>
          <w:b/>
          <w:color w:val="auto"/>
          <w:sz w:val="24"/>
          <w:highlight w:val="none"/>
        </w:rPr>
        <w:sectPr>
          <w:footnotePr/>
          <w:endnotePr/>
          <w:type w:val="nextPage"/>
          <w:pgSz w:w="11906" w:h="16838" w:orient="portrait"/>
          <w:pgMar w:top="1440" w:right="1080" w:bottom="1440" w:left="1080" w:header="851" w:footer="992" w:gutter="0"/>
          <w:cols w:num="1" w:sep="0" w:space="425" w:equalWidth="1"/>
          <w:docGrid w:linePitch="360"/>
        </w:sectPr>
        <w:outlineLvl w:val="2"/>
      </w:pPr>
      <w:r>
        <w:rPr>
          <w:rFonts w:hint="eastAsia" w:ascii="宋体" w:hAnsi="宋体" w:eastAsia="宋体" w:cs="宋体"/>
          <w:b/>
          <w:color w:val="auto"/>
          <w:sz w:val="24"/>
          <w:highlight w:val="none"/>
        </w:rPr>
        <w:t xml:space="preserve">    若本公司中标，则在合同期内涉及本标段的苗木补植、移植费用将按照《苗木移植、补植等零星工程清单表》中的投标单价*补植苗木数量进行结算。如补植或移植工作内容不在本清单内的，在发包人发出邀约后我方必然响应，并报送相关子目单价，经跟踪审计、发包人审核后，按审定后的单价作为该子目结算单价。</w:t>
      </w:r>
      <w:r/>
    </w:p>
    <w:p>
      <w:pPr>
        <w:jc w:val="center"/>
        <w:keepLines/>
        <w:keepNext/>
        <w:spacing w:line="360" w:lineRule="auto"/>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t xml:space="preserve">第二节  项目概况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1.项目最高限价：</w:t>
      </w:r>
      <w:r>
        <w:rPr>
          <w:rFonts w:hint="eastAsia" w:ascii="宋体" w:hAnsi="宋体" w:cs="宋体"/>
          <w:color w:val="auto"/>
          <w:sz w:val="24"/>
          <w:highlight w:val="none"/>
          <w:lang w:val="en-US" w:eastAsia="zh-CN"/>
        </w:rPr>
        <w:t xml:space="preserve">2027JTGL-LHYH-1</w:t>
      </w:r>
      <w:r>
        <w:rPr>
          <w:rFonts w:hint="eastAsia" w:ascii="宋体" w:hAnsi="宋体" w:eastAsia="宋体" w:cs="宋体"/>
          <w:color w:val="auto"/>
          <w:sz w:val="24"/>
          <w:highlight w:val="none"/>
          <w:lang w:val="en-US" w:eastAsia="zh-CN"/>
        </w:rPr>
        <w:t xml:space="preserve">标段</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2015.2268</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val="en-US" w:eastAsia="zh-CN"/>
        </w:rPr>
        <w:t xml:space="preserve">2027JTGL-LHYH-2</w:t>
      </w:r>
      <w:r>
        <w:rPr>
          <w:rFonts w:hint="eastAsia" w:ascii="宋体" w:hAnsi="宋体" w:eastAsia="宋体" w:cs="宋体"/>
          <w:color w:val="auto"/>
          <w:sz w:val="24"/>
          <w:highlight w:val="none"/>
          <w:lang w:val="en-US" w:eastAsia="zh-CN"/>
        </w:rPr>
        <w:t xml:space="preserve">标段</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1924.1527</w:t>
      </w:r>
      <w:r>
        <w:rPr>
          <w:rFonts w:hint="eastAsia" w:ascii="宋体" w:hAnsi="宋体" w:eastAsia="宋体" w:cs="宋体"/>
          <w:color w:val="auto"/>
          <w:sz w:val="24"/>
          <w:highlight w:val="none"/>
        </w:rPr>
        <w:t xml:space="preserve">万元。开标时投标人的投标报价超出招标人设定的最高投标限价的，招标人不予接受，投标文件将作为无效投标处理。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2.服务范围：金坛区范围内的公路绿化养护巡查、绿地保护、除草、绿化修剪、施肥、病虫害防治、灾害应急处置、刷白、移植、补植等工作。</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3.合同履行期限：</w:t>
      </w:r>
      <w:r>
        <w:rPr>
          <w:rFonts w:hint="eastAsia" w:ascii="宋体" w:hAnsi="宋体" w:eastAsia="宋体" w:cs="宋体"/>
          <w:color w:val="auto"/>
          <w:sz w:val="24"/>
          <w:highlight w:val="none"/>
          <w:lang w:val="en-US" w:eastAsia="zh-CN"/>
        </w:rPr>
        <w:t xml:space="preserve">1+1模式，合同一年一签，一年服务期满经采购方考核合格并确认同意后，可续签下一年合同(养护期限分为2026年12月1日-2027年11月30日和2027年12月1日至2028年11月30日。续签合同期限以甲方要求为准）。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keepLines/>
        <w:keepNext/>
        <w:spacing w:line="360" w:lineRule="auto"/>
        <w:rPr>
          <w:rFonts w:hint="eastAsia" w:ascii="宋体" w:hAnsi="宋体" w:eastAsia="宋体" w:cs="宋体"/>
          <w:b/>
          <w:bCs/>
          <w:color w:val="auto"/>
          <w:sz w:val="24"/>
          <w:highlight w:val="none"/>
          <w:lang w:eastAsia="zh-CN"/>
        </w:rPr>
        <w:outlineLvl w:val="2"/>
      </w:pPr>
      <w:r>
        <w:rPr>
          <w:rFonts w:hint="eastAsia" w:ascii="宋体" w:hAnsi="宋体" w:eastAsia="宋体" w:cs="宋体"/>
          <w:b/>
          <w:bCs/>
          <w:color w:val="auto"/>
          <w:sz w:val="24"/>
          <w:highlight w:val="none"/>
        </w:rPr>
        <w:t xml:space="preserve">第三节  技术要求</w:t>
      </w:r>
      <w:r/>
    </w:p>
    <w:p>
      <w:pPr>
        <w:numPr>
          <w:ilvl w:val="1"/>
          <w:numId w:val="0"/>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1．服务内容</w:t>
      </w:r>
      <w:r/>
    </w:p>
    <w:p>
      <w:pPr>
        <w:numPr>
          <w:ilvl w:val="1"/>
          <w:numId w:val="0"/>
        </w:numPr>
        <w:ind w:firstLine="480"/>
        <w:spacing w:line="360" w:lineRule="auto"/>
        <w:rPr>
          <w:rFonts w:hint="eastAsia" w:ascii="宋体" w:hAnsi="宋体" w:eastAsia="宋体" w:cs="宋体"/>
          <w:b/>
          <w:bCs/>
          <w:color w:val="auto"/>
          <w:highlight w:val="none"/>
        </w:rPr>
      </w:pPr>
      <w:r>
        <w:rPr>
          <w:rFonts w:hint="eastAsia" w:ascii="宋体" w:hAnsi="宋体" w:eastAsia="宋体" w:cs="宋体"/>
          <w:color w:val="auto"/>
          <w:sz w:val="24"/>
          <w:highlight w:val="none"/>
        </w:rPr>
        <w:t xml:space="preserve">金坛区范围内的公路绿化养护巡查、绿地保护、除草、绿化修剪、施肥、病虫害防治、灾害应急处置、刷白、移植、补植等工作。</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sz w:val="24"/>
          <w:highlight w:val="none"/>
        </w:rPr>
        <w:t xml:space="preserve">人员要求</w:t>
      </w:r>
      <w:r/>
    </w:p>
    <w:p>
      <w:pPr>
        <w:numPr>
          <w:ilvl w:val="1"/>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.本项目要求配备满足养护作业需要数量及资历的</w:t>
      </w:r>
      <w:r>
        <w:rPr>
          <w:rFonts w:hint="default" w:ascii="宋体" w:hAnsi="宋体" w:eastAsia="宋体" w:cs="宋体"/>
          <w:color w:val="auto"/>
          <w:sz w:val="24"/>
          <w:highlight w:val="none"/>
          <w:lang w:val="en-US"/>
        </w:rPr>
        <w:t xml:space="preserve">专职</w:t>
      </w:r>
      <w:r>
        <w:rPr>
          <w:rFonts w:hint="eastAsia" w:ascii="宋体" w:hAnsi="宋体" w:eastAsia="宋体" w:cs="宋体"/>
          <w:color w:val="auto"/>
          <w:sz w:val="24"/>
          <w:highlight w:val="none"/>
        </w:rPr>
        <w:t xml:space="preserve">安全员、登高作业人员及其他技术人员。</w:t>
      </w:r>
      <w:r/>
    </w:p>
    <w:p>
      <w:pPr>
        <w:numPr>
          <w:ilvl w:val="1"/>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.本项目需配备一定数量的养护作业人员，养护作业人员与项目负责人、</w:t>
      </w:r>
      <w:r>
        <w:rPr>
          <w:rFonts w:hint="default" w:ascii="宋体" w:hAnsi="宋体" w:eastAsia="宋体" w:cs="宋体"/>
          <w:color w:val="auto"/>
          <w:sz w:val="24"/>
          <w:highlight w:val="none"/>
          <w:lang w:val="en-US"/>
        </w:rPr>
        <w:t xml:space="preserve">专职</w:t>
      </w:r>
      <w:r>
        <w:rPr>
          <w:rFonts w:hint="eastAsia" w:ascii="宋体" w:hAnsi="宋体" w:eastAsia="宋体" w:cs="宋体"/>
          <w:color w:val="auto"/>
          <w:sz w:val="24"/>
          <w:highlight w:val="none"/>
        </w:rPr>
        <w:t xml:space="preserve">安全员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巡查人员、车辆驾驶员</w:t>
      </w:r>
      <w:r>
        <w:rPr>
          <w:rFonts w:hint="eastAsia" w:ascii="宋体" w:hAnsi="宋体" w:eastAsia="宋体" w:cs="宋体"/>
          <w:color w:val="auto"/>
          <w:sz w:val="24"/>
          <w:highlight w:val="none"/>
        </w:rPr>
        <w:t xml:space="preserve">不得重复。合同实施期间若不能满足要求，需无条件更换或增加。养护作业人员投标阶段可不填报，但合同签订前应按要求配备齐全。</w:t>
      </w:r>
      <w:r/>
    </w:p>
    <w:p>
      <w:pPr>
        <w:numPr>
          <w:ilvl w:val="1"/>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★各包段最低配备项目团队人员要求如下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具体人员配备情况仅需在投标文件中提供承诺书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tbl>
      <w:tblPr>
        <w:tblStyle w:val="1363"/>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25"/>
        <w:gridCol w:w="2087"/>
        <w:gridCol w:w="2087"/>
        <w:gridCol w:w="1537"/>
        <w:gridCol w:w="1537"/>
        <w:gridCol w:w="1673"/>
      </w:tblGrid>
      <w:tr>
        <w:trPr>
          <w:jc w:val="center"/>
          <w:trHeight w:val="0"/>
          <w:tblHeader/>
        </w:trPr>
        <w:tc>
          <w:tcPr>
            <w:shd w:val="clear" w:color="auto" w:fill="auto"/>
            <w:tcW w:w="423" w:type="pct"/>
            <w:vAlign w:val="center"/>
            <w:textDirection w:val="lrTb"/>
            <w:noWrap w:val="false"/>
          </w:tcPr>
          <w:p>
            <w:pPr>
              <w:numPr>
                <w:ilvl w:val="1"/>
                <w:numId w:val="0"/>
              </w:numPr>
              <w:ind w:left="0" w:right="0" w:firstLine="0"/>
              <w:jc w:val="center"/>
              <w:spacing w:line="240" w:lineRule="auto"/>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z w:val="24"/>
                <w:highlight w:val="none"/>
                <w:lang w:eastAsia="en-US"/>
              </w:rPr>
              <w:t xml:space="preserve">包段</w:t>
            </w:r>
            <w:r/>
          </w:p>
        </w:tc>
        <w:tc>
          <w:tcPr>
            <w:shd w:val="clear" w:color="auto" w:fill="auto"/>
            <w:tcW w:w="1070" w:type="pct"/>
            <w:vAlign w:val="center"/>
            <w:textDirection w:val="lrTb"/>
            <w:noWrap w:val="false"/>
          </w:tcPr>
          <w:p>
            <w:pPr>
              <w:numPr>
                <w:ilvl w:val="1"/>
                <w:numId w:val="0"/>
              </w:numPr>
              <w:ind w:left="0" w:right="0" w:firstLine="0"/>
              <w:jc w:val="center"/>
              <w:spacing w:line="240" w:lineRule="auto"/>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z w:val="24"/>
                <w:highlight w:val="none"/>
                <w:lang w:eastAsia="en-US"/>
              </w:rPr>
              <w:t xml:space="preserve">项目负责人</w:t>
            </w:r>
            <w:r/>
          </w:p>
        </w:tc>
        <w:tc>
          <w:tcPr>
            <w:shd w:val="clear" w:color="auto" w:fill="auto"/>
            <w:tcW w:w="1070" w:type="pct"/>
            <w:vAlign w:val="center"/>
            <w:textDirection w:val="lrTb"/>
            <w:noWrap w:val="false"/>
          </w:tcPr>
          <w:p>
            <w:pPr>
              <w:numPr>
                <w:ilvl w:val="1"/>
                <w:numId w:val="0"/>
              </w:numPr>
              <w:ind w:left="0" w:right="0" w:firstLine="0"/>
              <w:jc w:val="center"/>
              <w:spacing w:line="240" w:lineRule="auto"/>
              <w:rPr>
                <w:rFonts w:hint="eastAsia" w:ascii="宋体" w:hAnsi="宋体" w:eastAsia="宋体" w:cs="宋体"/>
                <w:b/>
                <w:color w:val="auto"/>
                <w:sz w:val="24"/>
                <w:szCs w:val="24"/>
                <w:highlight w:val="none"/>
                <w:lang w:val="en-US" w:eastAsia="en-US" w:bidi="ar-SA"/>
              </w:rPr>
            </w:pPr>
            <w:r>
              <w:rPr>
                <w:rFonts w:hint="default" w:ascii="宋体" w:hAnsi="宋体" w:eastAsia="宋体" w:cs="宋体"/>
                <w:b/>
                <w:color w:val="auto"/>
                <w:sz w:val="24"/>
                <w:highlight w:val="none"/>
                <w:lang w:eastAsia="en-US"/>
              </w:rPr>
              <w:t xml:space="preserve">专职</w:t>
            </w:r>
            <w:r>
              <w:rPr>
                <w:rFonts w:hint="eastAsia" w:ascii="宋体" w:hAnsi="宋体" w:eastAsia="宋体" w:cs="宋体"/>
                <w:b/>
                <w:color w:val="auto"/>
                <w:sz w:val="24"/>
                <w:highlight w:val="none"/>
                <w:lang w:eastAsia="en-US"/>
              </w:rPr>
              <w:t xml:space="preserve">安全员</w:t>
            </w:r>
            <w:r/>
          </w:p>
        </w:tc>
        <w:tc>
          <w:tcPr>
            <w:tcW w:w="788" w:type="pct"/>
            <w:vAlign w:val="center"/>
            <w:textDirection w:val="lrTb"/>
            <w:noWrap w:val="false"/>
          </w:tcPr>
          <w:p>
            <w:pPr>
              <w:ind w:left="0" w:right="0" w:firstLine="0"/>
              <w:jc w:val="center"/>
              <w:keepLines w:val="0"/>
              <w:keepNext w:val="0"/>
              <w:widowControl/>
              <w:rPr>
                <w:rFonts w:hint="default" w:ascii="宋体" w:hAnsi="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巡查人员</w:t>
            </w:r>
            <w:r/>
          </w:p>
        </w:tc>
        <w:tc>
          <w:tcPr>
            <w:shd w:val="clear" w:color="auto" w:fill="auto"/>
            <w:tcW w:w="788" w:type="pct"/>
            <w:vAlign w:val="center"/>
            <w:textDirection w:val="lrTb"/>
            <w:noWrap w:val="false"/>
          </w:tcPr>
          <w:p>
            <w:pPr>
              <w:ind w:left="0" w:right="0" w:firstLine="0"/>
              <w:jc w:val="center"/>
              <w:keepLines w:val="0"/>
              <w:keepNext w:val="0"/>
              <w:widowControl/>
              <w:rPr>
                <w:rFonts w:hint="eastAsia" w:ascii="宋体" w:hAnsi="宋体" w:eastAsia="宋体" w:cs="宋体"/>
                <w:b/>
                <w:color w:val="auto"/>
                <w:sz w:val="24"/>
                <w:szCs w:val="24"/>
                <w:highlight w:val="none"/>
                <w:lang w:val="en-US" w:eastAsia="zh-CN" w:bidi="ar-SA"/>
              </w:rPr>
              <w:suppressLineNumbers w:val="0"/>
            </w:pPr>
            <w:r>
              <w:rPr>
                <w:rFonts w:hint="eastAsia" w:ascii="宋体" w:hAnsi="宋体" w:cs="宋体"/>
                <w:b/>
                <w:color w:val="auto"/>
                <w:sz w:val="24"/>
                <w:highlight w:val="none"/>
                <w:lang w:val="en-US" w:eastAsia="zh-CN"/>
              </w:rPr>
              <w:t xml:space="preserve">车辆驾驶员</w:t>
            </w:r>
            <w:r/>
          </w:p>
        </w:tc>
        <w:tc>
          <w:tcPr>
            <w:shd w:val="clear" w:color="auto" w:fill="auto"/>
            <w:tcW w:w="857" w:type="pct"/>
            <w:vAlign w:val="center"/>
            <w:textDirection w:val="lrTb"/>
            <w:noWrap w:val="false"/>
          </w:tcPr>
          <w:p>
            <w:pPr>
              <w:ind w:left="0" w:right="0" w:firstLine="0"/>
              <w:jc w:val="center"/>
              <w:keepLines w:val="0"/>
              <w:keepNext w:val="0"/>
              <w:widowControl/>
              <w:rPr>
                <w:rFonts w:hint="eastAsia" w:ascii="宋体" w:hAnsi="宋体" w:eastAsia="宋体" w:cs="宋体"/>
                <w:b/>
                <w:color w:val="auto"/>
                <w:sz w:val="24"/>
                <w:szCs w:val="24"/>
                <w:highlight w:val="none"/>
                <w:lang w:val="en-US" w:eastAsia="zh-CN" w:bidi="ar-SA"/>
              </w:rPr>
              <w:suppressLineNumbers w:val="0"/>
            </w:pPr>
            <w:r>
              <w:rPr>
                <w:rFonts w:hint="eastAsia" w:ascii="宋体" w:hAnsi="宋体" w:cs="宋体"/>
                <w:b/>
                <w:color w:val="auto"/>
                <w:sz w:val="24"/>
                <w:highlight w:val="none"/>
                <w:lang w:val="en-US" w:eastAsia="zh-CN"/>
              </w:rPr>
              <w:t xml:space="preserve">养护人员</w:t>
            </w:r>
            <w:r/>
          </w:p>
        </w:tc>
      </w:tr>
      <w:tr>
        <w:trPr>
          <w:jc w:val="center"/>
          <w:trHeight w:val="0"/>
        </w:trPr>
        <w:tc>
          <w:tcPr>
            <w:shd w:val="clear" w:color="auto" w:fill="auto"/>
            <w:tcW w:w="423"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01</w:t>
            </w:r>
            <w:r/>
          </w:p>
        </w:tc>
        <w:tc>
          <w:tcPr>
            <w:shd w:val="clear" w:color="auto" w:fill="auto"/>
            <w:tcW w:w="1070"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W w:w="1070"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W w:w="788" w:type="pct"/>
            <w:vAlign w:val="center"/>
            <w:textDirection w:val="lrTb"/>
            <w:noWrap w:val="false"/>
          </w:tcPr>
          <w:p>
            <w:pPr>
              <w:ind w:left="0" w:right="0" w:firstLine="0"/>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W w:w="788"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6</w:t>
            </w:r>
            <w:r/>
          </w:p>
        </w:tc>
        <w:tc>
          <w:tcPr>
            <w:shd w:val="clear" w:color="auto" w:fill="auto"/>
            <w:tcW w:w="857"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122</w:t>
            </w:r>
            <w:r/>
          </w:p>
        </w:tc>
      </w:tr>
      <w:tr>
        <w:trPr>
          <w:jc w:val="center"/>
          <w:trHeight w:val="0"/>
        </w:trPr>
        <w:tc>
          <w:tcPr>
            <w:tcW w:w="423"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4"/>
                <w:highlight w:val="none"/>
                <w:lang w:eastAsia="en-US"/>
              </w:rPr>
              <w:suppressLineNumbers w:val="0"/>
            </w:pPr>
            <w:r>
              <w:rPr>
                <w:rFonts w:hint="eastAsia" w:ascii="宋体" w:hAnsi="宋体" w:eastAsia="宋体" w:cs="宋体"/>
                <w:i w:val="0"/>
                <w:iCs w:val="0"/>
                <w:color w:val="auto"/>
                <w:sz w:val="24"/>
                <w:szCs w:val="24"/>
                <w:highlight w:val="none"/>
                <w:u w:val="none"/>
                <w:lang w:val="en-US" w:eastAsia="zh-CN"/>
              </w:rPr>
              <w:t xml:space="preserve">02</w:t>
            </w:r>
            <w:r/>
          </w:p>
        </w:tc>
        <w:tc>
          <w:tcPr>
            <w:tcW w:w="1070"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4"/>
                <w:highlight w:val="none"/>
                <w:lang w:eastAsia="en-US"/>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070"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4"/>
                <w:highlight w:val="none"/>
                <w:lang w:eastAsia="en-US"/>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788" w:type="pct"/>
            <w:vAlign w:val="center"/>
            <w:textDirection w:val="lrTb"/>
            <w:noWrap w:val="false"/>
          </w:tcPr>
          <w:p>
            <w:pPr>
              <w:ind w:left="0" w:right="0" w:firstLine="0"/>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W w:w="788"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6</w:t>
            </w:r>
            <w:r/>
          </w:p>
        </w:tc>
        <w:tc>
          <w:tcPr>
            <w:shd w:val="clear" w:color="auto" w:fill="auto"/>
            <w:tcW w:w="857"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118</w:t>
            </w:r>
            <w:r/>
          </w:p>
        </w:tc>
      </w:tr>
    </w:tbl>
    <w:p>
      <w:pPr>
        <w:numPr>
          <w:ilvl w:val="1"/>
          <w:numId w:val="0"/>
        </w:num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w:t>
      </w:r>
      <w:r/>
    </w:p>
    <w:p>
      <w:pPr>
        <w:numPr>
          <w:ilvl w:val="1"/>
          <w:numId w:val="0"/>
        </w:numPr>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项目负责人和专职安全员在投标时须提供2026年5月1日以来投标人为其任意1个月缴纳的社会保险的证明扫描件（缴费证明内容需含起止时间、缴费单位、缴费人员姓名并由社保机构加盖缴费证明专用章，社保机构官网上打印件与线下的盖章件具有同等效力，缴费单位与投标人名称一致）。</w:t>
      </w:r>
      <w:r/>
    </w:p>
    <w:p>
      <w:pPr>
        <w:numPr>
          <w:ilvl w:val="1"/>
          <w:numId w:val="0"/>
        </w:num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2、车辆驾驶员是指洒</w:t>
      </w:r>
      <w:r>
        <w:rPr>
          <w:rFonts w:hint="eastAsia" w:ascii="宋体" w:hAnsi="宋体" w:cs="宋体"/>
          <w:b/>
          <w:bCs/>
          <w:color w:val="auto"/>
          <w:sz w:val="24"/>
          <w:highlight w:val="none"/>
          <w:lang w:val="en-US" w:eastAsia="zh-CN"/>
        </w:rPr>
        <w:t xml:space="preserve">水车、抑尘车、登高车、工程车、清运卡车、防撞车的驾驶人员。在投标时须提供2026年5月1日以来投标人为其任意1个月缴纳的社会保险的证明扫描件（缴费证明内容需含起止时间、缴费单位、缴费人员姓名并由社保机构加盖缴费证明专用章，社保机构官网上打印件与线下的盖章件具有同等效力，缴费单位与投标人名称一致），按照投标格式“投标人拟投入设备情况一览表”要求填写以上车型所对应安排的驾驶人员姓名以及所匹配的驾驶证照等级。其中登高车驾驶员若操作升降平台，还须同时提供应急管理部门颁发有效的高处安装、维护、拆除作业特种作业操作证。</w:t>
      </w:r>
      <w:r/>
    </w:p>
    <w:p>
      <w:pPr>
        <w:numPr>
          <w:ilvl w:val="1"/>
          <w:numId w:val="0"/>
        </w:numPr>
        <w:spacing w:line="360" w:lineRule="auto"/>
        <w:rPr>
          <w:rFonts w:hint="default" w:ascii="宋体" w:hAnsi="宋体" w:cs="宋体"/>
          <w:b/>
          <w:bCs/>
          <w:color w:val="auto"/>
          <w:sz w:val="24"/>
          <w:highlight w:val="none"/>
          <w:lang w:val="en-US" w:eastAsia="zh-CN"/>
        </w:rPr>
      </w:pPr>
      <w:r>
        <w:rPr>
          <w:rFonts w:hint="eastAsia" w:ascii="宋体" w:hAnsi="宋体" w:cs="宋体"/>
          <w:b/>
          <w:color w:val="auto"/>
          <w:sz w:val="24"/>
          <w:highlight w:val="none"/>
          <w:lang w:val="en-US" w:eastAsia="zh-CN"/>
        </w:rPr>
        <w:t xml:space="preserve">3、巡查人员在投标时须提供2026年5月1日以来投标人为其任意1个月缴纳的社会保险的证明扫描件（缴费证明内容需含起止时间、缴费单位、缴费人员姓名并由社保机构加盖缴费证明专用章，社保机构官网上打印件与线下的盖章件具有同等效力，缴费单位与投标人名称一致）。</w:t>
      </w:r>
      <w:r/>
    </w:p>
    <w:p>
      <w:pPr>
        <w:numPr>
          <w:ilvl w:val="1"/>
          <w:numId w:val="0"/>
        </w:numPr>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4、养护人员仅需在投标文件中提供承诺书，在合同签订时提供团队人员花名册。</w:t>
      </w:r>
      <w:r/>
    </w:p>
    <w:p>
      <w:pPr>
        <w:numPr>
          <w:ilvl w:val="1"/>
          <w:numId w:val="0"/>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3.车辆及机械设备要求</w:t>
      </w:r>
      <w:r/>
    </w:p>
    <w:p>
      <w:pPr>
        <w:numPr>
          <w:ilvl w:val="-1"/>
          <w:numId w:val="0"/>
        </w:numPr>
        <w:ind w:firstLine="480"/>
        <w:jc w:val="left"/>
        <w:spacing w:line="360" w:lineRule="auto"/>
        <w:rPr>
          <w:rFonts w:hint="eastAsia" w:ascii="宋体" w:hAnsi="宋体" w:cs="宋体"/>
          <w:color w:val="auto"/>
          <w:spacing w:val="1"/>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pacing w:val="1"/>
          <w:sz w:val="24"/>
          <w:highlight w:val="none"/>
          <w:lang w:val="en-US" w:eastAsia="zh-CN"/>
        </w:rPr>
        <w:t xml:space="preserve">本项目投标人需要提供8辆洒水车（每辆行驶证核定载质量均≥6000</w:t>
      </w:r>
      <w:r>
        <w:rPr>
          <w:rFonts w:hint="eastAsia" w:ascii="宋体" w:hAnsi="宋体"/>
          <w:color w:val="auto"/>
          <w:spacing w:val="1"/>
          <w:sz w:val="24"/>
          <w:highlight w:val="none"/>
        </w:rPr>
        <w:t xml:space="preserve">kg</w:t>
      </w:r>
      <w:r>
        <w:rPr>
          <w:rFonts w:hint="eastAsia" w:ascii="宋体" w:hAnsi="宋体" w:cs="宋体"/>
          <w:color w:val="auto"/>
          <w:spacing w:val="1"/>
          <w:sz w:val="24"/>
          <w:highlight w:val="none"/>
          <w:lang w:val="en-US" w:eastAsia="zh-CN"/>
        </w:rPr>
        <w:t xml:space="preserve">），2辆抑尘车（雾炮车）（行驶证核定载质量≥8000kg），1辆登高车（升降高度≥10 米），2辆工程车（行驶证核定载质量≥800kg、行驶证核定载人数≥8 人），2辆清运卡车，</w:t>
      </w:r>
      <w:r>
        <w:rPr>
          <w:rFonts w:hint="eastAsia" w:ascii="宋体" w:hAnsi="宋体" w:cs="宋体"/>
          <w:color w:val="auto"/>
          <w:sz w:val="24"/>
          <w:highlight w:val="none"/>
          <w:lang w:val="en-US" w:eastAsia="zh-CN"/>
        </w:rPr>
        <w:t xml:space="preserve">3辆防撞车</w:t>
      </w:r>
      <w:r>
        <w:rPr>
          <w:rFonts w:hint="eastAsia" w:ascii="宋体" w:hAnsi="宋体" w:eastAsia="宋体" w:cs="宋体"/>
          <w:color w:val="auto"/>
          <w:spacing w:val="1"/>
          <w:sz w:val="24"/>
          <w:highlight w:val="none"/>
          <w:lang w:eastAsia="en-US"/>
        </w:rPr>
        <w:t xml:space="preserve">（防撞能力不小于100km/h ，行驶证整备质量≥ 11000kg，行驶证总质量≥11500kg）</w:t>
      </w:r>
      <w:r>
        <w:rPr>
          <w:rFonts w:hint="eastAsia" w:ascii="宋体" w:hAnsi="宋体" w:cs="宋体"/>
          <w:color w:val="auto"/>
          <w:spacing w:val="1"/>
          <w:sz w:val="24"/>
          <w:highlight w:val="none"/>
          <w:lang w:val="en-US" w:eastAsia="zh-CN"/>
        </w:rPr>
        <w:t xml:space="preserve">。</w:t>
      </w:r>
      <w:r/>
    </w:p>
    <w:p>
      <w:pPr>
        <w:numPr>
          <w:ilvl w:val="-1"/>
          <w:numId w:val="0"/>
        </w:numPr>
        <w:ind w:firstLine="484"/>
        <w:jc w:val="left"/>
        <w:spacing w:line="360" w:lineRule="auto"/>
        <w:rPr>
          <w:rFonts w:hint="default" w:ascii="宋体" w:hAnsi="宋体" w:cs="宋体"/>
          <w:color w:val="auto"/>
          <w:spacing w:val="1"/>
          <w:sz w:val="24"/>
          <w:highlight w:val="none"/>
          <w:lang w:val="en-US" w:eastAsia="zh-CN"/>
        </w:rPr>
      </w:pPr>
      <w:r>
        <w:rPr>
          <w:rFonts w:hint="default" w:ascii="宋体" w:hAnsi="宋体" w:cs="宋体"/>
          <w:color w:val="auto"/>
          <w:spacing w:val="1"/>
          <w:sz w:val="24"/>
          <w:highlight w:val="none"/>
          <w:lang w:val="en-US" w:eastAsia="zh-CN"/>
        </w:rPr>
        <w:t xml:space="preserve">注：</w:t>
      </w:r>
      <w:r/>
    </w:p>
    <w:p>
      <w:pPr>
        <w:numPr>
          <w:ilvl w:val="-1"/>
          <w:numId w:val="0"/>
        </w:numPr>
        <w:ind w:firstLine="484"/>
        <w:jc w:val="left"/>
        <w:spacing w:line="360" w:lineRule="auto"/>
        <w:rPr>
          <w:rFonts w:hint="default" w:ascii="宋体" w:hAnsi="宋体" w:cs="宋体"/>
          <w:color w:val="auto"/>
          <w:spacing w:val="1"/>
          <w:sz w:val="24"/>
          <w:highlight w:val="none"/>
          <w:lang w:val="en-US" w:eastAsia="zh-CN"/>
        </w:rPr>
      </w:pPr>
      <w:r>
        <w:rPr>
          <w:rFonts w:hint="default" w:ascii="宋体" w:hAnsi="宋体" w:cs="宋体"/>
          <w:color w:val="auto"/>
          <w:spacing w:val="1"/>
          <w:sz w:val="24"/>
          <w:highlight w:val="none"/>
          <w:lang w:val="en-US" w:eastAsia="zh-CN"/>
        </w:rPr>
        <w:t xml:space="preserve">①如是自有车辆须提供以上车辆行驶证扫描件、发票扫描件（如无发票则提供购销合同扫描件）（自有定义：设备车辆行驶证上登记所有人须为投标人（含分公司）或企业法定代表人）。</w:t>
      </w:r>
      <w:r/>
    </w:p>
    <w:p>
      <w:pPr>
        <w:numPr>
          <w:ilvl w:val="-1"/>
          <w:numId w:val="0"/>
        </w:numPr>
        <w:ind w:firstLine="484"/>
        <w:jc w:val="left"/>
        <w:spacing w:line="360" w:lineRule="auto"/>
        <w:rPr>
          <w:rFonts w:hint="default" w:ascii="宋体" w:hAnsi="宋体" w:cs="宋体"/>
          <w:color w:val="auto"/>
          <w:spacing w:val="1"/>
          <w:sz w:val="24"/>
          <w:highlight w:val="none"/>
          <w:lang w:val="en-US" w:eastAsia="zh-CN"/>
        </w:rPr>
      </w:pPr>
      <w:r>
        <w:rPr>
          <w:rFonts w:hint="default" w:ascii="宋体" w:hAnsi="宋体" w:cs="宋体"/>
          <w:color w:val="auto"/>
          <w:spacing w:val="1"/>
          <w:sz w:val="24"/>
          <w:highlight w:val="none"/>
          <w:lang w:val="en-US" w:eastAsia="zh-CN"/>
        </w:rPr>
        <w:t xml:space="preserve">②如是租赁车辆须提供以上车辆行驶证扫描件、租赁协议扫描件、租赁交易资金流水凭证及发票</w:t>
      </w:r>
      <w:r>
        <w:rPr>
          <w:rFonts w:hint="eastAsia" w:ascii="宋体" w:hAnsi="宋体" w:cs="宋体"/>
          <w:color w:val="auto"/>
          <w:spacing w:val="1"/>
          <w:sz w:val="24"/>
          <w:highlight w:val="none"/>
          <w:lang w:val="en-US" w:eastAsia="zh-CN"/>
        </w:rPr>
        <w:t xml:space="preserve">扫描件</w:t>
      </w:r>
      <w:r>
        <w:rPr>
          <w:rFonts w:hint="default" w:ascii="宋体" w:hAnsi="宋体" w:cs="宋体"/>
          <w:color w:val="auto"/>
          <w:spacing w:val="1"/>
          <w:sz w:val="24"/>
          <w:highlight w:val="none"/>
          <w:lang w:val="en-US" w:eastAsia="zh-CN"/>
        </w:rPr>
        <w:t xml:space="preserve">（设备车辆行驶证上登记所有人须为租赁单位或租赁单位法定代表人）。</w:t>
      </w:r>
      <w:r/>
    </w:p>
    <w:p>
      <w:pPr>
        <w:numPr>
          <w:ilvl w:val="-1"/>
          <w:numId w:val="0"/>
        </w:numPr>
        <w:ind w:firstLine="484"/>
        <w:jc w:val="left"/>
        <w:spacing w:line="360" w:lineRule="auto"/>
        <w:rPr>
          <w:rFonts w:hint="default" w:ascii="宋体" w:hAnsi="宋体" w:cs="宋体"/>
          <w:color w:val="auto"/>
          <w:spacing w:val="1"/>
          <w:sz w:val="24"/>
          <w:highlight w:val="none"/>
          <w:lang w:val="en-US" w:eastAsia="zh-CN"/>
        </w:rPr>
      </w:pPr>
      <w:r>
        <w:rPr>
          <w:rFonts w:hint="default" w:ascii="宋体" w:hAnsi="宋体" w:cs="宋体"/>
          <w:color w:val="auto"/>
          <w:spacing w:val="1"/>
          <w:sz w:val="24"/>
          <w:highlight w:val="none"/>
          <w:lang w:val="en-US" w:eastAsia="zh-CN"/>
        </w:rPr>
        <w:t xml:space="preserve">③登高车、防撞车，如提供的行驶证、发票、车辆照片、机动车登记证书不能</w:t>
      </w:r>
      <w:r>
        <w:rPr>
          <w:rFonts w:hint="eastAsia" w:ascii="宋体" w:hAnsi="宋体" w:cs="宋体"/>
          <w:color w:val="auto"/>
          <w:spacing w:val="1"/>
          <w:sz w:val="24"/>
          <w:highlight w:val="none"/>
          <w:lang w:val="en-US" w:eastAsia="zh-CN"/>
        </w:rPr>
        <w:t xml:space="preserve">反映</w:t>
      </w:r>
      <w:r>
        <w:rPr>
          <w:rFonts w:hint="default" w:ascii="宋体" w:hAnsi="宋体" w:cs="宋体"/>
          <w:color w:val="auto"/>
          <w:spacing w:val="1"/>
          <w:sz w:val="24"/>
          <w:highlight w:val="none"/>
          <w:lang w:val="en-US" w:eastAsia="zh-CN"/>
        </w:rPr>
        <w:t xml:space="preserve">上述车辆要求的规格及生产能力的则须提供原厂出具的产品说明书扫描件或检验报告等材料用以证明其技术指标。</w:t>
      </w:r>
      <w:r/>
    </w:p>
    <w:p>
      <w:pPr>
        <w:numPr>
          <w:ilvl w:val="-1"/>
          <w:numId w:val="0"/>
        </w:numPr>
        <w:ind w:firstLine="484"/>
        <w:jc w:val="left"/>
        <w:spacing w:line="360" w:lineRule="auto"/>
        <w:rPr>
          <w:rFonts w:hint="default" w:ascii="宋体" w:hAnsi="宋体" w:cs="宋体"/>
          <w:color w:val="auto"/>
          <w:spacing w:val="1"/>
          <w:sz w:val="24"/>
          <w:highlight w:val="none"/>
          <w:lang w:val="en-US" w:eastAsia="zh-CN"/>
        </w:rPr>
      </w:pPr>
      <w:r>
        <w:rPr>
          <w:rFonts w:hint="default" w:ascii="宋体" w:hAnsi="宋体" w:cs="宋体"/>
          <w:color w:val="auto"/>
          <w:spacing w:val="1"/>
          <w:sz w:val="24"/>
          <w:highlight w:val="none"/>
          <w:lang w:val="en-US" w:eastAsia="zh-CN"/>
        </w:rPr>
        <w:t xml:space="preserve">④所有车辆必须提供照片。</w:t>
      </w:r>
      <w:r/>
    </w:p>
    <w:p>
      <w:pPr>
        <w:numPr>
          <w:ilvl w:val="-1"/>
          <w:numId w:val="0"/>
        </w:numPr>
        <w:ind w:firstLine="484"/>
        <w:jc w:val="left"/>
        <w:spacing w:line="360" w:lineRule="auto"/>
        <w:rPr>
          <w:rFonts w:hint="default" w:ascii="宋体" w:hAnsi="宋体" w:cs="宋体"/>
          <w:color w:val="auto"/>
          <w:spacing w:val="1"/>
          <w:sz w:val="24"/>
          <w:highlight w:val="none"/>
          <w:lang w:val="en-US" w:eastAsia="zh-CN"/>
        </w:rPr>
      </w:pPr>
      <w:r>
        <w:rPr>
          <w:rFonts w:hint="default" w:ascii="宋体" w:hAnsi="宋体" w:cs="宋体"/>
          <w:color w:val="auto"/>
          <w:spacing w:val="1"/>
          <w:sz w:val="24"/>
          <w:highlight w:val="none"/>
          <w:lang w:val="en-US" w:eastAsia="zh-CN"/>
        </w:rPr>
        <w:t xml:space="preserve">⑤提供《投标人拟投入设备情况一览表》。</w:t>
      </w:r>
      <w:r/>
    </w:p>
    <w:p>
      <w:pPr>
        <w:numPr>
          <w:ilvl w:val="1"/>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.投标人应当配备满足项目养护需求的一定数量及种类的车辆及机械等设施设备。</w:t>
      </w:r>
      <w:r/>
    </w:p>
    <w:p>
      <w:pPr>
        <w:numPr>
          <w:ilvl w:val="1"/>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★提示：</w:t>
      </w:r>
      <w:r/>
    </w:p>
    <w:p>
      <w:pPr>
        <w:numPr>
          <w:ilvl w:val="1"/>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投入机械设备满足以上要求的由采购人在中标公示结束后3个工作日内核实信息，若中标单位检查结果不满足车辆配置数量、参数及相关承诺要求的，作无效投标文件处理，采购人将其虚假承诺的恶劣行为上报财政主管部门，并与主管部门共同将其严肃处理，中标单位承担由此造成的全部直接或间接损失。</w:t>
      </w:r>
      <w:r/>
    </w:p>
    <w:p>
      <w:pPr>
        <w:numPr>
          <w:ilvl w:val="1"/>
          <w:numId w:val="0"/>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第四节  </w:t>
      </w:r>
      <w:r>
        <w:rPr>
          <w:rFonts w:hint="eastAsia" w:ascii="宋体" w:hAnsi="宋体" w:eastAsia="宋体" w:cs="宋体"/>
          <w:b/>
          <w:bCs/>
          <w:color w:val="auto"/>
          <w:sz w:val="24"/>
          <w:highlight w:val="none"/>
          <w:lang w:val="zh-CN"/>
        </w:rPr>
        <w:t xml:space="preserve">商务要求</w:t>
      </w:r>
      <w:r/>
    </w:p>
    <w:p>
      <w:pPr>
        <w:numPr>
          <w:ilvl w:val="1"/>
          <w:numId w:val="0"/>
        </w:num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1．服务期限、服务地点：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rPr>
          <w:rFonts w:hint="eastAsia" w:ascii="宋体" w:hAnsi="宋体" w:eastAsia="宋体" w:cs="宋体"/>
          <w:b w:val="0"/>
          <w:bCs w:val="0"/>
          <w:color w:val="auto"/>
          <w:spacing w:val="8"/>
          <w:sz w:val="24"/>
          <w:szCs w:val="24"/>
          <w:highlight w:val="none"/>
          <w:u w:val="none"/>
          <w:lang w:val="en-US" w:eastAsia="zh-CN"/>
        </w:rPr>
        <w:t xml:space="preserve">1+1模式，合同一年一签，一年服务期满经采购方考核合格并确认同意后，可续签下一年合同(养护期限分为</w:t>
      </w:r>
      <w:r>
        <w:rPr>
          <w:rFonts w:hint="eastAsia" w:ascii="宋体" w:hAnsi="宋体" w:cs="宋体"/>
          <w:color w:val="auto"/>
          <w:sz w:val="24"/>
          <w:highlight w:val="none"/>
          <w:u w:val="none"/>
          <w:lang w:val="en-US" w:eastAsia="zh-CN"/>
        </w:rPr>
        <w:t xml:space="preserve">2026年12月1日-2027年11月30日和2027年12月1日至2028年11月30日。</w:t>
      </w:r>
      <w:r>
        <w:rPr>
          <w:rFonts w:hint="eastAsia" w:ascii="宋体" w:hAnsi="宋体" w:eastAsia="宋体" w:cs="宋体"/>
          <w:b w:val="0"/>
          <w:bCs w:val="0"/>
          <w:color w:val="auto"/>
          <w:spacing w:val="8"/>
          <w:sz w:val="24"/>
          <w:szCs w:val="24"/>
          <w:highlight w:val="none"/>
          <w:u w:val="none"/>
          <w:lang w:val="en-US" w:eastAsia="zh-CN"/>
        </w:rPr>
        <w:t xml:space="preserve">续签合同期限以甲方要求为准）。</w:t>
      </w:r>
      <w:r/>
    </w:p>
    <w:p>
      <w:pPr>
        <w:ind w:firstLine="480"/>
        <w:spacing w:line="360" w:lineRule="auto"/>
        <w:rPr>
          <w:rFonts w:hint="eastAsia" w:ascii="宋体" w:hAnsi="宋体" w:eastAsia="宋体" w:cs="宋体"/>
          <w:b/>
          <w:bCs/>
          <w:iCs/>
          <w:color w:val="auto"/>
          <w:sz w:val="24"/>
          <w:highlight w:val="none"/>
        </w:rPr>
      </w:pPr>
      <w:r>
        <w:rPr>
          <w:rFonts w:hint="eastAsia" w:ascii="宋体" w:hAnsi="宋体" w:eastAsia="宋体" w:cs="宋体"/>
          <w:bCs/>
          <w:color w:val="auto"/>
          <w:sz w:val="24"/>
          <w:highlight w:val="none"/>
        </w:rPr>
        <w:t xml:space="preserve">服务地点：常州市金坛区</w:t>
      </w:r>
      <w:r/>
    </w:p>
    <w:p>
      <w:pPr>
        <w:spacing w:line="360" w:lineRule="auto"/>
        <w:rPr>
          <w:rFonts w:hint="eastAsia" w:ascii="宋体" w:hAnsi="宋体" w:eastAsia="宋体" w:cs="宋体"/>
          <w:b/>
          <w:bCs/>
          <w:iCs/>
          <w:color w:val="auto"/>
          <w:sz w:val="24"/>
          <w:highlight w:val="none"/>
        </w:rPr>
      </w:pPr>
      <w:r>
        <w:rPr>
          <w:rFonts w:hint="eastAsia" w:ascii="宋体" w:hAnsi="宋体" w:eastAsia="宋体" w:cs="宋体"/>
          <w:b/>
          <w:bCs/>
          <w:iCs/>
          <w:color w:val="auto"/>
          <w:sz w:val="24"/>
          <w:highlight w:val="none"/>
        </w:rPr>
        <w:t xml:space="preserve">2．报价要求</w:t>
      </w:r>
      <w:r/>
    </w:p>
    <w:p>
      <w:pPr>
        <w:ind w:firstLine="480"/>
        <w:spacing w:line="360" w:lineRule="auto"/>
        <w:rPr>
          <w:rFonts w:hint="eastAsia" w:ascii="宋体" w:hAnsi="宋体" w:cs="宋体"/>
          <w:color w:val="auto"/>
          <w:sz w:val="24"/>
          <w:highlight w:val="none"/>
        </w:rPr>
      </w:pPr>
      <w:r>
        <w:rPr>
          <w:rFonts w:hint="eastAsia" w:ascii="宋体" w:hAnsi="宋体" w:eastAsia="宋体" w:cs="宋体"/>
          <w:iCs/>
          <w:color w:val="auto"/>
          <w:sz w:val="24"/>
          <w:highlight w:val="none"/>
        </w:rPr>
        <w:t xml:space="preserve">（1）投标人的投标价，应是本项目招标范围内其所投标段的全部工程的投标价，并以投标人在工程量清单报价表中提出的单价或总额价为根据。投标人</w:t>
      </w:r>
      <w:r>
        <w:rPr>
          <w:rFonts w:hint="eastAsia" w:ascii="宋体" w:hAnsi="宋体" w:cs="宋体"/>
          <w:color w:val="auto"/>
          <w:sz w:val="24"/>
          <w:highlight w:val="none"/>
        </w:rPr>
        <w:t xml:space="preserve">报价包含但不限于所有人员的工资、福利、各项法定社会保险，法定假日加班费、高温费、工具损耗、养护人工费、树木花草和室内花木盆景、物品和物品损耗、管理、劳务、培训、利润、税金、风险及政策性文件规定的其它各种费用中的数项</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以及为完成招标文件规定的各项管理和服务工作所涉及到的一切相关费用。采购文件未列明，而投标人认为必需的费用也含在报价内。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iCs/>
          <w:color w:val="auto"/>
          <w:sz w:val="24"/>
          <w:highlight w:val="none"/>
        </w:rPr>
        <w:t xml:space="preserve">（</w:t>
      </w:r>
      <w:r>
        <w:rPr>
          <w:rFonts w:hint="eastAsia" w:ascii="宋体" w:hAnsi="宋体" w:cs="宋体"/>
          <w:iCs/>
          <w:color w:val="auto"/>
          <w:sz w:val="24"/>
          <w:highlight w:val="none"/>
          <w:lang w:val="en-US" w:eastAsia="zh-CN"/>
        </w:rPr>
        <w:t xml:space="preserve">2</w:t>
      </w:r>
      <w:r>
        <w:rPr>
          <w:rFonts w:hint="eastAsia" w:ascii="宋体" w:hAnsi="宋体" w:eastAsia="宋体" w:cs="宋体"/>
          <w:iCs/>
          <w:color w:val="auto"/>
          <w:sz w:val="24"/>
          <w:highlight w:val="none"/>
        </w:rPr>
        <w:t xml:space="preserve">）本项目招标代理服务费由中标人支付，该费用不单独计列，计入投标人投标报价中。中标人在收到中标通知书后7日内，须按其中标金额，根据苏招协[2022]002号收费标准按差额定率累进法计算后乘以折扣率</w:t>
      </w:r>
      <w:r>
        <w:rPr>
          <w:rFonts w:hint="eastAsia" w:ascii="宋体" w:hAnsi="宋体" w:cs="宋体"/>
          <w:iCs/>
          <w:color w:val="auto"/>
          <w:sz w:val="24"/>
          <w:highlight w:val="none"/>
          <w:lang w:val="en-US" w:eastAsia="zh-CN"/>
        </w:rPr>
        <w:t xml:space="preserve">22.8</w:t>
      </w:r>
      <w:r>
        <w:rPr>
          <w:rFonts w:hint="eastAsia" w:ascii="宋体" w:hAnsi="宋体" w:eastAsia="宋体" w:cs="宋体"/>
          <w:iCs/>
          <w:color w:val="auto"/>
          <w:sz w:val="24"/>
          <w:highlight w:val="none"/>
        </w:rPr>
        <w:t xml:space="preserve">%。按</w:t>
      </w:r>
      <w:r>
        <w:rPr>
          <w:rFonts w:hint="eastAsia" w:ascii="宋体" w:hAnsi="宋体" w:cs="宋体"/>
          <w:iCs/>
          <w:color w:val="auto"/>
          <w:sz w:val="24"/>
          <w:highlight w:val="none"/>
          <w:lang w:val="en-US" w:eastAsia="zh-CN"/>
        </w:rPr>
        <w:t xml:space="preserve">服务</w:t>
      </w:r>
      <w:r>
        <w:rPr>
          <w:rFonts w:hint="eastAsia" w:ascii="宋体" w:hAnsi="宋体" w:eastAsia="宋体" w:cs="宋体"/>
          <w:iCs/>
          <w:color w:val="auto"/>
          <w:sz w:val="24"/>
          <w:highlight w:val="none"/>
        </w:rPr>
        <w:t xml:space="preserve">招标类全过程招标服务向招标代理机构一</w:t>
      </w:r>
      <w:r>
        <w:rPr>
          <w:rFonts w:hint="eastAsia" w:ascii="宋体" w:hAnsi="宋体" w:eastAsia="宋体" w:cs="宋体"/>
          <w:color w:val="auto"/>
          <w:sz w:val="24"/>
          <w:highlight w:val="none"/>
        </w:rPr>
        <w:t xml:space="preserve">次性支付招标代理服务费。</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投标人报价只需在固化清单中填入K值，就会自动形成单价报价、养护费用、费用合计(投标报价)]。投标报价按照每标段2年总报价金额计算分值得分。</w:t>
      </w:r>
      <w:r/>
    </w:p>
    <w:p>
      <w:pPr>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3"/>
          <w:sz w:val="24"/>
          <w:highlight w:val="none"/>
          <w:lang w:eastAsia="en-US"/>
        </w:rPr>
        <w:t xml:space="preserve">★</w:t>
      </w:r>
      <w:r>
        <w:rPr>
          <w:rFonts w:hint="eastAsia" w:ascii="宋体" w:hAnsi="宋体" w:eastAsia="宋体" w:cs="宋体"/>
          <w:b/>
          <w:bCs/>
          <w:color w:val="auto"/>
          <w:spacing w:val="-3"/>
          <w:sz w:val="24"/>
          <w:highlight w:val="none"/>
        </w:rPr>
        <w:t xml:space="preserve">3.</w:t>
      </w:r>
      <w:r>
        <w:rPr>
          <w:rFonts w:hint="eastAsia" w:ascii="宋体" w:hAnsi="宋体" w:eastAsia="宋体" w:cs="宋体"/>
          <w:b/>
          <w:bCs/>
          <w:color w:val="auto"/>
          <w:spacing w:val="-3"/>
          <w:sz w:val="24"/>
          <w:highlight w:val="none"/>
          <w:lang w:eastAsia="en-US"/>
        </w:rPr>
        <w:t xml:space="preserve">人员工资及相关费用：</w:t>
      </w:r>
      <w:r/>
    </w:p>
    <w:p>
      <w:pPr>
        <w:ind w:firstLine="464"/>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lang w:eastAsia="en-US"/>
        </w:rPr>
        <w:t xml:space="preserve">（1）基本工资</w:t>
      </w:r>
      <w:r>
        <w:rPr>
          <w:rFonts w:hint="eastAsia" w:ascii="宋体" w:hAnsi="宋体" w:cs="宋体"/>
          <w:color w:val="auto"/>
          <w:spacing w:val="-4"/>
          <w:sz w:val="24"/>
          <w:highlight w:val="none"/>
          <w:lang w:val="en-US" w:eastAsia="zh-CN"/>
        </w:rPr>
        <w:t xml:space="preserve">不得低于</w:t>
      </w:r>
      <w:r>
        <w:rPr>
          <w:rFonts w:hint="eastAsia" w:ascii="宋体" w:hAnsi="宋体" w:eastAsia="宋体" w:cs="宋体"/>
          <w:color w:val="auto"/>
          <w:spacing w:val="-4"/>
          <w:sz w:val="24"/>
          <w:highlight w:val="none"/>
          <w:lang w:eastAsia="en-US"/>
        </w:rPr>
        <w:t xml:space="preserve">常州市金坛区执行省定一类标准</w:t>
      </w:r>
      <w:r>
        <w:rPr>
          <w:rFonts w:hint="eastAsia" w:ascii="宋体" w:hAnsi="宋体" w:cs="宋体"/>
          <w:color w:val="auto"/>
          <w:spacing w:val="-4"/>
          <w:sz w:val="24"/>
          <w:highlight w:val="none"/>
          <w:lang w:val="en-US" w:eastAsia="zh-CN"/>
        </w:rPr>
        <w:t xml:space="preserve">2660</w:t>
      </w:r>
      <w:r>
        <w:rPr>
          <w:rFonts w:hint="eastAsia" w:ascii="宋体" w:hAnsi="宋体" w:eastAsia="宋体" w:cs="宋体"/>
          <w:color w:val="auto"/>
          <w:spacing w:val="-4"/>
          <w:sz w:val="24"/>
          <w:highlight w:val="none"/>
          <w:lang w:eastAsia="en-US"/>
        </w:rPr>
        <w:t xml:space="preserve">元/人·月</w:t>
      </w:r>
      <w:r>
        <w:rPr>
          <w:rFonts w:hint="eastAsia" w:ascii="宋体" w:hAnsi="宋体" w:eastAsia="宋体" w:cs="宋体"/>
          <w:color w:val="auto"/>
          <w:spacing w:val="-4"/>
          <w:sz w:val="24"/>
          <w:highlight w:val="none"/>
        </w:rPr>
        <w:t xml:space="preserve">。</w:t>
      </w:r>
      <w:r/>
    </w:p>
    <w:p>
      <w:pPr>
        <w:ind w:firstLine="476"/>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（2）“五金”（养老保险金、医疗保险金、工伤保险金、生育保险金、失业保险金）</w:t>
      </w:r>
      <w:r>
        <w:rPr>
          <w:rFonts w:hint="eastAsia" w:ascii="宋体" w:hAnsi="宋体" w:cs="宋体"/>
          <w:color w:val="auto"/>
          <w:spacing w:val="-1"/>
          <w:sz w:val="24"/>
          <w:highlight w:val="none"/>
          <w:lang w:val="en-US" w:eastAsia="zh-CN"/>
        </w:rPr>
        <w:t xml:space="preserve">缴费基数</w:t>
      </w:r>
      <w:r>
        <w:rPr>
          <w:rFonts w:hint="eastAsia" w:ascii="宋体" w:hAnsi="宋体"/>
          <w:color w:val="auto"/>
          <w:spacing w:val="-1"/>
          <w:sz w:val="24"/>
          <w:highlight w:val="none"/>
        </w:rPr>
        <w:t xml:space="preserve">不得低于5025元</w:t>
      </w:r>
      <w:r>
        <w:rPr>
          <w:rFonts w:hint="eastAsia" w:ascii="宋体" w:hAnsi="宋体" w:cs="宋体"/>
          <w:color w:val="auto"/>
          <w:spacing w:val="-1"/>
          <w:sz w:val="24"/>
          <w:highlight w:val="none"/>
          <w:lang w:val="en-US" w:eastAsia="zh-CN"/>
        </w:rPr>
        <w:t xml:space="preserve">。</w:t>
      </w:r>
      <w:r/>
    </w:p>
    <w:p>
      <w:pPr>
        <w:ind w:firstLine="231"/>
        <w:jc w:val="left"/>
        <w:spacing w:line="360" w:lineRule="auto"/>
        <w:widowControl/>
        <w:rPr>
          <w:rFonts w:hint="eastAsia" w:ascii="宋体" w:hAnsi="宋体" w:eastAsia="宋体" w:cs="宋体"/>
          <w:color w:val="auto"/>
          <w:sz w:val="24"/>
          <w:highlight w:val="none"/>
          <w:lang w:eastAsia="en-US"/>
        </w:rPr>
      </w:pPr>
      <w:r>
        <w:rPr>
          <w:rFonts w:hint="eastAsia" w:ascii="宋体" w:hAnsi="宋体" w:cs="宋体"/>
          <w:b/>
          <w:bCs/>
          <w:color w:val="auto"/>
          <w:spacing w:val="-5"/>
          <w:sz w:val="24"/>
          <w:highlight w:val="none"/>
          <w:lang w:val="en-US" w:eastAsia="zh-CN"/>
        </w:rPr>
        <w:t xml:space="preserve">4</w:t>
      </w:r>
      <w:r>
        <w:rPr>
          <w:rFonts w:hint="eastAsia" w:ascii="宋体" w:hAnsi="宋体" w:eastAsia="宋体" w:cs="宋体"/>
          <w:b/>
          <w:bCs/>
          <w:color w:val="auto"/>
          <w:spacing w:val="-5"/>
          <w:sz w:val="24"/>
          <w:highlight w:val="none"/>
          <w:lang w:eastAsia="en-US"/>
        </w:rPr>
        <w:t xml:space="preserve">、设备、车辆：</w:t>
      </w:r>
      <w:r/>
    </w:p>
    <w:p>
      <w:pPr>
        <w:ind w:firstLine="470"/>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3"/>
          <w:sz w:val="24"/>
          <w:highlight w:val="none"/>
          <w:lang w:eastAsia="en-US"/>
        </w:rPr>
        <w:t xml:space="preserve">根据采购需求，每包要求</w:t>
      </w:r>
      <w:r>
        <w:rPr>
          <w:rFonts w:hint="eastAsia" w:ascii="宋体" w:hAnsi="宋体" w:cs="宋体"/>
          <w:b/>
          <w:bCs/>
          <w:color w:val="auto"/>
          <w:spacing w:val="-3"/>
          <w:sz w:val="24"/>
          <w:highlight w:val="none"/>
          <w:lang w:val="en-US" w:eastAsia="zh-CN"/>
        </w:rPr>
        <w:t xml:space="preserve">的</w:t>
      </w:r>
      <w:r>
        <w:rPr>
          <w:rFonts w:hint="eastAsia" w:ascii="宋体" w:hAnsi="宋体" w:eastAsia="宋体" w:cs="宋体"/>
          <w:b/>
          <w:bCs/>
          <w:color w:val="auto"/>
          <w:spacing w:val="-3"/>
          <w:sz w:val="24"/>
          <w:highlight w:val="none"/>
          <w:lang w:eastAsia="en-US"/>
        </w:rPr>
        <w:t xml:space="preserve">车辆</w:t>
      </w:r>
      <w:r>
        <w:rPr>
          <w:rFonts w:hint="eastAsia" w:ascii="宋体" w:hAnsi="宋体" w:cs="宋体"/>
          <w:b/>
          <w:bCs/>
          <w:color w:val="auto"/>
          <w:spacing w:val="-3"/>
          <w:sz w:val="24"/>
          <w:highlight w:val="none"/>
          <w:lang w:val="en-US" w:eastAsia="zh-CN"/>
        </w:rPr>
        <w:t xml:space="preserve">须</w:t>
      </w:r>
      <w:r>
        <w:rPr>
          <w:rFonts w:hint="eastAsia" w:ascii="宋体" w:hAnsi="宋体" w:eastAsia="宋体" w:cs="宋体"/>
          <w:b/>
          <w:bCs/>
          <w:color w:val="auto"/>
          <w:spacing w:val="-3"/>
          <w:sz w:val="24"/>
          <w:highlight w:val="none"/>
          <w:lang w:eastAsia="en-US"/>
        </w:rPr>
        <w:t xml:space="preserve">考虑每辆车司机</w:t>
      </w:r>
      <w:r>
        <w:rPr>
          <w:rFonts w:hint="eastAsia" w:ascii="宋体" w:hAnsi="宋体" w:eastAsia="宋体" w:cs="宋体"/>
          <w:b/>
          <w:bCs/>
          <w:color w:val="auto"/>
          <w:spacing w:val="-4"/>
          <w:sz w:val="24"/>
          <w:highlight w:val="none"/>
          <w:lang w:eastAsia="en-US"/>
        </w:rPr>
        <w:t xml:space="preserve">、油耗、维保、折旧摊销等费用，</w:t>
      </w:r>
      <w:r>
        <w:rPr>
          <w:rFonts w:hint="eastAsia" w:ascii="宋体" w:hAnsi="宋体" w:cs="宋体"/>
          <w:b/>
          <w:bCs/>
          <w:color w:val="auto"/>
          <w:spacing w:val="-4"/>
          <w:sz w:val="24"/>
          <w:highlight w:val="none"/>
          <w:lang w:val="en-US" w:eastAsia="zh-CN"/>
        </w:rPr>
        <w:t xml:space="preserve">由投标人综合考虑，计入投标总价中。</w:t>
      </w:r>
      <w:r/>
    </w:p>
    <w:p>
      <w:pPr>
        <w:ind w:left="0" w:right="0" w:firstLine="470"/>
        <w:jc w:val="left"/>
        <w:keepLines w:val="0"/>
        <w:keepNext w:val="0"/>
        <w:pageBreakBefore w:val="0"/>
        <w:spacing w:line="360" w:lineRule="auto"/>
        <w:widowControl/>
        <w:rPr>
          <w:rFonts w:hint="eastAsia" w:ascii="宋体" w:hAnsi="宋体" w:cs="宋体"/>
          <w:b/>
          <w:bCs/>
          <w:color w:val="auto"/>
          <w:spacing w:val="-4"/>
          <w:sz w:val="24"/>
          <w:highlight w:val="none"/>
          <w:lang w:val="en-US" w:eastAsia="zh-CN"/>
        </w:rPr>
      </w:pPr>
      <w:r>
        <w:rPr>
          <w:rFonts w:hint="eastAsia" w:ascii="宋体" w:hAnsi="宋体" w:eastAsia="宋体" w:cs="宋体"/>
          <w:b/>
          <w:bCs/>
          <w:color w:val="auto"/>
          <w:spacing w:val="-3"/>
          <w:sz w:val="24"/>
          <w:highlight w:val="none"/>
          <w:lang w:eastAsia="en-US"/>
        </w:rPr>
        <w:t xml:space="preserve">应急、迎检、重大活动费用</w:t>
      </w:r>
      <w:r>
        <w:rPr>
          <w:rFonts w:hint="eastAsia" w:ascii="宋体" w:hAnsi="宋体" w:cs="宋体"/>
          <w:b/>
          <w:bCs/>
          <w:color w:val="auto"/>
          <w:spacing w:val="-4"/>
          <w:sz w:val="24"/>
          <w:highlight w:val="none"/>
          <w:lang w:val="en-US" w:eastAsia="zh-CN"/>
        </w:rPr>
        <w:t xml:space="preserve">由投标人综合考虑，计入投标总价中。</w:t>
      </w:r>
      <w:r/>
    </w:p>
    <w:p>
      <w:pPr>
        <w:ind w:right="0" w:firstLine="233"/>
        <w:jc w:val="left"/>
        <w:keepLines w:val="0"/>
        <w:keepNext w:val="0"/>
        <w:pageBreakBefore w:val="0"/>
        <w:spacing w:line="360" w:lineRule="auto"/>
        <w:widowControl/>
        <w:rPr>
          <w:rFonts w:hint="default" w:ascii="宋体" w:hAnsi="宋体" w:cs="宋体"/>
          <w:b/>
          <w:bCs/>
          <w:color w:val="auto"/>
          <w:spacing w:val="-4"/>
          <w:sz w:val="24"/>
          <w:highlight w:val="none"/>
          <w:lang w:val="en-US" w:eastAsia="en-US"/>
        </w:rPr>
      </w:pPr>
      <w:r>
        <w:rPr>
          <w:rFonts w:hint="eastAsia" w:ascii="宋体" w:hAnsi="宋体" w:cs="宋体"/>
          <w:b/>
          <w:bCs/>
          <w:color w:val="auto"/>
          <w:spacing w:val="-4"/>
          <w:sz w:val="24"/>
          <w:highlight w:val="none"/>
          <w:lang w:val="en-US" w:eastAsia="zh-CN"/>
        </w:rPr>
        <w:t xml:space="preserve">5、投标人自行考虑本项目所需的安全防护设备及器具，包括但不限于锥桶、标志牌、安全帽、反光标识统一制服、爆闪灯等，所需费用包含在投标人报价中。</w:t>
      </w:r>
      <w:r/>
    </w:p>
    <w:p>
      <w:pPr>
        <w:ind w:firstLine="422"/>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15"/>
          <w:sz w:val="24"/>
          <w:highlight w:val="none"/>
          <w:lang w:eastAsia="en-US"/>
        </w:rPr>
        <w:t xml:space="preserve">说明：</w:t>
      </w:r>
      <w:r/>
    </w:p>
    <w:p>
      <w:pPr>
        <w:ind w:firstLine="474"/>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2"/>
          <w:sz w:val="24"/>
          <w:highlight w:val="none"/>
          <w:lang w:eastAsia="en-US"/>
        </w:rPr>
        <w:t xml:space="preserve">（</w:t>
      </w:r>
      <w:r>
        <w:rPr>
          <w:rFonts w:hint="eastAsia" w:ascii="宋体" w:hAnsi="宋体" w:cs="宋体"/>
          <w:b/>
          <w:bCs/>
          <w:color w:val="auto"/>
          <w:spacing w:val="-2"/>
          <w:sz w:val="24"/>
          <w:highlight w:val="none"/>
          <w:lang w:val="en-US" w:eastAsia="zh-CN"/>
        </w:rPr>
        <w:t xml:space="preserve">1</w:t>
      </w:r>
      <w:r>
        <w:rPr>
          <w:rFonts w:hint="eastAsia" w:ascii="宋体" w:hAnsi="宋体" w:eastAsia="宋体" w:cs="宋体"/>
          <w:b/>
          <w:bCs/>
          <w:color w:val="auto"/>
          <w:spacing w:val="-2"/>
          <w:sz w:val="24"/>
          <w:highlight w:val="none"/>
          <w:lang w:eastAsia="en-US"/>
        </w:rPr>
        <w:t xml:space="preserve">）承包期内因省、市政府出台文件调整最低人员保障工资的，中标人须无条件予以调整，该风险</w:t>
      </w:r>
      <w:r>
        <w:rPr>
          <w:rFonts w:hint="eastAsia" w:ascii="宋体" w:hAnsi="宋体" w:eastAsia="宋体" w:cs="宋体"/>
          <w:b/>
          <w:bCs/>
          <w:color w:val="auto"/>
          <w:spacing w:val="-3"/>
          <w:sz w:val="24"/>
          <w:highlight w:val="none"/>
          <w:lang w:eastAsia="en-US"/>
        </w:rPr>
        <w:t xml:space="preserve">投标人投标时须综合考虑并承担，中标后采购人不再给予。</w:t>
      </w:r>
      <w:r/>
    </w:p>
    <w:p>
      <w:pPr>
        <w:ind w:firstLine="470"/>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3"/>
          <w:sz w:val="24"/>
          <w:highlight w:val="none"/>
          <w:lang w:eastAsia="en-US"/>
        </w:rPr>
        <w:t xml:space="preserve">（</w:t>
      </w:r>
      <w:r>
        <w:rPr>
          <w:rFonts w:hint="eastAsia" w:ascii="宋体" w:hAnsi="宋体" w:cs="宋体"/>
          <w:b/>
          <w:bCs/>
          <w:color w:val="auto"/>
          <w:spacing w:val="-3"/>
          <w:sz w:val="24"/>
          <w:highlight w:val="none"/>
          <w:lang w:val="en-US" w:eastAsia="zh-CN"/>
        </w:rPr>
        <w:t xml:space="preserve">2</w:t>
      </w:r>
      <w:r>
        <w:rPr>
          <w:rFonts w:hint="eastAsia" w:ascii="宋体" w:hAnsi="宋体" w:eastAsia="宋体" w:cs="宋体"/>
          <w:b/>
          <w:bCs/>
          <w:color w:val="auto"/>
          <w:spacing w:val="-3"/>
          <w:sz w:val="24"/>
          <w:highlight w:val="none"/>
          <w:lang w:eastAsia="en-US"/>
        </w:rPr>
        <w:t xml:space="preserve">）服务期内服务价格不变，请投标单位充分考虑再行报价。</w:t>
      </w:r>
      <w:r/>
    </w:p>
    <w:p>
      <w:pPr>
        <w:ind w:firstLine="474"/>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2"/>
          <w:sz w:val="24"/>
          <w:highlight w:val="none"/>
          <w:lang w:eastAsia="en-US"/>
        </w:rPr>
        <w:t xml:space="preserve">（</w:t>
      </w:r>
      <w:r>
        <w:rPr>
          <w:rFonts w:hint="eastAsia" w:ascii="宋体" w:hAnsi="宋体" w:cs="宋体"/>
          <w:b/>
          <w:bCs/>
          <w:color w:val="auto"/>
          <w:spacing w:val="-2"/>
          <w:sz w:val="24"/>
          <w:highlight w:val="none"/>
          <w:lang w:val="en-US" w:eastAsia="zh-CN"/>
        </w:rPr>
        <w:t xml:space="preserve">3</w:t>
      </w:r>
      <w:r>
        <w:rPr>
          <w:rFonts w:hint="eastAsia" w:ascii="宋体" w:hAnsi="宋体" w:eastAsia="宋体" w:cs="宋体"/>
          <w:b/>
          <w:bCs/>
          <w:color w:val="auto"/>
          <w:spacing w:val="-2"/>
          <w:sz w:val="24"/>
          <w:highlight w:val="none"/>
          <w:lang w:eastAsia="en-US"/>
        </w:rPr>
        <w:t xml:space="preserve">）由于项目施工、各类活动、节假日期间等因素导致的费用，不论这些因素是可预</w:t>
      </w:r>
      <w:r>
        <w:rPr>
          <w:rFonts w:hint="eastAsia" w:ascii="宋体" w:hAnsi="宋体" w:eastAsia="宋体" w:cs="宋体"/>
          <w:b/>
          <w:bCs/>
          <w:color w:val="auto"/>
          <w:spacing w:val="-3"/>
          <w:sz w:val="24"/>
          <w:highlight w:val="none"/>
          <w:lang w:eastAsia="en-US"/>
        </w:rPr>
        <w:t xml:space="preserve">测或不可预测</w:t>
      </w:r>
      <w:r>
        <w:rPr>
          <w:rFonts w:hint="eastAsia" w:ascii="宋体" w:hAnsi="宋体" w:eastAsia="宋体" w:cs="宋体"/>
          <w:b/>
          <w:bCs/>
          <w:color w:val="auto"/>
          <w:spacing w:val="-4"/>
          <w:sz w:val="24"/>
          <w:highlight w:val="none"/>
          <w:lang w:eastAsia="en-US"/>
        </w:rPr>
        <w:t xml:space="preserve">的，均已包含在投标报价中。除采购人要求外，不作调整。</w:t>
      </w:r>
      <w:r/>
    </w:p>
    <w:p>
      <w:pPr>
        <w:ind w:firstLine="438"/>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11"/>
          <w:sz w:val="24"/>
          <w:highlight w:val="none"/>
          <w:lang w:eastAsia="en-US"/>
        </w:rPr>
        <w:t xml:space="preserve">（</w:t>
      </w:r>
      <w:r>
        <w:rPr>
          <w:rFonts w:hint="eastAsia" w:ascii="宋体" w:hAnsi="宋体" w:cs="宋体"/>
          <w:b/>
          <w:bCs/>
          <w:color w:val="auto"/>
          <w:spacing w:val="-11"/>
          <w:sz w:val="24"/>
          <w:highlight w:val="none"/>
          <w:lang w:val="en-US" w:eastAsia="zh-CN"/>
        </w:rPr>
        <w:t xml:space="preserve">4</w:t>
      </w:r>
      <w:r>
        <w:rPr>
          <w:rFonts w:hint="eastAsia" w:ascii="宋体" w:hAnsi="宋体" w:eastAsia="宋体" w:cs="宋体"/>
          <w:b/>
          <w:bCs/>
          <w:color w:val="auto"/>
          <w:spacing w:val="-11"/>
          <w:sz w:val="24"/>
          <w:highlight w:val="none"/>
          <w:lang w:eastAsia="en-US"/>
        </w:rPr>
        <w:t xml:space="preserve">）因突发情况（如台风、雨雪、冰雹、霜或冻等天气或气候因素，或车辆、居民或行人等人为因</w:t>
      </w:r>
      <w:r>
        <w:rPr>
          <w:rFonts w:hint="eastAsia" w:ascii="宋体" w:hAnsi="宋体" w:eastAsia="宋体" w:cs="宋体"/>
          <w:color w:val="auto"/>
          <w:spacing w:val="-11"/>
          <w:sz w:val="24"/>
          <w:highlight w:val="none"/>
          <w:lang w:eastAsia="en-US"/>
        </w:rPr>
        <w:t xml:space="preserve"> </w:t>
      </w:r>
      <w:r>
        <w:rPr>
          <w:rFonts w:hint="eastAsia" w:ascii="宋体" w:hAnsi="宋体" w:eastAsia="宋体" w:cs="宋体"/>
          <w:b/>
          <w:bCs/>
          <w:color w:val="auto"/>
          <w:spacing w:val="-11"/>
          <w:sz w:val="24"/>
          <w:highlight w:val="none"/>
          <w:lang w:eastAsia="en-US"/>
        </w:rPr>
        <w:t xml:space="preserve">素，</w:t>
      </w:r>
      <w:r>
        <w:rPr>
          <w:rFonts w:hint="eastAsia" w:ascii="宋体" w:hAnsi="宋体" w:eastAsia="宋体" w:cs="宋体"/>
          <w:b/>
          <w:bCs/>
          <w:color w:val="auto"/>
          <w:spacing w:val="-1"/>
          <w:sz w:val="24"/>
          <w:highlight w:val="none"/>
          <w:lang w:eastAsia="en-US"/>
        </w:rPr>
        <w:t xml:space="preserve">或是其它因素，以及复合因素或不明原因的</w:t>
      </w:r>
      <w:r>
        <w:rPr>
          <w:rFonts w:hint="eastAsia" w:ascii="宋体" w:hAnsi="宋体" w:eastAsia="宋体" w:cs="宋体"/>
          <w:b/>
          <w:bCs/>
          <w:color w:val="auto"/>
          <w:spacing w:val="-2"/>
          <w:sz w:val="24"/>
          <w:highlight w:val="none"/>
          <w:lang w:eastAsia="en-US"/>
        </w:rPr>
        <w:t xml:space="preserve">情况）</w:t>
      </w:r>
      <w:r>
        <w:rPr>
          <w:rFonts w:hint="eastAsia" w:ascii="宋体" w:hAnsi="宋体" w:eastAsia="宋体" w:cs="宋体"/>
          <w:color w:val="auto"/>
          <w:spacing w:val="-2"/>
          <w:sz w:val="24"/>
          <w:highlight w:val="none"/>
          <w:lang w:eastAsia="en-US"/>
        </w:rPr>
        <w:t xml:space="preserve"> </w:t>
      </w:r>
      <w:r>
        <w:rPr>
          <w:rFonts w:hint="eastAsia" w:ascii="宋体" w:hAnsi="宋体" w:eastAsia="宋体" w:cs="宋体"/>
          <w:b/>
          <w:bCs/>
          <w:color w:val="auto"/>
          <w:spacing w:val="-2"/>
          <w:sz w:val="24"/>
          <w:highlight w:val="none"/>
          <w:lang w:eastAsia="en-US"/>
        </w:rPr>
        <w:t xml:space="preserve">导致的</w:t>
      </w:r>
      <w:r>
        <w:rPr>
          <w:rFonts w:hint="eastAsia" w:ascii="宋体" w:hAnsi="宋体"/>
          <w:b/>
          <w:bCs/>
          <w:color w:val="auto"/>
          <w:spacing w:val="-2"/>
          <w:sz w:val="24"/>
          <w:highlight w:val="none"/>
        </w:rPr>
        <w:t xml:space="preserve">零星垃圾等</w:t>
      </w:r>
      <w:r>
        <w:rPr>
          <w:rFonts w:hint="eastAsia" w:ascii="宋体" w:hAnsi="宋体" w:eastAsia="宋体" w:cs="宋体"/>
          <w:b/>
          <w:bCs/>
          <w:color w:val="auto"/>
          <w:spacing w:val="-2"/>
          <w:sz w:val="24"/>
          <w:highlight w:val="none"/>
          <w:lang w:eastAsia="en-US"/>
        </w:rPr>
        <w:t xml:space="preserve">必</w:t>
      </w:r>
      <w:r>
        <w:rPr>
          <w:rFonts w:hint="eastAsia" w:ascii="宋体" w:hAnsi="宋体" w:eastAsia="宋体" w:cs="宋体"/>
          <w:b/>
          <w:bCs/>
          <w:color w:val="auto"/>
          <w:spacing w:val="-1"/>
          <w:sz w:val="24"/>
          <w:highlight w:val="none"/>
          <w:lang w:eastAsia="en-US"/>
        </w:rPr>
        <w:t xml:space="preserve">须及时清除，不论这些因素是可预测或不可</w:t>
      </w:r>
      <w:r>
        <w:rPr>
          <w:rFonts w:hint="eastAsia" w:ascii="宋体" w:hAnsi="宋体" w:eastAsia="宋体" w:cs="宋体"/>
          <w:b/>
          <w:bCs/>
          <w:color w:val="auto"/>
          <w:spacing w:val="-2"/>
          <w:sz w:val="24"/>
          <w:highlight w:val="none"/>
          <w:lang w:eastAsia="en-US"/>
        </w:rPr>
        <w:t xml:space="preserve">预测的，</w:t>
      </w:r>
      <w:r>
        <w:rPr>
          <w:rFonts w:hint="eastAsia" w:ascii="宋体" w:hAnsi="宋体" w:eastAsia="宋体" w:cs="宋体"/>
          <w:color w:val="auto"/>
          <w:spacing w:val="-2"/>
          <w:sz w:val="24"/>
          <w:highlight w:val="none"/>
          <w:lang w:eastAsia="en-US"/>
        </w:rPr>
        <w:t xml:space="preserve"> </w:t>
      </w:r>
      <w:r>
        <w:rPr>
          <w:rFonts w:hint="eastAsia" w:ascii="宋体" w:hAnsi="宋体" w:eastAsia="宋体" w:cs="宋体"/>
          <w:b/>
          <w:bCs/>
          <w:color w:val="auto"/>
          <w:spacing w:val="-2"/>
          <w:sz w:val="24"/>
          <w:highlight w:val="none"/>
          <w:lang w:eastAsia="en-US"/>
        </w:rPr>
        <w:t xml:space="preserve">均已包含在投标报价中。除采购人要求外，不作调</w:t>
      </w:r>
      <w:r>
        <w:rPr>
          <w:rFonts w:hint="eastAsia" w:ascii="宋体" w:hAnsi="宋体" w:eastAsia="宋体" w:cs="宋体"/>
          <w:b/>
          <w:bCs/>
          <w:color w:val="auto"/>
          <w:spacing w:val="-7"/>
          <w:sz w:val="24"/>
          <w:highlight w:val="none"/>
          <w:lang w:eastAsia="en-US"/>
        </w:rPr>
        <w:t xml:space="preserve">整。</w:t>
      </w:r>
      <w:r/>
    </w:p>
    <w:p>
      <w:pPr>
        <w:ind w:firstLine="470"/>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3"/>
          <w:sz w:val="24"/>
          <w:highlight w:val="none"/>
          <w:lang w:eastAsia="en-US"/>
        </w:rPr>
        <w:t xml:space="preserve">（</w:t>
      </w:r>
      <w:r>
        <w:rPr>
          <w:rFonts w:hint="eastAsia" w:ascii="宋体" w:hAnsi="宋体" w:cs="宋体"/>
          <w:b/>
          <w:bCs/>
          <w:color w:val="auto"/>
          <w:spacing w:val="-3"/>
          <w:sz w:val="24"/>
          <w:highlight w:val="none"/>
          <w:lang w:val="en-US" w:eastAsia="zh-CN"/>
        </w:rPr>
        <w:t xml:space="preserve">5</w:t>
      </w:r>
      <w:r>
        <w:rPr>
          <w:rFonts w:hint="eastAsia" w:ascii="宋体" w:hAnsi="宋体" w:eastAsia="宋体" w:cs="宋体"/>
          <w:b/>
          <w:bCs/>
          <w:color w:val="auto"/>
          <w:spacing w:val="-3"/>
          <w:sz w:val="24"/>
          <w:highlight w:val="none"/>
          <w:lang w:eastAsia="en-US"/>
        </w:rPr>
        <w:t xml:space="preserve">）风险因素的变化，除采购人要求外，</w:t>
      </w:r>
      <w:r>
        <w:rPr>
          <w:rFonts w:hint="eastAsia" w:ascii="宋体" w:hAnsi="宋体" w:eastAsia="宋体" w:cs="宋体"/>
          <w:color w:val="auto"/>
          <w:spacing w:val="-3"/>
          <w:sz w:val="24"/>
          <w:highlight w:val="none"/>
          <w:lang w:eastAsia="en-US"/>
        </w:rPr>
        <w:t xml:space="preserve"> </w:t>
      </w:r>
      <w:r>
        <w:rPr>
          <w:rFonts w:hint="eastAsia" w:ascii="宋体" w:hAnsi="宋体" w:eastAsia="宋体" w:cs="宋体"/>
          <w:b/>
          <w:bCs/>
          <w:color w:val="auto"/>
          <w:spacing w:val="-3"/>
          <w:sz w:val="24"/>
          <w:highlight w:val="none"/>
          <w:lang w:eastAsia="en-US"/>
        </w:rPr>
        <w:t xml:space="preserve">投标</w:t>
      </w:r>
      <w:r>
        <w:rPr>
          <w:rFonts w:hint="eastAsia" w:ascii="宋体" w:hAnsi="宋体" w:cs="宋体"/>
          <w:b/>
          <w:bCs/>
          <w:color w:val="auto"/>
          <w:spacing w:val="-3"/>
          <w:sz w:val="24"/>
          <w:highlight w:val="none"/>
          <w:lang w:val="en-US" w:eastAsia="zh-CN"/>
        </w:rPr>
        <w:t xml:space="preserve">报价</w:t>
      </w:r>
      <w:r>
        <w:rPr>
          <w:rFonts w:hint="eastAsia" w:ascii="宋体" w:hAnsi="宋体" w:eastAsia="宋体" w:cs="宋体"/>
          <w:b/>
          <w:bCs/>
          <w:color w:val="auto"/>
          <w:spacing w:val="-3"/>
          <w:sz w:val="24"/>
          <w:highlight w:val="none"/>
          <w:lang w:eastAsia="en-US"/>
        </w:rPr>
        <w:t xml:space="preserve">不作调整。</w:t>
      </w:r>
      <w:r/>
    </w:p>
    <w:p>
      <w:pPr>
        <w:ind w:firstLine="474"/>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2"/>
          <w:sz w:val="24"/>
          <w:highlight w:val="none"/>
          <w:lang w:eastAsia="en-US"/>
        </w:rPr>
        <w:t xml:space="preserve">（</w:t>
      </w:r>
      <w:r>
        <w:rPr>
          <w:rFonts w:hint="eastAsia" w:ascii="宋体" w:hAnsi="宋体" w:cs="宋体"/>
          <w:b/>
          <w:bCs/>
          <w:color w:val="auto"/>
          <w:spacing w:val="-2"/>
          <w:sz w:val="24"/>
          <w:highlight w:val="none"/>
          <w:lang w:val="en-US" w:eastAsia="zh-CN"/>
        </w:rPr>
        <w:t xml:space="preserve">6</w:t>
      </w:r>
      <w:r>
        <w:rPr>
          <w:rFonts w:hint="eastAsia" w:ascii="宋体" w:hAnsi="宋体" w:eastAsia="宋体" w:cs="宋体"/>
          <w:b/>
          <w:bCs/>
          <w:color w:val="auto"/>
          <w:spacing w:val="-2"/>
          <w:sz w:val="24"/>
          <w:highlight w:val="none"/>
          <w:lang w:eastAsia="en-US"/>
        </w:rPr>
        <w:t xml:space="preserve">）投标报价不得以其他任何形式进行贴补，进行让利时只得对测算利润及管理费用进行让利其他</w:t>
      </w:r>
      <w:r>
        <w:rPr>
          <w:rFonts w:hint="eastAsia" w:ascii="宋体" w:hAnsi="宋体" w:eastAsia="宋体" w:cs="宋体"/>
          <w:b/>
          <w:bCs/>
          <w:color w:val="auto"/>
          <w:spacing w:val="-9"/>
          <w:sz w:val="24"/>
          <w:highlight w:val="none"/>
          <w:lang w:eastAsia="en-US"/>
        </w:rPr>
        <w:t xml:space="preserve">不得让利。</w:t>
      </w:r>
      <w:r/>
    </w:p>
    <w:p>
      <w:pPr>
        <w:ind w:firstLine="462"/>
        <w:spacing w:line="360" w:lineRule="auto"/>
        <w:rPr>
          <w:rFonts w:hint="eastAsia" w:ascii="宋体" w:hAnsi="宋体" w:eastAsia="宋体" w:cs="宋体"/>
          <w:b/>
          <w:bCs/>
          <w:color w:val="auto"/>
          <w:spacing w:val="-6"/>
          <w:sz w:val="24"/>
          <w:highlight w:val="none"/>
          <w:lang w:eastAsia="en-US"/>
        </w:rPr>
      </w:pPr>
      <w:r>
        <w:rPr>
          <w:rFonts w:hint="eastAsia" w:ascii="宋体" w:hAnsi="宋体" w:eastAsia="宋体" w:cs="宋体"/>
          <w:b/>
          <w:bCs/>
          <w:color w:val="auto"/>
          <w:spacing w:val="-5"/>
          <w:sz w:val="24"/>
          <w:highlight w:val="none"/>
          <w:lang w:eastAsia="en-US"/>
        </w:rPr>
        <w:t xml:space="preserve">（</w:t>
      </w:r>
      <w:r>
        <w:rPr>
          <w:rFonts w:hint="eastAsia" w:ascii="宋体" w:hAnsi="宋体" w:cs="宋体"/>
          <w:b/>
          <w:bCs/>
          <w:color w:val="auto"/>
          <w:spacing w:val="-5"/>
          <w:sz w:val="24"/>
          <w:highlight w:val="none"/>
          <w:lang w:val="en-US" w:eastAsia="zh-CN"/>
        </w:rPr>
        <w:t xml:space="preserve">7</w:t>
      </w:r>
      <w:r>
        <w:rPr>
          <w:rFonts w:hint="eastAsia" w:ascii="宋体" w:hAnsi="宋体" w:eastAsia="宋体" w:cs="宋体"/>
          <w:b/>
          <w:bCs/>
          <w:color w:val="auto"/>
          <w:spacing w:val="-5"/>
          <w:sz w:val="24"/>
          <w:highlight w:val="none"/>
          <w:lang w:eastAsia="en-US"/>
        </w:rPr>
        <w:t xml:space="preserve">）中标人加强对作业人员的安全教育，</w:t>
      </w:r>
      <w:r>
        <w:rPr>
          <w:rFonts w:hint="eastAsia" w:ascii="宋体" w:hAnsi="宋体" w:eastAsia="宋体" w:cs="宋体"/>
          <w:color w:val="auto"/>
          <w:spacing w:val="-40"/>
          <w:sz w:val="24"/>
          <w:highlight w:val="none"/>
          <w:lang w:eastAsia="en-US"/>
        </w:rPr>
        <w:t xml:space="preserve"> </w:t>
      </w:r>
      <w:r>
        <w:rPr>
          <w:rFonts w:hint="eastAsia" w:ascii="宋体" w:hAnsi="宋体" w:eastAsia="宋体" w:cs="宋体"/>
          <w:b/>
          <w:bCs/>
          <w:color w:val="auto"/>
          <w:spacing w:val="-5"/>
          <w:sz w:val="24"/>
          <w:highlight w:val="none"/>
          <w:lang w:eastAsia="en-US"/>
        </w:rPr>
        <w:t xml:space="preserve">每月至少进行一次安全教育。独立承担</w:t>
      </w:r>
      <w:r>
        <w:rPr>
          <w:rFonts w:hint="eastAsia" w:ascii="宋体" w:hAnsi="宋体" w:eastAsia="宋体" w:cs="宋体"/>
          <w:b/>
          <w:bCs/>
          <w:color w:val="auto"/>
          <w:spacing w:val="-6"/>
          <w:sz w:val="24"/>
          <w:highlight w:val="none"/>
          <w:lang w:eastAsia="en-US"/>
        </w:rPr>
        <w:t xml:space="preserve">一切安全责任事故。</w:t>
      </w:r>
      <w:r/>
    </w:p>
    <w:p>
      <w:pPr>
        <w:numPr>
          <w:ilvl w:val="0"/>
          <w:numId w:val="0"/>
        </w:numPr>
        <w:ind w:firstLine="0"/>
        <w:spacing w:line="360" w:lineRule="auto"/>
        <w:rPr>
          <w:rFonts w:hint="eastAsia" w:ascii="宋体" w:hAnsi="宋体" w:eastAsia="宋体" w:cs="宋体"/>
          <w:b/>
          <w:bCs/>
          <w:i w:val="0"/>
          <w:iCs/>
          <w:color w:val="auto"/>
          <w:sz w:val="24"/>
          <w:szCs w:val="24"/>
          <w:highlight w:val="none"/>
          <w:lang w:val="en-US" w:eastAsia="zh-CN" w:bidi="ar-SA"/>
        </w:rPr>
      </w:pPr>
      <w:r>
        <w:rPr>
          <w:rFonts w:hint="eastAsia" w:ascii="宋体" w:hAnsi="宋体" w:cs="宋体"/>
          <w:b/>
          <w:bCs/>
          <w:color w:val="auto"/>
          <w:spacing w:val="-6"/>
          <w:sz w:val="24"/>
          <w:highlight w:val="none"/>
          <w:lang w:val="en-US" w:eastAsia="zh-CN"/>
        </w:rPr>
        <w:t xml:space="preserve">6、</w:t>
      </w:r>
      <w:r>
        <w:rPr>
          <w:rFonts w:hint="eastAsia" w:ascii="宋体" w:hAnsi="宋体" w:eastAsia="宋体" w:cs="宋体"/>
          <w:b/>
          <w:bCs/>
          <w:i w:val="0"/>
          <w:iCs/>
          <w:color w:val="auto"/>
          <w:sz w:val="24"/>
          <w:szCs w:val="24"/>
          <w:highlight w:val="none"/>
          <w:lang w:val="en-US" w:eastAsia="zh-CN" w:bidi="ar-SA"/>
        </w:rPr>
        <w:t xml:space="preserve">若本公司中标，则在合同期内涉及本标段的苗木补植、移植费用将按照《苗木移植、补植等零星工程清单表》中的投标单价*补植苗木数量进行结算。如补植或移植工作内容不在本清单内的，在发包人发出邀约后我方必然响应，并报送相关子目单价，经跟踪审计、发包人审核后，按审定后的单价作为该子目结算单价。</w:t>
      </w:r>
      <w:r/>
    </w:p>
    <w:p>
      <w:pPr>
        <w:numPr>
          <w:ilvl w:val="0"/>
          <w:numId w:val="0"/>
        </w:numPr>
        <w:ind w:firstLine="482"/>
        <w:spacing w:line="360" w:lineRule="auto"/>
        <w:rPr>
          <w:rFonts w:hint="default" w:ascii="宋体" w:hAnsi="宋体" w:eastAsia="宋体" w:cs="宋体"/>
          <w:b/>
          <w:bCs/>
          <w:i w:val="0"/>
          <w:iCs/>
          <w:color w:val="auto"/>
          <w:sz w:val="24"/>
          <w:szCs w:val="24"/>
          <w:highlight w:val="none"/>
          <w:lang w:val="en-US" w:eastAsia="zh-CN" w:bidi="ar-SA"/>
        </w:rPr>
      </w:pPr>
      <w:r>
        <w:rPr>
          <w:rFonts w:hint="default" w:ascii="宋体" w:hAnsi="宋体" w:eastAsia="宋体" w:cs="宋体"/>
          <w:b/>
          <w:bCs/>
          <w:i w:val="0"/>
          <w:iCs/>
          <w:color w:val="auto"/>
          <w:sz w:val="24"/>
          <w:szCs w:val="24"/>
          <w:highlight w:val="none"/>
          <w:lang w:val="en-US" w:eastAsia="zh-CN" w:bidi="ar-SA"/>
        </w:rPr>
        <w:t xml:space="preserve">★</w:t>
      </w:r>
      <w:r>
        <w:rPr>
          <w:rFonts w:hint="eastAsia" w:ascii="宋体" w:hAnsi="宋体" w:eastAsia="宋体" w:cs="宋体"/>
          <w:b/>
          <w:bCs/>
          <w:i w:val="0"/>
          <w:iCs/>
          <w:color w:val="auto"/>
          <w:sz w:val="24"/>
          <w:szCs w:val="24"/>
          <w:highlight w:val="none"/>
          <w:lang w:val="en-US" w:eastAsia="zh-CN" w:bidi="ar-SA"/>
        </w:rPr>
        <w:t xml:space="preserve">清单价中包含</w:t>
      </w:r>
      <w:r>
        <w:rPr>
          <w:rFonts w:hint="eastAsia" w:ascii="宋体" w:hAnsi="宋体" w:cs="宋体"/>
          <w:b/>
          <w:bCs/>
          <w:i w:val="0"/>
          <w:iCs/>
          <w:color w:val="auto"/>
          <w:sz w:val="24"/>
          <w:szCs w:val="24"/>
          <w:highlight w:val="none"/>
          <w:lang w:val="en-US" w:eastAsia="zh-CN" w:bidi="ar-SA"/>
        </w:rPr>
        <w:t xml:space="preserve">一切险（包括但不限于</w:t>
      </w:r>
      <w:r>
        <w:rPr>
          <w:rFonts w:hint="eastAsia" w:ascii="宋体" w:hAnsi="宋体" w:eastAsia="宋体" w:cs="宋体"/>
          <w:b/>
          <w:bCs/>
          <w:i w:val="0"/>
          <w:iCs/>
          <w:color w:val="auto"/>
          <w:sz w:val="24"/>
          <w:szCs w:val="24"/>
          <w:highlight w:val="none"/>
          <w:lang w:val="en-US" w:eastAsia="zh-CN" w:bidi="ar-SA"/>
        </w:rPr>
        <w:t xml:space="preserve">建筑工程一切险及附加第三者责任险</w:t>
      </w:r>
      <w:r>
        <w:rPr>
          <w:rFonts w:hint="eastAsia" w:ascii="宋体" w:hAnsi="宋体" w:cs="宋体"/>
          <w:b/>
          <w:bCs/>
          <w:i w:val="0"/>
          <w:iCs/>
          <w:color w:val="auto"/>
          <w:sz w:val="24"/>
          <w:szCs w:val="24"/>
          <w:highlight w:val="none"/>
          <w:lang w:val="en-US" w:eastAsia="zh-CN" w:bidi="ar-SA"/>
        </w:rPr>
        <w:t xml:space="preserve">，由承包人以发包人和承包人的名义共同投保）、公众责任险、工伤保险、</w:t>
      </w:r>
      <w:r>
        <w:rPr>
          <w:rFonts w:hint="eastAsia" w:ascii="宋体" w:hAnsi="宋体" w:eastAsia="宋体" w:cs="宋体"/>
          <w:b/>
          <w:bCs/>
          <w:i w:val="0"/>
          <w:iCs/>
          <w:color w:val="auto"/>
          <w:sz w:val="24"/>
          <w:szCs w:val="24"/>
          <w:highlight w:val="none"/>
          <w:lang w:val="en-US" w:eastAsia="zh-CN" w:bidi="ar-SA"/>
        </w:rPr>
        <w:t xml:space="preserve">工程管理、安全管理及其他材料、机械、人工等所有费用。</w:t>
      </w:r>
      <w:r/>
    </w:p>
    <w:p>
      <w:pPr>
        <w:numPr>
          <w:ilvl w:val="0"/>
          <w:numId w:val="0"/>
        </w:numPr>
        <w:ind w:firstLine="482"/>
        <w:spacing w:line="360" w:lineRule="auto"/>
        <w:rPr>
          <w:rFonts w:hint="default" w:ascii="宋体" w:hAnsi="宋体" w:eastAsia="宋体" w:cs="宋体"/>
          <w:b/>
          <w:bCs/>
          <w:i w:val="0"/>
          <w:iCs/>
          <w:color w:val="auto"/>
          <w:sz w:val="24"/>
          <w:szCs w:val="24"/>
          <w:highlight w:val="none"/>
          <w:lang w:val="en-US" w:eastAsia="zh-CN" w:bidi="ar-SA"/>
        </w:rPr>
      </w:pPr>
      <w:r>
        <w:rPr>
          <w:rFonts w:hint="default" w:ascii="宋体" w:hAnsi="宋体" w:eastAsia="宋体" w:cs="宋体"/>
          <w:b/>
          <w:bCs/>
          <w:i w:val="0"/>
          <w:iCs/>
          <w:color w:val="auto"/>
          <w:sz w:val="24"/>
          <w:szCs w:val="24"/>
          <w:highlight w:val="none"/>
          <w:lang w:val="en-US" w:eastAsia="zh-CN" w:bidi="ar-SA"/>
        </w:rPr>
        <w:t xml:space="preserve">★</w:t>
      </w:r>
      <w:r>
        <w:rPr>
          <w:rFonts w:ascii="宋体" w:hAnsi="宋体"/>
          <w:b/>
          <w:bCs/>
          <w:iCs/>
          <w:color w:val="auto"/>
          <w:sz w:val="24"/>
          <w:highlight w:val="none"/>
        </w:rPr>
        <w:t xml:space="preserve">中标人必须为本标段内发生意外事故造成第三者人身伤亡或财产损失的潜在风险</w:t>
      </w:r>
      <w:r>
        <w:rPr>
          <w:rFonts w:hint="default" w:ascii="宋体" w:hAnsi="宋体" w:eastAsia="宋体" w:cs="宋体"/>
          <w:b/>
          <w:bCs/>
          <w:i w:val="0"/>
          <w:iCs/>
          <w:color w:val="auto"/>
          <w:sz w:val="24"/>
          <w:szCs w:val="24"/>
          <w:highlight w:val="none"/>
          <w:lang w:val="en-US" w:eastAsia="zh-CN" w:bidi="ar-SA"/>
        </w:rPr>
        <w:t xml:space="preserve">，及时购买公众责任保险，保险未生效或脱保期间相关责任均由中标人承担。投标文件中承诺成交后按照招标文件要求执行，提供承诺书（格式自拟）加盖投标人公章，否则为无效响应。</w:t>
      </w:r>
      <w:r/>
    </w:p>
    <w:p>
      <w:pP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．付款方式</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en-US"/>
        </w:rPr>
        <w:t xml:space="preserve">合同价格按此次中标价格执行。本合同为固定单价合同。</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en-US"/>
        </w:rPr>
        <w:t xml:space="preserve">履约担保的金额：</w:t>
      </w:r>
      <w:r>
        <w:rPr>
          <w:rFonts w:hint="eastAsia" w:ascii="宋体" w:hAnsi="宋体" w:eastAsia="宋体" w:cs="宋体"/>
          <w:color w:val="auto"/>
          <w:sz w:val="24"/>
          <w:highlight w:val="none"/>
        </w:rPr>
        <w:t xml:space="preserve">中标人在领取中标通知书后7日内向招标人缴纳履约保证金(中标价的</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lang w:eastAsia="en-US"/>
        </w:rPr>
        <w:t xml:space="preserve">以现金（转账、电汇、网银）、银行保函、担保机构的保函、保险机构的保单等其他非现金交易担保、法律法规允许的其他支付形式缴纳或提交至甲方指定账户，逾期不缴纳履约保证金的按自动放弃中标处理；</w:t>
      </w:r>
      <w:r>
        <w:rPr>
          <w:rFonts w:hint="eastAsia" w:ascii="宋体" w:hAnsi="宋体" w:eastAsia="宋体" w:cs="宋体"/>
          <w:color w:val="auto"/>
          <w:sz w:val="24"/>
          <w:highlight w:val="none"/>
        </w:rPr>
        <w:t xml:space="preserve">项目养护期满后一次性退还（无息）。</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eastAsia="en-US"/>
        </w:rPr>
        <w:t xml:space="preserve">预付款：</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eastAsia="宋体" w:cs="宋体"/>
          <w:bCs/>
          <w:color w:val="auto"/>
          <w:sz w:val="24"/>
          <w:highlight w:val="none"/>
          <w:lang w:eastAsia="en-US"/>
        </w:rPr>
        <w:t xml:space="preserve">（1）合同签订后3个月内预付各包</w:t>
      </w:r>
      <w:r>
        <w:rPr>
          <w:rFonts w:hint="eastAsia" w:ascii="宋体" w:hAnsi="宋体" w:cs="宋体"/>
          <w:bCs/>
          <w:color w:val="auto"/>
          <w:sz w:val="24"/>
          <w:highlight w:val="none"/>
          <w:lang w:val="en-US" w:eastAsia="zh-CN"/>
        </w:rPr>
        <w:t xml:space="preserve">第一年</w:t>
      </w:r>
      <w:r>
        <w:rPr>
          <w:rFonts w:hint="eastAsia" w:ascii="宋体" w:hAnsi="宋体" w:eastAsia="宋体" w:cs="宋体"/>
          <w:bCs/>
          <w:color w:val="auto"/>
          <w:sz w:val="24"/>
          <w:highlight w:val="none"/>
          <w:lang w:eastAsia="en-US"/>
        </w:rPr>
        <w:t xml:space="preserve">合同价的10%；</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eastAsia="宋体" w:cs="宋体"/>
          <w:bCs/>
          <w:color w:val="auto"/>
          <w:sz w:val="24"/>
          <w:highlight w:val="none"/>
          <w:lang w:eastAsia="en-US"/>
        </w:rPr>
        <w:t xml:space="preserve">（2）预付款的扣回：最后一次付款时扣除已支付的预付款后结算。</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eastAsia="en-US"/>
        </w:rPr>
        <w:t xml:space="preserve">本工程养护期内发包人根据《常州市金坛区公路绿化养护管理考核办法》对承包人绿化养护情况按实际养护天数和面积进行计量，并根据考核结果每年</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eastAsia="en-US"/>
        </w:rPr>
        <w:t xml:space="preserve">月和</w:t>
      </w:r>
      <w:r>
        <w:rPr>
          <w:rFonts w:hint="eastAsia" w:ascii="宋体" w:hAnsi="宋体" w:cs="宋体"/>
          <w:bCs/>
          <w:color w:val="auto"/>
          <w:sz w:val="24"/>
          <w:highlight w:val="none"/>
          <w:lang w:val="en-US" w:eastAsia="zh-CN"/>
        </w:rPr>
        <w:t xml:space="preserve">12</w:t>
      </w:r>
      <w:r>
        <w:rPr>
          <w:rFonts w:hint="eastAsia" w:ascii="宋体" w:hAnsi="宋体" w:eastAsia="宋体" w:cs="宋体"/>
          <w:bCs/>
          <w:color w:val="auto"/>
          <w:sz w:val="24"/>
          <w:highlight w:val="none"/>
          <w:lang w:eastAsia="en-US"/>
        </w:rPr>
        <w:t xml:space="preserve">月支付一次当期养护经费（移植或补植的苗木在确保成活后按合同中单价随养护经费一同支付），养护期满</w:t>
      </w:r>
      <w:r>
        <w:rPr>
          <w:rFonts w:hint="eastAsia" w:ascii="宋体" w:hAnsi="宋体" w:cs="宋体"/>
          <w:b/>
          <w:color w:val="auto"/>
          <w:sz w:val="24"/>
          <w:highlight w:val="none"/>
          <w:lang w:val="en-US" w:eastAsia="zh-CN"/>
        </w:rPr>
        <w:t xml:space="preserve">发包</w:t>
      </w:r>
      <w:r>
        <w:rPr>
          <w:rFonts w:hint="eastAsia" w:ascii="宋体" w:hAnsi="宋体" w:eastAsia="宋体" w:cs="宋体"/>
          <w:b/>
          <w:color w:val="auto"/>
          <w:sz w:val="24"/>
          <w:highlight w:val="none"/>
          <w:lang w:eastAsia="en-US"/>
        </w:rPr>
        <w:t xml:space="preserve">人组织履约验收合格后</w:t>
      </w:r>
      <w:r>
        <w:rPr>
          <w:rFonts w:hint="eastAsia" w:ascii="宋体" w:hAnsi="宋体" w:eastAsia="宋体" w:cs="宋体"/>
          <w:bCs/>
          <w:color w:val="auto"/>
          <w:sz w:val="24"/>
          <w:highlight w:val="none"/>
          <w:lang w:eastAsia="en-US"/>
        </w:rPr>
        <w:t xml:space="preserve">退还履约保证金，所有应付款不计息。移植苗如出现死亡乙方需按照《关于调整常州市市区园林绿化损坏赔偿标准的通知》文件中相应标准进行赔偿，赔偿费用在作业服务款中扣除。</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7.5若因甲方内部政策调整导致合同提前终止，甲方应提前30天通知乙方，乙方不得因此追究甲方的任何责任。</w:t>
      </w:r>
      <w:r/>
    </w:p>
    <w:p>
      <w:pPr>
        <w:ind w:left="1" w:firstLine="420"/>
        <w:jc w:val="right"/>
        <w:spacing w:before="42" w:line="360" w:lineRule="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r>
      <w:r/>
    </w:p>
    <w:p>
      <w:pPr>
        <w:ind w:left="1" w:firstLine="420"/>
        <w:jc w:val="center"/>
        <w:spacing w:before="42" w:line="360" w:lineRule="auto"/>
        <w:rPr>
          <w:rFonts w:hint="eastAsia" w:ascii="宋体" w:hAnsi="宋体" w:eastAsia="宋体" w:cs="宋体"/>
          <w:b/>
          <w:bCs/>
          <w:color w:val="auto"/>
          <w:spacing w:val="2"/>
          <w:sz w:val="24"/>
          <w:highlight w:val="none"/>
        </w:rPr>
      </w:pPr>
      <w:r>
        <w:rPr>
          <w:rFonts w:hint="eastAsia" w:ascii="宋体" w:hAnsi="宋体" w:eastAsia="宋体" w:cs="宋体"/>
          <w:b/>
          <w:bCs/>
          <w:color w:val="auto"/>
          <w:spacing w:val="2"/>
          <w:sz w:val="24"/>
          <w:highlight w:val="none"/>
        </w:rPr>
        <w:t xml:space="preserve">第五节  其他重要条款</w:t>
      </w:r>
      <w:r/>
    </w:p>
    <w:p>
      <w:pPr>
        <w:ind w:left="1" w:firstLine="420"/>
        <w:jc w:val="left"/>
        <w:spacing w:before="42" w:line="360" w:lineRule="auto"/>
        <w:rPr>
          <w:rFonts w:hint="eastAsia" w:ascii="宋体" w:hAnsi="宋体" w:eastAsia="宋体" w:cs="宋体"/>
          <w:color w:val="auto"/>
          <w:spacing w:val="2"/>
          <w:sz w:val="24"/>
          <w:highlight w:val="none"/>
        </w:rPr>
      </w:pPr>
      <w:r/>
      <w:bookmarkStart w:id="886" w:name="_Hlk72257111"/>
      <w:r>
        <w:rPr>
          <w:rFonts w:hint="eastAsia" w:ascii="宋体" w:hAnsi="宋体" w:eastAsia="宋体" w:cs="宋体"/>
          <w:color w:val="auto"/>
          <w:spacing w:val="2"/>
          <w:sz w:val="24"/>
          <w:highlight w:val="none"/>
        </w:rPr>
        <w:t xml:space="preserve">1.投标人应充分了解项目的位置、情况、道路及任何其他足以影响投标报价的情况，任何因忽视或误解项目情况而导致的索赔或服务期限延长申请将不获批准。</w:t>
      </w:r>
      <w:r/>
    </w:p>
    <w:p>
      <w:pPr>
        <w:ind w:left="1" w:firstLine="420"/>
        <w:jc w:val="left"/>
        <w:spacing w:before="42" w:line="360" w:lineRule="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2.投标人不得期望通过索赔等方式获取补偿，否则，除可能遭到拒绝外，还可能将被作为不良行为记录在案，并可能影响其以后参加采购的项目投标。各投标人在投标报价时，应充分考虑投标报价的风险。</w:t>
      </w:r>
      <w:r/>
    </w:p>
    <w:p>
      <w:pPr>
        <w:ind w:left="1" w:firstLine="420"/>
        <w:jc w:val="left"/>
        <w:spacing w:before="42" w:line="360" w:lineRule="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3.除采购合同继续履行将损害国家利益和社会公共利益外，双方当事人不得擅自变更、中止或者终止合同。</w:t>
      </w:r>
      <w:r/>
    </w:p>
    <w:p>
      <w:pPr>
        <w:ind w:left="1" w:firstLine="420"/>
        <w:jc w:val="left"/>
        <w:spacing w:before="42" w:line="360" w:lineRule="auto"/>
        <w:rPr>
          <w:rFonts w:hint="eastAsia" w:ascii="宋体" w:hAnsi="宋体" w:eastAsia="宋体" w:cs="宋体"/>
          <w:color w:val="auto"/>
          <w:spacing w:val="2"/>
          <w:sz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pacing w:val="2"/>
          <w:sz w:val="24"/>
          <w:highlight w:val="none"/>
        </w:rPr>
        <w:t xml:space="preserve">4.“信用中国”中“信用服务”栏的“重大税收违法失信主体”“失信被执行人”，“政府采购严重违法失信行为记录名单”，为供应商信用信息的查询渠道，相关信息以开标当日的查询结果为准。</w:t>
      </w:r>
      <w:bookmarkEnd w:id="886"/>
      <w:r/>
      <w:r/>
    </w:p>
    <w:p>
      <w:pPr>
        <w:jc w:val="center"/>
        <w:spacing w:line="360" w:lineRule="auto"/>
        <w:rPr>
          <w:rFonts w:hint="eastAsia" w:ascii="宋体" w:hAnsi="宋体" w:eastAsia="宋体" w:cs="宋体"/>
          <w:b/>
          <w:color w:val="auto"/>
          <w:sz w:val="36"/>
          <w:szCs w:val="36"/>
          <w:highlight w:val="none"/>
        </w:rPr>
        <w:outlineLvl w:val="0"/>
      </w:pPr>
      <w:r/>
      <w:bookmarkStart w:id="887" w:name="_Toc1534"/>
      <w:r>
        <w:rPr>
          <w:rFonts w:hint="eastAsia" w:ascii="宋体" w:hAnsi="宋体" w:eastAsia="宋体" w:cs="宋体"/>
          <w:b/>
          <w:color w:val="auto"/>
          <w:sz w:val="36"/>
          <w:szCs w:val="36"/>
          <w:highlight w:val="none"/>
        </w:rPr>
        <w:t xml:space="preserve">第</w:t>
      </w:r>
      <w:r>
        <w:rPr>
          <w:rFonts w:hint="eastAsia" w:ascii="宋体" w:hAnsi="宋体" w:cs="宋体"/>
          <w:b/>
          <w:color w:val="auto"/>
          <w:sz w:val="36"/>
          <w:szCs w:val="36"/>
          <w:highlight w:val="none"/>
          <w:lang w:val="en-US" w:eastAsia="zh-CN"/>
        </w:rPr>
        <w:t xml:space="preserve">六</w:t>
      </w:r>
      <w:r>
        <w:rPr>
          <w:rFonts w:hint="eastAsia" w:ascii="宋体" w:hAnsi="宋体" w:eastAsia="宋体" w:cs="宋体"/>
          <w:b/>
          <w:color w:val="auto"/>
          <w:sz w:val="36"/>
          <w:szCs w:val="36"/>
          <w:highlight w:val="none"/>
        </w:rPr>
        <w:t xml:space="preserve">章  合同文本</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887"/>
      <w:r/>
      <w:r/>
    </w:p>
    <w:p>
      <w:pPr>
        <w:jc w:val="center"/>
        <w:spacing w:before="88" w:line="222" w:lineRule="auto"/>
        <w:rPr>
          <w:rFonts w:hint="eastAsia" w:ascii="宋体" w:hAnsi="宋体" w:eastAsia="宋体" w:cs="宋体"/>
          <w:color w:val="auto"/>
          <w:sz w:val="43"/>
          <w:szCs w:val="43"/>
          <w:highlight w:val="none"/>
          <w:lang w:eastAsia="en-US"/>
        </w:rPr>
      </w:pPr>
      <w:r>
        <w:rPr>
          <w:rFonts w:hint="eastAsia" w:ascii="宋体" w:hAnsi="宋体" w:eastAsia="宋体" w:cs="宋体"/>
          <w:b/>
          <w:bCs/>
          <w:color w:val="auto"/>
          <w:spacing w:val="4"/>
          <w:sz w:val="43"/>
          <w:szCs w:val="43"/>
          <w:highlight w:val="none"/>
          <w:lang w:eastAsia="en-US"/>
        </w:rPr>
        <w:t xml:space="preserve">政府采购合同</w:t>
      </w:r>
      <w:r/>
    </w:p>
    <w:p>
      <w:pPr>
        <w:jc w:val="left"/>
        <w:spacing w:line="2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60"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60"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60"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ind w:left="632"/>
        <w:jc w:val="left"/>
        <w:spacing w:before="98" w:line="219" w:lineRule="auto"/>
        <w:rPr>
          <w:rFonts w:hint="eastAsia" w:ascii="宋体" w:hAnsi="宋体" w:eastAsia="宋体" w:cs="宋体"/>
          <w:color w:val="auto"/>
          <w:sz w:val="30"/>
          <w:szCs w:val="30"/>
          <w:highlight w:val="none"/>
          <w:lang w:eastAsia="en-US"/>
        </w:rPr>
      </w:pPr>
      <w:r>
        <w:rPr>
          <w:rFonts w:hint="eastAsia" w:ascii="宋体" w:hAnsi="宋体" w:eastAsia="宋体" w:cs="宋体"/>
          <w:color w:val="auto"/>
          <w:spacing w:val="-1"/>
          <w:sz w:val="30"/>
          <w:szCs w:val="30"/>
          <w:highlight w:val="none"/>
          <w:lang w:eastAsia="en-US"/>
        </w:rPr>
        <w:t xml:space="preserve">项目名称:</w:t>
      </w:r>
      <w:r>
        <w:rPr>
          <w:rFonts w:hint="eastAsia" w:ascii="宋体" w:hAnsi="宋体" w:cs="宋体"/>
          <w:color w:val="auto"/>
          <w:spacing w:val="-1"/>
          <w:sz w:val="30"/>
          <w:szCs w:val="30"/>
          <w:highlight w:val="none"/>
          <w:u w:val="single"/>
          <w:lang w:eastAsia="zh-CN"/>
        </w:rPr>
        <w:t xml:space="preserve">2027年金坛区公路绿化养护项目（两年期）</w:t>
      </w:r>
      <w:r>
        <w:rPr>
          <w:rFonts w:hint="eastAsia" w:ascii="宋体" w:hAnsi="宋体" w:eastAsia="宋体" w:cs="宋体"/>
          <w:color w:val="auto"/>
          <w:spacing w:val="-1"/>
          <w:sz w:val="30"/>
          <w:szCs w:val="30"/>
          <w:highlight w:val="none"/>
          <w:u w:val="single"/>
        </w:rPr>
        <w:t xml:space="preserve"> </w:t>
      </w:r>
      <w:r/>
    </w:p>
    <w:p>
      <w:pPr>
        <w:jc w:val="left"/>
        <w:spacing w:line="3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3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ind w:left="666"/>
        <w:jc w:val="left"/>
        <w:spacing w:before="97" w:line="219" w:lineRule="auto"/>
        <w:rPr>
          <w:rFonts w:hint="eastAsia" w:ascii="宋体" w:hAnsi="宋体" w:eastAsia="宋体" w:cs="宋体"/>
          <w:color w:val="auto"/>
          <w:sz w:val="30"/>
          <w:szCs w:val="30"/>
          <w:highlight w:val="none"/>
          <w:lang w:eastAsia="en-US"/>
        </w:rPr>
      </w:pPr>
      <w:r>
        <w:rPr>
          <w:rFonts w:hint="eastAsia" w:ascii="宋体" w:hAnsi="宋体" w:eastAsia="宋体" w:cs="宋体"/>
          <w:color w:val="auto"/>
          <w:spacing w:val="-8"/>
          <w:sz w:val="30"/>
          <w:szCs w:val="30"/>
          <w:highlight w:val="none"/>
          <w:lang w:eastAsia="en-US"/>
        </w:rPr>
        <w:t xml:space="preserve">甲</w:t>
      </w:r>
      <w:r>
        <w:rPr>
          <w:rFonts w:hint="eastAsia" w:ascii="宋体" w:hAnsi="宋体" w:eastAsia="宋体" w:cs="宋体"/>
          <w:color w:val="auto"/>
          <w:spacing w:val="3"/>
          <w:sz w:val="30"/>
          <w:szCs w:val="30"/>
          <w:highlight w:val="none"/>
          <w:lang w:eastAsia="en-US"/>
        </w:rPr>
        <w:t xml:space="preserve">    </w:t>
      </w:r>
      <w:r>
        <w:rPr>
          <w:rFonts w:hint="eastAsia" w:ascii="宋体" w:hAnsi="宋体" w:eastAsia="宋体" w:cs="宋体"/>
          <w:color w:val="auto"/>
          <w:spacing w:val="-8"/>
          <w:sz w:val="30"/>
          <w:szCs w:val="30"/>
          <w:highlight w:val="none"/>
          <w:lang w:eastAsia="en-US"/>
        </w:rPr>
        <w:t xml:space="preserve">方:</w:t>
      </w:r>
      <w:r>
        <w:rPr>
          <w:rFonts w:hint="eastAsia" w:ascii="宋体" w:hAnsi="宋体" w:eastAsia="宋体" w:cs="宋体"/>
          <w:color w:val="auto"/>
          <w:spacing w:val="-1"/>
          <w:sz w:val="30"/>
          <w:szCs w:val="30"/>
          <w:highlight w:val="none"/>
          <w:u w:val="single"/>
        </w:rPr>
        <w:t xml:space="preserve">常州市金坛区公路事业发展中心           </w:t>
      </w:r>
      <w:r/>
    </w:p>
    <w:p>
      <w:pPr>
        <w:jc w:val="left"/>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41"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ind w:left="657"/>
        <w:jc w:val="left"/>
        <w:spacing w:before="98" w:line="219" w:lineRule="auto"/>
        <w:rPr>
          <w:rFonts w:hint="eastAsia" w:ascii="宋体" w:hAnsi="宋体" w:eastAsia="宋体" w:cs="宋体"/>
          <w:color w:val="auto"/>
          <w:sz w:val="30"/>
          <w:szCs w:val="30"/>
          <w:highlight w:val="none"/>
          <w:lang w:eastAsia="en-US"/>
        </w:rPr>
      </w:pPr>
      <w:r>
        <w:rPr>
          <w:rFonts w:hint="eastAsia" w:ascii="宋体" w:hAnsi="宋体" w:eastAsia="宋体" w:cs="宋体"/>
          <w:color w:val="auto"/>
          <w:spacing w:val="-3"/>
          <w:sz w:val="30"/>
          <w:szCs w:val="30"/>
          <w:highlight w:val="none"/>
          <w:lang w:eastAsia="en-US"/>
        </w:rPr>
        <w:t xml:space="preserve">乙    方:</w:t>
      </w:r>
      <w:r>
        <w:rPr>
          <w:rFonts w:hint="eastAsia" w:ascii="宋体" w:hAnsi="宋体" w:eastAsia="宋体" w:cs="宋体"/>
          <w:color w:val="auto"/>
          <w:spacing w:val="1"/>
          <w:sz w:val="30"/>
          <w:szCs w:val="30"/>
          <w:highlight w:val="none"/>
          <w:u w:val="single"/>
          <w:lang w:eastAsia="en-US"/>
        </w:rPr>
        <w:t xml:space="preserve">       </w:t>
      </w:r>
      <w:r>
        <w:rPr>
          <w:rFonts w:hint="eastAsia" w:ascii="宋体" w:hAnsi="宋体" w:eastAsia="宋体" w:cs="宋体"/>
          <w:color w:val="auto"/>
          <w:spacing w:val="1"/>
          <w:sz w:val="30"/>
          <w:szCs w:val="30"/>
          <w:highlight w:val="none"/>
          <w:u w:val="single"/>
        </w:rPr>
        <w:t xml:space="preserve">                           </w:t>
      </w:r>
      <w:r>
        <w:rPr>
          <w:rFonts w:hint="eastAsia" w:ascii="宋体" w:hAnsi="宋体" w:eastAsia="宋体" w:cs="宋体"/>
          <w:color w:val="auto"/>
          <w:spacing w:val="1"/>
          <w:sz w:val="30"/>
          <w:szCs w:val="30"/>
          <w:highlight w:val="none"/>
          <w:u w:val="single"/>
          <w:lang w:eastAsia="en-US"/>
        </w:rPr>
        <w:t xml:space="preserve">   </w:t>
      </w:r>
      <w:r/>
    </w:p>
    <w:p>
      <w:pPr>
        <w:jc w:val="left"/>
        <w:spacing w:line="359"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360"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ind w:left="594"/>
        <w:jc w:val="left"/>
        <w:spacing w:before="97" w:line="219" w:lineRule="auto"/>
        <w:rPr>
          <w:rFonts w:hint="eastAsia" w:ascii="宋体" w:hAnsi="宋体" w:eastAsia="宋体" w:cs="宋体"/>
          <w:color w:val="auto"/>
          <w:sz w:val="30"/>
          <w:szCs w:val="30"/>
          <w:highlight w:val="none"/>
          <w:lang w:eastAsia="en-US"/>
        </w:rPr>
      </w:pPr>
      <w:r>
        <w:rPr>
          <w:rFonts w:hint="eastAsia" w:ascii="宋体" w:hAnsi="宋体" w:eastAsia="宋体" w:cs="宋体"/>
          <w:color w:val="auto"/>
          <w:spacing w:val="-3"/>
          <w:sz w:val="30"/>
          <w:szCs w:val="30"/>
          <w:highlight w:val="none"/>
          <w:lang w:eastAsia="en-US"/>
        </w:rPr>
        <w:t xml:space="preserve">签 订</w:t>
      </w:r>
      <w:r>
        <w:rPr>
          <w:rFonts w:hint="eastAsia" w:ascii="宋体" w:hAnsi="宋体" w:eastAsia="宋体" w:cs="宋体"/>
          <w:color w:val="auto"/>
          <w:spacing w:val="18"/>
          <w:sz w:val="30"/>
          <w:szCs w:val="30"/>
          <w:highlight w:val="none"/>
          <w:lang w:eastAsia="en-US"/>
        </w:rPr>
        <w:t xml:space="preserve"> </w:t>
      </w:r>
      <w:r>
        <w:rPr>
          <w:rFonts w:hint="eastAsia" w:ascii="宋体" w:hAnsi="宋体" w:eastAsia="宋体" w:cs="宋体"/>
          <w:color w:val="auto"/>
          <w:spacing w:val="-3"/>
          <w:sz w:val="30"/>
          <w:szCs w:val="30"/>
          <w:highlight w:val="none"/>
          <w:lang w:eastAsia="en-US"/>
        </w:rPr>
        <w:t xml:space="preserve">地:</w:t>
      </w:r>
      <w:r>
        <w:rPr>
          <w:rFonts w:hint="eastAsia" w:ascii="宋体" w:hAnsi="宋体" w:eastAsia="宋体" w:cs="宋体"/>
          <w:color w:val="auto"/>
          <w:sz w:val="30"/>
          <w:szCs w:val="30"/>
          <w:highlight w:val="none"/>
          <w:u w:val="single"/>
        </w:rPr>
        <w:t xml:space="preserve">常州市金坛区                        </w:t>
      </w:r>
      <w:r>
        <w:rPr>
          <w:rFonts w:hint="eastAsia" w:ascii="宋体" w:hAnsi="宋体" w:eastAsia="宋体" w:cs="宋体"/>
          <w:color w:val="auto"/>
          <w:sz w:val="30"/>
          <w:szCs w:val="30"/>
          <w:highlight w:val="none"/>
          <w:u w:val="single"/>
          <w:lang w:eastAsia="en-US"/>
        </w:rPr>
        <w:t xml:space="preserve">  </w:t>
      </w:r>
      <w:r/>
    </w:p>
    <w:p>
      <w:pPr>
        <w:jc w:val="left"/>
        <w:spacing w:line="293"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94"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294"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ind w:firstLine="588"/>
        <w:spacing w:line="360" w:lineRule="auto"/>
        <w:rPr>
          <w:rFonts w:hint="eastAsia" w:ascii="宋体" w:hAnsi="宋体" w:eastAsia="宋体" w:cs="宋体"/>
          <w:b/>
          <w:color w:val="auto"/>
          <w:sz w:val="36"/>
          <w:szCs w:val="36"/>
          <w:highlight w:val="none"/>
        </w:rPr>
        <w:outlineLvl w:val="0"/>
      </w:pPr>
      <w:r/>
      <w:bookmarkStart w:id="888" w:name="_Toc28853"/>
      <w:r>
        <w:rPr>
          <w:rFonts w:hint="eastAsia" w:ascii="宋体" w:hAnsi="宋体" w:eastAsia="宋体" w:cs="宋体"/>
          <w:color w:val="auto"/>
          <w:spacing w:val="-3"/>
          <w:sz w:val="30"/>
          <w:szCs w:val="30"/>
          <w:highlight w:val="none"/>
          <w:lang w:eastAsia="en-US"/>
        </w:rPr>
        <w:t xml:space="preserve">签订日期:</w:t>
      </w:r>
      <w:r>
        <w:rPr>
          <w:rFonts w:hint="eastAsia" w:ascii="宋体" w:hAnsi="宋体" w:eastAsia="宋体" w:cs="宋体"/>
          <w:color w:val="auto"/>
          <w:spacing w:val="-145"/>
          <w:sz w:val="30"/>
          <w:szCs w:val="30"/>
          <w:highlight w:val="none"/>
          <w:lang w:eastAsia="en-US"/>
        </w:rPr>
        <w:t xml:space="preserve"> </w:t>
      </w:r>
      <w:r>
        <w:rPr>
          <w:rFonts w:hint="eastAsia" w:ascii="宋体" w:hAnsi="宋体" w:eastAsia="宋体" w:cs="宋体"/>
          <w:color w:val="auto"/>
          <w:sz w:val="30"/>
          <w:szCs w:val="30"/>
          <w:highlight w:val="none"/>
          <w:u w:val="single"/>
          <w:lang w:eastAsia="en-US"/>
        </w:rPr>
        <w:t xml:space="preserve">        </w:t>
      </w:r>
      <w:r>
        <w:rPr>
          <w:rFonts w:hint="eastAsia" w:ascii="宋体" w:hAnsi="宋体" w:eastAsia="宋体" w:cs="宋体"/>
          <w:color w:val="auto"/>
          <w:spacing w:val="-136"/>
          <w:sz w:val="30"/>
          <w:szCs w:val="30"/>
          <w:highlight w:val="none"/>
          <w:lang w:eastAsia="en-US"/>
        </w:rPr>
        <w:t xml:space="preserve"> </w:t>
      </w:r>
      <w:r>
        <w:rPr>
          <w:rFonts w:hint="eastAsia" w:ascii="宋体" w:hAnsi="宋体" w:eastAsia="宋体" w:cs="宋体"/>
          <w:color w:val="auto"/>
          <w:spacing w:val="-3"/>
          <w:sz w:val="30"/>
          <w:szCs w:val="30"/>
          <w:highlight w:val="none"/>
          <w:lang w:eastAsia="en-US"/>
        </w:rPr>
        <w:t xml:space="preserve">年</w:t>
      </w:r>
      <w:r>
        <w:rPr>
          <w:rFonts w:hint="eastAsia" w:ascii="宋体" w:hAnsi="宋体" w:eastAsia="宋体" w:cs="宋体"/>
          <w:color w:val="auto"/>
          <w:spacing w:val="-3"/>
          <w:sz w:val="30"/>
          <w:szCs w:val="30"/>
          <w:highlight w:val="none"/>
          <w:u w:val="single"/>
          <w:lang w:eastAsia="en-US"/>
        </w:rPr>
        <w:t xml:space="preserve">         </w:t>
      </w:r>
      <w:r>
        <w:rPr>
          <w:rFonts w:hint="eastAsia" w:ascii="宋体" w:hAnsi="宋体" w:eastAsia="宋体" w:cs="宋体"/>
          <w:color w:val="auto"/>
          <w:spacing w:val="-131"/>
          <w:sz w:val="30"/>
          <w:szCs w:val="30"/>
          <w:highlight w:val="none"/>
          <w:lang w:eastAsia="en-US"/>
        </w:rPr>
        <w:t xml:space="preserve"> </w:t>
      </w:r>
      <w:r>
        <w:rPr>
          <w:rFonts w:hint="eastAsia" w:ascii="宋体" w:hAnsi="宋体" w:eastAsia="宋体" w:cs="宋体"/>
          <w:color w:val="auto"/>
          <w:spacing w:val="-3"/>
          <w:sz w:val="30"/>
          <w:szCs w:val="30"/>
          <w:highlight w:val="none"/>
          <w:lang w:eastAsia="en-US"/>
        </w:rPr>
        <w:t xml:space="preserve">月</w:t>
      </w:r>
      <w:r>
        <w:rPr>
          <w:rFonts w:hint="eastAsia" w:ascii="宋体" w:hAnsi="宋体" w:eastAsia="宋体" w:cs="宋体"/>
          <w:color w:val="auto"/>
          <w:sz w:val="30"/>
          <w:szCs w:val="30"/>
          <w:highlight w:val="none"/>
          <w:u w:val="single"/>
          <w:lang w:eastAsia="en-US"/>
        </w:rPr>
        <w:t xml:space="preserve">         </w:t>
      </w:r>
      <w:r>
        <w:rPr>
          <w:rFonts w:hint="eastAsia" w:ascii="宋体" w:hAnsi="宋体" w:eastAsia="宋体" w:cs="宋体"/>
          <w:color w:val="auto"/>
          <w:spacing w:val="-86"/>
          <w:sz w:val="30"/>
          <w:szCs w:val="30"/>
          <w:highlight w:val="none"/>
          <w:lang w:eastAsia="en-US"/>
        </w:rPr>
        <w:t xml:space="preserve"> </w:t>
      </w:r>
      <w:r>
        <w:rPr>
          <w:rFonts w:hint="eastAsia" w:ascii="宋体" w:hAnsi="宋体" w:eastAsia="宋体" w:cs="宋体"/>
          <w:color w:val="auto"/>
          <w:spacing w:val="-3"/>
          <w:sz w:val="30"/>
          <w:szCs w:val="30"/>
          <w:highlight w:val="none"/>
          <w:lang w:eastAsia="en-US"/>
        </w:rPr>
        <w:t xml:space="preserve">日</w:t>
      </w:r>
      <w:bookmarkEnd w:id="888"/>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甲乙双方依据《中华人民共和国民法典》以及有关法律、法规的规定，经协商一致，订立本合同，以便共同遵守。</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第一条 合同标的</w:t>
      </w:r>
      <w:r/>
    </w:p>
    <w:p>
      <w:pPr>
        <w:ind w:firstLine="42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乙方根据甲方需求提供下列服务：</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系指根据合同规定乙方须承担与服务有关的所有辅助服务</w:t>
      </w:r>
      <w:r>
        <w:rPr>
          <w:rFonts w:hint="eastAsia" w:ascii="宋体" w:hAnsi="宋体" w:eastAsia="宋体" w:cs="宋体"/>
          <w:color w:val="auto"/>
          <w:sz w:val="24"/>
          <w:highlight w:val="none"/>
          <w:lang w:val="zh-CN"/>
        </w:rPr>
        <w:t xml:space="preserve">。</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第二条 合同价格</w:t>
      </w:r>
      <w:r/>
    </w:p>
    <w:p>
      <w:pPr>
        <w:ind w:firstLine="42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签约合同总价（人民币，下同）：</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 xml:space="preserve">元（小写¥       ）。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总价包应是本项目招标范围内其所投标段的全部工程的投标价，并以投标人在工程量清单报价表中提出的单价或总额价为根据。投标人所报的单价或总额价应包括为实施和完成合同工程所需的人工费、材料费、机械使用费、间接费、利润、税金、规费、保险费等费用以及合同明示或暗示的所有责任、义务和一般风险。施工期间，税费等按照国家、省、市有关规定据实调整。</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第三条 合同履行期限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履行时间（期限）：</w:t>
      </w:r>
      <w:r>
        <w:rPr>
          <w:rFonts w:hint="eastAsia" w:ascii="宋体" w:hAnsi="宋体" w:eastAsia="宋体" w:cs="宋体"/>
          <w:b w:val="0"/>
          <w:bCs w:val="0"/>
          <w:color w:val="auto"/>
          <w:spacing w:val="8"/>
          <w:sz w:val="24"/>
          <w:szCs w:val="24"/>
          <w:highlight w:val="none"/>
          <w:u w:val="none"/>
          <w:lang w:val="en-US" w:eastAsia="zh-CN"/>
        </w:rPr>
        <w:t xml:space="preserve">1+1模式，合同一年一签，一年服务期满经采购方考核合格并确认同意后，可续签下一年合同(养护期限分为</w:t>
      </w:r>
      <w:r>
        <w:rPr>
          <w:rFonts w:hint="eastAsia" w:ascii="宋体" w:hAnsi="宋体" w:cs="宋体"/>
          <w:color w:val="auto"/>
          <w:sz w:val="24"/>
          <w:highlight w:val="none"/>
          <w:u w:val="none"/>
          <w:lang w:val="en-US" w:eastAsia="zh-CN"/>
        </w:rPr>
        <w:t xml:space="preserve">2026年12月1日-2027年11月30日和2027年12月1日至2028年11月30日。</w:t>
      </w:r>
      <w:r>
        <w:rPr>
          <w:rFonts w:hint="eastAsia" w:ascii="宋体" w:hAnsi="宋体" w:eastAsia="宋体" w:cs="宋体"/>
          <w:b w:val="0"/>
          <w:bCs w:val="0"/>
          <w:color w:val="auto"/>
          <w:spacing w:val="8"/>
          <w:sz w:val="24"/>
          <w:szCs w:val="24"/>
          <w:highlight w:val="none"/>
          <w:u w:val="none"/>
          <w:lang w:val="en-US" w:eastAsia="zh-CN"/>
        </w:rPr>
        <w:t xml:space="preserve">续签合同期限以甲方要求为准）。</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第四条 组成本合同的有关文件</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下列与本次采购活动有关的文件及有关附件是本合同不可分割的组成部分，与本合同具有同等法律效力，这些文件包括但不限于：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（1）招标采购文件（编号：   ）           （2）乙方提供的投标文件； </w:t>
      </w:r>
      <w:r/>
    </w:p>
    <w:p>
      <w:pPr>
        <w:ind w:firstLine="42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（3）中标通知书；                        （4）甲乙双方商定的其他文件等。</w:t>
      </w:r>
      <w:r/>
    </w:p>
    <w:p>
      <w:pPr>
        <w:ind w:left="239"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第五条 绿化养护基本要求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1、为确保养护质量，乙方需对中标后的绿地落实专人进行动态养护管理，着装上岗，全天候作业。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2、养护过程中，乙方必须采取周密的安全措施，以避免对人身和财产的损害。乙方养护操作中造成人身伤害或财产损失的，由乙方自行承担。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3、由于台风、暴雨、大雪等自然灾害引起树木突然倒塌，碰线、碰屋，影响交通安全等，乙方需立即启动相关预案，并在接到甲方通知后应迅速组织力量，半小时内到达现场并及时处理。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4、对于乙方养护期间由于养护工作不能及时完成，且造成较大影响的，甲方有权安排第三方进行养护，所发生的费用从乙方月度养护费中扣除。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养护期间的乔灌花草保存率低于要求的，必须在适合的季节及时补植同品种、同规格的苗木，并确保成活。若乙方未按规定补植，甲方有权安排第三方进行种植，所发生的苗木费及补植费用从履约质量保证金中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生绿化被偷盗、挖掘、毁坏的，及时阻止并上报，并负责后续恢复工作乙方负责原有设施及绿化的成品保护工作，相关费用已包含在养护费中。对发现人为破坏设施及绿化行为，承包人有义务对破坏行为进行及时报警并采取有效制止措施，否则按1000元/次进行处罚。由以上等情况造成的所有的空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7、绿化补种等费用均由乙方负责。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8、承包人有义务按甲方要求，配合甲方对现有的绿化资产进行统计。</w:t>
      </w:r>
      <w:r/>
    </w:p>
    <w:p>
      <w:pPr>
        <w:ind w:left="239" w:firstLine="241"/>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第六条 合同款结算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1、合同签订时因实际绿化养护面积与招标文件中所述面积有差异，以实际养护面积为准，且不再因此调整合同金额；乙方对养护面积有疑义的，以测绘面积为准。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合同履行过程中，若因政策调整(政策性发文)，工程改造、交接等，甲方亦有权对包内管养区域面积进行调整，绿化养护面积出现变化时，以原合同单价和实际增减面积据实调整养护金额，不再予以任何其他形式的补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3、结算价以</w:t>
      </w:r>
      <w:r>
        <w:rPr>
          <w:rFonts w:hint="eastAsia" w:ascii="宋体" w:hAnsi="宋体" w:cs="宋体"/>
          <w:color w:val="auto"/>
          <w:sz w:val="24"/>
          <w:highlight w:val="none"/>
          <w:lang w:val="en-US" w:eastAsia="zh-CN"/>
        </w:rPr>
        <w:t xml:space="preserve">优惠单价*</w:t>
      </w:r>
      <w:r>
        <w:rPr>
          <w:rFonts w:hint="eastAsia" w:ascii="宋体" w:hAnsi="宋体" w:eastAsia="宋体" w:cs="宋体"/>
          <w:color w:val="auto"/>
          <w:sz w:val="24"/>
          <w:highlight w:val="none"/>
        </w:rPr>
        <w:t xml:space="preserve">实际</w:t>
      </w:r>
      <w:r>
        <w:rPr>
          <w:rFonts w:hint="eastAsia" w:ascii="宋体" w:hAnsi="宋体" w:cs="宋体"/>
          <w:color w:val="auto"/>
          <w:sz w:val="24"/>
          <w:highlight w:val="none"/>
          <w:lang w:val="en-US" w:eastAsia="zh-CN"/>
        </w:rPr>
        <w:t xml:space="preserve">养护</w:t>
      </w:r>
      <w:r>
        <w:rPr>
          <w:rFonts w:hint="eastAsia" w:ascii="宋体" w:hAnsi="宋体" w:eastAsia="宋体" w:cs="宋体"/>
          <w:color w:val="auto"/>
          <w:sz w:val="24"/>
          <w:highlight w:val="none"/>
        </w:rPr>
        <w:t xml:space="preserve">面积</w:t>
      </w:r>
      <w:r>
        <w:rPr>
          <w:rFonts w:hint="eastAsia" w:ascii="宋体" w:hAnsi="宋体" w:cs="宋体"/>
          <w:color w:val="auto"/>
          <w:sz w:val="24"/>
          <w:highlight w:val="none"/>
          <w:lang w:val="en-US" w:eastAsia="zh-CN"/>
        </w:rPr>
        <w:t xml:space="preserve">*实际天数</w:t>
      </w:r>
      <w:r>
        <w:rPr>
          <w:rFonts w:hint="eastAsia" w:ascii="宋体" w:hAnsi="宋体" w:eastAsia="宋体" w:cs="宋体"/>
          <w:color w:val="auto"/>
          <w:sz w:val="24"/>
          <w:highlight w:val="none"/>
        </w:rPr>
        <w:t xml:space="preserve">进行计量调整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最终结算价不得超过本项目的最高投标限价金额</w:t>
      </w: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第七条 付款方式</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en-US"/>
        </w:rPr>
        <w:t xml:space="preserve">合同价格按此次中标价格执行。本合同为固定单价合同。</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en-US"/>
        </w:rPr>
        <w:t xml:space="preserve">履约担保的金额：</w:t>
      </w:r>
      <w:r>
        <w:rPr>
          <w:rFonts w:hint="eastAsia" w:ascii="宋体" w:hAnsi="宋体" w:eastAsia="宋体" w:cs="宋体"/>
          <w:bCs/>
          <w:color w:val="auto"/>
          <w:sz w:val="24"/>
          <w:highlight w:val="none"/>
        </w:rPr>
        <w:t xml:space="preserve">中标价的</w:t>
      </w:r>
      <w:r>
        <w:rPr>
          <w:rFonts w:hint="eastAsia" w:ascii="宋体" w:hAnsi="宋体" w:cs="宋体"/>
          <w:bCs/>
          <w:color w:val="auto"/>
          <w:sz w:val="24"/>
          <w:highlight w:val="none"/>
          <w:lang w:val="en-US" w:eastAsia="zh-CN"/>
        </w:rPr>
        <w:t xml:space="preserve">10</w:t>
      </w:r>
      <w:r>
        <w:rPr>
          <w:rFonts w:hint="eastAsia" w:ascii="宋体" w:hAnsi="宋体" w:eastAsia="宋体" w:cs="宋体"/>
          <w:bCs/>
          <w:color w:val="auto"/>
          <w:sz w:val="24"/>
          <w:highlight w:val="none"/>
          <w:lang w:eastAsia="en-US"/>
        </w:rPr>
        <w:t xml:space="preserve">%；以现金（转账、电汇、网银）、银行保函、担保机构的保函、保险机构的保单等其他非现金交易担保、法律法规允许的其他支付形式缴纳或提交至甲方指定账户，逾期不缴纳履约保证金的按自动放弃中标处理；</w:t>
      </w:r>
      <w:r>
        <w:rPr>
          <w:rFonts w:hint="eastAsia" w:ascii="宋体" w:hAnsi="宋体" w:eastAsia="宋体" w:cs="宋体"/>
          <w:color w:val="auto"/>
          <w:sz w:val="24"/>
          <w:highlight w:val="none"/>
        </w:rPr>
        <w:t xml:space="preserve">项目养护期满后一次性退还（无息）。</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en-US"/>
        </w:rPr>
        <w:t xml:space="preserve">预付款：</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eastAsia="宋体" w:cs="宋体"/>
          <w:bCs/>
          <w:color w:val="auto"/>
          <w:sz w:val="24"/>
          <w:highlight w:val="none"/>
          <w:lang w:eastAsia="en-US"/>
        </w:rPr>
        <w:t xml:space="preserve">（1）合同签订后3个月内预付各包</w:t>
      </w:r>
      <w:r>
        <w:rPr>
          <w:rFonts w:hint="eastAsia" w:ascii="宋体" w:hAnsi="宋体" w:cs="宋体"/>
          <w:bCs/>
          <w:color w:val="auto"/>
          <w:sz w:val="24"/>
          <w:highlight w:val="none"/>
          <w:lang w:val="en-US" w:eastAsia="zh-CN"/>
        </w:rPr>
        <w:t xml:space="preserve">第一年</w:t>
      </w:r>
      <w:r>
        <w:rPr>
          <w:rFonts w:hint="eastAsia" w:ascii="宋体" w:hAnsi="宋体" w:eastAsia="宋体" w:cs="宋体"/>
          <w:bCs/>
          <w:color w:val="auto"/>
          <w:sz w:val="24"/>
          <w:highlight w:val="none"/>
          <w:lang w:eastAsia="en-US"/>
        </w:rPr>
        <w:t xml:space="preserve">合同价的10%；</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eastAsia="宋体" w:cs="宋体"/>
          <w:bCs/>
          <w:color w:val="auto"/>
          <w:sz w:val="24"/>
          <w:highlight w:val="none"/>
          <w:lang w:eastAsia="en-US"/>
        </w:rPr>
        <w:t xml:space="preserve">（2）预付款的扣回：最后一次付款时扣除已支付的预付款后结算。</w:t>
      </w:r>
      <w:r/>
    </w:p>
    <w:p>
      <w:pPr>
        <w:ind w:firstLine="480"/>
        <w:spacing w:line="360" w:lineRule="auto"/>
        <w:rPr>
          <w:rFonts w:hint="default" w:ascii="宋体" w:hAnsi="宋体" w:eastAsia="宋体" w:cs="宋体"/>
          <w:bCs/>
          <w:color w:val="auto"/>
          <w:sz w:val="24"/>
          <w:highlight w:val="none"/>
          <w:lang w:val="en-US" w:eastAsia="en-US"/>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en-US"/>
        </w:rPr>
        <w:t xml:space="preserve">本工程养护期内发包人根据《常州市金坛区公路绿化养护管理考核办法》对承包人绿化养护情况按实际养护天数和面积进行计量，并根据考核结果每年</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eastAsia="en-US"/>
        </w:rPr>
        <w:t xml:space="preserve">月和</w:t>
      </w:r>
      <w:r>
        <w:rPr>
          <w:rFonts w:hint="eastAsia" w:ascii="宋体" w:hAnsi="宋体" w:cs="宋体"/>
          <w:bCs/>
          <w:color w:val="auto"/>
          <w:sz w:val="24"/>
          <w:highlight w:val="none"/>
          <w:lang w:val="en-US" w:eastAsia="zh-CN"/>
        </w:rPr>
        <w:t xml:space="preserve">12</w:t>
      </w:r>
      <w:r>
        <w:rPr>
          <w:rFonts w:hint="eastAsia" w:ascii="宋体" w:hAnsi="宋体" w:eastAsia="宋体" w:cs="宋体"/>
          <w:bCs/>
          <w:color w:val="auto"/>
          <w:sz w:val="24"/>
          <w:highlight w:val="none"/>
          <w:lang w:eastAsia="en-US"/>
        </w:rPr>
        <w:t xml:space="preserve">月支付一次当期养护经费（移植或补植的苗木在确保成活后按合同中单价随养护经费一同支付），养护期满</w:t>
      </w:r>
      <w:r>
        <w:rPr>
          <w:rFonts w:hint="eastAsia" w:ascii="宋体" w:hAnsi="宋体" w:cs="宋体"/>
          <w:b/>
          <w:color w:val="auto"/>
          <w:sz w:val="24"/>
          <w:highlight w:val="none"/>
          <w:lang w:val="en-US" w:eastAsia="zh-CN"/>
        </w:rPr>
        <w:t xml:space="preserve">发包</w:t>
      </w:r>
      <w:r>
        <w:rPr>
          <w:rFonts w:hint="eastAsia" w:ascii="宋体" w:hAnsi="宋体" w:eastAsia="宋体" w:cs="宋体"/>
          <w:b/>
          <w:color w:val="auto"/>
          <w:sz w:val="24"/>
          <w:highlight w:val="none"/>
          <w:lang w:eastAsia="en-US"/>
        </w:rPr>
        <w:t xml:space="preserve">人组织履约验收合格后</w:t>
      </w:r>
      <w:r>
        <w:rPr>
          <w:rFonts w:hint="eastAsia" w:ascii="宋体" w:hAnsi="宋体" w:eastAsia="宋体" w:cs="宋体"/>
          <w:bCs/>
          <w:color w:val="auto"/>
          <w:sz w:val="24"/>
          <w:highlight w:val="none"/>
          <w:lang w:eastAsia="en-US"/>
        </w:rPr>
        <w:t xml:space="preserve">退还履约保证金，所有应付款不计息。移植苗如出现死亡乙方需按照《关于调整常州市市区园林绿化损坏赔偿标准的通知》文件中相应标准进行赔偿，赔偿费用在作业服务款中扣除。</w:t>
      </w:r>
      <w:r/>
    </w:p>
    <w:p>
      <w:pPr>
        <w:ind w:firstLine="422"/>
        <w:spacing w:line="360" w:lineRule="auto"/>
        <w:rPr>
          <w:rFonts w:hint="eastAsia" w:ascii="宋体" w:hAnsi="宋体" w:eastAsia="宋体" w:cs="宋体"/>
          <w:bCs/>
          <w:color w:val="auto"/>
          <w:sz w:val="24"/>
          <w:highlight w:val="none"/>
          <w:lang w:eastAsia="en-US"/>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eastAsia="en-US"/>
        </w:rPr>
        <w:t xml:space="preserve">、移交工作：合同结束期三个月前，承包人应重新清点苗木清单，未能成活的苗木及时补种，合同到期后应积极配合发包人将包移交给新中标单位。否则履约保证金予以暂扣，直到移交工作完成为止。</w:t>
      </w:r>
      <w:r/>
    </w:p>
    <w:p>
      <w:pPr>
        <w:ind w:firstLine="422"/>
        <w:spacing w:line="360" w:lineRule="auto"/>
        <w:rPr>
          <w:rFonts w:hint="eastAsia" w:ascii="宋体" w:hAnsi="宋体" w:eastAsia="宋体" w:cs="宋体"/>
          <w:bCs/>
          <w:color w:val="auto"/>
          <w:sz w:val="24"/>
          <w:highlight w:val="none"/>
          <w:lang w:eastAsia="en-US"/>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eastAsia="en-US"/>
        </w:rPr>
        <w:t xml:space="preserve">、根据国家现行税法对乙方征收的与本合同有关的一切税费均由乙方承担。</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第八条 甲乙双方权利和义务</w:t>
      </w:r>
      <w:r/>
    </w:p>
    <w:p>
      <w:pPr>
        <w:ind w:firstLine="420"/>
        <w:spacing w:line="360" w:lineRule="auto"/>
        <w:rPr>
          <w:rFonts w:hint="eastAsia" w:ascii="宋体" w:hAnsi="宋体" w:eastAsia="宋体" w:cs="宋体"/>
          <w:b/>
          <w:bCs/>
          <w:color w:val="auto"/>
          <w:sz w:val="24"/>
          <w:highlight w:val="none"/>
          <w:lang w:eastAsia="en-US"/>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en-US"/>
        </w:rPr>
        <w:t xml:space="preserve">甲方权利和义务</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en-US"/>
        </w:rPr>
        <w:t xml:space="preserve">、根据甲方绿化养护要求及乙方响应文件中的承诺，对乙方提供的服务及履行本合同情况实行验收考核。</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en-US"/>
        </w:rPr>
        <w:t xml:space="preserve">2、因突发事件及重大活动，甲方需调动乙方人员、设备时，乙方应服从安排予以配合。</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en-US"/>
        </w:rPr>
        <w:t xml:space="preserve">3、按照《常州市金坛区公路绿化养护管理考核办法》等相关绿化管理条例及甲方指令开展养护工作，甲方对乙方养护管理工作进行检査考核，并打分，根据考核结果支付养护费用。</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en-US"/>
        </w:rPr>
        <w:t xml:space="preserve">4、甲方有义务在适当的范围内公开考核结果。</w:t>
      </w:r>
      <w:r/>
    </w:p>
    <w:p>
      <w:pPr>
        <w:ind w:firstLine="482"/>
        <w:spacing w:line="360" w:lineRule="auto"/>
        <w:rPr>
          <w:rFonts w:hint="eastAsia" w:ascii="宋体" w:hAnsi="宋体" w:eastAsia="宋体" w:cs="宋体"/>
          <w:b/>
          <w:bCs/>
          <w:color w:val="auto"/>
          <w:sz w:val="24"/>
          <w:highlight w:val="none"/>
          <w:lang w:eastAsia="en-US"/>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en-US"/>
        </w:rPr>
        <w:t xml:space="preserve">乙方权利和义务</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en-US"/>
        </w:rPr>
        <w:t xml:space="preserve">1、乙方根据绿地养护技术规范、绿化养护质量标准和有关要求，积极主动保质保量地完成绿化养护工作。</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en-US"/>
        </w:rPr>
        <w:t xml:space="preserve">2、接受并主动配合甲方及行业管理部门的检查。</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en-US"/>
        </w:rPr>
        <w:t xml:space="preserve">3、养护范围之外的突击性、突发性工作，乙方须服从甲方的安排，不得无故拖延。</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en-US"/>
        </w:rPr>
        <w:t xml:space="preserve">4、绿化带绿化缺失、苗木偷盗、未经行政许可开挖的绿化恢复等应由乙方负责及时补植和修复。</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en-US"/>
        </w:rPr>
        <w:t xml:space="preserve">5、乙方需在金坛地区设立能满足本工程需要的不少于1200平方米的养护基地（包括办公室、会议室、后勤、仓库及机械停放等功能区域），并提供属于承包人所有的房屋产权证明（若为租赁房屋，则需提供以承包人名义签署的租赁协议，并且租赁期限不少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en-US"/>
        </w:rPr>
        <w:t xml:space="preserve">年）。办公室需配备各种必要的办公设备，包括电脑打印机等现代化办公用具，并配备不少于3个常驻办事人员，以及养护常用机械，包括洒水车、机动打药机、修剪机等。经发包人认可后签订合同，否则发包人将取消其中标资格。若在合同实施过程中不满足养护要求，甲方有权终止合同并没收其履约担保，并对超出部分损失保留索赔权利。</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en-US"/>
        </w:rPr>
        <w:t xml:space="preserve">6、在合同承包期间，如果本合同路段中发生严重交通事故损坏公路绿化设施等突发性事件，甲方认为急需进行补救的，经通知乙方后乙方无能力或不愿立即进行此类工作时，则甲方有权雇用其他人员实施业主认为必须做的工作，并支付有关费用。如果甲方认为按此方式完成的上述补救工作，按合同规定本应由乙方负责以自费进行的，则因此引起的或伴随发生的全部费用，应由甲方与乙方适当协商后确定其款额，并向乙方索回，或在应付或到期应付给承包人的款项中扣除。</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en-US"/>
        </w:rPr>
        <w:t xml:space="preserve">7、未事先征得甲方同意，乙方不得擅自更换投标文件中承诺的</w:t>
      </w:r>
      <w:r>
        <w:rPr>
          <w:rFonts w:hint="eastAsia" w:ascii="宋体" w:hAnsi="宋体" w:cs="宋体"/>
          <w:color w:val="auto"/>
          <w:sz w:val="24"/>
          <w:highlight w:val="none"/>
          <w:lang w:eastAsia="zh-CN"/>
        </w:rPr>
        <w:t xml:space="preserve">项目负责人</w:t>
      </w:r>
      <w:r>
        <w:rPr>
          <w:rFonts w:hint="eastAsia" w:ascii="宋体" w:hAnsi="宋体" w:eastAsia="宋体" w:cs="宋体"/>
          <w:color w:val="auto"/>
          <w:sz w:val="24"/>
          <w:highlight w:val="none"/>
          <w:lang w:eastAsia="en-US"/>
        </w:rPr>
        <w:t xml:space="preserve">，否则将被视为乙方违约。若确需更换必须获得甲方的同意并保证调整后不得低于原有的水平，甲方有权根据工程实施情况或对于被认定为不合格的人员要求乙方立即更换，对此，乙方不得拒绝。</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根据以上规定更换</w:t>
      </w:r>
      <w:r>
        <w:rPr>
          <w:rFonts w:hint="eastAsia" w:ascii="宋体" w:hAnsi="宋体" w:cs="宋体"/>
          <w:color w:val="auto"/>
          <w:sz w:val="24"/>
          <w:highlight w:val="none"/>
          <w:lang w:eastAsia="zh-CN"/>
        </w:rPr>
        <w:t xml:space="preserve">项目负责人</w:t>
      </w:r>
      <w:r>
        <w:rPr>
          <w:rFonts w:hint="eastAsia" w:ascii="宋体" w:hAnsi="宋体" w:eastAsia="宋体" w:cs="宋体"/>
          <w:color w:val="auto"/>
          <w:sz w:val="24"/>
          <w:highlight w:val="none"/>
          <w:lang w:eastAsia="en-US"/>
        </w:rPr>
        <w:t xml:space="preserve">，甲方将向乙方收取违约金并在当期支付价款中扣除，其标准为10万元/人•次。</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出现第2次变更的，甲方有权提前解除合同并扣全部履约保证金同时向相关部门报不良行为。</w:t>
      </w:r>
      <w:r/>
    </w:p>
    <w:p>
      <w:pPr>
        <w:ind w:firstLine="42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承包人投入的</w:t>
      </w:r>
      <w:r>
        <w:rPr>
          <w:rFonts w:hint="eastAsia" w:ascii="宋体" w:hAnsi="宋体" w:cs="宋体"/>
          <w:color w:val="auto"/>
          <w:sz w:val="24"/>
          <w:highlight w:val="none"/>
          <w:lang w:eastAsia="zh-CN"/>
        </w:rPr>
        <w:t xml:space="preserve">项目负责人</w:t>
      </w:r>
      <w:r>
        <w:rPr>
          <w:rFonts w:hint="eastAsia" w:ascii="宋体" w:hAnsi="宋体" w:eastAsia="宋体" w:cs="宋体"/>
          <w:color w:val="auto"/>
          <w:sz w:val="24"/>
          <w:highlight w:val="none"/>
          <w:lang w:eastAsia="en-US"/>
        </w:rPr>
        <w:t xml:space="preserve">在合同履行期间因死亡或存在重伤、重大疾病而无法继续履行职责的，需提供三级甲等医院的证明材料并经甲方核实确认并同意，可免除人员更换的违约金处罚。</w:t>
      </w:r>
      <w:r/>
    </w:p>
    <w:p>
      <w:pPr>
        <w:ind w:firstLine="480"/>
        <w:jc w:val="left"/>
        <w:spacing w:line="360" w:lineRule="auto"/>
        <w:widowControl/>
        <w:rPr>
          <w:rFonts w:hint="eastAsia" w:ascii="宋体" w:hAnsi="宋体" w:eastAsia="宋体" w:cs="宋体"/>
          <w:color w:val="auto"/>
          <w:sz w:val="24"/>
          <w:highlight w:val="none"/>
          <w:lang w:eastAsia="en-US"/>
        </w:rPr>
      </w:pPr>
      <w:r>
        <w:rPr>
          <w:rFonts w:hint="eastAsia" w:ascii="宋体" w:hAnsi="宋体" w:cs="宋体"/>
          <w:color w:val="auto"/>
          <w:sz w:val="24"/>
          <w:highlight w:val="none"/>
          <w:lang w:val="en-US" w:eastAsia="zh-CN"/>
        </w:rPr>
        <w:t xml:space="preserve">2.8承包人</w:t>
      </w:r>
      <w:r>
        <w:rPr>
          <w:rFonts w:hint="eastAsia" w:ascii="宋体" w:hAnsi="宋体" w:cs="宋体"/>
          <w:b/>
          <w:bCs/>
          <w:color w:val="auto"/>
          <w:spacing w:val="-3"/>
          <w:sz w:val="24"/>
          <w:highlight w:val="none"/>
          <w:lang w:val="en-US" w:eastAsia="zh-CN"/>
        </w:rPr>
        <w:t xml:space="preserve">须</w:t>
      </w:r>
      <w:r>
        <w:rPr>
          <w:rFonts w:hint="eastAsia" w:ascii="宋体" w:hAnsi="宋体" w:eastAsia="宋体" w:cs="宋体"/>
          <w:b/>
          <w:bCs/>
          <w:color w:val="auto"/>
          <w:spacing w:val="-3"/>
          <w:sz w:val="24"/>
          <w:highlight w:val="none"/>
          <w:lang w:eastAsia="en-US"/>
        </w:rPr>
        <w:t xml:space="preserve">考虑每辆车司机</w:t>
      </w:r>
      <w:r>
        <w:rPr>
          <w:rFonts w:hint="eastAsia" w:ascii="宋体" w:hAnsi="宋体" w:eastAsia="宋体" w:cs="宋体"/>
          <w:b/>
          <w:bCs/>
          <w:color w:val="auto"/>
          <w:spacing w:val="-4"/>
          <w:sz w:val="24"/>
          <w:highlight w:val="none"/>
          <w:lang w:eastAsia="en-US"/>
        </w:rPr>
        <w:t xml:space="preserve">、油耗、维保、折旧摊销等费用，</w:t>
      </w:r>
      <w:r>
        <w:rPr>
          <w:rFonts w:hint="eastAsia" w:ascii="宋体" w:hAnsi="宋体" w:cs="宋体"/>
          <w:b/>
          <w:bCs/>
          <w:color w:val="auto"/>
          <w:spacing w:val="-4"/>
          <w:sz w:val="24"/>
          <w:highlight w:val="none"/>
          <w:lang w:val="en-US" w:eastAsia="zh-CN"/>
        </w:rPr>
        <w:t xml:space="preserve">由承包人综合考虑，计入投标总价中。</w:t>
      </w:r>
      <w:r/>
    </w:p>
    <w:p>
      <w:pPr>
        <w:ind w:left="0" w:right="0" w:firstLine="470"/>
        <w:jc w:val="left"/>
        <w:keepLines w:val="0"/>
        <w:keepNext w:val="0"/>
        <w:pageBreakBefore w:val="0"/>
        <w:spacing w:line="360" w:lineRule="auto"/>
        <w:widowControl/>
        <w:rPr>
          <w:rFonts w:hint="eastAsia" w:ascii="宋体" w:hAnsi="宋体" w:cs="宋体"/>
          <w:b/>
          <w:bCs/>
          <w:color w:val="auto"/>
          <w:spacing w:val="-4"/>
          <w:sz w:val="24"/>
          <w:highlight w:val="none"/>
          <w:lang w:val="en-US" w:eastAsia="zh-CN"/>
        </w:rPr>
      </w:pPr>
      <w:r>
        <w:rPr>
          <w:rFonts w:hint="eastAsia" w:ascii="宋体" w:hAnsi="宋体" w:eastAsia="宋体" w:cs="宋体"/>
          <w:b/>
          <w:bCs/>
          <w:color w:val="auto"/>
          <w:spacing w:val="-3"/>
          <w:sz w:val="24"/>
          <w:highlight w:val="none"/>
          <w:lang w:eastAsia="en-US"/>
        </w:rPr>
        <w:t xml:space="preserve">应急、迎检、重大活动费用</w:t>
      </w:r>
      <w:r>
        <w:rPr>
          <w:rFonts w:hint="eastAsia" w:ascii="宋体" w:hAnsi="宋体" w:cs="宋体"/>
          <w:b/>
          <w:bCs/>
          <w:color w:val="auto"/>
          <w:spacing w:val="-4"/>
          <w:sz w:val="24"/>
          <w:highlight w:val="none"/>
          <w:lang w:val="en-US" w:eastAsia="zh-CN"/>
        </w:rPr>
        <w:t xml:space="preserve">由承包人综合考虑，计入投标总价中。</w:t>
      </w:r>
      <w:r/>
    </w:p>
    <w:p>
      <w:pPr>
        <w:ind w:right="0" w:firstLine="466"/>
        <w:jc w:val="left"/>
        <w:keepLines w:val="0"/>
        <w:keepNext w:val="0"/>
        <w:pageBreakBefore w:val="0"/>
        <w:spacing w:line="360" w:lineRule="auto"/>
        <w:widowControl/>
        <w:rPr>
          <w:rFonts w:hint="default" w:ascii="宋体" w:hAnsi="宋体" w:cs="宋体"/>
          <w:b/>
          <w:bCs/>
          <w:color w:val="auto"/>
          <w:spacing w:val="-4"/>
          <w:sz w:val="24"/>
          <w:highlight w:val="none"/>
          <w:lang w:val="en-US" w:eastAsia="en-US"/>
        </w:rPr>
      </w:pPr>
      <w:r>
        <w:rPr>
          <w:rFonts w:hint="eastAsia" w:ascii="宋体" w:hAnsi="宋体" w:cs="宋体"/>
          <w:b/>
          <w:bCs/>
          <w:color w:val="auto"/>
          <w:spacing w:val="-4"/>
          <w:sz w:val="24"/>
          <w:highlight w:val="none"/>
          <w:lang w:val="en-US" w:eastAsia="zh-CN"/>
        </w:rPr>
        <w:t xml:space="preserve">承包人自行考虑本项目所需的安全防护设备及器具，包括但不限于锥桶、标志牌、安全帽、反光标识统一制服、爆闪灯等，所需费用包含在承包人报价中。</w:t>
      </w:r>
      <w:r/>
    </w:p>
    <w:p>
      <w:pPr>
        <w:ind w:firstLine="422"/>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15"/>
          <w:sz w:val="24"/>
          <w:highlight w:val="none"/>
          <w:lang w:eastAsia="en-US"/>
        </w:rPr>
        <w:t xml:space="preserve">说明：</w:t>
      </w:r>
      <w:r/>
    </w:p>
    <w:p>
      <w:pPr>
        <w:ind w:firstLine="474"/>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2"/>
          <w:sz w:val="24"/>
          <w:highlight w:val="none"/>
          <w:lang w:eastAsia="en-US"/>
        </w:rPr>
        <w:t xml:space="preserve">（</w:t>
      </w:r>
      <w:r>
        <w:rPr>
          <w:rFonts w:hint="eastAsia" w:ascii="宋体" w:hAnsi="宋体" w:cs="宋体"/>
          <w:b/>
          <w:bCs/>
          <w:color w:val="auto"/>
          <w:spacing w:val="-2"/>
          <w:sz w:val="24"/>
          <w:highlight w:val="none"/>
          <w:lang w:val="en-US" w:eastAsia="zh-CN"/>
        </w:rPr>
        <w:t xml:space="preserve">1</w:t>
      </w:r>
      <w:r>
        <w:rPr>
          <w:rFonts w:hint="eastAsia" w:ascii="宋体" w:hAnsi="宋体" w:eastAsia="宋体" w:cs="宋体"/>
          <w:b/>
          <w:bCs/>
          <w:color w:val="auto"/>
          <w:spacing w:val="-2"/>
          <w:sz w:val="24"/>
          <w:highlight w:val="none"/>
          <w:lang w:eastAsia="en-US"/>
        </w:rPr>
        <w:t xml:space="preserve">）承包期内因省、市政府出台文件调整最低人员保障工资的，</w:t>
      </w:r>
      <w:r>
        <w:rPr>
          <w:rFonts w:hint="eastAsia" w:ascii="宋体" w:hAnsi="宋体" w:cs="宋体"/>
          <w:b/>
          <w:bCs/>
          <w:color w:val="auto"/>
          <w:spacing w:val="-4"/>
          <w:sz w:val="24"/>
          <w:highlight w:val="none"/>
          <w:lang w:val="en-US" w:eastAsia="zh-CN"/>
        </w:rPr>
        <w:t xml:space="preserve">承包人</w:t>
      </w:r>
      <w:r>
        <w:rPr>
          <w:rFonts w:hint="eastAsia" w:ascii="宋体" w:hAnsi="宋体" w:eastAsia="宋体" w:cs="宋体"/>
          <w:b/>
          <w:bCs/>
          <w:color w:val="auto"/>
          <w:spacing w:val="-2"/>
          <w:sz w:val="24"/>
          <w:highlight w:val="none"/>
          <w:lang w:eastAsia="en-US"/>
        </w:rPr>
        <w:t xml:space="preserve">须无条件予以调整，该风险</w:t>
      </w:r>
      <w:r>
        <w:rPr>
          <w:rFonts w:hint="eastAsia" w:ascii="宋体" w:hAnsi="宋体" w:cs="宋体"/>
          <w:b/>
          <w:bCs/>
          <w:color w:val="auto"/>
          <w:spacing w:val="-4"/>
          <w:sz w:val="24"/>
          <w:highlight w:val="none"/>
          <w:lang w:val="en-US" w:eastAsia="zh-CN"/>
        </w:rPr>
        <w:t xml:space="preserve">承包人</w:t>
      </w:r>
      <w:r>
        <w:rPr>
          <w:rFonts w:hint="eastAsia" w:ascii="宋体" w:hAnsi="宋体" w:eastAsia="宋体" w:cs="宋体"/>
          <w:b/>
          <w:bCs/>
          <w:color w:val="auto"/>
          <w:spacing w:val="-3"/>
          <w:sz w:val="24"/>
          <w:highlight w:val="none"/>
          <w:lang w:eastAsia="en-US"/>
        </w:rPr>
        <w:t xml:space="preserve">投标时须综合考虑并承担，中标后采购人不再给予。</w:t>
      </w:r>
      <w:r/>
    </w:p>
    <w:p>
      <w:pPr>
        <w:ind w:firstLine="470"/>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3"/>
          <w:sz w:val="24"/>
          <w:highlight w:val="none"/>
          <w:lang w:eastAsia="en-US"/>
        </w:rPr>
        <w:t xml:space="preserve">（</w:t>
      </w:r>
      <w:r>
        <w:rPr>
          <w:rFonts w:hint="eastAsia" w:ascii="宋体" w:hAnsi="宋体" w:cs="宋体"/>
          <w:b/>
          <w:bCs/>
          <w:color w:val="auto"/>
          <w:spacing w:val="-3"/>
          <w:sz w:val="24"/>
          <w:highlight w:val="none"/>
          <w:lang w:val="en-US" w:eastAsia="zh-CN"/>
        </w:rPr>
        <w:t xml:space="preserve">2</w:t>
      </w:r>
      <w:r>
        <w:rPr>
          <w:rFonts w:hint="eastAsia" w:ascii="宋体" w:hAnsi="宋体" w:eastAsia="宋体" w:cs="宋体"/>
          <w:b/>
          <w:bCs/>
          <w:color w:val="auto"/>
          <w:spacing w:val="-3"/>
          <w:sz w:val="24"/>
          <w:highlight w:val="none"/>
          <w:lang w:eastAsia="en-US"/>
        </w:rPr>
        <w:t xml:space="preserve">）服务期内服务价格不变，请</w:t>
      </w:r>
      <w:r>
        <w:rPr>
          <w:rFonts w:hint="eastAsia" w:ascii="宋体" w:hAnsi="宋体" w:cs="宋体"/>
          <w:b/>
          <w:bCs/>
          <w:color w:val="auto"/>
          <w:spacing w:val="-4"/>
          <w:sz w:val="24"/>
          <w:highlight w:val="none"/>
          <w:lang w:val="en-US" w:eastAsia="zh-CN"/>
        </w:rPr>
        <w:t xml:space="preserve">承包人</w:t>
      </w:r>
      <w:r>
        <w:rPr>
          <w:rFonts w:hint="eastAsia" w:ascii="宋体" w:hAnsi="宋体" w:eastAsia="宋体" w:cs="宋体"/>
          <w:b/>
          <w:bCs/>
          <w:color w:val="auto"/>
          <w:spacing w:val="-3"/>
          <w:sz w:val="24"/>
          <w:highlight w:val="none"/>
          <w:lang w:eastAsia="en-US"/>
        </w:rPr>
        <w:t xml:space="preserve">充分考虑再行报价。</w:t>
      </w:r>
      <w:r/>
    </w:p>
    <w:p>
      <w:pPr>
        <w:ind w:firstLine="474"/>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2"/>
          <w:sz w:val="24"/>
          <w:highlight w:val="none"/>
          <w:lang w:eastAsia="en-US"/>
        </w:rPr>
        <w:t xml:space="preserve">（</w:t>
      </w:r>
      <w:r>
        <w:rPr>
          <w:rFonts w:hint="eastAsia" w:ascii="宋体" w:hAnsi="宋体" w:cs="宋体"/>
          <w:b/>
          <w:bCs/>
          <w:color w:val="auto"/>
          <w:spacing w:val="-2"/>
          <w:sz w:val="24"/>
          <w:highlight w:val="none"/>
          <w:lang w:val="en-US" w:eastAsia="zh-CN"/>
        </w:rPr>
        <w:t xml:space="preserve">3</w:t>
      </w:r>
      <w:r>
        <w:rPr>
          <w:rFonts w:hint="eastAsia" w:ascii="宋体" w:hAnsi="宋体" w:eastAsia="宋体" w:cs="宋体"/>
          <w:b/>
          <w:bCs/>
          <w:color w:val="auto"/>
          <w:spacing w:val="-2"/>
          <w:sz w:val="24"/>
          <w:highlight w:val="none"/>
          <w:lang w:eastAsia="en-US"/>
        </w:rPr>
        <w:t xml:space="preserve">）由于项目施工、各类活动、节假日期间等因素导致的费用，不论这些因素是可预</w:t>
      </w:r>
      <w:r>
        <w:rPr>
          <w:rFonts w:hint="eastAsia" w:ascii="宋体" w:hAnsi="宋体" w:eastAsia="宋体" w:cs="宋体"/>
          <w:b/>
          <w:bCs/>
          <w:color w:val="auto"/>
          <w:spacing w:val="-3"/>
          <w:sz w:val="24"/>
          <w:highlight w:val="none"/>
          <w:lang w:eastAsia="en-US"/>
        </w:rPr>
        <w:t xml:space="preserve">测或不可预测</w:t>
      </w:r>
      <w:r>
        <w:rPr>
          <w:rFonts w:hint="eastAsia" w:ascii="宋体" w:hAnsi="宋体" w:eastAsia="宋体" w:cs="宋体"/>
          <w:b/>
          <w:bCs/>
          <w:color w:val="auto"/>
          <w:spacing w:val="-4"/>
          <w:sz w:val="24"/>
          <w:highlight w:val="none"/>
          <w:lang w:eastAsia="en-US"/>
        </w:rPr>
        <w:t xml:space="preserve">的，均已包含在投标报价中。除采购人要求外，不作调整。</w:t>
      </w:r>
      <w:r/>
    </w:p>
    <w:p>
      <w:pPr>
        <w:ind w:firstLine="438"/>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11"/>
          <w:sz w:val="24"/>
          <w:highlight w:val="none"/>
          <w:lang w:eastAsia="en-US"/>
        </w:rPr>
        <w:t xml:space="preserve">（</w:t>
      </w:r>
      <w:r>
        <w:rPr>
          <w:rFonts w:hint="eastAsia" w:ascii="宋体" w:hAnsi="宋体" w:cs="宋体"/>
          <w:b/>
          <w:bCs/>
          <w:color w:val="auto"/>
          <w:spacing w:val="-11"/>
          <w:sz w:val="24"/>
          <w:highlight w:val="none"/>
          <w:lang w:val="en-US" w:eastAsia="zh-CN"/>
        </w:rPr>
        <w:t xml:space="preserve">4</w:t>
      </w:r>
      <w:r>
        <w:rPr>
          <w:rFonts w:hint="eastAsia" w:ascii="宋体" w:hAnsi="宋体" w:eastAsia="宋体" w:cs="宋体"/>
          <w:b/>
          <w:bCs/>
          <w:color w:val="auto"/>
          <w:spacing w:val="-11"/>
          <w:sz w:val="24"/>
          <w:highlight w:val="none"/>
          <w:lang w:eastAsia="en-US"/>
        </w:rPr>
        <w:t xml:space="preserve">）因突发情况（如台风、雨雪、冰雹、霜或冻等天气或气候因素，或车辆、居民或行人等人为因</w:t>
      </w:r>
      <w:r>
        <w:rPr>
          <w:rFonts w:hint="eastAsia" w:ascii="宋体" w:hAnsi="宋体" w:eastAsia="宋体" w:cs="宋体"/>
          <w:color w:val="auto"/>
          <w:spacing w:val="-11"/>
          <w:sz w:val="24"/>
          <w:highlight w:val="none"/>
          <w:lang w:eastAsia="en-US"/>
        </w:rPr>
        <w:t xml:space="preserve"> </w:t>
      </w:r>
      <w:r>
        <w:rPr>
          <w:rFonts w:hint="eastAsia" w:ascii="宋体" w:hAnsi="宋体" w:eastAsia="宋体" w:cs="宋体"/>
          <w:b/>
          <w:bCs/>
          <w:color w:val="auto"/>
          <w:spacing w:val="-11"/>
          <w:sz w:val="24"/>
          <w:highlight w:val="none"/>
          <w:lang w:eastAsia="en-US"/>
        </w:rPr>
        <w:t xml:space="preserve">素，</w:t>
      </w:r>
      <w:r>
        <w:rPr>
          <w:rFonts w:hint="eastAsia" w:ascii="宋体" w:hAnsi="宋体" w:eastAsia="宋体" w:cs="宋体"/>
          <w:b/>
          <w:bCs/>
          <w:color w:val="auto"/>
          <w:spacing w:val="-1"/>
          <w:sz w:val="24"/>
          <w:highlight w:val="none"/>
          <w:lang w:eastAsia="en-US"/>
        </w:rPr>
        <w:t xml:space="preserve">或是其它因素，以及复合因素或不明原因的</w:t>
      </w:r>
      <w:r>
        <w:rPr>
          <w:rFonts w:hint="eastAsia" w:ascii="宋体" w:hAnsi="宋体" w:eastAsia="宋体" w:cs="宋体"/>
          <w:b/>
          <w:bCs/>
          <w:color w:val="auto"/>
          <w:spacing w:val="-2"/>
          <w:sz w:val="24"/>
          <w:highlight w:val="none"/>
          <w:lang w:eastAsia="en-US"/>
        </w:rPr>
        <w:t xml:space="preserve">情况）</w:t>
      </w:r>
      <w:r>
        <w:rPr>
          <w:rFonts w:hint="eastAsia" w:ascii="宋体" w:hAnsi="宋体" w:eastAsia="宋体" w:cs="宋体"/>
          <w:color w:val="auto"/>
          <w:spacing w:val="-2"/>
          <w:sz w:val="24"/>
          <w:highlight w:val="none"/>
          <w:lang w:eastAsia="en-US"/>
        </w:rPr>
        <w:t xml:space="preserve"> </w:t>
      </w:r>
      <w:r>
        <w:rPr>
          <w:rFonts w:hint="eastAsia" w:ascii="宋体" w:hAnsi="宋体" w:eastAsia="宋体" w:cs="宋体"/>
          <w:b/>
          <w:bCs/>
          <w:color w:val="auto"/>
          <w:spacing w:val="-2"/>
          <w:sz w:val="24"/>
          <w:highlight w:val="none"/>
          <w:lang w:eastAsia="en-US"/>
        </w:rPr>
        <w:t xml:space="preserve">导致的</w:t>
      </w:r>
      <w:r>
        <w:rPr>
          <w:rFonts w:hint="eastAsia" w:ascii="宋体" w:hAnsi="宋体"/>
          <w:b/>
          <w:bCs/>
          <w:color w:val="auto"/>
          <w:spacing w:val="-2"/>
          <w:sz w:val="24"/>
          <w:highlight w:val="none"/>
        </w:rPr>
        <w:t xml:space="preserve">零星垃圾等</w:t>
      </w:r>
      <w:r>
        <w:rPr>
          <w:rFonts w:hint="eastAsia" w:ascii="宋体" w:hAnsi="宋体" w:eastAsia="宋体" w:cs="宋体"/>
          <w:b/>
          <w:bCs/>
          <w:color w:val="auto"/>
          <w:spacing w:val="-2"/>
          <w:sz w:val="24"/>
          <w:highlight w:val="none"/>
          <w:lang w:eastAsia="en-US"/>
        </w:rPr>
        <w:t xml:space="preserve">必</w:t>
      </w:r>
      <w:r>
        <w:rPr>
          <w:rFonts w:hint="eastAsia" w:ascii="宋体" w:hAnsi="宋体" w:eastAsia="宋体" w:cs="宋体"/>
          <w:b/>
          <w:bCs/>
          <w:color w:val="auto"/>
          <w:spacing w:val="-1"/>
          <w:sz w:val="24"/>
          <w:highlight w:val="none"/>
          <w:lang w:eastAsia="en-US"/>
        </w:rPr>
        <w:t xml:space="preserve">须及时清除，不论这些因素是可预测或不可</w:t>
      </w:r>
      <w:r>
        <w:rPr>
          <w:rFonts w:hint="eastAsia" w:ascii="宋体" w:hAnsi="宋体" w:eastAsia="宋体" w:cs="宋体"/>
          <w:b/>
          <w:bCs/>
          <w:color w:val="auto"/>
          <w:spacing w:val="-2"/>
          <w:sz w:val="24"/>
          <w:highlight w:val="none"/>
          <w:lang w:eastAsia="en-US"/>
        </w:rPr>
        <w:t xml:space="preserve">预测的，</w:t>
      </w:r>
      <w:r>
        <w:rPr>
          <w:rFonts w:hint="eastAsia" w:ascii="宋体" w:hAnsi="宋体" w:eastAsia="宋体" w:cs="宋体"/>
          <w:color w:val="auto"/>
          <w:spacing w:val="-2"/>
          <w:sz w:val="24"/>
          <w:highlight w:val="none"/>
          <w:lang w:eastAsia="en-US"/>
        </w:rPr>
        <w:t xml:space="preserve"> </w:t>
      </w:r>
      <w:r>
        <w:rPr>
          <w:rFonts w:hint="eastAsia" w:ascii="宋体" w:hAnsi="宋体" w:eastAsia="宋体" w:cs="宋体"/>
          <w:b/>
          <w:bCs/>
          <w:color w:val="auto"/>
          <w:spacing w:val="-2"/>
          <w:sz w:val="24"/>
          <w:highlight w:val="none"/>
          <w:lang w:eastAsia="en-US"/>
        </w:rPr>
        <w:t xml:space="preserve">均已包含在投标报价中。除采购人要求外，不作调</w:t>
      </w:r>
      <w:r>
        <w:rPr>
          <w:rFonts w:hint="eastAsia" w:ascii="宋体" w:hAnsi="宋体" w:eastAsia="宋体" w:cs="宋体"/>
          <w:b/>
          <w:bCs/>
          <w:color w:val="auto"/>
          <w:spacing w:val="-7"/>
          <w:sz w:val="24"/>
          <w:highlight w:val="none"/>
          <w:lang w:eastAsia="en-US"/>
        </w:rPr>
        <w:t xml:space="preserve">整。</w:t>
      </w:r>
      <w:r/>
    </w:p>
    <w:p>
      <w:pPr>
        <w:ind w:firstLine="470"/>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3"/>
          <w:sz w:val="24"/>
          <w:highlight w:val="none"/>
          <w:lang w:eastAsia="en-US"/>
        </w:rPr>
        <w:t xml:space="preserve">（</w:t>
      </w:r>
      <w:r>
        <w:rPr>
          <w:rFonts w:hint="eastAsia" w:ascii="宋体" w:hAnsi="宋体" w:cs="宋体"/>
          <w:b/>
          <w:bCs/>
          <w:color w:val="auto"/>
          <w:spacing w:val="-3"/>
          <w:sz w:val="24"/>
          <w:highlight w:val="none"/>
          <w:lang w:val="en-US" w:eastAsia="zh-CN"/>
        </w:rPr>
        <w:t xml:space="preserve">5</w:t>
      </w:r>
      <w:r>
        <w:rPr>
          <w:rFonts w:hint="eastAsia" w:ascii="宋体" w:hAnsi="宋体" w:eastAsia="宋体" w:cs="宋体"/>
          <w:b/>
          <w:bCs/>
          <w:color w:val="auto"/>
          <w:spacing w:val="-3"/>
          <w:sz w:val="24"/>
          <w:highlight w:val="none"/>
          <w:lang w:eastAsia="en-US"/>
        </w:rPr>
        <w:t xml:space="preserve">）风险因素的变化，除采购人要求外，</w:t>
      </w:r>
      <w:r>
        <w:rPr>
          <w:rFonts w:hint="eastAsia" w:ascii="宋体" w:hAnsi="宋体" w:eastAsia="宋体" w:cs="宋体"/>
          <w:color w:val="auto"/>
          <w:spacing w:val="-3"/>
          <w:sz w:val="24"/>
          <w:highlight w:val="none"/>
          <w:lang w:eastAsia="en-US"/>
        </w:rPr>
        <w:t xml:space="preserve"> </w:t>
      </w:r>
      <w:r>
        <w:rPr>
          <w:rFonts w:hint="eastAsia" w:ascii="宋体" w:hAnsi="宋体" w:eastAsia="宋体" w:cs="宋体"/>
          <w:b/>
          <w:bCs/>
          <w:color w:val="auto"/>
          <w:spacing w:val="-3"/>
          <w:sz w:val="24"/>
          <w:highlight w:val="none"/>
          <w:lang w:eastAsia="en-US"/>
        </w:rPr>
        <w:t xml:space="preserve">投标</w:t>
      </w:r>
      <w:r>
        <w:rPr>
          <w:rFonts w:hint="eastAsia" w:ascii="宋体" w:hAnsi="宋体" w:cs="宋体"/>
          <w:b/>
          <w:bCs/>
          <w:color w:val="auto"/>
          <w:spacing w:val="-3"/>
          <w:sz w:val="24"/>
          <w:highlight w:val="none"/>
          <w:lang w:val="en-US" w:eastAsia="zh-CN"/>
        </w:rPr>
        <w:t xml:space="preserve">报价</w:t>
      </w:r>
      <w:r>
        <w:rPr>
          <w:rFonts w:hint="eastAsia" w:ascii="宋体" w:hAnsi="宋体" w:eastAsia="宋体" w:cs="宋体"/>
          <w:b/>
          <w:bCs/>
          <w:color w:val="auto"/>
          <w:spacing w:val="-3"/>
          <w:sz w:val="24"/>
          <w:highlight w:val="none"/>
          <w:lang w:eastAsia="en-US"/>
        </w:rPr>
        <w:t xml:space="preserve">不作调整。</w:t>
      </w:r>
      <w:r/>
    </w:p>
    <w:p>
      <w:pPr>
        <w:ind w:firstLine="474"/>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b/>
          <w:bCs/>
          <w:color w:val="auto"/>
          <w:spacing w:val="-2"/>
          <w:sz w:val="24"/>
          <w:highlight w:val="none"/>
          <w:lang w:eastAsia="en-US"/>
        </w:rPr>
        <w:t xml:space="preserve">（</w:t>
      </w:r>
      <w:r>
        <w:rPr>
          <w:rFonts w:hint="eastAsia" w:ascii="宋体" w:hAnsi="宋体" w:cs="宋体"/>
          <w:b/>
          <w:bCs/>
          <w:color w:val="auto"/>
          <w:spacing w:val="-2"/>
          <w:sz w:val="24"/>
          <w:highlight w:val="none"/>
          <w:lang w:val="en-US" w:eastAsia="zh-CN"/>
        </w:rPr>
        <w:t xml:space="preserve">6</w:t>
      </w:r>
      <w:r>
        <w:rPr>
          <w:rFonts w:hint="eastAsia" w:ascii="宋体" w:hAnsi="宋体" w:eastAsia="宋体" w:cs="宋体"/>
          <w:b/>
          <w:bCs/>
          <w:color w:val="auto"/>
          <w:spacing w:val="-2"/>
          <w:sz w:val="24"/>
          <w:highlight w:val="none"/>
          <w:lang w:eastAsia="en-US"/>
        </w:rPr>
        <w:t xml:space="preserve">）投标报价不得以其他任何形式进行贴补，进行让利时只得对测算利润及管理费用进行让利其他</w:t>
      </w:r>
      <w:r>
        <w:rPr>
          <w:rFonts w:hint="eastAsia" w:ascii="宋体" w:hAnsi="宋体" w:eastAsia="宋体" w:cs="宋体"/>
          <w:b/>
          <w:bCs/>
          <w:color w:val="auto"/>
          <w:spacing w:val="-9"/>
          <w:sz w:val="24"/>
          <w:highlight w:val="none"/>
          <w:lang w:eastAsia="en-US"/>
        </w:rPr>
        <w:t xml:space="preserve">不得让利。</w:t>
      </w:r>
      <w:r/>
    </w:p>
    <w:p>
      <w:pPr>
        <w:ind w:firstLine="462"/>
        <w:spacing w:line="360" w:lineRule="auto"/>
        <w:rPr>
          <w:rFonts w:hint="eastAsia" w:ascii="宋体" w:hAnsi="宋体" w:eastAsia="宋体" w:cs="宋体"/>
          <w:b/>
          <w:bCs/>
          <w:color w:val="auto"/>
          <w:spacing w:val="-6"/>
          <w:sz w:val="24"/>
          <w:highlight w:val="none"/>
          <w:lang w:eastAsia="en-US"/>
        </w:rPr>
      </w:pPr>
      <w:r>
        <w:rPr>
          <w:rFonts w:hint="eastAsia" w:ascii="宋体" w:hAnsi="宋体" w:eastAsia="宋体" w:cs="宋体"/>
          <w:b/>
          <w:bCs/>
          <w:color w:val="auto"/>
          <w:spacing w:val="-5"/>
          <w:sz w:val="24"/>
          <w:highlight w:val="none"/>
          <w:lang w:eastAsia="en-US"/>
        </w:rPr>
        <w:t xml:space="preserve">（</w:t>
      </w:r>
      <w:r>
        <w:rPr>
          <w:rFonts w:hint="eastAsia" w:ascii="宋体" w:hAnsi="宋体" w:cs="宋体"/>
          <w:b/>
          <w:bCs/>
          <w:color w:val="auto"/>
          <w:spacing w:val="-5"/>
          <w:sz w:val="24"/>
          <w:highlight w:val="none"/>
          <w:lang w:val="en-US" w:eastAsia="zh-CN"/>
        </w:rPr>
        <w:t xml:space="preserve">7</w:t>
      </w:r>
      <w:r>
        <w:rPr>
          <w:rFonts w:hint="eastAsia" w:ascii="宋体" w:hAnsi="宋体" w:eastAsia="宋体" w:cs="宋体"/>
          <w:b/>
          <w:bCs/>
          <w:color w:val="auto"/>
          <w:spacing w:val="-5"/>
          <w:sz w:val="24"/>
          <w:highlight w:val="none"/>
          <w:lang w:eastAsia="en-US"/>
        </w:rPr>
        <w:t xml:space="preserve">）</w:t>
      </w:r>
      <w:r>
        <w:rPr>
          <w:rFonts w:hint="eastAsia" w:ascii="宋体" w:hAnsi="宋体" w:cs="宋体"/>
          <w:b/>
          <w:bCs/>
          <w:color w:val="auto"/>
          <w:spacing w:val="-4"/>
          <w:sz w:val="24"/>
          <w:highlight w:val="none"/>
          <w:lang w:val="en-US" w:eastAsia="zh-CN"/>
        </w:rPr>
        <w:t xml:space="preserve">承包人</w:t>
      </w:r>
      <w:r>
        <w:rPr>
          <w:rFonts w:hint="eastAsia" w:ascii="宋体" w:hAnsi="宋体" w:eastAsia="宋体" w:cs="宋体"/>
          <w:b/>
          <w:bCs/>
          <w:color w:val="auto"/>
          <w:spacing w:val="-5"/>
          <w:sz w:val="24"/>
          <w:highlight w:val="none"/>
          <w:lang w:eastAsia="en-US"/>
        </w:rPr>
        <w:t xml:space="preserve">加强对作业人员的安全教育，</w:t>
      </w:r>
      <w:r>
        <w:rPr>
          <w:rFonts w:hint="eastAsia" w:ascii="宋体" w:hAnsi="宋体" w:eastAsia="宋体" w:cs="宋体"/>
          <w:color w:val="auto"/>
          <w:spacing w:val="-40"/>
          <w:sz w:val="24"/>
          <w:highlight w:val="none"/>
          <w:lang w:eastAsia="en-US"/>
        </w:rPr>
        <w:t xml:space="preserve"> </w:t>
      </w:r>
      <w:r>
        <w:rPr>
          <w:rFonts w:hint="eastAsia" w:ascii="宋体" w:hAnsi="宋体" w:eastAsia="宋体" w:cs="宋体"/>
          <w:b/>
          <w:bCs/>
          <w:color w:val="auto"/>
          <w:spacing w:val="-5"/>
          <w:sz w:val="24"/>
          <w:highlight w:val="none"/>
          <w:lang w:eastAsia="en-US"/>
        </w:rPr>
        <w:t xml:space="preserve">每月至少进行一次安全教育。独立承担</w:t>
      </w:r>
      <w:r>
        <w:rPr>
          <w:rFonts w:hint="eastAsia" w:ascii="宋体" w:hAnsi="宋体" w:eastAsia="宋体" w:cs="宋体"/>
          <w:b/>
          <w:bCs/>
          <w:color w:val="auto"/>
          <w:spacing w:val="-6"/>
          <w:sz w:val="24"/>
          <w:highlight w:val="none"/>
          <w:lang w:eastAsia="en-US"/>
        </w:rPr>
        <w:t xml:space="preserve">一切安全责任事故。</w:t>
      </w:r>
      <w:r/>
    </w:p>
    <w:p>
      <w:pPr>
        <w:numPr>
          <w:ilvl w:val="0"/>
          <w:numId w:val="0"/>
        </w:numPr>
        <w:ind w:firstLine="0"/>
        <w:spacing w:line="360" w:lineRule="auto"/>
        <w:rPr>
          <w:rFonts w:hint="eastAsia" w:ascii="宋体" w:hAnsi="宋体" w:eastAsia="宋体" w:cs="宋体"/>
          <w:b/>
          <w:bCs/>
          <w:i w:val="0"/>
          <w:iCs/>
          <w:color w:val="auto"/>
          <w:sz w:val="24"/>
          <w:szCs w:val="24"/>
          <w:highlight w:val="none"/>
          <w:lang w:val="en-US" w:eastAsia="zh-CN" w:bidi="ar-SA"/>
        </w:rPr>
      </w:pPr>
      <w:r>
        <w:rPr>
          <w:rFonts w:hint="eastAsia" w:ascii="宋体" w:hAnsi="宋体" w:cs="宋体"/>
          <w:b/>
          <w:bCs/>
          <w:color w:val="auto"/>
          <w:spacing w:val="-6"/>
          <w:sz w:val="24"/>
          <w:highlight w:val="none"/>
          <w:lang w:val="en-US" w:eastAsia="zh-CN"/>
        </w:rPr>
        <w:t xml:space="preserve">3、</w:t>
      </w:r>
      <w:r>
        <w:rPr>
          <w:rFonts w:hint="eastAsia" w:ascii="宋体" w:hAnsi="宋体" w:eastAsia="宋体" w:cs="宋体"/>
          <w:b/>
          <w:bCs/>
          <w:i w:val="0"/>
          <w:iCs/>
          <w:color w:val="auto"/>
          <w:sz w:val="24"/>
          <w:szCs w:val="24"/>
          <w:highlight w:val="none"/>
          <w:lang w:val="en-US" w:eastAsia="zh-CN" w:bidi="ar-SA"/>
        </w:rPr>
        <w:t xml:space="preserve">若本公司中标，则在合同期内涉及本标段的苗木补植、移植费用将按照《苗木移植、补植等零星工程清单表》中的投标单价*补植苗木数量进行结算。如补植或移植工作内容不在本清单内的，在发包人发出邀约后我方必然响应，并报送相关子目单价，经跟踪审计、发包人审核后，按审定后的单价作为该子目结算单价。</w:t>
      </w:r>
      <w:r/>
    </w:p>
    <w:p>
      <w:pPr>
        <w:numPr>
          <w:ilvl w:val="0"/>
          <w:numId w:val="0"/>
        </w:numPr>
        <w:ind w:firstLine="482"/>
        <w:spacing w:line="360" w:lineRule="auto"/>
        <w:rPr>
          <w:rFonts w:hint="eastAsia" w:ascii="宋体" w:hAnsi="宋体" w:eastAsia="宋体" w:cs="宋体"/>
          <w:b/>
          <w:bCs/>
          <w:i w:val="0"/>
          <w:iCs/>
          <w:color w:val="auto"/>
          <w:sz w:val="24"/>
          <w:szCs w:val="24"/>
          <w:highlight w:val="none"/>
          <w:lang w:val="en-US" w:eastAsia="zh-CN" w:bidi="ar-SA"/>
        </w:rPr>
      </w:pPr>
      <w:r>
        <w:rPr>
          <w:rFonts w:hint="eastAsia" w:ascii="宋体" w:hAnsi="宋体" w:eastAsia="宋体" w:cs="宋体"/>
          <w:b/>
          <w:bCs/>
          <w:i w:val="0"/>
          <w:iCs/>
          <w:color w:val="auto"/>
          <w:sz w:val="24"/>
          <w:szCs w:val="24"/>
          <w:highlight w:val="none"/>
          <w:lang w:val="en-US" w:eastAsia="zh-CN" w:bidi="ar-SA"/>
        </w:rPr>
        <w:t xml:space="preserve">清单价中包含</w:t>
      </w:r>
      <w:r>
        <w:rPr>
          <w:rFonts w:hint="eastAsia" w:ascii="宋体" w:hAnsi="宋体" w:cs="宋体"/>
          <w:b/>
          <w:bCs/>
          <w:i w:val="0"/>
          <w:iCs/>
          <w:color w:val="auto"/>
          <w:sz w:val="24"/>
          <w:szCs w:val="24"/>
          <w:highlight w:val="none"/>
          <w:lang w:val="en-US" w:eastAsia="zh-CN" w:bidi="ar-SA"/>
        </w:rPr>
        <w:t xml:space="preserve">一切险（包括但不限于</w:t>
      </w:r>
      <w:r>
        <w:rPr>
          <w:rFonts w:hint="eastAsia" w:ascii="宋体" w:hAnsi="宋体" w:eastAsia="宋体" w:cs="宋体"/>
          <w:b/>
          <w:bCs/>
          <w:i w:val="0"/>
          <w:iCs/>
          <w:color w:val="auto"/>
          <w:sz w:val="24"/>
          <w:szCs w:val="24"/>
          <w:highlight w:val="none"/>
          <w:lang w:val="en-US" w:eastAsia="zh-CN" w:bidi="ar-SA"/>
        </w:rPr>
        <w:t xml:space="preserve">建筑工程一切险及附加第三者责任险</w:t>
      </w:r>
      <w:r>
        <w:rPr>
          <w:rFonts w:hint="eastAsia" w:ascii="宋体" w:hAnsi="宋体" w:cs="宋体"/>
          <w:b/>
          <w:bCs/>
          <w:i w:val="0"/>
          <w:iCs/>
          <w:color w:val="auto"/>
          <w:sz w:val="24"/>
          <w:szCs w:val="24"/>
          <w:highlight w:val="none"/>
          <w:lang w:val="en-US" w:eastAsia="zh-CN" w:bidi="ar-SA"/>
        </w:rPr>
        <w:t xml:space="preserve">、</w:t>
      </w:r>
      <w:r>
        <w:rPr>
          <w:rFonts w:hint="eastAsia" w:ascii="宋体" w:hAnsi="宋体" w:eastAsia="宋体" w:cs="宋体"/>
          <w:b/>
          <w:bCs/>
          <w:i w:val="0"/>
          <w:iCs/>
          <w:color w:val="auto"/>
          <w:sz w:val="24"/>
          <w:szCs w:val="24"/>
          <w:highlight w:val="none"/>
          <w:lang w:val="en-US" w:eastAsia="zh-CN" w:bidi="ar-SA"/>
        </w:rPr>
        <w:t xml:space="preserve">公众责任险</w:t>
      </w:r>
      <w:r>
        <w:rPr>
          <w:rFonts w:hint="eastAsia" w:ascii="宋体" w:hAnsi="宋体" w:cs="宋体"/>
          <w:b/>
          <w:bCs/>
          <w:i w:val="0"/>
          <w:iCs/>
          <w:color w:val="auto"/>
          <w:sz w:val="24"/>
          <w:szCs w:val="24"/>
          <w:highlight w:val="none"/>
          <w:lang w:val="en-US" w:eastAsia="zh-CN" w:bidi="ar-SA"/>
        </w:rPr>
        <w:t xml:space="preserve">，由承包人以发包人和承包人的名义共同投保）、工伤保险、</w:t>
      </w:r>
      <w:r>
        <w:rPr>
          <w:rFonts w:hint="eastAsia" w:ascii="宋体" w:hAnsi="宋体" w:eastAsia="宋体" w:cs="宋体"/>
          <w:b/>
          <w:bCs/>
          <w:i w:val="0"/>
          <w:iCs/>
          <w:color w:val="auto"/>
          <w:sz w:val="24"/>
          <w:szCs w:val="24"/>
          <w:highlight w:val="none"/>
          <w:lang w:val="en-US" w:eastAsia="zh-CN" w:bidi="ar-SA"/>
        </w:rPr>
        <w:t xml:space="preserve">工程管理、安全管理及其他材料、机械、人工等所有费用。</w:t>
      </w:r>
      <w:r/>
    </w:p>
    <w:p>
      <w:pPr>
        <w:numPr>
          <w:ilvl w:val="0"/>
          <w:numId w:val="0"/>
        </w:numPr>
        <w:ind w:firstLine="482"/>
        <w:spacing w:line="360" w:lineRule="auto"/>
        <w:rPr>
          <w:rFonts w:hint="eastAsia" w:ascii="宋体" w:hAnsi="宋体" w:eastAsia="宋体" w:cs="宋体"/>
          <w:b/>
          <w:bCs w:val="0"/>
          <w:i w:val="0"/>
          <w:iCs/>
          <w:color w:val="auto"/>
          <w:sz w:val="24"/>
          <w:szCs w:val="24"/>
          <w:highlight w:val="none"/>
          <w:lang w:val="en-US" w:eastAsia="zh-CN" w:bidi="ar-SA"/>
        </w:rPr>
      </w:pPr>
      <w:r>
        <w:rPr>
          <w:rFonts w:hint="default" w:ascii="宋体" w:hAnsi="宋体" w:eastAsia="宋体" w:cs="宋体"/>
          <w:b/>
          <w:bCs/>
          <w:i w:val="0"/>
          <w:iCs/>
          <w:color w:val="auto"/>
          <w:sz w:val="24"/>
          <w:szCs w:val="24"/>
          <w:highlight w:val="none"/>
          <w:lang w:val="en-US" w:eastAsia="zh-CN" w:bidi="ar-SA"/>
        </w:rPr>
        <w:t xml:space="preserve">★</w:t>
      </w:r>
      <w:r>
        <w:rPr>
          <w:rFonts w:ascii="宋体" w:hAnsi="宋体"/>
          <w:b/>
          <w:bCs/>
          <w:iCs/>
          <w:color w:val="auto"/>
          <w:sz w:val="24"/>
          <w:highlight w:val="none"/>
        </w:rPr>
        <w:t xml:space="preserve">中标人必须为本标段内发生意外事故造成第三者人身伤亡或财产损失的潜在风险</w:t>
      </w:r>
      <w:r>
        <w:rPr>
          <w:rFonts w:hint="default" w:ascii="宋体" w:hAnsi="宋体" w:eastAsia="宋体" w:cs="宋体"/>
          <w:b/>
          <w:bCs/>
          <w:i w:val="0"/>
          <w:iCs/>
          <w:color w:val="auto"/>
          <w:sz w:val="24"/>
          <w:szCs w:val="24"/>
          <w:highlight w:val="none"/>
          <w:lang w:val="en-US" w:eastAsia="zh-CN" w:bidi="ar-SA"/>
        </w:rPr>
        <w:t xml:space="preserve">，及时购买公众责任保险，保险未生效或脱保期间相关责任均由中标人承担。投标文件中承诺成交后按照招标文件要求执行，提供承诺书（格式自拟）加盖投标人公章，否则为无效响应。</w:t>
      </w:r>
      <w:r/>
    </w:p>
    <w:p>
      <w:pPr>
        <w:ind w:firstLine="482"/>
        <w:spacing w:line="360" w:lineRule="auto"/>
        <w:rPr>
          <w:rFonts w:hint="eastAsia" w:ascii="宋体" w:hAnsi="宋体" w:eastAsia="宋体" w:cs="宋体"/>
          <w:b/>
          <w:bCs/>
          <w:i w:val="0"/>
          <w:iCs/>
          <w:color w:val="auto"/>
          <w:sz w:val="24"/>
          <w:szCs w:val="24"/>
          <w:highlight w:val="none"/>
          <w:lang w:val="en-US" w:eastAsia="zh-CN" w:bidi="ar-SA"/>
        </w:rPr>
      </w:pPr>
      <w:r>
        <w:rPr>
          <w:rFonts w:hint="eastAsia" w:ascii="宋体" w:hAnsi="宋体" w:eastAsia="宋体" w:cs="宋体"/>
          <w:b/>
          <w:bCs/>
          <w:i w:val="0"/>
          <w:iCs/>
          <w:color w:val="auto"/>
          <w:sz w:val="24"/>
          <w:szCs w:val="24"/>
          <w:highlight w:val="none"/>
          <w:lang w:val="en-US" w:eastAsia="zh-CN" w:bidi="ar-SA"/>
        </w:rPr>
        <w:t xml:space="preserve">4、若因甲方内部政策调整导致合同提前终止，甲方应提前30天通知乙方，乙方不得因此追究甲方的任何责任。</w:t>
      </w:r>
      <w:r/>
    </w:p>
    <w:p>
      <w:pPr>
        <w:ind w:firstLine="422"/>
        <w:spacing w:line="360" w:lineRule="auto"/>
        <w:rPr>
          <w:rFonts w:hint="eastAsia" w:ascii="宋体" w:hAnsi="宋体" w:eastAsia="宋体" w:cs="宋体"/>
          <w:b/>
          <w:bCs/>
          <w:color w:val="auto"/>
          <w:sz w:val="24"/>
          <w:highlight w:val="none"/>
          <w:lang w:eastAsia="en-US"/>
        </w:rPr>
      </w:pPr>
      <w:r>
        <w:rPr>
          <w:rFonts w:hint="eastAsia" w:ascii="宋体" w:hAnsi="宋体" w:cs="宋体"/>
          <w:b/>
          <w:bCs/>
          <w:i w:val="0"/>
          <w:iCs/>
          <w:color w:val="auto"/>
          <w:sz w:val="24"/>
          <w:szCs w:val="24"/>
          <w:highlight w:val="none"/>
          <w:lang w:val="en-US" w:eastAsia="zh-CN" w:bidi="ar-SA"/>
        </w:rPr>
        <w:t xml:space="preserve">5、</w:t>
      </w:r>
      <w:r>
        <w:rPr>
          <w:rFonts w:hint="eastAsia" w:ascii="宋体" w:hAnsi="宋体" w:eastAsia="宋体" w:cs="宋体"/>
          <w:b/>
          <w:bCs/>
          <w:color w:val="auto"/>
          <w:sz w:val="24"/>
          <w:highlight w:val="none"/>
          <w:lang w:eastAsia="en-US"/>
        </w:rPr>
        <w:t xml:space="preserve">台账要求</w:t>
      </w:r>
      <w:r/>
    </w:p>
    <w:p>
      <w:pPr>
        <w:ind w:firstLine="422"/>
        <w:spacing w:line="360" w:lineRule="auto"/>
        <w:rPr>
          <w:rFonts w:hint="eastAsia" w:ascii="宋体" w:hAnsi="宋体" w:eastAsia="宋体" w:cs="宋体"/>
          <w:b/>
          <w:bCs/>
          <w:color w:val="auto"/>
          <w:sz w:val="24"/>
          <w:highlight w:val="none"/>
          <w:lang w:eastAsia="en-US"/>
        </w:rPr>
      </w:pPr>
      <w:r>
        <w:rPr>
          <w:rFonts w:hint="eastAsia" w:ascii="宋体" w:hAnsi="宋体" w:eastAsia="宋体" w:cs="宋体"/>
          <w:b/>
          <w:bCs/>
          <w:color w:val="auto"/>
          <w:sz w:val="24"/>
          <w:highlight w:val="none"/>
          <w:lang w:eastAsia="en-US"/>
        </w:rPr>
        <w:t xml:space="preserve">（1）建立完整的绿化养护台账（养护台账、应急抢险、安全生产等），并由专人负责。绿化资料记录详细，分类清楚，数据详实。</w:t>
      </w:r>
      <w:r/>
    </w:p>
    <w:p>
      <w:pPr>
        <w:ind w:firstLine="422"/>
        <w:spacing w:line="360" w:lineRule="auto"/>
        <w:rPr>
          <w:rFonts w:hint="eastAsia" w:ascii="宋体" w:hAnsi="宋体" w:eastAsia="宋体" w:cs="宋体"/>
          <w:b/>
          <w:bCs/>
          <w:color w:val="auto"/>
          <w:sz w:val="24"/>
          <w:highlight w:val="none"/>
          <w:lang w:eastAsia="en-US"/>
        </w:rPr>
      </w:pPr>
      <w:r>
        <w:rPr>
          <w:rFonts w:hint="eastAsia" w:ascii="宋体" w:hAnsi="宋体" w:eastAsia="宋体" w:cs="宋体"/>
          <w:b/>
          <w:bCs/>
          <w:color w:val="auto"/>
          <w:sz w:val="24"/>
          <w:highlight w:val="none"/>
          <w:lang w:eastAsia="en-US"/>
        </w:rPr>
        <w:t xml:space="preserve">（2）月度养护计划及养护作业按时记录、及时上报，并贴合现状和季节特点，针对性强，养护档案做到完整、真实，不弄虚作假。</w:t>
      </w:r>
      <w:r/>
    </w:p>
    <w:p>
      <w:pPr>
        <w:ind w:firstLine="482"/>
        <w:spacing w:line="360" w:lineRule="auto"/>
        <w:rPr>
          <w:rFonts w:hint="default" w:ascii="宋体" w:hAnsi="宋体" w:eastAsia="宋体" w:cs="宋体"/>
          <w:b/>
          <w:bCs/>
          <w:i w:val="0"/>
          <w:iCs/>
          <w:color w:val="auto"/>
          <w:sz w:val="24"/>
          <w:szCs w:val="24"/>
          <w:highlight w:val="none"/>
          <w:lang w:val="en-US" w:eastAsia="zh-CN" w:bidi="ar-SA"/>
        </w:rPr>
      </w:pPr>
      <w:r>
        <w:rPr>
          <w:rFonts w:hint="eastAsia" w:ascii="宋体" w:hAnsi="宋体" w:eastAsia="宋体" w:cs="宋体"/>
          <w:b/>
          <w:bCs/>
          <w:color w:val="auto"/>
          <w:sz w:val="24"/>
          <w:highlight w:val="none"/>
          <w:lang w:eastAsia="en-US"/>
        </w:rPr>
        <w:t xml:space="preserve">（3）每月按照招标人要求按时提供月度完成情况及下月计划。</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第九条 合同的变更和终止</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(1)甲方和乙方协商一致，可以解除合同。并报政府采购监管部门审查备案。</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(2)有下列情形之一，合同一方可以解除合同且养护费用终止支付：</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①将承包的绿地养护管理转包他人；</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②违反合同及《常州市金坛区公路绿化养护管理考核办法》中有关规定的；</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③法律规定的其它情形；</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④管理人员(养护负责人或专职巡查资料员)不到岗、不履责三次以上的；</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⑤养护工人数量少于额定人数30%及以上的三次；</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⑥合同期内连续两次被通报或被下达整改通知书且整改不到位的。</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合同中确定的单位地址即为文件送达地址，若地址发生变化需提前以书面形式告知对方，否则视为地址未作变更。</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第十条 合同的转让</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乙方不得擅自部分或全部转让其应履行的合同义务。</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第十一条 不可抗力</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甲、乙方中任何一方，因不可抗力不能按时或完全履行合同的，应及时通知对方，并在</w:t>
      </w:r>
      <w:r>
        <w:rPr>
          <w:rFonts w:hint="eastAsia" w:ascii="宋体" w:hAnsi="宋体" w:eastAsia="宋体" w:cs="宋体"/>
          <w:color w:val="auto"/>
          <w:sz w:val="24"/>
          <w:highlight w:val="none"/>
          <w:u w:val="single"/>
        </w:rPr>
        <w:t xml:space="preserve">2个</w:t>
      </w:r>
      <w:r>
        <w:rPr>
          <w:rFonts w:hint="eastAsia" w:ascii="宋体" w:hAnsi="宋体" w:eastAsia="宋体" w:cs="宋体"/>
          <w:color w:val="auto"/>
          <w:sz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第十二条 争议的解决</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1.因履行本合同引起的或与本合同有关的争议，甲、乙双方应首先通过友好协商解决，如果协商不能解决争议，则采取以下第</w:t>
      </w:r>
      <w:r>
        <w:rPr>
          <w:rFonts w:hint="eastAsia" w:ascii="宋体" w:hAnsi="宋体"/>
          <w:color w:val="auto"/>
          <w:sz w:val="24"/>
          <w:highlight w:val="none"/>
        </w:rPr>
        <w:t xml:space="preserve">（1）</w:t>
      </w:r>
      <w:r>
        <w:rPr>
          <w:rFonts w:hint="eastAsia" w:ascii="宋体" w:hAnsi="宋体" w:eastAsia="宋体" w:cs="宋体"/>
          <w:color w:val="auto"/>
          <w:sz w:val="24"/>
          <w:highlight w:val="none"/>
        </w:rPr>
        <w:t xml:space="preserve">种方式解决争议：</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w:t>
      </w:r>
      <w:r>
        <w:rPr>
          <w:rFonts w:hint="eastAsia" w:ascii="宋体" w:hAnsi="宋体"/>
          <w:color w:val="auto"/>
          <w:sz w:val="24"/>
          <w:highlight w:val="none"/>
        </w:rPr>
        <w:t xml:space="preserve">金坛区</w:t>
      </w:r>
      <w:r>
        <w:rPr>
          <w:rFonts w:hint="eastAsia" w:ascii="宋体" w:hAnsi="宋体" w:eastAsia="宋体" w:cs="宋体"/>
          <w:color w:val="auto"/>
          <w:sz w:val="24"/>
          <w:highlight w:val="none"/>
        </w:rPr>
        <w:t xml:space="preserve">人民法院提起诉讼；</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（2）向甲方所在地仲裁委员会按其仲裁规则申请仲裁。</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如没有约定，默认采取第2种方式解决争议。</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2.在法院审理和仲裁期间，除有争议部分外，本合同其他部分应继续履行。</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第十三条 诚实信用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乙方应诚实信用，严格按照招标文件要求和投标承诺履行合同，不向甲方进行商业贿赂或者提供不正当利益。</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第十四条  合同生效及其他</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2.本合同一式四份，均具有同等法律效力。甲方执二份，乙方执二份。</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3.本合同应按照中华人民共和国的现行法律进行解释。</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甲    方</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乙    方</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单位名称（章）：                          单位名称（章）：</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单位地址：                                单位地址：</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                  法定代表人或委托代理人：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开户银行：        </w:t>
      </w:r>
      <w:r/>
    </w:p>
    <w:p>
      <w:pPr>
        <w:ind w:firstLine="5040"/>
        <w:spacing w:line="360" w:lineRule="auto"/>
        <w:rPr>
          <w:rFonts w:hint="eastAsia" w:ascii="宋体" w:hAnsi="宋体" w:eastAsia="宋体" w:cs="宋体"/>
          <w:color w:val="auto"/>
          <w:sz w:val="24"/>
          <w:highlight w:val="none"/>
        </w:rPr>
        <w:sectPr>
          <w:footerReference w:type="default" r:id="rId21"/>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4"/>
          <w:highlight w:val="none"/>
        </w:rPr>
        <w:t xml:space="preserve">账号：  </w:t>
      </w:r>
      <w:r/>
    </w:p>
    <w:p>
      <w:pPr>
        <w:jc w:val="center"/>
        <w:spacing w:line="360" w:lineRule="auto"/>
        <w:widowControl/>
        <w:rPr>
          <w:rFonts w:hint="eastAsia" w:ascii="宋体" w:hAnsi="宋体" w:eastAsia="宋体" w:cs="宋体"/>
          <w:color w:val="auto"/>
          <w:sz w:val="30"/>
          <w:szCs w:val="30"/>
          <w:highlight w:val="none"/>
          <w:lang w:eastAsia="en-US"/>
        </w:rPr>
      </w:pPr>
      <w:r>
        <w:rPr>
          <w:rFonts w:hint="eastAsia" w:ascii="宋体" w:hAnsi="宋体" w:eastAsia="宋体" w:cs="宋体"/>
          <w:b/>
          <w:bCs/>
          <w:color w:val="auto"/>
          <w:spacing w:val="-7"/>
          <w:sz w:val="30"/>
          <w:szCs w:val="30"/>
          <w:highlight w:val="none"/>
          <w:lang w:eastAsia="en-US"/>
        </w:rPr>
        <w:t xml:space="preserve">附件一、廉政合同协议书</w:t>
      </w:r>
      <w:r/>
    </w:p>
    <w:p>
      <w:pPr>
        <w:ind w:firstLine="420"/>
        <w:spacing w:line="360" w:lineRule="auto"/>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ind w:firstLine="480"/>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根据《关于在交通基础设施建设中加强廉政</w:t>
      </w:r>
      <w:r>
        <w:rPr>
          <w:rFonts w:hint="eastAsia" w:ascii="宋体" w:hAnsi="宋体" w:eastAsia="宋体" w:cs="宋体"/>
          <w:color w:val="auto"/>
          <w:spacing w:val="-1"/>
          <w:sz w:val="24"/>
          <w:highlight w:val="none"/>
          <w:lang w:eastAsia="en-US"/>
        </w:rPr>
        <w:t xml:space="preserve">建设的若干意见》以及有关工程建设、廉政建设的规定，</w:t>
      </w:r>
      <w:r>
        <w:rPr>
          <w:rFonts w:hint="eastAsia" w:ascii="宋体" w:hAnsi="宋体" w:eastAsia="宋体" w:cs="宋体"/>
          <w:color w:val="auto"/>
          <w:sz w:val="24"/>
          <w:highlight w:val="none"/>
          <w:lang w:eastAsia="en-US"/>
        </w:rPr>
        <w:t xml:space="preserve">为做好工程建设中的党风廉政建设，保证工</w:t>
      </w:r>
      <w:r>
        <w:rPr>
          <w:rFonts w:hint="eastAsia" w:ascii="宋体" w:hAnsi="宋体" w:eastAsia="宋体" w:cs="宋体"/>
          <w:color w:val="auto"/>
          <w:spacing w:val="-1"/>
          <w:sz w:val="24"/>
          <w:highlight w:val="none"/>
          <w:lang w:eastAsia="en-US"/>
        </w:rPr>
        <w:t xml:space="preserve">程建设高效优质，保证建设资金的安全和有效使用以及投资效</w:t>
      </w:r>
      <w:r>
        <w:rPr>
          <w:rFonts w:hint="eastAsia" w:ascii="宋体" w:hAnsi="宋体" w:eastAsia="宋体" w:cs="宋体"/>
          <w:color w:val="auto"/>
          <w:spacing w:val="-3"/>
          <w:sz w:val="24"/>
          <w:highlight w:val="none"/>
          <w:lang w:eastAsia="en-US"/>
        </w:rPr>
        <w:t xml:space="preserve">益</w:t>
      </w:r>
      <w:r>
        <w:rPr>
          <w:rFonts w:hint="eastAsia" w:ascii="宋体" w:hAnsi="宋体" w:eastAsia="宋体" w:cs="宋体"/>
          <w:color w:val="auto"/>
          <w:spacing w:val="-6"/>
          <w:sz w:val="24"/>
          <w:highlight w:val="none"/>
          <w:lang w:eastAsia="en-US"/>
        </w:rPr>
        <w:t xml:space="preserve">，</w:t>
      </w:r>
      <w:r>
        <w:rPr>
          <w:rFonts w:hint="eastAsia" w:ascii="宋体" w:hAnsi="宋体" w:eastAsia="宋体" w:cs="宋体"/>
          <w:color w:val="auto"/>
          <w:spacing w:val="8"/>
          <w:sz w:val="24"/>
          <w:highlight w:val="none"/>
          <w:u w:val="single"/>
          <w:lang w:eastAsia="en-US"/>
        </w:rPr>
        <w:t xml:space="preserve">            </w:t>
      </w:r>
      <w:r>
        <w:rPr>
          <w:rFonts w:hint="eastAsia" w:ascii="宋体" w:hAnsi="宋体" w:eastAsia="宋体" w:cs="宋体"/>
          <w:color w:val="auto"/>
          <w:spacing w:val="-6"/>
          <w:sz w:val="24"/>
          <w:highlight w:val="none"/>
          <w:u w:val="single"/>
          <w:lang w:eastAsia="en-US"/>
        </w:rPr>
        <w:t xml:space="preserve">（</w:t>
      </w:r>
      <w:r>
        <w:rPr>
          <w:rFonts w:hint="eastAsia" w:ascii="宋体" w:hAnsi="宋体" w:eastAsia="宋体" w:cs="宋体"/>
          <w:color w:val="auto"/>
          <w:spacing w:val="-3"/>
          <w:sz w:val="24"/>
          <w:highlight w:val="none"/>
          <w:u w:val="single"/>
          <w:lang w:eastAsia="en-US"/>
        </w:rPr>
        <w:t xml:space="preserve">项目名称）</w:t>
      </w:r>
      <w:r>
        <w:rPr>
          <w:rFonts w:hint="eastAsia" w:ascii="宋体" w:hAnsi="宋体" w:eastAsia="宋体" w:cs="宋体"/>
          <w:color w:val="auto"/>
          <w:spacing w:val="-3"/>
          <w:sz w:val="24"/>
          <w:highlight w:val="none"/>
          <w:lang w:eastAsia="en-US"/>
        </w:rPr>
        <w:t xml:space="preserve">法人</w:t>
      </w:r>
      <w:r>
        <w:rPr>
          <w:rFonts w:hint="eastAsia" w:ascii="宋体" w:hAnsi="宋体" w:eastAsia="宋体" w:cs="宋体"/>
          <w:color w:val="auto"/>
          <w:spacing w:val="-3"/>
          <w:sz w:val="24"/>
          <w:highlight w:val="none"/>
          <w:u w:val="single"/>
          <w:lang w:eastAsia="en-US"/>
        </w:rPr>
        <w:t xml:space="preserve">               </w:t>
      </w:r>
      <w:r>
        <w:rPr>
          <w:rFonts w:hint="eastAsia" w:ascii="宋体" w:hAnsi="宋体" w:eastAsia="宋体" w:cs="宋体"/>
          <w:color w:val="auto"/>
          <w:spacing w:val="-3"/>
          <w:sz w:val="24"/>
          <w:highlight w:val="none"/>
          <w:lang w:eastAsia="en-US"/>
        </w:rPr>
        <w:t xml:space="preserve">（以下简称“发包人”）与该项目</w:t>
      </w:r>
      <w:r>
        <w:rPr>
          <w:rFonts w:hint="eastAsia" w:ascii="宋体" w:hAnsi="宋体" w:eastAsia="宋体" w:cs="宋体"/>
          <w:color w:val="auto"/>
          <w:spacing w:val="-99"/>
          <w:sz w:val="24"/>
          <w:highlight w:val="none"/>
          <w:lang w:eastAsia="en-US"/>
        </w:rPr>
        <w:t xml:space="preserve"> </w:t>
      </w:r>
      <w:r>
        <w:rPr>
          <w:rFonts w:hint="eastAsia" w:ascii="宋体" w:hAnsi="宋体" w:eastAsia="宋体" w:cs="宋体"/>
          <w:color w:val="auto"/>
          <w:spacing w:val="17"/>
          <w:sz w:val="24"/>
          <w:highlight w:val="none"/>
          <w:u w:val="single"/>
          <w:lang w:eastAsia="en-US"/>
        </w:rPr>
        <w:t xml:space="preserve">   </w:t>
      </w:r>
      <w:r>
        <w:rPr>
          <w:rFonts w:hint="eastAsia" w:ascii="宋体" w:hAnsi="宋体" w:eastAsia="宋体" w:cs="宋体"/>
          <w:color w:val="auto"/>
          <w:spacing w:val="17"/>
          <w:sz w:val="24"/>
          <w:highlight w:val="none"/>
          <w:u w:val="single"/>
        </w:rPr>
        <w:t xml:space="preserve"> </w:t>
      </w:r>
      <w:r>
        <w:rPr>
          <w:rFonts w:hint="eastAsia" w:ascii="宋体" w:hAnsi="宋体" w:eastAsia="宋体" w:cs="宋体"/>
          <w:color w:val="auto"/>
          <w:spacing w:val="17"/>
          <w:sz w:val="24"/>
          <w:highlight w:val="none"/>
          <w:u w:val="single"/>
          <w:lang w:eastAsia="en-US"/>
        </w:rPr>
        <w:t xml:space="preserve">   </w:t>
      </w:r>
      <w:r>
        <w:rPr>
          <w:rFonts w:hint="eastAsia" w:ascii="宋体" w:hAnsi="宋体" w:eastAsia="宋体" w:cs="宋体"/>
          <w:color w:val="auto"/>
          <w:spacing w:val="-95"/>
          <w:sz w:val="24"/>
          <w:highlight w:val="none"/>
          <w:lang w:eastAsia="en-US"/>
        </w:rPr>
        <w:t xml:space="preserve"> </w:t>
      </w:r>
      <w:r>
        <w:rPr>
          <w:rFonts w:hint="eastAsia" w:ascii="宋体" w:hAnsi="宋体" w:eastAsia="宋体" w:cs="宋体"/>
          <w:color w:val="auto"/>
          <w:spacing w:val="-3"/>
          <w:sz w:val="24"/>
          <w:highlight w:val="none"/>
          <w:lang w:eastAsia="en-US"/>
        </w:rPr>
        <w:t xml:space="preserve">包的服务</w:t>
      </w:r>
      <w:r>
        <w:rPr>
          <w:rFonts w:hint="eastAsia" w:ascii="宋体" w:hAnsi="宋体" w:eastAsia="宋体" w:cs="宋体"/>
          <w:color w:val="auto"/>
          <w:sz w:val="24"/>
          <w:highlight w:val="none"/>
          <w:lang w:eastAsia="en-US"/>
        </w:rPr>
        <w:t xml:space="preserve">单位 </w:t>
      </w:r>
      <w:r>
        <w:rPr>
          <w:rFonts w:hint="eastAsia" w:ascii="宋体" w:hAnsi="宋体" w:eastAsia="宋体" w:cs="宋体"/>
          <w:color w:val="auto"/>
          <w:sz w:val="24"/>
          <w:highlight w:val="none"/>
          <w:u w:val="single"/>
          <w:lang w:eastAsia="en-US"/>
        </w:rPr>
        <w:t xml:space="preserve">             </w:t>
      </w:r>
      <w:r>
        <w:rPr>
          <w:rFonts w:hint="eastAsia" w:ascii="宋体" w:hAnsi="宋体" w:eastAsia="宋体" w:cs="宋体"/>
          <w:color w:val="auto"/>
          <w:sz w:val="24"/>
          <w:highlight w:val="none"/>
          <w:lang w:eastAsia="en-US"/>
        </w:rPr>
        <w:t xml:space="preserve">（以下简称“</w:t>
      </w:r>
      <w:r>
        <w:rPr>
          <w:rFonts w:hint="eastAsia" w:ascii="宋体" w:hAnsi="宋体" w:eastAsia="宋体" w:cs="宋体"/>
          <w:color w:val="auto"/>
          <w:spacing w:val="-1"/>
          <w:sz w:val="24"/>
          <w:highlight w:val="none"/>
          <w:lang w:eastAsia="en-US"/>
        </w:rPr>
        <w:t xml:space="preserve">承包人”</w:t>
      </w:r>
      <w:r>
        <w:rPr>
          <w:rFonts w:hint="eastAsia" w:ascii="宋体" w:hAnsi="宋体" w:eastAsia="宋体" w:cs="宋体"/>
          <w:color w:val="auto"/>
          <w:spacing w:val="-38"/>
          <w:sz w:val="24"/>
          <w:highlight w:val="none"/>
          <w:lang w:eastAsia="en-US"/>
        </w:rPr>
        <w:t xml:space="preserve">），</w:t>
      </w:r>
      <w:r>
        <w:rPr>
          <w:rFonts w:hint="eastAsia" w:ascii="宋体" w:hAnsi="宋体" w:eastAsia="宋体" w:cs="宋体"/>
          <w:color w:val="auto"/>
          <w:spacing w:val="-1"/>
          <w:sz w:val="24"/>
          <w:highlight w:val="none"/>
          <w:lang w:eastAsia="en-US"/>
        </w:rPr>
        <w:t xml:space="preserve">特订立如下合同。</w:t>
      </w:r>
      <w:r/>
    </w:p>
    <w:p>
      <w:pPr>
        <w:ind w:firstLine="472"/>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1．发包人和承包人双方的权利和义务</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（1）严格遵守党的政策规定和国家有关法律法规及交通运输部的有关规定。</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（2）严格执行</w:t>
      </w:r>
      <w:r>
        <w:rPr>
          <w:rFonts w:hint="eastAsia" w:ascii="宋体" w:hAnsi="宋体" w:eastAsia="宋体" w:cs="宋体"/>
          <w:color w:val="auto"/>
          <w:spacing w:val="-1"/>
          <w:sz w:val="24"/>
          <w:highlight w:val="none"/>
          <w:u w:val="single"/>
          <w:lang w:eastAsia="en-US"/>
        </w:rPr>
        <w:t xml:space="preserve">             </w:t>
      </w:r>
      <w:r>
        <w:rPr>
          <w:rFonts w:hint="eastAsia" w:ascii="宋体" w:hAnsi="宋体" w:eastAsia="宋体" w:cs="宋体"/>
          <w:color w:val="auto"/>
          <w:spacing w:val="-1"/>
          <w:sz w:val="24"/>
          <w:highlight w:val="none"/>
          <w:lang w:eastAsia="en-US"/>
        </w:rPr>
        <w:t xml:space="preserve">（项目名称</w:t>
      </w:r>
      <w:r>
        <w:rPr>
          <w:rFonts w:hint="eastAsia" w:ascii="宋体" w:hAnsi="宋体" w:eastAsia="宋体" w:cs="宋体"/>
          <w:color w:val="auto"/>
          <w:spacing w:val="-1"/>
          <w:sz w:val="24"/>
          <w:highlight w:val="none"/>
          <w:u w:val="single"/>
          <w:lang w:eastAsia="en-US"/>
        </w:rPr>
        <w:t xml:space="preserve">）       </w:t>
      </w:r>
      <w:r>
        <w:rPr>
          <w:rFonts w:hint="eastAsia" w:ascii="宋体" w:hAnsi="宋体" w:eastAsia="宋体" w:cs="宋体"/>
          <w:color w:val="auto"/>
          <w:spacing w:val="-89"/>
          <w:sz w:val="24"/>
          <w:highlight w:val="none"/>
          <w:lang w:eastAsia="en-US"/>
        </w:rPr>
        <w:t xml:space="preserve"> </w:t>
      </w:r>
      <w:r>
        <w:rPr>
          <w:rFonts w:hint="eastAsia" w:ascii="宋体" w:hAnsi="宋体" w:eastAsia="宋体" w:cs="宋体"/>
          <w:color w:val="auto"/>
          <w:spacing w:val="-1"/>
          <w:sz w:val="24"/>
          <w:highlight w:val="none"/>
          <w:lang w:eastAsia="en-US"/>
        </w:rPr>
        <w:t xml:space="preserve">包合同文件，自觉按合同办事。</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（3）双方的业务活动坚持公开、公正、诚信、透明的原则（法律认定的商业秘密和合同文件另有规</w:t>
      </w:r>
      <w:r>
        <w:rPr>
          <w:rFonts w:hint="eastAsia" w:ascii="宋体" w:hAnsi="宋体" w:eastAsia="宋体" w:cs="宋体"/>
          <w:color w:val="auto"/>
          <w:spacing w:val="-1"/>
          <w:sz w:val="24"/>
          <w:highlight w:val="none"/>
          <w:lang w:eastAsia="en-US"/>
        </w:rPr>
        <w:t xml:space="preserve">定除外</w:t>
      </w:r>
      <w:r>
        <w:rPr>
          <w:rFonts w:hint="eastAsia" w:ascii="宋体" w:hAnsi="宋体" w:eastAsia="宋体" w:cs="宋体"/>
          <w:color w:val="auto"/>
          <w:spacing w:val="-48"/>
          <w:sz w:val="24"/>
          <w:highlight w:val="none"/>
          <w:lang w:eastAsia="en-US"/>
        </w:rPr>
        <w:t xml:space="preserve">），</w:t>
      </w:r>
      <w:r>
        <w:rPr>
          <w:rFonts w:hint="eastAsia" w:ascii="宋体" w:hAnsi="宋体" w:eastAsia="宋体" w:cs="宋体"/>
          <w:color w:val="auto"/>
          <w:spacing w:val="-1"/>
          <w:sz w:val="24"/>
          <w:highlight w:val="none"/>
          <w:lang w:eastAsia="en-US"/>
        </w:rPr>
        <w:t xml:space="preserve">不得损害国家和集体利益，不得违反工程建设管理规</w:t>
      </w:r>
      <w:r>
        <w:rPr>
          <w:rFonts w:hint="eastAsia" w:ascii="宋体" w:hAnsi="宋体" w:eastAsia="宋体" w:cs="宋体"/>
          <w:color w:val="auto"/>
          <w:spacing w:val="-2"/>
          <w:sz w:val="24"/>
          <w:highlight w:val="none"/>
          <w:lang w:eastAsia="en-US"/>
        </w:rPr>
        <w:t xml:space="preserve">章制度。</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（4）建立健全廉政制度，开展廉政教育，设立廉政告示牌，公布举报电话，监督并认真查处违法违</w:t>
      </w:r>
      <w:r>
        <w:rPr>
          <w:rFonts w:hint="eastAsia" w:ascii="宋体" w:hAnsi="宋体" w:eastAsia="宋体" w:cs="宋体"/>
          <w:color w:val="auto"/>
          <w:spacing w:val="-3"/>
          <w:sz w:val="24"/>
          <w:highlight w:val="none"/>
          <w:lang w:eastAsia="en-US"/>
        </w:rPr>
        <w:t xml:space="preserve">纪行为。</w:t>
      </w:r>
      <w:r/>
    </w:p>
    <w:p>
      <w:pPr>
        <w:ind w:firstLine="480"/>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（5）发现对方在业务活动中有违反廉政规定的行为，有及时提醒对方</w:t>
      </w:r>
      <w:r>
        <w:rPr>
          <w:rFonts w:hint="eastAsia" w:ascii="宋体" w:hAnsi="宋体" w:eastAsia="宋体" w:cs="宋体"/>
          <w:color w:val="auto"/>
          <w:spacing w:val="-1"/>
          <w:sz w:val="24"/>
          <w:highlight w:val="none"/>
          <w:lang w:eastAsia="en-US"/>
        </w:rPr>
        <w:t xml:space="preserve">纠正的权利和义务。</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（6）发现对方严重违反本合同义务条款的行为，有向其上级有关部门举报、建议给予处理并要求告</w:t>
      </w:r>
      <w:r>
        <w:rPr>
          <w:rFonts w:hint="eastAsia" w:ascii="宋体" w:hAnsi="宋体" w:eastAsia="宋体" w:cs="宋体"/>
          <w:color w:val="auto"/>
          <w:spacing w:val="-3"/>
          <w:sz w:val="24"/>
          <w:highlight w:val="none"/>
          <w:lang w:eastAsia="en-US"/>
        </w:rPr>
        <w:t xml:space="preserve">知处理结果的权利。</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2．发包人的义务</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（1）发包人及其工作人员不得索要或接受承包人的礼金、有价证券和贵重物品，不得让承包人报销</w:t>
      </w:r>
      <w:r>
        <w:rPr>
          <w:rFonts w:hint="eastAsia" w:ascii="宋体" w:hAnsi="宋体" w:eastAsia="宋体" w:cs="宋体"/>
          <w:color w:val="auto"/>
          <w:spacing w:val="-1"/>
          <w:sz w:val="24"/>
          <w:highlight w:val="none"/>
          <w:lang w:eastAsia="en-US"/>
        </w:rPr>
        <w:t xml:space="preserve">任何应由发包人或发包人工作人员个人支付的费用等。</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（2）发包人工作人员不得参加承包人安排的超标准宴请和娱乐活动；不得接受承包人提供的通讯工</w:t>
      </w:r>
      <w:r>
        <w:rPr>
          <w:rFonts w:hint="eastAsia" w:ascii="宋体" w:hAnsi="宋体" w:eastAsia="宋体" w:cs="宋体"/>
          <w:color w:val="auto"/>
          <w:spacing w:val="-1"/>
          <w:sz w:val="24"/>
          <w:highlight w:val="none"/>
          <w:lang w:eastAsia="en-US"/>
        </w:rPr>
        <w:t xml:space="preserve">具、交通工具和高档办公用品等。</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（3）发包人及其工作人员不利要求或者接受承包人为其住房装修、婚丧嫁娶活动、配偶子女的工作</w:t>
      </w:r>
      <w:r>
        <w:rPr>
          <w:rFonts w:hint="eastAsia" w:ascii="宋体" w:hAnsi="宋体" w:eastAsia="宋体" w:cs="宋体"/>
          <w:color w:val="auto"/>
          <w:spacing w:val="-2"/>
          <w:sz w:val="24"/>
          <w:highlight w:val="none"/>
          <w:lang w:eastAsia="en-US"/>
        </w:rPr>
        <w:t xml:space="preserve">安排以及出国出境、旅游等提供方便等。</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（4）发包人工作人员及其配偶、子女不得从事与发包人工作有关的材料设备供应、工程分包、劳务</w:t>
      </w:r>
      <w:r>
        <w:rPr>
          <w:rFonts w:hint="eastAsia" w:ascii="宋体" w:hAnsi="宋体" w:eastAsia="宋体" w:cs="宋体"/>
          <w:color w:val="auto"/>
          <w:spacing w:val="-4"/>
          <w:sz w:val="24"/>
          <w:highlight w:val="none"/>
          <w:lang w:eastAsia="en-US"/>
        </w:rPr>
        <w:t xml:space="preserve">等经济活动等。</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（5）发包人及期工作人员不得以任何理由向承包人推荐分包单位或推销材料，不得要求承包人购买</w:t>
      </w:r>
      <w:r>
        <w:rPr>
          <w:rFonts w:hint="eastAsia" w:ascii="宋体" w:hAnsi="宋体" w:eastAsia="宋体" w:cs="宋体"/>
          <w:color w:val="auto"/>
          <w:spacing w:val="-1"/>
          <w:sz w:val="24"/>
          <w:highlight w:val="none"/>
          <w:lang w:eastAsia="en-US"/>
        </w:rPr>
        <w:t xml:space="preserve">合同规定外的材料和设备。</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（6）发包人工作人员要秉公办事，不准营私舞弊，不准利用职权从事各种个人有偿中介活动和安排</w:t>
      </w:r>
      <w:r>
        <w:rPr>
          <w:rFonts w:hint="eastAsia" w:ascii="宋体" w:hAnsi="宋体" w:eastAsia="宋体" w:cs="宋体"/>
          <w:color w:val="auto"/>
          <w:spacing w:val="-3"/>
          <w:sz w:val="24"/>
          <w:highlight w:val="none"/>
          <w:lang w:eastAsia="en-US"/>
        </w:rPr>
        <w:t xml:space="preserve">个人养护队伍。</w:t>
      </w:r>
      <w:r/>
    </w:p>
    <w:p>
      <w:pPr>
        <w:ind w:firstLine="472"/>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3．承包人的义务</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（1）承包人不得以任何理由向发包人及其工作人员行贿或馈赠礼金、有价证券、贵重礼品。</w:t>
      </w:r>
      <w:r/>
    </w:p>
    <w:p>
      <w:pPr>
        <w:ind w:firstLine="480"/>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（2）承包人不得以任何名义为发包人及其</w:t>
      </w:r>
      <w:r>
        <w:rPr>
          <w:rFonts w:hint="eastAsia" w:ascii="宋体" w:hAnsi="宋体" w:eastAsia="宋体" w:cs="宋体"/>
          <w:color w:val="auto"/>
          <w:spacing w:val="-1"/>
          <w:sz w:val="24"/>
          <w:highlight w:val="none"/>
          <w:lang w:eastAsia="en-US"/>
        </w:rPr>
        <w:t xml:space="preserve">工作人员报销应由发包人单位或个人支付的任何费用。</w:t>
      </w:r>
      <w:r/>
    </w:p>
    <w:p>
      <w:pPr>
        <w:ind w:firstLine="480"/>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（3）承包人不得以任何理由安排发包人工作人员参加</w:t>
      </w:r>
      <w:r>
        <w:rPr>
          <w:rFonts w:hint="eastAsia" w:ascii="宋体" w:hAnsi="宋体" w:eastAsia="宋体" w:cs="宋体"/>
          <w:color w:val="auto"/>
          <w:spacing w:val="-1"/>
          <w:sz w:val="24"/>
          <w:highlight w:val="none"/>
          <w:lang w:eastAsia="en-US"/>
        </w:rPr>
        <w:t xml:space="preserve">超标准宴请及娱乐活动。</w:t>
      </w:r>
      <w:r/>
    </w:p>
    <w:p>
      <w:pPr>
        <w:ind w:firstLine="480"/>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（4）承包人不得为发包人单位和个人购置或提供通讯工具、交通工具</w:t>
      </w:r>
      <w:r>
        <w:rPr>
          <w:rFonts w:hint="eastAsia" w:ascii="宋体" w:hAnsi="宋体" w:eastAsia="宋体" w:cs="宋体"/>
          <w:color w:val="auto"/>
          <w:spacing w:val="-1"/>
          <w:sz w:val="24"/>
          <w:highlight w:val="none"/>
          <w:lang w:eastAsia="en-US"/>
        </w:rPr>
        <w:t xml:space="preserve">和高档办公用品等。</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4．违约责任</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（1）发包人及其工作人员违反本合同第</w:t>
      </w:r>
      <w:r>
        <w:rPr>
          <w:rFonts w:hint="eastAsia" w:ascii="宋体" w:hAnsi="宋体" w:eastAsia="宋体" w:cs="宋体"/>
          <w:color w:val="auto"/>
          <w:spacing w:val="-28"/>
          <w:sz w:val="24"/>
          <w:highlight w:val="none"/>
          <w:lang w:eastAsia="en-US"/>
        </w:rPr>
        <w:t xml:space="preserve"> </w:t>
      </w:r>
      <w:r>
        <w:rPr>
          <w:rFonts w:hint="eastAsia" w:ascii="宋体" w:hAnsi="宋体" w:eastAsia="宋体" w:cs="宋体"/>
          <w:color w:val="auto"/>
          <w:spacing w:val="-1"/>
          <w:sz w:val="24"/>
          <w:highlight w:val="none"/>
          <w:lang w:eastAsia="en-US"/>
        </w:rPr>
        <w:t xml:space="preserve">1、2</w:t>
      </w:r>
      <w:r>
        <w:rPr>
          <w:rFonts w:hint="eastAsia" w:ascii="宋体" w:hAnsi="宋体" w:eastAsia="宋体" w:cs="宋体"/>
          <w:color w:val="auto"/>
          <w:spacing w:val="-45"/>
          <w:sz w:val="24"/>
          <w:highlight w:val="none"/>
          <w:lang w:eastAsia="en-US"/>
        </w:rPr>
        <w:t xml:space="preserve"> </w:t>
      </w:r>
      <w:r>
        <w:rPr>
          <w:rFonts w:hint="eastAsia" w:ascii="宋体" w:hAnsi="宋体" w:eastAsia="宋体" w:cs="宋体"/>
          <w:color w:val="auto"/>
          <w:spacing w:val="-1"/>
          <w:sz w:val="24"/>
          <w:highlight w:val="none"/>
          <w:lang w:eastAsia="en-US"/>
        </w:rPr>
        <w:t xml:space="preserve">条，按</w:t>
      </w:r>
      <w:r>
        <w:rPr>
          <w:rFonts w:hint="eastAsia" w:ascii="宋体" w:hAnsi="宋体" w:eastAsia="宋体" w:cs="宋体"/>
          <w:color w:val="auto"/>
          <w:spacing w:val="-2"/>
          <w:sz w:val="24"/>
          <w:highlight w:val="none"/>
          <w:lang w:eastAsia="en-US"/>
        </w:rPr>
        <w:t xml:space="preserve">管理权限，依据有关规定给予党纪、政纪或组织</w:t>
      </w:r>
      <w:r>
        <w:rPr>
          <w:rFonts w:hint="eastAsia" w:ascii="宋体" w:hAnsi="宋体" w:eastAsia="宋体" w:cs="宋体"/>
          <w:color w:val="auto"/>
          <w:sz w:val="24"/>
          <w:highlight w:val="none"/>
          <w:lang w:eastAsia="en-US"/>
        </w:rPr>
        <w:t xml:space="preserve">处理；涉嫌犯罪的，移交司法机关追究刑事责任</w:t>
      </w:r>
      <w:r>
        <w:rPr>
          <w:rFonts w:hint="eastAsia" w:ascii="宋体" w:hAnsi="宋体" w:eastAsia="宋体" w:cs="宋体"/>
          <w:color w:val="auto"/>
          <w:spacing w:val="-1"/>
          <w:sz w:val="24"/>
          <w:highlight w:val="none"/>
          <w:lang w:eastAsia="en-US"/>
        </w:rPr>
        <w:t xml:space="preserve">；给承包人单位造成经济损失的，应予以赔偿。</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（2）承包人及其工作人员违反本合同第</w:t>
      </w:r>
      <w:r>
        <w:rPr>
          <w:rFonts w:hint="eastAsia" w:ascii="宋体" w:hAnsi="宋体" w:eastAsia="宋体" w:cs="宋体"/>
          <w:color w:val="auto"/>
          <w:spacing w:val="-28"/>
          <w:sz w:val="24"/>
          <w:highlight w:val="none"/>
          <w:lang w:eastAsia="en-US"/>
        </w:rPr>
        <w:t xml:space="preserve"> </w:t>
      </w:r>
      <w:r>
        <w:rPr>
          <w:rFonts w:hint="eastAsia" w:ascii="宋体" w:hAnsi="宋体" w:eastAsia="宋体" w:cs="宋体"/>
          <w:color w:val="auto"/>
          <w:spacing w:val="-1"/>
          <w:sz w:val="24"/>
          <w:highlight w:val="none"/>
          <w:lang w:eastAsia="en-US"/>
        </w:rPr>
        <w:t xml:space="preserve">1、3</w:t>
      </w:r>
      <w:r>
        <w:rPr>
          <w:rFonts w:hint="eastAsia" w:ascii="宋体" w:hAnsi="宋体" w:eastAsia="宋体" w:cs="宋体"/>
          <w:color w:val="auto"/>
          <w:spacing w:val="-45"/>
          <w:sz w:val="24"/>
          <w:highlight w:val="none"/>
          <w:lang w:eastAsia="en-US"/>
        </w:rPr>
        <w:t xml:space="preserve"> </w:t>
      </w:r>
      <w:r>
        <w:rPr>
          <w:rFonts w:hint="eastAsia" w:ascii="宋体" w:hAnsi="宋体" w:eastAsia="宋体" w:cs="宋体"/>
          <w:color w:val="auto"/>
          <w:spacing w:val="-1"/>
          <w:sz w:val="24"/>
          <w:highlight w:val="none"/>
          <w:lang w:eastAsia="en-US"/>
        </w:rPr>
        <w:t xml:space="preserve">条，按</w:t>
      </w:r>
      <w:r>
        <w:rPr>
          <w:rFonts w:hint="eastAsia" w:ascii="宋体" w:hAnsi="宋体" w:eastAsia="宋体" w:cs="宋体"/>
          <w:color w:val="auto"/>
          <w:spacing w:val="-2"/>
          <w:sz w:val="24"/>
          <w:highlight w:val="none"/>
          <w:lang w:eastAsia="en-US"/>
        </w:rPr>
        <w:t xml:space="preserve">管理权限，依据有关规定给予党纪、政纪或组织</w:t>
      </w:r>
      <w:r>
        <w:rPr>
          <w:rFonts w:hint="eastAsia" w:ascii="宋体" w:hAnsi="宋体" w:eastAsia="宋体" w:cs="宋体"/>
          <w:color w:val="auto"/>
          <w:spacing w:val="-1"/>
          <w:sz w:val="24"/>
          <w:highlight w:val="none"/>
          <w:lang w:eastAsia="en-US"/>
        </w:rPr>
        <w:t xml:space="preserve">处理；给发包人单位造成经济损失的，应予以赔偿；情节严重的，发包人建议交通主管部门给予承包人一至三年内不得进入其主管的公路建设市场的处罚。</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5.双方约定：本合同由双方或双方上级单位的纪检监察部门负责监督执行。由发包人或发包人上级单</w:t>
      </w:r>
      <w:r>
        <w:rPr>
          <w:rFonts w:hint="eastAsia" w:ascii="宋体" w:hAnsi="宋体" w:eastAsia="宋体" w:cs="宋体"/>
          <w:color w:val="auto"/>
          <w:sz w:val="24"/>
          <w:highlight w:val="none"/>
          <w:lang w:eastAsia="en-US"/>
        </w:rPr>
        <w:t xml:space="preserve">位的纪检监察部门约请承包人或承包人上级单位</w:t>
      </w:r>
      <w:r>
        <w:rPr>
          <w:rFonts w:hint="eastAsia" w:ascii="宋体" w:hAnsi="宋体" w:eastAsia="宋体" w:cs="宋体"/>
          <w:color w:val="auto"/>
          <w:spacing w:val="-1"/>
          <w:sz w:val="24"/>
          <w:highlight w:val="none"/>
          <w:lang w:eastAsia="en-US"/>
        </w:rPr>
        <w:t xml:space="preserve">纪检监察部门对本合同执行情况进行检查，提出在本合同</w:t>
      </w:r>
      <w:r>
        <w:rPr>
          <w:rFonts w:hint="eastAsia" w:ascii="宋体" w:hAnsi="宋体" w:eastAsia="宋体" w:cs="宋体"/>
          <w:color w:val="auto"/>
          <w:spacing w:val="-2"/>
          <w:sz w:val="24"/>
          <w:highlight w:val="none"/>
          <w:lang w:eastAsia="en-US"/>
        </w:rPr>
        <w:t xml:space="preserve">规定范围内的裁定意见。</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6.本合同有效期为发包人和承包人签署之日起至该工程履约验收合格后止。</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7．本合同作为 </w:t>
      </w:r>
      <w:r>
        <w:rPr>
          <w:rFonts w:hint="eastAsia" w:ascii="宋体" w:hAnsi="宋体" w:eastAsia="宋体" w:cs="宋体"/>
          <w:color w:val="auto"/>
          <w:spacing w:val="-1"/>
          <w:sz w:val="24"/>
          <w:highlight w:val="none"/>
          <w:u w:val="single"/>
          <w:lang w:eastAsia="en-US"/>
        </w:rPr>
        <w:t xml:space="preserve">               </w:t>
      </w:r>
      <w:r>
        <w:rPr>
          <w:rFonts w:hint="eastAsia" w:ascii="宋体" w:hAnsi="宋体" w:eastAsia="宋体" w:cs="宋体"/>
          <w:color w:val="auto"/>
          <w:spacing w:val="-1"/>
          <w:sz w:val="24"/>
          <w:highlight w:val="none"/>
          <w:lang w:eastAsia="en-US"/>
        </w:rPr>
        <w:t xml:space="preserve">（项目名称</w:t>
      </w:r>
      <w:r>
        <w:rPr>
          <w:rFonts w:hint="eastAsia" w:ascii="宋体" w:hAnsi="宋体" w:eastAsia="宋体" w:cs="宋体"/>
          <w:color w:val="auto"/>
          <w:spacing w:val="-1"/>
          <w:sz w:val="24"/>
          <w:highlight w:val="none"/>
          <w:u w:val="single"/>
          <w:lang w:eastAsia="en-US"/>
        </w:rPr>
        <w:t xml:space="preserve">）       </w:t>
      </w:r>
      <w:r>
        <w:rPr>
          <w:rFonts w:hint="eastAsia" w:ascii="宋体" w:hAnsi="宋体" w:eastAsia="宋体" w:cs="宋体"/>
          <w:color w:val="auto"/>
          <w:spacing w:val="-81"/>
          <w:sz w:val="24"/>
          <w:highlight w:val="none"/>
          <w:lang w:eastAsia="en-US"/>
        </w:rPr>
        <w:t xml:space="preserve"> </w:t>
      </w:r>
      <w:r>
        <w:rPr>
          <w:rFonts w:hint="eastAsia" w:ascii="宋体" w:hAnsi="宋体" w:eastAsia="宋体" w:cs="宋体"/>
          <w:color w:val="auto"/>
          <w:spacing w:val="-1"/>
          <w:sz w:val="24"/>
          <w:highlight w:val="none"/>
          <w:lang w:eastAsia="en-US"/>
        </w:rPr>
        <w:t xml:space="preserve">包合同的附件，与工程合同具有同等的法律效力，经合同双方签署后立即生效。</w:t>
      </w:r>
      <w:r/>
    </w:p>
    <w:p>
      <w:pPr>
        <w:ind w:firstLine="480"/>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8．本合同一式四份，由发包人和承包人各执—份</w:t>
      </w:r>
      <w:r>
        <w:rPr>
          <w:rFonts w:hint="eastAsia" w:ascii="宋体" w:hAnsi="宋体" w:eastAsia="宋体" w:cs="宋体"/>
          <w:color w:val="auto"/>
          <w:spacing w:val="-1"/>
          <w:sz w:val="24"/>
          <w:highlight w:val="none"/>
          <w:lang w:eastAsia="en-US"/>
        </w:rPr>
        <w:t xml:space="preserve">，送交发包人和承包人的监督单位各一份。</w:t>
      </w:r>
      <w:r/>
    </w:p>
    <w:p>
      <w:pPr>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发包人：</w:t>
      </w:r>
      <w:r>
        <w:rPr>
          <w:rFonts w:hint="eastAsia" w:ascii="宋体" w:hAnsi="宋体" w:eastAsia="宋体" w:cs="宋体"/>
          <w:color w:val="auto"/>
          <w:spacing w:val="5"/>
          <w:sz w:val="24"/>
          <w:highlight w:val="none"/>
          <w:u w:val="single"/>
          <w:lang w:eastAsia="en-US"/>
        </w:rPr>
        <w:t xml:space="preserve">              </w:t>
      </w:r>
      <w:r>
        <w:rPr>
          <w:rFonts w:hint="eastAsia" w:ascii="宋体" w:hAnsi="宋体" w:eastAsia="宋体" w:cs="宋体"/>
          <w:color w:val="auto"/>
          <w:spacing w:val="1"/>
          <w:sz w:val="24"/>
          <w:highlight w:val="none"/>
          <w:lang w:eastAsia="en-US"/>
        </w:rPr>
        <w:t xml:space="preserve">（盖单位章）</w:t>
      </w:r>
      <w:r>
        <w:rPr>
          <w:rFonts w:hint="eastAsia" w:ascii="宋体" w:hAnsi="宋体" w:eastAsia="宋体" w:cs="宋体"/>
          <w:color w:val="auto"/>
          <w:sz w:val="24"/>
          <w:highlight w:val="none"/>
          <w:lang w:eastAsia="en-US"/>
        </w:rPr>
        <w:t xml:space="preserve"> 承包人</w:t>
      </w:r>
      <w:r>
        <w:rPr>
          <w:rFonts w:hint="eastAsia" w:ascii="宋体" w:hAnsi="宋体" w:eastAsia="宋体" w:cs="宋体"/>
          <w:color w:val="auto"/>
          <w:spacing w:val="-15"/>
          <w:sz w:val="24"/>
          <w:highlight w:val="none"/>
          <w:lang w:eastAsia="en-US"/>
        </w:rPr>
        <w:t xml:space="preserve">：</w:t>
      </w:r>
      <w:r>
        <w:rPr>
          <w:rFonts w:hint="eastAsia" w:ascii="宋体" w:hAnsi="宋体" w:eastAsia="宋体" w:cs="宋体"/>
          <w:color w:val="auto"/>
          <w:spacing w:val="5"/>
          <w:sz w:val="24"/>
          <w:highlight w:val="none"/>
          <w:u w:val="single"/>
          <w:lang w:eastAsia="en-US"/>
        </w:rPr>
        <w:t xml:space="preserve">            </w:t>
      </w:r>
      <w:r>
        <w:rPr>
          <w:rFonts w:hint="eastAsia" w:ascii="宋体" w:hAnsi="宋体" w:eastAsia="宋体" w:cs="宋体"/>
          <w:color w:val="auto"/>
          <w:spacing w:val="-15"/>
          <w:sz w:val="24"/>
          <w:highlight w:val="none"/>
          <w:lang w:eastAsia="en-US"/>
        </w:rPr>
        <w:t xml:space="preserve">（</w:t>
      </w:r>
      <w:r>
        <w:rPr>
          <w:rFonts w:hint="eastAsia" w:ascii="宋体" w:hAnsi="宋体" w:eastAsia="宋体" w:cs="宋体"/>
          <w:color w:val="auto"/>
          <w:sz w:val="24"/>
          <w:highlight w:val="none"/>
          <w:lang w:eastAsia="en-US"/>
        </w:rPr>
        <w:t xml:space="preserve">盖单位章）</w:t>
      </w:r>
      <w:r/>
    </w:p>
    <w:p>
      <w:pPr>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法定代表人或其委托代理人</w:t>
      </w:r>
      <w:r>
        <w:rPr>
          <w:rFonts w:hint="eastAsia" w:ascii="宋体" w:hAnsi="宋体" w:eastAsia="宋体" w:cs="宋体"/>
          <w:color w:val="auto"/>
          <w:spacing w:val="-4"/>
          <w:sz w:val="24"/>
          <w:highlight w:val="none"/>
          <w:lang w:eastAsia="en-US"/>
        </w:rPr>
        <w:t xml:space="preserve">：</w:t>
      </w:r>
      <w:r>
        <w:rPr>
          <w:rFonts w:hint="eastAsia" w:ascii="宋体" w:hAnsi="宋体" w:eastAsia="宋体" w:cs="宋体"/>
          <w:color w:val="auto"/>
          <w:sz w:val="24"/>
          <w:highlight w:val="none"/>
          <w:u w:val="single"/>
          <w:lang w:eastAsia="en-US"/>
        </w:rPr>
        <w:t xml:space="preserve">  </w:t>
      </w:r>
      <w:r>
        <w:rPr>
          <w:rFonts w:hint="eastAsia" w:ascii="宋体" w:hAnsi="宋体" w:eastAsia="宋体" w:cs="宋体"/>
          <w:color w:val="auto"/>
          <w:spacing w:val="-4"/>
          <w:sz w:val="24"/>
          <w:highlight w:val="none"/>
          <w:lang w:eastAsia="en-US"/>
        </w:rPr>
        <w:t xml:space="preserve">（</w:t>
      </w:r>
      <w:r>
        <w:rPr>
          <w:rFonts w:hint="eastAsia" w:ascii="宋体" w:hAnsi="宋体" w:eastAsia="宋体" w:cs="宋体"/>
          <w:color w:val="auto"/>
          <w:sz w:val="24"/>
          <w:highlight w:val="none"/>
          <w:lang w:eastAsia="en-US"/>
        </w:rPr>
        <w:t xml:space="preserve">签字）定代表人或其委托代理人</w:t>
      </w:r>
      <w:r>
        <w:rPr>
          <w:rFonts w:hint="eastAsia" w:ascii="宋体" w:hAnsi="宋体" w:eastAsia="宋体" w:cs="宋体"/>
          <w:color w:val="auto"/>
          <w:spacing w:val="-4"/>
          <w:sz w:val="24"/>
          <w:highlight w:val="none"/>
          <w:lang w:eastAsia="en-US"/>
        </w:rPr>
        <w:t xml:space="preserve">：</w:t>
      </w:r>
      <w:r>
        <w:rPr>
          <w:rFonts w:hint="eastAsia" w:ascii="宋体" w:hAnsi="宋体" w:eastAsia="宋体" w:cs="宋体"/>
          <w:color w:val="auto"/>
          <w:spacing w:val="13"/>
          <w:sz w:val="24"/>
          <w:highlight w:val="none"/>
          <w:u w:val="single"/>
          <w:lang w:eastAsia="en-US"/>
        </w:rPr>
        <w:t xml:space="preserve"> </w:t>
      </w:r>
      <w:r>
        <w:rPr>
          <w:rFonts w:hint="eastAsia" w:ascii="宋体" w:hAnsi="宋体" w:eastAsia="宋体" w:cs="宋体"/>
          <w:color w:val="auto"/>
          <w:spacing w:val="-4"/>
          <w:sz w:val="24"/>
          <w:highlight w:val="none"/>
          <w:lang w:eastAsia="en-US"/>
        </w:rPr>
        <w:t xml:space="preserve">（</w:t>
      </w:r>
      <w:r>
        <w:rPr>
          <w:rFonts w:hint="eastAsia" w:ascii="宋体" w:hAnsi="宋体" w:eastAsia="宋体" w:cs="宋体"/>
          <w:color w:val="auto"/>
          <w:sz w:val="24"/>
          <w:highlight w:val="none"/>
          <w:lang w:eastAsia="en-US"/>
        </w:rPr>
        <w:t xml:space="preserve">签字）</w:t>
      </w:r>
      <w:r/>
    </w:p>
    <w:p>
      <w:pPr>
        <w:ind w:firstLine="452"/>
        <w:spacing w:line="360" w:lineRule="auto"/>
        <w:widowControl/>
        <w:tabs>
          <w:tab w:val="left" w:pos="1813" w:leader="none"/>
        </w:tabs>
        <w:rPr>
          <w:rFonts w:hint="eastAsia" w:ascii="宋体" w:hAnsi="宋体" w:eastAsia="宋体" w:cs="宋体"/>
          <w:color w:val="auto"/>
          <w:sz w:val="24"/>
          <w:highlight w:val="none"/>
          <w:lang w:eastAsia="en-US"/>
        </w:rPr>
      </w:pPr>
      <w:r>
        <w:rPr>
          <w:rFonts w:hint="eastAsia" w:ascii="宋体" w:hAnsi="宋体" w:eastAsia="宋体" w:cs="宋体"/>
          <w:color w:val="auto"/>
          <w:spacing w:val="-7"/>
          <w:sz w:val="24"/>
          <w:highlight w:val="none"/>
          <w:lang w:eastAsia="en-US"/>
        </w:rPr>
        <w:t xml:space="preserve"> </w:t>
      </w:r>
      <w:r>
        <w:rPr>
          <w:rFonts w:hint="eastAsia" w:ascii="宋体" w:hAnsi="宋体" w:eastAsia="宋体" w:cs="宋体"/>
          <w:color w:val="auto"/>
          <w:spacing w:val="20"/>
          <w:sz w:val="24"/>
          <w:highlight w:val="none"/>
          <w:u w:val="single"/>
          <w:lang w:eastAsia="en-US"/>
        </w:rPr>
        <w:t xml:space="preserve">     </w:t>
      </w:r>
      <w:r>
        <w:rPr>
          <w:rFonts w:hint="eastAsia" w:ascii="宋体" w:hAnsi="宋体" w:eastAsia="宋体" w:cs="宋体"/>
          <w:color w:val="auto"/>
          <w:spacing w:val="-92"/>
          <w:sz w:val="24"/>
          <w:highlight w:val="none"/>
          <w:lang w:eastAsia="en-US"/>
        </w:rPr>
        <w:t xml:space="preserve"> </w:t>
      </w:r>
      <w:r>
        <w:rPr>
          <w:rFonts w:hint="eastAsia" w:ascii="宋体" w:hAnsi="宋体" w:eastAsia="宋体" w:cs="宋体"/>
          <w:color w:val="auto"/>
          <w:spacing w:val="-7"/>
          <w:sz w:val="24"/>
          <w:highlight w:val="none"/>
          <w:lang w:eastAsia="en-US"/>
        </w:rPr>
        <w:t xml:space="preserve">年</w:t>
      </w:r>
      <w:r>
        <w:rPr>
          <w:rFonts w:hint="eastAsia" w:ascii="宋体" w:hAnsi="宋体" w:eastAsia="宋体" w:cs="宋体"/>
          <w:color w:val="auto"/>
          <w:spacing w:val="34"/>
          <w:sz w:val="24"/>
          <w:highlight w:val="none"/>
          <w:u w:val="single"/>
          <w:lang w:eastAsia="en-US"/>
        </w:rPr>
        <w:t xml:space="preserve">   </w:t>
      </w:r>
      <w:r>
        <w:rPr>
          <w:rFonts w:hint="eastAsia" w:ascii="宋体" w:hAnsi="宋体" w:eastAsia="宋体" w:cs="宋体"/>
          <w:color w:val="auto"/>
          <w:spacing w:val="-91"/>
          <w:sz w:val="24"/>
          <w:highlight w:val="none"/>
          <w:lang w:eastAsia="en-US"/>
        </w:rPr>
        <w:t xml:space="preserve"> </w:t>
      </w:r>
      <w:r>
        <w:rPr>
          <w:rFonts w:hint="eastAsia" w:ascii="宋体" w:hAnsi="宋体" w:eastAsia="宋体" w:cs="宋体"/>
          <w:color w:val="auto"/>
          <w:spacing w:val="-7"/>
          <w:sz w:val="24"/>
          <w:highlight w:val="none"/>
          <w:lang w:eastAsia="en-US"/>
        </w:rPr>
        <w:t xml:space="preserve">月</w:t>
      </w:r>
      <w:r>
        <w:rPr>
          <w:rFonts w:hint="eastAsia" w:ascii="宋体" w:hAnsi="宋体" w:eastAsia="宋体" w:cs="宋体"/>
          <w:color w:val="auto"/>
          <w:sz w:val="24"/>
          <w:highlight w:val="none"/>
          <w:u w:val="single"/>
          <w:lang w:eastAsia="en-US"/>
        </w:rPr>
        <w:t xml:space="preserve">    </w:t>
      </w:r>
      <w:r>
        <w:rPr>
          <w:rFonts w:hint="eastAsia" w:ascii="宋体" w:hAnsi="宋体" w:eastAsia="宋体" w:cs="宋体"/>
          <w:color w:val="auto"/>
          <w:spacing w:val="-61"/>
          <w:sz w:val="24"/>
          <w:highlight w:val="none"/>
          <w:lang w:eastAsia="en-US"/>
        </w:rPr>
        <w:t xml:space="preserve"> </w:t>
      </w:r>
      <w:r>
        <w:rPr>
          <w:rFonts w:hint="eastAsia" w:ascii="宋体" w:hAnsi="宋体" w:eastAsia="宋体" w:cs="宋体"/>
          <w:color w:val="auto"/>
          <w:spacing w:val="-7"/>
          <w:sz w:val="24"/>
          <w:highlight w:val="none"/>
          <w:lang w:eastAsia="en-US"/>
        </w:rPr>
        <w:t xml:space="preserve">日                         </w:t>
      </w:r>
      <w:r>
        <w:rPr>
          <w:rFonts w:hint="eastAsia" w:ascii="宋体" w:hAnsi="宋体" w:eastAsia="宋体" w:cs="宋体"/>
          <w:color w:val="auto"/>
          <w:spacing w:val="20"/>
          <w:sz w:val="24"/>
          <w:highlight w:val="none"/>
          <w:u w:val="single"/>
          <w:lang w:eastAsia="en-US"/>
        </w:rPr>
        <w:t xml:space="preserve">     </w:t>
      </w:r>
      <w:r>
        <w:rPr>
          <w:rFonts w:hint="eastAsia" w:ascii="宋体" w:hAnsi="宋体" w:eastAsia="宋体" w:cs="宋体"/>
          <w:color w:val="auto"/>
          <w:spacing w:val="-92"/>
          <w:sz w:val="24"/>
          <w:highlight w:val="none"/>
          <w:lang w:eastAsia="en-US"/>
        </w:rPr>
        <w:t xml:space="preserve"> </w:t>
      </w:r>
      <w:r>
        <w:rPr>
          <w:rFonts w:hint="eastAsia" w:ascii="宋体" w:hAnsi="宋体" w:eastAsia="宋体" w:cs="宋体"/>
          <w:color w:val="auto"/>
          <w:spacing w:val="-7"/>
          <w:sz w:val="24"/>
          <w:highlight w:val="none"/>
          <w:lang w:eastAsia="en-US"/>
        </w:rPr>
        <w:t xml:space="preserve">年</w:t>
      </w:r>
      <w:r>
        <w:rPr>
          <w:rFonts w:hint="eastAsia" w:ascii="宋体" w:hAnsi="宋体" w:eastAsia="宋体" w:cs="宋体"/>
          <w:color w:val="auto"/>
          <w:spacing w:val="34"/>
          <w:sz w:val="24"/>
          <w:highlight w:val="none"/>
          <w:u w:val="single"/>
          <w:lang w:eastAsia="en-US"/>
        </w:rPr>
        <w:t xml:space="preserve">   </w:t>
      </w:r>
      <w:r>
        <w:rPr>
          <w:rFonts w:hint="eastAsia" w:ascii="宋体" w:hAnsi="宋体" w:eastAsia="宋体" w:cs="宋体"/>
          <w:color w:val="auto"/>
          <w:spacing w:val="-91"/>
          <w:sz w:val="24"/>
          <w:highlight w:val="none"/>
          <w:lang w:eastAsia="en-US"/>
        </w:rPr>
        <w:t xml:space="preserve"> </w:t>
      </w:r>
      <w:r>
        <w:rPr>
          <w:rFonts w:hint="eastAsia" w:ascii="宋体" w:hAnsi="宋体" w:eastAsia="宋体" w:cs="宋体"/>
          <w:color w:val="auto"/>
          <w:spacing w:val="-7"/>
          <w:sz w:val="24"/>
          <w:highlight w:val="none"/>
          <w:lang w:eastAsia="en-US"/>
        </w:rPr>
        <w:t xml:space="preserve">月</w:t>
      </w:r>
      <w:r>
        <w:rPr>
          <w:rFonts w:hint="eastAsia" w:ascii="宋体" w:hAnsi="宋体" w:eastAsia="宋体" w:cs="宋体"/>
          <w:color w:val="auto"/>
          <w:sz w:val="24"/>
          <w:highlight w:val="none"/>
          <w:u w:val="single"/>
          <w:lang w:eastAsia="en-US"/>
        </w:rPr>
        <w:t xml:space="preserve">    </w:t>
      </w:r>
      <w:r>
        <w:rPr>
          <w:rFonts w:hint="eastAsia" w:ascii="宋体" w:hAnsi="宋体" w:eastAsia="宋体" w:cs="宋体"/>
          <w:color w:val="auto"/>
          <w:spacing w:val="-61"/>
          <w:sz w:val="24"/>
          <w:highlight w:val="none"/>
          <w:lang w:eastAsia="en-US"/>
        </w:rPr>
        <w:t xml:space="preserve"> </w:t>
      </w:r>
      <w:r>
        <w:rPr>
          <w:rFonts w:hint="eastAsia" w:ascii="宋体" w:hAnsi="宋体" w:eastAsia="宋体" w:cs="宋体"/>
          <w:color w:val="auto"/>
          <w:spacing w:val="-7"/>
          <w:sz w:val="24"/>
          <w:highlight w:val="none"/>
          <w:lang w:eastAsia="en-US"/>
        </w:rPr>
        <w:t xml:space="preserve">日</w:t>
      </w:r>
      <w:r/>
    </w:p>
    <w:p>
      <w:pPr>
        <w:ind w:firstLine="480"/>
        <w:spacing w:line="360" w:lineRule="auto"/>
        <w:rPr>
          <w:rFonts w:hint="eastAsia" w:ascii="宋体" w:hAnsi="宋体" w:eastAsia="宋体" w:cs="宋体"/>
          <w:color w:val="auto"/>
          <w:sz w:val="24"/>
          <w:highlight w:val="none"/>
        </w:rPr>
        <w:sectPr>
          <w:headerReference w:type="default" r:id="rId13"/>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4"/>
          <w:highlight w:val="none"/>
        </w:rPr>
      </w:r>
      <w:r/>
    </w:p>
    <w:p>
      <w:pPr>
        <w:ind w:left="3228"/>
        <w:jc w:val="left"/>
        <w:spacing w:before="98" w:line="219" w:lineRule="auto"/>
        <w:widowControl/>
        <w:rPr>
          <w:rFonts w:hint="eastAsia" w:ascii="宋体" w:hAnsi="宋体" w:eastAsia="宋体" w:cs="宋体"/>
          <w:color w:val="auto"/>
          <w:sz w:val="30"/>
          <w:szCs w:val="30"/>
          <w:highlight w:val="none"/>
          <w:lang w:eastAsia="en-US"/>
        </w:rPr>
      </w:pPr>
      <w:r>
        <w:rPr>
          <w:rFonts w:hint="eastAsia" w:ascii="宋体" w:hAnsi="宋体" w:eastAsia="宋体" w:cs="宋体"/>
          <w:b/>
          <w:bCs/>
          <w:color w:val="auto"/>
          <w:spacing w:val="-6"/>
          <w:sz w:val="30"/>
          <w:szCs w:val="30"/>
          <w:highlight w:val="none"/>
          <w:lang w:eastAsia="en-US"/>
        </w:rPr>
        <w:t xml:space="preserve">附件二、安全合同协议书</w:t>
      </w:r>
      <w:r/>
    </w:p>
    <w:p>
      <w:pPr>
        <w:jc w:val="left"/>
        <w:spacing w:line="369" w:lineRule="auto"/>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为在</w:t>
      </w:r>
      <w:r>
        <w:rPr>
          <w:rFonts w:hint="eastAsia" w:ascii="宋体" w:hAnsi="宋体" w:eastAsia="宋体" w:cs="宋体"/>
          <w:color w:val="auto"/>
          <w:spacing w:val="-92"/>
          <w:sz w:val="24"/>
          <w:highlight w:val="none"/>
          <w:lang w:eastAsia="en-US"/>
        </w:rPr>
        <w:t xml:space="preserve"> </w:t>
      </w:r>
      <w:r>
        <w:rPr>
          <w:rFonts w:hint="eastAsia" w:ascii="宋体" w:hAnsi="宋体" w:eastAsia="宋体" w:cs="宋体"/>
          <w:color w:val="auto"/>
          <w:spacing w:val="1"/>
          <w:sz w:val="24"/>
          <w:highlight w:val="none"/>
          <w:u w:val="single"/>
          <w:lang w:eastAsia="en-US"/>
        </w:rPr>
        <w:t xml:space="preserve">                </w:t>
      </w:r>
      <w:r>
        <w:rPr>
          <w:rFonts w:hint="eastAsia" w:ascii="宋体" w:hAnsi="宋体" w:eastAsia="宋体" w:cs="宋体"/>
          <w:color w:val="auto"/>
          <w:spacing w:val="1"/>
          <w:sz w:val="24"/>
          <w:highlight w:val="none"/>
          <w:lang w:eastAsia="en-US"/>
        </w:rPr>
        <w:t xml:space="preserve">（项目名称</w:t>
      </w:r>
      <w:r>
        <w:rPr>
          <w:rFonts w:hint="eastAsia" w:ascii="宋体" w:hAnsi="宋体" w:eastAsia="宋体" w:cs="宋体"/>
          <w:color w:val="auto"/>
          <w:spacing w:val="1"/>
          <w:sz w:val="24"/>
          <w:highlight w:val="none"/>
          <w:u w:val="single"/>
          <w:lang w:eastAsia="en-US"/>
        </w:rPr>
        <w:t xml:space="preserve">）       </w:t>
      </w:r>
      <w:r>
        <w:rPr>
          <w:rFonts w:hint="eastAsia" w:ascii="宋体" w:hAnsi="宋体" w:eastAsia="宋体" w:cs="宋体"/>
          <w:color w:val="auto"/>
          <w:spacing w:val="-97"/>
          <w:sz w:val="24"/>
          <w:highlight w:val="none"/>
          <w:lang w:eastAsia="en-US"/>
        </w:rPr>
        <w:t xml:space="preserve"> </w:t>
      </w:r>
      <w:r>
        <w:rPr>
          <w:rFonts w:hint="eastAsia" w:ascii="宋体" w:hAnsi="宋体" w:eastAsia="宋体" w:cs="宋体"/>
          <w:color w:val="auto"/>
          <w:spacing w:val="1"/>
          <w:sz w:val="24"/>
          <w:highlight w:val="none"/>
          <w:lang w:eastAsia="en-US"/>
        </w:rPr>
        <w:t xml:space="preserve">包合同的实施过程中创造安全、高效的养护环境，切实搞好本项目的安全管理工作，本项目发包人 </w:t>
      </w:r>
      <w:r>
        <w:rPr>
          <w:rFonts w:hint="eastAsia" w:ascii="宋体" w:hAnsi="宋体" w:eastAsia="宋体" w:cs="宋体"/>
          <w:color w:val="auto"/>
          <w:spacing w:val="1"/>
          <w:sz w:val="24"/>
          <w:highlight w:val="none"/>
          <w:u w:val="single"/>
          <w:lang w:eastAsia="en-US"/>
        </w:rPr>
        <w:t xml:space="preserve">                      </w:t>
      </w:r>
      <w:r>
        <w:rPr>
          <w:rFonts w:hint="eastAsia" w:ascii="宋体" w:hAnsi="宋体" w:eastAsia="宋体" w:cs="宋体"/>
          <w:color w:val="auto"/>
          <w:spacing w:val="1"/>
          <w:sz w:val="24"/>
          <w:highlight w:val="none"/>
          <w:lang w:eastAsia="en-US"/>
        </w:rPr>
        <w:t xml:space="preserve">（以下简称“发包人”）与承包人</w:t>
      </w:r>
      <w:r>
        <w:rPr>
          <w:rFonts w:hint="eastAsia" w:ascii="宋体" w:hAnsi="宋体" w:eastAsia="宋体" w:cs="宋体"/>
          <w:color w:val="auto"/>
          <w:spacing w:val="-5"/>
          <w:sz w:val="24"/>
          <w:highlight w:val="none"/>
          <w:lang w:eastAsia="en-US"/>
        </w:rPr>
        <w:t xml:space="preserve">（以下简称“承包人”）特此签订安全生产合同：</w:t>
      </w:r>
      <w:r/>
    </w:p>
    <w:p>
      <w:pPr>
        <w:ind w:firstLine="468"/>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1.发包人职责</w:t>
      </w:r>
      <w:r/>
    </w:p>
    <w:p>
      <w:pPr>
        <w:ind w:firstLine="480"/>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（1）严格遵守国家有关安全生产的法律法规，认真执行工程承包合同</w:t>
      </w:r>
      <w:r>
        <w:rPr>
          <w:rFonts w:hint="eastAsia" w:ascii="宋体" w:hAnsi="宋体" w:eastAsia="宋体" w:cs="宋体"/>
          <w:color w:val="auto"/>
          <w:spacing w:val="-1"/>
          <w:sz w:val="24"/>
          <w:highlight w:val="none"/>
          <w:lang w:eastAsia="en-US"/>
        </w:rPr>
        <w:t xml:space="preserve">中的有关安全要求。</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（2）按照“安全第一、预防为主”和坚持“管生产必须管安全”的原则进行安全生产管理，做到生</w:t>
      </w:r>
      <w:r>
        <w:rPr>
          <w:rFonts w:hint="eastAsia" w:ascii="宋体" w:hAnsi="宋体" w:eastAsia="宋体" w:cs="宋体"/>
          <w:color w:val="auto"/>
          <w:sz w:val="24"/>
          <w:highlight w:val="none"/>
          <w:lang w:eastAsia="en-US"/>
        </w:rPr>
        <w:t xml:space="preserve">产与安全工作同时计划、布置、检查、总结</w:t>
      </w:r>
      <w:r>
        <w:rPr>
          <w:rFonts w:hint="eastAsia" w:ascii="宋体" w:hAnsi="宋体" w:eastAsia="宋体" w:cs="宋体"/>
          <w:color w:val="auto"/>
          <w:spacing w:val="-1"/>
          <w:sz w:val="24"/>
          <w:highlight w:val="none"/>
          <w:lang w:eastAsia="en-US"/>
        </w:rPr>
        <w:t xml:space="preserve">和评比。</w:t>
      </w:r>
      <w:r/>
    </w:p>
    <w:p>
      <w:pPr>
        <w:ind w:firstLine="468"/>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（3）重要的安全设施必须坚持与主体工程“三同时”的原则，即：同时设计、审批</w:t>
      </w:r>
      <w:r>
        <w:rPr>
          <w:rFonts w:hint="eastAsia" w:ascii="宋体" w:hAnsi="宋体" w:eastAsia="宋体" w:cs="宋体"/>
          <w:color w:val="auto"/>
          <w:spacing w:val="-4"/>
          <w:sz w:val="24"/>
          <w:highlight w:val="none"/>
          <w:lang w:eastAsia="en-US"/>
        </w:rPr>
        <w:t xml:space="preserve">，</w:t>
      </w:r>
      <w:r>
        <w:rPr>
          <w:rFonts w:hint="eastAsia" w:ascii="宋体" w:hAnsi="宋体" w:eastAsia="宋体" w:cs="宋体"/>
          <w:color w:val="auto"/>
          <w:spacing w:val="79"/>
          <w:sz w:val="24"/>
          <w:highlight w:val="none"/>
          <w:lang w:eastAsia="en-US"/>
        </w:rPr>
        <w:t xml:space="preserve"> </w:t>
      </w:r>
      <w:r>
        <w:rPr>
          <w:rFonts w:hint="eastAsia" w:ascii="宋体" w:hAnsi="宋体" w:eastAsia="宋体" w:cs="宋体"/>
          <w:color w:val="auto"/>
          <w:spacing w:val="-4"/>
          <w:sz w:val="24"/>
          <w:highlight w:val="none"/>
          <w:lang w:eastAsia="en-US"/>
        </w:rPr>
        <w:t xml:space="preserve">同时养护，同时验收，投入使用。</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（4）定期召开安全生产调度会，及时传达中央及地方有关安全生产的精神。</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（5）组织对承包人养护现场安全生产检查，监督承包人及时处理发现的各种安全隐患。</w:t>
      </w:r>
      <w:r/>
    </w:p>
    <w:p>
      <w:pPr>
        <w:ind w:firstLine="472"/>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2.承包人职责</w:t>
      </w:r>
      <w:r/>
    </w:p>
    <w:p>
      <w:pPr>
        <w:ind w:firstLine="468"/>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（1）严格遵守《中华人民共和国安全生产法》、《建设工程安全生产管理条</w:t>
      </w:r>
      <w:r>
        <w:rPr>
          <w:rFonts w:hint="eastAsia" w:ascii="宋体" w:hAnsi="宋体" w:eastAsia="宋体" w:cs="宋体"/>
          <w:color w:val="auto"/>
          <w:spacing w:val="-4"/>
          <w:sz w:val="24"/>
          <w:highlight w:val="none"/>
          <w:lang w:eastAsia="en-US"/>
        </w:rPr>
        <w:t xml:space="preserve">例》等国家有关安全生产</w:t>
      </w:r>
      <w:r>
        <w:rPr>
          <w:rFonts w:hint="eastAsia" w:ascii="宋体" w:hAnsi="宋体" w:eastAsia="宋体" w:cs="宋体"/>
          <w:color w:val="auto"/>
          <w:spacing w:val="-5"/>
          <w:sz w:val="24"/>
          <w:highlight w:val="none"/>
          <w:lang w:eastAsia="en-US"/>
        </w:rPr>
        <w:t xml:space="preserve">的法律法规、《公路水运工程安全生产监督管理办法》、《公路工程施工安全技术规程</w:t>
      </w:r>
      <w:r>
        <w:rPr>
          <w:rFonts w:hint="eastAsia" w:ascii="宋体" w:hAnsi="宋体" w:eastAsia="宋体" w:cs="宋体"/>
          <w:color w:val="auto"/>
          <w:spacing w:val="-6"/>
          <w:sz w:val="24"/>
          <w:highlight w:val="none"/>
          <w:lang w:eastAsia="en-US"/>
        </w:rPr>
        <w:t xml:space="preserve">》和《公路筑养路机</w:t>
      </w:r>
      <w:r>
        <w:rPr>
          <w:rFonts w:hint="eastAsia" w:ascii="宋体" w:hAnsi="宋体" w:eastAsia="宋体" w:cs="宋体"/>
          <w:color w:val="auto"/>
          <w:spacing w:val="-1"/>
          <w:sz w:val="24"/>
          <w:highlight w:val="none"/>
          <w:lang w:eastAsia="en-US"/>
        </w:rPr>
        <w:t xml:space="preserve">械操作规程》等有关安全生产的规定。认真执行工程承包合同中的有关安全要求。</w:t>
      </w:r>
      <w:r/>
    </w:p>
    <w:p>
      <w:pPr>
        <w:ind w:firstLine="488"/>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（2）坚持“安全第一、预防为主”和“管生</w:t>
      </w:r>
      <w:r>
        <w:rPr>
          <w:rFonts w:hint="eastAsia" w:ascii="宋体" w:hAnsi="宋体" w:eastAsia="宋体" w:cs="宋体"/>
          <w:color w:val="auto"/>
          <w:spacing w:val="1"/>
          <w:sz w:val="24"/>
          <w:highlight w:val="none"/>
          <w:lang w:eastAsia="en-US"/>
        </w:rPr>
        <w:t xml:space="preserve">产必须管安全”的原则，加强安全生产宣传教育，增强</w:t>
      </w:r>
      <w:r>
        <w:rPr>
          <w:rFonts w:hint="eastAsia" w:ascii="宋体" w:hAnsi="宋体" w:eastAsia="宋体" w:cs="宋体"/>
          <w:color w:val="auto"/>
          <w:sz w:val="24"/>
          <w:highlight w:val="none"/>
          <w:lang w:eastAsia="en-US"/>
        </w:rPr>
        <w:t xml:space="preserve">全员安全生产意识，建立健全各项安全生产的管</w:t>
      </w:r>
      <w:r>
        <w:rPr>
          <w:rFonts w:hint="eastAsia" w:ascii="宋体" w:hAnsi="宋体" w:eastAsia="宋体" w:cs="宋体"/>
          <w:color w:val="auto"/>
          <w:spacing w:val="-1"/>
          <w:sz w:val="24"/>
          <w:highlight w:val="none"/>
          <w:lang w:eastAsia="en-US"/>
        </w:rPr>
        <w:t xml:space="preserve">理机构和安全生产管理制度，配备专职及兼职安全检查人</w:t>
      </w:r>
      <w:r>
        <w:rPr>
          <w:rFonts w:hint="eastAsia" w:ascii="宋体" w:hAnsi="宋体" w:eastAsia="宋体" w:cs="宋体"/>
          <w:color w:val="auto"/>
          <w:sz w:val="24"/>
          <w:highlight w:val="none"/>
          <w:lang w:eastAsia="en-US"/>
        </w:rPr>
        <w:t xml:space="preserve">员，有组织有领导地开展安全生产活动。各级领</w:t>
      </w:r>
      <w:r>
        <w:rPr>
          <w:rFonts w:hint="eastAsia" w:ascii="宋体" w:hAnsi="宋体" w:eastAsia="宋体" w:cs="宋体"/>
          <w:color w:val="auto"/>
          <w:spacing w:val="-1"/>
          <w:sz w:val="24"/>
          <w:highlight w:val="none"/>
          <w:lang w:eastAsia="en-US"/>
        </w:rPr>
        <w:t xml:space="preserve">导、工程技术人员、生产管理人员和具体操作人员，必须</w:t>
      </w:r>
      <w:r>
        <w:rPr>
          <w:rFonts w:hint="eastAsia" w:ascii="宋体" w:hAnsi="宋体" w:eastAsia="宋体" w:cs="宋体"/>
          <w:color w:val="auto"/>
          <w:sz w:val="24"/>
          <w:highlight w:val="none"/>
          <w:lang w:eastAsia="en-US"/>
        </w:rPr>
        <w:t xml:space="preserve">熟悉和遵守本合同的各项规定，做到生产与安全工作</w:t>
      </w:r>
      <w:r>
        <w:rPr>
          <w:rFonts w:hint="eastAsia" w:ascii="宋体" w:hAnsi="宋体" w:eastAsia="宋体" w:cs="宋体"/>
          <w:color w:val="auto"/>
          <w:spacing w:val="-1"/>
          <w:sz w:val="24"/>
          <w:highlight w:val="none"/>
          <w:lang w:eastAsia="en-US"/>
        </w:rPr>
        <w:t xml:space="preserve">同时计划、布置、检查、总结和评比。</w:t>
      </w:r>
      <w:r/>
    </w:p>
    <w:p>
      <w:pPr>
        <w:ind w:firstLine="484"/>
        <w:spacing w:line="360" w:lineRule="auto"/>
        <w:widowControl/>
        <w:rPr>
          <w:rFonts w:hint="eastAsia" w:ascii="宋体" w:hAnsi="宋体" w:eastAsia="宋体" w:cs="宋体"/>
          <w:color w:val="auto"/>
          <w:spacing w:val="-1"/>
          <w:sz w:val="24"/>
          <w:highlight w:val="none"/>
          <w:lang w:eastAsia="en-US"/>
        </w:rPr>
      </w:pPr>
      <w:r>
        <w:rPr>
          <w:rFonts w:hint="eastAsia" w:ascii="宋体" w:hAnsi="宋体" w:eastAsia="宋体" w:cs="宋体"/>
          <w:color w:val="auto"/>
          <w:spacing w:val="1"/>
          <w:sz w:val="24"/>
          <w:highlight w:val="none"/>
          <w:lang w:eastAsia="en-US"/>
        </w:rPr>
        <w:t xml:space="preserve">（3）建立健全安全生产责任制。从派往项目实施的</w:t>
      </w:r>
      <w:r>
        <w:rPr>
          <w:rFonts w:hint="eastAsia" w:ascii="宋体" w:hAnsi="宋体" w:cs="宋体"/>
          <w:color w:val="auto"/>
          <w:spacing w:val="1"/>
          <w:sz w:val="24"/>
          <w:highlight w:val="none"/>
          <w:lang w:eastAsia="zh-CN"/>
        </w:rPr>
        <w:t xml:space="preserve">项目负责人</w:t>
      </w:r>
      <w:r>
        <w:rPr>
          <w:rFonts w:hint="eastAsia" w:ascii="宋体" w:hAnsi="宋体" w:eastAsia="宋体" w:cs="宋体"/>
          <w:color w:val="auto"/>
          <w:spacing w:val="1"/>
          <w:sz w:val="24"/>
          <w:highlight w:val="none"/>
          <w:lang w:eastAsia="en-US"/>
        </w:rPr>
        <w:t xml:space="preserve">到生产工人（包括临时雇请的民工）的</w:t>
      </w:r>
      <w:r>
        <w:rPr>
          <w:rFonts w:hint="eastAsia" w:ascii="宋体" w:hAnsi="宋体" w:eastAsia="宋体" w:cs="宋体"/>
          <w:color w:val="auto"/>
          <w:sz w:val="24"/>
          <w:highlight w:val="none"/>
          <w:lang w:eastAsia="en-US"/>
        </w:rPr>
        <w:t xml:space="preserve">安全生产管理系统必须做到纵向到底，—环不</w:t>
      </w:r>
      <w:r>
        <w:rPr>
          <w:rFonts w:hint="eastAsia" w:ascii="宋体" w:hAnsi="宋体" w:eastAsia="宋体" w:cs="宋体"/>
          <w:color w:val="auto"/>
          <w:spacing w:val="-1"/>
          <w:sz w:val="24"/>
          <w:highlight w:val="none"/>
          <w:lang w:eastAsia="en-US"/>
        </w:rPr>
        <w:t xml:space="preserve">漏；各职能部门、人员的安全生产责任制做到横向到边，人人有责。</w:t>
      </w:r>
      <w:r>
        <w:rPr>
          <w:rFonts w:hint="eastAsia" w:ascii="宋体" w:hAnsi="宋体" w:cs="宋体"/>
          <w:color w:val="auto"/>
          <w:spacing w:val="-1"/>
          <w:sz w:val="24"/>
          <w:highlight w:val="none"/>
          <w:lang w:eastAsia="zh-CN"/>
        </w:rPr>
        <w:t xml:space="preserve">项目负责人</w:t>
      </w:r>
      <w:r>
        <w:rPr>
          <w:rFonts w:hint="eastAsia" w:ascii="宋体" w:hAnsi="宋体" w:eastAsia="宋体" w:cs="宋体"/>
          <w:color w:val="auto"/>
          <w:spacing w:val="-1"/>
          <w:sz w:val="24"/>
          <w:highlight w:val="none"/>
          <w:lang w:eastAsia="en-US"/>
        </w:rPr>
        <w:t xml:space="preserve">是安全生产的第一责任人。现场设置的安全机构，应按《公路水运工程安全生产监督管</w:t>
      </w:r>
      <w:r>
        <w:rPr>
          <w:rFonts w:hint="eastAsia" w:ascii="宋体" w:hAnsi="宋体" w:eastAsia="宋体" w:cs="宋体"/>
          <w:color w:val="auto"/>
          <w:sz w:val="24"/>
          <w:highlight w:val="none"/>
          <w:lang w:eastAsia="en-US"/>
        </w:rPr>
        <w:t xml:space="preserve">理办法》规定的最低数量和资质条件配备专职</w:t>
      </w:r>
      <w:r>
        <w:rPr>
          <w:rFonts w:hint="eastAsia" w:ascii="宋体" w:hAnsi="宋体" w:eastAsia="宋体" w:cs="宋体"/>
          <w:color w:val="auto"/>
          <w:spacing w:val="-1"/>
          <w:sz w:val="24"/>
          <w:highlight w:val="none"/>
          <w:lang w:eastAsia="en-US"/>
        </w:rPr>
        <w:t xml:space="preserve">安全生产管理人员，专职负责所有员工的安全和治安保卫工</w:t>
      </w:r>
      <w:r>
        <w:rPr>
          <w:rFonts w:hint="eastAsia" w:ascii="宋体" w:hAnsi="宋体" w:eastAsia="宋体" w:cs="宋体"/>
          <w:color w:val="auto"/>
          <w:sz w:val="24"/>
          <w:highlight w:val="none"/>
          <w:lang w:eastAsia="en-US"/>
        </w:rPr>
        <w:t xml:space="preserve">作及预防事故的发生。安全机构人员有权按有关规定发布指令，并采取保护性措施防止事故发</w:t>
      </w:r>
      <w:r>
        <w:rPr>
          <w:rFonts w:hint="eastAsia" w:ascii="宋体" w:hAnsi="宋体" w:eastAsia="宋体" w:cs="宋体"/>
          <w:color w:val="auto"/>
          <w:spacing w:val="-1"/>
          <w:sz w:val="24"/>
          <w:highlight w:val="none"/>
          <w:lang w:eastAsia="en-US"/>
        </w:rPr>
        <w:t xml:space="preserve">生。</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（4）承包人在任何时候都应采取各种合理的预防措施，防止其员工发生任何违法、违禁、暴力或妨</w:t>
      </w:r>
      <w:r>
        <w:rPr>
          <w:rFonts w:hint="eastAsia" w:ascii="宋体" w:hAnsi="宋体" w:eastAsia="宋体" w:cs="宋体"/>
          <w:color w:val="auto"/>
          <w:spacing w:val="-3"/>
          <w:sz w:val="24"/>
          <w:highlight w:val="none"/>
          <w:lang w:eastAsia="en-US"/>
        </w:rPr>
        <w:t xml:space="preserve">碍治安的行为。</w:t>
      </w:r>
      <w:r/>
    </w:p>
    <w:p>
      <w:pPr>
        <w:ind w:firstLine="488"/>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（5）承包人必须具有劳动安全管理部门颁发</w:t>
      </w:r>
      <w:r>
        <w:rPr>
          <w:rFonts w:hint="eastAsia" w:ascii="宋体" w:hAnsi="宋体" w:eastAsia="宋体" w:cs="宋体"/>
          <w:color w:val="auto"/>
          <w:spacing w:val="1"/>
          <w:sz w:val="24"/>
          <w:highlight w:val="none"/>
          <w:lang w:eastAsia="en-US"/>
        </w:rPr>
        <w:t xml:space="preserve">的安全生产考核合格证书，参加养护的人员，必须接受</w:t>
      </w:r>
      <w:r>
        <w:rPr>
          <w:rFonts w:hint="eastAsia" w:ascii="宋体" w:hAnsi="宋体" w:eastAsia="宋体" w:cs="宋体"/>
          <w:color w:val="auto"/>
          <w:sz w:val="24"/>
          <w:highlight w:val="none"/>
          <w:lang w:eastAsia="en-US"/>
        </w:rPr>
        <w:t xml:space="preserve">安全技术教育，熟知和遵守本工种的各项安全</w:t>
      </w:r>
      <w:r>
        <w:rPr>
          <w:rFonts w:hint="eastAsia" w:ascii="宋体" w:hAnsi="宋体" w:eastAsia="宋体" w:cs="宋体"/>
          <w:color w:val="auto"/>
          <w:spacing w:val="-1"/>
          <w:sz w:val="24"/>
          <w:highlight w:val="none"/>
          <w:lang w:eastAsia="en-US"/>
        </w:rPr>
        <w:t xml:space="preserve">技术操作规程，定期进行安全技术考核，合格者方准上岗操</w:t>
      </w:r>
      <w:r>
        <w:rPr>
          <w:rFonts w:hint="eastAsia" w:ascii="宋体" w:hAnsi="宋体" w:eastAsia="宋体" w:cs="宋体"/>
          <w:color w:val="auto"/>
          <w:sz w:val="24"/>
          <w:highlight w:val="none"/>
          <w:lang w:eastAsia="en-US"/>
        </w:rPr>
        <w:t xml:space="preserve">作。对于从事起重、建筑登高架设作业等特殊</w:t>
      </w:r>
      <w:r>
        <w:rPr>
          <w:rFonts w:hint="eastAsia" w:ascii="宋体" w:hAnsi="宋体" w:eastAsia="宋体" w:cs="宋体"/>
          <w:color w:val="auto"/>
          <w:spacing w:val="-1"/>
          <w:sz w:val="24"/>
          <w:highlight w:val="none"/>
          <w:lang w:eastAsia="en-US"/>
        </w:rPr>
        <w:t xml:space="preserve">工种的人员，经过专业培训，获得《安全操作合格证》后，</w:t>
      </w:r>
      <w:r>
        <w:rPr>
          <w:rFonts w:hint="eastAsia" w:ascii="宋体" w:hAnsi="宋体" w:eastAsia="宋体" w:cs="宋体"/>
          <w:color w:val="auto"/>
          <w:sz w:val="24"/>
          <w:highlight w:val="none"/>
          <w:lang w:eastAsia="en-US"/>
        </w:rPr>
        <w:t xml:space="preserve">方准持证上岗。养护现场如出现特种作业无证操作现象时，</w:t>
      </w:r>
      <w:r>
        <w:rPr>
          <w:rFonts w:hint="eastAsia" w:ascii="宋体" w:hAnsi="宋体" w:cs="宋体"/>
          <w:color w:val="auto"/>
          <w:sz w:val="24"/>
          <w:highlight w:val="none"/>
          <w:lang w:eastAsia="zh-CN"/>
        </w:rPr>
        <w:t xml:space="preserve">项目负责人</w:t>
      </w:r>
      <w:r>
        <w:rPr>
          <w:rFonts w:hint="eastAsia" w:ascii="宋体" w:hAnsi="宋体" w:eastAsia="宋体" w:cs="宋体"/>
          <w:color w:val="auto"/>
          <w:sz w:val="24"/>
          <w:highlight w:val="none"/>
          <w:lang w:eastAsia="en-US"/>
        </w:rPr>
        <w:t xml:space="preserve">必须承担管理责</w:t>
      </w:r>
      <w:r>
        <w:rPr>
          <w:rFonts w:hint="eastAsia" w:ascii="宋体" w:hAnsi="宋体" w:eastAsia="宋体" w:cs="宋体"/>
          <w:color w:val="auto"/>
          <w:spacing w:val="-1"/>
          <w:sz w:val="24"/>
          <w:highlight w:val="none"/>
          <w:lang w:eastAsia="en-US"/>
        </w:rPr>
        <w:t xml:space="preserve">任。</w:t>
      </w:r>
      <w:r/>
    </w:p>
    <w:p>
      <w:pPr>
        <w:ind w:firstLine="488"/>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（6）对于易燃易爆的材料除应专门妥善保管</w:t>
      </w:r>
      <w:r>
        <w:rPr>
          <w:rFonts w:hint="eastAsia" w:ascii="宋体" w:hAnsi="宋体" w:eastAsia="宋体" w:cs="宋体"/>
          <w:color w:val="auto"/>
          <w:spacing w:val="1"/>
          <w:sz w:val="24"/>
          <w:highlight w:val="none"/>
          <w:lang w:eastAsia="en-US"/>
        </w:rPr>
        <w:t xml:space="preserve">之外，还应配备有足够的消防设施，所有养护人员都应</w:t>
      </w:r>
      <w:r>
        <w:rPr>
          <w:rFonts w:hint="eastAsia" w:ascii="宋体" w:hAnsi="宋体" w:eastAsia="宋体" w:cs="宋体"/>
          <w:color w:val="auto"/>
          <w:spacing w:val="-1"/>
          <w:sz w:val="24"/>
          <w:highlight w:val="none"/>
          <w:lang w:eastAsia="en-US"/>
        </w:rPr>
        <w:t xml:space="preserve">熟悉消防设备的性能和使用方法；承包人不得将任何种类的爆炸物给予、易货或以其他方式转让给任何其</w:t>
      </w:r>
      <w:r>
        <w:rPr>
          <w:rFonts w:hint="eastAsia" w:ascii="宋体" w:hAnsi="宋体" w:eastAsia="宋体" w:cs="宋体"/>
          <w:color w:val="auto"/>
          <w:spacing w:val="-2"/>
          <w:sz w:val="24"/>
          <w:highlight w:val="none"/>
          <w:lang w:eastAsia="en-US"/>
        </w:rPr>
        <w:t xml:space="preserve">他人，或允许、容忍上述同样行为。</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（7）操作人员上岗，必须按规定穿戴防护用品。负责人和安全检查员应随时检查劳动防护用品的穿</w:t>
      </w:r>
      <w:r>
        <w:rPr>
          <w:rFonts w:hint="eastAsia" w:ascii="宋体" w:hAnsi="宋体" w:eastAsia="宋体" w:cs="宋体"/>
          <w:color w:val="auto"/>
          <w:spacing w:val="-1"/>
          <w:sz w:val="24"/>
          <w:highlight w:val="none"/>
          <w:lang w:eastAsia="en-US"/>
        </w:rPr>
        <w:t xml:space="preserve">戴情况，不按规定穿戴防护用品的人员不得上</w:t>
      </w:r>
      <w:r>
        <w:rPr>
          <w:rFonts w:hint="eastAsia" w:ascii="宋体" w:hAnsi="宋体" w:eastAsia="宋体" w:cs="宋体"/>
          <w:color w:val="auto"/>
          <w:spacing w:val="-2"/>
          <w:sz w:val="24"/>
          <w:highlight w:val="none"/>
          <w:lang w:eastAsia="en-US"/>
        </w:rPr>
        <w:t xml:space="preserve">岗。</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（8）所有养护机具设备和高空作业的设备均应定期检查，并有</w:t>
      </w:r>
      <w:r>
        <w:rPr>
          <w:rFonts w:hint="default" w:ascii="宋体" w:hAnsi="宋体" w:eastAsia="宋体" w:cs="宋体"/>
          <w:color w:val="auto"/>
          <w:spacing w:val="1"/>
          <w:sz w:val="24"/>
          <w:highlight w:val="none"/>
          <w:lang w:eastAsia="en-US"/>
        </w:rPr>
        <w:t xml:space="preserve">专职</w:t>
      </w:r>
      <w:r>
        <w:rPr>
          <w:rFonts w:hint="eastAsia" w:ascii="宋体" w:hAnsi="宋体" w:eastAsia="宋体" w:cs="宋体"/>
          <w:color w:val="auto"/>
          <w:spacing w:val="1"/>
          <w:sz w:val="24"/>
          <w:highlight w:val="none"/>
          <w:lang w:eastAsia="en-US"/>
        </w:rPr>
        <w:t xml:space="preserve">安全员的签字记录，保证其经常处于</w:t>
      </w:r>
      <w:r>
        <w:rPr>
          <w:rFonts w:hint="eastAsia" w:ascii="宋体" w:hAnsi="宋体" w:eastAsia="宋体" w:cs="宋体"/>
          <w:color w:val="auto"/>
          <w:sz w:val="24"/>
          <w:highlight w:val="none"/>
          <w:lang w:eastAsia="en-US"/>
        </w:rPr>
        <w:t xml:space="preserve">完好状态；不合格的机具、设备和劳动保护用品</w:t>
      </w:r>
      <w:r>
        <w:rPr>
          <w:rFonts w:hint="eastAsia" w:ascii="宋体" w:hAnsi="宋体" w:eastAsia="宋体" w:cs="宋体"/>
          <w:color w:val="auto"/>
          <w:spacing w:val="-1"/>
          <w:sz w:val="24"/>
          <w:highlight w:val="none"/>
          <w:lang w:eastAsia="en-US"/>
        </w:rPr>
        <w:t xml:space="preserve">严禁使用：</w:t>
      </w:r>
      <w:r/>
    </w:p>
    <w:p>
      <w:pPr>
        <w:ind w:firstLine="484"/>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（9）养护中采用新技术、新工艺、新设备、新材料时，必须制定相应的安全技术措施，养护现场必</w:t>
      </w:r>
      <w:r>
        <w:rPr>
          <w:rFonts w:hint="eastAsia" w:ascii="宋体" w:hAnsi="宋体" w:eastAsia="宋体" w:cs="宋体"/>
          <w:color w:val="auto"/>
          <w:spacing w:val="-1"/>
          <w:sz w:val="24"/>
          <w:highlight w:val="none"/>
          <w:lang w:eastAsia="en-US"/>
        </w:rPr>
        <w:t xml:space="preserve">须具有相关的安全标志牌。</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w:t>
      </w:r>
      <w:r>
        <w:rPr>
          <w:rFonts w:hint="eastAsia" w:ascii="宋体" w:hAnsi="宋体" w:cs="宋体"/>
          <w:color w:val="auto"/>
          <w:spacing w:val="-1"/>
          <w:sz w:val="24"/>
          <w:highlight w:val="none"/>
          <w:lang w:eastAsia="zh-CN"/>
        </w:rPr>
        <w:t xml:space="preserve">，</w:t>
      </w:r>
      <w:r>
        <w:rPr>
          <w:rFonts w:hint="eastAsia" w:ascii="宋体" w:hAnsi="宋体" w:eastAsia="宋体" w:cs="宋体"/>
          <w:color w:val="auto"/>
          <w:spacing w:val="-1"/>
          <w:sz w:val="24"/>
          <w:highlight w:val="none"/>
          <w:lang w:eastAsia="en-US"/>
        </w:rPr>
        <w:t xml:space="preserve">严肃处理相关责任人。</w:t>
      </w:r>
      <w:r/>
    </w:p>
    <w:p>
      <w:pPr>
        <w:ind w:firstLine="472"/>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3.违约责任</w:t>
      </w:r>
      <w:r/>
    </w:p>
    <w:p>
      <w:pPr>
        <w:ind w:firstLine="480"/>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如因发包人或承包人违约造成安全事故，将依</w:t>
      </w:r>
      <w:r>
        <w:rPr>
          <w:rFonts w:hint="eastAsia" w:ascii="宋体" w:hAnsi="宋体" w:eastAsia="宋体" w:cs="宋体"/>
          <w:color w:val="auto"/>
          <w:spacing w:val="-1"/>
          <w:sz w:val="24"/>
          <w:highlight w:val="none"/>
          <w:lang w:eastAsia="en-US"/>
        </w:rPr>
        <w:t xml:space="preserve">法追究责任。</w:t>
      </w:r>
      <w:r/>
    </w:p>
    <w:p>
      <w:pPr>
        <w:ind w:firstLine="480"/>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4.本合同由双方法定代表人或其授权的代理人签署并加盖单位章后生效，全部工程</w:t>
      </w:r>
      <w:r>
        <w:rPr>
          <w:rFonts w:ascii="宋体" w:hAnsi="宋体" w:eastAsia="宋体" w:cs="宋体"/>
          <w:color w:val="auto"/>
          <w:sz w:val="24"/>
          <w:szCs w:val="24"/>
          <w:highlight w:val="none"/>
        </w:rPr>
        <w:t xml:space="preserve">履约验收合格</w:t>
      </w:r>
      <w:r>
        <w:rPr>
          <w:rFonts w:hint="eastAsia" w:ascii="宋体" w:hAnsi="宋体" w:eastAsia="宋体" w:cs="宋体"/>
          <w:color w:val="auto"/>
          <w:spacing w:val="-1"/>
          <w:sz w:val="24"/>
          <w:highlight w:val="none"/>
          <w:lang w:eastAsia="en-US"/>
        </w:rPr>
        <w:t xml:space="preserve">后失效。</w:t>
      </w:r>
      <w:r/>
    </w:p>
    <w:p>
      <w:pPr>
        <w:ind w:firstLine="476"/>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5.本合同正本—式</w:t>
      </w:r>
      <w:r>
        <w:rPr>
          <w:rFonts w:hint="eastAsia" w:ascii="宋体" w:hAnsi="宋体" w:eastAsia="宋体" w:cs="宋体"/>
          <w:color w:val="auto"/>
          <w:spacing w:val="-1"/>
          <w:sz w:val="24"/>
          <w:highlight w:val="none"/>
        </w:rPr>
        <w:t xml:space="preserve">四</w:t>
      </w:r>
      <w:r>
        <w:rPr>
          <w:rFonts w:hint="eastAsia" w:ascii="宋体" w:hAnsi="宋体" w:eastAsia="宋体" w:cs="宋体"/>
          <w:color w:val="auto"/>
          <w:spacing w:val="-1"/>
          <w:sz w:val="24"/>
          <w:highlight w:val="none"/>
          <w:lang w:eastAsia="en-US"/>
        </w:rPr>
        <w:t xml:space="preserve">份，副本二份，合同双方各执正本—份，副本—份，当正本与副本的内容不一致</w:t>
      </w:r>
      <w:r>
        <w:rPr>
          <w:rFonts w:hint="eastAsia" w:ascii="宋体" w:hAnsi="宋体" w:eastAsia="宋体" w:cs="宋体"/>
          <w:color w:val="auto"/>
          <w:spacing w:val="-2"/>
          <w:sz w:val="24"/>
          <w:highlight w:val="none"/>
          <w:lang w:eastAsia="en-US"/>
        </w:rPr>
        <w:t xml:space="preserve">时，以正本为准。</w:t>
      </w:r>
      <w:r/>
    </w:p>
    <w:p>
      <w:pPr>
        <w:ind w:firstLine="48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p>
      <w:pPr>
        <w:ind w:firstLine="480"/>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p>
      <w:pPr>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发包人：</w:t>
      </w:r>
      <w:r>
        <w:rPr>
          <w:rFonts w:hint="eastAsia" w:ascii="宋体" w:hAnsi="宋体" w:eastAsia="宋体" w:cs="宋体"/>
          <w:color w:val="auto"/>
          <w:sz w:val="24"/>
          <w:highlight w:val="none"/>
          <w:u w:val="single"/>
          <w:lang w:eastAsia="en-US"/>
        </w:rPr>
        <w:t xml:space="preserve">                    </w:t>
      </w:r>
      <w:r>
        <w:rPr>
          <w:rFonts w:hint="eastAsia" w:ascii="宋体" w:hAnsi="宋体" w:eastAsia="宋体" w:cs="宋体"/>
          <w:color w:val="auto"/>
          <w:spacing w:val="1"/>
          <w:sz w:val="24"/>
          <w:highlight w:val="none"/>
          <w:lang w:eastAsia="en-US"/>
        </w:rPr>
        <w:t xml:space="preserve">（盖单位章）</w:t>
      </w:r>
      <w:r>
        <w:rPr>
          <w:rFonts w:hint="eastAsia" w:ascii="宋体" w:hAnsi="宋体" w:eastAsia="宋体" w:cs="宋体"/>
          <w:color w:val="auto"/>
          <w:sz w:val="24"/>
          <w:highlight w:val="none"/>
          <w:lang w:eastAsia="en-US"/>
        </w:rPr>
        <w:t xml:space="preserve">   承包人</w:t>
      </w:r>
      <w:r>
        <w:rPr>
          <w:rFonts w:hint="eastAsia" w:ascii="宋体" w:hAnsi="宋体" w:eastAsia="宋体" w:cs="宋体"/>
          <w:color w:val="auto"/>
          <w:spacing w:val="-15"/>
          <w:sz w:val="24"/>
          <w:highlight w:val="none"/>
          <w:lang w:eastAsia="en-US"/>
        </w:rPr>
        <w:t xml:space="preserve">：</w:t>
      </w:r>
      <w:r>
        <w:rPr>
          <w:rFonts w:hint="eastAsia" w:ascii="宋体" w:hAnsi="宋体" w:eastAsia="宋体" w:cs="宋体"/>
          <w:color w:val="auto"/>
          <w:sz w:val="24"/>
          <w:highlight w:val="none"/>
          <w:u w:val="single"/>
          <w:lang w:eastAsia="en-US"/>
        </w:rPr>
        <w:t xml:space="preserve">                  </w:t>
      </w:r>
      <w:r>
        <w:rPr>
          <w:rFonts w:hint="eastAsia" w:ascii="宋体" w:hAnsi="宋体" w:eastAsia="宋体" w:cs="宋体"/>
          <w:color w:val="auto"/>
          <w:spacing w:val="-15"/>
          <w:sz w:val="24"/>
          <w:highlight w:val="none"/>
          <w:lang w:eastAsia="en-US"/>
        </w:rPr>
        <w:t xml:space="preserve">（</w:t>
      </w:r>
      <w:r>
        <w:rPr>
          <w:rFonts w:hint="eastAsia" w:ascii="宋体" w:hAnsi="宋体" w:eastAsia="宋体" w:cs="宋体"/>
          <w:color w:val="auto"/>
          <w:sz w:val="24"/>
          <w:highlight w:val="none"/>
          <w:lang w:eastAsia="en-US"/>
        </w:rPr>
        <w:t xml:space="preserve">盖单位章）</w:t>
      </w:r>
      <w:r/>
    </w:p>
    <w:p>
      <w:pPr>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
          <w:sz w:val="24"/>
          <w:highlight w:val="none"/>
          <w:lang w:eastAsia="en-US"/>
        </w:rPr>
        <w:t xml:space="preserve">法定代表人或其委托代理人</w:t>
      </w:r>
      <w:r>
        <w:rPr>
          <w:rFonts w:hint="eastAsia" w:ascii="宋体" w:hAnsi="宋体" w:eastAsia="宋体" w:cs="宋体"/>
          <w:color w:val="auto"/>
          <w:spacing w:val="-9"/>
          <w:sz w:val="24"/>
          <w:highlight w:val="none"/>
          <w:lang w:eastAsia="en-US"/>
        </w:rPr>
        <w:t xml:space="preserve">：</w:t>
      </w:r>
      <w:r>
        <w:rPr>
          <w:rFonts w:hint="eastAsia" w:ascii="宋体" w:hAnsi="宋体" w:eastAsia="宋体" w:cs="宋体"/>
          <w:color w:val="auto"/>
          <w:spacing w:val="21"/>
          <w:sz w:val="24"/>
          <w:highlight w:val="none"/>
          <w:u w:val="single"/>
          <w:lang w:eastAsia="en-US"/>
        </w:rPr>
        <w:t xml:space="preserve">    </w:t>
      </w:r>
      <w:r>
        <w:rPr>
          <w:rFonts w:hint="eastAsia" w:ascii="宋体" w:hAnsi="宋体" w:eastAsia="宋体" w:cs="宋体"/>
          <w:color w:val="auto"/>
          <w:spacing w:val="-9"/>
          <w:sz w:val="24"/>
          <w:highlight w:val="none"/>
          <w:lang w:eastAsia="en-US"/>
        </w:rPr>
        <w:t xml:space="preserve">（</w:t>
      </w:r>
      <w:r>
        <w:rPr>
          <w:rFonts w:hint="eastAsia" w:ascii="宋体" w:hAnsi="宋体" w:eastAsia="宋体" w:cs="宋体"/>
          <w:color w:val="auto"/>
          <w:spacing w:val="1"/>
          <w:sz w:val="24"/>
          <w:highlight w:val="none"/>
          <w:lang w:eastAsia="en-US"/>
        </w:rPr>
        <w:t xml:space="preserve">签字）   </w:t>
      </w:r>
      <w:r>
        <w:rPr>
          <w:rFonts w:hint="eastAsia" w:ascii="宋体" w:hAnsi="宋体" w:eastAsia="宋体" w:cs="宋体"/>
          <w:color w:val="auto"/>
          <w:sz w:val="24"/>
          <w:highlight w:val="none"/>
          <w:lang w:eastAsia="en-US"/>
        </w:rPr>
        <w:t xml:space="preserve">法定代表人或其委托代理人</w:t>
      </w:r>
      <w:r>
        <w:rPr>
          <w:rFonts w:hint="eastAsia" w:ascii="宋体" w:hAnsi="宋体" w:eastAsia="宋体" w:cs="宋体"/>
          <w:color w:val="auto"/>
          <w:spacing w:val="-9"/>
          <w:sz w:val="24"/>
          <w:highlight w:val="none"/>
          <w:lang w:eastAsia="en-US"/>
        </w:rPr>
        <w:t xml:space="preserve">：</w:t>
      </w:r>
      <w:r>
        <w:rPr>
          <w:rFonts w:hint="eastAsia" w:ascii="宋体" w:hAnsi="宋体" w:eastAsia="宋体" w:cs="宋体"/>
          <w:color w:val="auto"/>
          <w:spacing w:val="21"/>
          <w:sz w:val="24"/>
          <w:highlight w:val="none"/>
          <w:u w:val="single"/>
          <w:lang w:eastAsia="en-US"/>
        </w:rPr>
        <w:t xml:space="preserve">   </w:t>
      </w:r>
      <w:r>
        <w:rPr>
          <w:rFonts w:hint="eastAsia" w:ascii="宋体" w:hAnsi="宋体" w:eastAsia="宋体" w:cs="宋体"/>
          <w:color w:val="auto"/>
          <w:spacing w:val="-9"/>
          <w:sz w:val="24"/>
          <w:highlight w:val="none"/>
          <w:lang w:eastAsia="en-US"/>
        </w:rPr>
        <w:t xml:space="preserve">（</w:t>
      </w:r>
      <w:r>
        <w:rPr>
          <w:rFonts w:hint="eastAsia" w:ascii="宋体" w:hAnsi="宋体" w:eastAsia="宋体" w:cs="宋体"/>
          <w:color w:val="auto"/>
          <w:sz w:val="24"/>
          <w:highlight w:val="none"/>
          <w:lang w:eastAsia="en-US"/>
        </w:rPr>
        <w:t xml:space="preserve">签字）</w:t>
      </w:r>
      <w:r/>
    </w:p>
    <w:p>
      <w:pPr>
        <w:ind w:firstLine="564"/>
        <w:spacing w:line="360" w:lineRule="auto"/>
        <w:rPr>
          <w:rFonts w:hint="eastAsia" w:ascii="宋体" w:hAnsi="宋体" w:eastAsia="宋体" w:cs="宋体"/>
          <w:color w:val="auto"/>
          <w:spacing w:val="-8"/>
          <w:sz w:val="24"/>
          <w:highlight w:val="none"/>
          <w:lang w:eastAsia="en-US"/>
        </w:rPr>
        <w:sectPr>
          <w:footerReference w:type="default" r:id="rId22"/>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pacing w:val="21"/>
          <w:sz w:val="24"/>
          <w:highlight w:val="none"/>
          <w:u w:val="single"/>
          <w:lang w:eastAsia="en-US"/>
        </w:rPr>
        <w:t xml:space="preserve">     </w:t>
      </w:r>
      <w:r>
        <w:rPr>
          <w:rFonts w:hint="eastAsia" w:ascii="宋体" w:hAnsi="宋体" w:eastAsia="宋体" w:cs="宋体"/>
          <w:color w:val="auto"/>
          <w:spacing w:val="-96"/>
          <w:sz w:val="24"/>
          <w:highlight w:val="none"/>
          <w:lang w:eastAsia="en-US"/>
        </w:rPr>
        <w:t xml:space="preserve"> </w:t>
      </w:r>
      <w:r>
        <w:rPr>
          <w:rFonts w:hint="eastAsia" w:ascii="宋体" w:hAnsi="宋体" w:eastAsia="宋体" w:cs="宋体"/>
          <w:color w:val="auto"/>
          <w:spacing w:val="-7"/>
          <w:sz w:val="24"/>
          <w:highlight w:val="none"/>
          <w:lang w:eastAsia="en-US"/>
        </w:rPr>
        <w:t xml:space="preserve">年</w:t>
      </w:r>
      <w:r>
        <w:rPr>
          <w:rFonts w:hint="eastAsia" w:ascii="宋体" w:hAnsi="宋体" w:eastAsia="宋体" w:cs="宋体"/>
          <w:color w:val="auto"/>
          <w:spacing w:val="34"/>
          <w:sz w:val="24"/>
          <w:highlight w:val="none"/>
          <w:u w:val="single"/>
          <w:lang w:eastAsia="en-US"/>
        </w:rPr>
        <w:t xml:space="preserve">   </w:t>
      </w:r>
      <w:r>
        <w:rPr>
          <w:rFonts w:hint="eastAsia" w:ascii="宋体" w:hAnsi="宋体" w:eastAsia="宋体" w:cs="宋体"/>
          <w:color w:val="auto"/>
          <w:spacing w:val="-91"/>
          <w:sz w:val="24"/>
          <w:highlight w:val="none"/>
          <w:lang w:eastAsia="en-US"/>
        </w:rPr>
        <w:t xml:space="preserve"> </w:t>
      </w:r>
      <w:r>
        <w:rPr>
          <w:rFonts w:hint="eastAsia" w:ascii="宋体" w:hAnsi="宋体" w:eastAsia="宋体" w:cs="宋体"/>
          <w:color w:val="auto"/>
          <w:spacing w:val="-8"/>
          <w:sz w:val="24"/>
          <w:highlight w:val="none"/>
          <w:lang w:eastAsia="en-US"/>
        </w:rPr>
        <w:t xml:space="preserve">月</w:t>
      </w:r>
      <w:r>
        <w:rPr>
          <w:rFonts w:hint="eastAsia" w:ascii="宋体" w:hAnsi="宋体" w:eastAsia="宋体" w:cs="宋体"/>
          <w:color w:val="auto"/>
          <w:sz w:val="24"/>
          <w:highlight w:val="none"/>
          <w:u w:val="single"/>
          <w:lang w:eastAsia="en-US"/>
        </w:rPr>
        <w:t xml:space="preserve">    </w:t>
      </w:r>
      <w:r>
        <w:rPr>
          <w:rFonts w:hint="eastAsia" w:ascii="宋体" w:hAnsi="宋体" w:eastAsia="宋体" w:cs="宋体"/>
          <w:color w:val="auto"/>
          <w:spacing w:val="-61"/>
          <w:sz w:val="24"/>
          <w:highlight w:val="none"/>
          <w:lang w:eastAsia="en-US"/>
        </w:rPr>
        <w:t xml:space="preserve"> </w:t>
      </w:r>
      <w:r>
        <w:rPr>
          <w:rFonts w:hint="eastAsia" w:ascii="宋体" w:hAnsi="宋体" w:eastAsia="宋体" w:cs="宋体"/>
          <w:color w:val="auto"/>
          <w:spacing w:val="-8"/>
          <w:sz w:val="24"/>
          <w:highlight w:val="none"/>
          <w:lang w:eastAsia="en-US"/>
        </w:rPr>
        <w:t xml:space="preserve">日</w:t>
      </w:r>
      <w:r>
        <w:rPr>
          <w:rFonts w:hint="eastAsia" w:ascii="宋体" w:hAnsi="宋体" w:eastAsia="宋体" w:cs="宋体"/>
          <w:color w:val="auto"/>
          <w:spacing w:val="-7"/>
          <w:sz w:val="24"/>
          <w:highlight w:val="none"/>
          <w:lang w:eastAsia="en-US"/>
        </w:rPr>
        <w:t xml:space="preserve">                       </w:t>
      </w:r>
      <w:r>
        <w:rPr>
          <w:rFonts w:hint="eastAsia" w:ascii="宋体" w:hAnsi="宋体" w:eastAsia="宋体" w:cs="宋体"/>
          <w:color w:val="auto"/>
          <w:spacing w:val="21"/>
          <w:sz w:val="24"/>
          <w:highlight w:val="none"/>
          <w:u w:val="single"/>
          <w:lang w:eastAsia="en-US"/>
        </w:rPr>
        <w:t xml:space="preserve">     </w:t>
      </w:r>
      <w:r>
        <w:rPr>
          <w:rFonts w:hint="eastAsia" w:ascii="宋体" w:hAnsi="宋体" w:eastAsia="宋体" w:cs="宋体"/>
          <w:color w:val="auto"/>
          <w:spacing w:val="-96"/>
          <w:sz w:val="24"/>
          <w:highlight w:val="none"/>
          <w:lang w:eastAsia="en-US"/>
        </w:rPr>
        <w:t xml:space="preserve"> </w:t>
      </w:r>
      <w:r>
        <w:rPr>
          <w:rFonts w:hint="eastAsia" w:ascii="宋体" w:hAnsi="宋体" w:eastAsia="宋体" w:cs="宋体"/>
          <w:color w:val="auto"/>
          <w:spacing w:val="-7"/>
          <w:sz w:val="24"/>
          <w:highlight w:val="none"/>
          <w:lang w:eastAsia="en-US"/>
        </w:rPr>
        <w:t xml:space="preserve">年</w:t>
      </w:r>
      <w:r>
        <w:rPr>
          <w:rFonts w:hint="eastAsia" w:ascii="宋体" w:hAnsi="宋体" w:eastAsia="宋体" w:cs="宋体"/>
          <w:color w:val="auto"/>
          <w:spacing w:val="34"/>
          <w:sz w:val="24"/>
          <w:highlight w:val="none"/>
          <w:u w:val="single"/>
          <w:lang w:eastAsia="en-US"/>
        </w:rPr>
        <w:t xml:space="preserve">   </w:t>
      </w:r>
      <w:r>
        <w:rPr>
          <w:rFonts w:hint="eastAsia" w:ascii="宋体" w:hAnsi="宋体" w:eastAsia="宋体" w:cs="宋体"/>
          <w:color w:val="auto"/>
          <w:spacing w:val="-91"/>
          <w:sz w:val="24"/>
          <w:highlight w:val="none"/>
          <w:lang w:eastAsia="en-US"/>
        </w:rPr>
        <w:t xml:space="preserve"> </w:t>
      </w:r>
      <w:r>
        <w:rPr>
          <w:rFonts w:hint="eastAsia" w:ascii="宋体" w:hAnsi="宋体" w:eastAsia="宋体" w:cs="宋体"/>
          <w:color w:val="auto"/>
          <w:spacing w:val="-8"/>
          <w:sz w:val="24"/>
          <w:highlight w:val="none"/>
          <w:lang w:eastAsia="en-US"/>
        </w:rPr>
        <w:t xml:space="preserve">月</w:t>
      </w:r>
      <w:r>
        <w:rPr>
          <w:rFonts w:hint="eastAsia" w:ascii="宋体" w:hAnsi="宋体" w:eastAsia="宋体" w:cs="宋体"/>
          <w:color w:val="auto"/>
          <w:sz w:val="24"/>
          <w:highlight w:val="none"/>
          <w:u w:val="single"/>
          <w:lang w:eastAsia="en-US"/>
        </w:rPr>
        <w:t xml:space="preserve">    </w:t>
      </w:r>
      <w:r>
        <w:rPr>
          <w:rFonts w:hint="eastAsia" w:ascii="宋体" w:hAnsi="宋体" w:eastAsia="宋体" w:cs="宋体"/>
          <w:color w:val="auto"/>
          <w:spacing w:val="-61"/>
          <w:sz w:val="24"/>
          <w:highlight w:val="none"/>
          <w:lang w:eastAsia="en-US"/>
        </w:rPr>
        <w:t xml:space="preserve"> </w:t>
      </w:r>
      <w:r>
        <w:rPr>
          <w:rFonts w:hint="eastAsia" w:ascii="宋体" w:hAnsi="宋体" w:eastAsia="宋体" w:cs="宋体"/>
          <w:color w:val="auto"/>
          <w:spacing w:val="-8"/>
          <w:sz w:val="24"/>
          <w:highlight w:val="none"/>
          <w:lang w:eastAsia="en-US"/>
        </w:rPr>
        <w:t xml:space="preserve">日</w:t>
      </w:r>
      <w:r/>
    </w:p>
    <w:p>
      <w:pPr>
        <w:ind w:left="0"/>
        <w:jc w:val="left"/>
        <w:spacing w:before="98" w:line="219" w:lineRule="auto"/>
        <w:widowControl/>
        <w:rPr>
          <w:rFonts w:hint="eastAsia" w:ascii="宋体" w:hAnsi="宋体" w:eastAsia="宋体" w:cs="宋体"/>
          <w:b/>
          <w:bCs/>
          <w:color w:val="auto"/>
          <w:spacing w:val="-6"/>
          <w:sz w:val="30"/>
          <w:szCs w:val="30"/>
          <w:highlight w:val="none"/>
          <w:lang w:eastAsia="en-US"/>
        </w:rPr>
      </w:pPr>
      <w:r/>
      <w:bookmarkStart w:id="889" w:name="_Toc99301426"/>
      <w:r>
        <w:rPr>
          <w:rFonts w:hint="eastAsia" w:ascii="宋体" w:hAnsi="宋体" w:cs="宋体"/>
          <w:b/>
          <w:bCs/>
          <w:color w:val="auto"/>
          <w:spacing w:val="-6"/>
          <w:sz w:val="30"/>
          <w:szCs w:val="30"/>
          <w:highlight w:val="none"/>
          <w:lang w:val="en-US" w:eastAsia="en-US"/>
        </w:rPr>
        <w:t xml:space="preserve">附件3：          </w:t>
      </w:r>
      <w:r>
        <w:rPr>
          <w:rFonts w:hint="eastAsia" w:ascii="宋体" w:hAnsi="宋体" w:eastAsia="宋体" w:cs="宋体"/>
          <w:b/>
          <w:bCs/>
          <w:color w:val="auto"/>
          <w:spacing w:val="-6"/>
          <w:sz w:val="30"/>
          <w:szCs w:val="30"/>
          <w:highlight w:val="none"/>
          <w:lang w:eastAsia="en-US"/>
        </w:rPr>
        <w:t xml:space="preserve">投标人拟投入设备情况一览表</w:t>
      </w:r>
      <w:r/>
    </w:p>
    <w:p>
      <w:pPr>
        <w:jc w:val="left"/>
        <w:spacing w:before="27"/>
        <w:widowControl/>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tbl>
      <w:tblPr>
        <w:tblStyle w:val="136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58"/>
        <w:gridCol w:w="742"/>
        <w:gridCol w:w="744"/>
        <w:gridCol w:w="744"/>
        <w:gridCol w:w="742"/>
        <w:gridCol w:w="781"/>
        <w:gridCol w:w="744"/>
        <w:gridCol w:w="744"/>
        <w:gridCol w:w="742"/>
        <w:gridCol w:w="748"/>
        <w:gridCol w:w="753"/>
        <w:gridCol w:w="753"/>
        <w:gridCol w:w="753"/>
      </w:tblGrid>
      <w:tr>
        <w:trPr>
          <w:trHeight w:val="1604"/>
        </w:trPr>
        <w:tc>
          <w:tcPr>
            <w:tcW w:w="389"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序号</w:t>
            </w:r>
            <w:r/>
          </w:p>
        </w:tc>
        <w:tc>
          <w:tcPr>
            <w:tcW w:w="380"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设备名</w:t>
            </w:r>
            <w:r>
              <w:rPr>
                <w:rFonts w:hint="eastAsia" w:ascii="宋体" w:hAnsi="宋体" w:eastAsia="宋体" w:cs="宋体"/>
                <w:color w:val="auto"/>
                <w:sz w:val="21"/>
                <w:szCs w:val="21"/>
                <w:highlight w:val="none"/>
                <w:lang w:eastAsia="en-US"/>
              </w:rPr>
              <w:t xml:space="preserve">称</w:t>
            </w:r>
            <w:r/>
          </w:p>
        </w:tc>
        <w:tc>
          <w:tcPr>
            <w:tcW w:w="381"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车牌号</w:t>
            </w:r>
            <w:r>
              <w:rPr>
                <w:rFonts w:hint="eastAsia" w:ascii="宋体" w:hAnsi="宋体" w:eastAsia="宋体" w:cs="宋体"/>
                <w:color w:val="auto"/>
                <w:sz w:val="21"/>
                <w:szCs w:val="21"/>
                <w:highlight w:val="none"/>
                <w:lang w:eastAsia="en-US"/>
              </w:rPr>
              <w:t xml:space="preserve">码</w:t>
            </w:r>
            <w:r/>
          </w:p>
        </w:tc>
        <w:tc>
          <w:tcPr>
            <w:tcW w:w="381"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行驶证核定载</w:t>
            </w:r>
            <w:r>
              <w:rPr>
                <w:rFonts w:hint="eastAsia" w:ascii="宋体" w:hAnsi="宋体" w:eastAsia="宋体" w:cs="宋体"/>
                <w:color w:val="auto"/>
                <w:spacing w:val="48"/>
                <w:sz w:val="21"/>
                <w:szCs w:val="21"/>
                <w:highlight w:val="none"/>
                <w:lang w:eastAsia="en-US"/>
              </w:rPr>
              <w:t xml:space="preserve">质量</w:t>
            </w:r>
            <w:r/>
          </w:p>
        </w:tc>
        <w:tc>
          <w:tcPr>
            <w:tcW w:w="380"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6"/>
                <w:sz w:val="21"/>
                <w:szCs w:val="21"/>
                <w:highlight w:val="none"/>
                <w:lang w:eastAsia="en-US"/>
              </w:rPr>
              <w:t xml:space="preserve">行驶证</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7"/>
                <w:sz w:val="21"/>
                <w:szCs w:val="21"/>
                <w:highlight w:val="none"/>
                <w:lang w:eastAsia="en-US"/>
              </w:rPr>
              <w:t xml:space="preserve">核定载</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人数</w:t>
            </w:r>
            <w:r/>
          </w:p>
        </w:tc>
        <w:tc>
          <w:tcPr>
            <w:tcW w:w="400"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6"/>
                <w:sz w:val="21"/>
                <w:szCs w:val="21"/>
                <w:highlight w:val="none"/>
                <w:lang w:eastAsia="en-US"/>
              </w:rPr>
              <w:t xml:space="preserve">行驶证</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7"/>
                <w:sz w:val="21"/>
                <w:szCs w:val="21"/>
                <w:highlight w:val="none"/>
                <w:lang w:eastAsia="en-US"/>
              </w:rPr>
              <w:t xml:space="preserve">车辆类</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型</w:t>
            </w:r>
            <w:r/>
          </w:p>
        </w:tc>
        <w:tc>
          <w:tcPr>
            <w:tcW w:w="381"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行驶证</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整备质</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量</w:t>
            </w:r>
            <w:r/>
          </w:p>
        </w:tc>
        <w:tc>
          <w:tcPr>
            <w:tcW w:w="381"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行驶证</w:t>
            </w:r>
            <w:r>
              <w:rPr>
                <w:rFonts w:hint="eastAsia" w:ascii="宋体" w:hAnsi="宋体" w:eastAsia="宋体" w:cs="宋体"/>
                <w:color w:val="auto"/>
                <w:spacing w:val="-4"/>
                <w:sz w:val="21"/>
                <w:szCs w:val="21"/>
                <w:highlight w:val="none"/>
                <w:lang w:eastAsia="en-US"/>
              </w:rPr>
              <w:t xml:space="preserve">总质量</w:t>
            </w:r>
            <w:r/>
          </w:p>
        </w:tc>
        <w:tc>
          <w:tcPr>
            <w:tcW w:w="380"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规格及</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生产能</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力</w:t>
            </w:r>
            <w:r/>
          </w:p>
        </w:tc>
        <w:tc>
          <w:tcPr>
            <w:tcW w:w="38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4"/>
                <w:sz w:val="21"/>
                <w:szCs w:val="21"/>
                <w:highlight w:val="none"/>
                <w:lang w:eastAsia="en-US"/>
              </w:rPr>
              <w:t xml:space="preserve">自有/</w:t>
            </w:r>
            <w:r>
              <w:rPr>
                <w:rFonts w:hint="eastAsia" w:ascii="宋体" w:hAnsi="宋体" w:eastAsia="宋体" w:cs="宋体"/>
                <w:color w:val="auto"/>
                <w:spacing w:val="-2"/>
                <w:sz w:val="21"/>
                <w:szCs w:val="21"/>
                <w:highlight w:val="none"/>
                <w:lang w:eastAsia="en-US"/>
              </w:rPr>
              <w:t xml:space="preserve">租赁</w:t>
            </w:r>
            <w:r/>
          </w:p>
        </w:tc>
        <w:tc>
          <w:tcPr>
            <w:tcW w:w="386" w:type="pct"/>
            <w:vAlign w:val="center"/>
            <w:textDirection w:val="lrTb"/>
            <w:noWrap w:val="false"/>
          </w:tcPr>
          <w:p>
            <w:pPr>
              <w:pStyle w:val="879"/>
              <w:ind w:left="0" w:right="0" w:firstLine="0"/>
              <w:jc w:val="center"/>
              <w:keepLines w:val="0"/>
              <w:keepNext w:val="0"/>
              <w:pageBreakBefore w:val="0"/>
              <w:spacing w:line="240" w:lineRule="auto"/>
              <w:widowControl w:val="off"/>
              <w:rPr>
                <w:rFonts w:hint="eastAsia"/>
                <w:color w:val="auto"/>
                <w:highlight w:val="none"/>
                <w:lang w:val="en-US" w:eastAsia="zh-CN"/>
              </w:rPr>
            </w:pPr>
            <w:r>
              <w:rPr>
                <w:rFonts w:hint="eastAsia" w:ascii="宋体" w:hAnsi="宋体" w:cs="宋体"/>
                <w:color w:val="auto"/>
                <w:spacing w:val="-14"/>
                <w:sz w:val="21"/>
                <w:szCs w:val="21"/>
                <w:highlight w:val="none"/>
                <w:lang w:val="en-US" w:eastAsia="zh-CN"/>
              </w:rPr>
              <w:t xml:space="preserve">备注（</w:t>
            </w:r>
            <w:r>
              <w:rPr>
                <w:rFonts w:hint="eastAsia"/>
                <w:color w:val="auto"/>
                <w:highlight w:val="none"/>
                <w:lang w:val="en-US" w:eastAsia="zh-CN"/>
              </w:rPr>
              <w:t xml:space="preserve">登高车填升降高度</w:t>
            </w:r>
            <w:r/>
          </w:p>
          <w:p>
            <w:pPr>
              <w:ind w:left="0" w:right="0" w:firstLine="0"/>
              <w:jc w:val="center"/>
              <w:keepLines w:val="0"/>
              <w:keepNext w:val="0"/>
              <w:pageBreakBefore w:val="0"/>
              <w:spacing w:line="240" w:lineRule="auto"/>
              <w:widowControl w:val="off"/>
              <w:rPr>
                <w:rFonts w:hint="eastAsia" w:ascii="宋体" w:hAnsi="宋体" w:eastAsia="宋体" w:cs="宋体"/>
                <w:color w:val="auto"/>
                <w:spacing w:val="-14"/>
                <w:sz w:val="21"/>
                <w:szCs w:val="21"/>
                <w:highlight w:val="none"/>
                <w:lang w:val="en-US" w:eastAsia="zh-CN"/>
              </w:rPr>
            </w:pPr>
            <w:r>
              <w:rPr>
                <w:rFonts w:hint="eastAsia" w:ascii="Calibri" w:eastAsia="宋体"/>
                <w:color w:val="auto"/>
                <w:highlight w:val="none"/>
                <w:lang w:val="en-US" w:eastAsia="zh-CN"/>
              </w:rPr>
              <w:t xml:space="preserve">防撞车填防撞力</w:t>
            </w:r>
            <w:r>
              <w:rPr>
                <w:rFonts w:hint="eastAsia" w:ascii="宋体" w:hAnsi="宋体" w:cs="宋体"/>
                <w:color w:val="auto"/>
                <w:spacing w:val="-14"/>
                <w:sz w:val="21"/>
                <w:szCs w:val="21"/>
                <w:highlight w:val="none"/>
                <w:lang w:val="en-US" w:eastAsia="zh-CN"/>
              </w:rPr>
              <w:t xml:space="preserve">）</w:t>
            </w:r>
            <w:r/>
          </w:p>
        </w:tc>
        <w:tc>
          <w:tcPr>
            <w:shd w:val="clear" w:color="auto" w:fill="auto"/>
            <w:tcW w:w="386" w:type="pct"/>
            <w:vAlign w:val="center"/>
            <w:textDirection w:val="lrTb"/>
            <w:noWrap w:val="false"/>
          </w:tcPr>
          <w:p>
            <w:pPr>
              <w:ind w:left="0" w:right="0" w:firstLine="0"/>
              <w:jc w:val="center"/>
              <w:keepLines w:val="0"/>
              <w:keepNext w:val="0"/>
              <w:pageBreakBefore w:val="0"/>
              <w:spacing w:line="240" w:lineRule="auto"/>
              <w:widowControl w:val="off"/>
              <w:rPr>
                <w:rFonts w:hint="eastAsia" w:ascii="Calibri" w:hAnsi="Calibri" w:eastAsia="宋体" w:cs="宋体"/>
                <w:color w:val="auto"/>
                <w:sz w:val="21"/>
                <w:szCs w:val="24"/>
                <w:highlight w:val="none"/>
                <w:lang w:val="en-US" w:eastAsia="zh-CN" w:bidi="ar-SA"/>
              </w:rPr>
            </w:pPr>
            <w:r>
              <w:rPr>
                <w:rFonts w:hint="eastAsia"/>
                <w:color w:val="auto"/>
                <w:highlight w:val="none"/>
                <w:lang w:val="en-US" w:eastAsia="zh-CN"/>
              </w:rPr>
              <w:t xml:space="preserve">车辆驾驶人员姓名</w:t>
            </w:r>
            <w:r/>
          </w:p>
        </w:tc>
        <w:tc>
          <w:tcPr>
            <w:shd w:val="clear" w:color="auto" w:fill="auto"/>
            <w:tcW w:w="386" w:type="pct"/>
            <w:vAlign w:val="center"/>
            <w:textDirection w:val="lrTb"/>
            <w:noWrap w:val="false"/>
          </w:tcPr>
          <w:p>
            <w:pPr>
              <w:ind w:left="0" w:right="0" w:firstLine="0"/>
              <w:jc w:val="center"/>
              <w:keepLines w:val="0"/>
              <w:keepNext w:val="0"/>
              <w:pageBreakBefore w:val="0"/>
              <w:spacing w:line="240" w:lineRule="auto"/>
              <w:widowControl w:val="off"/>
              <w:rPr>
                <w:rFonts w:hint="eastAsia" w:ascii="Calibri" w:hAnsi="Calibri" w:eastAsia="宋体" w:cs="宋体"/>
                <w:color w:val="auto"/>
                <w:sz w:val="21"/>
                <w:szCs w:val="24"/>
                <w:highlight w:val="none"/>
                <w:lang w:val="en-US" w:eastAsia="zh-CN" w:bidi="ar-SA"/>
              </w:rPr>
            </w:pPr>
            <w:r>
              <w:rPr>
                <w:rFonts w:hint="eastAsia"/>
                <w:color w:val="auto"/>
                <w:highlight w:val="none"/>
                <w:lang w:val="en-US" w:eastAsia="zh-CN"/>
              </w:rPr>
              <w:t xml:space="preserve">车辆驾驶员驾驶证等级</w:t>
            </w:r>
            <w:r/>
          </w:p>
        </w:tc>
      </w:tr>
      <w:tr>
        <w:trPr>
          <w:trHeight w:val="530"/>
        </w:trPr>
        <w:tc>
          <w:tcPr>
            <w:tcW w:w="389"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40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3"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30"/>
        </w:trPr>
        <w:tc>
          <w:tcPr>
            <w:tcW w:w="389"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40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3"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30"/>
        </w:trPr>
        <w:tc>
          <w:tcPr>
            <w:tcW w:w="389"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40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3"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27"/>
        </w:trPr>
        <w:tc>
          <w:tcPr>
            <w:tcW w:w="389"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40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3"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30"/>
        </w:trPr>
        <w:tc>
          <w:tcPr>
            <w:tcW w:w="389"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40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3"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30"/>
        </w:trPr>
        <w:tc>
          <w:tcPr>
            <w:tcW w:w="389"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40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3"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30"/>
        </w:trPr>
        <w:tc>
          <w:tcPr>
            <w:tcW w:w="389"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40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3"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30"/>
        </w:trPr>
        <w:tc>
          <w:tcPr>
            <w:tcW w:w="389"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40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3"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34"/>
        </w:trPr>
        <w:tc>
          <w:tcPr>
            <w:tcW w:w="389"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40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1"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0"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3"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386"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bl>
    <w:p>
      <w:pPr>
        <w:ind w:left="117" w:right="108"/>
        <w:jc w:val="left"/>
        <w:spacing w:before="178" w:line="371" w:lineRule="auto"/>
        <w:widowControl/>
        <w:rPr>
          <w:rFonts w:hint="eastAsia" w:ascii="宋体" w:hAnsi="宋体" w:eastAsia="宋体" w:cs="宋体"/>
          <w:b/>
          <w:bCs/>
          <w:color w:val="auto"/>
          <w:spacing w:val="-8"/>
          <w:sz w:val="24"/>
          <w:highlight w:val="none"/>
          <w:lang w:eastAsia="en-US"/>
        </w:rPr>
      </w:pPr>
      <w:r>
        <w:rPr>
          <w:rFonts w:hint="eastAsia" w:ascii="宋体" w:hAnsi="宋体" w:eastAsia="宋体" w:cs="宋体"/>
          <w:b/>
          <w:bCs/>
          <w:color w:val="auto"/>
          <w:spacing w:val="-2"/>
          <w:sz w:val="24"/>
          <w:highlight w:val="none"/>
          <w:lang w:eastAsia="en-US"/>
        </w:rPr>
        <w:t xml:space="preserve">注：</w:t>
      </w:r>
      <w:r>
        <w:rPr>
          <w:rFonts w:hint="eastAsia" w:ascii="宋体" w:hAnsi="宋体" w:cs="宋体"/>
          <w:b/>
          <w:bCs/>
          <w:color w:val="auto"/>
          <w:spacing w:val="-2"/>
          <w:sz w:val="24"/>
          <w:highlight w:val="none"/>
          <w:lang w:val="en-US" w:eastAsia="zh-CN"/>
        </w:rPr>
        <w:t xml:space="preserve">1、</w:t>
      </w:r>
      <w:r>
        <w:rPr>
          <w:rFonts w:hint="eastAsia" w:ascii="宋体" w:hAnsi="宋体" w:eastAsia="宋体" w:cs="宋体"/>
          <w:b/>
          <w:bCs/>
          <w:color w:val="auto"/>
          <w:spacing w:val="-2"/>
          <w:sz w:val="24"/>
          <w:highlight w:val="none"/>
          <w:lang w:eastAsia="en-US"/>
        </w:rPr>
        <w:t xml:space="preserve">投标人应根据招标文件评标标准要求和采购需求填写本表，并按要求在本表后提供相关</w:t>
      </w:r>
      <w:r>
        <w:rPr>
          <w:rFonts w:hint="eastAsia" w:ascii="宋体" w:hAnsi="宋体" w:eastAsia="宋体" w:cs="宋体"/>
          <w:b/>
          <w:bCs/>
          <w:color w:val="auto"/>
          <w:spacing w:val="-8"/>
          <w:sz w:val="24"/>
          <w:highlight w:val="none"/>
          <w:lang w:eastAsia="en-US"/>
        </w:rPr>
        <w:t xml:space="preserve">证明材料。</w:t>
      </w:r>
      <w:r/>
    </w:p>
    <w:p>
      <w:pPr>
        <w:ind w:left="117" w:right="108"/>
        <w:jc w:val="left"/>
        <w:spacing w:before="178" w:line="371" w:lineRule="auto"/>
        <w:widowControl/>
        <w:rPr>
          <w:rFonts w:hint="eastAsia" w:ascii="宋体" w:hAnsi="宋体" w:eastAsia="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2、在本表中需注明自有车辆和租赁车辆。</w:t>
      </w:r>
      <w:r/>
    </w:p>
    <w:p>
      <w:pPr>
        <w:jc w:val="left"/>
        <w:spacing w:line="315" w:lineRule="auto"/>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jc w:val="left"/>
        <w:spacing w:line="315" w:lineRule="auto"/>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p>
      <w:pPr>
        <w:ind w:left="119"/>
        <w:jc w:val="left"/>
        <w:spacing w:before="68" w:line="214" w:lineRule="auto"/>
        <w:widowControl/>
        <w:rPr>
          <w:rFonts w:hint="eastAsia" w:ascii="宋体" w:hAnsi="宋体" w:eastAsia="宋体" w:cs="宋体"/>
          <w:color w:val="auto"/>
          <w:szCs w:val="21"/>
          <w:highlight w:val="none"/>
          <w:lang w:eastAsia="en-US"/>
        </w:rPr>
      </w:pPr>
      <w:r>
        <w:rPr>
          <w:rFonts w:hint="eastAsia" w:ascii="宋体" w:hAnsi="宋体" w:cs="宋体"/>
          <w:color w:val="auto"/>
          <w:spacing w:val="-2"/>
          <w:szCs w:val="21"/>
          <w:highlight w:val="none"/>
          <w:lang w:val="en-US" w:eastAsia="zh-CN"/>
        </w:rPr>
        <w:t xml:space="preserve">承包人</w:t>
      </w:r>
      <w:r>
        <w:rPr>
          <w:rFonts w:hint="eastAsia" w:ascii="宋体" w:hAnsi="宋体" w:eastAsia="宋体" w:cs="宋体"/>
          <w:color w:val="auto"/>
          <w:spacing w:val="-2"/>
          <w:szCs w:val="21"/>
          <w:highlight w:val="none"/>
          <w:lang w:eastAsia="en-US"/>
        </w:rPr>
        <w:t xml:space="preserve">（加盖公章</w:t>
      </w:r>
      <w:r>
        <w:rPr>
          <w:rFonts w:hint="eastAsia" w:ascii="宋体" w:hAnsi="宋体" w:eastAsia="宋体" w:cs="宋体"/>
          <w:color w:val="auto"/>
          <w:spacing w:val="-34"/>
          <w:szCs w:val="21"/>
          <w:highlight w:val="none"/>
          <w:lang w:eastAsia="en-US"/>
        </w:rPr>
        <w:t xml:space="preserve">）：</w:t>
      </w:r>
      <w:r>
        <w:rPr>
          <w:rFonts w:hint="eastAsia" w:ascii="宋体" w:hAnsi="宋体" w:eastAsia="宋体" w:cs="宋体"/>
          <w:color w:val="auto"/>
          <w:spacing w:val="-2"/>
          <w:szCs w:val="21"/>
          <w:highlight w:val="none"/>
          <w:lang w:eastAsia="en-US"/>
        </w:rPr>
        <w:t xml:space="preserve">__________</w:t>
      </w:r>
      <w:r>
        <w:rPr>
          <w:rFonts w:hint="eastAsia" w:ascii="宋体" w:hAnsi="宋体" w:eastAsia="宋体" w:cs="宋体"/>
          <w:color w:val="auto"/>
          <w:spacing w:val="-3"/>
          <w:szCs w:val="21"/>
          <w:highlight w:val="none"/>
          <w:lang w:eastAsia="en-US"/>
        </w:rPr>
        <w:t xml:space="preserve">__</w:t>
      </w:r>
      <w:r/>
    </w:p>
    <w:p>
      <w:pPr>
        <w:ind w:left="153"/>
        <w:jc w:val="left"/>
        <w:spacing w:before="189" w:line="214" w:lineRule="auto"/>
        <w:widowControl/>
        <w:rPr>
          <w:rFonts w:hint="eastAsia" w:ascii="宋体" w:hAnsi="宋体" w:eastAsia="宋体" w:cs="宋体"/>
          <w:color w:val="auto"/>
          <w:szCs w:val="21"/>
          <w:highlight w:val="none"/>
          <w:lang w:eastAsia="en-US"/>
        </w:rPr>
      </w:pPr>
      <w:r>
        <w:rPr>
          <w:rFonts w:hint="eastAsia" w:ascii="宋体" w:hAnsi="宋体" w:eastAsia="宋体" w:cs="宋体"/>
          <w:color w:val="auto"/>
          <w:spacing w:val="-2"/>
          <w:szCs w:val="21"/>
          <w:highlight w:val="none"/>
          <w:lang w:eastAsia="en-US"/>
        </w:rPr>
        <w:t xml:space="preserve">日期：_____年______月______</w:t>
      </w:r>
      <w:r>
        <w:rPr>
          <w:rFonts w:hint="eastAsia" w:ascii="宋体" w:hAnsi="宋体" w:eastAsia="宋体" w:cs="宋体"/>
          <w:color w:val="auto"/>
          <w:spacing w:val="-58"/>
          <w:szCs w:val="21"/>
          <w:highlight w:val="none"/>
          <w:lang w:eastAsia="en-US"/>
        </w:rPr>
        <w:t xml:space="preserve"> </w:t>
      </w:r>
      <w:r>
        <w:rPr>
          <w:rFonts w:hint="eastAsia" w:ascii="宋体" w:hAnsi="宋体" w:eastAsia="宋体" w:cs="宋体"/>
          <w:color w:val="auto"/>
          <w:spacing w:val="-2"/>
          <w:szCs w:val="21"/>
          <w:highlight w:val="none"/>
          <w:lang w:eastAsia="en-US"/>
        </w:rPr>
        <w:t xml:space="preserve">日</w:t>
      </w:r>
      <w:r/>
    </w:p>
    <w:p>
      <w:pPr>
        <w:spacing w:line="214" w:lineRule="auto"/>
        <w:rPr>
          <w:rFonts w:hint="eastAsia" w:ascii="宋体" w:hAnsi="宋体" w:eastAsia="宋体" w:cs="宋体"/>
          <w:color w:val="auto"/>
          <w:szCs w:val="21"/>
          <w:highlight w:val="none"/>
        </w:rPr>
        <w:sectPr>
          <w:footerReference w:type="default" r:id="rId23"/>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rPr>
        <w:t xml:space="preserve">、常州市金坛区公路绿化养护管理考核办法</w:t>
      </w:r>
      <w:r/>
    </w:p>
    <w:p>
      <w:pPr>
        <w:ind w:firstLine="420"/>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为提高我区公路绿化养护质量和管理水平，巩固公路绿化成果，规范公路绿化养护管理考核工作，依据国家、省、市、区有关规范性文件，特制定本办法。</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检查考核的范围</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通过养护合同确定的金坛区公路绿化养护路段。</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检查考核内容</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公路绿化养护管理综合考核实行百分制，满分为100分，得分为月度检查分值的平均值。考核内容详见附表《金坛区公路绿化养护管理考核表》。</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检查考核的要求</w:t>
      </w:r>
      <w:r/>
    </w:p>
    <w:p>
      <w:pPr>
        <w:ind w:firstLine="480"/>
        <w:jc w:val="both"/>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州市金坛区公路事业发展中心每月进行养护检查，每季度组织一次养护质量考核。检查考核结束后，对考核结果进行下发，并对养护缺陷项目下达“公路绿化养护缺陷限期整改通知书”，养护企业应在规定期限内整改到位。养护单位有以下情形之一的，核减相应的养护经费并在季度考核中扣分：</w:t>
      </w:r>
      <w:r/>
    </w:p>
    <w:p>
      <w:pPr>
        <w:ind w:firstLine="480"/>
        <w:jc w:val="both"/>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1、养护产生的养护垃圾(如养护修剪废弃物等),各类枯枝落叶等必须及时清理，做到人走场清，如发现处理不到位的核减违约金2000元/次。</w:t>
      </w:r>
      <w:r/>
    </w:p>
    <w:p>
      <w:pPr>
        <w:ind w:firstLine="480"/>
        <w:jc w:val="both"/>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2、涉路养护作业，必须按照相关规定、文件要求规范设置安全设施、现场管理有序；所有作业人员必须统一身着有明显作业单位标识的工作服，不符合要求的，核减违约金2000元/次。</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3、擅自使用化学除草药剂的，核减违约金5000元/次。</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4、因养护单位的原因造成苗木受损及死亡，所造成的损失由乙方承担并恢复，或在结算养护费时按照数量和合同单价作相应扣除。</w:t>
      </w:r>
      <w:r/>
    </w:p>
    <w:p>
      <w:pPr>
        <w:ind w:firstLine="480"/>
        <w:jc w:val="both"/>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5、因养护单位的原因造成区公路中心被区级及以上单位扣分或通报的，核减违约金5000元/次。</w:t>
      </w:r>
      <w:r/>
    </w:p>
    <w:p>
      <w:pPr>
        <w:ind w:firstLine="480"/>
        <w:jc w:val="both"/>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6、在正常养护时段包段存在人员缺勤情况，不超过承诺人数30%的，核减违约金1000元/人次.</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7、养护单位未按时保质保量完成养护迎检工作和管理单位临时布置的任务，未完成或组织不到位、养护效果不佳一次扣20000元。</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养护资金拨付</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公路绿化养护资金半年支付一次，由区公路事业发展中心全年分两次、经季度考核后根据考核情况拨付给绿化养护企业。季度养护经费的拨付与公路绿化养护管理综合考核得分挂钩，具体方法如下：</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1、考核得分大于等于85分，全额拨付本季度计划养护资金；</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2、考核得分小于85分并且大于70的，每低1分扣除本季度养护经费1%； </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3、考核得分等于70分，拨付本季度计划养护资金的70%；</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4、考核得分小于70分，考核为不合格，停拨本季度的养护经费，并通报批评；如在整改期限内整改到位，将补拨本季度50%的养护经费；</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5、移、补植费用最终根据甲方确认的申报、计量单在养护期满一年后按照本合同约定支付。</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出现下列情况之一的，甲方有权解除合同且养护费用终止支付。</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1、年度内2次检查考核低于70分；</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2、进行转包或分包的；</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3、在正常养护时段包段缺勤人数超过承诺人数30%的；</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4、合同期内连续两次被通报或被下达整改通知书且整改不到位的；</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5、同一工作质量问题连续3次未能整改的；</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6、因工作质量问题，被新闻媒体曝光且整改不及时、不到位的，且情节严重，问题突出的；</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7、养护单位有其他违约情形导致区公路中心签订合同的目的不能实现的。</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在合同履行到期或因其他情况终止合同的，乙方在撤场前必须按照甲方要求做好交接工作。擅自撤场的，甲方停拨养护经费。</w:t>
      </w:r>
      <w:r/>
    </w:p>
    <w:p>
      <w:pPr>
        <w:ind w:firstLine="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本办法由常州市金坛区公路事业发展中心负责解释，自颁布之日起施行。</w:t>
      </w:r>
      <w:r/>
    </w:p>
    <w:p>
      <w:pPr>
        <w:ind w:firstLine="400"/>
        <w:spacing w:line="380" w:lineRule="exact"/>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left"/>
        <w:rPr>
          <w:rFonts w:hint="eastAsia" w:ascii="宋体" w:hAnsi="宋体" w:eastAsia="宋体" w:cs="宋体"/>
          <w:color w:val="auto"/>
          <w:sz w:val="20"/>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0"/>
          <w:highlight w:val="none"/>
        </w:rPr>
      </w:r>
      <w:r/>
    </w:p>
    <w:p>
      <w:pPr>
        <w:spacing w:line="38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附：《常州市金坛区绿地养护内容及操作要求》及其他</w:t>
      </w:r>
      <w:r/>
    </w:p>
    <w:p>
      <w:pPr>
        <w:ind w:firstLine="600"/>
        <w:spacing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8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《常州市金坛区绿地养护内容及操作要求》及其他</w:t>
      </w:r>
      <w:r/>
    </w:p>
    <w:p>
      <w:pPr>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附件1</w:t>
      </w:r>
      <w:r>
        <w:rPr>
          <w:rFonts w:hint="eastAsia" w:ascii="宋体" w:hAnsi="宋体" w:eastAsia="宋体" w:cs="宋体"/>
          <w:color w:val="auto"/>
          <w:sz w:val="30"/>
          <w:szCs w:val="30"/>
          <w:highlight w:val="none"/>
        </w:rPr>
        <w:t xml:space="preserve">：</w:t>
      </w:r>
      <w:r/>
    </w:p>
    <w:p>
      <w:pPr>
        <w:jc w:val="center"/>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金坛区绿化养护管理技术规范</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1.树木（乔木、灌木）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养护管理内容包括：浇灌与排水，整形与修剪，病虫害防治，松土与除草，施肥，支撑、防护与涂白，切边和留积水穴，复壮、补植与调整等。</w:t>
      </w:r>
      <w:r/>
    </w:p>
    <w:p>
      <w:pPr>
        <w:spacing w:line="380" w:lineRule="exact"/>
        <w:rPr>
          <w:rFonts w:hint="eastAsia" w:ascii="宋体" w:hAnsi="宋体" w:eastAsia="宋体" w:cs="宋体"/>
          <w:color w:val="auto"/>
          <w:sz w:val="24"/>
          <w:szCs w:val="24"/>
          <w:highlight w:val="none"/>
        </w:rPr>
      </w:pPr>
      <w:r/>
      <w:bookmarkStart w:id="890" w:name="_Toc332180819"/>
      <w:r>
        <w:rPr>
          <w:rFonts w:hint="eastAsia" w:ascii="宋体" w:hAnsi="宋体" w:eastAsia="宋体" w:cs="宋体"/>
          <w:color w:val="auto"/>
          <w:sz w:val="24"/>
          <w:szCs w:val="24"/>
          <w:highlight w:val="none"/>
        </w:rPr>
        <w:t xml:space="preserve">1.1浇灌与排水</w:t>
      </w:r>
      <w:bookmarkEnd w:id="890"/>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浇水应根据树木生物学特性、长势、季节和土质状况，做到适树、适地、适时、适量浇灌。夏季中午气温较高和冬季早晚气温较低时不宜浇水。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浇灌次数应根据气候、土壤墒情、植物特性和长势等具体情况确定。干旱季节宜多灌，雨季少灌或不灌；发芽生长期可多灌，休眠期前适当控制水量。</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树木每年浇水20次以上，5月至10月期间，连续7天无降雨应浇透水1次，气温连续35℃以上每2天浇水1次，冬季休眠前浇防冻水至少1次。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浇灌前应先松土，以浇透为宜，水分应渗透至树木根部。补（移）植树木高温干旱时应进行叶面喷雾或树干保湿。</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根部积水应及时排出。耐涝性差树木应该在2小时内排除积水，低洼易积水处应设置排水沟。</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1.1.5水源不得含有毒物质，提倡使用中水、雨水和河水浇灌。</w:t>
      </w:r>
      <w:r/>
    </w:p>
    <w:p>
      <w:pPr>
        <w:spacing w:line="380" w:lineRule="exact"/>
        <w:rPr>
          <w:rFonts w:hint="eastAsia" w:ascii="宋体" w:hAnsi="宋体" w:eastAsia="宋体" w:cs="宋体"/>
          <w:color w:val="auto"/>
          <w:sz w:val="24"/>
          <w:szCs w:val="24"/>
          <w:highlight w:val="none"/>
        </w:rPr>
      </w:pPr>
      <w:r/>
      <w:bookmarkStart w:id="891" w:name="_Toc332180820"/>
      <w:r>
        <w:rPr>
          <w:rFonts w:hint="eastAsia" w:ascii="宋体" w:hAnsi="宋体" w:eastAsia="宋体" w:cs="宋体"/>
          <w:color w:val="auto"/>
          <w:sz w:val="24"/>
          <w:szCs w:val="24"/>
          <w:highlight w:val="none"/>
        </w:rPr>
        <w:t xml:space="preserve">1.2 整形与修剪</w:t>
      </w:r>
      <w:bookmarkEnd w:id="891"/>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依据园林绿化功能和设计的需要，在不违背树木的生长特性和自然分枝规律的前提下（特型树木除外），根据树木品种、生长阶段、生长势强弱、花芽着生部位、开花季节等生物学特性进行修剪。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自然型树木的修剪应以树木自然分枝习性所形成的树冠形状为基础进行修剪。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造型树木的修剪应根据园林绿化对树木的特定要求，控制树木部分枝干，保持树木的原有形态。</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1.2.3花芽着生于生枝条即早春开花植物应在花谢后进行修剪。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休眠期修剪以整形为主，适宜进行中剪或重剪。需要整形的树木，在幼年和成熟阶段，每年应整形修剪1次；衰老阶段，2-3年进行1次复壮修剪，促进更新。生长势和萌芽力弱以及成枝率低的树种，修剪量和修剪频率应适当降低，宜进行轻度疏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落叶树木修剪时期为树木落叶后至萌芽前;常绿阔叶树木或抗寒力差树种应在秋季新梢停止生长至休眠前或春芽萌动前进行修剪;观枝观叶植物如红瑞木、山麻杆等，应在早春萌动前抽除过密弱枝和枯老枝; 花芽着生于当年生枝条即夏季或秋季开花植物应在冬季或早春以短截和疏枝相结合方法进行修剪。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生长期修剪以调整树势为主，适宜轻剪。需要整形的，生长期应修剪3次以上。易伤流树种的修剪应避开生长旺盛期。根据树木的生长特性和不同要求进行疏枝、剥芽、摘心等。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观果植物如木瓜海棠、石榴、山楂等，应及时摘心、抹芽和摘蕾，促使植物保持中庸树势，有利于花芽分化。</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花芽着生于生枝条即早春开花植物，应在花谢后进行修剪，花芽着生于多年生枝条上的，如紫荆、贴梗海棠等，应于早春花后将枝条进行轻剪，生长季节进行摘心处理。</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 修剪应去除徒长枝、病虫枝、交叉枝、并生枝、下垂枝、扭伤枝以及枯枝和烂头。嫁接的树木必须及时除去砧木的萌蘖枝。遇有架空线者应按杯状形修剪。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 修剪切口要平整，疏枝必须自枝条基部修除,不留短桩。大枝短截应分段截枝。直径2cm以上的截面应光滑平整,略向内倾斜,伤口应涂抹防腐剂或生长素。</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1.2.8 修剪前需制定修剪技术方案，上树前必须进行修剪培训和安全教育，全面掌握后方可修剪，并确保安全。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1.2.9 修剪下来的枝条等废弃物，应及时清运，保证环境整洁；有病虫害的枝条要及时集中进行无害化处理，防止病虫害蔓延。</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1.2.10 极端气候(如强风、暴雨、冰雹、强降雪等)造成树体倾斜、枝杈劈裂、折断等，应视其损伤程度，采用适宜方法及时修剪。</w:t>
      </w:r>
      <w:r/>
    </w:p>
    <w:p>
      <w:pPr>
        <w:spacing w:line="380" w:lineRule="exact"/>
        <w:rPr>
          <w:rFonts w:hint="eastAsia" w:ascii="宋体" w:hAnsi="宋体" w:eastAsia="宋体" w:cs="宋体"/>
          <w:color w:val="auto"/>
          <w:sz w:val="24"/>
          <w:szCs w:val="24"/>
          <w:highlight w:val="none"/>
        </w:rPr>
      </w:pPr>
      <w:r/>
      <w:bookmarkStart w:id="892" w:name="_Toc332180821"/>
      <w:r>
        <w:rPr>
          <w:rFonts w:hint="eastAsia" w:ascii="宋体" w:hAnsi="宋体" w:eastAsia="宋体" w:cs="宋体"/>
          <w:color w:val="auto"/>
          <w:sz w:val="24"/>
          <w:szCs w:val="24"/>
          <w:highlight w:val="none"/>
        </w:rPr>
        <w:t xml:space="preserve">1.3 病虫害防治</w:t>
      </w:r>
      <w:bookmarkEnd w:id="892"/>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贯彻“预防为主，综合治理”的方针，每年应根据病虫害预测预报及病虫害发生情况，制定短期和中长期病虫害防治计划，防治病虫害5次以上。提倡使用生物防治、物理防治和人工清除等多种手段控制病虫害；化学防治要科学使用化学药剂，尽量降低农药对社会和环境的影响。</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单株树木枝叶受害率不得超过10%，树干受害率不得超过3%。</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每百棵树木，食叶类和刺吸类害虫危害率不得超过10%；钻蛀性害虫危害率不得超过2%；各类病害发病率应控制在10%以下。</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1.3.7 绿地应制定短期和中长期病虫害防治计划。</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1.3.8 建立病虫害防网络，对病虫害及时进行预测预报，并做好病虫害防治台帐。</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1.3.9 剩余药液不得倒入池塘、湖泊或河流中。</w:t>
      </w:r>
      <w:r/>
    </w:p>
    <w:p>
      <w:pPr>
        <w:spacing w:line="380" w:lineRule="exact"/>
        <w:rPr>
          <w:rFonts w:hint="eastAsia" w:ascii="宋体" w:hAnsi="宋体" w:eastAsia="宋体" w:cs="宋体"/>
          <w:color w:val="auto"/>
          <w:sz w:val="24"/>
          <w:szCs w:val="24"/>
          <w:highlight w:val="none"/>
        </w:rPr>
      </w:pPr>
      <w:r/>
      <w:bookmarkStart w:id="893" w:name="_Toc332180822"/>
      <w:r>
        <w:rPr>
          <w:rFonts w:hint="eastAsia" w:ascii="宋体" w:hAnsi="宋体" w:eastAsia="宋体" w:cs="宋体"/>
          <w:color w:val="auto"/>
          <w:sz w:val="24"/>
          <w:szCs w:val="24"/>
          <w:highlight w:val="none"/>
        </w:rPr>
        <w:t xml:space="preserve">1.4 松土与除草</w:t>
      </w:r>
      <w:bookmarkEnd w:id="893"/>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根部周围土壤保持疏松，松土深度以不伤根系生长为宜。</w:t>
      </w:r>
      <w:r/>
    </w:p>
    <w:p>
      <w:pPr>
        <w:spacing w:line="380" w:lineRule="exact"/>
        <w:rPr>
          <w:rFonts w:hint="eastAsia" w:ascii="宋体" w:hAnsi="宋体" w:eastAsia="宋体" w:cs="宋体"/>
          <w:color w:val="auto"/>
          <w:sz w:val="24"/>
          <w:szCs w:val="24"/>
          <w:highlight w:val="none"/>
        </w:rPr>
      </w:pPr>
      <w:r/>
      <w:bookmarkStart w:id="894" w:name="_Toc332180823"/>
      <w:r>
        <w:rPr>
          <w:rFonts w:hint="eastAsia" w:ascii="宋体" w:hAnsi="宋体" w:eastAsia="宋体" w:cs="宋体"/>
          <w:color w:val="auto"/>
          <w:sz w:val="24"/>
          <w:szCs w:val="24"/>
          <w:highlight w:val="none"/>
        </w:rPr>
        <w:t xml:space="preserve">1.4.2 草坪上的乔灌木，树穴要根据具体要求进行切边处理。</w:t>
      </w:r>
      <w:bookmarkEnd w:id="894"/>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杂草以人工拔除为主，适当采用生物防治、化学防治措施。</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及时去除大型恶性杂草，其它杂草控制在不影响景观效果的范围内。根据不同养护等级，每年清除杂草10-15次以上。其中，5月至10月期间，每10-20天要清除杂草1次。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禁止各类除草剂在树木周边使用。</w:t>
      </w:r>
      <w:r/>
    </w:p>
    <w:p>
      <w:pPr>
        <w:spacing w:line="380" w:lineRule="exact"/>
        <w:rPr>
          <w:rFonts w:hint="eastAsia" w:ascii="宋体" w:hAnsi="宋体" w:eastAsia="宋体" w:cs="宋体"/>
          <w:color w:val="auto"/>
          <w:sz w:val="24"/>
          <w:szCs w:val="24"/>
          <w:highlight w:val="none"/>
        </w:rPr>
      </w:pPr>
      <w:r/>
      <w:bookmarkStart w:id="895" w:name="_Toc332180824"/>
      <w:r>
        <w:rPr>
          <w:rFonts w:hint="eastAsia" w:ascii="宋体" w:hAnsi="宋体" w:eastAsia="宋体" w:cs="宋体"/>
          <w:color w:val="auto"/>
          <w:sz w:val="24"/>
          <w:szCs w:val="24"/>
          <w:highlight w:val="none"/>
        </w:rPr>
        <w:t xml:space="preserve">1.5 施肥</w:t>
      </w:r>
      <w:bookmarkEnd w:id="895"/>
      <w:r/>
      <w:r/>
    </w:p>
    <w:p>
      <w:pPr>
        <w:spacing w:line="380" w:lineRule="exact"/>
        <w:rPr>
          <w:rFonts w:hint="eastAsia" w:ascii="宋体" w:hAnsi="宋体" w:eastAsia="宋体" w:cs="宋体"/>
          <w:color w:val="auto"/>
          <w:sz w:val="24"/>
          <w:szCs w:val="24"/>
          <w:highlight w:val="none"/>
        </w:rPr>
      </w:pPr>
      <w:r/>
      <w:bookmarkStart w:id="896" w:name="_Toc332180825"/>
      <w:r>
        <w:rPr>
          <w:rFonts w:hint="eastAsia" w:ascii="宋体" w:hAnsi="宋体" w:eastAsia="宋体" w:cs="宋体"/>
          <w:color w:val="auto"/>
          <w:sz w:val="24"/>
          <w:szCs w:val="24"/>
          <w:highlight w:val="none"/>
        </w:rPr>
        <w:t xml:space="preserve">1.5.1 施肥应根据树种、树龄、生长势和土壤理化性质而定。</w:t>
      </w:r>
      <w:bookmarkEnd w:id="896"/>
      <w:r>
        <w:rPr>
          <w:rFonts w:hint="eastAsia" w:ascii="宋体" w:hAnsi="宋体" w:eastAsia="宋体" w:cs="宋体"/>
          <w:color w:val="auto"/>
          <w:sz w:val="24"/>
          <w:szCs w:val="24"/>
          <w:highlight w:val="none"/>
        </w:rPr>
        <w:t xml:space="preserve">树木休眠期施基肥1次，生长期施追肥1-2次，花灌木花前、花后补施花肥。其中，乔木每年应施基肥、追肥各1次，花灌木每年应施基肥1次、追肥2次。花肥视开花次数而定。</w:t>
      </w:r>
      <w:r/>
    </w:p>
    <w:p>
      <w:pPr>
        <w:spacing w:line="380" w:lineRule="exact"/>
        <w:rPr>
          <w:rFonts w:hint="eastAsia" w:ascii="宋体" w:hAnsi="宋体" w:eastAsia="宋体" w:cs="宋体"/>
          <w:color w:val="auto"/>
          <w:sz w:val="24"/>
          <w:szCs w:val="24"/>
          <w:highlight w:val="none"/>
        </w:rPr>
      </w:pPr>
      <w:r/>
      <w:bookmarkStart w:id="897" w:name="_Toc332180826"/>
      <w:r>
        <w:rPr>
          <w:rFonts w:hint="eastAsia" w:ascii="宋体" w:hAnsi="宋体" w:eastAsia="宋体" w:cs="宋体"/>
          <w:color w:val="auto"/>
          <w:sz w:val="24"/>
          <w:szCs w:val="24"/>
          <w:highlight w:val="none"/>
        </w:rPr>
        <w:t xml:space="preserve">1.5.2 基肥应采用腐熟有机肥，追肥应以磷肥、氮肥等多元复（混）合化肥为主。树木花前应施磷钾肥，花后适宜补充氮肥。</w:t>
      </w:r>
      <w:bookmarkEnd w:id="897"/>
      <w:r>
        <w:rPr>
          <w:rFonts w:hint="eastAsia" w:ascii="宋体" w:hAnsi="宋体" w:eastAsia="宋体" w:cs="宋体"/>
          <w:color w:val="auto"/>
          <w:sz w:val="24"/>
          <w:szCs w:val="24"/>
          <w:highlight w:val="none"/>
        </w:rPr>
        <w:t xml:space="preserve">；生长势衰弱的亚健康树木、古树名木等，提倡使用腐植酸肥料。树木花前宜施磷、钾肥，花后宜补施氮肥。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施肥量应视树木生长情况、土壤肥力而定。</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乔木基肥施用量：胸径小于等于10cm的，1-3kg/株；胸径大于10cm的，每增加10cm（以10cm为档距），在前一规格施用量的基础上增加50%。</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乔木追肥施用量：胸径小于等于10cm的，0.5-1kg/株；胸径大于10cm的，每增加10cm（以10cm为档距），在前一规格施用量的基础上增加50%。</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灌木基肥施用量：蓬径小于等于100cm的，0.5-1kg/株；蓬径大于100cm的，每增加50cm（以50cm为档距），在前一规格施用量的基础上增加50%。</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灌木追肥施用量：蓬径小于等于100cm的，0.15-0.5kg/株；蓬径大于100cm的，每增加50cm（以50cm为档距），在前一规格施用量的基础上增加50%。</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不同腐植酸肥料的施用量应按照产品建议施用量施用。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 喜酸性植物应施用酸性有机肥。香樟、桅子花等植物出现黄化症状时间，应结合土壤改良，酸化根际土壤并树干注射、叶片喷施铁肥。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 追肥可采用沟施或穴施，深度不少于30cm，可按0.5% —1%浓度溶解施用，以不伤或少伤树根为准；腐植酸肥料可采用树干注射。</w:t>
      </w:r>
      <w:r/>
    </w:p>
    <w:p>
      <w:pPr>
        <w:spacing w:line="380" w:lineRule="exact"/>
        <w:rPr>
          <w:rFonts w:hint="eastAsia" w:ascii="宋体" w:hAnsi="宋体" w:eastAsia="宋体" w:cs="宋体"/>
          <w:color w:val="auto"/>
          <w:sz w:val="24"/>
          <w:szCs w:val="24"/>
          <w:highlight w:val="none"/>
        </w:rPr>
      </w:pPr>
      <w:r/>
      <w:bookmarkStart w:id="898" w:name="_Toc332180827"/>
      <w:r>
        <w:rPr>
          <w:rFonts w:hint="eastAsia" w:ascii="宋体" w:hAnsi="宋体" w:eastAsia="宋体" w:cs="宋体"/>
          <w:color w:val="auto"/>
          <w:sz w:val="24"/>
          <w:szCs w:val="24"/>
          <w:highlight w:val="none"/>
        </w:rPr>
        <w:t xml:space="preserve">1.6 支撑、防护</w:t>
      </w:r>
      <w:bookmarkEnd w:id="898"/>
      <w:r>
        <w:rPr>
          <w:rFonts w:hint="eastAsia" w:ascii="宋体" w:hAnsi="宋体" w:eastAsia="宋体" w:cs="宋体"/>
          <w:color w:val="auto"/>
          <w:sz w:val="24"/>
          <w:szCs w:val="24"/>
          <w:highlight w:val="none"/>
        </w:rPr>
        <w:t xml:space="preserve">与涂白</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除特殊景观要求外，树木倾斜超过10°必须扶正，落叶树在休眠期进行，常绿树在萌芽前进行。扶正前应对土壤进行灌水，树冠进行梳枝和短截。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新种树木和扶正树木必须用支柱支撑。支撑方式可采用扁担支撑和四角支撑。支柱材料应统一，支柱方式应规范、整齐。在着力点与树干接触处应铺垫软质材料。每年应对支柱进行一次全面检查，破损或绑扎过紧应及时修复或重绑。</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夏秋季节台风频繁时，应做好树木防台工作。台风前对过密枝条进行梳枝、剥芽，结合修剪，去除病枝、枯枝,做好树木加固支撑。风害后倾斜树木应及时扶正。挖松倾斜反向面的土，树冠相应疏枝。扶正树木，加土夯实,固定树身。</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冬季越冬需要防寒的树木，宜采用地面覆盖、包扎树体和树干涂白等防护措施。包扎树的材料可采用草绳或其它透气材料。</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1.6.6 树木树干涂白应于立冬前完成，树木涂白剂应稀稠均匀，涂白高度一致，不抛、洒、滴、漏；乔木及行道树涂白高度在1.3米左右，灌木涂白高度在1米左右。</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1.6.7 涂白剂推荐配方为：生石灰8kg，硫磺1kg，食盐1kg，动(植)物油0.1kg，热水18kg。配制方法：先用热水将生石灰与食盐溶化，然后将石灰乳和食盐水混合，加入硫磺和油脂充分搅匀即成。</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1.6.8 长势衰弱树木应采取复壮措施：修平断枝、枯枝，清理创口，消毒防腐；改良土壤立地条件，清理修补树洞；枯烂树身应做支撑。</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切边和留积水穴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绿地内的树木应视情况和需要，在树木根部外20-50cm处切边或留出积水穴，宽度和深度不超过15cm。</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切边和积水穴应流畅圆润，其内种植土应细碎平整。</w:t>
      </w:r>
      <w:r/>
    </w:p>
    <w:p>
      <w:pPr>
        <w:spacing w:line="380" w:lineRule="exact"/>
        <w:rPr>
          <w:rFonts w:hint="eastAsia" w:ascii="宋体" w:hAnsi="宋体" w:eastAsia="宋体" w:cs="宋体"/>
          <w:color w:val="auto"/>
          <w:sz w:val="24"/>
          <w:szCs w:val="24"/>
          <w:highlight w:val="none"/>
        </w:rPr>
      </w:pPr>
      <w:r/>
      <w:bookmarkStart w:id="899" w:name="_Toc332180829"/>
      <w:r>
        <w:rPr>
          <w:rFonts w:hint="eastAsia" w:ascii="宋体" w:hAnsi="宋体" w:eastAsia="宋体" w:cs="宋体"/>
          <w:color w:val="auto"/>
          <w:sz w:val="24"/>
          <w:szCs w:val="24"/>
          <w:highlight w:val="none"/>
        </w:rPr>
        <w:t xml:space="preserve">1.8 复壮、补植与调整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长势衰弱的树木应采取复壮措施。修剪断枝、枯枝，清理创口，消毒防腐；改良土壤条件，清理修补树洞；枯烂树身应做支撑或伐除更新。</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树木长势衰弱且濒临死亡的，应进行复壮；无复壮价值的，应及时更换。</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树木因土壤污染造成长势不良且濒临死亡的，树木更换前应换土。</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 树木因栽植过密，缺乏光照和生长空间而造成长势不良的，原则上应移植或疏除。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 抽稀植株应遵行“留大去小、留强去弱”的原则，并注意保持与周围环境的协调。</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 死树需连根挖除；抽稀、挖除死树所留下的空穴应及时填平。</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移除和更换苗木时，应重视对周围植物的保护。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1.8.8 树木的补植和调整应规范手续，有专门台帐记录。</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2.行道树</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养护管理内容包括：浇灌与排水，整形与修剪，病虫害防治，松土与除草，施肥，支撑、防护与涂白，切边和留积水穴，树池管理，复壮、补植与调整等。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浇灌与排水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1.1执行。对于种植了书带草、色块等地被植物的树穴，浇水时应先对树穴进行打洞，以浇透为宜；对于未种植地被植物且土壤严重板结的树穴，浇水前应对树穴进行松土。浇水时间应避开行人、车辆上下班高峰期间及夏季高温时段。</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整形与修剪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行道树的树冠应保持完整，分叉点一致，并依据树种、栽植地点的架空线路及交通状况等选择适宜的树形，净空高度应大于4米。在无机动车辆通行的道路或狭窄的巷道，以及种植上方没有架空线路时，宜采用中央领导干形或自然树形。主干道及一般干道上，宜采用杯状形、自然开心形。同一条道路修剪手法应一致，树冠圆整，树形美观，骨架均匀，通风透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——杯状形行道树的整形。</w:t>
      </w:r>
      <w:r>
        <w:rPr>
          <w:rFonts w:hint="eastAsia" w:ascii="宋体" w:hAnsi="宋体" w:eastAsia="宋体" w:cs="宋体"/>
          <w:color w:val="auto"/>
          <w:sz w:val="24"/>
          <w:szCs w:val="24"/>
          <w:highlight w:val="none"/>
        </w:rPr>
        <w:t xml:space="preserve">在主干一定高度处留3-5个主枝向四面均匀配列，各主枝与主干的角度约45度，在各主枝上适当留二级分枝，在二级分枝上留三级分枝，依次类推，即形成杯状形树冠，常在法桐、国槐行道树采用。定干高度通常为3-3.5m，在其截干顶端均匀地保留三个主枝，在壮芽处进行中截，冬季可在每个主枝中选两个侧枝短截作为二级分枝；次年冬季，在二级分枝上选两个枝条短截为三级分枝，则可形成“三股六叉十二枝”的杯状形造型。剪口留外向芽，主干延长枝选用角度开张的壮枝。在选留枝条和选取剪口部位时，必须要把握二级分枝弱于主枝、三级分枝弱于二级分枝。</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然开心形行道树的整形。不留中央领导干而留多数主枝配列四方，在主枝上每年留出主枝延长枝，并于主枝侧方留出二级分枝、三级分枝，二、三级分枝应处于主枝间的空隙处。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——中央领导</w:t>
      </w:r>
      <w:r>
        <w:rPr>
          <w:rFonts w:hint="eastAsia" w:ascii="宋体" w:hAnsi="宋体" w:eastAsia="宋体" w:cs="宋体"/>
          <w:color w:val="auto"/>
          <w:sz w:val="24"/>
          <w:szCs w:val="24"/>
          <w:highlight w:val="none"/>
        </w:rPr>
        <w:t xml:space="preserve">干形行道树的整形。留一强大的中央领导干，在其上配列疏散的主枝。以雪松、马褂木、银杏行道树为例，当栽植苗为截干苗时，采用接干法，即在主干顶部选一个生长健壮、较直立的侧枝作为主干延长枝培养，剪除角度小、对主干延长枝有竞争力的枝条。冬季，视主干延长枝的生长情况采取适当修剪措施，若其生长健壮，只需疏除过密、交叉的侧枝，翌年任其自然生长，及时短截与主干延长枝产生竞争的侧枝，即可形成有中央领导干的树冠；若其生长较弱，应从基部剪除全部侧枝，并将主干延长枝短截，翌年，再选一健壮直立的侧枝作为主干延长枝培养，直至树冠成形。</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形树生长季节修剪。选用轻剪或疏除的办法，及时对干枯枝、病虫枝、细弱枝、下垂枝、交叉枝、空中挂枝等进行修剪；同时兼顾树枝与路灯、供电线路、交通指示牌、周边建筑屋檐等之间的关系，做到上不挂各类线路、下不妨碍交通、旁不影响建筑。</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冬季回缩修剪。为降低行道树顶端优势位置，促多年生枝条基部更新复壮，可采用冬季回缩修剪方法。以老龄法桐为例，回缩时间在每年的12月至次年的2月，可结合冬季修剪同步进行。对较大的树枝和树干修剪时，可采用分步作业法，即先在离要求锯口上方20cm处，从枝条下方向上锯一切口，深度为枝干粗度的一半，从上方将枝干锯断，留下一条残桩，然后从锯口处锯除残桩，以避免枝干劈裂。回缩后及时对锯口用20%的硫酸铜溶液消毒，最后涂上保护剂(保护蜡、调和漆等)，以起到防腐防干和促进愈合的作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剥芽。行道树生长季节要经常剥芽，不同树种剥芽次数及剥芽部位存在一定的差异。法桐等落叶树通常在每年的4月下旬起，每半月一次，至10月中旬基本结束；香樟等常绿树木一般在每年的5月起，一月三次，芽长不应超过6cm。剥芽时不应倒拉，以免伤及树皮。</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清除死膀及枯枝。行道树由于受生长空间的限制，至一定年份容易形成荫梢现象，并产生枯枝，加上修剪切口常年受风吹雨淋极易产生死膀。日常养护除结合修剪工作外，应在每年台风及梅雨季节来临时，及时清除，并对新产生的截面切口，涂抹防腐剂。</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2.3病虫害防治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单株行道树枝叶受害率应小于8%，树干受害率应小于3%。</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行道树病虫害可通过喷药、捕杀、挖蛹、刮树皮、树干涂白等方法进行防治。行道树病虫害防治重点需做好天牛蛀干害虫、刺蛾、重阳木锦斑蛾及红蜡蚧等食叶害虫及藤壶蚧等各类蚧壳虫的防治。病虫枝、干、叶应集中销毁。其中，天牛防治应在每年的6月下旬开始，主要采用人工捕捉，并在虫</w:t>
      </w:r>
      <w:r>
        <w:rPr>
          <w:rFonts w:hint="eastAsia" w:ascii="宋体" w:hAnsi="宋体" w:eastAsia="宋体" w:cs="宋体"/>
          <w:color w:val="auto"/>
          <w:sz w:val="24"/>
          <w:szCs w:val="24"/>
          <w:highlight w:val="none"/>
        </w:rPr>
        <w:t xml:space="preserve">粪口涂塞粘有敌敌畏等农药的棉花，或在树干喷绿色威雷杀虫剂等方法，该项工作应延续至每年的9月份，通常每半月一次；刺蛾通常在每年的六月至九月发生,主要采用药物防治及生物防治；各类蚧壳虫应从每年的5月开始监控，抓住若虫孵化期，采用喷施花保、吡虫啉等药剂防治，大型乔木错过若虫期还可采用树体针剂来达到防治效果；重阳木锦斑蛾在每年的6-11月发生，主要采用灭幼脲、高效氯氰菊酯、甲维盐等药剂喷雾防治。冬季可采用树干涂白、挖蛹、刮树皮等方法，以消灭各种越冬虫源，病虫枝、干、叶应采用集中火烧或深埋等办法，以减轻次年害虫危害。</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施肥分基肥、追肥二类。基肥一般在冬季进行，追肥以根部穴施复合肥为主。一般每年施肥两次，条件限制时每年至少施追肥一次，每次每株平均施肥1kg左右。对于穴施确有困难的，应采取液态肥树干注射、地面打孔或使用棒肥等方法进行。</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2.5支撑、防护与涂白</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支撑。行道树树干基本挺直，倾斜度10度以上的树应小于1%。幼年行道树，应设立支柱进行加固，当出现机械车辆撞击或台风侵袭造成树木严重倾斜时，可切除部分长根，进行重植。成年行道树出现上述情况时，应采取平衡树冠法，即对向一侧倾斜的树冠进行重截，并设立支撑物向其相对方向进行支撑。对倾斜老树应逐年控制倾斜度，并扶正、支撑。</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防护与涂白。每年的初冬，对行道树进行根际培土、主干包扎、涂白等抗冻处理。发生枝叶积雪应及时清除，有倒伏危险的树木应立支撑保护。出现树洞应及时修补、封实，以防止腐朽进一步扩大。台风季节，应做好行道树抗风暴的预防工作，根据树木的实际情况，采取立支柱、绑扎、覆土、扶正、疏枝、打地桩等综合措施；一旦风暴来临，应及时检查，发现问题，妥善处理。对于严重倒伏、就地种植难以成活的树木，应将树冠重剪后送苗圃种植养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2.6补植</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行道树出现枯死，种植期间应及时补种，非种植期间（5月至9月）应及时连根挖除并填平树穴。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补植树木应选用同品种、同规格的大苗，原则上常绿乔木胸径不超过12厘米，落叶乔木胸径不超过15厘米。要加强养护，确保成活。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2.7其它养护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行道树树穴形式应保持统一，盖板或覆盖物完整，无空缺、垃圾及杂草；种植地被的树穴，地被生长良好。</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松土与除草、切边和留积水穴、复壮与调整等养护内容，参见1树木（乔木、灌木）的对应内容。</w:t>
      </w:r>
      <w:bookmarkEnd w:id="899"/>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3.绿篱、模纹、色块、球类和其它造型植物（灌木类）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养护管理内容包括：浇灌与排水、整形与修剪、病虫害防治、除草与切边、施肥、补植等。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浇灌与排水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根据气候、土壤墒情、植物习性等适时、适量浇灌，每年浇水不少于20次。5月至10月期间，连续7天无降雨应浇透水1次，冬季休眠前浇防冻水至少1次，道路机非隔离带绿化应适时冲淋去尘。</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土壤含水量应保持在70%左右，叶片萎蔫时应及时浇水。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3.1.3每年春季树木萌发前要浇春水至少1次，冬季休眠前浇防冻水至少1次。夏季浇水适宜在清晨，冬季浇水适宜在中午。</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3.1.4暴雨、梅雨季节应开沟排水，防止积水。根部积水应及时排出，耐涝性差的树木应该在2小时内排除积水，低洼易积水处应设置排水沟。</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3.1.5开花期前应适当增加浇水量。</w:t>
      </w:r>
      <w:r/>
    </w:p>
    <w:p>
      <w:pPr>
        <w:spacing w:line="380" w:lineRule="exact"/>
        <w:rPr>
          <w:rFonts w:hint="eastAsia" w:ascii="宋体" w:hAnsi="宋体" w:eastAsia="宋体" w:cs="宋体"/>
          <w:color w:val="auto"/>
          <w:sz w:val="24"/>
          <w:szCs w:val="24"/>
          <w:highlight w:val="none"/>
        </w:rPr>
      </w:pPr>
      <w:r/>
      <w:bookmarkStart w:id="900" w:name="_Toc332180831"/>
      <w:r>
        <w:rPr>
          <w:rFonts w:hint="eastAsia" w:ascii="宋体" w:hAnsi="宋体" w:eastAsia="宋体" w:cs="宋体"/>
          <w:color w:val="auto"/>
          <w:sz w:val="24"/>
          <w:szCs w:val="24"/>
          <w:highlight w:val="none"/>
        </w:rPr>
        <w:t xml:space="preserve">3.2整形与修剪</w:t>
      </w:r>
      <w:bookmarkEnd w:id="900"/>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绿篱、模纹、色块、球类和其它造型植物（灌木类），应按原设计的造型或规定的形状和高度修剪。以生长期修剪为主，休眠期修剪为辅，无缺株、枯枝，残花率应小于3%。每年应修剪8次以上，4月下旬至10月中旬，每3周左右修剪1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规则式绿篱、模纹（色块）修剪，应保持顶部和基部水平，做到无断层、无缺口、无光秃，轮廓线应流畅、柔和；两个品种以上连片种植时，修剪时应注意相互间衔接，保证平顺缓和过度。</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自然式绿篱修剪，轮廓线应自然丰满。幼年以定干整形为主，成年以促进开花和结实为主。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 规则式绿篱修剪后新梢生长超过10cm时，应进行第二次修剪，红叶石楠等色叶植物应在新梢木质化后修剪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 植株生长过密或病虫害发生严重的应及时进行疏枝修剪。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 当生长高度影响景观效果或影响交通安全时，宜在休眠期进行强度修剪。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3.2.7造景树修剪以及时修剪、长枝短截、密枝疏剪为修剪基本原则。松类树种在芽刚萌发时摘心、摘芽，控制新枝长度，以保持优美的树姿。</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——摘心。造景树应控制其生长高度，促使侧枝平展，可摘去其枝梢嫩头。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——摘芽。造景树在其干基或干上生长出许多不定芽时，应随时摘除，以免萌生叉枝，特别是榆树，易产生不定芽，更应注意摘芽。</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——摘叶。观叶造景树通过摘叶措施，可使树木一年发几次新叶，鲜艳悦目，提高其观赏效果。</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——修枝。修枝方式应根据树形来确定，如云片状树枝，将枝条修剪成平整状。对于萌发力强的树种，以修剪为主。修剪时, 首先将平行枝、交叉枝、重叠枝、对生枝、轮生枝等进行疏剪或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——攀扎。松柏类及萌发力弱的树种，一般以攀扎为主。即通过金属丝或棕丝等攀扎材料，将树木枝干弯曲成各种形状。</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属丝法。一般选用14-24号金属丝（根据所攀扎枝干的粗度选用）。攀扎时，先将金属丝一端固定在枝干的基部或交叉处，然后紧贴树皮徐徐缠绕，使金属丝与枝干约成45度角。如要将枝干向右扭旋下弯，金属丝则按顺时针方向缠绕，反之，则按逆时针方向缠绕。注意边扭边弯曲，才能使金属丝紧贴树木，同时枝干也不易断裂。对石榴、红枫等一些皮薄易受损伤的树种，可先用麻皮包卷枝干，然后再攀扎金属丝。对于两根基部相差不远的侧枝，可使用一根金属丝缠绕。在一根枝上如有重复的金属丝缠绕时，须注意缠绕方向的一致，尽量避免交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棕丝扎法。先将棕丝捻成不同粗细的麻绳，将棕绳的中段缚住需弯曲枝干的下端（或打过套结），将两头相互绞几下，放在需要弯曲的枝干的上端，打一活结，再将枝干徐徐弯曲至所需弧度，收紧棕绳打成死结，即完成一个弯曲。一般弯曲不宜过分，否则易失去自然形态。棕丝攀扎的关键在于掌握好力点。要根据造型的需要，选择下棕与打结的位置。棕丝绑扎的顺序：先扎树干，后扎枝叶；扎枝叶时，先扎顶部后扎下部；每扎一个部分时，先扎大枝再扎小枝；扎根枝（干）时，从基部到梢部。无论采用金属丝或棕丝绑扎，一般要在一年以后拆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——雕凿。对于松柏类及体量较大的造景树，为了显示树木苍古，有时可用锋利的工具对树干进行雕凿，并剥去部分树皮，甚至将树干劈去一半，但不可露出人工斧凿痕迹。</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——遮荫。一些喜荫的造型树木，如罗汉松、五针松等，在夏季高温强光下，应采取遮荫措施。</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 修剪下来的枝、叶等废弃物，应及时清运，保证环境整洁；有病虫害的枝、叶等应及时集中进行无害化处理，防止病虫害蔓延。</w:t>
      </w:r>
      <w:r/>
    </w:p>
    <w:p>
      <w:pPr>
        <w:spacing w:line="380" w:lineRule="exact"/>
        <w:rPr>
          <w:rFonts w:hint="eastAsia" w:ascii="宋体" w:hAnsi="宋体" w:eastAsia="宋体" w:cs="宋体"/>
          <w:color w:val="auto"/>
          <w:sz w:val="24"/>
          <w:szCs w:val="24"/>
          <w:highlight w:val="none"/>
        </w:rPr>
      </w:pPr>
      <w:r/>
      <w:bookmarkStart w:id="901" w:name="_Toc332180832"/>
      <w:r>
        <w:rPr>
          <w:rFonts w:hint="eastAsia" w:ascii="宋体" w:hAnsi="宋体" w:eastAsia="宋体" w:cs="宋体"/>
          <w:color w:val="auto"/>
          <w:sz w:val="24"/>
          <w:szCs w:val="24"/>
          <w:highlight w:val="none"/>
        </w:rPr>
        <w:t xml:space="preserve">3.3病虫害防治</w:t>
      </w:r>
      <w:bookmarkEnd w:id="901"/>
      <w:r/>
      <w:r/>
    </w:p>
    <w:p>
      <w:pPr>
        <w:spacing w:line="380" w:lineRule="exact"/>
        <w:rPr>
          <w:rFonts w:hint="eastAsia" w:ascii="宋体" w:hAnsi="宋体" w:eastAsia="宋体" w:cs="宋体"/>
          <w:color w:val="auto"/>
          <w:sz w:val="24"/>
          <w:szCs w:val="24"/>
          <w:highlight w:val="none"/>
        </w:rPr>
      </w:pPr>
      <w:r/>
      <w:bookmarkStart w:id="902" w:name="_Toc332180833"/>
      <w:r>
        <w:rPr>
          <w:rFonts w:hint="eastAsia" w:ascii="宋体" w:hAnsi="宋体" w:eastAsia="宋体" w:cs="宋体"/>
          <w:color w:val="auto"/>
          <w:sz w:val="24"/>
          <w:szCs w:val="24"/>
          <w:highlight w:val="none"/>
        </w:rPr>
        <w:t xml:space="preserve">参照1.3执行。</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3.4除草和切边</w:t>
      </w:r>
      <w:bookmarkEnd w:id="902"/>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除草应除早、除小，及时去除大型恶性杂草及杂树，其它杂草控制在不影响景观效果的范围内。杂草、杂树不得高于绿篱、模纹（色块）植物；造型灌木上应及时去除大型蔓性藤本杂草。杂草以人工拔除为主，适当采用生物防治、化学防治措施，每年清除杂草15次以上，其中，5月至10月期间，每15天要清除杂草1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绿篱、模纹、色块、造型灌木边缘，与地被、草坪结合处应进行切边处理，宽度和深度以15cm为宜。</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切边应流畅圆润，其内种植土应细碎平整。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及时清运杂草，保证环境整洁。</w:t>
      </w:r>
      <w:r/>
    </w:p>
    <w:p>
      <w:pPr>
        <w:spacing w:line="380" w:lineRule="exact"/>
        <w:rPr>
          <w:rFonts w:hint="eastAsia" w:ascii="宋体" w:hAnsi="宋体" w:eastAsia="宋体" w:cs="宋体"/>
          <w:color w:val="auto"/>
          <w:sz w:val="24"/>
          <w:szCs w:val="24"/>
          <w:highlight w:val="none"/>
        </w:rPr>
      </w:pPr>
      <w:r/>
      <w:bookmarkStart w:id="903" w:name="_Toc332180834"/>
      <w:r>
        <w:rPr>
          <w:rFonts w:hint="eastAsia" w:ascii="宋体" w:hAnsi="宋体" w:eastAsia="宋体" w:cs="宋体"/>
          <w:color w:val="auto"/>
          <w:sz w:val="24"/>
          <w:szCs w:val="24"/>
          <w:highlight w:val="none"/>
        </w:rPr>
        <w:t xml:space="preserve">3.5施肥</w:t>
      </w:r>
      <w:bookmarkEnd w:id="903"/>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视植物生长状况，适时、适量进行施肥。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提倡使用有机肥和复（混）合肥料。</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每年施基肥不少于1次，追肥不少于3次。花灌木品种应适当增加施肥次数。</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基肥施用量为0.5kg/㎡；施追肥一般按0.5%-1%浓度的溶解液施用，肥料施用量不超过30g/㎡。</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撒施化肥后应及时充分浇水，肥料不得粘在花、叶上，以免灼伤叶片。</w:t>
      </w:r>
      <w:r/>
    </w:p>
    <w:p>
      <w:pPr>
        <w:spacing w:line="380" w:lineRule="exact"/>
        <w:rPr>
          <w:rFonts w:hint="eastAsia" w:ascii="宋体" w:hAnsi="宋体" w:eastAsia="宋体" w:cs="宋体"/>
          <w:color w:val="auto"/>
          <w:sz w:val="24"/>
          <w:szCs w:val="24"/>
          <w:highlight w:val="none"/>
        </w:rPr>
      </w:pPr>
      <w:r/>
      <w:bookmarkStart w:id="904" w:name="_Toc332180835"/>
      <w:r>
        <w:rPr>
          <w:rFonts w:hint="eastAsia" w:ascii="宋体" w:hAnsi="宋体" w:eastAsia="宋体" w:cs="宋体"/>
          <w:color w:val="auto"/>
          <w:sz w:val="24"/>
          <w:szCs w:val="24"/>
          <w:highlight w:val="none"/>
        </w:rPr>
        <w:t xml:space="preserve">3.6补植</w:t>
      </w:r>
      <w:bookmarkEnd w:id="904"/>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绿篱和造型灌木死亡、缺株或空秃面积大于0.5㎡后应进行补植。</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补植的植物应与原植物品种和规格接近。</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落叶植物补植应该植物落叶后土壤结冻前进行；常绿植物补植应在土壤解冻后，新芽萌发前进行。</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80" w:lineRule="exact"/>
        <w:rPr>
          <w:rFonts w:hint="eastAsia" w:ascii="宋体" w:hAnsi="宋体" w:eastAsia="宋体" w:cs="宋体"/>
          <w:color w:val="auto"/>
          <w:sz w:val="24"/>
          <w:szCs w:val="24"/>
          <w:highlight w:val="none"/>
        </w:rPr>
      </w:pPr>
      <w:r/>
      <w:bookmarkStart w:id="905" w:name="_Toc332180870"/>
      <w:r>
        <w:rPr>
          <w:rFonts w:hint="eastAsia" w:ascii="宋体" w:hAnsi="宋体" w:eastAsia="宋体" w:cs="宋体"/>
          <w:color w:val="auto"/>
          <w:sz w:val="24"/>
          <w:szCs w:val="24"/>
          <w:highlight w:val="none"/>
        </w:rPr>
        <w:t xml:space="preserve">4、水生植物养护</w:t>
      </w:r>
      <w:bookmarkEnd w:id="905"/>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养护管理内容包括：控制水位和换水、清理与分株、病虫害防治、施肥、除草与灭苔等。</w:t>
      </w:r>
      <w:r/>
    </w:p>
    <w:p>
      <w:pPr>
        <w:spacing w:line="380" w:lineRule="exact"/>
        <w:rPr>
          <w:rFonts w:hint="eastAsia" w:ascii="宋体" w:hAnsi="宋体" w:eastAsia="宋体" w:cs="宋体"/>
          <w:color w:val="auto"/>
          <w:sz w:val="24"/>
          <w:szCs w:val="24"/>
          <w:highlight w:val="none"/>
        </w:rPr>
      </w:pPr>
      <w:r/>
      <w:bookmarkStart w:id="906" w:name="_Toc332180871"/>
      <w:r>
        <w:rPr>
          <w:rFonts w:hint="eastAsia" w:ascii="宋体" w:hAnsi="宋体" w:eastAsia="宋体" w:cs="宋体"/>
          <w:color w:val="auto"/>
          <w:sz w:val="24"/>
          <w:szCs w:val="24"/>
          <w:highlight w:val="none"/>
        </w:rPr>
        <w:t xml:space="preserve">4.1 控制水位和换水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bookmarkEnd w:id="906"/>
      <w:r>
        <w:rPr>
          <w:rFonts w:hint="eastAsia" w:ascii="宋体" w:hAnsi="宋体" w:eastAsia="宋体" w:cs="宋体"/>
          <w:color w:val="auto"/>
          <w:sz w:val="24"/>
          <w:szCs w:val="24"/>
          <w:highlight w:val="none"/>
        </w:rPr>
        <w:t xml:space="preserve">.1 及时调整和控制水生植物正常生长水位。苗期水适当，保持浅水层，分蘖期浅水勤灌，后期适时排水。漂浮植物须保持足够的水深使其漂浮；沉水植物水深必须超过植株，使茎叶自然伸展；水边植物保持土壤湿润、稍呈积水状态；挺水植物须保持50-100cm左右的水深；浮水植物水位高低须依茎梗长短调整，使叶浮于水面呈自然状态。</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 为避免蚊虫孳生或水质恶化，当用水发生混浊时，必须换水，夏季则须增加换水次数。</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4.2清理与分株</w:t>
      </w:r>
      <w:r/>
    </w:p>
    <w:p>
      <w:pPr>
        <w:spacing w:line="380" w:lineRule="exact"/>
        <w:rPr>
          <w:rFonts w:hint="eastAsia" w:ascii="宋体" w:hAnsi="宋体" w:eastAsia="宋体" w:cs="宋体"/>
          <w:color w:val="auto"/>
          <w:sz w:val="24"/>
          <w:szCs w:val="24"/>
          <w:highlight w:val="none"/>
        </w:rPr>
      </w:pPr>
      <w:r/>
      <w:bookmarkStart w:id="907" w:name="_Toc332180872"/>
      <w:r>
        <w:rPr>
          <w:rFonts w:hint="eastAsia" w:ascii="宋体" w:hAnsi="宋体" w:eastAsia="宋体" w:cs="宋体"/>
          <w:color w:val="auto"/>
          <w:sz w:val="24"/>
          <w:szCs w:val="24"/>
          <w:highlight w:val="none"/>
        </w:rPr>
        <w:t xml:space="preserve">4.2.1 不耐寒而干枯的水生植物，应在冬季枯黄后清除泥上部分。</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 多年生耐寒水生植物，应在每年2月底新芽长出前剪除泥上部分。</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 及时清除枯枝残叶及杂物。</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 因病虫害等原因死亡的植株应及时清理。</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 同一水池中混合栽植各类水生植物，必须定时疏除繁殖过快的种类，以免覆满水面，影响其它水生植物的生长。</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4.2.6 浮水植物过大，叶面互相遮盖时，必须进行分株，一般3至4年分1次株。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4.3施肥</w:t>
      </w:r>
      <w:bookmarkEnd w:id="907"/>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 注重早期施肥，施足基肥，春、秋各进行一次追肥，尽量利用低水位时补肥。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 施肥不应污染水质，合理配置氮、磷、钾。</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 盆栽水生植物应在冬季连盆拿出水面，并在开春移入水池前10天补施1次基肥，待其新叶长出后再移入水中。</w:t>
      </w:r>
      <w:r/>
    </w:p>
    <w:p>
      <w:pPr>
        <w:spacing w:line="380" w:lineRule="exact"/>
        <w:rPr>
          <w:rFonts w:hint="eastAsia" w:ascii="宋体" w:hAnsi="宋体" w:eastAsia="宋体" w:cs="宋体"/>
          <w:color w:val="auto"/>
          <w:sz w:val="24"/>
          <w:szCs w:val="24"/>
          <w:highlight w:val="none"/>
        </w:rPr>
      </w:pPr>
      <w:r/>
      <w:bookmarkStart w:id="908" w:name="_Toc332180873"/>
      <w:r>
        <w:rPr>
          <w:rFonts w:hint="eastAsia" w:ascii="宋体" w:hAnsi="宋体" w:eastAsia="宋体" w:cs="宋体"/>
          <w:color w:val="auto"/>
          <w:sz w:val="24"/>
          <w:szCs w:val="24"/>
          <w:highlight w:val="none"/>
        </w:rPr>
        <w:t xml:space="preserve">4.4 病虫害防治</w:t>
      </w:r>
      <w:bookmarkEnd w:id="908"/>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 每年防治病虫害3次以上，其余参照3.3.1执行。</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 水生植物的病害主要可分为侵染性病害与非侵染性病害。形成致命性危害的一般为侵染性病害，由于病原微生物引起的如真菌、细菌、病毒、线虫等，具有传染性，危害极大。在植物生长期应加强菱白绢病、睡莲蚜虫、荷花茎腐病、褐斑病、黑斑病、莎草科植物根线虫病、芡实真菌性病害、水仙线虫病、水竹芋叶斑病等病虫害防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 建立病虫害防治网络，及时进行预测预报，并做好台帐记录。</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除草与灭苔</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应在早春植物萌芽前对水生杂草和青苔进行物理防治或适当的化学防治。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5、攀援植物（垂直绿化）</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养护管理内容包括：浇灌与排水、修剪与理藤、病虫害防治、施肥、补植、藤架管护等。</w:t>
      </w:r>
      <w:r/>
    </w:p>
    <w:p>
      <w:pPr>
        <w:spacing w:line="380" w:lineRule="exact"/>
        <w:rPr>
          <w:rFonts w:hint="eastAsia" w:ascii="宋体" w:hAnsi="宋体" w:eastAsia="宋体" w:cs="宋体"/>
          <w:color w:val="auto"/>
          <w:sz w:val="24"/>
          <w:szCs w:val="24"/>
          <w:highlight w:val="none"/>
        </w:rPr>
      </w:pPr>
      <w:r/>
      <w:bookmarkStart w:id="909" w:name="_Toc332180860"/>
      <w:r>
        <w:rPr>
          <w:rFonts w:hint="eastAsia" w:ascii="宋体" w:hAnsi="宋体" w:eastAsia="宋体" w:cs="宋体"/>
          <w:color w:val="auto"/>
          <w:sz w:val="24"/>
          <w:szCs w:val="24"/>
          <w:highlight w:val="none"/>
        </w:rPr>
        <w:t xml:space="preserve">5.1浇灌与排水</w:t>
      </w:r>
      <w:bookmarkEnd w:id="909"/>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 根据气候条件、植物习性和长势情况进行浇水。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 夏季浇水适宜在清晨和傍晚，冬季浇水适宜在中午。</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 生长季节应松土保墒，土壤含水量应在65% — 70%范围。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5.1.4 连续15天无降雨的情况下，气温在10-25℃时，每半月至少浇水1次；气温在25℃-35℃时，每周至少浇水1次；气温在35℃以上时, 每周至少浇水2次；冬季浇水每月不少于1次。其中高架悬挂植物，气温在25℃-35℃时，每两天浇水1次；气温35℃以上时, 1天应浇水1次。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5.1.5  梅雨和暴雨季节应及时排除积水。</w:t>
      </w:r>
      <w:r/>
    </w:p>
    <w:p>
      <w:pPr>
        <w:spacing w:line="380" w:lineRule="exact"/>
        <w:rPr>
          <w:rFonts w:hint="eastAsia" w:ascii="宋体" w:hAnsi="宋体" w:eastAsia="宋体" w:cs="宋体"/>
          <w:color w:val="auto"/>
          <w:sz w:val="24"/>
          <w:szCs w:val="24"/>
          <w:highlight w:val="none"/>
        </w:rPr>
      </w:pPr>
      <w:r/>
      <w:bookmarkStart w:id="910" w:name="_Toc332180861"/>
      <w:r>
        <w:rPr>
          <w:rFonts w:hint="eastAsia" w:ascii="宋体" w:hAnsi="宋体" w:eastAsia="宋体" w:cs="宋体"/>
          <w:color w:val="auto"/>
          <w:sz w:val="24"/>
          <w:szCs w:val="24"/>
          <w:highlight w:val="none"/>
        </w:rPr>
        <w:t xml:space="preserve">5.2 修剪与理藤</w:t>
      </w:r>
      <w:bookmarkEnd w:id="910"/>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 在生长季节应进行理藤、造型，以逐步达到满铺的效果，定期检查绑扎物以防脱落。</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5.2.2多年生藤本应定期翻蔓，清除枯枝，疏除老弱藤蔓。</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5.2.3 修剪宜在5月、7月、11月或植株开花后进行。</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5.2.4 对枝叶稀少的植株可通过摘心促进分枝；未完全覆盖的植株应短截空隙周围枝条，促生副稍。</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5.2.5部分徒长枝长度达15 — 30 cm时应抑制生长；对长势过密的植株适当疏剪重叠枝控制厚度；2年以上的植株应疏减上部枝叶，并适当疏剪下部枝叶以减少枝条重叠；对生长势衰弱的植株应进行重剪促进萌发。</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5.2.6 枝叶过密以及立地条件差的垂直绿化应疏枝、绑扎。</w:t>
      </w:r>
      <w:r/>
    </w:p>
    <w:p>
      <w:pPr>
        <w:spacing w:line="380" w:lineRule="exact"/>
        <w:rPr>
          <w:rFonts w:hint="eastAsia" w:ascii="宋体" w:hAnsi="宋体" w:eastAsia="宋体" w:cs="宋体"/>
          <w:color w:val="auto"/>
          <w:sz w:val="24"/>
          <w:szCs w:val="24"/>
          <w:highlight w:val="none"/>
        </w:rPr>
      </w:pPr>
      <w:r/>
      <w:bookmarkStart w:id="911" w:name="_Toc332180862"/>
      <w:r>
        <w:rPr>
          <w:rFonts w:hint="eastAsia" w:ascii="宋体" w:hAnsi="宋体" w:eastAsia="宋体" w:cs="宋体"/>
          <w:color w:val="auto"/>
          <w:sz w:val="24"/>
          <w:szCs w:val="24"/>
          <w:highlight w:val="none"/>
        </w:rPr>
        <w:t xml:space="preserve">5.3病虫害防治</w:t>
      </w:r>
      <w:bookmarkEnd w:id="911"/>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参照1.3执行。</w:t>
      </w:r>
      <w:r/>
    </w:p>
    <w:p>
      <w:pPr>
        <w:spacing w:line="380" w:lineRule="exact"/>
        <w:rPr>
          <w:rFonts w:hint="eastAsia" w:ascii="宋体" w:hAnsi="宋体" w:eastAsia="宋体" w:cs="宋体"/>
          <w:color w:val="auto"/>
          <w:sz w:val="24"/>
          <w:szCs w:val="24"/>
          <w:highlight w:val="none"/>
        </w:rPr>
      </w:pPr>
      <w:r/>
      <w:bookmarkStart w:id="912" w:name="_Toc332180863"/>
      <w:r>
        <w:rPr>
          <w:rFonts w:hint="eastAsia" w:ascii="宋体" w:hAnsi="宋体" w:eastAsia="宋体" w:cs="宋体"/>
          <w:color w:val="auto"/>
          <w:sz w:val="24"/>
          <w:szCs w:val="24"/>
          <w:highlight w:val="none"/>
        </w:rPr>
        <w:t xml:space="preserve">5.4 施肥</w:t>
      </w:r>
      <w:bookmarkEnd w:id="912"/>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5.4.1每年冬季应施1次有机肥。生长期应施追肥，每3个月施肥一次，以复合肥为主。吸附类藤本应叶面施肥。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 新栽苗在栽植后两年内宜根据生长势进行追肥。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5.4.3 生长较差、恢复较慢的新栽苗或要促使快长的植物可用生长激素或根外追肥等措施。</w:t>
      </w:r>
      <w:r/>
    </w:p>
    <w:p>
      <w:pPr>
        <w:spacing w:line="380" w:lineRule="exact"/>
        <w:rPr>
          <w:rFonts w:hint="eastAsia" w:ascii="宋体" w:hAnsi="宋体" w:eastAsia="宋体" w:cs="宋体"/>
          <w:color w:val="auto"/>
          <w:sz w:val="24"/>
          <w:szCs w:val="24"/>
          <w:highlight w:val="none"/>
        </w:rPr>
      </w:pPr>
      <w:r/>
      <w:bookmarkStart w:id="913" w:name="_Toc332180864"/>
      <w:r>
        <w:rPr>
          <w:rFonts w:hint="eastAsia" w:ascii="宋体" w:hAnsi="宋体" w:eastAsia="宋体" w:cs="宋体"/>
          <w:color w:val="auto"/>
          <w:sz w:val="24"/>
          <w:szCs w:val="24"/>
          <w:highlight w:val="none"/>
        </w:rPr>
        <w:t xml:space="preserve">5.5 补植</w:t>
      </w:r>
      <w:bookmarkEnd w:id="913"/>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5.5.1 植物死亡、缺株面积超过0.5㎡或影响整体攀爬、垂挂效果的，必须进行补植。</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5.5.2 落叶植物补植应在植物落叶后土壤结冻前进行；常绿植物补植应在土壤解冻后，新芽萌发前进行。</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 藤架管护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5.6.1 藤架要牢固，不变形、无损毁。应定期对棚架、挂网等攀援设施进行检查，桥墩外包裹网片每月应检查一次，高架悬挂花槽和支架每半月应检查一次，发现问题立即加固或更换。</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80" w:lineRule="exact"/>
        <w:rPr>
          <w:rFonts w:hint="eastAsia" w:ascii="宋体" w:hAnsi="宋体" w:eastAsia="宋体" w:cs="宋体"/>
          <w:color w:val="auto"/>
          <w:sz w:val="24"/>
          <w:szCs w:val="24"/>
          <w:highlight w:val="none"/>
        </w:rPr>
      </w:pPr>
      <w:r/>
      <w:bookmarkStart w:id="914" w:name="_Toc332180836"/>
      <w:r>
        <w:rPr>
          <w:rFonts w:hint="eastAsia" w:ascii="宋体" w:hAnsi="宋体" w:eastAsia="宋体" w:cs="宋体"/>
          <w:color w:val="auto"/>
          <w:sz w:val="24"/>
          <w:szCs w:val="24"/>
          <w:highlight w:val="none"/>
        </w:rPr>
        <w:t xml:space="preserve">6、地被花卉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养护管理内容包括：浇灌与排水、修剪与疏除、病虫害防治、除草与切边、施肥等。</w:t>
      </w:r>
      <w:r/>
    </w:p>
    <w:p>
      <w:pPr>
        <w:spacing w:line="380" w:lineRule="exact"/>
        <w:rPr>
          <w:rFonts w:hint="eastAsia" w:ascii="宋体" w:hAnsi="宋体" w:eastAsia="宋体" w:cs="宋体"/>
          <w:color w:val="auto"/>
          <w:sz w:val="24"/>
          <w:szCs w:val="24"/>
          <w:highlight w:val="none"/>
        </w:rPr>
      </w:pPr>
      <w:r/>
      <w:bookmarkStart w:id="915" w:name="_Toc332180843"/>
      <w:r>
        <w:rPr>
          <w:rFonts w:hint="eastAsia" w:ascii="宋体" w:hAnsi="宋体" w:eastAsia="宋体" w:cs="宋体"/>
          <w:color w:val="auto"/>
          <w:sz w:val="24"/>
          <w:szCs w:val="24"/>
          <w:highlight w:val="none"/>
        </w:rPr>
        <w:t xml:space="preserve">6.1浇灌与排水</w:t>
      </w:r>
      <w:bookmarkEnd w:id="915"/>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浇水应视土质状况、植物习性和生长情况及时浇灌，土壤含水量应保持在50%-60%。</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连续15天无降雨的情况下，气温在10-25℃时，每半月至少浇水1次；气温在25℃-35℃时，每周至少浇水1次；气温在35℃以上时, 每周至少浇水2次；冬季浇水每月不少于1次。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浇水必须湿透根系层，浸湿土层应大于5cm。</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沙质土壤应勤浇水，粘质土壤应合理浇水。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肉质根花卉应少浇水，草本花卉应勤浇水。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营养生长和生殖生长时应多浇水，盛花期可少浇水。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6.1.7 根部积水应及时排出，耐涝性差的地被应该在6小时内排除积水，低洼易积水处应设置排水沟。</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6.1.8 水源不得含有毒有害物质，提倡使用中水、雨水和河水浇灌。</w:t>
      </w:r>
      <w:r/>
    </w:p>
    <w:p>
      <w:pPr>
        <w:spacing w:line="380" w:lineRule="exact"/>
        <w:rPr>
          <w:rFonts w:hint="eastAsia" w:ascii="宋体" w:hAnsi="宋体" w:eastAsia="宋体" w:cs="宋体"/>
          <w:color w:val="auto"/>
          <w:sz w:val="24"/>
          <w:szCs w:val="24"/>
          <w:highlight w:val="none"/>
        </w:rPr>
      </w:pPr>
      <w:r/>
      <w:bookmarkStart w:id="916" w:name="_Toc332180844"/>
      <w:r>
        <w:rPr>
          <w:rFonts w:hint="eastAsia" w:ascii="宋体" w:hAnsi="宋体" w:eastAsia="宋体" w:cs="宋体"/>
          <w:color w:val="auto"/>
          <w:sz w:val="24"/>
          <w:szCs w:val="24"/>
          <w:highlight w:val="none"/>
        </w:rPr>
        <w:t xml:space="preserve">6.2 修剪</w:t>
      </w:r>
      <w:bookmarkEnd w:id="916"/>
      <w:r>
        <w:rPr>
          <w:rFonts w:hint="eastAsia" w:ascii="宋体" w:hAnsi="宋体" w:eastAsia="宋体" w:cs="宋体"/>
          <w:color w:val="auto"/>
          <w:sz w:val="24"/>
          <w:szCs w:val="24"/>
          <w:highlight w:val="none"/>
        </w:rPr>
        <w:t xml:space="preserve">与疏除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 应按照原设计意图、景观需要和生长状况，及时对生长过密、过高植物进行疏除或修剪，对影响景观的干枯枝叶进行清除。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 常见的整形修剪手法有摘心、除芽和修枝。</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 摘除枝梢顶芽，促进分枝生长，防倒伏。</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 剥除过多的腋芽，促使开花大而充实。</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6.2.5 剪除徒长枝、残花、枯枝、病虫枝和生长过旺枝条，保证最佳景观效果。</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6.2.6 宿根花卉每3-5年可重新分株复壮，翻种1次。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病虫害防治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 每年防治病虫害5次以上，枝叶受害率小于3%，其余参照3.3.1执行。</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 应重点防治地下害虫及食叶害虫。</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 建立病虫害防治网络，及时进行预测预报，并做好台帐记录。</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除草与切边</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参照4.4执行。</w:t>
      </w:r>
      <w:r/>
    </w:p>
    <w:p>
      <w:pPr>
        <w:spacing w:line="380" w:lineRule="exact"/>
        <w:rPr>
          <w:rFonts w:hint="eastAsia" w:ascii="宋体" w:hAnsi="宋体" w:eastAsia="宋体" w:cs="宋体"/>
          <w:color w:val="auto"/>
          <w:sz w:val="24"/>
          <w:szCs w:val="24"/>
          <w:highlight w:val="none"/>
        </w:rPr>
      </w:pPr>
      <w:r/>
      <w:bookmarkStart w:id="917" w:name="_Toc332180845"/>
      <w:r>
        <w:rPr>
          <w:rFonts w:hint="eastAsia" w:ascii="宋体" w:hAnsi="宋体" w:eastAsia="宋体" w:cs="宋体"/>
          <w:color w:val="auto"/>
          <w:sz w:val="24"/>
          <w:szCs w:val="24"/>
          <w:highlight w:val="none"/>
        </w:rPr>
        <w:t xml:space="preserve">6.5 施肥</w:t>
      </w:r>
      <w:bookmarkEnd w:id="917"/>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6.5.1 施肥应根据土质状况、植物品种和生长状况适时适量施肥。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6.5.2 休眠期施基肥，生长期施追肥，花灌木花前、花后补施花肥。越冬休眠前1个月至2个月宜至少追肥一次。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6.5.3 基肥应采用腐熟有机肥，追肥应以复合肥为主。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6.5.4 施肥量应视植物品种、生长情况和设计意图而定。一般情况下，基肥施用量0.5kg/㎡，追肥施用量不超过30g/㎡。</w:t>
      </w:r>
      <w:bookmarkEnd w:id="914"/>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80" w:lineRule="exact"/>
        <w:rPr>
          <w:rFonts w:hint="eastAsia" w:ascii="宋体" w:hAnsi="宋体" w:eastAsia="宋体" w:cs="宋体"/>
          <w:color w:val="auto"/>
          <w:sz w:val="24"/>
          <w:szCs w:val="24"/>
          <w:highlight w:val="none"/>
        </w:rPr>
      </w:pPr>
      <w:r/>
      <w:bookmarkStart w:id="918" w:name="_Toc332180846"/>
      <w:r>
        <w:rPr>
          <w:rFonts w:hint="eastAsia" w:ascii="宋体" w:hAnsi="宋体" w:eastAsia="宋体" w:cs="宋体"/>
          <w:color w:val="auto"/>
          <w:sz w:val="24"/>
          <w:szCs w:val="24"/>
          <w:highlight w:val="none"/>
        </w:rPr>
        <w:t xml:space="preserve">7、草坪</w:t>
      </w:r>
      <w:bookmarkEnd w:id="918"/>
      <w:r/>
      <w:r/>
    </w:p>
    <w:p>
      <w:pPr>
        <w:spacing w:line="380" w:lineRule="exact"/>
        <w:rPr>
          <w:rFonts w:hint="eastAsia" w:ascii="宋体" w:hAnsi="宋体" w:eastAsia="宋体" w:cs="宋体"/>
          <w:color w:val="auto"/>
          <w:sz w:val="24"/>
          <w:szCs w:val="24"/>
          <w:highlight w:val="none"/>
        </w:rPr>
      </w:pPr>
      <w:r/>
      <w:bookmarkStart w:id="919" w:name="_Toc332180847"/>
      <w:r>
        <w:rPr>
          <w:rFonts w:hint="eastAsia" w:ascii="宋体" w:hAnsi="宋体" w:eastAsia="宋体" w:cs="宋体"/>
          <w:color w:val="auto"/>
          <w:sz w:val="24"/>
          <w:szCs w:val="24"/>
          <w:highlight w:val="none"/>
        </w:rPr>
        <w:t xml:space="preserve">养护管理内容包括：浇灌与排水、修剪、病虫害防治、除草与切边、施肥、追播、复壮等。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浇灌与排水</w:t>
      </w:r>
      <w:bookmarkEnd w:id="919"/>
      <w:r/>
      <w:r/>
    </w:p>
    <w:p>
      <w:pPr>
        <w:spacing w:line="380" w:lineRule="exact"/>
        <w:rPr>
          <w:rFonts w:hint="eastAsia" w:ascii="宋体" w:hAnsi="宋体" w:eastAsia="宋体" w:cs="宋体"/>
          <w:color w:val="auto"/>
          <w:sz w:val="24"/>
          <w:szCs w:val="24"/>
          <w:highlight w:val="none"/>
        </w:rPr>
      </w:pPr>
      <w:r/>
      <w:bookmarkStart w:id="920" w:name="_Toc332180848"/>
      <w:r>
        <w:rPr>
          <w:rFonts w:hint="eastAsia" w:ascii="宋体" w:hAnsi="宋体" w:eastAsia="宋体" w:cs="宋体"/>
          <w:color w:val="auto"/>
          <w:sz w:val="24"/>
          <w:szCs w:val="24"/>
          <w:highlight w:val="none"/>
        </w:rPr>
        <w:t xml:space="preserve">7.1.1 应根据立地条件、季节差异、草坪习性和生长状况及时浇灌，土壤含水量应保持在50-60%范围。当叶片发生萎蔫时，应及时浇水，每年浇水至少10次以上。每年春季草坪萌发前要浇春水至少1次，冬季休眠前浇防冻水至少1次，5月至10月期间，连续15天无降雨应浇透水1次。</w:t>
      </w:r>
      <w:bookmarkEnd w:id="920"/>
      <w:r/>
      <w:r/>
    </w:p>
    <w:p>
      <w:pPr>
        <w:spacing w:line="380" w:lineRule="exact"/>
        <w:rPr>
          <w:rFonts w:hint="eastAsia" w:ascii="宋体" w:hAnsi="宋体" w:eastAsia="宋体" w:cs="宋体"/>
          <w:color w:val="auto"/>
          <w:sz w:val="24"/>
          <w:szCs w:val="24"/>
          <w:highlight w:val="none"/>
        </w:rPr>
      </w:pPr>
      <w:r/>
      <w:bookmarkStart w:id="921" w:name="_Toc332180849"/>
      <w:r>
        <w:rPr>
          <w:rFonts w:hint="eastAsia" w:ascii="宋体" w:hAnsi="宋体" w:eastAsia="宋体" w:cs="宋体"/>
          <w:color w:val="auto"/>
          <w:sz w:val="24"/>
          <w:szCs w:val="24"/>
          <w:highlight w:val="none"/>
        </w:rPr>
        <w:t xml:space="preserve">7.1.2 浇水必须湿透根系层，浸湿土层应大于5cm；沙质土壤应勤浇水，粘质土壤应合理浇水。</w:t>
      </w:r>
      <w:bookmarkEnd w:id="921"/>
      <w:r/>
      <w:r/>
    </w:p>
    <w:p>
      <w:pPr>
        <w:spacing w:line="380" w:lineRule="exact"/>
        <w:rPr>
          <w:rFonts w:hint="eastAsia" w:ascii="宋体" w:hAnsi="宋体" w:eastAsia="宋体" w:cs="宋体"/>
          <w:color w:val="auto"/>
          <w:sz w:val="24"/>
          <w:szCs w:val="24"/>
          <w:highlight w:val="none"/>
        </w:rPr>
      </w:pPr>
      <w:r/>
      <w:bookmarkStart w:id="922" w:name="_Toc332180850"/>
      <w:r>
        <w:rPr>
          <w:rFonts w:hint="eastAsia" w:ascii="宋体" w:hAnsi="宋体" w:eastAsia="宋体" w:cs="宋体"/>
          <w:color w:val="auto"/>
          <w:sz w:val="24"/>
          <w:szCs w:val="24"/>
          <w:highlight w:val="none"/>
        </w:rPr>
        <w:t xml:space="preserve">7.1.3 浇水必须湿透根系层，浸湿土层应大于5cm。</w:t>
      </w:r>
      <w:bookmarkEnd w:id="922"/>
      <w:r/>
      <w:r/>
    </w:p>
    <w:p>
      <w:pPr>
        <w:spacing w:line="380" w:lineRule="exact"/>
        <w:rPr>
          <w:rFonts w:hint="eastAsia" w:ascii="宋体" w:hAnsi="宋体" w:eastAsia="宋体" w:cs="宋体"/>
          <w:color w:val="auto"/>
          <w:sz w:val="24"/>
          <w:szCs w:val="24"/>
          <w:highlight w:val="none"/>
        </w:rPr>
      </w:pPr>
      <w:r/>
      <w:bookmarkStart w:id="923" w:name="_Toc332180851"/>
      <w:r>
        <w:rPr>
          <w:rFonts w:hint="eastAsia" w:ascii="宋体" w:hAnsi="宋体" w:eastAsia="宋体" w:cs="宋体"/>
          <w:color w:val="auto"/>
          <w:sz w:val="24"/>
          <w:szCs w:val="24"/>
          <w:highlight w:val="none"/>
        </w:rPr>
        <w:t xml:space="preserve">7.1.3 雨后积水应及时排除，积水时间不能超过1小时。</w:t>
      </w:r>
      <w:bookmarkEnd w:id="923"/>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绿地内应逐步完善喷灌或滴管系统。</w:t>
      </w:r>
      <w:r/>
    </w:p>
    <w:p>
      <w:pPr>
        <w:spacing w:line="380" w:lineRule="exact"/>
        <w:rPr>
          <w:rFonts w:hint="eastAsia" w:ascii="宋体" w:hAnsi="宋体" w:eastAsia="宋体" w:cs="宋体"/>
          <w:color w:val="auto"/>
          <w:sz w:val="24"/>
          <w:szCs w:val="24"/>
          <w:highlight w:val="none"/>
        </w:rPr>
      </w:pPr>
      <w:r/>
      <w:bookmarkStart w:id="924" w:name="_Toc332180852"/>
      <w:r>
        <w:rPr>
          <w:rFonts w:hint="eastAsia" w:ascii="宋体" w:hAnsi="宋体" w:eastAsia="宋体" w:cs="宋体"/>
          <w:color w:val="auto"/>
          <w:sz w:val="24"/>
          <w:szCs w:val="24"/>
          <w:highlight w:val="none"/>
        </w:rPr>
        <w:t xml:space="preserve">7.2 修剪</w:t>
      </w:r>
      <w:bookmarkEnd w:id="924"/>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 草坪应定期修剪，修剪高度应当一致，边缘整齐。要根据暖季型草坪、冷季型草坪和混播草坪的不同生长习性，及时进行修剪。一般情况下常州地区每年修剪15次以上，每年草坪越冬前应重修剪1次，5-10月期间，每10-15天应修剪1次。一般草坪和杂草型草坪每年应修剪5次以上，越冬前应重修剪1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草坪生长季节应采用条纹状交叉修剪方式，按1/3原则进行适时修剪。冷季型草坪留茬高度不超过6-7cm，暖季型草坪留茬高度不超过4-5cm。当草坪实际高度超过额定高度1/3时，应进行修剪。混播草坪的低修剪应根据气候条件，在2月底至4月上旬间进行，降低留茬高度，以确保暖季型草坪出芽。</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7.2.3 修剪机具刀刃必须锋利，剪口应无撕裂现象。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7.2.4 雨后或叶面有露水或刚浇水的草坪不宜修剪。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7.2.5 修剪后，草屑应及时清理，确保工完场地清。</w:t>
      </w:r>
      <w:r/>
    </w:p>
    <w:p>
      <w:pPr>
        <w:spacing w:line="380" w:lineRule="exact"/>
        <w:rPr>
          <w:rFonts w:hint="eastAsia" w:ascii="宋体" w:hAnsi="宋体" w:eastAsia="宋体" w:cs="宋体"/>
          <w:color w:val="auto"/>
          <w:sz w:val="24"/>
          <w:szCs w:val="24"/>
          <w:highlight w:val="none"/>
        </w:rPr>
      </w:pPr>
      <w:r/>
      <w:bookmarkStart w:id="925" w:name="_Toc332180853"/>
      <w:r>
        <w:rPr>
          <w:rFonts w:hint="eastAsia" w:ascii="宋体" w:hAnsi="宋体" w:eastAsia="宋体" w:cs="宋体"/>
          <w:color w:val="auto"/>
          <w:sz w:val="24"/>
          <w:szCs w:val="24"/>
          <w:highlight w:val="none"/>
        </w:rPr>
        <w:t xml:space="preserve">7.3病虫害防治</w:t>
      </w:r>
      <w:bookmarkEnd w:id="925"/>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每年防治病虫害5次以上，特别是地下害虫。草坪整体受害率应小于5%，其余参照3.3.1执行。</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 春秋季节应注意防治刺吸类害虫如蚜虫、飞虱、叶蝉等，应注意白粉病、锈病、褐斑病等病害的预防；高温季节应注意蛴螬、斜纹夜蛾、淡剑夜蛾、草地螟等害虫，多雨季节应注意腐霉病、粘菌、霜霉病等病害。</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7.3.5 建立病虫害防治网络，及时进行预测预报，并做好台帐记录。</w:t>
      </w:r>
      <w:r/>
    </w:p>
    <w:p>
      <w:pPr>
        <w:spacing w:line="380" w:lineRule="exact"/>
        <w:rPr>
          <w:rFonts w:hint="eastAsia" w:ascii="宋体" w:hAnsi="宋体" w:eastAsia="宋体" w:cs="宋体"/>
          <w:color w:val="auto"/>
          <w:sz w:val="24"/>
          <w:szCs w:val="24"/>
          <w:highlight w:val="none"/>
        </w:rPr>
      </w:pPr>
      <w:r/>
      <w:bookmarkStart w:id="926" w:name="_Toc332180854"/>
      <w:r>
        <w:rPr>
          <w:rFonts w:hint="eastAsia" w:ascii="宋体" w:hAnsi="宋体" w:eastAsia="宋体" w:cs="宋体"/>
          <w:color w:val="auto"/>
          <w:sz w:val="24"/>
          <w:szCs w:val="24"/>
          <w:highlight w:val="none"/>
        </w:rPr>
        <w:t xml:space="preserve">7.4 除草</w:t>
      </w:r>
      <w:bookmarkEnd w:id="926"/>
      <w:r>
        <w:rPr>
          <w:rFonts w:hint="eastAsia" w:ascii="宋体" w:hAnsi="宋体" w:eastAsia="宋体" w:cs="宋体"/>
          <w:color w:val="auto"/>
          <w:sz w:val="24"/>
          <w:szCs w:val="24"/>
          <w:highlight w:val="none"/>
        </w:rPr>
        <w:t xml:space="preserve">与切边</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 除草参照6.4执行</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7.4.2 与树木交界处，边缘应进行切边处理或留出积水穴，宽度宜20-50cm，深度宜10cm。</w:t>
      </w:r>
      <w:r/>
    </w:p>
    <w:p>
      <w:pPr>
        <w:spacing w:line="380" w:lineRule="exact"/>
        <w:rPr>
          <w:rFonts w:hint="eastAsia" w:ascii="宋体" w:hAnsi="宋体" w:eastAsia="宋体" w:cs="宋体"/>
          <w:color w:val="auto"/>
          <w:sz w:val="24"/>
          <w:szCs w:val="24"/>
          <w:highlight w:val="none"/>
        </w:rPr>
      </w:pPr>
      <w:r/>
      <w:bookmarkStart w:id="927" w:name="_Toc332180855"/>
      <w:r>
        <w:rPr>
          <w:rFonts w:hint="eastAsia" w:ascii="宋体" w:hAnsi="宋体" w:eastAsia="宋体" w:cs="宋体"/>
          <w:color w:val="auto"/>
          <w:sz w:val="24"/>
          <w:szCs w:val="24"/>
          <w:highlight w:val="none"/>
        </w:rPr>
        <w:t xml:space="preserve">7.5 施肥</w:t>
      </w:r>
      <w:bookmarkEnd w:id="927"/>
      <w:r/>
      <w:r/>
    </w:p>
    <w:p>
      <w:pPr>
        <w:spacing w:line="380" w:lineRule="exact"/>
        <w:rPr>
          <w:rFonts w:hint="eastAsia" w:ascii="宋体" w:hAnsi="宋体" w:eastAsia="宋体" w:cs="宋体"/>
          <w:color w:val="auto"/>
          <w:sz w:val="24"/>
          <w:szCs w:val="24"/>
          <w:highlight w:val="none"/>
        </w:rPr>
      </w:pPr>
      <w:r/>
      <w:bookmarkStart w:id="928" w:name="_Toc332180856"/>
      <w:r>
        <w:rPr>
          <w:rFonts w:hint="eastAsia" w:ascii="宋体" w:hAnsi="宋体" w:eastAsia="宋体" w:cs="宋体"/>
          <w:color w:val="auto"/>
          <w:sz w:val="24"/>
          <w:szCs w:val="24"/>
          <w:highlight w:val="none"/>
        </w:rPr>
        <w:t xml:space="preserve">7.5.1 根据草坪品种、长势情况和气候条件进行施肥。</w:t>
      </w:r>
      <w:bookmarkEnd w:id="928"/>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草坪越冬期宜施有机肥料，平时宜薄肥勤施。</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7.5.3 施用量为有机肥每年宜1kg/㎡，复合肥每月宜15g/㎡ —20g/㎡。</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7.5.4 施肥方法可采用颗粒撒施、叶面喷施和灌溉施肥。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7.5.5 肥料撒施后应立即充分浇水，以免化肥灼伤叶片。</w:t>
      </w:r>
      <w:r/>
    </w:p>
    <w:p>
      <w:pPr>
        <w:spacing w:line="380" w:lineRule="exact"/>
        <w:rPr>
          <w:rFonts w:hint="eastAsia" w:ascii="宋体" w:hAnsi="宋体" w:eastAsia="宋体" w:cs="宋体"/>
          <w:color w:val="auto"/>
          <w:sz w:val="24"/>
          <w:szCs w:val="24"/>
          <w:highlight w:val="none"/>
        </w:rPr>
      </w:pPr>
      <w:r/>
      <w:bookmarkStart w:id="929" w:name="_Toc332180857"/>
      <w:r>
        <w:rPr>
          <w:rFonts w:hint="eastAsia" w:ascii="宋体" w:hAnsi="宋体" w:eastAsia="宋体" w:cs="宋体"/>
          <w:color w:val="auto"/>
          <w:sz w:val="24"/>
          <w:szCs w:val="24"/>
          <w:highlight w:val="none"/>
        </w:rPr>
        <w:t xml:space="preserve">7.6 追播</w:t>
      </w:r>
      <w:bookmarkEnd w:id="929"/>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7.6.1 混播草坪应在9月下旬至10月上中旬追播冷季型草坪。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7.6.2 播籽前应进行低修剪，留茬高度应低于3cm。</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7.6.3 冷季型草坪播种量应为20g/㎡ — 25g/㎡，种子纯度98%以上，播种要均匀。</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7.6.4 播种后必须均匀喷水保持土壤湿润，出苗后正常养护。</w:t>
      </w:r>
      <w:r/>
    </w:p>
    <w:p>
      <w:pPr>
        <w:spacing w:line="380" w:lineRule="exact"/>
        <w:rPr>
          <w:rFonts w:hint="eastAsia" w:ascii="宋体" w:hAnsi="宋体" w:eastAsia="宋体" w:cs="宋体"/>
          <w:color w:val="auto"/>
          <w:sz w:val="24"/>
          <w:szCs w:val="24"/>
          <w:highlight w:val="none"/>
        </w:rPr>
      </w:pPr>
      <w:r/>
      <w:bookmarkStart w:id="930" w:name="_Toc332180858"/>
      <w:r>
        <w:rPr>
          <w:rFonts w:hint="eastAsia" w:ascii="宋体" w:hAnsi="宋体" w:eastAsia="宋体" w:cs="宋体"/>
          <w:color w:val="auto"/>
          <w:sz w:val="24"/>
          <w:szCs w:val="24"/>
          <w:highlight w:val="none"/>
        </w:rPr>
        <w:t xml:space="preserve">7.7 复壮</w:t>
      </w:r>
      <w:bookmarkEnd w:id="930"/>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7.7.1 当枯草层增厚，土层通气性差，空秃严重，杂草明显，必须复壮更新，每3-5年1次。</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7.7.2 枯草层可采用疏草机或钢齿耙消除；应用打孔机打孔改善土壤通气性；结合打孔增施有机肥、复合肥,并适当覆黄沙改良表层土壤。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7.7.3 草坪高低悬殊出现秃斑或成片杂草侵入,在采取相应的平整除草措施后用同类草籽或草皮修补。</w:t>
      </w:r>
      <w:r/>
    </w:p>
    <w:p>
      <w:pPr>
        <w:jc w:val="both"/>
        <w:spacing w:line="380" w:lineRule="exact"/>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center"/>
        <w:rPr>
          <w:rFonts w:hint="eastAsia" w:ascii="宋体" w:hAnsi="宋体" w:eastAsia="宋体" w:cs="宋体"/>
          <w:b/>
          <w:color w:val="auto"/>
          <w:sz w:val="32"/>
          <w:szCs w:val="32"/>
          <w:highlight w:val="none"/>
        </w:rPr>
        <w:sectPr>
          <w:footerReference w:type="default" r:id="rId24"/>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金坛区绿地（行道树）养护分级管理质量标准</w:t>
      </w:r>
      <w:r/>
    </w:p>
    <w:tbl>
      <w:tblPr>
        <w:tblStyle w:val="861"/>
        <w:tblpPr w:horzAnchor="margin" w:tblpXSpec="center" w:vertAnchor="page" w:tblpY="2155"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62"/>
        <w:gridCol w:w="464"/>
        <w:gridCol w:w="3343"/>
        <w:gridCol w:w="2767"/>
        <w:gridCol w:w="2922"/>
      </w:tblGrid>
      <w:tr>
        <w:trPr>
          <w:trHeight w:val="292"/>
        </w:trPr>
        <w:tc>
          <w:tcPr>
            <w:gridSpan w:val="2"/>
            <w:tcMar>
              <w:left w:w="108" w:type="dxa"/>
              <w:top w:w="0" w:type="dxa"/>
              <w:right w:w="108" w:type="dxa"/>
              <w:bottom w:w="0" w:type="dxa"/>
            </w:tcMar>
            <w:tcW w:w="465"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养护等级</w:t>
            </w:r>
            <w:r/>
          </w:p>
        </w:tc>
        <w:tc>
          <w:tcPr>
            <w:tcMar>
              <w:left w:w="108" w:type="dxa"/>
              <w:top w:w="0" w:type="dxa"/>
              <w:right w:w="108" w:type="dxa"/>
              <w:bottom w:w="0" w:type="dxa"/>
            </w:tcMar>
            <w:tcW w:w="1678"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一级</w:t>
            </w:r>
            <w:r/>
          </w:p>
        </w:tc>
        <w:tc>
          <w:tcPr>
            <w:tcMar>
              <w:left w:w="108" w:type="dxa"/>
              <w:top w:w="0" w:type="dxa"/>
              <w:right w:w="108" w:type="dxa"/>
              <w:bottom w:w="0" w:type="dxa"/>
            </w:tcMar>
            <w:tcW w:w="1389"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二级</w:t>
            </w:r>
            <w:r/>
          </w:p>
        </w:tc>
        <w:tc>
          <w:tcPr>
            <w:tcMar>
              <w:left w:w="108" w:type="dxa"/>
              <w:top w:w="0" w:type="dxa"/>
              <w:right w:w="108" w:type="dxa"/>
              <w:bottom w:w="0" w:type="dxa"/>
            </w:tcMar>
            <w:tcW w:w="1466"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三级</w:t>
            </w:r>
            <w:r/>
          </w:p>
        </w:tc>
      </w:tr>
      <w:tr>
        <w:trPr>
          <w:trHeight w:val="340"/>
        </w:trPr>
        <w:tc>
          <w:tcPr>
            <w:tcMar>
              <w:left w:w="108" w:type="dxa"/>
              <w:top w:w="0" w:type="dxa"/>
              <w:right w:w="108" w:type="dxa"/>
              <w:bottom w:w="0" w:type="dxa"/>
            </w:tcMar>
            <w:tcW w:w="232" w:type="pct"/>
            <w:vAlign w:val="center"/>
            <w:vMerge w:val="restart"/>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绿化</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管护</w:t>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乔木</w:t>
            </w:r>
            <w:r/>
          </w:p>
        </w:tc>
        <w:tc>
          <w:tcPr>
            <w:tcMar>
              <w:left w:w="108" w:type="dxa"/>
              <w:top w:w="0" w:type="dxa"/>
              <w:right w:w="108" w:type="dxa"/>
              <w:bottom w:w="0" w:type="dxa"/>
            </w:tcMar>
            <w:tcW w:w="1678" w:type="pct"/>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生长健壮，树冠完整，树形优美。</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分枝点合适，无枯枝死杈；主侧枝分布匀称、数量适宜；修剪及时、合理，内膛不乱，通风透光。树木不歪斜（造型树木除外）。叶片大小、颜色正常，无黄叶、焦叶、卷叶。</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无缺株、死株。无可视的病虫危害症状，被害株率≤2%，地下害虫≤2头/㎡。</w:t>
            </w:r>
            <w:r/>
          </w:p>
        </w:tc>
        <w:tc>
          <w:tcPr>
            <w:tcMar>
              <w:left w:w="108" w:type="dxa"/>
              <w:top w:w="0" w:type="dxa"/>
              <w:right w:w="108" w:type="dxa"/>
              <w:bottom w:w="0" w:type="dxa"/>
            </w:tcMar>
            <w:tcW w:w="1389" w:type="pct"/>
            <w:textDirection w:val="lrTb"/>
            <w:noWrap w:val="false"/>
          </w:tcPr>
          <w:p>
            <w:pPr>
              <w:ind w:left="-105"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生长正常，树冠完整。</w:t>
            </w:r>
            <w:r/>
          </w:p>
          <w:p>
            <w:pPr>
              <w:ind w:left="-105"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无明显枯枝死杈；主侧枝分布匀称、数量较适宜；修剪合理；树木无明显歪斜（造型树木除外）。叶片大小、颜色正常，有黄叶、焦叶和卷叶的株数不超过10%，正常叶片保存率在85%以上。</w:t>
            </w:r>
            <w:r/>
          </w:p>
          <w:p>
            <w:pPr>
              <w:ind w:left="-105"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无明显枯死株。无明显可视的病虫危害症状，被害株率≤10%。</w:t>
            </w:r>
            <w:r/>
          </w:p>
        </w:tc>
        <w:tc>
          <w:tcPr>
            <w:tcMar>
              <w:left w:w="108" w:type="dxa"/>
              <w:top w:w="0" w:type="dxa"/>
              <w:right w:w="108" w:type="dxa"/>
              <w:bottom w:w="0" w:type="dxa"/>
            </w:tcMar>
            <w:tcW w:w="1466" w:type="pct"/>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有完整景观效果。</w:t>
            </w:r>
            <w:r/>
          </w:p>
          <w:p>
            <w:pPr>
              <w:ind w:left="-105"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无明显枯枝死杈；修剪合理；树木无明显歪斜（造型树木除外）。叶片大小、颜色正常，有黄叶、蕉叶和卷叶的株树不超过15%，正常叶片保存率在80%以上。</w:t>
            </w:r>
            <w:r/>
          </w:p>
        </w:tc>
      </w:tr>
      <w:tr>
        <w:trPr>
          <w:trHeight w:val="340"/>
        </w:trPr>
        <w:tc>
          <w:tcPr>
            <w:tcW w:w="232" w:type="pct"/>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行道树</w:t>
            </w:r>
            <w:r/>
          </w:p>
        </w:tc>
        <w:tc>
          <w:tcPr>
            <w:tcMar>
              <w:left w:w="108" w:type="dxa"/>
              <w:top w:w="0" w:type="dxa"/>
              <w:right w:w="108" w:type="dxa"/>
              <w:bottom w:w="0" w:type="dxa"/>
            </w:tcMar>
            <w:tcW w:w="1678" w:type="pct"/>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树形完整、树冠舒展，分枝点偏差在正负10cm内；保留3级及以上分枝，长势良好，无徒长枝、病虫枝、交叉枝、重叠枝、下垂枝、扭伤枝、萌蘖枝、枯枝以及烂头等。</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树穴有平整盖板或种植地被植物、覆盖植物树皮碎屑，黄土不裸露，树穴设施完好。</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补植的行道树品种与原行道树一致，规格适宜，一般为：落叶树种的胸径在15cm以下，常绿树种的胸径在12cm以下。</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无可视的病虫危害症状，被害株率≤2%，地下害虫≤2头/㎡。</w:t>
            </w:r>
            <w:r/>
          </w:p>
        </w:tc>
        <w:tc>
          <w:tcPr>
            <w:tcMar>
              <w:left w:w="108" w:type="dxa"/>
              <w:top w:w="0" w:type="dxa"/>
              <w:right w:w="108" w:type="dxa"/>
              <w:bottom w:w="0" w:type="dxa"/>
            </w:tcMar>
            <w:tcW w:w="1389"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树形、树冠舒展，分枝点偏差在正负30cm内；保留1级及以上分枝，长势良好，无明显徒长枝、病虫枝、交叉枝、重叠枝、下垂枝、扭伤枝、枯枝和烂头以及萌蘖枝等。</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补植的行道树品种与原行道树一致，规格适宜，一般为：落叶树种的胸径在15cm以下，常绿树种的胸径在12cm以下。</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无明显可视的病虫危害症状，被害株率≤10%。</w:t>
            </w:r>
            <w:r/>
          </w:p>
        </w:tc>
        <w:tc>
          <w:tcPr>
            <w:tcMar>
              <w:left w:w="108" w:type="dxa"/>
              <w:top w:w="0" w:type="dxa"/>
              <w:right w:w="108" w:type="dxa"/>
              <w:bottom w:w="0" w:type="dxa"/>
            </w:tcMar>
            <w:tcW w:w="1466"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树形、树冠舒展，分枝点偏差在正负40cm内；长势良好，无明显徒长枝、病虫枝、交叉枝、重叠枝、下垂枝、扭伤枝、枯枝和烂头以及萌蘖枝等。</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补植的行道树规格适宜，一般为：落叶树种的胸径在15cm以下，常绿树种的胸径在12cm以下。</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w:t>
            </w:r>
            <w:r/>
          </w:p>
        </w:tc>
      </w:tr>
      <w:tr>
        <w:trPr>
          <w:trHeight w:val="1510"/>
        </w:trPr>
        <w:tc>
          <w:tcPr>
            <w:tcW w:w="232" w:type="pct"/>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花</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灌</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木</w:t>
            </w:r>
            <w:r/>
          </w:p>
        </w:tc>
        <w:tc>
          <w:tcPr>
            <w:tcMar>
              <w:left w:w="108" w:type="dxa"/>
              <w:top w:w="0" w:type="dxa"/>
              <w:right w:w="108" w:type="dxa"/>
              <w:bottom w:w="0" w:type="dxa"/>
            </w:tcMar>
            <w:tcW w:w="1678" w:type="pct"/>
            <w:vAlign w:val="center"/>
            <w:textDirection w:val="lrTb"/>
            <w:noWrap w:val="false"/>
          </w:tcPr>
          <w:p>
            <w:pPr>
              <w:ind w:right="-105"/>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花灌木株形丰满，枝叶茂密，开花适时，花后修剪及时合理。</w:t>
            </w:r>
            <w:r/>
          </w:p>
          <w:p>
            <w:pPr>
              <w:ind w:right="-105"/>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无可视的病虫危害症状，被害株率≤2%，地下害虫≤2头/㎡。</w:t>
            </w:r>
            <w:r/>
          </w:p>
        </w:tc>
        <w:tc>
          <w:tcPr>
            <w:tcMar>
              <w:left w:w="108" w:type="dxa"/>
              <w:top w:w="0" w:type="dxa"/>
              <w:right w:w="108" w:type="dxa"/>
              <w:bottom w:w="0" w:type="dxa"/>
            </w:tcMar>
            <w:tcW w:w="1389" w:type="pct"/>
            <w:vAlign w:val="center"/>
            <w:textDirection w:val="lrTb"/>
            <w:noWrap w:val="false"/>
          </w:tcPr>
          <w:p>
            <w:pPr>
              <w:ind w:right="-105"/>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花灌木开花适时，花后能够进行修剪。</w:t>
            </w:r>
            <w:r/>
          </w:p>
          <w:p>
            <w:pPr>
              <w:ind w:right="-105"/>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病虫害防治较及时，被害株率≤10%。</w:t>
            </w:r>
            <w:r/>
          </w:p>
        </w:tc>
        <w:tc>
          <w:tcPr>
            <w:tcMar>
              <w:left w:w="108" w:type="dxa"/>
              <w:top w:w="0" w:type="dxa"/>
              <w:right w:w="108" w:type="dxa"/>
              <w:bottom w:w="0" w:type="dxa"/>
            </w:tcMar>
            <w:tcW w:w="1466" w:type="pct"/>
            <w:vAlign w:val="center"/>
            <w:textDirection w:val="lrTb"/>
            <w:noWrap w:val="false"/>
          </w:tcPr>
          <w:p>
            <w:pPr>
              <w:ind w:right="-105"/>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花灌木开花适时。</w:t>
            </w:r>
            <w:r/>
          </w:p>
          <w:p>
            <w:pPr>
              <w:ind w:right="-105"/>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病虫害防治较及时。</w:t>
            </w:r>
            <w:r/>
          </w:p>
        </w:tc>
      </w:tr>
      <w:tr>
        <w:trPr>
          <w:trHeight w:val="340"/>
        </w:trPr>
        <w:tc>
          <w:tcPr>
            <w:tcMar>
              <w:left w:w="108" w:type="dxa"/>
              <w:top w:w="0" w:type="dxa"/>
              <w:right w:w="108" w:type="dxa"/>
              <w:bottom w:w="0" w:type="dxa"/>
            </w:tcMar>
            <w:tcW w:w="232" w:type="pct"/>
            <w:vAlign w:val="center"/>
            <w:vMerge w:val="continue"/>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op w:w="0" w:type="dxa"/>
              <w:right w:w="108" w:type="dxa"/>
              <w:bottom w:w="0" w:type="dxa"/>
            </w:tcMar>
            <w:tcW w:w="232" w:type="pct"/>
            <w:vAlign w:val="center"/>
            <w:textDirection w:val="lrTb"/>
            <w:noWrap w:val="false"/>
          </w:tcPr>
          <w:p>
            <w:pPr>
              <w:ind w:left="-105" w:right="-105"/>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绿篱（模纹、色块）等</w:t>
            </w:r>
            <w:r/>
          </w:p>
        </w:tc>
        <w:tc>
          <w:tcPr>
            <w:tcMar>
              <w:left w:w="108" w:type="dxa"/>
              <w:top w:w="0" w:type="dxa"/>
              <w:right w:w="108" w:type="dxa"/>
              <w:bottom w:w="0" w:type="dxa"/>
            </w:tcMar>
            <w:tcW w:w="1678"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绿篱、模纹和色块等修剪及时。绿篱线条清晰，同类观赏面规则，整齐一致；模纹和色块线条流畅、主要观赏面圆润饱满，符合设计要求。</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枝叶茂密，造型优美。造型树木根据不同的生长特性及时摘心、攀扎。</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无可视的病虫危害症状，被害株率≤2%，地下害虫≤2头/㎡。</w:t>
            </w:r>
            <w:r/>
          </w:p>
        </w:tc>
        <w:tc>
          <w:tcPr>
            <w:tcMar>
              <w:left w:w="108" w:type="dxa"/>
              <w:top w:w="0" w:type="dxa"/>
              <w:right w:w="108" w:type="dxa"/>
              <w:bottom w:w="0" w:type="dxa"/>
            </w:tcMar>
            <w:tcW w:w="1389"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绿篱、模纹和色块等能定期修剪。</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无明显可视的病虫危害症状，被害面积≤10%。</w:t>
            </w:r>
            <w:r/>
          </w:p>
        </w:tc>
        <w:tc>
          <w:tcPr>
            <w:tcMar>
              <w:left w:w="108" w:type="dxa"/>
              <w:top w:w="0" w:type="dxa"/>
              <w:right w:w="108" w:type="dxa"/>
              <w:bottom w:w="0" w:type="dxa"/>
            </w:tcMar>
            <w:tcW w:w="1466"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绿篱、模纹和色块等修剪合理。</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w:t>
            </w:r>
            <w:r/>
          </w:p>
        </w:tc>
      </w:tr>
      <w:tr>
        <w:trPr>
          <w:trHeight w:val="340"/>
        </w:trPr>
        <w:tc>
          <w:tcPr>
            <w:tcW w:w="232" w:type="pct"/>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水生</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植物</w:t>
            </w:r>
            <w:r/>
          </w:p>
        </w:tc>
        <w:tc>
          <w:tcPr>
            <w:tcMar>
              <w:left w:w="108" w:type="dxa"/>
              <w:top w:w="0" w:type="dxa"/>
              <w:right w:w="108" w:type="dxa"/>
              <w:bottom w:w="0" w:type="dxa"/>
            </w:tcMar>
            <w:tcW w:w="1678" w:type="pct"/>
            <w:vAlign w:val="center"/>
            <w:textDirection w:val="lrTb"/>
            <w:noWrap w:val="false"/>
          </w:tcPr>
          <w:p>
            <w:pPr>
              <w:ind w:left="-108"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水生植物密度适宜，花期正常、花色鲜艳美观，无干枯叶、残花等。</w:t>
            </w:r>
            <w:r/>
          </w:p>
          <w:p>
            <w:pPr>
              <w:ind w:left="-108"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无可视的病虫危害症状，被害株率≤2%。</w:t>
            </w:r>
            <w:r/>
          </w:p>
        </w:tc>
        <w:tc>
          <w:tcPr>
            <w:tcMar>
              <w:left w:w="108" w:type="dxa"/>
              <w:top w:w="0" w:type="dxa"/>
              <w:right w:w="108" w:type="dxa"/>
              <w:bottom w:w="0" w:type="dxa"/>
            </w:tcMar>
            <w:tcW w:w="1389" w:type="pct"/>
            <w:vAlign w:val="center"/>
            <w:textDirection w:val="lrTb"/>
            <w:noWrap w:val="false"/>
          </w:tcPr>
          <w:p>
            <w:pPr>
              <w:ind w:left="-108"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水生植物能够正常生长、开花。</w:t>
            </w:r>
            <w:r/>
          </w:p>
          <w:p>
            <w:pPr>
              <w:ind w:left="-108"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无明显可视的病虫危害症状，被害面积≤10%。</w:t>
            </w:r>
            <w:r/>
          </w:p>
        </w:tc>
        <w:tc>
          <w:tcPr>
            <w:tcMar>
              <w:left w:w="108" w:type="dxa"/>
              <w:top w:w="0" w:type="dxa"/>
              <w:right w:w="108" w:type="dxa"/>
              <w:bottom w:w="0" w:type="dxa"/>
            </w:tcMar>
            <w:tcW w:w="1466" w:type="pct"/>
            <w:vAlign w:val="center"/>
            <w:textDirection w:val="lrTb"/>
            <w:noWrap w:val="false"/>
          </w:tcPr>
          <w:p>
            <w:pPr>
              <w:ind w:left="-108"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水生植物能够正常生长、开花。</w:t>
            </w:r>
            <w:r/>
          </w:p>
          <w:p>
            <w:pPr>
              <w:ind w:left="-108"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w:t>
            </w:r>
            <w:r/>
          </w:p>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40"/>
        </w:trPr>
        <w:tc>
          <w:tcPr>
            <w:tcW w:w="232" w:type="pct"/>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攀援</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植物</w:t>
            </w:r>
            <w:r/>
          </w:p>
        </w:tc>
        <w:tc>
          <w:tcPr>
            <w:tcMar>
              <w:left w:w="108" w:type="dxa"/>
              <w:top w:w="0" w:type="dxa"/>
              <w:right w:w="108" w:type="dxa"/>
              <w:bottom w:w="0" w:type="dxa"/>
            </w:tcMar>
            <w:tcW w:w="1678"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根据不同植物的攀缘特点，及时采取相应的技术措施，生长旺盛。</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及时清除枯枝，疏删老弱藤蔓；开花的攀缘植物适时开花。</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无可视的病虫危害症状，被害株率≤2%。</w:t>
            </w:r>
            <w:r/>
          </w:p>
        </w:tc>
        <w:tc>
          <w:tcPr>
            <w:tcMar>
              <w:left w:w="108" w:type="dxa"/>
              <w:top w:w="0" w:type="dxa"/>
              <w:right w:w="108" w:type="dxa"/>
              <w:bottom w:w="0" w:type="dxa"/>
            </w:tcMar>
            <w:tcW w:w="1389"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开花的攀缘植物能适时开花。</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无明显可视的病虫危害症状，被害面积≤10%。</w:t>
            </w:r>
            <w:r/>
          </w:p>
        </w:tc>
        <w:tc>
          <w:tcPr>
            <w:tcMar>
              <w:left w:w="108" w:type="dxa"/>
              <w:top w:w="0" w:type="dxa"/>
              <w:right w:w="108" w:type="dxa"/>
              <w:bottom w:w="0" w:type="dxa"/>
            </w:tcMar>
            <w:tcW w:w="1466"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攀缘植物能正常生长。</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w:t>
            </w:r>
            <w:r/>
          </w:p>
        </w:tc>
      </w:tr>
      <w:tr>
        <w:trPr>
          <w:trHeight w:val="340"/>
        </w:trPr>
        <w:tc>
          <w:tcPr>
            <w:tcW w:w="232" w:type="pct"/>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地被</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花卉</w:t>
            </w:r>
            <w:r/>
          </w:p>
        </w:tc>
        <w:tc>
          <w:tcPr>
            <w:tcMar>
              <w:left w:w="108" w:type="dxa"/>
              <w:top w:w="0" w:type="dxa"/>
              <w:right w:w="108" w:type="dxa"/>
              <w:bottom w:w="0" w:type="dxa"/>
            </w:tcMar>
            <w:tcW w:w="1678"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多年生地被植物（含花境）和露地一、二年生花卉生长健壮，株行距适宜，色彩鲜艳，花期整齐，图案清晰。</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无缺株、倒伏，残花量不大于10％。</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无可视的病虫危害症状，被害株率≤2%，地下害虫≤2头/㎡。</w:t>
            </w:r>
            <w:r/>
          </w:p>
        </w:tc>
        <w:tc>
          <w:tcPr>
            <w:tcMar>
              <w:left w:w="108" w:type="dxa"/>
              <w:top w:w="0" w:type="dxa"/>
              <w:right w:w="108" w:type="dxa"/>
              <w:bottom w:w="0" w:type="dxa"/>
            </w:tcMar>
            <w:tcW w:w="1389"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多年生地被植物覆盖率90%以上。生长正常，开花适时。</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无明显可视的病虫危害症状，被害面积≤10%，地下害虫≤10头/㎡。</w:t>
            </w:r>
            <w:r/>
          </w:p>
        </w:tc>
        <w:tc>
          <w:tcPr>
            <w:tcMar>
              <w:left w:w="108" w:type="dxa"/>
              <w:top w:w="0" w:type="dxa"/>
              <w:right w:w="108" w:type="dxa"/>
              <w:bottom w:w="0" w:type="dxa"/>
            </w:tcMar>
            <w:tcW w:w="1466"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多年生地被植物生长正常，开花适时。</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w:t>
            </w:r>
            <w:r/>
          </w:p>
        </w:tc>
      </w:tr>
      <w:tr>
        <w:trPr>
          <w:trHeight w:val="340"/>
        </w:trPr>
        <w:tc>
          <w:tcPr>
            <w:tcMar>
              <w:left w:w="108" w:type="dxa"/>
              <w:top w:w="0" w:type="dxa"/>
              <w:right w:w="108" w:type="dxa"/>
              <w:bottom w:w="0" w:type="dxa"/>
            </w:tcMar>
            <w:tcW w:w="232" w:type="pct"/>
            <w:vAlign w:val="center"/>
            <w:vMerge w:val="continue"/>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草坪</w:t>
            </w:r>
            <w:r/>
          </w:p>
        </w:tc>
        <w:tc>
          <w:tcPr>
            <w:tcMar>
              <w:left w:w="108" w:type="dxa"/>
              <w:top w:w="0" w:type="dxa"/>
              <w:right w:w="108" w:type="dxa"/>
              <w:bottom w:w="0" w:type="dxa"/>
            </w:tcMar>
            <w:tcW w:w="1678"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草坪外观整齐，边缘线清晰，生长旺盛，草根不裸露；无可视斑秃；生长季节不枯黄，修剪及时，绿地内杂草率≤2%。</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无可视的病虫危害症状，被害株率≤2%，地下害虫≤2头/㎡。</w:t>
            </w:r>
            <w:r/>
          </w:p>
        </w:tc>
        <w:tc>
          <w:tcPr>
            <w:tcMar>
              <w:left w:w="108" w:type="dxa"/>
              <w:top w:w="0" w:type="dxa"/>
              <w:right w:w="108" w:type="dxa"/>
              <w:bottom w:w="0" w:type="dxa"/>
            </w:tcMar>
            <w:tcW w:w="1389"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草坪覆盖率90%以上，单块斑秃面积不超过0.3㎡或10㎡绿地内斑秃面积不超过4块；草坪内杂草率≤15%。</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草坪绿色期：冷季型草坪不得少于240天，暖季型草坪不得少于160天。</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无明显可视的病虫危害症状，被害面积≤10%，地下害虫≤10头/㎡。</w:t>
            </w:r>
            <w:r/>
          </w:p>
        </w:tc>
        <w:tc>
          <w:tcPr>
            <w:tcMar>
              <w:left w:w="108" w:type="dxa"/>
              <w:top w:w="0" w:type="dxa"/>
              <w:right w:w="108" w:type="dxa"/>
              <w:bottom w:w="0" w:type="dxa"/>
            </w:tcMar>
            <w:tcW w:w="1466" w:type="pct"/>
            <w:vAlign w:val="center"/>
            <w:textDirection w:val="lrTb"/>
            <w:noWrap w:val="false"/>
          </w:tcPr>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草坪覆盖率85%以上，单块斑秃面积不超过0.4㎡或10㎡绿地内斑秃面积不超过5块；草坪内杂草率≤20%。</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无明显可视的病虫危害症状。</w:t>
            </w:r>
            <w:r/>
          </w:p>
        </w:tc>
      </w:tr>
      <w:tr>
        <w:trPr>
          <w:trHeight w:val="340"/>
        </w:trPr>
        <w:tc>
          <w:tcPr>
            <w:tcW w:w="232" w:type="pct"/>
            <w:vAlign w:val="center"/>
            <w:vMerge w:val="restart"/>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设</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施</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维</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护</w:t>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水体</w:t>
            </w:r>
            <w:r/>
          </w:p>
        </w:tc>
        <w:tc>
          <w:tcPr>
            <w:tcMar>
              <w:left w:w="108" w:type="dxa"/>
              <w:top w:w="0" w:type="dxa"/>
              <w:right w:w="108" w:type="dxa"/>
              <w:bottom w:w="0" w:type="dxa"/>
            </w:tcMar>
            <w:tcW w:w="1678" w:type="pct"/>
            <w:vAlign w:val="center"/>
            <w:textDirection w:val="lrTb"/>
            <w:noWrap w:val="false"/>
          </w:tcPr>
          <w:p>
            <w:pPr>
              <w:ind w:right="-108"/>
              <w:jc w:val="left"/>
              <w:spacing w:before="100" w:beforeAutospacing="1" w:after="100" w:afterAutospacing="1"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水质符合地表水环境质量标准的相应要求；水面清洁，无漂浮物。</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安全警示标志设置规范、齐全。</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水体排灌等设施完好，运行正常。</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池底、池岸安全稳固，整齐美观，无缺损。</w:t>
            </w:r>
            <w:r/>
          </w:p>
        </w:tc>
        <w:tc>
          <w:tcPr>
            <w:tcMar>
              <w:left w:w="108" w:type="dxa"/>
              <w:top w:w="0" w:type="dxa"/>
              <w:right w:w="108" w:type="dxa"/>
              <w:bottom w:w="0" w:type="dxa"/>
            </w:tcMar>
            <w:tcW w:w="1389" w:type="pct"/>
            <w:vAlign w:val="center"/>
            <w:textDirection w:val="lrTb"/>
            <w:noWrap w:val="false"/>
          </w:tcPr>
          <w:p>
            <w:pPr>
              <w:ind w:left="-105"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水质符合地表水环境质量标准的相应要求；水面清洁，基本无漂浮物。</w:t>
            </w:r>
            <w:r/>
          </w:p>
          <w:p>
            <w:pPr>
              <w:ind w:left="-105"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安全警示标志设置齐全。</w:t>
            </w:r>
            <w:r/>
          </w:p>
          <w:p>
            <w:pPr>
              <w:ind w:left="-105"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水体排灌等设施完好，运行正常。</w:t>
            </w:r>
            <w:r/>
          </w:p>
          <w:p>
            <w:pPr>
              <w:ind w:left="-105"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池底、池岸安全稳固，整齐美观，无缺损。</w:t>
            </w:r>
            <w:r/>
          </w:p>
        </w:tc>
        <w:tc>
          <w:tcPr>
            <w:tcMar>
              <w:left w:w="108" w:type="dxa"/>
              <w:top w:w="0" w:type="dxa"/>
              <w:right w:w="108" w:type="dxa"/>
              <w:bottom w:w="0" w:type="dxa"/>
            </w:tcMar>
            <w:tcW w:w="1466" w:type="pct"/>
            <w:vAlign w:val="center"/>
            <w:textDirection w:val="lrTb"/>
            <w:noWrap w:val="false"/>
          </w:tcPr>
          <w:p>
            <w:pPr>
              <w:ind w:left="-105"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水质符合地表水环境质量标准的相应要求；水面清洁，无明显漂浮物。</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安全警示标志设置齐全。</w:t>
            </w:r>
            <w:r/>
          </w:p>
          <w:p>
            <w:pPr>
              <w:ind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水体排灌等设施完好，运行正常。</w:t>
            </w:r>
            <w:r/>
          </w:p>
          <w:p>
            <w:pPr>
              <w:ind w:left="-105" w:right="-108"/>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池底安全稳固，有少量缺损，但不影响安全使用。</w:t>
            </w:r>
            <w:r/>
          </w:p>
        </w:tc>
      </w:tr>
      <w:tr>
        <w:trPr>
          <w:trHeight w:val="340"/>
        </w:trPr>
        <w:tc>
          <w:tcPr>
            <w:tcW w:w="232" w:type="pct"/>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标识</w:t>
            </w:r>
            <w:r/>
          </w:p>
        </w:tc>
        <w:tc>
          <w:tcPr>
            <w:tcMar>
              <w:left w:w="108" w:type="dxa"/>
              <w:top w:w="0" w:type="dxa"/>
              <w:right w:w="108" w:type="dxa"/>
              <w:bottom w:w="0" w:type="dxa"/>
            </w:tcMar>
            <w:tcW w:w="1678" w:type="pct"/>
            <w:vAlign w:val="center"/>
            <w:textDirection w:val="lrTb"/>
            <w:noWrap w:val="false"/>
          </w:tcPr>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牌示齐全、完整、整洁，文字及图案清晰。</w:t>
            </w:r>
            <w:r/>
          </w:p>
        </w:tc>
        <w:tc>
          <w:tcPr>
            <w:tcMar>
              <w:left w:w="108" w:type="dxa"/>
              <w:top w:w="0" w:type="dxa"/>
              <w:right w:w="108" w:type="dxa"/>
              <w:bottom w:w="0" w:type="dxa"/>
            </w:tcMar>
            <w:tcW w:w="1389" w:type="pct"/>
            <w:vAlign w:val="center"/>
            <w:textDirection w:val="lrTb"/>
            <w:noWrap w:val="false"/>
          </w:tcPr>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牌示基本齐全，较整洁，文字及图案清晰。</w:t>
            </w:r>
            <w:r/>
          </w:p>
        </w:tc>
        <w:tc>
          <w:tcPr>
            <w:tcMar>
              <w:left w:w="108" w:type="dxa"/>
              <w:top w:w="0" w:type="dxa"/>
              <w:right w:w="108" w:type="dxa"/>
              <w:bottom w:w="0" w:type="dxa"/>
            </w:tcMar>
            <w:tcW w:w="1466" w:type="pct"/>
            <w:vAlign w:val="center"/>
            <w:textDirection w:val="lrTb"/>
            <w:noWrap w:val="false"/>
          </w:tcPr>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牌示基本齐全，无明显污垢，文字及图案能辨识。</w:t>
            </w:r>
            <w:r/>
          </w:p>
        </w:tc>
      </w:tr>
      <w:tr>
        <w:trPr>
          <w:trHeight w:val="2399"/>
        </w:trPr>
        <w:tc>
          <w:tcPr>
            <w:tcMar>
              <w:left w:w="108" w:type="dxa"/>
              <w:top w:w="0" w:type="dxa"/>
              <w:right w:w="108" w:type="dxa"/>
              <w:bottom w:w="0" w:type="dxa"/>
            </w:tcMar>
            <w:tcW w:w="232" w:type="pct"/>
            <w:vAlign w:val="center"/>
            <w:vMerge w:val="restart"/>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其</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它</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管</w:t>
            </w:r>
            <w:r/>
          </w:p>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理</w:t>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整体面貌</w:t>
            </w:r>
            <w:r/>
          </w:p>
        </w:tc>
        <w:tc>
          <w:tcPr>
            <w:tcMar>
              <w:left w:w="108" w:type="dxa"/>
              <w:top w:w="0" w:type="dxa"/>
              <w:right w:w="108" w:type="dxa"/>
              <w:bottom w:w="0" w:type="dxa"/>
            </w:tcMar>
            <w:tcW w:w="1678" w:type="pct"/>
            <w:textDirection w:val="lrTb"/>
            <w:noWrap w:val="false"/>
          </w:tcPr>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地（含水面）整洁，无条状、块状污染物，点状污染物每100㎡≤2处；无杂物，无树枝、树叶、草屑等生产垃圾，无擅自搭棚、摆摊设点等现象；植被、地被等基本无人为破坏；建筑（构筑）及设施完好，安全使用；水面异味。</w:t>
            </w:r>
            <w:r/>
          </w:p>
        </w:tc>
        <w:tc>
          <w:tcPr>
            <w:tcMar>
              <w:left w:w="108" w:type="dxa"/>
              <w:top w:w="0" w:type="dxa"/>
              <w:right w:w="108" w:type="dxa"/>
              <w:bottom w:w="0" w:type="dxa"/>
            </w:tcMar>
            <w:tcW w:w="1389" w:type="pct"/>
            <w:textDirection w:val="lrTb"/>
            <w:noWrap w:val="false"/>
          </w:tcPr>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地（含水面）较整洁，基本无条状和块状污染物，点状污染物每100㎡≤4处；基本无杂物，无明显树枝、树叶、草屑等生产垃圾，无擅自搭棚、摆摊设点等现象；建筑（构筑）及设施基本完好，安全使用；水面无异味。</w:t>
            </w:r>
            <w:r/>
          </w:p>
        </w:tc>
        <w:tc>
          <w:tcPr>
            <w:tcMar>
              <w:left w:w="108" w:type="dxa"/>
              <w:top w:w="0" w:type="dxa"/>
              <w:right w:w="108" w:type="dxa"/>
              <w:bottom w:w="0" w:type="dxa"/>
            </w:tcMar>
            <w:tcW w:w="1466" w:type="pct"/>
            <w:textDirection w:val="lrTb"/>
            <w:noWrap w:val="false"/>
          </w:tcPr>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绿地（含水面）基本整洁，无明显杂物，无明显白色污染（树挂），无明显树枝、树叶、草屑等生产垃圾积存，无擅自搭棚、摆摊设点等现象；建筑（构筑）及设施基本完好，安全使用；水面无明显异味。</w:t>
            </w:r>
            <w:r/>
          </w:p>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40"/>
        </w:trPr>
        <w:tc>
          <w:tcPr>
            <w:tcMar>
              <w:left w:w="108" w:type="dxa"/>
              <w:top w:w="0" w:type="dxa"/>
              <w:right w:w="108" w:type="dxa"/>
              <w:bottom w:w="0" w:type="dxa"/>
            </w:tcMar>
            <w:tcW w:w="232" w:type="pct"/>
            <w:vAlign w:val="center"/>
            <w:vMerge w:val="continue"/>
            <w:textDirection w:val="lrTb"/>
            <w:noWrap w:val="false"/>
          </w:tcPr>
          <w:p>
            <w:pPr>
              <w:ind w:left="-105" w:right="-105"/>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人员着装</w:t>
            </w:r>
            <w:r/>
          </w:p>
        </w:tc>
        <w:tc>
          <w:tcPr>
            <w:tcMar>
              <w:left w:w="108" w:type="dxa"/>
              <w:top w:w="0" w:type="dxa"/>
              <w:right w:w="108" w:type="dxa"/>
              <w:bottom w:w="0" w:type="dxa"/>
            </w:tcMar>
            <w:tcW w:w="1678" w:type="pct"/>
            <w:textDirection w:val="lrTb"/>
            <w:noWrap w:val="false"/>
          </w:tcPr>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在岗的养护、保洁、安保等人员统一着装，衣帽整齐，佩戴工号牌，且有所属单位的明显标志。</w:t>
            </w:r>
            <w:r/>
          </w:p>
        </w:tc>
        <w:tc>
          <w:tcPr>
            <w:tcMar>
              <w:left w:w="108" w:type="dxa"/>
              <w:top w:w="0" w:type="dxa"/>
              <w:right w:w="108" w:type="dxa"/>
              <w:bottom w:w="0" w:type="dxa"/>
            </w:tcMar>
            <w:tcW w:w="1389" w:type="pct"/>
            <w:textDirection w:val="lrTb"/>
            <w:noWrap w:val="false"/>
          </w:tcPr>
          <w:p>
            <w:pPr>
              <w:ind w:left="-105" w:right="-105"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在岗工作人员能统一着装，衣帽整齐。</w:t>
            </w:r>
            <w:r/>
          </w:p>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op w:w="0" w:type="dxa"/>
              <w:right w:w="108" w:type="dxa"/>
              <w:bottom w:w="0" w:type="dxa"/>
            </w:tcMar>
            <w:tcW w:w="1466" w:type="pct"/>
            <w:textDirection w:val="lrTb"/>
            <w:noWrap w:val="false"/>
          </w:tcPr>
          <w:p>
            <w:pPr>
              <w:ind w:left="-105" w:right="-105"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在岗工作人员能统一着装，衣帽整齐。</w:t>
            </w:r>
            <w:r/>
          </w:p>
          <w:p>
            <w:pPr>
              <w:ind w:left="-108" w:right="-108"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40"/>
        </w:trPr>
        <w:tc>
          <w:tcPr>
            <w:tcW w:w="232" w:type="pct"/>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op w:w="0" w:type="dxa"/>
              <w:right w:w="108" w:type="dxa"/>
              <w:bottom w:w="0" w:type="dxa"/>
            </w:tcMar>
            <w:tcW w:w="232" w:type="pct"/>
            <w:vAlign w:val="center"/>
            <w:textDirection w:val="lrTb"/>
            <w:noWrap w:val="false"/>
          </w:tcPr>
          <w:p>
            <w:pPr>
              <w:ind w:left="-105" w:right="-105"/>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技术档案</w:t>
            </w:r>
            <w:r/>
          </w:p>
        </w:tc>
        <w:tc>
          <w:tcPr>
            <w:tcMar>
              <w:left w:w="108" w:type="dxa"/>
              <w:top w:w="0" w:type="dxa"/>
              <w:right w:w="108" w:type="dxa"/>
              <w:bottom w:w="0" w:type="dxa"/>
            </w:tcMar>
            <w:tcW w:w="1678" w:type="pct"/>
            <w:textDirection w:val="lrTb"/>
            <w:noWrap w:val="false"/>
          </w:tcPr>
          <w:p>
            <w:pPr>
              <w:ind w:left="-105" w:right="-105"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养护管理技术档案健全，记录清晰，并有专人负责。</w:t>
            </w:r>
            <w:r/>
          </w:p>
        </w:tc>
        <w:tc>
          <w:tcPr>
            <w:gridSpan w:val="2"/>
            <w:tcMar>
              <w:left w:w="108" w:type="dxa"/>
              <w:top w:w="0" w:type="dxa"/>
              <w:right w:w="108" w:type="dxa"/>
              <w:bottom w:w="0" w:type="dxa"/>
            </w:tcMar>
            <w:tcW w:w="2856" w:type="pct"/>
            <w:vAlign w:val="center"/>
            <w:textDirection w:val="lrTb"/>
            <w:noWrap w:val="false"/>
          </w:tcPr>
          <w:p>
            <w:pPr>
              <w:ind w:left="-105" w:right="-105" w:firstLine="56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建立养护管理技术档案，记录清晰。</w:t>
            </w:r>
            <w:r/>
          </w:p>
        </w:tc>
      </w:tr>
    </w:tbl>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bCs/>
          <w:color w:val="auto"/>
          <w:sz w:val="21"/>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b/>
          <w:bCs/>
          <w:color w:val="auto"/>
          <w:sz w:val="21"/>
          <w:highlight w:val="none"/>
        </w:rPr>
      </w:r>
      <w:r/>
    </w:p>
    <w:p>
      <w:pPr>
        <w:spacing w:line="380" w:lineRule="exact"/>
        <w:widowControl w:val="off"/>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附件2：</w:t>
      </w:r>
      <w:r/>
    </w:p>
    <w:p>
      <w:pPr>
        <w:jc w:val="center"/>
        <w:spacing w:line="38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常州市金坛区绿地养护内容及操作要求</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一、绿化植物养护工作内容</w:t>
      </w:r>
      <w:r>
        <w:rPr>
          <w:rFonts w:hint="eastAsia" w:ascii="宋体" w:hAnsi="宋体" w:eastAsia="宋体" w:cs="宋体"/>
          <w:color w:val="auto"/>
          <w:sz w:val="24"/>
          <w:szCs w:val="24"/>
          <w:highlight w:val="none"/>
        </w:rPr>
        <w:t xml:space="preserve">：</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1．绿化修剪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修剪包括乔木、花木整形修剪、绿篱与色块的成型修剪和草坪的修剪等。是保证绿化养护面貌的重要手段。</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乔木、花灌木修剪分为重修和轻修，重修一般安排在春初和冬季。其余时间轻修以剥芽、去除病死枝条、维持树形为主。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1.1草坪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（1）修剪高度不超过8cm，夏季和入冬前的最后一次修剪应提高留茬高度4-5cm，增强草坪抗逆性。</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（2）修剪次数：根据草坪生长情况，随时修剪。每次剪去的量不超过总长度的三分之一。</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（3）修剪时间应选在早晨或傍晚，避免剪湿草。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（4）所有修剪剩余物随剪随清，保证现场整洁，防止滋生病虫害。</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（5）麦冬草每1-2月修剪掉长出路牙的部分，冬季梳理进行一次全面的修剪，去除枯黄叶条，采摘种子。</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1.2花木与灌木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1.2.1修剪技术要求</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（1）花木秋冬季修剪要有利于短枝和花芽的形成，遵循“先上后下，先内后外，去弱留强，去老留新”的原则进行修剪。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年生枝条开花灌木，如：紫薇、木槿、月季、珍珠梅等，休眠期修剪时，为控制树木高度，对于生长健壮枝条应在保留3个~5个芽处短截，促发新枝。1年可数次开花的如月季、珍珠梅、紫薇等，花落后应及时剪去残花，促使再次开花。</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隔年生枝条开花的灌木，如：碧桃、榆叶梅、连翘等，休眠期适当整形修剪，生长季花落后10天~15天将已开花枝条进行中或重短截，疏剪过密枝，以利来年促生健壮新枝。</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多年生枝条开花灌木，如：紫荆、贴梗海棠等，应注意培育和保护老枝，剪除干扰树型并影响通风透光的过密枝、弱枝、枯枝或病虫枝。</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（2）灌木内膛小枝应适量疏剪，强壮枝应进行适当短截，下垂细弱枝及地表萌生的地蘖应彻底疏除。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（3）栽种多年的丛生灌木应逐年更新衰老枝，疏剪内膛密生枝，培育新枝。栽植多年的有主干的灌木，每年应采取交替回缩主枝控制树冠的剪法，防止树势上强下弱。</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（4）绿篱、色带修剪应使绿篱及色带轮廓清楚，线条整齐，顶面平整，高度一致，侧面上下垂直或上窄下宽。每月整形修剪不少于1次。修剪后残留绿篱面的枝叶应及时清除干净。</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（5）发现病、虫枝和枯枝一级、二级养护区域24小时内处理完毕；三级养护区域3天内处理完毕。</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1.2.2一级、二级养护区域按照上述要求修剪，三级养护区域每年只需在冬季重修一次，其余时间以维持树形为主。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1.3乔木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1.3.1修剪技术要求</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乔木修剪应根据树木本身生长习性与体现园林景观效果的要求进行。行道树主要分成杯状形（如香樟、悬铃木、栾树、榉树等无明显中央领导枝的）和中央领导干形（如银杏、水杉、雪松等）；孤值景观树以自然式整形为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（1）凡主轴明显的树种，修剪时应注意保护中央领导枝，使其向上直立生长。原中央领导枝受损、折断，应利用顶端侧枝重新培养新的领导枝。</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（2）应逐年调整树干与树冠的合理比例。同一树龄和品种的林地，分枝点高度应基本一致。位于林地边缘的树木分枝点可稍低于林内树木。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（3）针叶树应剪除基部垂地枝条，随树木生长可根据需要逐步提高分枝点，并保护主尖直立向上生长。</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（4）银杏修剪只能疏枝，不准短截。对轮生枝可分阶段疏除。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（5）各类乔木生长季节需及时剥芽，修剪内膛枝、徒长枝、病虫枝等。乔木基部至一级分枝点内无萌蘖枝。</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（6）修剪锯口应平齐不劈不裂，减少大锯口，较大的锯口应涂防腐剂。</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（7）所有乔木冬季修剪在12月底完成，春季修剪在植物生长开始前完成；修剪枝条等物及时清理。</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（8）发现病、虫枝和枯枝一级、二级养护区域24小时内处理完毕；三级养护区域3天内处理完毕。</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藤木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（1）吸附类藤木，应在生长季剪去未能吸附墙体而下垂的枝条，未完全覆盖的植物应短截空隙周围枝条，以便发生副梢，填补空缺。</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（2）钩刺类藤木，可按灌木修剪方法疏枝；生长到一定程度，树势衰弱时，应进行回缩修剪，强壮树势。</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（3）生长于棚架的藤木，落叶后应疏剪过密枝条，清除枯死枝，使枝条均匀分布架面。</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（4）成年和老年藤木应常疏枝，并适当进行回缩修剪。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草花（盆栽草花及地栽草花（含宿根花卉））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（1）宿根花卉萌芽前应剪除上年残留枯枝、枯叶。</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（2）宿根花卉萌芽期应特别注意保护新生嫩芽，同时及时剪除多余萌蘖。</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（3）宿根花卉花谢后应及时去除残花、残枝和枯叶。</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绿化浇水、排水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（1）根据植物的需求及不同环境条件、季节差异、植物生长情况及时浇水，夏季抗旱时能确保车辆、水泵、人员的安排和使用。冬季中午浇水，夏季早晚浇水。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用水车浇灌树木时，应接软管，进行缓流浇灌，保证一次浇足浇透（每次浇水时浇湿土层在10cm以上），严禁用高压水流冲毁树堰。水车及水泵浇水不得影响交通，并注意做好作业队的安全防护工作，浇水如造成路面污染，同时安排人员清扫冲洗干净。</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（3）在雨季应采用开沟、埋管、打孔等排水措施及时对绿地和树池排涝，防止植物因涝至死。绿地和树池内积水不得超过24小时；宿根花卉种植地积水不得超过12小时。</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3．绿化施肥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3.1草坪，花、灌木，藤本长藤，草花</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（1）每年冬季12月30日前，施用有机肥料，如堆肥或泥炭土，每亩施用有机肥15公斤。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（2）春季4-5月份施用返青复合肥，每亩15公斤复合肥均匀施下。然后浇足量水，让肥料充分溶解渗透。</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（3）花灌木、草花在花期前后，需根据甲方要求适当施用磷、钾肥。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3.2乔木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肥应根据不同的树种、胸径、生长势和土壤理化性质而定。早春和深秋土壤冻结前给大树施有机肥，，如堆放或泥炭土，胸径（干径）&lt;10cm时，用量不少于1.5kg/棵；胸径（干径）&gt;10cm时，用量不少于为2kg/棵 (采用穴施或环施法)。</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（2）春季4-5月份施用返青复合肥，胸径（干径）&lt;10cm时，用量不少于1.5kg/棵；胸径（干径）&gt;10cm时，用量不少于为2kg/棵。复合肥随灌水或降雨环施，保证肥料充分溶解渗入树木根系。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3.3其他事项</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施肥，具体操作办法是：按甲方要求，由养护作业单位上报需施肥的地段、面积、肥料品种、数量等，建设单位核实后实施，肥料由养护单位提供。施肥应按照建设单位要求记录、留影像资料备查。</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4.绿化松土、除草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4.1草坪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（1）草坪杂草要本着“除早、除小、除了”原则，及时连根清除，严禁出现恶性杂草（如一枝黄花等）。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（2）疏松土壤，土壤板结时应打孔松土输氧。冷季型草坪（高羊茅、黑麦草、早熟禾等）每年冬春两季打孔一次，暖季型草坪（马尼拉、狗牙根等）每打孔一次，打孔深度符合甲方要求。</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（3）枯草及落叶层厚度在1.5cm以上时，易产生病虫害，影响树下草坪生长，水不易渗入土壤，应及时清除。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花、灌木，藤本长藤，草花</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（1）绿篱、色块、草花、藤本植物中无明显杂草及其他类植物，保持纯净。</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（2）松土结合除草、施肥进行，一年多次。夏季松土宜浅，秋后松土宜深些。</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乔木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（1）以主干为中心1米直径的树盘内重点松土和除草，保持树穴内无明显杂草。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（2）种植在草坪内的树木每2个月在树穴周围对草坪切边切沟一次，保证树穴界线清晰，线条流畅。</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（3）松土一般在5厘米以上，浅根性乔木松土宜浅，深根性乔木松土宜深。</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（4）所有区域的行道树和孤值景观树需松土，一级养护区域内林带乔木需松土。</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（5）以下情况乔木不需松土</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a、林带树行列间距2m以内的乔木；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b、周围密植灌木的乔木；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c、行道树池内有填充物无法松土的乔木。</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病虫害防治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做好夏季病虫害和冬季越冬病虫害的预防和防治工作，苗木施药品种及防治时间、次数保证按照甲方的要求，在规定时间内及时完成；其中高羊茅草坪在6、7、8、9四个月内的病害、虫害确保每月至少各防治2次，共计8次。苗木在养护期内发现病虫害在2天内治理完毕，病虫害控制在以不影响观赏效果的范围之内，其中食叶害虫危害的叶片，每株不超过5%，刺吸性害虫危害的叶片，每株不超过10%，无蛀干性害虫的活虫、活卵。</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（2）养护单位中标后，必须全部使用清单指定的农药，不使用国家或本地区禁止使用的农药和广谱性高毒杀虫剂。</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喷药应成雾状，做到由内向外、由上向下、叶面叶背喷药均匀，不留空白。喷药应在无风的晴天进行，阴雨或高温炎热的中午不宜喷药。喷药时要注意行人安全、避开人流高峰时段，喷药范围内有食品、水果、鱼池等，要待移出或遮盖后方能进行。喷药后要立即清洗药械，不准乱倒残液。</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（4）凡进行病虫害防治，均必须建立防治技术档案，以利于总结经验、改进和提高防治效果、进行技术考核等。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（5）档案的记载以防治对象为单位，每次防治工作均应作记录，其内容主要为：防治时间、天气情况、防治对象、为害植物、防治地点、防治方法、使用药剂名称及浓度、使用工具、防治效果、防治人员等。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金坛区绿化养护农药使用清单</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4"/>
        <w:gridCol w:w="5580"/>
      </w:tblGrid>
      <w:tr>
        <w:trPr>
          <w:jc w:val="center"/>
          <w:trHeight w:val="150"/>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药剂品种</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防治对象</w:t>
            </w:r>
            <w:r/>
          </w:p>
        </w:tc>
      </w:tr>
      <w:tr>
        <w:trPr>
          <w:jc w:val="center"/>
          <w:trHeight w:val="251"/>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灭幼脲Ⅲ号</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鳞翅目类（地老虎、重阳木斑蛾，刺蛾等）</w:t>
            </w:r>
            <w:r/>
          </w:p>
        </w:tc>
      </w:tr>
      <w:tr>
        <w:trPr>
          <w:jc w:val="center"/>
          <w:trHeight w:val="141"/>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杀铃脲</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鳞翅目类（地老虎、重阳木斑蛾，刺蛾等）</w:t>
            </w:r>
            <w:r/>
          </w:p>
        </w:tc>
      </w:tr>
      <w:tr>
        <w:trPr>
          <w:jc w:val="center"/>
          <w:trHeight w:val="243"/>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Bt制剂（灭蛾灵、苏力保）</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鳞翅目类（利用苏云金杆菌杀虫）（同上）</w:t>
            </w:r>
            <w:r/>
          </w:p>
        </w:tc>
      </w:tr>
      <w:tr>
        <w:trPr>
          <w:jc w:val="center"/>
          <w:trHeight w:val="303"/>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杀虫素</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香樟、桃、毛鹃等植物上的螨、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网蝽等刺吸类</w:t>
            </w:r>
            <w:r/>
          </w:p>
        </w:tc>
      </w:tr>
      <w:tr>
        <w:trPr>
          <w:jc w:val="center"/>
          <w:trHeight w:val="209"/>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阿维毒乳油</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鳞翅目、鞘翅目、半翅目、及地下害虫</w:t>
            </w:r>
            <w:r/>
          </w:p>
        </w:tc>
      </w:tr>
      <w:tr>
        <w:trPr>
          <w:jc w:val="center"/>
          <w:trHeight w:val="297"/>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虫瘟一号</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w:t>
            </w:r>
            <w:r/>
          </w:p>
        </w:tc>
      </w:tr>
      <w:tr>
        <w:trPr>
          <w:jc w:val="center"/>
          <w:trHeight w:val="301"/>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花保</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蚧类兼治煤污病、叶螨、蚜虫、网蝽</w:t>
            </w:r>
            <w:r/>
          </w:p>
        </w:tc>
      </w:tr>
      <w:tr>
        <w:trPr>
          <w:jc w:val="center"/>
          <w:trHeight w:val="305"/>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蛾螨灵</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鳞翅目、同翅目，对螨类有特效</w:t>
            </w:r>
            <w:r/>
          </w:p>
        </w:tc>
      </w:tr>
      <w:tr>
        <w:trPr>
          <w:jc w:val="center"/>
          <w:trHeight w:val="295"/>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定虫隆（抑太保）</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鳞翅目、鞘翅目</w:t>
            </w:r>
            <w:r/>
          </w:p>
        </w:tc>
      </w:tr>
      <w:tr>
        <w:trPr>
          <w:jc w:val="center"/>
          <w:trHeight w:val="313"/>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溴（氯）氰菊酯</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鳞翅目、同翅目</w:t>
            </w:r>
            <w:r/>
          </w:p>
        </w:tc>
      </w:tr>
      <w:tr>
        <w:trPr>
          <w:jc w:val="center"/>
          <w:trHeight w:val="289"/>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功夫菊酯</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鳞翅目、同翅目、鞘翅目</w:t>
            </w:r>
            <w:r/>
          </w:p>
        </w:tc>
      </w:tr>
      <w:tr>
        <w:trPr>
          <w:jc w:val="center"/>
          <w:trHeight w:val="292"/>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井冈霉素</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鳞翅目、同翅目，叶斑病、立枯病等</w:t>
            </w:r>
            <w:r/>
          </w:p>
        </w:tc>
      </w:tr>
      <w:tr>
        <w:trPr>
          <w:jc w:val="center"/>
          <w:trHeight w:val="311"/>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甲维盐</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鳞翅目</w:t>
            </w:r>
            <w:r/>
          </w:p>
        </w:tc>
      </w:tr>
      <w:tr>
        <w:trPr>
          <w:jc w:val="center"/>
          <w:trHeight w:val="301"/>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毒死蜱乳油（乐斯本）</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地下害虫以及多种咀嚼式和刺吸式口器害虫</w:t>
            </w:r>
            <w:r/>
          </w:p>
        </w:tc>
      </w:tr>
      <w:tr>
        <w:trPr>
          <w:jc w:val="center"/>
          <w:trHeight w:val="305"/>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绿色威雷</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天牛</w:t>
            </w:r>
            <w:r/>
          </w:p>
        </w:tc>
      </w:tr>
      <w:tr>
        <w:trPr>
          <w:jc w:val="center"/>
          <w:trHeight w:val="295"/>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30%杀铃脲·辛乳油</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地下害虫</w:t>
            </w:r>
            <w:r/>
          </w:p>
        </w:tc>
      </w:tr>
      <w:tr>
        <w:trPr>
          <w:jc w:val="center"/>
          <w:trHeight w:val="313"/>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奥力克</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蛴螬、蝼蛄等地下害虫</w:t>
            </w:r>
            <w:r/>
          </w:p>
        </w:tc>
      </w:tr>
      <w:tr>
        <w:trPr>
          <w:jc w:val="center"/>
          <w:trHeight w:val="289"/>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辛硫磷</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蛴螬、蝼蛄等地下害虫</w:t>
            </w:r>
            <w:r/>
          </w:p>
        </w:tc>
      </w:tr>
      <w:tr>
        <w:trPr>
          <w:jc w:val="center"/>
          <w:trHeight w:val="307"/>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护树宝注干剂（树大夫）</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刺吸性害虫（蚧虫类、天牛等）</w:t>
            </w:r>
            <w:r/>
          </w:p>
        </w:tc>
      </w:tr>
      <w:tr>
        <w:trPr>
          <w:jc w:val="center"/>
          <w:trHeight w:val="297"/>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蛀干害虫毒签</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天牛、木蠹蛾、小蠹冲等蛀干类害虫</w:t>
            </w:r>
            <w:r/>
          </w:p>
        </w:tc>
      </w:tr>
      <w:tr>
        <w:trPr>
          <w:jc w:val="center"/>
          <w:trHeight w:val="314"/>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速蚧克乳剂</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各种介壳虫</w:t>
            </w:r>
            <w:r/>
          </w:p>
        </w:tc>
      </w:tr>
      <w:tr>
        <w:trPr>
          <w:jc w:val="center"/>
          <w:trHeight w:val="291"/>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速扑杀</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各种介壳虫</w:t>
            </w:r>
            <w:r/>
          </w:p>
        </w:tc>
      </w:tr>
      <w:tr>
        <w:trPr>
          <w:jc w:val="center"/>
          <w:trHeight w:val="309"/>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啶虫脒</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各种介壳虫、蚜虫、粉虱</w:t>
            </w:r>
            <w:r/>
          </w:p>
        </w:tc>
      </w:tr>
      <w:tr>
        <w:trPr>
          <w:jc w:val="center"/>
          <w:trHeight w:val="299"/>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吡虫啉</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蚜虫、潜叶蛾、潜叶蝇等</w:t>
            </w:r>
            <w:r/>
          </w:p>
        </w:tc>
      </w:tr>
      <w:tr>
        <w:trPr>
          <w:jc w:val="center"/>
          <w:trHeight w:val="303"/>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8%中保杀螨乳油</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对螨类有特效</w:t>
            </w:r>
            <w:r/>
          </w:p>
        </w:tc>
      </w:tr>
      <w:tr>
        <w:trPr>
          <w:jc w:val="center"/>
          <w:trHeight w:val="293"/>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哒嗪酮</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螨类</w:t>
            </w:r>
            <w:r/>
          </w:p>
        </w:tc>
      </w:tr>
      <w:tr>
        <w:trPr>
          <w:jc w:val="center"/>
          <w:trHeight w:val="454"/>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50%灭菌成水溶性粉剂</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白粉病、锈病、叶斑病、腐烂病、根腐病等</w:t>
            </w:r>
            <w:r/>
          </w:p>
        </w:tc>
      </w:tr>
      <w:tr>
        <w:trPr>
          <w:jc w:val="center"/>
          <w:trHeight w:val="303"/>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12.5%烯唑醇可湿性粉剂（力克菌）</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白粉病、锈病、灰霉病、黑斑病、立枯病等</w:t>
            </w:r>
            <w:r/>
          </w:p>
        </w:tc>
      </w:tr>
      <w:tr>
        <w:trPr>
          <w:jc w:val="center"/>
          <w:trHeight w:val="307"/>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20%龙克菌悬浮剂</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叶斑病、炭疽病、角斑病等</w:t>
            </w:r>
            <w:r/>
          </w:p>
        </w:tc>
      </w:tr>
      <w:tr>
        <w:trPr>
          <w:jc w:val="center"/>
          <w:trHeight w:val="297"/>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25%阿西米达悬浮剂</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霜霉病、早疫病、炭疽病、叶斑病</w:t>
            </w:r>
            <w:r/>
          </w:p>
        </w:tc>
      </w:tr>
      <w:tr>
        <w:trPr>
          <w:jc w:val="center"/>
          <w:trHeight w:val="315"/>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15%三唑酮乳油（粉锈宁）</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锈病、白粉病等真菌类病害</w:t>
            </w:r>
            <w:r/>
          </w:p>
        </w:tc>
      </w:tr>
      <w:tr>
        <w:trPr>
          <w:jc w:val="center"/>
          <w:trHeight w:val="291"/>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甲基拖布津</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锈病、叶斑病、腐烂病、穿孔病等</w:t>
            </w:r>
            <w:r/>
          </w:p>
        </w:tc>
      </w:tr>
      <w:tr>
        <w:trPr>
          <w:jc w:val="center"/>
          <w:trHeight w:val="309"/>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代森锌（大生）</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斑枯病、</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"http://baike.baidu.com/view/742997.htm"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叶霉病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、炭疽病、霜霉病，对白粉病无效</w:t>
            </w:r>
            <w:r/>
          </w:p>
        </w:tc>
      </w:tr>
      <w:tr>
        <w:trPr>
          <w:jc w:val="center"/>
          <w:trHeight w:val="299"/>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百菌清</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锈病、炭疽病、白粉病、霜霉病</w:t>
            </w:r>
            <w:r/>
          </w:p>
        </w:tc>
      </w:tr>
      <w:tr>
        <w:trPr>
          <w:jc w:val="center"/>
          <w:trHeight w:val="302"/>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多菌灵</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白粉病、炭疽病、疫病、菌核病、灰霉病、叶斑病、立枯病等</w:t>
            </w:r>
            <w:r/>
          </w:p>
        </w:tc>
      </w:tr>
      <w:tr>
        <w:trPr>
          <w:jc w:val="center"/>
          <w:trHeight w:val="293"/>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蜗克星颗粒剂（蜗灭佳）</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蜗牛、螺类</w:t>
            </w:r>
            <w:r/>
          </w:p>
        </w:tc>
      </w:tr>
      <w:tr>
        <w:trPr>
          <w:jc w:val="center"/>
          <w:trHeight w:val="310"/>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密达</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蜗牛</w:t>
            </w:r>
            <w:r/>
          </w:p>
        </w:tc>
      </w:tr>
      <w:tr>
        <w:trPr>
          <w:jc w:val="center"/>
          <w:trHeight w:val="145"/>
        </w:trPr>
        <w:tc>
          <w:tcPr>
            <w:tcW w:w="3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海藻素</w:t>
            </w:r>
            <w:r/>
          </w:p>
        </w:tc>
        <w:tc>
          <w:tcPr>
            <w:tcW w:w="5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黄化病</w:t>
            </w:r>
            <w:r/>
          </w:p>
        </w:tc>
      </w:tr>
    </w:tbl>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6.绿化涂白及树木保暖防冻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6.1树干涂白时间及配方</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（1）当月平均气温降至5℃以下，应对树木进行涂白。</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（2）涂白剂配方为生石灰：石硫合剂：水=5：2：3</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涂白要求</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（1）使用要将涂白剂充分搅拌，以利刷匀。</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（2）在使用涂白剂前，仔细检查，如发现树干上已有害虫蛀孔，要用棉花浸药（内吸性农药如氧化乐果等）把蛀孔堵住后再进行涂白处理。</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（3）大乔木（含行道树、林带或孤值景观树）一级、二级区域涂白高度在离地1.2米，并且要保持同一高度，以利美观。其他区域行道树与孤值景观树为1.2米，林带为1.0米。</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小乔木、花木呈群落式种植的，同品种、同规格的高度应统一，高度在50cm—100cm之间。</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（4）涂白前应清理树木附着死皮，涂抹要均匀，确保涂白剂与树干充分粘合，并要防止滴洒在周围的路面上或树池中，影响美观。</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树木保暖防冻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（1）每年初冬，均需对行道树进行抗冻处理（根基培土），并在树木的休眠期内，进行扶正，易发生冻害树木主干包扎。</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7.防台抗灾</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夏季防台抗灾工作，台风季节，做好高大乔木抗风暴的预防工作，根据树木的实际情况，采取立支柱、绑扎、加土、扶正、疏枝等措施。一旦风暴来临，应及时检查，发现问题，妥善处理。用于支撑、固定的材料应兼顾耐用美观，并采用软性材料同植物接触。遇到树木斜倒时在24小时内扶正，冬季积雪达到5—6CM时保证及时组织人员。</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8.补植</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枯枝、死枝需24小时内处理完毕；如出现树木死亡，应及时报批，认定死亡原因后，经甲方书面确认，根据责任进行倒伐或补植。死亡树木须连同根部在一周内挖除，并填平挖穴，如须补植的须在一星期内补植完毕，补植树木应选用同品种、同规格苗木，并确保成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申报、审批的随意砍伐、移除行为，均属于绿化养护单位蓄意破坏，绿化养护单位按原品种、原规格进行补植。如造型树木死亡及造型缺损属于绿化养护单位责任的，绿化养护单位按照工程造价赔偿甲方损失。因人为破坏或其它因素造成的花灌木、地被、草坪及草花缺损的，经申报、审批后3天内补种完毕，相关费用</w:t>
      </w:r>
      <w:r>
        <w:rPr>
          <w:rFonts w:hint="eastAsia" w:ascii="宋体" w:hAnsi="宋体" w:cs="宋体"/>
          <w:color w:val="auto"/>
          <w:sz w:val="24"/>
          <w:szCs w:val="24"/>
          <w:highlight w:val="none"/>
          <w:lang w:val="en-US" w:eastAsia="zh-CN"/>
        </w:rPr>
        <w:t xml:space="preserve">由承包人</w:t>
      </w:r>
      <w:r>
        <w:rPr>
          <w:rFonts w:hint="eastAsia" w:ascii="宋体" w:hAnsi="宋体" w:eastAsia="宋体" w:cs="宋体"/>
          <w:color w:val="auto"/>
          <w:sz w:val="24"/>
          <w:szCs w:val="24"/>
          <w:highlight w:val="none"/>
        </w:rPr>
        <w:t xml:space="preserve">支出。</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9.专项养护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9.1草坪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草坪更新应采用补播草籽复壮、条状更新、定期封闭和断根更新等方法。断根复壮根据甲方指令操作，草坪复播在每年9月底10月初，由绿化养护单位报备后自行实施，甲方根据报备单进行验收。每年早春土壤解冻之际，应对草坪进行滚压一次，滚压后及时对草坪进行疏耙，并追施复合肥25公斤/亩。</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每年深秋采用专用草坪打孔机进行打孔，打孔深度达到5-8厘米，以改良草坪的物理性能，增加土壤透气性，促进地下部分生长。</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每年夏末和初秋用松土机或中耕机进行近地表的垂直刈剪或划破草皮，中耕后需及时修剪一次，并清除枯草、修正草坪。</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冬季应在草坪上覆盖厚为0.5-1公分的细土或细砂，为保证草坪的弹性和保护根系。用专门机械对草坪疏草一次，以减少来年病虫害的发生。</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9.2露地花卉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常规草花品种为：春秋季以矮牵牛、三色堇、万寿菊等为主，夏季以鸡冠花、秋海棠等为主，冬季以羽衣甘蓝、三色堇、金盏菊等为主；球根、宿根类地被植物，经2-3年生长后，根部拥挤以致影响其正常生长时，必须按不同品种的生理习性进行分株或更新移植。</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要求，露地种植花卉应使用F1代品种，营养钵苗，生长健壮、色彩鲜艳，数量要求原则上按49株/平方米计算，蓬径15公分以上。换花移栽前必须深翻细耙，除尽土中石块、草屑、残茎、落叶等杂物，并施足基肥，填土或清土至10cm高台种植；</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草花一年更换四期，具体更换时间、以甲方通知为准，草花更换后应加强水费、除草、保洁等常规管理，一旦出现草花死亡、长势不良等明显影响观赏效果的，而草花更换时间尚未到期的，养护单位应及时无偿更换、补植到位。</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10.绿地保护</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甲方指定地点，将养护工具、机械集中有序安放，绿地中严禁停放任何车辆。绿地中无堆物、堆料、搭棚，建筑墙面和树干上无钉拴刻画等现象。中标单位接收养护后，应在第一时间内根据甲方的要求对现有乔灌木的绕杆草绳、木结构支撑、铅丝支撑等进行一次整理，能去除的去除，如确须保留的应加以更换、整理，并在今后管理中，加强检查、随时整理，确保美观整齐。</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11.绿化养护台账</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应建立完整的绿化养护台账，并由专人负责，绿化资料记录详细，分类清楚，数据详实。月度养护计划及养护作业应按时记录、及时上报，并符合现状和季节特点，针对性强，不弄虚作假。</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根据合同招标公告、招标文件、养护管理规范等要求，做好各类申报和签证单的收集、整理工作。</w:t>
      </w:r>
      <w:r/>
    </w:p>
    <w:p>
      <w:pPr>
        <w:jc w:val="both"/>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12．安全管理</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（1）养护人员着装必须统一、醒目（工作服印有养护单位名称，并有醒目色彩、反光条等）。</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（2）有完善的安全生产、综合治理规章制度，组织网络健全，安全措施周密、台账资料齐全，养护人员上岗作业前接受安全教育。</w:t>
      </w:r>
      <w:r/>
    </w:p>
    <w:p>
      <w:pPr>
        <w:spacing w:line="380" w:lineRule="exact"/>
        <w:rPr>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4"/>
          <w:szCs w:val="24"/>
          <w:highlight w:val="none"/>
        </w:rPr>
        <w:t xml:space="preserve">（3）涉路施工，必须按照相关规定、文件要求规范设置安全设施，现场管理有序，及时上报安全、应急事件。</w:t>
      </w:r>
      <w:r/>
    </w:p>
    <w:p>
      <w:p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金坛区绿化养护月历</w:t>
      </w:r>
      <w:r/>
    </w:p>
    <w:tbl>
      <w:tblPr>
        <w:tblStyle w:val="8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1258"/>
        <w:gridCol w:w="3834"/>
        <w:gridCol w:w="3468"/>
        <w:gridCol w:w="763"/>
      </w:tblGrid>
      <w:tr>
        <w:trPr>
          <w:trHeight w:val="420"/>
        </w:trPr>
        <w:tc>
          <w:tcPr>
            <w:tcBorders>
              <w:top w:val="single" w:color="auto" w:sz="4" w:space="0"/>
            </w:tcBorders>
            <w:tcW w:w="315"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月份</w:t>
            </w:r>
            <w:r/>
          </w:p>
        </w:tc>
        <w:tc>
          <w:tcPr>
            <w:tcBorders>
              <w:top w:val="single" w:color="auto" w:sz="4" w:space="0"/>
            </w:tcBorders>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养护内容</w:t>
            </w:r>
            <w:r/>
          </w:p>
        </w:tc>
        <w:tc>
          <w:tcPr>
            <w:tcBorders>
              <w:top w:val="single" w:color="auto" w:sz="4" w:space="0"/>
            </w:tcBorders>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技术要求</w:t>
            </w:r>
            <w:r/>
          </w:p>
        </w:tc>
        <w:tc>
          <w:tcPr>
            <w:tcBorders>
              <w:top w:val="single" w:color="auto" w:sz="4" w:space="0"/>
            </w:tcBorders>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具体要求</w:t>
            </w:r>
            <w:r/>
          </w:p>
        </w:tc>
        <w:tc>
          <w:tcPr>
            <w:tcBorders>
              <w:top w:val="single" w:color="auto" w:sz="4" w:space="0"/>
            </w:tcBorders>
            <w:tcW w:w="38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1965"/>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一月</w:t>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1.冬季修剪</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1.树木：清理死苗，修去病虫枝、徒长枝、过密枝、枯死枝及藤蔓寄生物，保持树形优美；安全措施符合规范要求。　　　　　　　　2.色块：保持整齐美观，修杂乱枝及藤蔓枯枝，做到线直面平。　3.修剪物及时清理。</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花灌木、藤本整形修剪一次；乔木整形修剪一次；大小乔木上的枯枝、伤残枝、病虫枝及妨碍架空线和建筑物的枝杈进行修剪对于受低温冻伤的植物如杜英、茶梅、栀子、八角金盘嫩梢等，应修剪清除伤枝残叶，防天暖时病虫害乘虚而入。</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本月为冬季养护工作的关键阶段，属冬季养护质量、措施巩固提高阶段。尤其注意施肥实施。</w:t>
            </w:r>
            <w:r/>
          </w:p>
        </w:tc>
      </w:tr>
      <w:tr>
        <w:trPr>
          <w:trHeight w:val="198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2.深施基肥</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1.行道树：开环状沟或开塘穴施复合肥。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2.色块、草坪：普施有机肥。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3.施肥量：单株苗木：10公分以上2公斤/株（行道树）；其他树木、色块、地被、草坪:15公斤/亩。</w:t>
            </w:r>
            <w:r>
              <w:rPr>
                <w:rFonts w:hint="eastAsia" w:ascii="宋体" w:hAnsi="宋体" w:eastAsia="宋体" w:cs="宋体"/>
                <w:color w:val="auto"/>
                <w:highlight w:val="none"/>
              </w:rPr>
              <w:br/>
            </w:r>
            <w:r>
              <w:rPr>
                <w:rFonts w:hint="eastAsia" w:ascii="宋体" w:hAnsi="宋体" w:eastAsia="宋体" w:cs="宋体"/>
                <w:color w:val="auto"/>
                <w:highlight w:val="none"/>
              </w:rPr>
              <w:t xml:space="preserve">4.施肥均匀，适时，严禁烧苗。</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草坪，花、灌木冬季施用堆肥或泥炭土，每亩施用有机肥15公斤；乔木10公分以上2公斤/株，十公分</w:t>
            </w:r>
            <w:r>
              <w:rPr>
                <w:rFonts w:hint="eastAsia" w:ascii="宋体" w:hAnsi="宋体" w:cs="宋体"/>
                <w:color w:val="auto"/>
                <w:highlight w:val="none"/>
                <w:lang w:val="en-US" w:eastAsia="zh-CN"/>
              </w:rPr>
              <w:t xml:space="preserve">以</w:t>
            </w:r>
            <w:r>
              <w:rPr>
                <w:rFonts w:hint="eastAsia" w:ascii="宋体" w:hAnsi="宋体" w:eastAsia="宋体" w:cs="宋体"/>
                <w:color w:val="auto"/>
                <w:highlight w:val="none"/>
              </w:rPr>
              <w:t xml:space="preserve">下1.5公斤/株，增强植物生长，提高植物抵御病虫侵害的能力</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372"/>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3.防冻保暖</w:t>
            </w:r>
            <w:r/>
          </w:p>
        </w:tc>
        <w:tc>
          <w:tcPr>
            <w:tcW w:w="1926" w:type="pc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1.遇有大雪,对易遭雪压的植物要组织打雪。　　　                                 2.天气干燥，在晴天对植物适当浇水，保持土壤湿润。</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绿地内注意防冻浇水，过于干旱可适当再浇水</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9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4.土壤深翻熟化</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1.对草坪、色块地被空隙地深翻20－25公分。为下阶段补植树木开塘。</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三级区域除行道树与孤值景观树之外，不要求</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115"/>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5、绿地清理</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1.清理死株、死苗、及形态差影响景观的半死半活的树木。　　　　　                                 2.及时清理绿地中杂物、杂草。</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1.绿地内杂物及时清理。　　　　　　                                2.专职巡查人员和养护人员加</w:t>
            </w:r>
            <w:r>
              <w:rPr>
                <w:rFonts w:hint="eastAsia" w:ascii="宋体" w:hAnsi="宋体" w:eastAsia="宋体" w:cs="宋体"/>
                <w:color w:val="auto"/>
                <w:highlight w:val="none"/>
              </w:rPr>
              <w:t xml:space="preserve">强巡查。                                           3.绿地范围内如有乱开挖和损坏绿地、苗木的案件（事件），24小时内及时报告。　　                                                        4.注意落叶绿化，防治绿化被野火烧毁。　　　　　　　                                                 5.及时检查行道树绑扎、立桩情况，发现松绑、铅丝嵌皮、摇桩等情况时立即整改。</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155"/>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二月</w:t>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1.继续冬季修剪、深施基肥</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1.对一月未完成地段按计划要求继续，要求同一月。</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"http://www.gdlifang.com/product.aspx"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继续对大小乔木的枯枝、病枝进行修剪。月底以前，各种树木修剪工作完成</w:t>
            </w:r>
            <w:r>
              <w:rPr>
                <w:rFonts w:hint="eastAsia" w:ascii="宋体" w:hAnsi="宋体" w:eastAsia="宋体" w:cs="宋体"/>
                <w:color w:val="auto"/>
                <w:highlight w:val="none"/>
              </w:rPr>
              <w:fldChar w:fldCharType="end"/>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本月冬季养护工作的尾期，主要是冬季养护效果的检查及早春病虫害防治。</w:t>
            </w:r>
            <w:r/>
          </w:p>
        </w:tc>
      </w:tr>
      <w:tr>
        <w:trPr>
          <w:trHeight w:val="585"/>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2.防冻保暖</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1.加强对防冻保暖措施的检查和加固。　　　　2.其它同一月。</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同一月</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01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3.绿地清理及其它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1.及时清除绿地杂物。                            2.专职人员加强巡回检查，及时发现损坏绿地、苗木的案件，不属责职范围内的应及时报告。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3.做好冬季防火工作。                           4.对行道树、单株乔木支撑或检查加固。</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1.绿地内杂物及时清理。　　　　　　                                2.专职巡查人员和养护人员加</w:t>
            </w:r>
            <w:r>
              <w:rPr>
                <w:rFonts w:hint="eastAsia" w:ascii="宋体" w:hAnsi="宋体" w:eastAsia="宋体" w:cs="宋体"/>
                <w:color w:val="auto"/>
                <w:highlight w:val="none"/>
              </w:rPr>
              <w:t xml:space="preserve">强巡查。                                           3.绿地范围内如有乱开挖和损坏绿地、苗木的案件（事件），24小时内及时报告。　　                                                        4.注意落叶绿化，防治绿化被野火烧毁。　　　　　　　                                                 5.及时检查行道树绑扎、立桩情况，发现松绑、铅丝嵌皮、摇桩等情况时立即整改。</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01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4.防除越冬虫害</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1.消灭越冬虫包、虫茧和幼虫。　　　　　　　2.单株树木在主干1.3米处以下涂石灰液（浆）加盐刷白，做到涂布均匀，上缘平整。</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1.樟、桂花等植物叶片上有叶螨卵、成螨和若螨建议花保80倍液或中保杀螨3000倍液或者蛾螨灵1800倍液喷雾，半个月后再次喷杀；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2.其他病虫害：粉虱，樟木虱，草履蚧等蚧虫，蚜虫，重阳木斑蛾，黄杨绢野螟，栀子、樟、杜鹃等黄化病，大叶黄杨、桂花、山茶叶斑病、女贞炭疽病，月季黑斑病</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175"/>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三月</w:t>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1.整形修剪</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1.花灌木、色块地被：清理死苗，修去病虫枝、徒长枝、过密枝、枯死枝及藤蔓寄生物，保持树形优美；安全措施符合规范要求。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2.色块：保持整齐美观，修杂乱枝及藤蔓枯枝，做到线直面平。　　                                                        3.草坪适时修剪1－2次，保持草坪整齐美观。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4.修剪物及时清理。</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1.乔木主要修剪荫枝、下垂枝、干枯枝、侧缘线、下缘线以外枝，下缘线根据现场实际情况控制整齐，一般在1.8-2.5米。</w:t>
            </w:r>
            <w:r>
              <w:rPr>
                <w:rFonts w:hint="eastAsia" w:ascii="宋体" w:hAnsi="宋体" w:eastAsia="宋体" w:cs="宋体"/>
                <w:color w:val="auto"/>
                <w:highlight w:val="none"/>
              </w:rPr>
              <w:br/>
            </w:r>
            <w:r>
              <w:rPr>
                <w:rFonts w:hint="eastAsia" w:ascii="宋体" w:hAnsi="宋体" w:eastAsia="宋体" w:cs="宋体"/>
                <w:color w:val="auto"/>
                <w:highlight w:val="none"/>
              </w:rPr>
              <w:t xml:space="preserve">2.开花植物应在花芽萌动前修剪干枯枝、冻伤枝。</w:t>
            </w:r>
            <w:r>
              <w:rPr>
                <w:rFonts w:hint="eastAsia" w:ascii="宋体" w:hAnsi="宋体" w:eastAsia="宋体" w:cs="宋体"/>
                <w:color w:val="auto"/>
                <w:highlight w:val="none"/>
              </w:rPr>
              <w:br/>
            </w:r>
            <w:r>
              <w:rPr>
                <w:rFonts w:hint="eastAsia" w:ascii="宋体" w:hAnsi="宋体" w:eastAsia="宋体" w:cs="宋体"/>
                <w:color w:val="auto"/>
                <w:highlight w:val="none"/>
              </w:rPr>
              <w:t xml:space="preserve">3. 绿篱、板块该月根据生长情况修剪1次。                                                                                               4.草坪修剪一次，并将长出路牙的草去掉。</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本月养护工作重点是整形修剪。</w:t>
            </w:r>
            <w:r/>
          </w:p>
        </w:tc>
      </w:tr>
      <w:tr>
        <w:trPr>
          <w:trHeight w:val="87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2.适时撤除防寒设施</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1.5日平均气温摄氏10度，寒潮已过适时撤除。</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根据当年实际温度操作</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4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3.防病治虫（主要是早春发生的病虫害）</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1.病虫害：主要是蚜虫、红蜘蛛、白粉病、煤污病等。　　　　　　　                                 2.对症下药，防治及时。　　　　　　　　　　     3.需设专职技术人员巡查。</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草履蚧等蚧虫，黑刺粉虱，方翅网椿，重阳木斑蛾，黄杨绢野螟，叶螨，叶蝉，葱兰炭疽病，梨桧锈病</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32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4.浇水</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1.根据天气情况适时浇水。</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一二级养护区域绿化积水人工排除，积水时间不超过6小时。每次浇水浇湿土层在10cm以上。</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5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5、除草和绿地清理</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1.坚持以防为主，综合防治。　　　　　　　　      2.及时清除杂草、杂物，保持绿地整洁。</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该月杂草需清除1-2次</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62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6、其它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1.专职人员加强巡回检查，及时发现损坏绿地、苗木的案件，不属责职范围内的应及时报告。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2.对行道树、单株乔木支撑或检查加固。</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1.专职巡查人员和养护人员加强巡查。                                           2.绿地范围内如有乱开挖和损坏绿地、苗木的案件（事件），24小时内及时报告。　　                                                        3.及时检查行道树绑扎、立桩情况，发现松绑、铅丝嵌皮、摇桩等情况时立即整改。</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10"/>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四月</w:t>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1.整形修剪（每月2次）</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1.花灌木、色块地被：清理死苗，修去病虫枝、徒长枝、过密枝、枯死枝、萌芽技及藤蔓寄生物，保持树形优美；安全措施符合规范要求。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2.色块：保持整齐美观，修杂乱枝及藤蔓枯枝，做到线直面平。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3.草坪适时修剪2－3次。　　　　　　　　　　       4.修剪物及时清理。</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1.乔木主要修剪荫枝、下垂枝、干枯枝、侧缘线、下缘线以外枝，下缘线要控制在1.8-2.5米。                                                                          2.花木剥萌蘖芽。</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本月养护工作重点是防病治虫和除草。</w:t>
            </w:r>
            <w:r/>
          </w:p>
        </w:tc>
      </w:tr>
      <w:tr>
        <w:trPr>
          <w:trHeight w:val="1063"/>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2.防病治虫（全年防病治虫关键月）</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1.每15天喷药防治一次，最大限度地控制病虫基数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2.病虫害：主要是锈病、炭疽病，白粉病、叶斑病、蚜虫、红蜘蛛、柳毒蛾、天幕毛虫、蚧壳虫、天牛等。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3.对症下药，防治及时。　　　　　　　　　　      4.需设专职技术人员巡查。</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1.蚧壳虫在第二次蜕皮后陆续转移到树皮裂缝内、树洞、树干基部、墙角等处分泌白色蜡质薄茧化蛹。可以用硬竹扫帚扫除，然后集中深埋或浸泡。或者采用喷洒杀螟</w:t>
            </w:r>
            <w:r>
              <w:rPr>
                <w:rFonts w:hint="eastAsia" w:ascii="宋体" w:hAnsi="宋体" w:eastAsia="宋体" w:cs="宋体"/>
                <w:color w:val="auto"/>
                <w:highlight w:val="none"/>
              </w:rPr>
              <w:t xml:space="preserve">松等农药的方法                                     2.天牛、木蠹蛾开始活动了，可以采用嫁接刀或自制钢丝挑除幼虫，但是伤口要做到越小越好                                                          3.月季黑斑病喷灭菌成或烯唑醇2000倍液，10天左右喷一次。                    4.柳叶甲、金叶女贞潜叶跳甲成虫开始活动用苦烟乳油1000倍液喷杀。 5.其他病虫害叶蝉、白粉病、葱兰炭疽病、大叶黄杨斑蛾</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35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3.抗旱排涝</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1.根据天气情况适时浇水或排除积水。</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一、二级养护区域绿化积水人工排除，积水时间不超过6小时。每次浇水浇湿土层在10cm以上。</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3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4.杂草防除</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1.坚持以防为主，综合防治。　　　　　　　　     2.及时清除杂草、杂物，保持绿地整洁。　　                          3.人工除草15天一次。</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一、二级区域杂草随张随清，三级区域各类杂草每10—15天清除一次</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9"/>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1.及时清除绿地杂物。                                             2.专职人员加强巡回检查，及时发现损坏绿地、苗木的案件，不属责职范围内的应及时报告。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3.对行道树、单株乔木支撑或检查加固。</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1.专职巡查人员和养护人员加强巡查。                                           2.绿地范围内如有乱开挖和损坏绿地、苗木的案件（事件），24小时内及时报告。　　                                                      3.及时检查行道树绑扎、立桩情况，发现松绑、铅丝嵌皮、摇桩等情况时立即整改。</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13"/>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五月</w:t>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1.整形修剪（每月2次）</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1.花灌木、色块地被：清理死苗，修去病虫枝、徒长枝、过密枝、枯死枝、萌芽枝、花后植物的花梗及藤蔓寄生物，保持树形优美；安全措施符合规范要求。　　　　　　　　　2.色块：保持整齐美观，修杂乱枝及藤蔓枯枝，做到线直面平。　　                                                        3.草坪适时修剪2次。　                          4.修剪物及时清理。</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1.乔木剥芽修剪。                                                                          2.花木剥萌蘖芽。</w:t>
            </w:r>
            <w:r>
              <w:rPr>
                <w:rFonts w:hint="eastAsia" w:ascii="宋体" w:hAnsi="宋体" w:eastAsia="宋体" w:cs="宋体"/>
                <w:color w:val="auto"/>
                <w:highlight w:val="none"/>
              </w:rPr>
              <w:br/>
            </w:r>
            <w:r>
              <w:rPr>
                <w:rFonts w:hint="eastAsia" w:ascii="宋体" w:hAnsi="宋体" w:eastAsia="宋体" w:cs="宋体"/>
                <w:color w:val="auto"/>
                <w:highlight w:val="none"/>
              </w:rPr>
              <w:t xml:space="preserve">3.所有区域绿篱、板块、草坪等该月根据生长情况修剪2次。</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本月养护工作重点是除草、病虫害防治和整形修剪</w:t>
            </w:r>
            <w:r/>
          </w:p>
        </w:tc>
      </w:tr>
      <w:tr>
        <w:trPr>
          <w:trHeight w:val="315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2.防病治虫</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1.每15天喷药防治一次，最大限度地控制病虫基数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2.病虫害：主要是黑斑病、白粉病、叶斑病、红蜘蛛、金龟子、蚧壳虫、地老虎等。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3.对症下药，防治及时。　　　　　　　　　　4.需设专职技术人员巡查。</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1.蚜虫危害在栾树、香樟、红叶李、月季、海桐、杜鹃、栀子、樱花、木槿、慈孝竹等植物嫩梢上大面积发生，用花保100倍液防治。                                       2.继续捕捉天牛、蠹蛾；灯</w:t>
            </w:r>
            <w:r>
              <w:rPr>
                <w:rFonts w:hint="eastAsia" w:ascii="宋体" w:hAnsi="宋体" w:eastAsia="宋体" w:cs="宋体"/>
                <w:color w:val="auto"/>
                <w:highlight w:val="none"/>
              </w:rPr>
              <w:t xml:space="preserve">光诱杀金龟子。                                                  3.刺蛾第一代孵化，但尚未达到危害程度，根据养护区内的实际情况做出相应措施。                                                         4.由蚧壳虫、蚜虫等引起的煤污病也进入了盛发期（在紫薇、海桐、夹竹桃等上），在5月中、下旬喷洒10—20倍的松脂合剂及50%三硫磷乳剂1500—2000倍液以防治病害及杀死虫害。（其它可用杀虫素、花保等农药）</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155"/>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3.抗旱排涝</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1.根据天气情况适时浇水或排除绿地、树坑基部积水。</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一二级养护区域绿化积水人工排除，积水时间不超过6小时。每次浇水浇湿土层在10cm以上。</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4.杂草防除</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1.坚持以防为主，综合防治。　　　　　　　　2.及时清除杂草、杂物，保持绿地整洁。　　                              3.人工除草10天左右一次。</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一二级区域杂草随张随清，各类杂草每10—15天清除一次</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01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1.及时清除绿地杂物。                           2.专职人员加强巡回检查，及时发现损坏绿地、苗木的案件，不属责职范围内的应及时报告。　　　　　　　　　　　　                           3.对行道树、单株乔木支撑或检查加固。</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0"/>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六月</w:t>
            </w:r>
            <w:r/>
          </w:p>
        </w:tc>
        <w:tc>
          <w:tcPr>
            <w:tcW w:w="632"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1.整形修剪（每月2次）</w:t>
            </w:r>
            <w:r/>
          </w:p>
        </w:tc>
        <w:tc>
          <w:tcPr>
            <w:tcW w:w="1926"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1.花灌木、色块地被：清理死苗，修去病虫枝、徒长枝、过密枝、枯死枝、萌芽枝、花后植物的花梗及藤蔓寄生物，保持树形优美；安全措施符合规范要求。　　　　　　　　　2.草坪、色块：适时修剪，保持整齐美观，做到线直面平。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3.修剪物及时清理。</w:t>
            </w:r>
            <w:r/>
          </w:p>
        </w:tc>
        <w:tc>
          <w:tcPr>
            <w:tcW w:w="1742"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1.乔木剥芽修剪。                                                  2.花灌木清理死苗，修去病虫枝、徒长枝、过密枝、枯死枝、萌芽枝、花后植物的花梗及藤蔓寄生物，保持树形优美。　                          3.绿篱、色块保持整齐美观，修杂乱枝及藤蔓枯枝，做到线直面平。</w:t>
            </w:r>
            <w:r>
              <w:rPr>
                <w:rFonts w:hint="eastAsia" w:ascii="宋体" w:hAnsi="宋体" w:eastAsia="宋体" w:cs="宋体"/>
                <w:color w:val="auto"/>
                <w:highlight w:val="none"/>
              </w:rPr>
              <w:br/>
            </w:r>
            <w:r>
              <w:rPr>
                <w:rFonts w:hint="eastAsia" w:ascii="宋体" w:hAnsi="宋体" w:eastAsia="宋体" w:cs="宋体"/>
                <w:color w:val="auto"/>
                <w:highlight w:val="none"/>
              </w:rPr>
              <w:t xml:space="preserve">4.草坪适时修剪2次，高羊茅草坪每次修剪留茬高度5~6厘米。</w:t>
            </w:r>
            <w:r>
              <w:rPr>
                <w:rFonts w:hint="eastAsia" w:ascii="宋体" w:hAnsi="宋体" w:eastAsia="宋体" w:cs="宋体"/>
                <w:color w:val="auto"/>
                <w:highlight w:val="none"/>
              </w:rPr>
              <w:br/>
            </w:r>
            <w:r>
              <w:rPr>
                <w:rFonts w:hint="eastAsia" w:ascii="宋体" w:hAnsi="宋体" w:eastAsia="宋体" w:cs="宋体"/>
                <w:color w:val="auto"/>
                <w:highlight w:val="none"/>
              </w:rPr>
              <w:t xml:space="preserve">5、所有区域绿篱、板块、草坪等该月根据生长情况修剪2次。</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本月养护工作重点是除草、病虫害防治和抗旱排涝</w:t>
            </w:r>
            <w:r/>
          </w:p>
        </w:tc>
      </w:tr>
      <w:tr>
        <w:trPr>
          <w:trHeight w:val="1062"/>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2.防病治虫</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1.每15天喷药防治一次，最大限度地控制病虫基数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2.病虫害：主要是黑斑病、叶斑病、红蜘蛛、金龟子、刺蛾、尺蠖、蝽象等。　　　　　　　             3.对症下药，防治及时。　　　　　　　　　　     4.需设专职技术人员巡查。</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刺蛾6月中旬至7月下旬为第1代幼虫为害期，被害寄主广泛，主要有杨、柳、悬铃木、重阳木、栾树、乌桕、无患子、苦楝、喜树、杜英、樱花、紫荆，采用50%杀螟松乳剂500—800倍液喷洒。（或用复合BT乳剂进行喷施）</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2.樟巢螟预计6月中旬左右出现第一代幼虫，6月下旬趁低龄且粘结叶片较少时防治，及时剪除，并销毁虫巢。                                      </w:t>
            </w:r>
            <w:r>
              <w:rPr>
                <w:rFonts w:hint="eastAsia" w:ascii="宋体" w:hAnsi="宋体" w:eastAsia="宋体" w:cs="宋体"/>
                <w:color w:val="auto"/>
                <w:highlight w:val="none"/>
              </w:rPr>
              <w:t xml:space="preserve">  3.天牛 6月为多种天牛成虫羽化盛期，采用人工捕杀或喷绿色威雷300倍液触杀成虫，减少其下代危害。                                       4.黄杨绢野螟 6月上中旬发生第一代幼虫危害，阿维毒1500倍液或灭幼脲2000倍喷虫苞，或摘除虫苞销毁。                                        5. 草坪害虫斜纹夜蛾、淡剑夜蛾、灰翅夜蛾、地老虎等草坪害虫危害6月显现，6月中下旬用地虫杀星剂拌土撒施或用奥力克500倍浇灌。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7.其他介壳虫蚜虫网椿粉虱木虱叶部病害等。</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9"/>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3.浇水、排涝</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1.根据天气情况适时浇水或排除绿地、树坑基部积水。　　　　　　　                                 2.浇水应浇透。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3.时间为早、晚，避开中午高温。</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一二级养护区域绿化积水人工排除，积水时间不超过6小时。每次浇水浇湿土层在10cm以上。</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4.杂草防除</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1.坚持以防为主，综合防治。　　　　　　　　2.及时清除杂草、杂物，保持绿地整洁。　　                         3.人工除草10天左右一次。</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一二级区域杂草随张随清，其他区域各类杂草每10—15天清除一次</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46"/>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1.及时清除绿地杂物。                            2.专职人员加强巡回检查，及时发现损坏绿地、苗木的案件，不属责职范围内的应及时报告。　　　　　　　　　　　　        3.对行道树、单株乔木支撑或检查加固，做好防台工作。</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279"/>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七月</w:t>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1.整形修剪</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1.花灌木、色块地被：清理死苗，修去病虫枝、徒长枝、过密枝、枯死枝、萌芽枝、花后植物的花梗及藤蔓寄生物，保持树形优美；安全措施符合规范要求。　　　　　　　　　2.草坪、色块：保持整齐美观，修杂乱枝及藤蔓枯枝，做到线直面平。　　　　　　　　3.修剪物及时清理。</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1.乔木剥芽修剪。                                                                          2.花木剥萌蘖芽。                                                                          3. 一级绿篱、色块、草坪该月每10天左右，修剪1次。二级区域每15天修剪一次。</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本月养护工作重点是抗旱。</w:t>
            </w:r>
            <w:r/>
          </w:p>
        </w:tc>
      </w:tr>
      <w:tr>
        <w:trPr>
          <w:trHeight w:val="1155"/>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2.防病治虫</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1.每15天喷药防治一次，最大限度地控制病虫基数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2.病虫害：主要是刺蛾、尺蠖等。　　　　　　　　                  3.对症下药，防治及时。　　　　　　　　　　      4.需设专职技术人员巡查。</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1.大叶黄杨尺蠖 7月中旬用苦烟乳油1000倍液或者灭幼脲3号2000倍液防治 2.青桐木虱、合欢木虱、网椿、叶蝉等危害进一步加重。                         3.其他同六月病虫害。</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1"/>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3.浇水</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1.根据天气情况适时浇水,保持土壤充足水分。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2.浇水应浇透。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3.时间为早、晚，避开中午高温。</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每次浇水浇湿土层在10cm以上。</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4.杂草防除</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1.坚持以防为主，综合防治。　　　　　　　　      2.及时清除杂草、杂物，保持绿地整洁。　　3.人工除草10天左右一次。</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一二级区域杂草随张随清，三级区域各类杂草每10—15天清除一次</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279"/>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1.及时清除绿地杂物。                            2.专职人员加强巡回检查，及时发现损坏绿地、苗木的案件，不属责职范围内的应及时报告。　　　　　　　　　　　　                            3.对行道树、单株乔木支撑或检查加固，做好防台工作。</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9"/>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八月</w:t>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1.整形修剪</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1.花灌木、色块地被：清理死苗，修去病虫枝、徒长枝、过密枝、枯死枝、萌芽枝、花后植物的花梗及藤蔓寄生物，保持树形优美；安全措施符合规范要求。　　　　　　　　　2.草坪、色块：保持整齐美观，修杂乱枝及藤蔓枯枝，做到线直面平。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3.修剪物及时清理。</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1.乔木剥芽修剪。                                                                          2.花木剥萌蘖芽，清理死苗、修剪病虫枝、徒长枝、过密枝、枯死枝、萌芽枝、花后的花梗以及藤蔓寄生植物，保持树形优美。                                                                         3. 一级绿篱、板块、草坪该月每10天左右，修剪1次。二三级区域每15天修剪一次。</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本月养护工作重点是浇水、施肥及防治樟巢螟</w:t>
            </w:r>
            <w:r/>
          </w:p>
        </w:tc>
      </w:tr>
      <w:tr>
        <w:trPr>
          <w:trHeight w:val="752"/>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2.防病治虫</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1.每15天喷药防治一次，最大限度地控制病虫基数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2.病虫害：主要是刺蛾、樟巢螟等。　　　　　　　　                 3.对症下药，防治及时。　　　　　　　　　　4.需设专职技术人员巡查。</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同七月</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3.浇水</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1.根据天气情况适时浇水,保持土壤充足水分。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2.浇水应浇透。　　　                            3.时间为早、晚，避开中午高温。</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每次浇水浇湿土层在10cm以上。</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4.杂草防除</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1.坚持以防为主，综合防治。　　　　　　　　      2.及时清除杂草、杂物，保持绿地整洁。　　                       3.人工除草10天左右一次。</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一级养护区杂草随张随清，其他区各类杂草每10—15天清除一次</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06"/>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5、施肥（绿地和苗木普施）</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1.品种以复合肥为主　　　　　　                  2.施肥量每亩15公斤左右。</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1.草坪，花、灌木每亩15公斤复合肥均匀施下。然后浇足量水，让肥料充分溶解渗透。                                                       2.乔木施肥要求：胸径（干径）&lt;10cm时，用量不少于1.5kg/棵；胸径（干径）&gt;10cm时，用量不少于为2kg/棵，复合肥随灌水或降雨环施，保证肥料充分溶解渗入树木根系。</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01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6、其它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1.及时清除绿地杂物。                            2.专职人员加强巡回检查，及时发现损坏绿地、苗木的案件，不属责职范围内的应及时报告。　　　　　　　　　　　　                           3.对行道树、单株乔木支撑或检查加固，做好防台工作。</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710"/>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九月</w:t>
            </w:r>
            <w:r/>
          </w:p>
        </w:tc>
        <w:tc>
          <w:tcPr>
            <w:tcW w:w="632"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1.整形修剪</w:t>
            </w:r>
            <w:r/>
          </w:p>
        </w:tc>
        <w:tc>
          <w:tcPr>
            <w:tcW w:w="1926"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1.花灌木、色块地被：清理死苗，修去病虫枝、徒长枝、过密枝、枯死枝、萌芽枝、花后植物的花梗及藤蔓寄生物，保持树形优美；安全措施符合规范要求。　　　　　　　　　2.草坪、色块：保持整齐美观，节前全面进行一次修剪。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3.修剪物及时清理。</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1.乔木剥芽修剪。                                                  2.花灌木清理死苗，修去病虫枝、徒长枝、过密枝、枯死枝、萌芽枝、花后植物的花梗及藤蔓寄生物，保持树形优美。　                          3.绿篱、色块保持整齐美观，修杂乱枝及藤蔓枯枝，做到线直面平。所有区域修剪两次。</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本月养护工作重点是修剪、除杂、补缺。</w:t>
            </w:r>
            <w:r/>
          </w:p>
        </w:tc>
      </w:tr>
      <w:tr>
        <w:trPr>
          <w:trHeight w:val="585"/>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6"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4.草坪适时修剪2次，高羊茅草坪每次修剪留茬高度5~6厘米。</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4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2.防病治虫</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1.病虫害：主要是刺蛾、樟巢螟等。　　　　　　　　2.对症下药，防治及时。　　　　　　　　　　     3.需设专职技术人员巡查。</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1.樟、狗骨、海棠、玉兰、等枝叶上红蜡蚧、藤壶蚧或龟蜡蚧若虫增多，紫薇绒蚧，紫竹、枫香粉蚧、海桐绵蚧等均有发生，用花保100倍液或机油杀扑磷乳剂800倍喷雾。                                              2.其他同上月</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3.浇水排涝</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1.根据天气情况适时浇水,保持土壤充足水分。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2.浇水应浇透。</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每次浇水浇湿土层在10cm以上。</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4.杂草防除</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1.坚持以防为主，综合防治。　　　　　　　　     2.及时清除杂草、杂物，保持绿地整洁。　　                              3.人工除草15天左右一次。</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一二级养护区杂草随张随清，各类杂草每10—15天清除一次</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725"/>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1.及时清除绿地杂物。                            2.专职人员加强巡回检查，及时发现损坏绿地、苗木的案件，不属责职范围内的应及时报告。　　　　　　　　　　　　     3.对行道树、单株乔木支撑或检查加固，做好防台工作。</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1.专职巡查人员和养护人员加强巡查。                                           2.绿地范围内如有乱开挖和损坏绿地、苗木的案件（事件），24小时内及时报告。　　                                                      3.及时检查行道树绑扎、立桩情况，发现松绑、铅丝嵌皮、摇桩等情况时立即整改。</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010"/>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十月</w:t>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1.整形修剪</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1.花灌木、色块地被：清理死苗，修去病虫枝、徒长枝、过密枝、枯死枝、萌芽枝、花后植物的花梗及藤蔓寄生物，保持树形优美；安全措施符合规范要求。　　　　　　　　　2.草坪、色块：保持整齐美观，草坪进行年最后一次修剪。　　　　　　3.修剪物及时清理。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4.本月中旬开始常绿乔木冬季大修剪</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1.乔木剥芽修剪。                                                  2.花灌木清理死苗，修去病虫枝、徒长枝、过密枝、枯死枝、萌芽枝、花后植物的花梗及藤蔓寄生物，保持树形优美。　                          3.绿篱、色块、草坪保持整齐美观，修杂乱枝及藤蔓枯枝，一二级区域适时修剪-2次，其他区域一次。</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本月养护工作重点是整形修剪。</w:t>
            </w:r>
            <w:r/>
          </w:p>
        </w:tc>
      </w:tr>
      <w:tr>
        <w:trPr>
          <w:trHeight w:val="71"/>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2.浇水</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1.根据天气情况适时浇水。</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每次浇水浇湿土层在10cm以上。</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3.杂草防除</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1.坚持以防为主，综合防治。　　　　　　　　      2.及时清除杂草、杂物，保持绿地整洁。　　                         3.人工除草15天左右一次。</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该月是各类杂草集中结实期，要求各类杂草每10—15天清除一次，减少越冬草籽</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155"/>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4.病虫害防治</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1.病虫害：主要是天牛等。　　　　　　　　　2.对症下药，防治及时。　　　　　　　　　　3.需设专职技术人员巡查。</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1.斜纹夜蛾、蛴螬等草坪虫害十月危害加重危害马蹄莲、高羊茅、白三叶等，防治方法参照六月。                                                 2.其他病虫害蚜虫网椿粉虱樟巢螟疥虫刺蛾卷叶蛾等</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9"/>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1.及时清除绿地杂物。                           2.专职人员加强巡回检查，及时发现损坏绿地、苗木的案件，不属责职范围内的应及时报告。　　　　　　　　　　　　                                                3.对行道树、单株乔木支撑或检查加固。</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135"/>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十一月</w:t>
            </w:r>
            <w:r/>
          </w:p>
        </w:tc>
        <w:tc>
          <w:tcPr>
            <w:tcW w:w="632"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1.冬季大修剪</w:t>
            </w:r>
            <w:r/>
          </w:p>
        </w:tc>
        <w:tc>
          <w:tcPr>
            <w:tcW w:w="1926"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1.花灌木、色块地被、水生植物：清理枯死，修去病虫枝、徒长枝、过密枝、枯死枝、萌芽枝、花后植物的花梗及藤蔓寄生物，保持树形优美；安全措施符合规范要求。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2.草坪、色块：保持整齐美观，草坪进行年最后一次修剪。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3.修剪物及时清理。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4.本月继续常绿乔木冬季大修剪</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行道树法桐整形修剪，按照“三股六叉十二枝”的原则，以“七去五留”的手法进行人工造型修剪；行道树香樟的修剪保持树木原有形态，以抽稀、疏枝为主，使其树型圆整，通风透光，疏密适中；黄山栾剥萌蘖芽。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花灌木的修剪应当适当区分：当年生枝条上开花的如月季、紫薇、木槿、石榴应当冬季修剪，主要以短截和疏枝为主；在生枝条上开花的如樱花、红叶李、梅树、桃树、迎春等应在花后修剪。在多年生枝条上开花的如紫荆、海棠等，修剪量较小，可适当摘心，水生植物清理枯死。</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本月养护工作重点是整形修剪、绿地除杂、涂白。</w:t>
            </w:r>
            <w:r/>
          </w:p>
        </w:tc>
      </w:tr>
      <w:tr>
        <w:trPr>
          <w:trHeight w:val="71"/>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6"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.绿篱、色块、草坪保持整齐美观，修杂乱枝及藤蔓枯枝</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37"/>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2.浇水</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1.根据天气情况适时浇水。</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每次浇水浇湿土层在10cm以上。</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0"/>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3.杂草防除</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涂白</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1.坚持以防为主，综合防治。　　　　　　　　2.及时清除杂草、杂物，保持绿地整洁。　　                          3.人工除草15天左右一次。</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4.单株树木在主干1.3米处以下涂石灰液（浆）加盐刷白，做到涂布均匀，上缘平整。</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1.该月是各类杂草集中结实期，要求各类杂草每10—15天清除一次，减少越冬草籽</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2.当月平均气温降至5℃以下，应对树木进行涂白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3.涂白剂配方为生石灰：石硫合剂：水=5：2：3。</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55"/>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1.及时清除绿地杂物。                           2.专职人员加强巡回检查，及时发现损坏绿地、苗木的案件，不属责职范围内的应及时报告。　　　　　　　　　　　　3.对行道树、单株乔木支撑或检查加固。</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1"/>
        </w:trPr>
        <w:tc>
          <w:tcPr>
            <w:tcW w:w="315"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十二月</w:t>
            </w:r>
            <w:r/>
          </w:p>
        </w:tc>
        <w:tc>
          <w:tcPr>
            <w:tcW w:w="632"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1.冬季修剪</w:t>
            </w:r>
            <w:r/>
          </w:p>
        </w:tc>
        <w:tc>
          <w:tcPr>
            <w:tcW w:w="1926" w:type="pct"/>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1.树木：清理死苗，修去病虫枝、徒长枝、过密枝、枯死枝及藤蔓寄生物，保持树形优美；安全措施符合规范要求。　　　　　　　　2.色块：保持整齐美观，修杂乱枝及藤蔓枯枝，做到线直面平；水生植物清理枯死。</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3.修剪物及时清理。</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行道树法桐整形修剪，按照“三股六叉十二枝”的原则，以“七去五留”的手法进行人工造型修剪；行道树香樟的修剪保持树木原有形态，以抽稀、疏枝为主，使其树型圆整，通风透光，疏密适中；黄山栾剥萌蘖芽。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花灌木的修剪应当适当区分：当年生枝条上开花的如月季、紫薇、木槿、石榴应当冬季修剪，主要以短截和疏枝为主；在生枝条上开花的如樱花、红叶李、梅树、桃树、迎春等应在花后修剪。在多年生枝条上开花的如紫荆、海棠等，修剪量较小，可适当摘心，水生植物（芦苇、菖蒲等）清理枯死。</w:t>
            </w:r>
            <w:r/>
          </w:p>
        </w:tc>
        <w:tc>
          <w:tcPr>
            <w:tcW w:w="383" w:type="pct"/>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本月养护工作重点是防冻保暖、树干涂白、数据统计。</w:t>
            </w:r>
            <w:r/>
          </w:p>
        </w:tc>
      </w:tr>
      <w:tr>
        <w:trPr>
          <w:trHeight w:val="585"/>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6"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.绿篱、色块、草坪保持整齐美观，修杂乱枝及藤蔓枯枝，全区域修剪一次。</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104"/>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2.防冻保暖、抗灾</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1.遇有大雪,对易遭雪压的植物要组织打雪。　                                 2.天气干燥，在晴天对植物适当浇水，保持土壤湿润</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1.均需对行道树进行抗冻处理（根基培土），并在树木的休眠期内，进行扶正，易发生冻害树木主干包扎。                                      2.冬季积雪达到5—6CM时保证及时组织人员进行打雪。</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44"/>
        </w:trPr>
        <w:tc>
          <w:tcPr>
            <w:tcW w:w="315" w:type="pct"/>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3.其它</w:t>
            </w:r>
            <w:r/>
          </w:p>
        </w:tc>
        <w:tc>
          <w:tcPr>
            <w:tcW w:w="1926"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1.专职人员加强巡回检查，及时发现损坏绿地、苗木的案件，不属责职范围内的应及时报告。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2.做好冬季防火工作。                           3.对行道树、单株乔木支撑或检查加固。　　　                                4.年度总结考评。</w:t>
            </w:r>
            <w:r/>
          </w:p>
        </w:tc>
        <w:tc>
          <w:tcPr>
            <w:tcW w:w="1742"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1.专职巡查人员和养护人员</w:t>
            </w:r>
            <w:r>
              <w:rPr>
                <w:rFonts w:hint="eastAsia" w:ascii="宋体" w:hAnsi="宋体" w:eastAsia="宋体" w:cs="宋体"/>
                <w:color w:val="auto"/>
                <w:highlight w:val="none"/>
              </w:rPr>
              <w:t xml:space="preserve">加强巡查。                                           2.绿地范围内如有乱开挖和损坏绿地、苗木的案件（事件），24小时内及时报告。　　                                                      3.及时检查行道树绑扎、立桩情况，发现松绑、铅丝嵌皮、摇桩等情况时立即整改。　　                                                     4.  养护单位做好一年养护总结，上报甲方</w:t>
            </w:r>
            <w:r/>
          </w:p>
        </w:tc>
        <w:tc>
          <w:tcPr>
            <w:tcW w:w="383" w:type="pct"/>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00"/>
        <w:spacing w:line="380" w:lineRule="exact"/>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ind w:firstLine="400"/>
        <w:spacing w:line="380" w:lineRule="exact"/>
        <w:rPr>
          <w:rFonts w:hint="eastAsia" w:ascii="宋体" w:hAnsi="宋体" w:eastAsia="宋体" w:cs="宋体"/>
          <w:color w:val="auto"/>
          <w:sz w:val="20"/>
          <w:highlight w:val="none"/>
        </w:rPr>
        <w:sectPr>
          <w:headerReference w:type="default" r:id="rId14"/>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0"/>
          <w:highlight w:val="none"/>
        </w:rPr>
      </w:r>
      <w:r/>
    </w:p>
    <w:tbl>
      <w:tblPr>
        <w:tblStyle w:val="861"/>
        <w:tblW w:w="0" w:type="dxa"/>
        <w:tblInd w:w="0" w:type="dxa"/>
        <w:tblLayout w:type="fixed"/>
        <w:tblCellMar>
          <w:left w:w="108" w:type="dxa"/>
          <w:top w:w="0" w:type="dxa"/>
          <w:right w:w="108" w:type="dxa"/>
          <w:bottom w:w="0" w:type="dxa"/>
        </w:tblCellMar>
        <w:tblLook w:val="04A0" w:firstRow="1" w:lastRow="0" w:firstColumn="1" w:lastColumn="0" w:noHBand="0" w:noVBand="1"/>
      </w:tblPr>
      <w:tblGrid>
        <w:gridCol w:w="545"/>
        <w:gridCol w:w="1060"/>
        <w:gridCol w:w="710"/>
        <w:gridCol w:w="1621"/>
        <w:gridCol w:w="4819"/>
        <w:gridCol w:w="591"/>
        <w:gridCol w:w="546"/>
        <w:gridCol w:w="4161"/>
      </w:tblGrid>
      <w:tr>
        <w:trPr>
          <w:trHeight w:val="750"/>
        </w:trPr>
        <w:tc>
          <w:tcPr>
            <w:gridSpan w:val="8"/>
            <w:shd w:val="clear" w:color="auto" w:fill="auto"/>
            <w:tcBorders>
              <w:top w:val="none" w:color="000000" w:sz="4" w:space="0"/>
              <w:left w:val="none" w:color="000000" w:sz="4" w:space="0"/>
              <w:bottom w:val="none" w:color="000000" w:sz="4" w:space="0"/>
              <w:right w:val="none" w:color="000000" w:sz="4" w:space="0"/>
            </w:tcBorders>
            <w:tcW w:w="14053" w:type="dxa"/>
            <w:vAlign w:val="center"/>
            <w:textDirection w:val="lrTb"/>
            <w:noWrap/>
          </w:tcPr>
          <w:p>
            <w:pPr>
              <w:jc w:val="center"/>
              <w:widowControl/>
              <w:rPr>
                <w:rFonts w:hint="eastAsia" w:ascii="宋体" w:hAnsi="宋体" w:eastAsia="宋体" w:cs="宋体"/>
                <w:bCs/>
                <w:color w:val="auto"/>
                <w:sz w:val="36"/>
                <w:szCs w:val="36"/>
                <w:highlight w:val="none"/>
              </w:rPr>
            </w:pPr>
            <w:r>
              <w:rPr>
                <w:rFonts w:hint="eastAsia" w:ascii="宋体" w:hAnsi="宋体" w:eastAsia="宋体" w:cs="宋体"/>
                <w:bCs/>
                <w:color w:val="auto"/>
                <w:sz w:val="30"/>
                <w:szCs w:val="30"/>
                <w:highlight w:val="none"/>
              </w:rPr>
              <w:t xml:space="preserve">金坛区公路绿化养护管理考核表</w:t>
            </w:r>
            <w:r/>
          </w:p>
        </w:tc>
      </w:tr>
      <w:tr>
        <w:trPr>
          <w:trHeight w:val="480"/>
        </w:trPr>
        <w:tc>
          <w:tcPr>
            <w:gridSpan w:val="8"/>
            <w:shd w:val="clear" w:color="auto" w:fill="auto"/>
            <w:tcBorders>
              <w:top w:val="none" w:color="000000" w:sz="4" w:space="0"/>
              <w:left w:val="none" w:color="000000" w:sz="4" w:space="0"/>
              <w:bottom w:val="single" w:color="auto" w:sz="4" w:space="0"/>
              <w:right w:val="none" w:color="000000" w:sz="4" w:space="0"/>
            </w:tcBorders>
            <w:tcW w:w="14053" w:type="dxa"/>
            <w:vAlign w:val="center"/>
            <w:textDirection w:val="lrTb"/>
            <w:noWrap/>
          </w:tcPr>
          <w:p>
            <w:pP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考核包：                  承包人:                                 考核单位:                             考核月度：</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71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总评分</w:t>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养护内容</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考核标准</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考核方法</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tl/>
              </w:rPr>
              <w:t xml:space="preserve">日常管理</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内业管理</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按时上报统计报表、养护作业计划等各类资料，并及时整理归档。</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不及时上报每次扣1分，扣完为止。</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21"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养护员管理</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人员数量与要求规定或计划相符。</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不相符少一人扣0.5分，扣完为止。</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21"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作业时穿标志服。</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不穿一人一次扣0.1分，扣完为止。</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养护施工管理</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占用道路时按国家规范设置安全设施、养护现场管理有序。</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抽查现场</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整改情况管理</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在整改期限内完成整改。</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不整改每次扣3分，扣完33分为止。</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应急处理</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出现其他意外情况及时发现并解决问题, 并有应急方案。</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结合实际情况酌情打分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日常养护</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67</w:t>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乔木</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成活率100%，无明显干撅、枯枝和吊枝，及时修枝、抹芽、不影响景观和安全隐患</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结合现场情况酌情打分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绿篱及花灌木</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按生长规律修剪及时合理、整齐流畅、美观。</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结合实际情况酌情打分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草坪及地被植物</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无明显斑秃，及时施肥、修剪及时合理。</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结合实际情况酌情打分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涂白</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入冬前树干涂白及时规范</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涂白不合格每20米扣0.5分。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病虫害防治</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无病虫害</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防治前报甲方，有明显病虫害，病斑叶、虫食叶、落叶明显，发现一次扣1分。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扶正</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无歪斜、倒伏苗木</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10株扣1分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除草</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乔木、绿篱、花灌木、草坪及地被植物内杂草及时清理。</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连续20米扣1分，用药物除杂草，发现一次扣1分。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绿化保护</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植物体上无钉、捆、挂、贴、刻、画等现象，无随意被侵占绿地、砍伐树木现象。</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一处扣0.5分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卫生保洁</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绿地内无死亡苗木、枯枝、垃圾，堆积物、种植物、养护产生的废弃物日产日清</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一处扣1分</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整体效果</w:t>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绿地清洁、美观，树形整齐完美</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整体效果很好7分；一般4分；差0分</w:t>
            </w:r>
            <w:r/>
          </w:p>
        </w:tc>
      </w:tr>
      <w:tr>
        <w:trPr>
          <w:trHeight w:val="284"/>
        </w:trPr>
        <w:tc>
          <w:tcPr>
            <w:gridSpan w:val="2"/>
            <w:shd w:val="clear" w:color="auto" w:fill="auto"/>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小计</w:t>
            </w:r>
            <w:r/>
          </w:p>
        </w:tc>
        <w:tc>
          <w:tcPr>
            <w:shd w:val="clear" w:color="auto" w:fill="auto"/>
            <w:tcBorders>
              <w:top w:val="single" w:color="auto" w:sz="4" w:space="0"/>
              <w:left w:val="none" w:color="000000" w:sz="4" w:space="0"/>
              <w:bottom w:val="single" w:color="auto" w:sz="4" w:space="0"/>
              <w:right w:val="single" w:color="auto" w:sz="4" w:space="0"/>
            </w:tcBorders>
            <w:tcW w:w="71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1621"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819"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546"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161"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bookmarkEnd w:id="889"/>
            <w:r/>
            <w:r/>
          </w:p>
        </w:tc>
      </w:tr>
    </w:tbl>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sectPr>
      <w:headerReference w:type="default" r:id="rId15"/>
      <w:footerReference w:type="default" r:id="rId25"/>
      <w:footnotePr/>
      <w:endnotePr/>
      <w:type w:val="nextPage"/>
      <w:pgSz w:w="16838" w:h="11906" w:orient="landscape"/>
      <w:pgMar w:top="1080" w:right="1440" w:bottom="108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lear" w:pos="4153" w:leader="none"/>
        <w:tab w:val="center" w:pos="4873" w:leader="none"/>
      </w:tabs>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rPr>
        <w:rStyle w:val="1189"/>
      </w:rPr>
      <w:framePr w:wrap="around" w:vAnchor="text" w:hAnchor="margin" w:xAlign="right" w:y="1"/>
    </w:pPr>
    <w:r>
      <w:rPr>
        <w:rStyle w:val="1189"/>
      </w:rPr>
      <w:fldChar w:fldCharType="begin"/>
    </w:r>
    <w:r>
      <w:rPr>
        <w:rStyle w:val="1189"/>
      </w:rPr>
      <w:instrText xml:space="preserve">PAGE  </w:instrText>
    </w:r>
    <w:r>
      <w:rPr>
        <w:rStyle w:val="1189"/>
      </w:rPr>
      <w:fldChar w:fldCharType="end"/>
    </w:r>
    <w:r/>
  </w:p>
  <w:p>
    <w:pPr>
      <w:pStyle w:val="116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61"/>
      <w:jc w:val="left"/>
      <w:spacing w:line="220" w:lineRule="auto"/>
      <w:widowControl/>
      <w:rPr>
        <w:rFonts w:eastAsia="Times New Roman"/>
        <w:color w:val="000000"/>
        <w:sz w:val="18"/>
        <w:szCs w:val="18"/>
        <w:lang w:eastAsia="en-US"/>
      </w:rPr>
    </w:pPr>
    <w:r>
      <w:rPr>
        <w:rFonts w:eastAsia="Times New Roman"/>
        <w:color w:val="000000"/>
        <w:sz w:val="18"/>
        <w:szCs w:val="18"/>
        <w:lang w:eastAsia="en-US"/>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12"/>
      <w:jc w:val="left"/>
      <w:spacing w:line="220" w:lineRule="auto"/>
      <w:widowControl/>
      <w:rPr>
        <w:rFonts w:eastAsia="Times New Roman"/>
        <w:color w:val="000000"/>
        <w:sz w:val="18"/>
        <w:szCs w:val="18"/>
        <w:lang w:eastAsia="en-US"/>
      </w:rPr>
    </w:pPr>
    <w:r>
      <w:rPr>
        <w:rFonts w:eastAsia="Times New Roman"/>
        <w:color w:val="000000"/>
        <w:sz w:val="18"/>
        <w:szCs w:val="18"/>
        <w:lang w:eastAsia="en-US"/>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61"/>
      <w:jc w:val="left"/>
      <w:spacing w:line="220" w:lineRule="auto"/>
      <w:widowControl/>
      <w:rPr>
        <w:rFonts w:eastAsia="Times New Roman"/>
        <w:color w:val="000000"/>
        <w:sz w:val="18"/>
        <w:szCs w:val="18"/>
        <w:lang w:eastAsia="en-US"/>
      </w:rPr>
    </w:pPr>
    <w:r>
      <w:rPr>
        <w:rFonts w:eastAsia="Times New Roman"/>
        <w:color w:val="000000"/>
        <w:sz w:val="18"/>
        <w:szCs w:val="18"/>
        <w:lang w:eastAsia="en-US"/>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jc w:val="left"/>
      <w:spacing w:line="223" w:lineRule="auto"/>
      <w:widowControl/>
      <w:rPr>
        <w:rFonts w:eastAsia="Times New Roman"/>
        <w:color w:val="000000"/>
        <w:sz w:val="18"/>
        <w:szCs w:val="18"/>
        <w:lang w:eastAsia="en-US"/>
      </w:rPr>
    </w:pPr>
    <w:r>
      <w:rPr>
        <w:rFonts w:eastAsia="Times New Roman"/>
        <w:color w:val="000000"/>
        <w:sz w:val="18"/>
        <w:szCs w:val="18"/>
        <w:lang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right"/>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Fonts w:hint="eastAsia"/>
      </w:rP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80"/>
      <w:jc w:val="left"/>
      <w:spacing w:before="48" w:line="219" w:lineRule="auto"/>
      <w:widowControl/>
      <w:rPr>
        <w:rFonts w:ascii="宋体" w:hAnsi="宋体" w:cs="宋体"/>
        <w:color w:val="000000"/>
        <w:sz w:val="18"/>
        <w:szCs w:val="18"/>
        <w:lang w:eastAsia="en-US"/>
      </w:rPr>
    </w:pPr>
    <w:r>
      <w:rPr>
        <w:rFonts w:ascii="宋体" w:hAnsi="宋体" w:cs="宋体"/>
        <w:color w:val="000000"/>
        <w:sz w:val="18"/>
        <w:szCs w:val="18"/>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6"/>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bullet"/>
      <w:pStyle w:val="884"/>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7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868"/>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26"/>
      <w:isLgl w:val="false"/>
      <w:suff w:val="tab"/>
      <w:lvlText w:val="%1"/>
      <w:lvlJc w:val="left"/>
      <w:pPr>
        <w:ind w:left="680" w:hanging="680"/>
      </w:pPr>
      <w:rPr>
        <w:rFonts w:hint="eastAsia" w:ascii="宋体" w:hAnsi="宋体" w:eastAsia="宋体"/>
      </w:rPr>
    </w:lvl>
    <w:lvl w:ilvl="1">
      <w:start w:val="1"/>
      <w:numFmt w:val="decimal"/>
      <w:pStyle w:val="1327"/>
      <w:isLgl w:val="false"/>
      <w:suff w:val="tab"/>
      <w:lvlText w:val="%1.%2"/>
      <w:lvlJc w:val="left"/>
      <w:pPr>
        <w:ind w:left="851" w:hanging="851"/>
      </w:pPr>
      <w:rPr>
        <w:rFonts w:hint="eastAsia" w:ascii="宋体" w:hAnsi="宋体" w:eastAsia="宋体"/>
        <w:color w:val="000000"/>
      </w:rPr>
    </w:lvl>
    <w:lvl w:ilvl="2">
      <w:start w:val="1"/>
      <w:numFmt w:val="decimal"/>
      <w:pStyle w:val="132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pStyle w:val="127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6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9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8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pStyle w:val="130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3">
    <w:multiLevelType w:val="hybridMultilevel"/>
    <w:lvl w:ilvl="0">
      <w:start w:val="1"/>
      <w:numFmt w:val="bullet"/>
      <w:pStyle w:val="89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2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27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4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5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7">
    <w:multiLevelType w:val="hybridMultilevel"/>
    <w:lvl w:ilvl="0">
      <w:start w:val="1"/>
      <w:numFmt w:val="decimal"/>
      <w:pStyle w:val="87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22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bullet"/>
      <w:pStyle w:val="89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19"/>
  </w:num>
  <w:num w:numId="9">
    <w:abstractNumId w:val="10"/>
  </w:num>
  <w:num w:numId="10">
    <w:abstractNumId w:val="0"/>
  </w:num>
  <w:num w:numId="11">
    <w:abstractNumId w:val="14"/>
  </w:num>
  <w:num w:numId="12">
    <w:abstractNumId w:val="18"/>
  </w:num>
  <w:num w:numId="13">
    <w:abstractNumId w:val="4"/>
  </w:num>
  <w:num w:numId="14">
    <w:abstractNumId w:val="16"/>
  </w:num>
  <w:num w:numId="15">
    <w:abstractNumId w:val="8"/>
  </w:num>
  <w:num w:numId="16">
    <w:abstractNumId w:val="12"/>
  </w:num>
  <w:num w:numId="17">
    <w:abstractNumId w:val="7"/>
  </w:num>
  <w:num w:numId="18">
    <w:abstractNumId w:val="6"/>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uiPriority w:val="0"/>
    <w:qFormat/>
    <w:pPr>
      <w:jc w:val="both"/>
      <w:widowControl w:val="off"/>
    </w:pPr>
    <w:rPr>
      <w:rFonts w:hint="default" w:ascii="Calibri" w:hAnsi="Calibri" w:eastAsia="宋体" w:cs="宋体"/>
      <w:sz w:val="21"/>
      <w:szCs w:val="24"/>
      <w:lang w:val="en-US" w:eastAsia="zh-CN" w:bidi="ar-SA"/>
    </w:rPr>
  </w:style>
  <w:style w:type="paragraph" w:styleId="851">
    <w:name w:val="Heading 1"/>
    <w:basedOn w:val="850"/>
    <w:next w:val="850"/>
    <w:link w:val="968"/>
    <w:uiPriority w:val="0"/>
    <w:qFormat/>
    <w:pPr>
      <w:keepLines/>
      <w:keepNext/>
      <w:spacing w:before="340" w:beforeAutospacing="0" w:after="330" w:afterAutospacing="0" w:line="576" w:lineRule="auto"/>
      <w:outlineLvl w:val="0"/>
    </w:pPr>
    <w:rPr>
      <w:b/>
      <w:sz w:val="44"/>
    </w:rPr>
  </w:style>
  <w:style w:type="paragraph" w:styleId="852">
    <w:name w:val="Heading 2"/>
    <w:basedOn w:val="850"/>
    <w:next w:val="850"/>
    <w:link w:val="969"/>
    <w:uiPriority w:val="0"/>
    <w:qFormat/>
    <w:pPr>
      <w:keepLines/>
      <w:keepNext/>
      <w:spacing w:before="260" w:beforeAutospacing="0" w:after="260" w:afterAutospacing="0" w:line="413" w:lineRule="auto"/>
      <w:outlineLvl w:val="1"/>
    </w:pPr>
    <w:rPr>
      <w:rFonts w:ascii="Arial" w:hAnsi="Arial" w:eastAsia="黑体"/>
      <w:b/>
      <w:sz w:val="32"/>
    </w:rPr>
  </w:style>
  <w:style w:type="paragraph" w:styleId="853">
    <w:name w:val="Heading 3"/>
    <w:basedOn w:val="850"/>
    <w:next w:val="850"/>
    <w:link w:val="1336"/>
    <w:uiPriority w:val="0"/>
    <w:qFormat/>
    <w:pPr>
      <w:keepLines/>
      <w:keepNext/>
      <w:spacing w:before="260" w:beforeAutospacing="0" w:after="260" w:afterAutospacing="0" w:line="413" w:lineRule="auto"/>
      <w:outlineLvl w:val="2"/>
    </w:pPr>
    <w:rPr>
      <w:b/>
      <w:sz w:val="32"/>
    </w:rPr>
  </w:style>
  <w:style w:type="paragraph" w:styleId="854">
    <w:name w:val="Heading 4"/>
    <w:basedOn w:val="850"/>
    <w:next w:val="850"/>
    <w:link w:val="971"/>
    <w:uiPriority w:val="0"/>
    <w:qFormat/>
    <w:pPr>
      <w:keepLines/>
      <w:keepNext/>
      <w:spacing w:before="280" w:beforeAutospacing="0" w:after="290" w:afterAutospacing="0" w:line="372" w:lineRule="auto"/>
      <w:outlineLvl w:val="3"/>
    </w:pPr>
    <w:rPr>
      <w:rFonts w:ascii="Arial" w:hAnsi="Arial" w:eastAsia="黑体"/>
      <w:b/>
      <w:sz w:val="28"/>
    </w:rPr>
  </w:style>
  <w:style w:type="paragraph" w:styleId="855">
    <w:name w:val="Heading 5"/>
    <w:basedOn w:val="850"/>
    <w:next w:val="850"/>
    <w:link w:val="972"/>
    <w:uiPriority w:val="0"/>
    <w:qFormat/>
    <w:pPr>
      <w:keepLines/>
      <w:keepNext/>
      <w:spacing w:before="280" w:beforeAutospacing="0" w:after="290" w:afterAutospacing="0" w:line="372" w:lineRule="auto"/>
      <w:outlineLvl w:val="4"/>
    </w:pPr>
    <w:rPr>
      <w:b/>
      <w:sz w:val="28"/>
    </w:rPr>
  </w:style>
  <w:style w:type="paragraph" w:styleId="856">
    <w:name w:val="Heading 6"/>
    <w:basedOn w:val="850"/>
    <w:next w:val="850"/>
    <w:link w:val="973"/>
    <w:uiPriority w:val="0"/>
    <w:qFormat/>
    <w:pPr>
      <w:keepLines/>
      <w:keepNext/>
      <w:spacing w:before="240" w:beforeAutospacing="0" w:after="64" w:afterAutospacing="0" w:line="317" w:lineRule="auto"/>
      <w:outlineLvl w:val="5"/>
    </w:pPr>
    <w:rPr>
      <w:rFonts w:ascii="Arial" w:hAnsi="Arial" w:eastAsia="黑体"/>
      <w:b/>
      <w:sz w:val="24"/>
    </w:rPr>
  </w:style>
  <w:style w:type="paragraph" w:styleId="857">
    <w:name w:val="Heading 7"/>
    <w:basedOn w:val="850"/>
    <w:next w:val="850"/>
    <w:link w:val="974"/>
    <w:uiPriority w:val="0"/>
    <w:qFormat/>
    <w:pPr>
      <w:keepLines/>
      <w:keepNext/>
      <w:spacing w:before="240" w:beforeAutospacing="0" w:after="64" w:afterAutospacing="0" w:line="317" w:lineRule="auto"/>
      <w:outlineLvl w:val="6"/>
    </w:pPr>
    <w:rPr>
      <w:b/>
      <w:sz w:val="24"/>
    </w:rPr>
  </w:style>
  <w:style w:type="paragraph" w:styleId="858">
    <w:name w:val="Heading 8"/>
    <w:basedOn w:val="850"/>
    <w:next w:val="850"/>
    <w:link w:val="975"/>
    <w:uiPriority w:val="0"/>
    <w:qFormat/>
    <w:pPr>
      <w:keepLines/>
      <w:keepNext/>
      <w:spacing w:before="240" w:beforeAutospacing="0" w:after="64" w:afterAutospacing="0" w:line="317" w:lineRule="auto"/>
      <w:outlineLvl w:val="7"/>
    </w:pPr>
    <w:rPr>
      <w:rFonts w:ascii="Arial" w:hAnsi="Arial" w:eastAsia="黑体"/>
      <w:sz w:val="24"/>
    </w:rPr>
  </w:style>
  <w:style w:type="paragraph" w:styleId="859">
    <w:name w:val="Heading 9"/>
    <w:basedOn w:val="850"/>
    <w:next w:val="850"/>
    <w:link w:val="976"/>
    <w:uiPriority w:val="0"/>
    <w:qFormat/>
    <w:pPr>
      <w:keepLines/>
      <w:keepNext/>
      <w:spacing w:before="240" w:beforeAutospacing="0" w:after="64" w:afterAutospacing="0" w:line="317" w:lineRule="auto"/>
      <w:outlineLvl w:val="8"/>
    </w:pPr>
    <w:rPr>
      <w:rFonts w:ascii="Arial" w:hAnsi="Arial" w:eastAsia="黑体"/>
      <w:sz w:val="21"/>
    </w:rPr>
  </w:style>
  <w:style w:type="character" w:styleId="860" w:default="1">
    <w:name w:val="Default Paragraph Font"/>
    <w:uiPriority w:val="0"/>
    <w:qFormat/>
  </w:style>
  <w:style w:type="table" w:styleId="861" w:default="1">
    <w:name w:val="Normal Table"/>
    <w:uiPriority w:val="99"/>
    <w:qFormat/>
    <w:tblPr>
      <w:tblCellMar>
        <w:left w:w="108" w:type="dxa"/>
        <w:top w:w="0" w:type="dxa"/>
        <w:right w:w="108" w:type="dxa"/>
        <w:bottom w:w="0" w:type="dxa"/>
      </w:tblCellMar>
    </w:tblPr>
  </w:style>
  <w:style w:type="paragraph" w:styleId="862">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宋体"/>
      <w:sz w:val="24"/>
      <w:lang w:val="en-US" w:eastAsia="zh-CN"/>
    </w:rPr>
  </w:style>
  <w:style w:type="paragraph" w:styleId="863">
    <w:name w:val="List 3"/>
    <w:basedOn w:val="850"/>
    <w:uiPriority w:val="0"/>
    <w:qFormat/>
    <w:pPr>
      <w:ind w:left="100" w:hanging="200"/>
    </w:pPr>
  </w:style>
  <w:style w:type="paragraph" w:styleId="864">
    <w:name w:val="toc 7"/>
    <w:basedOn w:val="850"/>
    <w:next w:val="850"/>
    <w:uiPriority w:val="0"/>
    <w:qFormat/>
    <w:pPr>
      <w:ind w:left="2520"/>
    </w:pPr>
  </w:style>
  <w:style w:type="paragraph" w:styleId="865">
    <w:name w:val="List Number 2"/>
    <w:basedOn w:val="850"/>
    <w:uiPriority w:val="0"/>
    <w:qFormat/>
    <w:pPr>
      <w:numPr>
        <w:ilvl w:val="0"/>
        <w:numId w:val="1"/>
      </w:numPr>
    </w:pPr>
  </w:style>
  <w:style w:type="paragraph" w:styleId="866">
    <w:name w:val="table of authorities"/>
    <w:basedOn w:val="850"/>
    <w:next w:val="850"/>
    <w:uiPriority w:val="0"/>
    <w:qFormat/>
    <w:pPr>
      <w:ind w:left="420"/>
    </w:pPr>
  </w:style>
  <w:style w:type="paragraph" w:styleId="867">
    <w:name w:val="Note Heading"/>
    <w:basedOn w:val="850"/>
    <w:next w:val="850"/>
    <w:uiPriority w:val="0"/>
    <w:qFormat/>
    <w:pPr>
      <w:jc w:val="center"/>
    </w:pPr>
  </w:style>
  <w:style w:type="paragraph" w:styleId="868">
    <w:name w:val="List Bullet 4"/>
    <w:basedOn w:val="850"/>
    <w:uiPriority w:val="0"/>
    <w:qFormat/>
    <w:pPr>
      <w:numPr>
        <w:ilvl w:val="0"/>
        <w:numId w:val="2"/>
      </w:numPr>
    </w:pPr>
  </w:style>
  <w:style w:type="paragraph" w:styleId="869">
    <w:name w:val="index 8"/>
    <w:basedOn w:val="850"/>
    <w:next w:val="850"/>
    <w:uiPriority w:val="0"/>
    <w:qFormat/>
    <w:pPr>
      <w:ind w:left="1400"/>
    </w:pPr>
  </w:style>
  <w:style w:type="paragraph" w:styleId="870">
    <w:name w:val="E-mail Signature"/>
    <w:basedOn w:val="850"/>
    <w:uiPriority w:val="0"/>
    <w:qFormat/>
  </w:style>
  <w:style w:type="paragraph" w:styleId="871">
    <w:name w:val="List Number"/>
    <w:basedOn w:val="850"/>
    <w:uiPriority w:val="0"/>
    <w:qFormat/>
    <w:pPr>
      <w:numPr>
        <w:ilvl w:val="0"/>
        <w:numId w:val="3"/>
      </w:numPr>
    </w:pPr>
  </w:style>
  <w:style w:type="paragraph" w:styleId="872">
    <w:name w:val="Normal Indent"/>
    <w:basedOn w:val="850"/>
    <w:uiPriority w:val="0"/>
    <w:qFormat/>
    <w:pPr>
      <w:ind w:firstLine="420"/>
    </w:pPr>
  </w:style>
  <w:style w:type="paragraph" w:styleId="873">
    <w:name w:val="Caption"/>
    <w:basedOn w:val="850"/>
    <w:next w:val="850"/>
    <w:uiPriority w:val="0"/>
    <w:qFormat/>
    <w:rPr>
      <w:rFonts w:ascii="Arial" w:hAnsi="Arial" w:eastAsia="黑体"/>
      <w:sz w:val="20"/>
    </w:rPr>
  </w:style>
  <w:style w:type="paragraph" w:styleId="874">
    <w:name w:val="index 5"/>
    <w:basedOn w:val="850"/>
    <w:next w:val="850"/>
    <w:uiPriority w:val="0"/>
    <w:qFormat/>
    <w:pPr>
      <w:ind w:left="800"/>
    </w:pPr>
  </w:style>
  <w:style w:type="paragraph" w:styleId="875">
    <w:name w:val="List Bullet"/>
    <w:basedOn w:val="850"/>
    <w:uiPriority w:val="0"/>
    <w:qFormat/>
    <w:pPr>
      <w:numPr>
        <w:ilvl w:val="0"/>
        <w:numId w:val="4"/>
      </w:numPr>
    </w:pPr>
  </w:style>
  <w:style w:type="paragraph" w:styleId="876">
    <w:name w:val="envelope address"/>
    <w:basedOn w:val="850"/>
    <w:uiPriority w:val="0"/>
    <w:qFormat/>
    <w:pPr>
      <w:ind w:left="100"/>
    </w:pPr>
    <w:rPr>
      <w:rFonts w:ascii="Arial" w:hAnsi="Arial"/>
      <w:sz w:val="24"/>
    </w:rPr>
  </w:style>
  <w:style w:type="paragraph" w:styleId="877">
    <w:name w:val="Document Map"/>
    <w:basedOn w:val="850"/>
    <w:uiPriority w:val="0"/>
    <w:qFormat/>
    <w:pPr>
      <w:shd w:val="clear" w:color="auto" w:fill="000080"/>
    </w:pPr>
  </w:style>
  <w:style w:type="paragraph" w:styleId="878">
    <w:name w:val="toa heading"/>
    <w:basedOn w:val="850"/>
    <w:next w:val="850"/>
    <w:uiPriority w:val="0"/>
    <w:qFormat/>
    <w:pPr>
      <w:spacing w:before="120" w:beforeAutospacing="0"/>
    </w:pPr>
    <w:rPr>
      <w:rFonts w:ascii="Arial" w:hAnsi="Arial"/>
      <w:sz w:val="24"/>
    </w:rPr>
  </w:style>
  <w:style w:type="paragraph" w:styleId="879">
    <w:name w:val="annotation text"/>
    <w:basedOn w:val="850"/>
    <w:link w:val="1390"/>
    <w:uiPriority w:val="0"/>
    <w:qFormat/>
    <w:pPr>
      <w:jc w:val="left"/>
    </w:pPr>
  </w:style>
  <w:style w:type="paragraph" w:styleId="880">
    <w:name w:val="index 6"/>
    <w:basedOn w:val="850"/>
    <w:next w:val="850"/>
    <w:uiPriority w:val="0"/>
    <w:qFormat/>
    <w:pPr>
      <w:ind w:left="1000"/>
    </w:pPr>
  </w:style>
  <w:style w:type="paragraph" w:styleId="881">
    <w:name w:val="Salutation"/>
    <w:basedOn w:val="850"/>
    <w:next w:val="850"/>
    <w:uiPriority w:val="0"/>
    <w:qFormat/>
  </w:style>
  <w:style w:type="paragraph" w:styleId="882">
    <w:name w:val="Body Text 3"/>
    <w:basedOn w:val="850"/>
    <w:uiPriority w:val="0"/>
    <w:qFormat/>
    <w:pPr>
      <w:spacing w:after="120" w:afterAutospacing="0"/>
    </w:pPr>
    <w:rPr>
      <w:sz w:val="16"/>
    </w:rPr>
  </w:style>
  <w:style w:type="paragraph" w:styleId="883">
    <w:name w:val="Closing"/>
    <w:basedOn w:val="850"/>
    <w:uiPriority w:val="0"/>
    <w:qFormat/>
    <w:pPr>
      <w:ind w:left="100"/>
    </w:pPr>
  </w:style>
  <w:style w:type="paragraph" w:styleId="884">
    <w:name w:val="List Bullet 3"/>
    <w:basedOn w:val="850"/>
    <w:uiPriority w:val="0"/>
    <w:qFormat/>
    <w:pPr>
      <w:numPr>
        <w:ilvl w:val="0"/>
        <w:numId w:val="5"/>
      </w:numPr>
    </w:pPr>
  </w:style>
  <w:style w:type="paragraph" w:styleId="885">
    <w:name w:val="Body Text"/>
    <w:basedOn w:val="850"/>
    <w:uiPriority w:val="0"/>
    <w:qFormat/>
    <w:pPr>
      <w:spacing w:after="120" w:afterAutospacing="0"/>
    </w:pPr>
  </w:style>
  <w:style w:type="paragraph" w:styleId="886">
    <w:name w:val="Body Text Indent"/>
    <w:basedOn w:val="850"/>
    <w:uiPriority w:val="0"/>
    <w:qFormat/>
    <w:pPr>
      <w:ind w:left="420"/>
      <w:spacing w:after="120" w:afterAutospacing="0"/>
    </w:pPr>
  </w:style>
  <w:style w:type="paragraph" w:styleId="887">
    <w:name w:val="List Number 3"/>
    <w:basedOn w:val="850"/>
    <w:uiPriority w:val="0"/>
    <w:qFormat/>
    <w:pPr>
      <w:numPr>
        <w:ilvl w:val="0"/>
        <w:numId w:val="6"/>
      </w:numPr>
    </w:pPr>
  </w:style>
  <w:style w:type="paragraph" w:styleId="888">
    <w:name w:val="List 2"/>
    <w:basedOn w:val="850"/>
    <w:uiPriority w:val="0"/>
    <w:qFormat/>
    <w:pPr>
      <w:ind w:left="100" w:hanging="200"/>
    </w:pPr>
  </w:style>
  <w:style w:type="paragraph" w:styleId="889">
    <w:name w:val="List Continue"/>
    <w:basedOn w:val="850"/>
    <w:uiPriority w:val="0"/>
    <w:qFormat/>
    <w:pPr>
      <w:ind w:left="420"/>
      <w:spacing w:after="120" w:afterAutospacing="0"/>
    </w:pPr>
  </w:style>
  <w:style w:type="paragraph" w:styleId="890">
    <w:name w:val="Block Text"/>
    <w:basedOn w:val="850"/>
    <w:uiPriority w:val="0"/>
    <w:qFormat/>
    <w:pPr>
      <w:ind w:left="1440"/>
      <w:spacing w:after="120" w:afterAutospacing="0"/>
    </w:pPr>
  </w:style>
  <w:style w:type="paragraph" w:styleId="891">
    <w:name w:val="List Bullet 2"/>
    <w:basedOn w:val="850"/>
    <w:uiPriority w:val="0"/>
    <w:qFormat/>
    <w:pPr>
      <w:numPr>
        <w:ilvl w:val="0"/>
        <w:numId w:val="7"/>
      </w:numPr>
    </w:pPr>
  </w:style>
  <w:style w:type="paragraph" w:styleId="892">
    <w:name w:val="HTML Address"/>
    <w:basedOn w:val="850"/>
    <w:uiPriority w:val="0"/>
    <w:qFormat/>
    <w:rPr>
      <w:i/>
    </w:rPr>
  </w:style>
  <w:style w:type="paragraph" w:styleId="893">
    <w:name w:val="index 4"/>
    <w:basedOn w:val="850"/>
    <w:next w:val="850"/>
    <w:uiPriority w:val="0"/>
    <w:qFormat/>
    <w:pPr>
      <w:ind w:left="600"/>
    </w:pPr>
  </w:style>
  <w:style w:type="paragraph" w:styleId="894">
    <w:name w:val="toc 5"/>
    <w:basedOn w:val="850"/>
    <w:next w:val="850"/>
    <w:uiPriority w:val="0"/>
    <w:qFormat/>
    <w:pPr>
      <w:ind w:left="1680"/>
    </w:pPr>
  </w:style>
  <w:style w:type="paragraph" w:styleId="895">
    <w:name w:val="toc 3"/>
    <w:basedOn w:val="850"/>
    <w:next w:val="850"/>
    <w:uiPriority w:val="0"/>
    <w:qFormat/>
    <w:pPr>
      <w:ind w:left="840"/>
    </w:pPr>
  </w:style>
  <w:style w:type="paragraph" w:styleId="896">
    <w:name w:val="Plain Text"/>
    <w:basedOn w:val="850"/>
    <w:uiPriority w:val="0"/>
    <w:qFormat/>
    <w:rPr>
      <w:rFonts w:ascii="宋体" w:hAnsi="Courier New"/>
    </w:rPr>
  </w:style>
  <w:style w:type="paragraph" w:styleId="897">
    <w:name w:val="List Bullet 5"/>
    <w:basedOn w:val="850"/>
    <w:uiPriority w:val="0"/>
    <w:qFormat/>
    <w:pPr>
      <w:numPr>
        <w:ilvl w:val="0"/>
        <w:numId w:val="8"/>
      </w:numPr>
    </w:pPr>
  </w:style>
  <w:style w:type="paragraph" w:styleId="898">
    <w:name w:val="List Number 4"/>
    <w:basedOn w:val="850"/>
    <w:uiPriority w:val="0"/>
    <w:qFormat/>
    <w:pPr>
      <w:numPr>
        <w:ilvl w:val="0"/>
        <w:numId w:val="9"/>
      </w:numPr>
    </w:pPr>
  </w:style>
  <w:style w:type="paragraph" w:styleId="899">
    <w:name w:val="toc 8"/>
    <w:basedOn w:val="850"/>
    <w:next w:val="850"/>
    <w:uiPriority w:val="0"/>
    <w:qFormat/>
    <w:pPr>
      <w:ind w:left="2940"/>
    </w:pPr>
  </w:style>
  <w:style w:type="paragraph" w:styleId="900">
    <w:name w:val="index 3"/>
    <w:basedOn w:val="850"/>
    <w:next w:val="850"/>
    <w:uiPriority w:val="0"/>
    <w:qFormat/>
    <w:pPr>
      <w:ind w:left="400"/>
    </w:pPr>
  </w:style>
  <w:style w:type="paragraph" w:styleId="901">
    <w:name w:val="Date"/>
    <w:basedOn w:val="850"/>
    <w:next w:val="850"/>
    <w:uiPriority w:val="0"/>
    <w:qFormat/>
    <w:pPr>
      <w:ind w:left="100"/>
    </w:pPr>
  </w:style>
  <w:style w:type="paragraph" w:styleId="902">
    <w:name w:val="Body Text Indent 2"/>
    <w:basedOn w:val="850"/>
    <w:uiPriority w:val="0"/>
    <w:qFormat/>
    <w:pPr>
      <w:ind w:left="420"/>
      <w:spacing w:after="120" w:afterAutospacing="0" w:line="480" w:lineRule="auto"/>
    </w:pPr>
  </w:style>
  <w:style w:type="paragraph" w:styleId="903">
    <w:name w:val="endnote text"/>
    <w:basedOn w:val="850"/>
    <w:link w:val="1114"/>
    <w:uiPriority w:val="0"/>
    <w:qFormat/>
    <w:pPr>
      <w:jc w:val="left"/>
    </w:pPr>
  </w:style>
  <w:style w:type="paragraph" w:styleId="904">
    <w:name w:val="List Continue 5"/>
    <w:basedOn w:val="850"/>
    <w:uiPriority w:val="0"/>
    <w:qFormat/>
    <w:pPr>
      <w:ind w:left="2100"/>
      <w:spacing w:after="120" w:afterAutospacing="0"/>
    </w:pPr>
  </w:style>
  <w:style w:type="paragraph" w:styleId="905">
    <w:name w:val="Balloon Text"/>
    <w:basedOn w:val="850"/>
    <w:link w:val="1389"/>
    <w:uiPriority w:val="0"/>
    <w:qFormat/>
    <w:rPr>
      <w:sz w:val="18"/>
    </w:rPr>
  </w:style>
  <w:style w:type="paragraph" w:styleId="906">
    <w:name w:val="Footer"/>
    <w:basedOn w:val="850"/>
    <w:link w:val="987"/>
    <w:uiPriority w:val="0"/>
    <w:qFormat/>
    <w:pPr>
      <w:jc w:val="left"/>
      <w:tabs>
        <w:tab w:val="center" w:pos="4153" w:leader="none"/>
        <w:tab w:val="right" w:pos="8306" w:leader="none"/>
      </w:tabs>
    </w:pPr>
    <w:rPr>
      <w:sz w:val="18"/>
    </w:rPr>
  </w:style>
  <w:style w:type="paragraph" w:styleId="907">
    <w:name w:val="envelope return"/>
    <w:basedOn w:val="850"/>
    <w:uiPriority w:val="0"/>
    <w:qFormat/>
    <w:rPr>
      <w:rFonts w:ascii="Arial" w:hAnsi="Arial"/>
    </w:rPr>
  </w:style>
  <w:style w:type="paragraph" w:styleId="908">
    <w:name w:val="Header"/>
    <w:basedOn w:val="850"/>
    <w:link w:val="98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09">
    <w:name w:val="Signature"/>
    <w:basedOn w:val="850"/>
    <w:uiPriority w:val="0"/>
    <w:qFormat/>
    <w:pPr>
      <w:ind w:left="100"/>
    </w:pPr>
  </w:style>
  <w:style w:type="paragraph" w:styleId="910">
    <w:name w:val="toc 1"/>
    <w:basedOn w:val="850"/>
    <w:next w:val="850"/>
    <w:uiPriority w:val="0"/>
    <w:qFormat/>
  </w:style>
  <w:style w:type="paragraph" w:styleId="911">
    <w:name w:val="List Continue 4"/>
    <w:basedOn w:val="850"/>
    <w:uiPriority w:val="0"/>
    <w:qFormat/>
    <w:pPr>
      <w:ind w:left="1680"/>
      <w:spacing w:after="120" w:afterAutospacing="0"/>
    </w:pPr>
  </w:style>
  <w:style w:type="paragraph" w:styleId="912">
    <w:name w:val="toc 4"/>
    <w:basedOn w:val="850"/>
    <w:next w:val="850"/>
    <w:uiPriority w:val="0"/>
    <w:qFormat/>
    <w:pPr>
      <w:ind w:left="1260"/>
    </w:pPr>
  </w:style>
  <w:style w:type="paragraph" w:styleId="913">
    <w:name w:val="index heading"/>
    <w:basedOn w:val="850"/>
    <w:next w:val="914"/>
    <w:uiPriority w:val="0"/>
    <w:qFormat/>
    <w:rPr>
      <w:rFonts w:ascii="Arial" w:hAnsi="Arial"/>
      <w:b/>
    </w:rPr>
  </w:style>
  <w:style w:type="paragraph" w:styleId="914">
    <w:name w:val="index 1"/>
    <w:basedOn w:val="850"/>
    <w:next w:val="850"/>
    <w:uiPriority w:val="0"/>
    <w:qFormat/>
  </w:style>
  <w:style w:type="paragraph" w:styleId="915">
    <w:name w:val="Subtitle"/>
    <w:basedOn w:val="850"/>
    <w:link w:val="980"/>
    <w:uiPriority w:val="0"/>
    <w:qFormat/>
    <w:pPr>
      <w:jc w:val="center"/>
      <w:spacing w:before="240" w:beforeAutospacing="0" w:after="60" w:afterAutospacing="0" w:line="312" w:lineRule="auto"/>
      <w:outlineLvl w:val="1"/>
    </w:pPr>
    <w:rPr>
      <w:rFonts w:ascii="Arial" w:hAnsi="Arial"/>
      <w:b/>
      <w:sz w:val="32"/>
    </w:rPr>
  </w:style>
  <w:style w:type="paragraph" w:styleId="916">
    <w:name w:val="List Number 5"/>
    <w:basedOn w:val="850"/>
    <w:uiPriority w:val="0"/>
    <w:qFormat/>
    <w:pPr>
      <w:numPr>
        <w:ilvl w:val="0"/>
        <w:numId w:val="10"/>
      </w:numPr>
    </w:pPr>
  </w:style>
  <w:style w:type="paragraph" w:styleId="917">
    <w:name w:val="List"/>
    <w:basedOn w:val="850"/>
    <w:uiPriority w:val="0"/>
    <w:qFormat/>
    <w:pPr>
      <w:ind w:left="200" w:hanging="200"/>
    </w:pPr>
  </w:style>
  <w:style w:type="paragraph" w:styleId="918">
    <w:name w:val="footnote text"/>
    <w:basedOn w:val="850"/>
    <w:link w:val="1113"/>
    <w:uiPriority w:val="0"/>
    <w:qFormat/>
    <w:pPr>
      <w:jc w:val="left"/>
    </w:pPr>
    <w:rPr>
      <w:sz w:val="18"/>
    </w:rPr>
  </w:style>
  <w:style w:type="paragraph" w:styleId="919">
    <w:name w:val="toc 6"/>
    <w:basedOn w:val="850"/>
    <w:next w:val="850"/>
    <w:uiPriority w:val="0"/>
    <w:qFormat/>
    <w:pPr>
      <w:ind w:left="2100"/>
    </w:pPr>
  </w:style>
  <w:style w:type="paragraph" w:styleId="920">
    <w:name w:val="List 5"/>
    <w:basedOn w:val="850"/>
    <w:uiPriority w:val="0"/>
    <w:qFormat/>
    <w:pPr>
      <w:ind w:left="100" w:hanging="200"/>
    </w:pPr>
  </w:style>
  <w:style w:type="paragraph" w:styleId="921">
    <w:name w:val="Body Text Indent 3"/>
    <w:basedOn w:val="850"/>
    <w:uiPriority w:val="0"/>
    <w:qFormat/>
    <w:pPr>
      <w:ind w:left="420"/>
      <w:spacing w:after="120" w:afterAutospacing="0"/>
    </w:pPr>
    <w:rPr>
      <w:sz w:val="16"/>
    </w:rPr>
  </w:style>
  <w:style w:type="paragraph" w:styleId="922">
    <w:name w:val="index 7"/>
    <w:basedOn w:val="850"/>
    <w:next w:val="850"/>
    <w:uiPriority w:val="0"/>
    <w:qFormat/>
    <w:pPr>
      <w:ind w:left="1200"/>
    </w:pPr>
  </w:style>
  <w:style w:type="paragraph" w:styleId="923">
    <w:name w:val="index 9"/>
    <w:basedOn w:val="850"/>
    <w:next w:val="850"/>
    <w:uiPriority w:val="0"/>
    <w:qFormat/>
    <w:pPr>
      <w:ind w:left="1600"/>
    </w:pPr>
  </w:style>
  <w:style w:type="paragraph" w:styleId="924">
    <w:name w:val="table of figures"/>
    <w:basedOn w:val="850"/>
    <w:next w:val="850"/>
    <w:uiPriority w:val="0"/>
    <w:qFormat/>
    <w:pPr>
      <w:ind w:hanging="200"/>
    </w:pPr>
  </w:style>
  <w:style w:type="paragraph" w:styleId="925">
    <w:name w:val="toc 2"/>
    <w:basedOn w:val="850"/>
    <w:next w:val="850"/>
    <w:uiPriority w:val="0"/>
    <w:qFormat/>
    <w:pPr>
      <w:ind w:left="420"/>
    </w:pPr>
  </w:style>
  <w:style w:type="paragraph" w:styleId="926">
    <w:name w:val="toc 9"/>
    <w:basedOn w:val="850"/>
    <w:next w:val="850"/>
    <w:uiPriority w:val="0"/>
    <w:qFormat/>
    <w:pPr>
      <w:ind w:left="3360"/>
    </w:pPr>
  </w:style>
  <w:style w:type="paragraph" w:styleId="927">
    <w:name w:val="Body Text 2"/>
    <w:basedOn w:val="850"/>
    <w:uiPriority w:val="0"/>
    <w:qFormat/>
    <w:pPr>
      <w:spacing w:after="120" w:afterAutospacing="0" w:line="480" w:lineRule="auto"/>
    </w:pPr>
  </w:style>
  <w:style w:type="paragraph" w:styleId="928">
    <w:name w:val="List 4"/>
    <w:basedOn w:val="850"/>
    <w:uiPriority w:val="0"/>
    <w:qFormat/>
    <w:pPr>
      <w:ind w:left="100" w:hanging="200"/>
    </w:pPr>
  </w:style>
  <w:style w:type="paragraph" w:styleId="929">
    <w:name w:val="List Continue 2"/>
    <w:basedOn w:val="850"/>
    <w:uiPriority w:val="0"/>
    <w:qFormat/>
    <w:pPr>
      <w:ind w:left="840"/>
      <w:spacing w:after="120" w:afterAutospacing="0"/>
    </w:pPr>
  </w:style>
  <w:style w:type="paragraph" w:styleId="930">
    <w:name w:val="Message Header"/>
    <w:basedOn w:val="85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31">
    <w:name w:val="HTML Preformatted"/>
    <w:basedOn w:val="850"/>
    <w:uiPriority w:val="0"/>
    <w:qFormat/>
    <w:rPr>
      <w:rFonts w:ascii="Courier New" w:hAnsi="Courier New"/>
      <w:sz w:val="20"/>
    </w:rPr>
  </w:style>
  <w:style w:type="paragraph" w:styleId="932">
    <w:name w:val="Normal (Web)"/>
    <w:basedOn w:val="850"/>
    <w:uiPriority w:val="0"/>
    <w:qFormat/>
    <w:rPr>
      <w:sz w:val="24"/>
    </w:rPr>
  </w:style>
  <w:style w:type="paragraph" w:styleId="933">
    <w:name w:val="List Continue 3"/>
    <w:basedOn w:val="850"/>
    <w:uiPriority w:val="0"/>
    <w:qFormat/>
    <w:pPr>
      <w:ind w:left="1260"/>
      <w:spacing w:after="120" w:afterAutospacing="0"/>
    </w:pPr>
  </w:style>
  <w:style w:type="paragraph" w:styleId="934">
    <w:name w:val="index 2"/>
    <w:basedOn w:val="850"/>
    <w:next w:val="850"/>
    <w:uiPriority w:val="0"/>
    <w:qFormat/>
    <w:pPr>
      <w:ind w:left="200"/>
    </w:pPr>
  </w:style>
  <w:style w:type="paragraph" w:styleId="935">
    <w:name w:val="Title"/>
    <w:basedOn w:val="850"/>
    <w:link w:val="979"/>
    <w:uiPriority w:val="0"/>
    <w:qFormat/>
    <w:pPr>
      <w:jc w:val="center"/>
      <w:spacing w:before="240" w:beforeAutospacing="0" w:after="60" w:afterAutospacing="0"/>
      <w:outlineLvl w:val="0"/>
    </w:pPr>
    <w:rPr>
      <w:rFonts w:ascii="Arial" w:hAnsi="Arial"/>
      <w:b/>
      <w:sz w:val="32"/>
    </w:rPr>
  </w:style>
  <w:style w:type="paragraph" w:styleId="936">
    <w:name w:val="annotation subject"/>
    <w:basedOn w:val="879"/>
    <w:next w:val="879"/>
    <w:link w:val="1391"/>
    <w:uiPriority w:val="0"/>
    <w:qFormat/>
    <w:rPr>
      <w:b/>
    </w:rPr>
  </w:style>
  <w:style w:type="paragraph" w:styleId="937">
    <w:name w:val="Body Text First Indent"/>
    <w:basedOn w:val="885"/>
    <w:uiPriority w:val="0"/>
    <w:qFormat/>
    <w:pPr>
      <w:ind w:firstLine="420"/>
    </w:pPr>
  </w:style>
  <w:style w:type="paragraph" w:styleId="938">
    <w:name w:val="Body Text First Indent 2"/>
    <w:basedOn w:val="886"/>
    <w:uiPriority w:val="0"/>
    <w:qFormat/>
    <w:pPr>
      <w:ind w:firstLine="420"/>
    </w:pPr>
  </w:style>
  <w:style w:type="table" w:styleId="9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0">
    <w:name w:val="Strong"/>
    <w:basedOn w:val="860"/>
    <w:uiPriority w:val="22"/>
    <w:qFormat/>
    <w:rPr>
      <w:b/>
    </w:rPr>
  </w:style>
  <w:style w:type="character" w:styleId="941">
    <w:name w:val="endnote reference"/>
    <w:uiPriority w:val="99"/>
    <w:qFormat/>
    <w:rPr>
      <w:vertAlign w:val="superscript"/>
    </w:rPr>
  </w:style>
  <w:style w:type="character" w:styleId="942">
    <w:name w:val="page number"/>
    <w:uiPriority w:val="0"/>
    <w:qFormat/>
  </w:style>
  <w:style w:type="character" w:styleId="943">
    <w:name w:val="Hyperlink"/>
    <w:uiPriority w:val="99"/>
    <w:qFormat/>
    <w:rPr>
      <w:color w:val="0026e5"/>
      <w:u w:val="single"/>
    </w:rPr>
  </w:style>
  <w:style w:type="character" w:styleId="944">
    <w:name w:val="annotation reference"/>
    <w:basedOn w:val="860"/>
    <w:uiPriority w:val="99"/>
    <w:qFormat/>
    <w:rPr>
      <w:sz w:val="21"/>
      <w:szCs w:val="21"/>
    </w:rPr>
  </w:style>
  <w:style w:type="character" w:styleId="945">
    <w:name w:val="footnote reference"/>
    <w:uiPriority w:val="99"/>
    <w:qFormat/>
    <w:rPr>
      <w:vertAlign w:val="superscript"/>
    </w:rPr>
  </w:style>
  <w:style w:type="character" w:styleId="946" w:customStyle="1">
    <w:name w:val="Heading 1 Char"/>
    <w:basedOn w:val="860"/>
    <w:uiPriority w:val="9"/>
    <w:qFormat/>
    <w:rPr>
      <w:rFonts w:ascii="Arial" w:hAnsi="Arial" w:eastAsia="Arial" w:cs="Arial"/>
      <w:sz w:val="40"/>
      <w:szCs w:val="40"/>
    </w:rPr>
  </w:style>
  <w:style w:type="character" w:styleId="947" w:customStyle="1">
    <w:name w:val="Heading 2 Char"/>
    <w:basedOn w:val="860"/>
    <w:uiPriority w:val="9"/>
    <w:qFormat/>
    <w:rPr>
      <w:rFonts w:ascii="Arial" w:hAnsi="Arial" w:eastAsia="Arial" w:cs="Arial"/>
      <w:sz w:val="34"/>
    </w:rPr>
  </w:style>
  <w:style w:type="character" w:styleId="948" w:customStyle="1">
    <w:name w:val="Heading 3 Char"/>
    <w:basedOn w:val="860"/>
    <w:uiPriority w:val="9"/>
    <w:qFormat/>
    <w:rPr>
      <w:rFonts w:ascii="Arial" w:hAnsi="Arial" w:eastAsia="Arial" w:cs="Arial"/>
      <w:sz w:val="30"/>
      <w:szCs w:val="30"/>
    </w:rPr>
  </w:style>
  <w:style w:type="character" w:styleId="949" w:customStyle="1">
    <w:name w:val="Heading 4 Char"/>
    <w:basedOn w:val="860"/>
    <w:uiPriority w:val="9"/>
    <w:qFormat/>
    <w:rPr>
      <w:rFonts w:ascii="Arial" w:hAnsi="Arial" w:eastAsia="Arial" w:cs="Arial"/>
      <w:b/>
      <w:bCs/>
      <w:sz w:val="26"/>
      <w:szCs w:val="26"/>
    </w:rPr>
  </w:style>
  <w:style w:type="character" w:styleId="950" w:customStyle="1">
    <w:name w:val="Heading 5 Char"/>
    <w:basedOn w:val="860"/>
    <w:uiPriority w:val="9"/>
    <w:qFormat/>
    <w:rPr>
      <w:rFonts w:ascii="Arial" w:hAnsi="Arial" w:eastAsia="Arial" w:cs="Arial"/>
      <w:b/>
      <w:bCs/>
      <w:sz w:val="24"/>
      <w:szCs w:val="24"/>
    </w:rPr>
  </w:style>
  <w:style w:type="character" w:styleId="951" w:customStyle="1">
    <w:name w:val="Heading 6 Char"/>
    <w:basedOn w:val="860"/>
    <w:uiPriority w:val="9"/>
    <w:qFormat/>
    <w:rPr>
      <w:rFonts w:ascii="Arial" w:hAnsi="Arial" w:eastAsia="Arial" w:cs="Arial"/>
      <w:b/>
      <w:bCs/>
      <w:sz w:val="22"/>
      <w:szCs w:val="22"/>
    </w:rPr>
  </w:style>
  <w:style w:type="character" w:styleId="952" w:customStyle="1">
    <w:name w:val="Heading 7 Char"/>
    <w:basedOn w:val="860"/>
    <w:uiPriority w:val="9"/>
    <w:qFormat/>
    <w:rPr>
      <w:rFonts w:ascii="Arial" w:hAnsi="Arial" w:eastAsia="Arial" w:cs="Arial"/>
      <w:b/>
      <w:bCs/>
      <w:i/>
      <w:iCs/>
      <w:sz w:val="22"/>
      <w:szCs w:val="22"/>
    </w:rPr>
  </w:style>
  <w:style w:type="character" w:styleId="953" w:customStyle="1">
    <w:name w:val="Heading 8 Char"/>
    <w:basedOn w:val="860"/>
    <w:uiPriority w:val="9"/>
    <w:qFormat/>
    <w:rPr>
      <w:rFonts w:ascii="Arial" w:hAnsi="Arial" w:eastAsia="Arial" w:cs="Arial"/>
      <w:i/>
      <w:iCs/>
      <w:sz w:val="22"/>
      <w:szCs w:val="22"/>
    </w:rPr>
  </w:style>
  <w:style w:type="character" w:styleId="954" w:customStyle="1">
    <w:name w:val="Heading 9 Char"/>
    <w:basedOn w:val="860"/>
    <w:uiPriority w:val="9"/>
    <w:qFormat/>
    <w:rPr>
      <w:rFonts w:ascii="Arial" w:hAnsi="Arial" w:eastAsia="Arial" w:cs="Arial"/>
      <w:i/>
      <w:iCs/>
      <w:sz w:val="21"/>
      <w:szCs w:val="21"/>
    </w:rPr>
  </w:style>
  <w:style w:type="character" w:styleId="955" w:customStyle="1">
    <w:name w:val="Title Char"/>
    <w:basedOn w:val="860"/>
    <w:uiPriority w:val="10"/>
    <w:qFormat/>
    <w:rPr>
      <w:sz w:val="48"/>
      <w:szCs w:val="48"/>
    </w:rPr>
  </w:style>
  <w:style w:type="character" w:styleId="956" w:customStyle="1">
    <w:name w:val="Subtitle Char"/>
    <w:basedOn w:val="860"/>
    <w:uiPriority w:val="11"/>
    <w:qFormat/>
    <w:rPr>
      <w:sz w:val="24"/>
      <w:szCs w:val="24"/>
    </w:rPr>
  </w:style>
  <w:style w:type="character" w:styleId="957" w:customStyle="1">
    <w:name w:val="Quote Char"/>
    <w:uiPriority w:val="29"/>
    <w:qFormat/>
    <w:rPr>
      <w:i/>
    </w:rPr>
  </w:style>
  <w:style w:type="character" w:styleId="958" w:customStyle="1">
    <w:name w:val="Intense Quote Char"/>
    <w:uiPriority w:val="30"/>
    <w:qFormat/>
    <w:rPr>
      <w:i/>
    </w:rPr>
  </w:style>
  <w:style w:type="character" w:styleId="959" w:customStyle="1">
    <w:name w:val="Header Char"/>
    <w:basedOn w:val="860"/>
    <w:uiPriority w:val="99"/>
    <w:qFormat/>
  </w:style>
  <w:style w:type="character" w:styleId="960" w:customStyle="1">
    <w:name w:val="Footer Char"/>
    <w:basedOn w:val="860"/>
    <w:uiPriority w:val="99"/>
    <w:qFormat/>
  </w:style>
  <w:style w:type="character" w:styleId="961" w:customStyle="1">
    <w:name w:val="Caption Char"/>
    <w:uiPriority w:val="99"/>
    <w:qFormat/>
  </w:style>
  <w:style w:type="character" w:styleId="962" w:customStyle="1">
    <w:name w:val="Footnote Text Char"/>
    <w:uiPriority w:val="99"/>
    <w:qFormat/>
    <w:rPr>
      <w:sz w:val="18"/>
    </w:rPr>
  </w:style>
  <w:style w:type="character" w:styleId="963" w:customStyle="1">
    <w:name w:val="Endnote Text Char"/>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标题 31"/>
    <w:basedOn w:val="850"/>
    <w:next w:val="850"/>
    <w:link w:val="1126"/>
    <w:uiPriority w:val="0"/>
    <w:qFormat/>
    <w:pPr>
      <w:jc w:val="left"/>
      <w:keepLines/>
      <w:keepNext/>
      <w:spacing w:before="360" w:after="120"/>
      <w:outlineLvl w:val="2"/>
    </w:pPr>
    <w:rPr>
      <w:rFonts w:ascii="宋体"/>
      <w:b/>
      <w:sz w:val="24"/>
      <w:szCs w:val="20"/>
      <w:u w:val="single"/>
    </w:rPr>
  </w:style>
  <w:style w:type="paragraph" w:styleId="966"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67" w:customStyle="1">
    <w:name w:val="段"/>
    <w:basedOn w:val="850"/>
    <w:next w:val="850"/>
    <w:uiPriority w:val="0"/>
    <w:qFormat/>
    <w:pPr>
      <w:ind w:firstLine="200"/>
      <w:widowControl/>
    </w:pPr>
    <w:rPr>
      <w:rFonts w:hint="eastAsia" w:ascii="宋体"/>
    </w:rPr>
  </w:style>
  <w:style w:type="character" w:styleId="968" w:customStyle="1">
    <w:name w:val="标题 1 Char"/>
    <w:link w:val="851"/>
    <w:uiPriority w:val="9"/>
    <w:qFormat/>
    <w:rPr>
      <w:b/>
      <w:sz w:val="44"/>
    </w:rPr>
  </w:style>
  <w:style w:type="character" w:styleId="969" w:customStyle="1">
    <w:name w:val="标题 2 Char1"/>
    <w:link w:val="852"/>
    <w:uiPriority w:val="9"/>
    <w:qFormat/>
    <w:rPr>
      <w:rFonts w:ascii="Arial" w:hAnsi="Arial" w:eastAsia="黑体"/>
      <w:b/>
      <w:sz w:val="32"/>
    </w:rPr>
  </w:style>
  <w:style w:type="character" w:styleId="970" w:customStyle="1">
    <w:name w:val="Heading 3 Char_45baf790-732c-4923-a530-7c743081eb3c"/>
    <w:link w:val="853"/>
    <w:uiPriority w:val="9"/>
    <w:qFormat/>
    <w:rPr>
      <w:rFonts w:ascii="Arial" w:hAnsi="Arial" w:eastAsia="Arial" w:cs="Arial"/>
      <w:sz w:val="30"/>
      <w:szCs w:val="30"/>
    </w:rPr>
  </w:style>
  <w:style w:type="character" w:styleId="971" w:customStyle="1">
    <w:name w:val="标题 4 Char"/>
    <w:link w:val="854"/>
    <w:uiPriority w:val="9"/>
    <w:qFormat/>
    <w:rPr>
      <w:rFonts w:ascii="Arial" w:hAnsi="Arial" w:eastAsia="黑体"/>
      <w:b/>
      <w:sz w:val="28"/>
    </w:rPr>
  </w:style>
  <w:style w:type="character" w:styleId="972" w:customStyle="1">
    <w:name w:val="标题 5 Char"/>
    <w:link w:val="855"/>
    <w:uiPriority w:val="9"/>
    <w:qFormat/>
    <w:rPr>
      <w:b/>
      <w:sz w:val="28"/>
    </w:rPr>
  </w:style>
  <w:style w:type="character" w:styleId="973" w:customStyle="1">
    <w:name w:val="标题 6 Char"/>
    <w:link w:val="856"/>
    <w:uiPriority w:val="9"/>
    <w:qFormat/>
    <w:rPr>
      <w:rFonts w:ascii="Arial" w:hAnsi="Arial" w:eastAsia="黑体"/>
      <w:b/>
      <w:sz w:val="24"/>
    </w:rPr>
  </w:style>
  <w:style w:type="character" w:styleId="974" w:customStyle="1">
    <w:name w:val="标题 7 Char"/>
    <w:link w:val="857"/>
    <w:uiPriority w:val="9"/>
    <w:qFormat/>
    <w:rPr>
      <w:b/>
      <w:sz w:val="24"/>
    </w:rPr>
  </w:style>
  <w:style w:type="character" w:styleId="975" w:customStyle="1">
    <w:name w:val="标题 8 Char"/>
    <w:link w:val="858"/>
    <w:uiPriority w:val="9"/>
    <w:qFormat/>
    <w:rPr>
      <w:rFonts w:ascii="Arial" w:hAnsi="Arial" w:eastAsia="黑体"/>
      <w:sz w:val="24"/>
    </w:rPr>
  </w:style>
  <w:style w:type="character" w:styleId="976" w:customStyle="1">
    <w:name w:val="标题 9 Char"/>
    <w:link w:val="859"/>
    <w:uiPriority w:val="9"/>
    <w:qFormat/>
    <w:rPr>
      <w:rFonts w:ascii="Arial" w:hAnsi="Arial" w:eastAsia="黑体"/>
      <w:sz w:val="21"/>
    </w:rPr>
  </w:style>
  <w:style w:type="paragraph" w:styleId="977">
    <w:name w:val="List Paragraph"/>
    <w:basedOn w:val="850"/>
    <w:uiPriority w:val="34"/>
    <w:qFormat/>
    <w:pPr>
      <w:contextualSpacing/>
      <w:ind w:left="720"/>
    </w:pPr>
  </w:style>
  <w:style w:type="paragraph" w:styleId="978">
    <w:name w:val="No Spacing"/>
    <w:uiPriority w:val="1"/>
    <w:qFormat/>
    <w:rPr>
      <w:rFonts w:hint="default" w:ascii="Times New Roman" w:hAnsi="Times New Roman" w:eastAsia="宋体" w:cs="Times New Roman"/>
      <w:lang w:val="en-US" w:eastAsia="zh-CN" w:bidi="ar-SA"/>
    </w:rPr>
  </w:style>
  <w:style w:type="character" w:styleId="979" w:customStyle="1">
    <w:name w:val="标题 Char1"/>
    <w:link w:val="935"/>
    <w:uiPriority w:val="10"/>
    <w:qFormat/>
    <w:rPr>
      <w:rFonts w:ascii="Arial" w:hAnsi="Arial"/>
      <w:b/>
      <w:sz w:val="32"/>
    </w:rPr>
  </w:style>
  <w:style w:type="character" w:styleId="980" w:customStyle="1">
    <w:name w:val="副标题 Char"/>
    <w:link w:val="915"/>
    <w:uiPriority w:val="11"/>
    <w:qFormat/>
    <w:rPr>
      <w:rFonts w:ascii="Arial" w:hAnsi="Arial"/>
      <w:b/>
      <w:sz w:val="32"/>
    </w:rPr>
  </w:style>
  <w:style w:type="paragraph" w:styleId="981">
    <w:name w:val="Quote"/>
    <w:basedOn w:val="850"/>
    <w:next w:val="850"/>
    <w:link w:val="982"/>
    <w:uiPriority w:val="29"/>
    <w:qFormat/>
    <w:pPr>
      <w:ind w:left="720" w:right="720"/>
    </w:pPr>
    <w:rPr>
      <w:i/>
    </w:rPr>
  </w:style>
  <w:style w:type="character" w:styleId="982" w:customStyle="1">
    <w:name w:val="引用 Char"/>
    <w:link w:val="981"/>
    <w:uiPriority w:val="29"/>
    <w:qFormat/>
    <w:rPr>
      <w:i/>
    </w:rPr>
  </w:style>
  <w:style w:type="paragraph" w:styleId="983">
    <w:name w:val="Intense Quote"/>
    <w:basedOn w:val="850"/>
    <w:next w:val="850"/>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Char"/>
    <w:link w:val="983"/>
    <w:uiPriority w:val="30"/>
    <w:qFormat/>
    <w:rPr>
      <w:i/>
    </w:rPr>
  </w:style>
  <w:style w:type="character" w:styleId="985" w:customStyle="1">
    <w:name w:val="页眉 Char1"/>
    <w:link w:val="908"/>
    <w:uiPriority w:val="99"/>
    <w:qFormat/>
    <w:rPr>
      <w:sz w:val="18"/>
    </w:rPr>
  </w:style>
  <w:style w:type="character" w:styleId="986" w:customStyle="1">
    <w:name w:val="Footer Char_d9cc1f64-00d0-4c69-87d1-98fdc4517e4f"/>
    <w:link w:val="906"/>
    <w:uiPriority w:val="99"/>
    <w:qFormat/>
  </w:style>
  <w:style w:type="character" w:styleId="987" w:customStyle="1">
    <w:name w:val="页脚 Char1"/>
    <w:link w:val="906"/>
    <w:uiPriority w:val="99"/>
    <w:qFormat/>
    <w:rPr>
      <w:sz w:val="18"/>
    </w:rPr>
  </w:style>
  <w:style w:type="table" w:styleId="98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89"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95" w:customStyle="1">
    <w:name w:val="Grid Table 1 Light - Accent 1"/>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0" w:type="dxa"/>
        <w:top w:w="0" w:type="dxa"/>
        <w:right w:w="0"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96" w:customStyle="1">
    <w:name w:val="Grid Table 1 Light - Accent 2"/>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0" w:type="dxa"/>
        <w:top w:w="0" w:type="dxa"/>
        <w:right w:w="0"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97" w:customStyle="1">
    <w:name w:val="Grid Table 1 Light - Accent 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0" w:type="dxa"/>
        <w:top w:w="0" w:type="dxa"/>
        <w:right w:w="0"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998" w:customStyle="1">
    <w:name w:val="Grid Table 1 Light - Accent 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0" w:type="dxa"/>
        <w:top w:w="0" w:type="dxa"/>
        <w:right w:w="0"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99" w:customStyle="1">
    <w:name w:val="Grid Table 1 Light - Accent 5"/>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0" w:type="dxa"/>
        <w:top w:w="0" w:type="dxa"/>
        <w:right w:w="0"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000" w:customStyle="1">
    <w:name w:val="Grid Table 1 Light - Accent 6"/>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0" w:type="dxa"/>
        <w:top w:w="0" w:type="dxa"/>
        <w:right w:w="0"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001"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02" w:customStyle="1">
    <w:name w:val="Grid Table 2 - Accent 1"/>
    <w:uiPriority w:val="99"/>
    <w:qFormat/>
    <w:tblPr>
      <w:tblBorders>
        <w:bottom w:val="single" w:color="577FCF" w:sz="4" w:space="0"/>
        <w:insideH w:val="single" w:color="577FCF" w:sz="4" w:space="0"/>
        <w:insideV w:val="single" w:color="577FCF" w:sz="4" w:space="0"/>
      </w:tblBorders>
      <w:tblCellMar>
        <w:left w:w="0" w:type="dxa"/>
        <w:top w:w="0" w:type="dxa"/>
        <w:right w:w="0"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003" w:customStyle="1">
    <w:name w:val="Grid Table 2 - Accent 2"/>
    <w:uiPriority w:val="99"/>
    <w:qFormat/>
    <w:tblPr>
      <w:tblBorders>
        <w:bottom w:val="single" w:color="F4B483" w:sz="4" w:space="0"/>
        <w:insideH w:val="single" w:color="F4B483" w:sz="4" w:space="0"/>
        <w:insideV w:val="single" w:color="F4B483" w:sz="4" w:space="0"/>
      </w:tblBorders>
      <w:tblCellMar>
        <w:left w:w="0" w:type="dxa"/>
        <w:top w:w="0" w:type="dxa"/>
        <w:right w:w="0"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1004" w:customStyle="1">
    <w:name w:val="Grid Table 2 - Accent 3"/>
    <w:uiPriority w:val="99"/>
    <w:qFormat/>
    <w:tblPr>
      <w:tblBorders>
        <w:bottom w:val="single" w:color="F3BA02" w:sz="4" w:space="0"/>
        <w:insideH w:val="single" w:color="F3BA02" w:sz="4" w:space="0"/>
        <w:insideV w:val="single" w:color="F3BA02" w:sz="4" w:space="0"/>
      </w:tblBorders>
      <w:tblCellMar>
        <w:left w:w="0" w:type="dxa"/>
        <w:top w:w="0" w:type="dxa"/>
        <w:right w:w="0"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1005" w:customStyle="1">
    <w:name w:val="Grid Table 2 - Accent 4"/>
    <w:uiPriority w:val="99"/>
    <w:qFormat/>
    <w:tblPr>
      <w:tblBorders>
        <w:bottom w:val="single" w:color="ABD78C" w:sz="4" w:space="0"/>
        <w:insideH w:val="single" w:color="ABD78C" w:sz="4" w:space="0"/>
        <w:insideV w:val="single" w:color="ABD78C" w:sz="4" w:space="0"/>
      </w:tblBorders>
      <w:tblCellMar>
        <w:left w:w="0" w:type="dxa"/>
        <w:top w:w="0" w:type="dxa"/>
        <w:right w:w="0"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006" w:customStyle="1">
    <w:name w:val="Grid Table 2 - Accent 5"/>
    <w:uiPriority w:val="99"/>
    <w:qFormat/>
    <w:tblPr>
      <w:tblBorders>
        <w:bottom w:val="single" w:color="30C0B4" w:sz="4" w:space="0"/>
        <w:insideH w:val="single" w:color="30C0B4" w:sz="4" w:space="0"/>
        <w:insideV w:val="single" w:color="30C0B4" w:sz="4" w:space="0"/>
      </w:tblBorders>
      <w:tblCellMar>
        <w:left w:w="0" w:type="dxa"/>
        <w:top w:w="0" w:type="dxa"/>
        <w:right w:w="0"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007" w:customStyle="1">
    <w:name w:val="Grid Table 2 - Accent 6"/>
    <w:uiPriority w:val="99"/>
    <w:qFormat/>
    <w:tblPr>
      <w:tblBorders>
        <w:bottom w:val="single" w:color="E54C5E" w:sz="4" w:space="0"/>
        <w:insideH w:val="single" w:color="E54C5E" w:sz="4" w:space="0"/>
        <w:insideV w:val="single" w:color="E54C5E" w:sz="4" w:space="0"/>
      </w:tblBorders>
      <w:tblCellMar>
        <w:left w:w="0" w:type="dxa"/>
        <w:top w:w="0" w:type="dxa"/>
        <w:right w:w="0"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008"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uiPriority w:val="99"/>
    <w:qFormat/>
    <w:tblPr>
      <w:tblBorders>
        <w:bottom w:val="single" w:color="577FCF" w:sz="4" w:space="0"/>
        <w:insideH w:val="single" w:color="577FCF" w:sz="4" w:space="0"/>
        <w:insideV w:val="single" w:color="577FCF" w:sz="4" w:space="0"/>
      </w:tblBorders>
      <w:tblCellMar>
        <w:left w:w="0" w:type="dxa"/>
        <w:top w:w="0" w:type="dxa"/>
        <w:right w:w="0"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uiPriority w:val="99"/>
    <w:qFormat/>
    <w:tblPr>
      <w:tblBorders>
        <w:bottom w:val="single" w:color="F4B483" w:sz="4" w:space="0"/>
        <w:insideH w:val="single" w:color="F4B483" w:sz="4" w:space="0"/>
        <w:insideV w:val="single" w:color="F4B483" w:sz="4" w:space="0"/>
      </w:tblBorders>
      <w:tblCellMar>
        <w:left w:w="0" w:type="dxa"/>
        <w:top w:w="0" w:type="dxa"/>
        <w:right w:w="0"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uiPriority w:val="99"/>
    <w:qFormat/>
    <w:tblPr>
      <w:tblBorders>
        <w:bottom w:val="single" w:color="F3BA02" w:sz="4" w:space="0"/>
        <w:insideH w:val="single" w:color="F3BA02" w:sz="4" w:space="0"/>
        <w:insideV w:val="single" w:color="F3BA02" w:sz="4" w:space="0"/>
      </w:tblBorders>
      <w:tblCellMar>
        <w:left w:w="0" w:type="dxa"/>
        <w:top w:w="0" w:type="dxa"/>
        <w:right w:w="0"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uiPriority w:val="99"/>
    <w:qFormat/>
    <w:tblPr>
      <w:tblBorders>
        <w:bottom w:val="single" w:color="ABD78C" w:sz="4" w:space="0"/>
        <w:insideH w:val="single" w:color="ABD78C" w:sz="4" w:space="0"/>
        <w:insideV w:val="single" w:color="ABD78C" w:sz="4" w:space="0"/>
      </w:tblBorders>
      <w:tblCellMar>
        <w:left w:w="0" w:type="dxa"/>
        <w:top w:w="0" w:type="dxa"/>
        <w:right w:w="0"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uiPriority w:val="99"/>
    <w:qFormat/>
    <w:tblPr>
      <w:tblBorders>
        <w:bottom w:val="single" w:color="30C0B4" w:sz="4" w:space="0"/>
        <w:insideH w:val="single" w:color="30C0B4" w:sz="4" w:space="0"/>
        <w:insideV w:val="single" w:color="30C0B4" w:sz="4" w:space="0"/>
      </w:tblBorders>
      <w:tblCellMar>
        <w:left w:w="0" w:type="dxa"/>
        <w:top w:w="0" w:type="dxa"/>
        <w:right w:w="0"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uiPriority w:val="99"/>
    <w:qFormat/>
    <w:tblPr>
      <w:tblBorders>
        <w:bottom w:val="single" w:color="E54C5E" w:sz="4" w:space="0"/>
        <w:insideH w:val="single" w:color="E54C5E" w:sz="4" w:space="0"/>
        <w:insideV w:val="single" w:color="E54C5E" w:sz="4" w:space="0"/>
      </w:tblBorders>
      <w:tblCellMar>
        <w:left w:w="0" w:type="dxa"/>
        <w:top w:w="0" w:type="dxa"/>
        <w:right w:w="0"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16" w:customStyle="1">
    <w:name w:val="Grid Table 4 - Accent 1"/>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0" w:type="dxa"/>
        <w:top w:w="0" w:type="dxa"/>
        <w:right w:w="0" w:type="dxa"/>
        <w:bottom w:w="0" w:type="dxa"/>
      </w:tblCellMar>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017" w:customStyle="1">
    <w:name w:val="Grid Table 4 - Accent 2"/>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left w:w="0" w:type="dxa"/>
        <w:top w:w="0" w:type="dxa"/>
        <w:right w:w="0"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1018" w:customStyle="1">
    <w:name w:val="Grid Table 4 - Accent 3"/>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left w:w="0" w:type="dxa"/>
        <w:top w:w="0" w:type="dxa"/>
        <w:right w:w="0"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1019" w:customStyle="1">
    <w:name w:val="Grid Table 4 - Accent 4"/>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left w:w="0" w:type="dxa"/>
        <w:top w:w="0" w:type="dxa"/>
        <w:right w:w="0"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020" w:customStyle="1">
    <w:name w:val="Grid Table 4 - Accent 5"/>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left w:w="0" w:type="dxa"/>
        <w:top w:w="0" w:type="dxa"/>
        <w:right w:w="0"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021" w:customStyle="1">
    <w:name w:val="Grid Table 4 - Accent 6"/>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left w:w="0" w:type="dxa"/>
        <w:top w:w="0" w:type="dxa"/>
        <w:right w:w="0"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02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2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02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02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02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02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02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029"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30" w:customStyle="1">
    <w:name w:val="Grid Table 6 Colorful - Accent 1"/>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left w:w="0" w:type="dxa"/>
        <w:top w:w="0" w:type="dxa"/>
        <w:right w:w="0"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1031" w:customStyle="1">
    <w:name w:val="Grid Table 6 Colorful - Accent 2"/>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left w:w="0" w:type="dxa"/>
        <w:top w:w="0" w:type="dxa"/>
        <w:right w:w="0"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1032" w:customStyle="1">
    <w:name w:val="Grid Table 6 Colorful - Accent 3"/>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left w:w="0" w:type="dxa"/>
        <w:top w:w="0" w:type="dxa"/>
        <w:right w:w="0"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1033" w:customStyle="1">
    <w:name w:val="Grid Table 6 Colorful - Accent 4"/>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0" w:type="dxa"/>
        <w:top w:w="0" w:type="dxa"/>
        <w:right w:w="0"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1034" w:customStyle="1">
    <w:name w:val="Grid Table 6 Colorful - Accent 5"/>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0" w:type="dxa"/>
        <w:top w:w="0" w:type="dxa"/>
        <w:right w:w="0"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1035" w:customStyle="1">
    <w:name w:val="Grid Table 6 Colorful - Accent 6"/>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0" w:type="dxa"/>
        <w:top w:w="0" w:type="dxa"/>
        <w:right w:w="0" w:type="dxa"/>
        <w:bottom w:w="0" w:type="dxa"/>
      </w:tblCellMar>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103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37" w:customStyle="1">
    <w:name w:val="Grid Table 7 Colorful - Accent 1"/>
    <w:uiPriority w:val="99"/>
    <w:qFormat/>
    <w:tblPr>
      <w:tblBorders>
        <w:bottom w:val="single" w:color="A3B9E4" w:sz="4" w:space="0"/>
        <w:right w:val="single" w:color="A3B9E4" w:sz="4" w:space="0"/>
        <w:insideH w:val="single" w:color="A3B9E4" w:sz="4" w:space="0"/>
        <w:insideV w:val="single" w:color="A3B9E4" w:sz="4" w:space="0"/>
      </w:tblBorders>
      <w:tblCellMar>
        <w:left w:w="0" w:type="dxa"/>
        <w:top w:w="0" w:type="dxa"/>
        <w:right w:w="0"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1038" w:customStyle="1">
    <w:name w:val="Grid Table 7 Colorful - Accent 2"/>
    <w:uiPriority w:val="99"/>
    <w:qFormat/>
    <w:tblPr>
      <w:tblBorders>
        <w:bottom w:val="single" w:color="F4B483" w:sz="4" w:space="0"/>
        <w:right w:val="single" w:color="F4B483" w:sz="4" w:space="0"/>
        <w:insideH w:val="single" w:color="F4B483" w:sz="4" w:space="0"/>
        <w:insideV w:val="single" w:color="F4B483" w:sz="4" w:space="0"/>
      </w:tblBorders>
      <w:tblCellMar>
        <w:left w:w="0" w:type="dxa"/>
        <w:top w:w="0" w:type="dxa"/>
        <w:right w:w="0"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1039" w:customStyle="1">
    <w:name w:val="Grid Table 7 Colorful - Accent 3"/>
    <w:uiPriority w:val="99"/>
    <w:qFormat/>
    <w:tblPr>
      <w:tblBorders>
        <w:bottom w:val="single" w:color="F3BA02" w:sz="4" w:space="0"/>
        <w:right w:val="single" w:color="F3BA02" w:sz="4" w:space="0"/>
        <w:insideH w:val="single" w:color="F3BA02" w:sz="4" w:space="0"/>
        <w:insideV w:val="single" w:color="F3BA02" w:sz="4" w:space="0"/>
      </w:tblBorders>
      <w:tblCellMar>
        <w:left w:w="0" w:type="dxa"/>
        <w:top w:w="0" w:type="dxa"/>
        <w:right w:w="0"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1040" w:customStyle="1">
    <w:name w:val="Grid Table 7 Colorful - Accent 4"/>
    <w:uiPriority w:val="99"/>
    <w:qFormat/>
    <w:tblPr>
      <w:tblBorders>
        <w:bottom w:val="single" w:color="ABD78C" w:sz="4" w:space="0"/>
        <w:right w:val="single" w:color="ABD78C" w:sz="4" w:space="0"/>
        <w:insideH w:val="single" w:color="ABD78C" w:sz="4" w:space="0"/>
        <w:insideV w:val="single" w:color="ABD78C" w:sz="4" w:space="0"/>
      </w:tblBorders>
      <w:tblCellMar>
        <w:left w:w="0" w:type="dxa"/>
        <w:top w:w="0" w:type="dxa"/>
        <w:right w:w="0"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41" w:customStyle="1">
    <w:name w:val="Grid Table 7 Colorful - Accent 5"/>
    <w:uiPriority w:val="99"/>
    <w:qFormat/>
    <w:tblPr>
      <w:tblBorders>
        <w:bottom w:val="single" w:color="85E0D8" w:sz="4" w:space="0"/>
        <w:right w:val="single" w:color="85E0D8" w:sz="4" w:space="0"/>
        <w:insideH w:val="single" w:color="85E0D8" w:sz="4" w:space="0"/>
        <w:insideV w:val="single" w:color="85E0D8" w:sz="4" w:space="0"/>
      </w:tblBorders>
      <w:tblCellMar>
        <w:left w:w="0" w:type="dxa"/>
        <w:top w:w="0" w:type="dxa"/>
        <w:right w:w="0"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1042" w:customStyle="1">
    <w:name w:val="Grid Table 7 Colorful - Accent 6"/>
    <w:uiPriority w:val="99"/>
    <w:qFormat/>
    <w:tblPr>
      <w:tblBorders>
        <w:bottom w:val="single" w:color="F099A4" w:sz="4" w:space="0"/>
        <w:right w:val="single" w:color="F099A4" w:sz="4" w:space="0"/>
        <w:insideH w:val="single" w:color="F099A4" w:sz="4" w:space="0"/>
        <w:insideV w:val="single" w:color="F099A4" w:sz="4" w:space="0"/>
      </w:tblBorders>
      <w:tblCellMar>
        <w:left w:w="0" w:type="dxa"/>
        <w:top w:w="0" w:type="dxa"/>
        <w:right w:w="0" w:type="dxa"/>
        <w:bottom w:w="0" w:type="dxa"/>
      </w:tblCellMar>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1043"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44" w:customStyle="1">
    <w:name w:val="List Table 1 Light - Accent 1"/>
    <w:uiPriority w:val="99"/>
    <w:qFormat/>
    <w:tblPr>
      <w:tblCellMar>
        <w:left w:w="0" w:type="dxa"/>
        <w:top w:w="0" w:type="dxa"/>
        <w:right w:w="0" w:type="dxa"/>
        <w:bottom w:w="0" w:type="dxa"/>
      </w:tblCellMa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45" w:customStyle="1">
    <w:name w:val="List Table 1 Light - Accent 2"/>
    <w:uiPriority w:val="99"/>
    <w:qFormat/>
    <w:tblPr>
      <w:tblCellMar>
        <w:left w:w="0" w:type="dxa"/>
        <w:top w:w="0" w:type="dxa"/>
        <w:right w:w="0"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tblPr>
      <w:tblCellMar>
        <w:left w:w="0" w:type="dxa"/>
        <w:top w:w="0" w:type="dxa"/>
        <w:right w:w="0" w:type="dxa"/>
        <w:bottom w:w="0" w:type="dxa"/>
      </w:tblCellMa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47" w:customStyle="1">
    <w:name w:val="List Table 1 Light - Accent 4"/>
    <w:uiPriority w:val="99"/>
    <w:qFormat/>
    <w:tblPr>
      <w:tblCellMar>
        <w:left w:w="0" w:type="dxa"/>
        <w:top w:w="0" w:type="dxa"/>
        <w:right w:w="0"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48" w:customStyle="1">
    <w:name w:val="List Table 1 Light - Accent 5"/>
    <w:uiPriority w:val="99"/>
    <w:qFormat/>
    <w:tblPr>
      <w:tblCellMar>
        <w:left w:w="0" w:type="dxa"/>
        <w:top w:w="0" w:type="dxa"/>
        <w:right w:w="0" w:type="dxa"/>
        <w:bottom w:w="0" w:type="dxa"/>
      </w:tblCellMa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49" w:customStyle="1">
    <w:name w:val="List Table 1 Light - Accent 6"/>
    <w:uiPriority w:val="99"/>
    <w:qFormat/>
    <w:tblPr>
      <w:tblCellMar>
        <w:left w:w="0" w:type="dxa"/>
        <w:top w:w="0" w:type="dxa"/>
        <w:right w:w="0" w:type="dxa"/>
        <w:bottom w:w="0" w:type="dxa"/>
      </w:tblCellMa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50"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51" w:customStyle="1">
    <w:name w:val="List Table 2 - Accent 1"/>
    <w:uiPriority w:val="99"/>
    <w:qFormat/>
    <w:tblPr>
      <w:tblBorders>
        <w:top w:val="single" w:color="97B0E1" w:sz="4" w:space="0"/>
        <w:bottom w:val="single" w:color="97B0E1" w:sz="4" w:space="0"/>
        <w:insideH w:val="single" w:color="97B0E1" w:sz="4" w:space="0"/>
      </w:tblBorders>
      <w:tblCellMar>
        <w:left w:w="0" w:type="dxa"/>
        <w:top w:w="0" w:type="dxa"/>
        <w:right w:w="0"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52" w:customStyle="1">
    <w:name w:val="List Table 2 - Accent 2"/>
    <w:uiPriority w:val="99"/>
    <w:qFormat/>
    <w:tblPr>
      <w:tblBorders>
        <w:top w:val="single" w:color="F5B889" w:sz="4" w:space="0"/>
        <w:bottom w:val="single" w:color="F5B889" w:sz="4" w:space="0"/>
        <w:insideH w:val="single" w:color="F5B889" w:sz="4" w:space="0"/>
      </w:tblBorders>
      <w:tblCellMar>
        <w:left w:w="0" w:type="dxa"/>
        <w:top w:w="0" w:type="dxa"/>
        <w:right w:w="0"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1053" w:customStyle="1">
    <w:name w:val="List Table 2 - Accent 3"/>
    <w:uiPriority w:val="99"/>
    <w:qFormat/>
    <w:tblPr>
      <w:tblBorders>
        <w:top w:val="single" w:color="FDDB6A" w:sz="4" w:space="0"/>
        <w:bottom w:val="single" w:color="FDDB6A" w:sz="4" w:space="0"/>
        <w:insideH w:val="single" w:color="FDDB6A" w:sz="4" w:space="0"/>
      </w:tblBorders>
      <w:tblCellMar>
        <w:left w:w="0" w:type="dxa"/>
        <w:top w:w="0" w:type="dxa"/>
        <w:right w:w="0"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1054" w:customStyle="1">
    <w:name w:val="List Table 2 - Accent 4"/>
    <w:uiPriority w:val="99"/>
    <w:qFormat/>
    <w:tblPr>
      <w:tblBorders>
        <w:top w:val="single" w:color="B1D994" w:sz="4" w:space="0"/>
        <w:bottom w:val="single" w:color="B1D994" w:sz="4" w:space="0"/>
        <w:insideH w:val="single" w:color="B1D994" w:sz="4" w:space="0"/>
      </w:tblBorders>
      <w:tblCellMar>
        <w:left w:w="0" w:type="dxa"/>
        <w:top w:w="0" w:type="dxa"/>
        <w:right w:w="0"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1055" w:customStyle="1">
    <w:name w:val="List Table 2 - Accent 5"/>
    <w:uiPriority w:val="99"/>
    <w:qFormat/>
    <w:tblPr>
      <w:tblBorders>
        <w:top w:val="single" w:color="85E0D8" w:sz="4" w:space="0"/>
        <w:bottom w:val="single" w:color="85E0D8" w:sz="4" w:space="0"/>
        <w:insideH w:val="single" w:color="85E0D8" w:sz="4" w:space="0"/>
      </w:tblBorders>
      <w:tblCellMar>
        <w:left w:w="0" w:type="dxa"/>
        <w:top w:w="0" w:type="dxa"/>
        <w:right w:w="0"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1056" w:customStyle="1">
    <w:name w:val="List Table 2 - Accent 6"/>
    <w:uiPriority w:val="99"/>
    <w:qFormat/>
    <w:tblPr>
      <w:tblBorders>
        <w:top w:val="single" w:color="F099A4" w:sz="4" w:space="0"/>
        <w:bottom w:val="single" w:color="F099A4" w:sz="4" w:space="0"/>
        <w:insideH w:val="single" w:color="F099A4" w:sz="4" w:space="0"/>
      </w:tblBorders>
      <w:tblCellMar>
        <w:left w:w="0" w:type="dxa"/>
        <w:top w:w="0" w:type="dxa"/>
        <w:right w:w="0"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105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8" w:customStyle="1">
    <w:name w:val="List Table 3 - Accent 1"/>
    <w:uiPriority w:val="99"/>
    <w:qFormat/>
    <w:tblPr>
      <w:tblBorders>
        <w:top w:val="single" w:color="4874CB" w:sz="4" w:space="0"/>
        <w:left w:val="single" w:color="4874CB" w:sz="4" w:space="0"/>
        <w:bottom w:val="single" w:color="4874CB" w:sz="4" w:space="0"/>
        <w:right w:val="single" w:color="4874CB" w:sz="4" w:space="0"/>
      </w:tblBorders>
      <w:tblCellMar>
        <w:left w:w="0" w:type="dxa"/>
        <w:top w:w="0" w:type="dxa"/>
        <w:right w:w="0"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59" w:customStyle="1">
    <w:name w:val="List Table 3 - Accent 2"/>
    <w:uiPriority w:val="99"/>
    <w:qFormat/>
    <w:tblPr>
      <w:tblBorders>
        <w:top w:val="single" w:color="F4B483" w:sz="4" w:space="0"/>
        <w:left w:val="single" w:color="F4B483" w:sz="4" w:space="0"/>
        <w:bottom w:val="single" w:color="F4B483" w:sz="4" w:space="0"/>
        <w:right w:val="single" w:color="F4B483" w:sz="4" w:space="0"/>
      </w:tblBorders>
      <w:tblCellMar>
        <w:left w:w="0" w:type="dxa"/>
        <w:top w:w="0" w:type="dxa"/>
        <w:right w:w="0" w:type="dxa"/>
        <w:bottom w:w="0" w:type="dxa"/>
      </w:tblCellMar>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1060" w:customStyle="1">
    <w:name w:val="List Table 3 - Accent 3"/>
    <w:uiPriority w:val="99"/>
    <w:qFormat/>
    <w:tblPr>
      <w:tblBorders>
        <w:top w:val="single" w:color="FDD961" w:sz="4" w:space="0"/>
        <w:left w:val="single" w:color="FDD961" w:sz="4" w:space="0"/>
        <w:bottom w:val="single" w:color="FDD961" w:sz="4" w:space="0"/>
        <w:right w:val="single" w:color="FDD961" w:sz="4" w:space="0"/>
      </w:tblBorders>
      <w:tblCellMar>
        <w:left w:w="0" w:type="dxa"/>
        <w:top w:w="0" w:type="dxa"/>
        <w:right w:w="0" w:type="dxa"/>
        <w:bottom w:w="0" w:type="dxa"/>
      </w:tblCellMar>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1061" w:customStyle="1">
    <w:name w:val="List Table 3 - Accent 4"/>
    <w:uiPriority w:val="99"/>
    <w:qFormat/>
    <w:tblPr>
      <w:tblBorders>
        <w:top w:val="single" w:color="ABD78C" w:sz="4" w:space="0"/>
        <w:left w:val="single" w:color="ABD78C" w:sz="4" w:space="0"/>
        <w:bottom w:val="single" w:color="ABD78C" w:sz="4" w:space="0"/>
        <w:right w:val="single" w:color="ABD78C" w:sz="4" w:space="0"/>
      </w:tblBorders>
      <w:tblCellMar>
        <w:left w:w="0" w:type="dxa"/>
        <w:top w:w="0" w:type="dxa"/>
        <w:right w:w="0"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62" w:customStyle="1">
    <w:name w:val="List Table 3 - Accent 5"/>
    <w:uiPriority w:val="99"/>
    <w:qFormat/>
    <w:tblPr>
      <w:tblBorders>
        <w:top w:val="single" w:color="7CDED6" w:sz="4" w:space="0"/>
        <w:left w:val="single" w:color="7CDED6" w:sz="4" w:space="0"/>
        <w:bottom w:val="single" w:color="7CDED6" w:sz="4" w:space="0"/>
        <w:right w:val="single" w:color="7CDED6" w:sz="4" w:space="0"/>
      </w:tblBorders>
      <w:tblCellMar>
        <w:left w:w="0" w:type="dxa"/>
        <w:top w:w="0" w:type="dxa"/>
        <w:right w:w="0" w:type="dxa"/>
        <w:bottom w:w="0" w:type="dxa"/>
      </w:tblCellMar>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1063" w:customStyle="1">
    <w:name w:val="List Table 3 - Accent 6"/>
    <w:uiPriority w:val="99"/>
    <w:qFormat/>
    <w:tblPr>
      <w:tblBorders>
        <w:top w:val="single" w:color="EF949F" w:sz="4" w:space="0"/>
        <w:left w:val="single" w:color="EF949F" w:sz="4" w:space="0"/>
        <w:bottom w:val="single" w:color="EF949F" w:sz="4" w:space="0"/>
        <w:right w:val="single" w:color="EF949F" w:sz="4" w:space="0"/>
      </w:tblBorders>
      <w:tblCellMar>
        <w:left w:w="0" w:type="dxa"/>
        <w:top w:w="0" w:type="dxa"/>
        <w:right w:w="0" w:type="dxa"/>
        <w:bottom w:w="0" w:type="dxa"/>
      </w:tblCellMar>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106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5" w:customStyle="1">
    <w:name w:val="List Table 4 - Accent 1"/>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0" w:type="dxa"/>
        <w:top w:w="0" w:type="dxa"/>
        <w:right w:w="0"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66" w:customStyle="1">
    <w:name w:val="List Table 4 - Accent 2"/>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CellMar>
        <w:left w:w="0" w:type="dxa"/>
        <w:top w:w="0" w:type="dxa"/>
        <w:right w:w="0"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67" w:customStyle="1">
    <w:name w:val="List Table 4 - Accent 3"/>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CellMar>
        <w:left w:w="0" w:type="dxa"/>
        <w:top w:w="0" w:type="dxa"/>
        <w:right w:w="0"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68" w:customStyle="1">
    <w:name w:val="List Table 4 - Accent 4"/>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CellMar>
        <w:left w:w="0" w:type="dxa"/>
        <w:top w:w="0" w:type="dxa"/>
        <w:right w:w="0"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69" w:customStyle="1">
    <w:name w:val="List Table 4 - Accent 5"/>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CellMar>
        <w:left w:w="0" w:type="dxa"/>
        <w:top w:w="0" w:type="dxa"/>
        <w:right w:w="0"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70" w:customStyle="1">
    <w:name w:val="List Table 4 - Accent 6"/>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CellMar>
        <w:left w:w="0" w:type="dxa"/>
        <w:top w:w="0" w:type="dxa"/>
        <w:right w:w="0"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7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72" w:customStyle="1">
    <w:name w:val="List Table 5 Dark - Accent 1"/>
    <w:uiPriority w:val="99"/>
    <w:qFormat/>
    <w:tblPr>
      <w:tblBorders>
        <w:top w:val="single" w:color="4874CB" w:sz="32" w:space="0"/>
        <w:left w:val="single" w:color="4874CB" w:sz="32" w:space="0"/>
        <w:bottom w:val="single" w:color="4874CB" w:sz="32" w:space="0"/>
        <w:right w:val="single" w:color="4874CB" w:sz="32" w:space="0"/>
      </w:tblBorders>
      <w:tblCellMar>
        <w:left w:w="0" w:type="dxa"/>
        <w:top w:w="0" w:type="dxa"/>
        <w:right w:w="0"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73" w:customStyle="1">
    <w:name w:val="List Table 5 Dark - Accent 2"/>
    <w:uiPriority w:val="99"/>
    <w:qFormat/>
    <w:tblPr>
      <w:tblBorders>
        <w:top w:val="single" w:color="F4B483" w:sz="32" w:space="0"/>
        <w:left w:val="single" w:color="F4B483" w:sz="32" w:space="0"/>
        <w:bottom w:val="single" w:color="F4B483" w:sz="32" w:space="0"/>
        <w:right w:val="single" w:color="F4B483" w:sz="32" w:space="0"/>
      </w:tblBorders>
      <w:tblCellMar>
        <w:left w:w="0" w:type="dxa"/>
        <w:top w:w="0" w:type="dxa"/>
        <w:right w:w="0" w:type="dxa"/>
        <w:bottom w:w="0" w:type="dxa"/>
      </w:tblCellMar>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1074" w:customStyle="1">
    <w:name w:val="List Table 5 Dark - Accent 3"/>
    <w:uiPriority w:val="99"/>
    <w:qFormat/>
    <w:tblPr>
      <w:tblBorders>
        <w:top w:val="single" w:color="FDD961" w:sz="32" w:space="0"/>
        <w:left w:val="single" w:color="FDD961" w:sz="32" w:space="0"/>
        <w:bottom w:val="single" w:color="FDD961" w:sz="32" w:space="0"/>
        <w:right w:val="single" w:color="FDD961" w:sz="32" w:space="0"/>
      </w:tblBorders>
      <w:tblCellMar>
        <w:left w:w="0" w:type="dxa"/>
        <w:top w:w="0" w:type="dxa"/>
        <w:right w:w="0" w:type="dxa"/>
        <w:bottom w:w="0" w:type="dxa"/>
      </w:tblCellMar>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1075" w:customStyle="1">
    <w:name w:val="List Table 5 Dark - Accent 4"/>
    <w:uiPriority w:val="99"/>
    <w:qFormat/>
    <w:tblPr>
      <w:tblBorders>
        <w:top w:val="single" w:color="ABD78C" w:sz="32" w:space="0"/>
        <w:left w:val="single" w:color="ABD78C" w:sz="32" w:space="0"/>
        <w:bottom w:val="single" w:color="ABD78C" w:sz="32" w:space="0"/>
        <w:right w:val="single" w:color="ABD78C" w:sz="32" w:space="0"/>
      </w:tblBorders>
      <w:tblCellMar>
        <w:left w:w="0" w:type="dxa"/>
        <w:top w:w="0" w:type="dxa"/>
        <w:right w:w="0"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76" w:customStyle="1">
    <w:name w:val="List Table 5 Dark - Accent 5"/>
    <w:uiPriority w:val="99"/>
    <w:qFormat/>
    <w:tblPr>
      <w:tblBorders>
        <w:top w:val="single" w:color="7CDED6" w:sz="32" w:space="0"/>
        <w:left w:val="single" w:color="7CDED6" w:sz="32" w:space="0"/>
        <w:bottom w:val="single" w:color="7CDED6" w:sz="32" w:space="0"/>
        <w:right w:val="single" w:color="7CDED6" w:sz="32" w:space="0"/>
      </w:tblBorders>
      <w:tblCellMar>
        <w:left w:w="0" w:type="dxa"/>
        <w:top w:w="0" w:type="dxa"/>
        <w:right w:w="0" w:type="dxa"/>
        <w:bottom w:w="0" w:type="dxa"/>
      </w:tblCellMar>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1077" w:customStyle="1">
    <w:name w:val="List Table 5 Dark - Accent 6"/>
    <w:uiPriority w:val="99"/>
    <w:qFormat/>
    <w:tblPr>
      <w:tblBorders>
        <w:top w:val="single" w:color="EF949F" w:sz="32" w:space="0"/>
        <w:left w:val="single" w:color="EF949F" w:sz="32" w:space="0"/>
        <w:bottom w:val="single" w:color="EF949F" w:sz="32" w:space="0"/>
        <w:right w:val="single" w:color="EF949F" w:sz="32" w:space="0"/>
      </w:tblBorders>
      <w:tblCellMar>
        <w:left w:w="0" w:type="dxa"/>
        <w:top w:w="0" w:type="dxa"/>
        <w:right w:w="0" w:type="dxa"/>
        <w:bottom w:w="0" w:type="dxa"/>
      </w:tblCellMar>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1078"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79" w:customStyle="1">
    <w:name w:val="List Table 6 Colorful - Accent 1"/>
    <w:uiPriority w:val="99"/>
    <w:qFormat/>
    <w:tblPr>
      <w:tblBorders>
        <w:top w:val="single" w:color="4874CB" w:sz="4" w:space="0"/>
        <w:bottom w:val="single" w:color="4874CB" w:sz="4" w:space="0"/>
      </w:tblBorders>
      <w:tblCellMar>
        <w:left w:w="0" w:type="dxa"/>
        <w:top w:w="0" w:type="dxa"/>
        <w:right w:w="0"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1080" w:customStyle="1">
    <w:name w:val="List Table 6 Colorful - Accent 2"/>
    <w:uiPriority w:val="99"/>
    <w:qFormat/>
    <w:tblPr>
      <w:tblBorders>
        <w:top w:val="single" w:color="F4B483" w:sz="4" w:space="0"/>
        <w:bottom w:val="single" w:color="F4B483" w:sz="4" w:space="0"/>
      </w:tblBorders>
      <w:tblCellMar>
        <w:left w:w="0" w:type="dxa"/>
        <w:top w:w="0" w:type="dxa"/>
        <w:right w:w="0"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1081" w:customStyle="1">
    <w:name w:val="List Table 6 Colorful - Accent 3"/>
    <w:uiPriority w:val="99"/>
    <w:qFormat/>
    <w:tblPr>
      <w:tblBorders>
        <w:top w:val="single" w:color="FDD961" w:sz="4" w:space="0"/>
        <w:bottom w:val="single" w:color="FDD961" w:sz="4" w:space="0"/>
      </w:tblBorders>
      <w:tblCellMar>
        <w:left w:w="0" w:type="dxa"/>
        <w:top w:w="0" w:type="dxa"/>
        <w:right w:w="0"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1082" w:customStyle="1">
    <w:name w:val="List Table 6 Colorful - Accent 4"/>
    <w:uiPriority w:val="99"/>
    <w:qFormat/>
    <w:tblPr>
      <w:tblBorders>
        <w:top w:val="single" w:color="ABD78C" w:sz="4" w:space="0"/>
        <w:bottom w:val="single" w:color="ABD78C" w:sz="4" w:space="0"/>
      </w:tblBorders>
      <w:tblCellMar>
        <w:left w:w="0" w:type="dxa"/>
        <w:top w:w="0" w:type="dxa"/>
        <w:right w:w="0"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1083" w:customStyle="1">
    <w:name w:val="List Table 6 Colorful - Accent 5"/>
    <w:uiPriority w:val="99"/>
    <w:qFormat/>
    <w:tblPr>
      <w:tblBorders>
        <w:top w:val="single" w:color="7CDED6" w:sz="4" w:space="0"/>
        <w:bottom w:val="single" w:color="7CDED6" w:sz="4" w:space="0"/>
      </w:tblBorders>
      <w:tblCellMar>
        <w:left w:w="0" w:type="dxa"/>
        <w:top w:w="0" w:type="dxa"/>
        <w:right w:w="0"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1084" w:customStyle="1">
    <w:name w:val="List Table 6 Colorful - Accent 6"/>
    <w:uiPriority w:val="99"/>
    <w:qFormat/>
    <w:tblPr>
      <w:tblBorders>
        <w:top w:val="single" w:color="EF949F" w:sz="4" w:space="0"/>
        <w:bottom w:val="single" w:color="EF949F" w:sz="4" w:space="0"/>
      </w:tblBorders>
      <w:tblCellMar>
        <w:left w:w="0" w:type="dxa"/>
        <w:top w:w="0" w:type="dxa"/>
        <w:right w:w="0"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1085"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86" w:customStyle="1">
    <w:name w:val="List Table 7 Colorful - Accent 1"/>
    <w:uiPriority w:val="99"/>
    <w:qFormat/>
    <w:tblPr>
      <w:tblBorders>
        <w:right w:val="single" w:color="4874CB" w:sz="4" w:space="0"/>
      </w:tblBorders>
      <w:tblCellMar>
        <w:left w:w="0" w:type="dxa"/>
        <w:top w:w="0" w:type="dxa"/>
        <w:right w:w="0"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87" w:customStyle="1">
    <w:name w:val="List Table 7 Colorful - Accent 2"/>
    <w:uiPriority w:val="99"/>
    <w:qFormat/>
    <w:tblPr>
      <w:tblBorders>
        <w:right w:val="single" w:color="F4B483" w:sz="4" w:space="0"/>
      </w:tblBorders>
      <w:tblCellMar>
        <w:left w:w="0" w:type="dxa"/>
        <w:top w:w="0" w:type="dxa"/>
        <w:right w:w="0"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1088" w:customStyle="1">
    <w:name w:val="List Table 7 Colorful - Accent 3"/>
    <w:uiPriority w:val="99"/>
    <w:qFormat/>
    <w:tblPr>
      <w:tblBorders>
        <w:right w:val="single" w:color="FDD961" w:sz="4" w:space="0"/>
      </w:tblBorders>
      <w:tblCellMar>
        <w:left w:w="0" w:type="dxa"/>
        <w:top w:w="0" w:type="dxa"/>
        <w:right w:w="0"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1089" w:customStyle="1">
    <w:name w:val="List Table 7 Colorful - Accent 4"/>
    <w:uiPriority w:val="99"/>
    <w:qFormat/>
    <w:tblPr>
      <w:tblBorders>
        <w:right w:val="single" w:color="ABD78C" w:sz="4" w:space="0"/>
      </w:tblBorders>
      <w:tblCellMar>
        <w:left w:w="0" w:type="dxa"/>
        <w:top w:w="0" w:type="dxa"/>
        <w:right w:w="0"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90" w:customStyle="1">
    <w:name w:val="List Table 7 Colorful - Accent 5"/>
    <w:uiPriority w:val="99"/>
    <w:qFormat/>
    <w:tblPr>
      <w:tblBorders>
        <w:right w:val="single" w:color="7CDED6" w:sz="4" w:space="0"/>
      </w:tblBorders>
      <w:tblCellMar>
        <w:left w:w="0" w:type="dxa"/>
        <w:top w:w="0" w:type="dxa"/>
        <w:right w:w="0"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1091" w:customStyle="1">
    <w:name w:val="List Table 7 Colorful - Accent 6"/>
    <w:uiPriority w:val="99"/>
    <w:qFormat/>
    <w:tblPr>
      <w:tblBorders>
        <w:right w:val="single" w:color="EF949F" w:sz="4" w:space="0"/>
      </w:tblBorders>
      <w:tblCellMar>
        <w:left w:w="0" w:type="dxa"/>
        <w:top w:w="0" w:type="dxa"/>
        <w:right w:w="0"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10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0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10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10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0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0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09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00" w:customStyle="1">
    <w:name w:val="Bordered &amp; Lined - Accent 1"/>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101" w:customStyle="1">
    <w:name w:val="Bordered &amp; Lined - Accent 2"/>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1102" w:customStyle="1">
    <w:name w:val="Bordered &amp; Lined - Accent 3"/>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1103" w:customStyle="1">
    <w:name w:val="Bordered &amp; Lined - Accent 4"/>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104" w:customStyle="1">
    <w:name w:val="Bordered &amp; Lined - Accent 5"/>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105" w:customStyle="1">
    <w:name w:val="Bordered &amp; Lined - Accent 6"/>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10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07" w:customStyle="1">
    <w:name w:val="Bordered - Accent 1"/>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0" w:type="dxa"/>
        <w:top w:w="0" w:type="dxa"/>
        <w:right w:w="0"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108" w:customStyle="1">
    <w:name w:val="Bordered - Accent 2"/>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0" w:type="dxa"/>
        <w:top w:w="0" w:type="dxa"/>
        <w:right w:w="0"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1109" w:customStyle="1">
    <w:name w:val="Bordered - Accent 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0" w:type="dxa"/>
        <w:top w:w="0" w:type="dxa"/>
        <w:right w:w="0"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1110" w:customStyle="1">
    <w:name w:val="Bordered - Accent 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0" w:type="dxa"/>
        <w:top w:w="0" w:type="dxa"/>
        <w:right w:w="0"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111" w:customStyle="1">
    <w:name w:val="Bordered - Accent 5"/>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0" w:type="dxa"/>
        <w:top w:w="0" w:type="dxa"/>
        <w:right w:w="0"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1112" w:customStyle="1">
    <w:name w:val="Bordered - Accent 6"/>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0" w:type="dxa"/>
        <w:top w:w="0" w:type="dxa"/>
        <w:right w:w="0"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1113" w:customStyle="1">
    <w:name w:val="脚注文本 Char"/>
    <w:link w:val="918"/>
    <w:uiPriority w:val="99"/>
    <w:qFormat/>
    <w:rPr>
      <w:sz w:val="18"/>
    </w:rPr>
  </w:style>
  <w:style w:type="character" w:styleId="1114" w:customStyle="1">
    <w:name w:val="尾注文本 Char"/>
    <w:link w:val="903"/>
    <w:uiPriority w:val="99"/>
    <w:qFormat/>
  </w:style>
  <w:style w:type="paragraph" w:styleId="1115" w:customStyle="1">
    <w:name w:val="TOC 标题1"/>
    <w:uiPriority w:val="39"/>
    <w:qFormat/>
    <w:rPr>
      <w:rFonts w:hint="default" w:ascii="Times New Roman" w:hAnsi="Times New Roman" w:eastAsia="宋体" w:cs="Times New Roman"/>
      <w:lang w:val="en-US" w:eastAsia="zh-CN" w:bidi="ar-SA"/>
    </w:rPr>
  </w:style>
  <w:style w:type="paragraph" w:styleId="1116" w:customStyle="1">
    <w:name w:val="标题 11"/>
    <w:basedOn w:val="850"/>
    <w:next w:val="850"/>
    <w:link w:val="1127"/>
    <w:uiPriority w:val="0"/>
    <w:qFormat/>
    <w:pPr>
      <w:jc w:val="center"/>
      <w:keepLines/>
      <w:keepNext/>
      <w:spacing w:before="240" w:after="120" w:line="300" w:lineRule="auto"/>
      <w:outlineLvl w:val="0"/>
    </w:pPr>
    <w:rPr>
      <w:rFonts w:ascii="宋体"/>
      <w:b/>
      <w:sz w:val="32"/>
      <w:szCs w:val="20"/>
    </w:rPr>
  </w:style>
  <w:style w:type="paragraph" w:styleId="1117" w:customStyle="1">
    <w:name w:val="标题 21"/>
    <w:basedOn w:val="850"/>
    <w:next w:val="850"/>
    <w:link w:val="1128"/>
    <w:uiPriority w:val="0"/>
    <w:qFormat/>
    <w:pPr>
      <w:jc w:val="center"/>
      <w:keepLines/>
      <w:keepNext/>
      <w:spacing w:before="120" w:line="300" w:lineRule="auto"/>
      <w:outlineLvl w:val="1"/>
    </w:pPr>
    <w:rPr>
      <w:rFonts w:ascii="Arial" w:hAnsi="Arial" w:eastAsia="黑体"/>
      <w:b/>
      <w:sz w:val="30"/>
      <w:szCs w:val="20"/>
    </w:rPr>
  </w:style>
  <w:style w:type="paragraph" w:styleId="1118" w:customStyle="1">
    <w:name w:val="标题 41"/>
    <w:basedOn w:val="850"/>
    <w:next w:val="850"/>
    <w:link w:val="1129"/>
    <w:uiPriority w:val="0"/>
    <w:qFormat/>
    <w:pPr>
      <w:keepLines/>
      <w:keepNext/>
      <w:spacing w:before="280" w:after="290" w:line="376" w:lineRule="atLeast"/>
      <w:outlineLvl w:val="3"/>
    </w:pPr>
    <w:rPr>
      <w:rFonts w:ascii="Arial" w:hAnsi="Arial" w:eastAsia="黑体"/>
      <w:b/>
      <w:sz w:val="28"/>
      <w:szCs w:val="20"/>
    </w:rPr>
  </w:style>
  <w:style w:type="paragraph" w:styleId="1119" w:customStyle="1">
    <w:name w:val="标题 51"/>
    <w:basedOn w:val="850"/>
    <w:next w:val="850"/>
    <w:link w:val="1130"/>
    <w:uiPriority w:val="0"/>
    <w:qFormat/>
    <w:pPr>
      <w:keepLines/>
      <w:keepNext/>
      <w:spacing w:before="280" w:after="290" w:line="376" w:lineRule="atLeast"/>
      <w:outlineLvl w:val="4"/>
    </w:pPr>
    <w:rPr>
      <w:b/>
      <w:sz w:val="28"/>
      <w:szCs w:val="20"/>
    </w:rPr>
  </w:style>
  <w:style w:type="paragraph" w:styleId="1120" w:customStyle="1">
    <w:name w:val="标题 61"/>
    <w:basedOn w:val="850"/>
    <w:next w:val="850"/>
    <w:link w:val="1131"/>
    <w:uiPriority w:val="0"/>
    <w:qFormat/>
    <w:pPr>
      <w:keepLines/>
      <w:keepNext/>
      <w:spacing w:before="240" w:after="64" w:line="320" w:lineRule="atLeast"/>
      <w:outlineLvl w:val="5"/>
    </w:pPr>
    <w:rPr>
      <w:rFonts w:ascii="Arial" w:hAnsi="Arial" w:eastAsia="黑体"/>
      <w:b/>
      <w:sz w:val="24"/>
      <w:szCs w:val="20"/>
    </w:rPr>
  </w:style>
  <w:style w:type="paragraph" w:styleId="1121" w:customStyle="1">
    <w:name w:val="标题 71"/>
    <w:basedOn w:val="850"/>
    <w:next w:val="850"/>
    <w:link w:val="1132"/>
    <w:uiPriority w:val="0"/>
    <w:qFormat/>
    <w:pPr>
      <w:keepLines/>
      <w:keepNext/>
      <w:spacing w:before="240" w:after="64" w:line="320" w:lineRule="atLeast"/>
      <w:outlineLvl w:val="6"/>
    </w:pPr>
    <w:rPr>
      <w:b/>
      <w:sz w:val="24"/>
      <w:szCs w:val="20"/>
    </w:rPr>
  </w:style>
  <w:style w:type="paragraph" w:styleId="1122" w:customStyle="1">
    <w:name w:val="标题 81"/>
    <w:basedOn w:val="850"/>
    <w:next w:val="850"/>
    <w:link w:val="1133"/>
    <w:uiPriority w:val="0"/>
    <w:qFormat/>
    <w:pPr>
      <w:keepLines/>
      <w:keepNext/>
      <w:spacing w:before="240" w:after="64" w:line="320" w:lineRule="atLeast"/>
      <w:outlineLvl w:val="7"/>
    </w:pPr>
    <w:rPr>
      <w:rFonts w:ascii="Arial" w:hAnsi="Arial" w:eastAsia="黑体"/>
      <w:sz w:val="24"/>
      <w:szCs w:val="20"/>
    </w:rPr>
  </w:style>
  <w:style w:type="paragraph" w:styleId="1123" w:customStyle="1">
    <w:name w:val="标题 91"/>
    <w:basedOn w:val="850"/>
    <w:next w:val="850"/>
    <w:link w:val="1134"/>
    <w:uiPriority w:val="0"/>
    <w:qFormat/>
    <w:pPr>
      <w:keepLines/>
      <w:keepNext/>
      <w:spacing w:before="240" w:after="64" w:line="320" w:lineRule="atLeast"/>
      <w:outlineLvl w:val="8"/>
    </w:pPr>
    <w:rPr>
      <w:rFonts w:ascii="Arial" w:hAnsi="Arial" w:eastAsia="黑体"/>
      <w:szCs w:val="20"/>
    </w:rPr>
  </w:style>
  <w:style w:type="character" w:styleId="1124" w:customStyle="1">
    <w:name w:val="默认段落字体1"/>
    <w:uiPriority w:val="1"/>
    <w:qFormat/>
  </w:style>
  <w:style w:type="table" w:styleId="1125" w:customStyle="1">
    <w:name w:val="普通表格1"/>
    <w:uiPriority w:val="99"/>
    <w:qFormat/>
    <w:tblPr>
      <w:tblCellMar>
        <w:left w:w="0" w:type="dxa"/>
        <w:top w:w="0" w:type="dxa"/>
        <w:right w:w="0" w:type="dxa"/>
        <w:bottom w:w="0" w:type="dxa"/>
      </w:tblCellMar>
    </w:tblPr>
  </w:style>
  <w:style w:type="character" w:styleId="1126" w:customStyle="1">
    <w:name w:val="标题 3 字符"/>
    <w:link w:val="965"/>
    <w:uiPriority w:val="0"/>
    <w:qFormat/>
    <w:rPr>
      <w:rFonts w:ascii="宋体" w:eastAsia="宋体"/>
      <w:b/>
      <w:sz w:val="24"/>
      <w:u w:val="single"/>
      <w:lang w:val="en-US" w:eastAsia="zh-CN" w:bidi="ar-SA"/>
    </w:rPr>
  </w:style>
  <w:style w:type="character" w:styleId="1127" w:customStyle="1">
    <w:name w:val="标题 1 字符"/>
    <w:link w:val="1116"/>
    <w:uiPriority w:val="0"/>
    <w:qFormat/>
    <w:rPr>
      <w:rFonts w:ascii="宋体"/>
      <w:b/>
      <w:sz w:val="32"/>
    </w:rPr>
  </w:style>
  <w:style w:type="character" w:styleId="1128" w:customStyle="1">
    <w:name w:val="标题 2 字符"/>
    <w:link w:val="1117"/>
    <w:uiPriority w:val="0"/>
    <w:qFormat/>
    <w:rPr>
      <w:rFonts w:ascii="Arial" w:hAnsi="Arial" w:eastAsia="黑体"/>
      <w:b/>
      <w:sz w:val="30"/>
      <w:lang w:val="en-US" w:eastAsia="zh-CN" w:bidi="ar-SA"/>
    </w:rPr>
  </w:style>
  <w:style w:type="character" w:styleId="1129" w:customStyle="1">
    <w:name w:val="标题 4 字符"/>
    <w:link w:val="1118"/>
    <w:uiPriority w:val="0"/>
    <w:qFormat/>
    <w:rPr>
      <w:rFonts w:ascii="Arial" w:hAnsi="Arial" w:eastAsia="黑体"/>
      <w:b/>
      <w:sz w:val="28"/>
    </w:rPr>
  </w:style>
  <w:style w:type="character" w:styleId="1130" w:customStyle="1">
    <w:name w:val="标题 5 字符"/>
    <w:link w:val="1119"/>
    <w:uiPriority w:val="0"/>
    <w:qFormat/>
    <w:rPr>
      <w:b/>
      <w:sz w:val="28"/>
    </w:rPr>
  </w:style>
  <w:style w:type="character" w:styleId="1131" w:customStyle="1">
    <w:name w:val="标题 6 字符"/>
    <w:link w:val="1120"/>
    <w:uiPriority w:val="0"/>
    <w:qFormat/>
    <w:rPr>
      <w:rFonts w:ascii="Arial" w:hAnsi="Arial" w:eastAsia="黑体"/>
      <w:b/>
      <w:sz w:val="24"/>
    </w:rPr>
  </w:style>
  <w:style w:type="character" w:styleId="1132" w:customStyle="1">
    <w:name w:val="标题 7 字符"/>
    <w:link w:val="1121"/>
    <w:uiPriority w:val="0"/>
    <w:qFormat/>
    <w:rPr>
      <w:b/>
      <w:sz w:val="24"/>
    </w:rPr>
  </w:style>
  <w:style w:type="character" w:styleId="1133" w:customStyle="1">
    <w:name w:val="标题 8 字符"/>
    <w:link w:val="1122"/>
    <w:uiPriority w:val="0"/>
    <w:qFormat/>
    <w:rPr>
      <w:rFonts w:ascii="Arial" w:hAnsi="Arial" w:eastAsia="黑体"/>
      <w:sz w:val="24"/>
    </w:rPr>
  </w:style>
  <w:style w:type="character" w:styleId="1134" w:customStyle="1">
    <w:name w:val="标题 9 字符"/>
    <w:link w:val="1123"/>
    <w:uiPriority w:val="0"/>
    <w:qFormat/>
    <w:rPr>
      <w:rFonts w:ascii="Arial" w:hAnsi="Arial" w:eastAsia="黑体"/>
      <w:sz w:val="21"/>
    </w:rPr>
  </w:style>
  <w:style w:type="paragraph" w:styleId="1135" w:customStyle="1">
    <w:name w:val="目录 71"/>
    <w:basedOn w:val="850"/>
    <w:next w:val="850"/>
    <w:uiPriority w:val="0"/>
    <w:qFormat/>
    <w:pPr>
      <w:ind w:left="2520"/>
    </w:pPr>
  </w:style>
  <w:style w:type="paragraph" w:styleId="1136" w:customStyle="1">
    <w:name w:val="引文目录1"/>
    <w:next w:val="850"/>
    <w:uiPriority w:val="99"/>
    <w:qFormat/>
    <w:pPr>
      <w:ind w:left="420"/>
      <w:jc w:val="both"/>
      <w:widowControl w:val="off"/>
    </w:pPr>
    <w:rPr>
      <w:rFonts w:hint="default" w:ascii="Times New Roman" w:hAnsi="Times New Roman" w:eastAsia="宋体" w:cs="Times New Roman"/>
      <w:sz w:val="21"/>
      <w:lang w:val="en-US" w:eastAsia="zh-CN" w:bidi="ar-SA"/>
    </w:rPr>
  </w:style>
  <w:style w:type="paragraph" w:styleId="1137" w:customStyle="1">
    <w:name w:val="正文缩进11"/>
    <w:basedOn w:val="850"/>
    <w:link w:val="1138"/>
    <w:uiPriority w:val="0"/>
    <w:qFormat/>
    <w:pPr>
      <w:ind w:firstLine="420"/>
      <w:jc w:val="left"/>
    </w:pPr>
    <w:rPr>
      <w:rFonts w:ascii="宋体"/>
      <w:sz w:val="24"/>
    </w:rPr>
  </w:style>
  <w:style w:type="character" w:styleId="1138" w:customStyle="1">
    <w:name w:val="正文缩进 字符"/>
    <w:link w:val="1137"/>
    <w:uiPriority w:val="0"/>
    <w:qFormat/>
    <w:rPr>
      <w:rFonts w:ascii="宋体" w:eastAsia="宋体"/>
      <w:sz w:val="24"/>
      <w:szCs w:val="24"/>
      <w:lang w:val="en-US" w:eastAsia="zh-CN" w:bidi="ar-SA"/>
    </w:rPr>
  </w:style>
  <w:style w:type="paragraph" w:styleId="1139" w:customStyle="1">
    <w:name w:val="题注1"/>
    <w:basedOn w:val="850"/>
    <w:next w:val="850"/>
    <w:uiPriority w:val="0"/>
    <w:qFormat/>
    <w:pPr>
      <w:spacing w:line="480" w:lineRule="auto"/>
    </w:pPr>
    <w:rPr>
      <w:rFonts w:ascii="华文中宋" w:hAnsi="华文中宋" w:eastAsia="华文中宋"/>
      <w:sz w:val="36"/>
      <w:szCs w:val="20"/>
    </w:rPr>
  </w:style>
  <w:style w:type="paragraph" w:styleId="1140" w:customStyle="1">
    <w:name w:val="文档结构图1"/>
    <w:basedOn w:val="850"/>
    <w:link w:val="1141"/>
    <w:uiPriority w:val="0"/>
    <w:qFormat/>
    <w:pPr>
      <w:shd w:val="clear" w:color="auto" w:fill="000080"/>
    </w:pPr>
  </w:style>
  <w:style w:type="character" w:styleId="1141" w:customStyle="1">
    <w:name w:val="文档结构图 字符"/>
    <w:link w:val="1140"/>
    <w:uiPriority w:val="0"/>
    <w:qFormat/>
    <w:rPr>
      <w:sz w:val="21"/>
      <w:szCs w:val="24"/>
      <w:shd w:val="clear" w:color="auto" w:fill="000080"/>
    </w:rPr>
  </w:style>
  <w:style w:type="paragraph" w:styleId="1142" w:customStyle="1">
    <w:name w:val="批注文字1"/>
    <w:basedOn w:val="850"/>
    <w:link w:val="1143"/>
    <w:uiPriority w:val="99"/>
    <w:qFormat/>
    <w:pPr>
      <w:jc w:val="left"/>
    </w:pPr>
  </w:style>
  <w:style w:type="character" w:styleId="1143" w:customStyle="1">
    <w:name w:val="批注文字 字符1"/>
    <w:link w:val="1142"/>
    <w:uiPriority w:val="99"/>
    <w:qFormat/>
    <w:rPr>
      <w:sz w:val="21"/>
      <w:szCs w:val="24"/>
    </w:rPr>
  </w:style>
  <w:style w:type="paragraph" w:styleId="1144" w:customStyle="1">
    <w:name w:val="正文文本 31"/>
    <w:basedOn w:val="850"/>
    <w:link w:val="1145"/>
    <w:uiPriority w:val="0"/>
    <w:qFormat/>
    <w:pPr>
      <w:spacing w:after="120"/>
    </w:pPr>
    <w:rPr>
      <w:sz w:val="16"/>
      <w:szCs w:val="16"/>
    </w:rPr>
  </w:style>
  <w:style w:type="character" w:styleId="1145" w:customStyle="1">
    <w:name w:val="正文文本 3 字符"/>
    <w:link w:val="1144"/>
    <w:uiPriority w:val="0"/>
    <w:qFormat/>
    <w:rPr>
      <w:sz w:val="16"/>
      <w:szCs w:val="16"/>
    </w:rPr>
  </w:style>
  <w:style w:type="paragraph" w:styleId="1146" w:customStyle="1">
    <w:name w:val="正文文本1"/>
    <w:basedOn w:val="850"/>
    <w:link w:val="1147"/>
    <w:uiPriority w:val="0"/>
    <w:qFormat/>
    <w:pPr>
      <w:spacing w:before="120" w:line="22" w:lineRule="atLeast"/>
      <w:tabs>
        <w:tab w:val="left" w:pos="567" w:leader="none"/>
      </w:tabs>
    </w:pPr>
    <w:rPr>
      <w:rFonts w:ascii="宋体" w:hAnsi="宋体"/>
      <w:sz w:val="24"/>
    </w:rPr>
  </w:style>
  <w:style w:type="character" w:styleId="1147" w:customStyle="1">
    <w:name w:val="正文文本 字符"/>
    <w:link w:val="1146"/>
    <w:uiPriority w:val="0"/>
    <w:qFormat/>
    <w:rPr>
      <w:rFonts w:ascii="宋体" w:hAnsi="宋体"/>
      <w:sz w:val="24"/>
      <w:szCs w:val="24"/>
    </w:rPr>
  </w:style>
  <w:style w:type="paragraph" w:styleId="1148" w:customStyle="1">
    <w:name w:val="正文文本缩进11"/>
    <w:basedOn w:val="850"/>
    <w:next w:val="850"/>
    <w:link w:val="1149"/>
    <w:uiPriority w:val="0"/>
    <w:qFormat/>
    <w:pPr>
      <w:ind w:firstLine="570"/>
      <w:spacing w:line="360" w:lineRule="auto"/>
    </w:pPr>
    <w:rPr>
      <w:sz w:val="24"/>
    </w:rPr>
  </w:style>
  <w:style w:type="character" w:styleId="1149" w:customStyle="1">
    <w:name w:val="正文文本缩进 字符"/>
    <w:link w:val="1148"/>
    <w:uiPriority w:val="0"/>
    <w:qFormat/>
    <w:rPr>
      <w:rFonts w:eastAsia="宋体"/>
      <w:sz w:val="24"/>
      <w:szCs w:val="24"/>
      <w:lang w:val="en-US" w:eastAsia="zh-CN" w:bidi="ar-SA"/>
    </w:rPr>
  </w:style>
  <w:style w:type="paragraph" w:styleId="1150" w:customStyle="1">
    <w:name w:val="列表 21"/>
    <w:basedOn w:val="850"/>
    <w:uiPriority w:val="0"/>
    <w:qFormat/>
    <w:pPr>
      <w:ind w:left="100" w:hanging="200"/>
    </w:pPr>
  </w:style>
  <w:style w:type="paragraph" w:styleId="1151" w:customStyle="1">
    <w:name w:val="文本块1"/>
    <w:basedOn w:val="850"/>
    <w:uiPriority w:val="0"/>
    <w:qFormat/>
    <w:pPr>
      <w:ind w:left="480" w:right="-341" w:firstLine="513"/>
      <w:widowControl/>
    </w:pPr>
    <w:rPr>
      <w:sz w:val="24"/>
      <w:szCs w:val="20"/>
    </w:rPr>
  </w:style>
  <w:style w:type="paragraph" w:styleId="1152" w:customStyle="1">
    <w:name w:val="目录 51"/>
    <w:basedOn w:val="850"/>
    <w:next w:val="850"/>
    <w:uiPriority w:val="0"/>
    <w:qFormat/>
    <w:pPr>
      <w:ind w:left="1680"/>
    </w:pPr>
  </w:style>
  <w:style w:type="paragraph" w:styleId="1153" w:customStyle="1">
    <w:name w:val="目录 31"/>
    <w:basedOn w:val="850"/>
    <w:next w:val="850"/>
    <w:uiPriority w:val="39"/>
    <w:qFormat/>
    <w:pPr>
      <w:ind w:left="840"/>
    </w:pPr>
  </w:style>
  <w:style w:type="paragraph" w:styleId="1154" w:customStyle="1">
    <w:name w:val="纯文本1"/>
    <w:basedOn w:val="850"/>
    <w:link w:val="1155"/>
    <w:uiPriority w:val="0"/>
    <w:qFormat/>
    <w:rPr>
      <w:rFonts w:hint="eastAsia" w:ascii="宋体" w:hAnsi="Courier New"/>
      <w:szCs w:val="20"/>
    </w:rPr>
  </w:style>
  <w:style w:type="character" w:styleId="1155" w:customStyle="1">
    <w:name w:val="纯文本 字符2"/>
    <w:link w:val="1154"/>
    <w:uiPriority w:val="0"/>
    <w:qFormat/>
    <w:rPr>
      <w:rFonts w:hint="eastAsia" w:ascii="宋体" w:hAnsi="Courier New" w:eastAsia="宋体" w:cs="宋体"/>
      <w:sz w:val="21"/>
    </w:rPr>
  </w:style>
  <w:style w:type="paragraph" w:styleId="1156" w:customStyle="1">
    <w:name w:val="目录 81"/>
    <w:basedOn w:val="850"/>
    <w:next w:val="850"/>
    <w:uiPriority w:val="0"/>
    <w:qFormat/>
    <w:pPr>
      <w:ind w:left="2940"/>
    </w:pPr>
  </w:style>
  <w:style w:type="paragraph" w:styleId="1157" w:customStyle="1">
    <w:name w:val="日期1"/>
    <w:basedOn w:val="850"/>
    <w:next w:val="850"/>
    <w:link w:val="1158"/>
    <w:uiPriority w:val="0"/>
    <w:qFormat/>
    <w:pPr>
      <w:ind w:left="100"/>
    </w:pPr>
    <w:rPr>
      <w:rFonts w:ascii="仿宋_GB2312" w:hAnsi="宋体" w:eastAsia="仿宋_GB2312"/>
      <w:color w:val="000000"/>
      <w:sz w:val="24"/>
    </w:rPr>
  </w:style>
  <w:style w:type="character" w:styleId="1158" w:customStyle="1">
    <w:name w:val="日期 字符"/>
    <w:link w:val="1157"/>
    <w:uiPriority w:val="0"/>
    <w:qFormat/>
    <w:rPr>
      <w:rFonts w:ascii="仿宋_GB2312" w:hAnsi="宋体" w:eastAsia="仿宋_GB2312"/>
      <w:color w:val="000000"/>
      <w:sz w:val="24"/>
      <w:szCs w:val="24"/>
    </w:rPr>
  </w:style>
  <w:style w:type="paragraph" w:styleId="1159" w:customStyle="1">
    <w:name w:val="正文文本缩进 21"/>
    <w:basedOn w:val="850"/>
    <w:link w:val="1160"/>
    <w:uiPriority w:val="0"/>
    <w:qFormat/>
    <w:pPr>
      <w:ind w:firstLine="480"/>
    </w:pPr>
    <w:rPr>
      <w:rFonts w:ascii="仿宋_GB2312" w:eastAsia="仿宋_GB2312"/>
      <w:sz w:val="24"/>
    </w:rPr>
  </w:style>
  <w:style w:type="character" w:styleId="1160" w:customStyle="1">
    <w:name w:val="正文文本缩进 2 字符"/>
    <w:link w:val="1159"/>
    <w:uiPriority w:val="0"/>
    <w:qFormat/>
    <w:rPr>
      <w:rFonts w:ascii="仿宋_GB2312" w:eastAsia="仿宋_GB2312"/>
      <w:sz w:val="24"/>
      <w:szCs w:val="24"/>
    </w:rPr>
  </w:style>
  <w:style w:type="paragraph" w:styleId="1161" w:customStyle="1">
    <w:name w:val="批注框文本1"/>
    <w:basedOn w:val="850"/>
    <w:link w:val="1162"/>
    <w:uiPriority w:val="0"/>
    <w:qFormat/>
    <w:rPr>
      <w:sz w:val="18"/>
      <w:szCs w:val="18"/>
    </w:rPr>
  </w:style>
  <w:style w:type="character" w:styleId="1162" w:customStyle="1">
    <w:name w:val="批注框文本 字符"/>
    <w:link w:val="1161"/>
    <w:uiPriority w:val="0"/>
    <w:qFormat/>
    <w:rPr>
      <w:sz w:val="18"/>
      <w:szCs w:val="18"/>
    </w:rPr>
  </w:style>
  <w:style w:type="paragraph" w:styleId="1163" w:customStyle="1">
    <w:name w:val="页脚1"/>
    <w:basedOn w:val="850"/>
    <w:link w:val="1164"/>
    <w:uiPriority w:val="99"/>
    <w:qFormat/>
    <w:pPr>
      <w:jc w:val="left"/>
      <w:tabs>
        <w:tab w:val="center" w:pos="4153" w:leader="none"/>
        <w:tab w:val="right" w:pos="8306" w:leader="none"/>
      </w:tabs>
    </w:pPr>
    <w:rPr>
      <w:rFonts w:ascii="宋体"/>
      <w:sz w:val="18"/>
      <w:szCs w:val="20"/>
    </w:rPr>
  </w:style>
  <w:style w:type="character" w:styleId="1164" w:customStyle="1">
    <w:name w:val="页脚 字符"/>
    <w:link w:val="1163"/>
    <w:uiPriority w:val="99"/>
    <w:qFormat/>
    <w:rPr>
      <w:rFonts w:ascii="宋体" w:eastAsia="宋体"/>
      <w:sz w:val="18"/>
      <w:lang w:val="en-US" w:eastAsia="zh-CN" w:bidi="ar-SA"/>
    </w:rPr>
  </w:style>
  <w:style w:type="paragraph" w:styleId="1165" w:customStyle="1">
    <w:name w:val="寄信人地址1"/>
    <w:basedOn w:val="850"/>
    <w:uiPriority w:val="0"/>
    <w:qFormat/>
    <w:rPr>
      <w:rFonts w:ascii="Arial" w:hAnsi="Arial"/>
    </w:rPr>
  </w:style>
  <w:style w:type="paragraph" w:styleId="1166" w:customStyle="1">
    <w:name w:val="页眉1"/>
    <w:basedOn w:val="850"/>
    <w:link w:val="1167"/>
    <w:uiPriority w:val="0"/>
    <w:qFormat/>
    <w:pPr>
      <w:jc w:val="center"/>
      <w:tabs>
        <w:tab w:val="center" w:pos="4153" w:leader="none"/>
        <w:tab w:val="right" w:pos="8306" w:leader="none"/>
      </w:tabs>
      <w:pBdr>
        <w:bottom w:val="single" w:color="000000" w:sz="6" w:space="1"/>
      </w:pBdr>
    </w:pPr>
    <w:rPr>
      <w:sz w:val="18"/>
      <w:szCs w:val="18"/>
    </w:rPr>
  </w:style>
  <w:style w:type="character" w:styleId="1167" w:customStyle="1">
    <w:name w:val="页眉 字符"/>
    <w:link w:val="1166"/>
    <w:uiPriority w:val="0"/>
    <w:qFormat/>
    <w:rPr>
      <w:rFonts w:eastAsia="宋体"/>
      <w:sz w:val="18"/>
      <w:szCs w:val="18"/>
      <w:lang w:val="en-US" w:eastAsia="zh-CN" w:bidi="ar-SA"/>
    </w:rPr>
  </w:style>
  <w:style w:type="paragraph" w:styleId="1168" w:customStyle="1">
    <w:name w:val="目录 11"/>
    <w:basedOn w:val="850"/>
    <w:next w:val="850"/>
    <w:uiPriority w:val="39"/>
    <w:qFormat/>
    <w:pPr>
      <w:spacing w:line="300" w:lineRule="auto"/>
      <w:tabs>
        <w:tab w:val="left" w:pos="1050" w:leader="none"/>
        <w:tab w:val="right" w:pos="8937" w:leader="dot"/>
      </w:tabs>
    </w:pPr>
    <w:rPr>
      <w:rFonts w:ascii="宋体" w:hAnsi="宋体"/>
      <w:b/>
      <w:sz w:val="24"/>
    </w:rPr>
  </w:style>
  <w:style w:type="paragraph" w:styleId="1169" w:customStyle="1">
    <w:name w:val="目录 41"/>
    <w:basedOn w:val="850"/>
    <w:next w:val="850"/>
    <w:uiPriority w:val="0"/>
    <w:qFormat/>
    <w:pPr>
      <w:ind w:left="1260"/>
    </w:pPr>
  </w:style>
  <w:style w:type="paragraph" w:styleId="1170" w:customStyle="1">
    <w:name w:val="目录 61"/>
    <w:basedOn w:val="850"/>
    <w:next w:val="850"/>
    <w:uiPriority w:val="0"/>
    <w:qFormat/>
    <w:pPr>
      <w:ind w:left="2100"/>
    </w:pPr>
  </w:style>
  <w:style w:type="paragraph" w:styleId="1171" w:customStyle="1">
    <w:name w:val="正文文本缩进 31"/>
    <w:basedOn w:val="850"/>
    <w:link w:val="1172"/>
    <w:uiPriority w:val="0"/>
    <w:qFormat/>
    <w:pPr>
      <w:ind w:left="720" w:firstLine="480"/>
      <w:jc w:val="left"/>
      <w:spacing w:before="120" w:line="22" w:lineRule="atLeast"/>
    </w:pPr>
    <w:rPr>
      <w:rFonts w:ascii="宋体"/>
      <w:sz w:val="24"/>
      <w:szCs w:val="20"/>
    </w:rPr>
  </w:style>
  <w:style w:type="character" w:styleId="1172" w:customStyle="1">
    <w:name w:val="正文文本缩进 3 字符"/>
    <w:link w:val="1171"/>
    <w:uiPriority w:val="0"/>
    <w:qFormat/>
    <w:rPr>
      <w:rFonts w:ascii="宋体"/>
      <w:sz w:val="24"/>
    </w:rPr>
  </w:style>
  <w:style w:type="paragraph" w:styleId="1173" w:customStyle="1">
    <w:name w:val="目录 21"/>
    <w:basedOn w:val="850"/>
    <w:next w:val="850"/>
    <w:uiPriority w:val="39"/>
    <w:qFormat/>
    <w:pPr>
      <w:ind w:left="420"/>
      <w:spacing w:line="312" w:lineRule="auto"/>
      <w:tabs>
        <w:tab w:val="right" w:pos="8937" w:leader="dot"/>
      </w:tabs>
    </w:pPr>
  </w:style>
  <w:style w:type="paragraph" w:styleId="1174" w:customStyle="1">
    <w:name w:val="目录 91"/>
    <w:basedOn w:val="850"/>
    <w:next w:val="850"/>
    <w:uiPriority w:val="0"/>
    <w:qFormat/>
    <w:pPr>
      <w:ind w:left="3360"/>
    </w:pPr>
  </w:style>
  <w:style w:type="paragraph" w:styleId="1175" w:customStyle="1">
    <w:name w:val="HTML 预设格式1"/>
    <w:basedOn w:val="850"/>
    <w:link w:val="11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6" w:customStyle="1">
    <w:name w:val="HTML 预设格式 字符"/>
    <w:link w:val="1175"/>
    <w:uiPriority w:val="0"/>
    <w:qFormat/>
    <w:rPr>
      <w:rFonts w:ascii="宋体" w:hAnsi="宋体" w:cs="宋体"/>
      <w:sz w:val="24"/>
      <w:szCs w:val="24"/>
    </w:rPr>
  </w:style>
  <w:style w:type="paragraph" w:styleId="1177" w:customStyle="1">
    <w:name w:val="普通(网站)1"/>
    <w:basedOn w:val="850"/>
    <w:uiPriority w:val="99"/>
    <w:qFormat/>
    <w:pPr>
      <w:jc w:val="left"/>
      <w:spacing w:before="100" w:beforeAutospacing="1" w:after="100" w:afterAutospacing="1"/>
      <w:widowControl/>
    </w:pPr>
    <w:rPr>
      <w:rFonts w:ascii="宋体" w:hAnsi="宋体" w:cs="宋体"/>
      <w:sz w:val="24"/>
    </w:rPr>
  </w:style>
  <w:style w:type="paragraph" w:styleId="1178" w:customStyle="1">
    <w:name w:val="索引 11"/>
    <w:basedOn w:val="850"/>
    <w:next w:val="850"/>
    <w:uiPriority w:val="0"/>
    <w:qFormat/>
    <w:rPr>
      <w:szCs w:val="20"/>
    </w:rPr>
  </w:style>
  <w:style w:type="paragraph" w:styleId="1179" w:customStyle="1">
    <w:name w:val="标题1"/>
    <w:basedOn w:val="850"/>
    <w:link w:val="1180"/>
    <w:uiPriority w:val="0"/>
    <w:qFormat/>
    <w:pPr>
      <w:jc w:val="center"/>
      <w:outlineLvl w:val="0"/>
    </w:pPr>
    <w:rPr>
      <w:b/>
      <w:sz w:val="32"/>
      <w:szCs w:val="20"/>
    </w:rPr>
  </w:style>
  <w:style w:type="character" w:styleId="1180" w:customStyle="1">
    <w:name w:val="标题 字符"/>
    <w:link w:val="1179"/>
    <w:uiPriority w:val="0"/>
    <w:qFormat/>
    <w:rPr>
      <w:b/>
      <w:sz w:val="32"/>
    </w:rPr>
  </w:style>
  <w:style w:type="paragraph" w:styleId="1181" w:customStyle="1">
    <w:name w:val="批注主题1"/>
    <w:basedOn w:val="1142"/>
    <w:next w:val="1142"/>
    <w:link w:val="1182"/>
    <w:uiPriority w:val="0"/>
    <w:qFormat/>
    <w:rPr>
      <w:b/>
      <w:bCs/>
    </w:rPr>
  </w:style>
  <w:style w:type="character" w:styleId="1182" w:customStyle="1">
    <w:name w:val="批注主题 字符"/>
    <w:link w:val="1181"/>
    <w:uiPriority w:val="0"/>
    <w:qFormat/>
    <w:rPr>
      <w:rFonts w:ascii="Times New Roman" w:hAnsi="Times New Roman" w:eastAsia="宋体" w:cs="Times New Roman"/>
      <w:b/>
      <w:bCs/>
      <w:sz w:val="21"/>
      <w:szCs w:val="24"/>
      <w:lang w:val="en-US" w:eastAsia="zh-CN" w:bidi="ar-SA"/>
    </w:rPr>
  </w:style>
  <w:style w:type="paragraph" w:styleId="1183" w:customStyle="1">
    <w:name w:val="正文首行缩进1"/>
    <w:basedOn w:val="1146"/>
    <w:next w:val="850"/>
    <w:uiPriority w:val="99"/>
    <w:qFormat/>
    <w:pPr>
      <w:ind w:firstLine="420"/>
    </w:pPr>
  </w:style>
  <w:style w:type="paragraph" w:styleId="1184" w:customStyle="1">
    <w:name w:val="正文首行缩进 21"/>
    <w:basedOn w:val="1148"/>
    <w:next w:val="850"/>
    <w:link w:val="1185"/>
    <w:uiPriority w:val="0"/>
    <w:qFormat/>
    <w:pPr>
      <w:ind w:left="420" w:firstLine="420"/>
      <w:spacing w:after="120" w:line="480" w:lineRule="exact"/>
    </w:pPr>
    <w:rPr>
      <w:szCs w:val="20"/>
    </w:rPr>
  </w:style>
  <w:style w:type="character" w:styleId="1185" w:customStyle="1">
    <w:name w:val="正文文本首行缩进 2 字符"/>
    <w:link w:val="1184"/>
    <w:uiPriority w:val="0"/>
    <w:qFormat/>
    <w:rPr>
      <w:rFonts w:eastAsia="宋体"/>
      <w:sz w:val="24"/>
      <w:szCs w:val="24"/>
      <w:lang w:val="en-US" w:eastAsia="zh-CN" w:bidi="ar-SA"/>
    </w:rPr>
  </w:style>
  <w:style w:type="table" w:styleId="1186" w:customStyle="1">
    <w:name w:val="网格型1"/>
    <w:basedOn w:val="1125"/>
    <w:uiPriority w:val="39"/>
    <w:qFormat/>
    <w:tblPr>
      <w:tblCellMar>
        <w:left w:w="0" w:type="dxa"/>
        <w:top w:w="0" w:type="dxa"/>
        <w:right w:w="0" w:type="dxa"/>
        <w:bottom w:w="0" w:type="dxa"/>
      </w:tblCellMar>
    </w:tblPr>
  </w:style>
  <w:style w:type="table" w:styleId="1187" w:customStyle="1">
    <w:name w:val="中等深浅网格 1 - 强调文字颜色 21"/>
    <w:basedOn w:val="1125"/>
    <w:uiPriority w:val="0"/>
    <w:qFormat/>
    <w:rPr>
      <w:sz w:val="21"/>
      <w:szCs w:val="24"/>
    </w:rPr>
    <w:tblPr>
      <w:tblCellMar>
        <w:left w:w="0" w:type="dxa"/>
        <w:top w:w="0" w:type="dxa"/>
        <w:right w:w="0" w:type="dxa"/>
        <w:bottom w:w="0" w:type="dxa"/>
      </w:tblCellMar>
    </w:tblPr>
  </w:style>
  <w:style w:type="character" w:styleId="1188" w:customStyle="1">
    <w:name w:val="要点1"/>
    <w:uiPriority w:val="0"/>
    <w:qFormat/>
    <w:rPr>
      <w:b/>
      <w:bCs/>
    </w:rPr>
  </w:style>
  <w:style w:type="character" w:styleId="1189" w:customStyle="1">
    <w:name w:val="页码1"/>
    <w:uiPriority w:val="0"/>
    <w:qFormat/>
  </w:style>
  <w:style w:type="character" w:styleId="1190" w:customStyle="1">
    <w:name w:val="已访问的超链接1"/>
    <w:uiPriority w:val="0"/>
    <w:qFormat/>
    <w:rPr>
      <w:color w:val="800080"/>
      <w:u w:val="single"/>
    </w:rPr>
  </w:style>
  <w:style w:type="character" w:styleId="1191" w:customStyle="1">
    <w:name w:val="强调1"/>
    <w:uiPriority w:val="0"/>
    <w:qFormat/>
    <w:rPr>
      <w:color w:val="cc0033"/>
    </w:rPr>
  </w:style>
  <w:style w:type="character" w:styleId="1192" w:customStyle="1">
    <w:name w:val="超链接1"/>
    <w:uiPriority w:val="99"/>
    <w:qFormat/>
    <w:rPr>
      <w:color w:val="0000ff"/>
      <w:u w:val="single"/>
    </w:rPr>
  </w:style>
  <w:style w:type="character" w:styleId="1193" w:customStyle="1">
    <w:name w:val="批注引用1"/>
    <w:uiPriority w:val="99"/>
    <w:qFormat/>
    <w:rPr>
      <w:sz w:val="21"/>
      <w:szCs w:val="21"/>
    </w:rPr>
  </w:style>
  <w:style w:type="character" w:styleId="1194" w:customStyle="1">
    <w:name w:val="HTML 引文1"/>
    <w:uiPriority w:val="0"/>
    <w:qFormat/>
    <w:rPr>
      <w:i/>
      <w:iCs/>
    </w:rPr>
  </w:style>
  <w:style w:type="paragraph" w:styleId="1195" w:customStyle="1">
    <w:name w:val="首行缩进"/>
    <w:basedOn w:val="850"/>
    <w:uiPriority w:val="0"/>
    <w:qFormat/>
    <w:pPr>
      <w:ind w:firstLine="420"/>
      <w:spacing w:line="360" w:lineRule="auto"/>
    </w:pPr>
    <w:rPr>
      <w:sz w:val="20"/>
    </w:rPr>
  </w:style>
  <w:style w:type="paragraph" w:styleId="1196"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97" w:customStyle="1">
    <w:name w:val="批注文字 字符"/>
    <w:uiPriority w:val="99"/>
    <w:qFormat/>
    <w:rPr>
      <w:rFonts w:ascii="Times New Roman" w:hAnsi="Times New Roman" w:eastAsia="宋体" w:cs="Times New Roman"/>
      <w:sz w:val="24"/>
      <w:lang w:val="en-US" w:eastAsia="zh-CN" w:bidi="ar-SA"/>
    </w:rPr>
  </w:style>
  <w:style w:type="character" w:styleId="1198" w:customStyle="1">
    <w:name w:val="c21"/>
    <w:uiPriority w:val="0"/>
    <w:qFormat/>
    <w:rPr>
      <w:rFonts w:ascii="ˎ̥" w:hAnsi="ˎ̥"/>
      <w:color w:val="000000"/>
      <w:sz w:val="20"/>
      <w:szCs w:val="20"/>
      <w:u w:val="none"/>
    </w:rPr>
  </w:style>
  <w:style w:type="character" w:styleId="1199" w:customStyle="1">
    <w:name w:val="title4"/>
    <w:uiPriority w:val="0"/>
    <w:qFormat/>
    <w:rPr>
      <w:b/>
      <w:bCs/>
      <w:color w:val="1d87b3"/>
      <w:sz w:val="15"/>
      <w:szCs w:val="15"/>
    </w:rPr>
  </w:style>
  <w:style w:type="character" w:styleId="1200" w:customStyle="1">
    <w:name w:val="标题 2 Char Char"/>
    <w:uiPriority w:val="0"/>
    <w:qFormat/>
    <w:rPr>
      <w:rFonts w:ascii="Arial" w:hAnsi="Arial" w:eastAsia="黑体"/>
      <w:b/>
      <w:bCs/>
      <w:sz w:val="32"/>
      <w:szCs w:val="32"/>
      <w:lang w:val="en-US" w:eastAsia="zh-CN" w:bidi="ar-SA"/>
    </w:rPr>
  </w:style>
  <w:style w:type="character" w:styleId="1201" w:customStyle="1">
    <w:name w:val="black1"/>
    <w:uiPriority w:val="0"/>
    <w:qFormat/>
    <w:rPr>
      <w:color w:val="000000"/>
    </w:rPr>
  </w:style>
  <w:style w:type="character" w:styleId="1202" w:customStyle="1">
    <w:name w:val="street-address"/>
    <w:uiPriority w:val="0"/>
    <w:qFormat/>
  </w:style>
  <w:style w:type="character" w:styleId="1203" w:customStyle="1">
    <w:name w:val="locality"/>
    <w:uiPriority w:val="0"/>
    <w:qFormat/>
  </w:style>
  <w:style w:type="character" w:styleId="1204" w:customStyle="1">
    <w:name w:val="正文文本缩进 Char1"/>
    <w:link w:val="1205"/>
    <w:uiPriority w:val="0"/>
    <w:qFormat/>
    <w:rPr>
      <w:rFonts w:ascii="宋体" w:hAnsi="宋体" w:eastAsia="宋体"/>
      <w:sz w:val="24"/>
      <w:szCs w:val="24"/>
      <w:lang w:bidi="ar-SA"/>
    </w:rPr>
  </w:style>
  <w:style w:type="paragraph" w:styleId="1205" w:customStyle="1">
    <w:name w:val="正文文本缩进1"/>
    <w:basedOn w:val="850"/>
    <w:link w:val="1204"/>
    <w:uiPriority w:val="0"/>
    <w:qFormat/>
    <w:pPr>
      <w:ind w:firstLine="480"/>
      <w:spacing w:line="480" w:lineRule="exact"/>
    </w:pPr>
    <w:rPr>
      <w:rFonts w:ascii="宋体" w:hAnsi="宋体"/>
      <w:sz w:val="24"/>
    </w:rPr>
  </w:style>
  <w:style w:type="character" w:styleId="1206" w:customStyle="1">
    <w:name w:val="Char Char11"/>
    <w:uiPriority w:val="0"/>
    <w:qFormat/>
    <w:rPr>
      <w:rFonts w:ascii="宋体" w:eastAsia="宋体"/>
      <w:b/>
      <w:sz w:val="24"/>
      <w:u w:val="single"/>
      <w:lang w:val="en-US" w:eastAsia="zh-CN" w:bidi="ar-SA"/>
    </w:rPr>
  </w:style>
  <w:style w:type="character" w:styleId="1207" w:customStyle="1">
    <w:name w:val="txt"/>
    <w:uiPriority w:val="0"/>
    <w:qFormat/>
  </w:style>
  <w:style w:type="character" w:styleId="1208" w:customStyle="1">
    <w:name w:val="正文缩进 Char Char"/>
    <w:link w:val="1209"/>
    <w:uiPriority w:val="0"/>
    <w:qFormat/>
    <w:rPr>
      <w:rFonts w:ascii="宋体" w:eastAsia="宋体"/>
      <w:color w:val="000000"/>
      <w:sz w:val="28"/>
      <w:lang w:bidi="ar-SA"/>
    </w:rPr>
  </w:style>
  <w:style w:type="paragraph" w:styleId="1209" w:customStyle="1">
    <w:name w:val="正文缩进1"/>
    <w:basedOn w:val="850"/>
    <w:link w:val="1208"/>
    <w:uiPriority w:val="0"/>
    <w:qFormat/>
    <w:pPr>
      <w:ind w:firstLine="567"/>
      <w:spacing w:line="480" w:lineRule="exact"/>
      <w:widowControl/>
    </w:pPr>
    <w:rPr>
      <w:rFonts w:ascii="宋体"/>
      <w:color w:val="000000"/>
      <w:sz w:val="28"/>
      <w:szCs w:val="20"/>
    </w:rPr>
  </w:style>
  <w:style w:type="character" w:styleId="1210" w:customStyle="1">
    <w:name w:val="普通文字1 Char1"/>
    <w:uiPriority w:val="0"/>
    <w:qFormat/>
    <w:rPr>
      <w:rFonts w:ascii="宋体" w:hAnsi="Courier New" w:eastAsia="宋体"/>
      <w:sz w:val="21"/>
      <w:lang w:val="en-US" w:eastAsia="zh-CN" w:bidi="ar-SA"/>
    </w:rPr>
  </w:style>
  <w:style w:type="character" w:styleId="1211" w:customStyle="1">
    <w:name w:val="chanpin1"/>
    <w:uiPriority w:val="0"/>
    <w:qFormat/>
    <w:rPr>
      <w:rFonts w:ascii="ˎ̥" w:hAnsi="ˎ̥"/>
      <w:color w:val="000000"/>
      <w:sz w:val="20"/>
      <w:szCs w:val="20"/>
      <w:u w:val="none"/>
    </w:rPr>
  </w:style>
  <w:style w:type="character" w:styleId="1212" w:customStyle="1">
    <w:name w:val="列表段落 字符"/>
    <w:link w:val="1213"/>
    <w:uiPriority w:val="34"/>
    <w:qFormat/>
    <w:rPr>
      <w:rFonts w:ascii="Calibri" w:hAnsi="Calibri" w:eastAsia="宋体"/>
      <w:sz w:val="21"/>
      <w:szCs w:val="22"/>
      <w:lang w:val="en-US" w:eastAsia="zh-CN" w:bidi="ar-SA"/>
    </w:rPr>
  </w:style>
  <w:style w:type="paragraph" w:styleId="1213" w:customStyle="1">
    <w:name w:val="列表段落"/>
    <w:basedOn w:val="850"/>
    <w:link w:val="1212"/>
    <w:uiPriority w:val="34"/>
    <w:qFormat/>
    <w:pPr>
      <w:ind w:firstLine="420"/>
    </w:pPr>
    <w:rPr>
      <w:rFonts w:ascii="Calibri" w:hAnsi="Calibri"/>
      <w:szCs w:val="22"/>
    </w:rPr>
  </w:style>
  <w:style w:type="character" w:styleId="1214" w:customStyle="1">
    <w:name w:val="标题 3 Char Char"/>
    <w:uiPriority w:val="0"/>
    <w:qFormat/>
    <w:rPr>
      <w:rFonts w:eastAsia="宋体"/>
      <w:b/>
      <w:bCs/>
      <w:sz w:val="32"/>
      <w:szCs w:val="32"/>
      <w:lang w:val="en-US" w:eastAsia="zh-CN" w:bidi="ar-SA"/>
    </w:rPr>
  </w:style>
  <w:style w:type="character" w:styleId="1215" w:customStyle="1">
    <w:name w:val="段1 Char"/>
    <w:uiPriority w:val="0"/>
    <w:qFormat/>
    <w:rPr>
      <w:rFonts w:ascii="宋体" w:eastAsia="宋体"/>
      <w:sz w:val="24"/>
      <w:lang w:val="en-US" w:eastAsia="zh-CN" w:bidi="ar-SA"/>
    </w:rPr>
  </w:style>
  <w:style w:type="character" w:styleId="1216" w:customStyle="1">
    <w:name w:val="chanpin拷贝"/>
    <w:uiPriority w:val="0"/>
    <w:qFormat/>
  </w:style>
  <w:style w:type="character" w:styleId="1217" w:customStyle="1">
    <w:name w:val="纯文本 Char1"/>
    <w:uiPriority w:val="0"/>
    <w:qFormat/>
    <w:rPr>
      <w:rFonts w:ascii="宋体" w:hAnsi="Courier New" w:eastAsia="宋体"/>
      <w:sz w:val="21"/>
      <w:lang w:val="en-US" w:eastAsia="zh-CN" w:bidi="ar-SA"/>
    </w:rPr>
  </w:style>
  <w:style w:type="character" w:styleId="1218" w:customStyle="1">
    <w:name w:val="apple-style-span"/>
    <w:uiPriority w:val="0"/>
    <w:qFormat/>
    <w:rPr>
      <w:rFonts w:cs="Times New Roman"/>
    </w:rPr>
  </w:style>
  <w:style w:type="paragraph" w:styleId="1219" w:customStyle="1">
    <w:name w:val="二级条标题"/>
    <w:basedOn w:val="1220"/>
    <w:next w:val="85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20" w:customStyle="1">
    <w:name w:val="一级条标题"/>
    <w:basedOn w:val="1221"/>
    <w:next w:val="850"/>
    <w:uiPriority w:val="0"/>
    <w:qFormat/>
    <w:pPr>
      <w:numPr>
        <w:ilvl w:val="1"/>
        <w:numId w:val="0"/>
      </w:numPr>
      <w:ind w:left="0" w:hanging="840"/>
      <w:tabs>
        <w:tab w:val="left" w:pos="360" w:leader="none"/>
        <w:tab w:val="left" w:pos="840" w:leader="none"/>
      </w:tabs>
      <w:outlineLvl w:val="1"/>
    </w:pPr>
  </w:style>
  <w:style w:type="paragraph" w:styleId="1221" w:customStyle="1">
    <w:name w:val="章标题"/>
    <w:next w:val="850"/>
    <w:uiPriority w:val="0"/>
    <w:qFormat/>
    <w:pPr>
      <w:numPr>
        <w:ilvl w:val="0"/>
        <w:numId w:val="1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22" w:customStyle="1">
    <w:name w:val="font7"/>
    <w:basedOn w:val="850"/>
    <w:uiPriority w:val="0"/>
    <w:qFormat/>
    <w:pPr>
      <w:jc w:val="left"/>
      <w:spacing w:before="100" w:beforeAutospacing="1" w:after="100" w:afterAutospacing="1"/>
      <w:widowControl/>
    </w:pPr>
    <w:rPr>
      <w:rFonts w:eastAsia="Arial Unicode MS"/>
      <w:b/>
      <w:bCs/>
      <w:color w:val="000000"/>
      <w:sz w:val="20"/>
      <w:szCs w:val="20"/>
    </w:rPr>
  </w:style>
  <w:style w:type="paragraph" w:styleId="1223" w:customStyle="1">
    <w:name w:val="字元 字元"/>
    <w:basedOn w:val="850"/>
    <w:uiPriority w:val="0"/>
    <w:qFormat/>
    <w:rPr>
      <w:rFonts w:ascii="Tahoma" w:hAnsi="Tahoma"/>
      <w:sz w:val="24"/>
      <w:szCs w:val="20"/>
    </w:rPr>
  </w:style>
  <w:style w:type="paragraph" w:styleId="1224" w:customStyle="1">
    <w:name w:val="Char3 Char Char Char"/>
    <w:basedOn w:val="850"/>
    <w:uiPriority w:val="0"/>
    <w:qFormat/>
    <w:rPr>
      <w:rFonts w:ascii="Tahoma" w:hAnsi="Tahoma"/>
      <w:sz w:val="24"/>
      <w:szCs w:val="20"/>
    </w:rPr>
  </w:style>
  <w:style w:type="paragraph" w:styleId="1225" w:customStyle="1">
    <w:name w:val="font6"/>
    <w:basedOn w:val="850"/>
    <w:uiPriority w:val="0"/>
    <w:qFormat/>
    <w:pPr>
      <w:jc w:val="left"/>
      <w:spacing w:before="100" w:beforeAutospacing="1" w:after="100" w:afterAutospacing="1"/>
      <w:widowControl/>
    </w:pPr>
    <w:rPr>
      <w:rFonts w:ascii="宋体" w:hAnsi="宋体" w:cs="宋体"/>
      <w:sz w:val="20"/>
      <w:szCs w:val="20"/>
    </w:rPr>
  </w:style>
  <w:style w:type="paragraph" w:styleId="1226" w:customStyle="1">
    <w:name w:val="项目编号2"/>
    <w:basedOn w:val="1227"/>
    <w:uiPriority w:val="0"/>
    <w:qFormat/>
    <w:pPr>
      <w:numPr>
        <w:ilvl w:val="0"/>
        <w:numId w:val="12"/>
      </w:numPr>
    </w:pPr>
  </w:style>
  <w:style w:type="paragraph" w:styleId="1227" w:customStyle="1">
    <w:name w:val="项目编号1"/>
    <w:basedOn w:val="850"/>
    <w:uiPriority w:val="0"/>
    <w:qFormat/>
    <w:pPr>
      <w:numPr>
        <w:ilvl w:val="0"/>
        <w:numId w:val="13"/>
      </w:numPr>
      <w:spacing w:before="100" w:beforeAutospacing="1" w:after="100" w:afterAutospacing="1" w:line="360" w:lineRule="auto"/>
    </w:pPr>
    <w:rPr>
      <w:sz w:val="24"/>
    </w:rPr>
  </w:style>
  <w:style w:type="paragraph" w:styleId="1228" w:customStyle="1">
    <w:name w:val="图中文字"/>
    <w:basedOn w:val="850"/>
    <w:uiPriority w:val="0"/>
    <w:qFormat/>
    <w:pPr>
      <w:jc w:val="center"/>
      <w:spacing w:line="0" w:lineRule="atLeast"/>
    </w:pPr>
    <w:rPr>
      <w:sz w:val="24"/>
      <w:szCs w:val="20"/>
    </w:rPr>
  </w:style>
  <w:style w:type="paragraph" w:styleId="1229" w:customStyle="1">
    <w:name w:val="xl46"/>
    <w:basedOn w:val="85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0" w:customStyle="1">
    <w:name w:val="xl2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customStyle="1">
    <w:name w:val="Char2"/>
    <w:basedOn w:val="850"/>
    <w:uiPriority w:val="0"/>
    <w:qFormat/>
    <w:rPr>
      <w:rFonts w:ascii="Tahoma" w:hAnsi="Tahoma"/>
      <w:sz w:val="24"/>
      <w:szCs w:val="20"/>
    </w:rPr>
  </w:style>
  <w:style w:type="paragraph" w:styleId="1232" w:customStyle="1">
    <w:name w:val="xl35"/>
    <w:basedOn w:val="85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3" w:customStyle="1">
    <w:name w:val="xl40"/>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customStyle="1">
    <w:name w:val="xl52"/>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5" w:customStyle="1">
    <w:name w:val="xl4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6" w:customStyle="1">
    <w:name w:val="background1"/>
    <w:basedOn w:val="850"/>
    <w:uiPriority w:val="0"/>
    <w:qFormat/>
    <w:pPr>
      <w:jc w:val="left"/>
      <w:spacing w:before="100" w:beforeAutospacing="1" w:after="100" w:afterAutospacing="1"/>
      <w:widowControl/>
    </w:pPr>
    <w:rPr>
      <w:rFonts w:ascii="宋体" w:hAnsi="宋体" w:cs="宋体"/>
      <w:sz w:val="24"/>
    </w:rPr>
  </w:style>
  <w:style w:type="paragraph" w:styleId="1237" w:customStyle="1">
    <w:name w:val="Char Char Char Char Char Char Char"/>
    <w:basedOn w:val="850"/>
    <w:uiPriority w:val="0"/>
    <w:qFormat/>
    <w:pPr>
      <w:ind w:firstLine="200"/>
      <w:spacing w:line="360" w:lineRule="auto"/>
    </w:pPr>
    <w:rPr>
      <w:rFonts w:eastAsia="仿宋_GB2312"/>
      <w:sz w:val="24"/>
    </w:rPr>
  </w:style>
  <w:style w:type="paragraph" w:styleId="1238" w:customStyle="1">
    <w:name w:val="xl38"/>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9" w:customStyle="1">
    <w:name w:val="xl36"/>
    <w:basedOn w:val="85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0" w:customStyle="1">
    <w:name w:val="正文 + 宋体"/>
    <w:basedOn w:val="850"/>
    <w:uiPriority w:val="0"/>
    <w:qFormat/>
    <w:pPr>
      <w:ind w:left="360" w:hanging="360"/>
      <w:jc w:val="left"/>
      <w:widowControl/>
    </w:pPr>
    <w:rPr>
      <w:rFonts w:ascii="宋体" w:hAnsi="宋体" w:cs="宋体"/>
      <w:b/>
      <w:bCs/>
      <w:color w:val="000000"/>
      <w:sz w:val="18"/>
      <w:szCs w:val="18"/>
    </w:rPr>
  </w:style>
  <w:style w:type="paragraph" w:styleId="1241" w:customStyle="1">
    <w:name w:val="正文列项_数字"/>
    <w:basedOn w:val="850"/>
    <w:uiPriority w:val="0"/>
    <w:qFormat/>
    <w:pPr>
      <w:numPr>
        <w:ilvl w:val="7"/>
        <w:numId w:val="11"/>
      </w:numPr>
      <w:ind w:left="680" w:hanging="150"/>
      <w:spacing w:line="460" w:lineRule="exact"/>
      <w:tabs>
        <w:tab w:val="clear" w:pos="860" w:leader="none"/>
      </w:tabs>
      <w:outlineLvl w:val="7"/>
    </w:pPr>
    <w:rPr>
      <w:rFonts w:ascii="宋体"/>
      <w:sz w:val="28"/>
      <w:szCs w:val="20"/>
    </w:rPr>
  </w:style>
  <w:style w:type="paragraph" w:styleId="1242" w:customStyle="1">
    <w:name w:val="xl3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customStyle="1">
    <w:name w:val="xl37"/>
    <w:basedOn w:val="85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4" w:customStyle="1">
    <w:name w:val="xl32"/>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5" w:customStyle="1">
    <w:name w:val="font8"/>
    <w:basedOn w:val="850"/>
    <w:uiPriority w:val="0"/>
    <w:qFormat/>
    <w:pPr>
      <w:jc w:val="left"/>
      <w:spacing w:before="100" w:beforeAutospacing="1" w:after="100" w:afterAutospacing="1"/>
      <w:widowControl/>
    </w:pPr>
    <w:rPr>
      <w:sz w:val="36"/>
      <w:szCs w:val="36"/>
    </w:rPr>
  </w:style>
  <w:style w:type="paragraph" w:styleId="1246" w:customStyle="1">
    <w:name w:val="Char"/>
    <w:basedOn w:val="850"/>
    <w:uiPriority w:val="0"/>
    <w:qFormat/>
    <w:pPr>
      <w:tabs>
        <w:tab w:val="left" w:pos="360" w:leader="none"/>
      </w:tabs>
    </w:pPr>
    <w:rPr>
      <w:sz w:val="24"/>
    </w:rPr>
  </w:style>
  <w:style w:type="paragraph" w:styleId="1247" w:customStyle="1">
    <w:name w:val="Char Char Char Char Char Char Char Char Char Char Char Char Char Char Char Char"/>
    <w:basedOn w:val="850"/>
    <w:uiPriority w:val="0"/>
    <w:qFormat/>
    <w:pPr>
      <w:jc w:val="center"/>
      <w:spacing w:after="160" w:line="240" w:lineRule="exact"/>
      <w:widowControl/>
    </w:pPr>
    <w:rPr>
      <w:rFonts w:ascii="宋体" w:hAnsi="宋体"/>
      <w:b/>
      <w:sz w:val="30"/>
      <w:szCs w:val="30"/>
      <w:lang w:eastAsia="en-US"/>
    </w:rPr>
  </w:style>
  <w:style w:type="paragraph" w:styleId="1248" w:customStyle="1">
    <w:name w:val="xl4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9" w:customStyle="1">
    <w:name w:val="Char Char1 Char Char Char Char Char Char"/>
    <w:basedOn w:val="850"/>
    <w:uiPriority w:val="0"/>
    <w:qFormat/>
    <w:pPr>
      <w:jc w:val="left"/>
      <w:spacing w:after="160" w:line="240" w:lineRule="exact"/>
      <w:widowControl/>
    </w:pPr>
    <w:rPr>
      <w:rFonts w:ascii="Verdana" w:hAnsi="Verdana" w:eastAsia="仿宋_GB2312"/>
      <w:sz w:val="24"/>
      <w:szCs w:val="20"/>
      <w:lang w:eastAsia="en-US"/>
    </w:rPr>
  </w:style>
  <w:style w:type="paragraph" w:styleId="1250" w:customStyle="1">
    <w:name w:val="Char Char1"/>
    <w:basedOn w:val="1140"/>
    <w:uiPriority w:val="0"/>
    <w:qFormat/>
    <w:rPr>
      <w:rFonts w:ascii="Tahoma" w:hAnsi="Tahoma"/>
      <w:sz w:val="24"/>
    </w:rPr>
  </w:style>
  <w:style w:type="paragraph" w:styleId="1251" w:customStyle="1">
    <w:name w:val="xl2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2" w:customStyle="1">
    <w:name w:val="xl30"/>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customStyle="1">
    <w:name w:val="xl4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4" w:customStyle="1">
    <w:name w:val="样式 宋体 五号 行距: 单倍行距"/>
    <w:basedOn w:val="850"/>
    <w:uiPriority w:val="0"/>
    <w:qFormat/>
    <w:pPr>
      <w:jc w:val="left"/>
    </w:pPr>
    <w:rPr>
      <w:rFonts w:ascii="宋体" w:hAnsi="宋体"/>
      <w:szCs w:val="20"/>
    </w:rPr>
  </w:style>
  <w:style w:type="paragraph" w:styleId="1255" w:customStyle="1">
    <w:name w:val="Char1 Char Char Char1"/>
    <w:basedOn w:val="850"/>
    <w:uiPriority w:val="0"/>
    <w:qFormat/>
    <w:rPr>
      <w:rFonts w:ascii="Tahoma" w:hAnsi="Tahoma" w:cs="仿宋_GB2312"/>
      <w:sz w:val="24"/>
      <w:szCs w:val="28"/>
    </w:rPr>
  </w:style>
  <w:style w:type="paragraph" w:styleId="1256" w:customStyle="1">
    <w:name w:val="四级条标题"/>
    <w:basedOn w:val="1257"/>
    <w:next w:val="850"/>
    <w:uiPriority w:val="0"/>
    <w:qFormat/>
    <w:pPr>
      <w:numPr>
        <w:ilvl w:val="4"/>
        <w:numId w:val="0"/>
      </w:numPr>
      <w:ind w:left="0" w:hanging="840"/>
      <w:tabs>
        <w:tab w:val="left" w:pos="360" w:leader="none"/>
        <w:tab w:val="left" w:pos="840" w:leader="none"/>
      </w:tabs>
      <w:outlineLvl w:val="4"/>
    </w:pPr>
  </w:style>
  <w:style w:type="paragraph" w:styleId="1257" w:customStyle="1">
    <w:name w:val="三级条标题"/>
    <w:basedOn w:val="1219"/>
    <w:next w:val="850"/>
    <w:uiPriority w:val="0"/>
    <w:qFormat/>
    <w:pPr>
      <w:numPr>
        <w:ilvl w:val="3"/>
        <w:numId w:val="11"/>
      </w:numPr>
      <w:ind w:left="0" w:hanging="840"/>
      <w:outlineLvl w:val="3"/>
    </w:pPr>
  </w:style>
  <w:style w:type="paragraph" w:styleId="125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59" w:customStyle="1">
    <w:name w:val="样式 标题 2 + 宋体 五号 行距: 单倍行距"/>
    <w:basedOn w:val="1117"/>
    <w:uiPriority w:val="0"/>
    <w:qFormat/>
    <w:pPr>
      <w:numPr>
        <w:ilvl w:val="1"/>
        <w:numId w:val="14"/>
      </w:numPr>
      <w:jc w:val="left"/>
      <w:spacing w:before="260" w:after="260" w:line="240" w:lineRule="auto"/>
    </w:pPr>
    <w:rPr>
      <w:rFonts w:ascii="宋体" w:hAnsi="宋体" w:eastAsia="宋体"/>
      <w:bCs/>
      <w:sz w:val="21"/>
    </w:rPr>
  </w:style>
  <w:style w:type="paragraph" w:styleId="1260" w:customStyle="1">
    <w:name w:val="List Paragraph1"/>
    <w:basedOn w:val="850"/>
    <w:uiPriority w:val="0"/>
    <w:qFormat/>
    <w:pPr>
      <w:ind w:firstLine="420"/>
    </w:pPr>
    <w:rPr>
      <w:rFonts w:ascii="Calibri" w:hAnsi="Calibri"/>
      <w:szCs w:val="22"/>
    </w:rPr>
  </w:style>
  <w:style w:type="paragraph" w:styleId="1261" w:customStyle="1">
    <w:name w:val="项目符号1"/>
    <w:basedOn w:val="1262"/>
    <w:uiPriority w:val="0"/>
    <w:qFormat/>
    <w:pPr>
      <w:ind w:left="-25" w:firstLine="0"/>
    </w:pPr>
  </w:style>
  <w:style w:type="paragraph" w:styleId="1262" w:customStyle="1">
    <w:name w:val="正文文本样式"/>
    <w:basedOn w:val="850"/>
    <w:uiPriority w:val="0"/>
    <w:qFormat/>
    <w:pPr>
      <w:ind w:firstLine="482"/>
      <w:spacing w:line="360" w:lineRule="auto"/>
    </w:pPr>
    <w:rPr>
      <w:rFonts w:cs="宋体"/>
      <w:sz w:val="24"/>
      <w:szCs w:val="20"/>
    </w:rPr>
  </w:style>
  <w:style w:type="paragraph" w:styleId="1263" w:customStyle="1">
    <w:name w:val="xl27"/>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4" w:customStyle="1">
    <w:name w:val="font5"/>
    <w:basedOn w:val="850"/>
    <w:uiPriority w:val="0"/>
    <w:qFormat/>
    <w:pPr>
      <w:jc w:val="left"/>
      <w:spacing w:before="100" w:beforeAutospacing="1" w:after="100" w:afterAutospacing="1"/>
      <w:widowControl/>
    </w:pPr>
    <w:rPr>
      <w:rFonts w:ascii="宋体" w:hAnsi="宋体" w:cs="宋体"/>
      <w:sz w:val="18"/>
      <w:szCs w:val="18"/>
    </w:rPr>
  </w:style>
  <w:style w:type="paragraph" w:styleId="1265" w:customStyle="1">
    <w:name w:val="五级条标题"/>
    <w:basedOn w:val="1256"/>
    <w:next w:val="850"/>
    <w:uiPriority w:val="0"/>
    <w:qFormat/>
    <w:pPr>
      <w:numPr>
        <w:ilvl w:val="5"/>
        <w:numId w:val="0"/>
      </w:numPr>
      <w:ind w:left="0" w:hanging="840"/>
      <w:outlineLvl w:val="5"/>
    </w:pPr>
  </w:style>
  <w:style w:type="paragraph" w:styleId="1266" w:customStyle="1">
    <w:name w:val="xl49"/>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7" w:customStyle="1">
    <w:name w:val="文档正文"/>
    <w:basedOn w:val="850"/>
    <w:uiPriority w:val="0"/>
    <w:qFormat/>
    <w:pPr>
      <w:spacing w:before="120" w:after="120" w:line="180" w:lineRule="auto"/>
    </w:pPr>
    <w:rPr>
      <w:rFonts w:ascii="Arial" w:hAnsi="Arial"/>
      <w:szCs w:val="20"/>
    </w:rPr>
  </w:style>
  <w:style w:type="paragraph" w:styleId="1268" w:customStyle="1">
    <w:name w:val="xl3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9" w:customStyle="1">
    <w:name w:val="xl42"/>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0" w:customStyle="1">
    <w:name w:val="Char Char Char1 Char"/>
    <w:basedOn w:val="850"/>
    <w:uiPriority w:val="0"/>
    <w:qFormat/>
    <w:rPr>
      <w:rFonts w:ascii="Tahoma" w:hAnsi="Tahoma"/>
      <w:sz w:val="24"/>
      <w:szCs w:val="20"/>
    </w:rPr>
  </w:style>
  <w:style w:type="paragraph" w:styleId="1271" w:customStyle="1">
    <w:name w:val="xl44"/>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2" w:customStyle="1">
    <w:name w:val="1名"/>
    <w:basedOn w:val="850"/>
    <w:uiPriority w:val="0"/>
    <w:qFormat/>
    <w:pPr>
      <w:numPr>
        <w:ilvl w:val="0"/>
        <w:numId w:val="15"/>
      </w:numPr>
      <w:spacing w:before="120"/>
    </w:pPr>
    <w:rPr>
      <w:rFonts w:ascii="宋体"/>
      <w:sz w:val="28"/>
      <w:szCs w:val="20"/>
    </w:rPr>
  </w:style>
  <w:style w:type="paragraph" w:styleId="1273" w:customStyle="1">
    <w:name w:val="font9"/>
    <w:basedOn w:val="85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74" w:customStyle="1">
    <w:name w:val="Char Char Char1 Char1"/>
    <w:basedOn w:val="850"/>
    <w:uiPriority w:val="0"/>
    <w:qFormat/>
    <w:rPr>
      <w:rFonts w:ascii="Tahoma" w:hAnsi="Tahoma"/>
      <w:sz w:val="24"/>
      <w:szCs w:val="20"/>
    </w:rPr>
  </w:style>
  <w:style w:type="paragraph" w:styleId="1275" w:customStyle="1">
    <w:name w:val="Char Char Char Char Char Char Char Char Char Char"/>
    <w:basedOn w:val="850"/>
    <w:uiPriority w:val="0"/>
    <w:qFormat/>
  </w:style>
  <w:style w:type="paragraph" w:styleId="1276" w:customStyle="1">
    <w:name w:val="Char Char1 Char Char Char Char Char Char Char Char"/>
    <w:basedOn w:val="850"/>
    <w:uiPriority w:val="0"/>
    <w:qFormat/>
    <w:pPr>
      <w:jc w:val="left"/>
      <w:spacing w:after="160" w:line="240" w:lineRule="exact"/>
      <w:widowControl/>
    </w:pPr>
    <w:rPr>
      <w:rFonts w:ascii="Verdana" w:hAnsi="Verdana"/>
      <w:sz w:val="20"/>
      <w:szCs w:val="20"/>
      <w:lang w:eastAsia="en-US"/>
    </w:rPr>
  </w:style>
  <w:style w:type="paragraph" w:styleId="1277" w:customStyle="1">
    <w:name w:val="Char1"/>
    <w:basedOn w:val="850"/>
    <w:uiPriority w:val="0"/>
    <w:qFormat/>
    <w:pPr>
      <w:tabs>
        <w:tab w:val="left" w:pos="360" w:leader="none"/>
      </w:tabs>
    </w:pPr>
    <w:rPr>
      <w:sz w:val="24"/>
    </w:rPr>
  </w:style>
  <w:style w:type="paragraph" w:styleId="1278" w:customStyle="1">
    <w:name w:val="正文列项_字母"/>
    <w:basedOn w:val="850"/>
    <w:uiPriority w:val="0"/>
    <w:qFormat/>
    <w:pPr>
      <w:numPr>
        <w:ilvl w:val="6"/>
        <w:numId w:val="11"/>
      </w:numPr>
      <w:ind w:left="480" w:hanging="180"/>
      <w:spacing w:line="460" w:lineRule="exact"/>
      <w:tabs>
        <w:tab w:val="clear" w:pos="635" w:leader="none"/>
      </w:tabs>
      <w:outlineLvl w:val="6"/>
    </w:pPr>
    <w:rPr>
      <w:rFonts w:ascii="宋体"/>
      <w:sz w:val="28"/>
      <w:szCs w:val="20"/>
    </w:rPr>
  </w:style>
  <w:style w:type="paragraph" w:styleId="1279" w:customStyle="1">
    <w:name w:val="xl2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0" w:customStyle="1">
    <w:name w:val="xl47"/>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1" w:customStyle="1">
    <w:name w:val="默认段落字体 Para Char Char Char Char"/>
    <w:basedOn w:val="850"/>
    <w:uiPriority w:val="0"/>
    <w:qFormat/>
    <w:rPr>
      <w:rFonts w:ascii="Arial" w:hAnsi="Arial" w:cs="Arial"/>
      <w:szCs w:val="21"/>
    </w:rPr>
  </w:style>
  <w:style w:type="paragraph" w:styleId="1282" w:customStyle="1">
    <w:name w:val="xl4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3" w:customStyle="1">
    <w:name w:val="xl31"/>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4" w:customStyle="1">
    <w:name w:val="xl5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5" w:customStyle="1">
    <w:name w:val="Char Char Char"/>
    <w:basedOn w:val="850"/>
    <w:uiPriority w:val="0"/>
    <w:qFormat/>
    <w:rPr>
      <w:rFonts w:ascii="Tahoma" w:hAnsi="Tahoma"/>
      <w:sz w:val="24"/>
      <w:szCs w:val="20"/>
    </w:rPr>
  </w:style>
  <w:style w:type="paragraph" w:styleId="1286" w:customStyle="1">
    <w:name w:val="xl50"/>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7" w:customStyle="1">
    <w:name w:val="缺省文本"/>
    <w:basedOn w:val="850"/>
    <w:uiPriority w:val="0"/>
    <w:qFormat/>
    <w:pPr>
      <w:jc w:val="left"/>
    </w:pPr>
    <w:rPr>
      <w:sz w:val="24"/>
    </w:rPr>
  </w:style>
  <w:style w:type="paragraph" w:styleId="1288" w:customStyle="1">
    <w:name w:val="Char Char Char1"/>
    <w:basedOn w:val="850"/>
    <w:uiPriority w:val="0"/>
    <w:qFormat/>
    <w:rPr>
      <w:rFonts w:ascii="Tahoma" w:hAnsi="Tahoma"/>
      <w:sz w:val="24"/>
      <w:szCs w:val="20"/>
    </w:rPr>
  </w:style>
  <w:style w:type="paragraph" w:styleId="1289" w:customStyle="1">
    <w:name w:val="Char Char Char Char Char Char Char1"/>
    <w:basedOn w:val="850"/>
    <w:uiPriority w:val="0"/>
    <w:qFormat/>
    <w:pPr>
      <w:ind w:firstLine="200"/>
      <w:spacing w:line="360" w:lineRule="auto"/>
    </w:pPr>
    <w:rPr>
      <w:rFonts w:eastAsia="仿宋_GB2312"/>
      <w:sz w:val="24"/>
    </w:rPr>
  </w:style>
  <w:style w:type="paragraph" w:styleId="1290" w:customStyle="1">
    <w:name w:val="xl51"/>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1" w:customStyle="1">
    <w:name w:val="样式2"/>
    <w:basedOn w:val="1178"/>
    <w:uiPriority w:val="0"/>
    <w:qFormat/>
    <w:pPr>
      <w:jc w:val="center"/>
      <w:spacing w:line="360" w:lineRule="auto"/>
    </w:pPr>
    <w:rPr>
      <w:sz w:val="24"/>
    </w:rPr>
  </w:style>
  <w:style w:type="paragraph" w:styleId="1292" w:customStyle="1">
    <w:name w:val="xl2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3" w:customStyle="1">
    <w:name w:val="xl2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4" w:customStyle="1">
    <w:name w:val="正文 + 楷体_GB2312"/>
    <w:basedOn w:val="850"/>
    <w:uiPriority w:val="0"/>
    <w:qFormat/>
    <w:pPr>
      <w:jc w:val="left"/>
      <w:widowControl/>
    </w:pPr>
    <w:rPr>
      <w:rFonts w:ascii="楷体_GB2312" w:eastAsia="楷体_GB2312" w:cs="Arial"/>
      <w:sz w:val="24"/>
    </w:rPr>
  </w:style>
  <w:style w:type="paragraph" w:styleId="1295" w:customStyle="1">
    <w:name w:val="xl34"/>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6" w:customStyle="1">
    <w:name w:val="1 Char Char Char Char"/>
    <w:basedOn w:val="850"/>
    <w:uiPriority w:val="0"/>
    <w:qFormat/>
    <w:rPr>
      <w:rFonts w:ascii="Tahoma" w:hAnsi="Tahoma"/>
      <w:sz w:val="24"/>
      <w:szCs w:val="20"/>
    </w:rPr>
  </w:style>
  <w:style w:type="paragraph" w:styleId="1297" w:customStyle="1">
    <w:name w:val="列出段落1"/>
    <w:basedOn w:val="850"/>
    <w:uiPriority w:val="0"/>
    <w:qFormat/>
    <w:pPr>
      <w:ind w:firstLine="420"/>
    </w:pPr>
    <w:rPr>
      <w:rFonts w:ascii="Calibri" w:hAnsi="Calibri"/>
      <w:szCs w:val="22"/>
    </w:rPr>
  </w:style>
  <w:style w:type="paragraph" w:styleId="1298" w:customStyle="1">
    <w:name w:val="default"/>
    <w:basedOn w:val="850"/>
    <w:uiPriority w:val="0"/>
    <w:qFormat/>
    <w:pPr>
      <w:jc w:val="left"/>
      <w:spacing w:before="100" w:beforeAutospacing="1" w:after="100" w:afterAutospacing="1"/>
      <w:widowControl/>
    </w:pPr>
    <w:rPr>
      <w:rFonts w:ascii="宋体" w:hAnsi="宋体" w:cs="宋体"/>
      <w:sz w:val="24"/>
    </w:rPr>
  </w:style>
  <w:style w:type="paragraph" w:styleId="1299" w:customStyle="1">
    <w:name w:val="字元 字元1"/>
    <w:basedOn w:val="850"/>
    <w:uiPriority w:val="0"/>
    <w:qFormat/>
    <w:rPr>
      <w:rFonts w:ascii="Tahoma" w:hAnsi="Tahoma"/>
      <w:sz w:val="24"/>
      <w:szCs w:val="20"/>
    </w:rPr>
  </w:style>
  <w:style w:type="paragraph" w:styleId="1300" w:customStyle="1">
    <w:name w:val="_Style 160"/>
    <w:uiPriority w:val="0"/>
    <w:qFormat/>
    <w:rPr>
      <w:rFonts w:hint="default" w:ascii="Times New Roman" w:hAnsi="Times New Roman" w:eastAsia="宋体" w:cs="Times New Roman"/>
      <w:sz w:val="21"/>
      <w:szCs w:val="24"/>
      <w:lang w:val="en-US" w:eastAsia="zh-CN" w:bidi="ar-SA"/>
    </w:rPr>
  </w:style>
  <w:style w:type="paragraph" w:styleId="1301" w:customStyle="1">
    <w:name w:val="项目编号3"/>
    <w:basedOn w:val="1262"/>
    <w:uiPriority w:val="0"/>
    <w:qFormat/>
    <w:pPr>
      <w:numPr>
        <w:ilvl w:val="0"/>
        <w:numId w:val="16"/>
      </w:numPr>
    </w:pPr>
  </w:style>
  <w:style w:type="paragraph" w:styleId="1302" w:customStyle="1">
    <w:name w:val="Char21"/>
    <w:basedOn w:val="850"/>
    <w:uiPriority w:val="0"/>
    <w:qFormat/>
    <w:rPr>
      <w:rFonts w:ascii="Tahoma" w:hAnsi="Tahoma"/>
      <w:sz w:val="24"/>
      <w:szCs w:val="20"/>
    </w:rPr>
  </w:style>
  <w:style w:type="paragraph" w:styleId="1303" w:customStyle="1">
    <w:name w:val="表格文字"/>
    <w:basedOn w:val="1148"/>
    <w:uiPriority w:val="0"/>
    <w:qFormat/>
    <w:pPr>
      <w:ind w:firstLine="0"/>
      <w:spacing w:before="20" w:after="20" w:line="240" w:lineRule="auto"/>
    </w:pPr>
    <w:rPr>
      <w:rFonts w:ascii="Century Gothic" w:hAnsi="Century Gothic"/>
      <w:sz w:val="20"/>
      <w:szCs w:val="20"/>
    </w:rPr>
  </w:style>
  <w:style w:type="paragraph" w:styleId="1304" w:customStyle="1">
    <w:name w:val="Char Char Char Char Char Char Char Char Char Char1"/>
    <w:basedOn w:val="850"/>
    <w:uiPriority w:val="0"/>
    <w:qFormat/>
    <w:rPr>
      <w:rFonts w:ascii="宋体" w:hAnsi="宋体" w:cs="Courier New"/>
      <w:sz w:val="32"/>
      <w:szCs w:val="32"/>
    </w:rPr>
  </w:style>
  <w:style w:type="paragraph" w:styleId="1305" w:customStyle="1">
    <w:name w:val="正文文本样式 加粗"/>
    <w:basedOn w:val="1262"/>
    <w:uiPriority w:val="0"/>
    <w:qFormat/>
    <w:rPr>
      <w:b/>
    </w:rPr>
  </w:style>
  <w:style w:type="paragraph" w:styleId="1306" w:customStyle="1">
    <w:name w:val="Char2 Char Char Char Char Char Char"/>
    <w:basedOn w:val="850"/>
    <w:uiPriority w:val="0"/>
    <w:qFormat/>
    <w:pPr>
      <w:jc w:val="center"/>
      <w:spacing w:line="400" w:lineRule="exact"/>
      <w:widowControl/>
    </w:pPr>
  </w:style>
  <w:style w:type="paragraph" w:styleId="1307" w:customStyle="1">
    <w:name w:val="Char Char4"/>
    <w:basedOn w:val="850"/>
    <w:uiPriority w:val="0"/>
    <w:qFormat/>
    <w:pPr>
      <w:jc w:val="center"/>
      <w:spacing w:line="400" w:lineRule="exact"/>
      <w:widowControl/>
    </w:pPr>
  </w:style>
  <w:style w:type="paragraph" w:styleId="1308" w:customStyle="1">
    <w:name w:val="Char3 Char Char Char1"/>
    <w:basedOn w:val="850"/>
    <w:uiPriority w:val="0"/>
    <w:qFormat/>
    <w:rPr>
      <w:rFonts w:ascii="Tahoma" w:hAnsi="Tahoma"/>
      <w:sz w:val="24"/>
      <w:szCs w:val="20"/>
    </w:rPr>
  </w:style>
  <w:style w:type="paragraph" w:styleId="1309"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22222222222222"/>
    <w:basedOn w:val="850"/>
    <w:uiPriority w:val="0"/>
    <w:qFormat/>
    <w:pPr>
      <w:ind w:firstLine="480"/>
      <w:jc w:val="left"/>
      <w:spacing w:line="360" w:lineRule="auto"/>
      <w:widowControl/>
    </w:pPr>
    <w:rPr>
      <w:color w:val="ff0000"/>
      <w:sz w:val="24"/>
      <w:szCs w:val="20"/>
    </w:rPr>
  </w:style>
  <w:style w:type="character" w:styleId="1311" w:customStyle="1">
    <w:name w:val="中等深浅网格 1 - 强调文字颜色 2 Char"/>
    <w:link w:val="1312"/>
    <w:uiPriority w:val="0"/>
    <w:qFormat/>
    <w:rPr>
      <w:sz w:val="21"/>
      <w:szCs w:val="24"/>
      <w:lang w:val="zh-CN" w:eastAsia="zh-CN" w:bidi="ar-SA"/>
    </w:rPr>
  </w:style>
  <w:style w:type="paragraph" w:styleId="1312" w:customStyle="1">
    <w:name w:val="1"/>
    <w:link w:val="1311"/>
    <w:uiPriority w:val="0"/>
    <w:qFormat/>
    <w:rPr>
      <w:rFonts w:hint="default" w:ascii="Times New Roman" w:hAnsi="Times New Roman" w:eastAsia="宋体" w:cs="Times New Roman"/>
      <w:sz w:val="21"/>
      <w:szCs w:val="24"/>
      <w:lang w:val="zh-CN" w:eastAsia="zh-CN" w:bidi="ar-SA"/>
    </w:rPr>
  </w:style>
  <w:style w:type="paragraph" w:styleId="1313" w:customStyle="1">
    <w:name w:val="图文"/>
    <w:basedOn w:val="850"/>
    <w:uiPriority w:val="0"/>
    <w:qFormat/>
    <w:pPr>
      <w:spacing w:after="50" w:line="360" w:lineRule="auto"/>
    </w:pPr>
    <w:rPr>
      <w:sz w:val="24"/>
    </w:rPr>
  </w:style>
  <w:style w:type="paragraph" w:styleId="1314" w:customStyle="1">
    <w:name w:val="xl23"/>
    <w:basedOn w:val="850"/>
    <w:uiPriority w:val="0"/>
    <w:qFormat/>
    <w:pPr>
      <w:spacing w:before="100" w:beforeAutospacing="1" w:after="100" w:afterAutospacing="1" w:line="360" w:lineRule="auto"/>
      <w:widowControl/>
    </w:pPr>
    <w:rPr>
      <w:sz w:val="24"/>
      <w:szCs w:val="20"/>
    </w:rPr>
  </w:style>
  <w:style w:type="paragraph" w:styleId="1315" w:customStyle="1">
    <w:name w:val="正文表格"/>
    <w:basedOn w:val="850"/>
    <w:link w:val="1316"/>
    <w:uiPriority w:val="0"/>
    <w:qFormat/>
    <w:pPr>
      <w:jc w:val="left"/>
    </w:pPr>
    <w:rPr>
      <w:rFonts w:ascii="宋体" w:hAnsi="宋体"/>
      <w:color w:val="000000"/>
      <w:szCs w:val="21"/>
    </w:rPr>
  </w:style>
  <w:style w:type="character" w:styleId="1316" w:customStyle="1">
    <w:name w:val="正文表格 Char"/>
    <w:link w:val="1315"/>
    <w:uiPriority w:val="0"/>
    <w:qFormat/>
    <w:rPr>
      <w:rFonts w:ascii="宋体" w:hAnsi="宋体"/>
      <w:color w:val="000000"/>
      <w:sz w:val="21"/>
      <w:szCs w:val="21"/>
    </w:rPr>
  </w:style>
  <w:style w:type="paragraph" w:styleId="1317" w:customStyle="1">
    <w:name w:val="正文重点"/>
    <w:basedOn w:val="850"/>
    <w:link w:val="1318"/>
    <w:uiPriority w:val="0"/>
    <w:qFormat/>
    <w:pPr>
      <w:ind w:firstLine="482"/>
      <w:jc w:val="left"/>
      <w:spacing w:line="360" w:lineRule="auto"/>
    </w:pPr>
    <w:rPr>
      <w:b/>
      <w:sz w:val="24"/>
      <w:szCs w:val="20"/>
    </w:rPr>
  </w:style>
  <w:style w:type="character" w:styleId="1318" w:customStyle="1">
    <w:name w:val="正文重点 Char"/>
    <w:link w:val="1317"/>
    <w:uiPriority w:val="0"/>
    <w:qFormat/>
    <w:rPr>
      <w:b/>
      <w:sz w:val="24"/>
    </w:rPr>
  </w:style>
  <w:style w:type="paragraph" w:styleId="1319" w:customStyle="1">
    <w:name w:val="标题1-附件"/>
    <w:basedOn w:val="1116"/>
    <w:uiPriority w:val="0"/>
    <w:qFormat/>
    <w:pPr>
      <w:jc w:val="left"/>
    </w:pPr>
    <w:rPr>
      <w:sz w:val="24"/>
      <w:szCs w:val="24"/>
    </w:rPr>
  </w:style>
  <w:style w:type="paragraph" w:styleId="1320" w:customStyle="1">
    <w:name w:val="正文小标题"/>
    <w:basedOn w:val="850"/>
    <w:next w:val="1137"/>
    <w:link w:val="1321"/>
    <w:uiPriority w:val="0"/>
    <w:qFormat/>
    <w:pPr>
      <w:ind w:firstLine="482"/>
      <w:jc w:val="left"/>
      <w:spacing w:before="312" w:after="312"/>
    </w:pPr>
    <w:rPr>
      <w:rFonts w:ascii="宋体" w:hAnsi="宋体"/>
      <w:b/>
      <w:i/>
      <w:color w:val="ff0000"/>
      <w:sz w:val="24"/>
      <w:szCs w:val="20"/>
    </w:rPr>
  </w:style>
  <w:style w:type="character" w:styleId="1321" w:customStyle="1">
    <w:name w:val="正文小标题 Char"/>
    <w:link w:val="1320"/>
    <w:uiPriority w:val="0"/>
    <w:qFormat/>
    <w:rPr>
      <w:rFonts w:ascii="宋体" w:hAnsi="宋体"/>
      <w:b/>
      <w:i/>
      <w:color w:val="ff0000"/>
      <w:sz w:val="24"/>
    </w:rPr>
  </w:style>
  <w:style w:type="paragraph" w:styleId="1322" w:customStyle="1">
    <w:name w:val="正文大标题"/>
    <w:basedOn w:val="1320"/>
    <w:next w:val="1137"/>
    <w:link w:val="1323"/>
    <w:uiPriority w:val="0"/>
    <w:qFormat/>
    <w:pPr>
      <w:jc w:val="center"/>
    </w:pPr>
    <w:rPr>
      <w:i w:val="0"/>
      <w:color w:val="000000"/>
      <w:sz w:val="28"/>
      <w:szCs w:val="21"/>
    </w:rPr>
  </w:style>
  <w:style w:type="character" w:styleId="1323" w:customStyle="1">
    <w:name w:val="正文大标题 Char"/>
    <w:link w:val="1322"/>
    <w:uiPriority w:val="0"/>
    <w:qFormat/>
    <w:rPr>
      <w:rFonts w:ascii="宋体" w:hAnsi="宋体"/>
      <w:b/>
      <w:color w:val="000000"/>
      <w:sz w:val="28"/>
      <w:szCs w:val="21"/>
    </w:rPr>
  </w:style>
  <w:style w:type="paragraph" w:styleId="1324" w:customStyle="1">
    <w:name w:val="注释"/>
    <w:basedOn w:val="850"/>
    <w:link w:val="1325"/>
    <w:uiPriority w:val="0"/>
    <w:qFormat/>
    <w:pPr>
      <w:ind w:left="420" w:hanging="420"/>
      <w:jc w:val="left"/>
    </w:pPr>
    <w:rPr>
      <w:rFonts w:ascii="宋体" w:hAnsi="宋体"/>
      <w:szCs w:val="21"/>
    </w:rPr>
  </w:style>
  <w:style w:type="character" w:styleId="1325" w:customStyle="1">
    <w:name w:val="注释 Char"/>
    <w:link w:val="1324"/>
    <w:uiPriority w:val="0"/>
    <w:qFormat/>
    <w:rPr>
      <w:rFonts w:ascii="宋体" w:hAnsi="宋体"/>
      <w:sz w:val="21"/>
      <w:szCs w:val="21"/>
    </w:rPr>
  </w:style>
  <w:style w:type="paragraph" w:styleId="1326" w:customStyle="1">
    <w:name w:val="正文须知-1级"/>
    <w:basedOn w:val="850"/>
    <w:next w:val="850"/>
    <w:uiPriority w:val="0"/>
    <w:qFormat/>
    <w:pPr>
      <w:numPr>
        <w:ilvl w:val="0"/>
        <w:numId w:val="17"/>
      </w:numPr>
      <w:spacing w:line="300" w:lineRule="auto"/>
    </w:pPr>
    <w:rPr>
      <w:rFonts w:ascii="宋体" w:hAnsi="Calibri"/>
      <w:sz w:val="24"/>
      <w:szCs w:val="21"/>
    </w:rPr>
  </w:style>
  <w:style w:type="paragraph" w:styleId="1327" w:customStyle="1">
    <w:name w:val="正文须知-2级"/>
    <w:basedOn w:val="850"/>
    <w:uiPriority w:val="0"/>
    <w:qFormat/>
    <w:pPr>
      <w:numPr>
        <w:ilvl w:val="1"/>
        <w:numId w:val="17"/>
      </w:numPr>
      <w:spacing w:line="300" w:lineRule="auto"/>
    </w:pPr>
    <w:rPr>
      <w:rFonts w:ascii="宋体" w:hAnsi="Calibri"/>
      <w:sz w:val="24"/>
      <w:szCs w:val="21"/>
    </w:rPr>
  </w:style>
  <w:style w:type="paragraph" w:styleId="1328" w:customStyle="1">
    <w:name w:val="正文须知-3级"/>
    <w:basedOn w:val="850"/>
    <w:uiPriority w:val="0"/>
    <w:qFormat/>
    <w:pPr>
      <w:numPr>
        <w:ilvl w:val="2"/>
        <w:numId w:val="17"/>
      </w:numPr>
      <w:ind w:hanging="355"/>
      <w:spacing w:line="300" w:lineRule="auto"/>
    </w:pPr>
    <w:rPr>
      <w:rFonts w:ascii="宋体" w:hAnsi="Calibri"/>
      <w:sz w:val="24"/>
      <w:szCs w:val="21"/>
    </w:rPr>
  </w:style>
  <w:style w:type="character" w:styleId="1329" w:customStyle="1">
    <w:name w:val="纯文本 字符"/>
    <w:uiPriority w:val="99"/>
    <w:qFormat/>
    <w:rPr>
      <w:rFonts w:ascii="宋体" w:hAnsi="Courier New" w:eastAsia="宋体" w:cs="Times New Roman"/>
      <w:sz w:val="21"/>
      <w:szCs w:val="21"/>
      <w:lang w:val="en-US" w:eastAsia="zh-CN" w:bidi="ar-SA"/>
    </w:rPr>
  </w:style>
  <w:style w:type="paragraph" w:styleId="1330" w:customStyle="1">
    <w:name w:val="表格1"/>
    <w:basedOn w:val="850"/>
    <w:uiPriority w:val="0"/>
    <w:qFormat/>
    <w:pPr>
      <w:ind w:firstLine="480"/>
      <w:jc w:val="center"/>
    </w:pPr>
    <w:rPr>
      <w:sz w:val="24"/>
      <w:szCs w:val="20"/>
    </w:rPr>
  </w:style>
  <w:style w:type="character" w:styleId="1331" w:customStyle="1">
    <w:name w:val="纯文本 字符1"/>
    <w:uiPriority w:val="0"/>
    <w:qFormat/>
    <w:rPr>
      <w:rFonts w:ascii="宋体" w:hAnsi="Courier New"/>
    </w:rPr>
  </w:style>
  <w:style w:type="character" w:styleId="1332" w:customStyle="1">
    <w:name w:val="bjh-p"/>
    <w:uiPriority w:val="0"/>
    <w:qFormat/>
  </w:style>
  <w:style w:type="paragraph" w:styleId="1333" w:customStyle="1">
    <w:name w:val="无标题条"/>
    <w:next w:val="850"/>
    <w:uiPriority w:val="0"/>
    <w:qFormat/>
    <w:pPr>
      <w:jc w:val="both"/>
    </w:pPr>
    <w:rPr>
      <w:rFonts w:hint="default" w:ascii="Times New Roman" w:hAnsi="Times New Roman" w:eastAsia="宋体" w:cs="Times New Roman"/>
      <w:sz w:val="21"/>
      <w:lang w:val="en-US" w:eastAsia="zh-CN" w:bidi="ar-SA"/>
    </w:rPr>
  </w:style>
  <w:style w:type="character" w:styleId="1334" w:customStyle="1">
    <w:name w:val="正文格式 Char"/>
    <w:link w:val="1335"/>
    <w:uiPriority w:val="0"/>
    <w:qFormat/>
    <w:rPr>
      <w:rFonts w:ascii="宋体" w:hAnsi="宋体"/>
      <w:sz w:val="24"/>
      <w:szCs w:val="24"/>
      <w:lang w:val="en-GB"/>
    </w:rPr>
  </w:style>
  <w:style w:type="paragraph" w:styleId="1335" w:customStyle="1">
    <w:name w:val="正文格式"/>
    <w:basedOn w:val="850"/>
    <w:link w:val="1334"/>
    <w:uiPriority w:val="0"/>
    <w:qFormat/>
    <w:pPr>
      <w:ind w:firstLine="480"/>
      <w:spacing w:line="360" w:lineRule="auto"/>
    </w:pPr>
    <w:rPr>
      <w:rFonts w:ascii="宋体" w:hAnsi="宋体"/>
      <w:sz w:val="24"/>
      <w:lang w:val="en-GB"/>
    </w:rPr>
  </w:style>
  <w:style w:type="character" w:styleId="1336" w:customStyle="1">
    <w:name w:val="标题 3 Char"/>
    <w:link w:val="853"/>
    <w:uiPriority w:val="0"/>
    <w:qFormat/>
    <w:rPr>
      <w:b/>
      <w:sz w:val="32"/>
    </w:rPr>
  </w:style>
  <w:style w:type="character" w:styleId="1337" w:customStyle="1">
    <w:name w:val="正文缩进 Char"/>
    <w:uiPriority w:val="0"/>
    <w:qFormat/>
    <w:rPr>
      <w:rFonts w:ascii="宋体" w:eastAsia="宋体"/>
      <w:sz w:val="24"/>
      <w:szCs w:val="24"/>
      <w:lang w:val="en-US" w:eastAsia="zh-CN" w:bidi="ar-SA"/>
    </w:rPr>
  </w:style>
  <w:style w:type="character" w:styleId="1338" w:customStyle="1">
    <w:name w:val="Char Char111"/>
    <w:uiPriority w:val="0"/>
    <w:qFormat/>
    <w:rPr>
      <w:rFonts w:ascii="宋体" w:eastAsia="宋体"/>
      <w:b/>
      <w:sz w:val="24"/>
      <w:u w:val="single"/>
      <w:lang w:val="en-US" w:eastAsia="zh-CN" w:bidi="ar-SA"/>
    </w:rPr>
  </w:style>
  <w:style w:type="character" w:styleId="1339" w:customStyle="1">
    <w:name w:val="正文文本缩进 Char"/>
    <w:uiPriority w:val="0"/>
    <w:qFormat/>
    <w:rPr>
      <w:rFonts w:eastAsia="宋体"/>
      <w:sz w:val="24"/>
      <w:szCs w:val="24"/>
      <w:lang w:val="en-US" w:eastAsia="zh-CN" w:bidi="ar-SA"/>
    </w:rPr>
  </w:style>
  <w:style w:type="character" w:styleId="1340" w:customStyle="1">
    <w:name w:val="列出段落 Char"/>
    <w:uiPriority w:val="0"/>
    <w:qFormat/>
    <w:rPr>
      <w:rFonts w:ascii="Calibri" w:hAnsi="Calibri" w:eastAsia="宋体"/>
      <w:sz w:val="21"/>
      <w:szCs w:val="22"/>
      <w:lang w:val="en-US" w:eastAsia="zh-CN" w:bidi="ar-SA"/>
    </w:rPr>
  </w:style>
  <w:style w:type="character" w:styleId="1341" w:customStyle="1">
    <w:name w:val="页眉 Char"/>
    <w:uiPriority w:val="0"/>
    <w:qFormat/>
    <w:rPr>
      <w:rFonts w:eastAsia="宋体"/>
      <w:sz w:val="18"/>
      <w:szCs w:val="18"/>
      <w:lang w:val="en-US" w:eastAsia="zh-CN" w:bidi="ar-SA"/>
    </w:rPr>
  </w:style>
  <w:style w:type="character" w:styleId="1342" w:customStyle="1">
    <w:name w:val="标题 2 Char"/>
    <w:uiPriority w:val="0"/>
    <w:qFormat/>
    <w:rPr>
      <w:rFonts w:ascii="Arial" w:hAnsi="Arial" w:eastAsia="黑体"/>
      <w:b/>
      <w:sz w:val="30"/>
      <w:lang w:val="en-US" w:eastAsia="zh-CN" w:bidi="ar-SA"/>
    </w:rPr>
  </w:style>
  <w:style w:type="paragraph" w:styleId="1343" w:customStyle="1">
    <w:name w:val="字元 字元2"/>
    <w:basedOn w:val="850"/>
    <w:uiPriority w:val="0"/>
    <w:qFormat/>
    <w:rPr>
      <w:rFonts w:ascii="Tahoma" w:hAnsi="Tahoma"/>
      <w:sz w:val="24"/>
      <w:szCs w:val="20"/>
    </w:rPr>
  </w:style>
  <w:style w:type="paragraph" w:styleId="1344" w:customStyle="1">
    <w:name w:val="Char3 Char Char Char2"/>
    <w:basedOn w:val="850"/>
    <w:uiPriority w:val="0"/>
    <w:qFormat/>
    <w:rPr>
      <w:rFonts w:ascii="Tahoma" w:hAnsi="Tahoma"/>
      <w:sz w:val="24"/>
      <w:szCs w:val="20"/>
    </w:rPr>
  </w:style>
  <w:style w:type="paragraph" w:styleId="1345" w:customStyle="1">
    <w:name w:val="正文文本缩进2"/>
    <w:basedOn w:val="850"/>
    <w:uiPriority w:val="0"/>
    <w:qFormat/>
    <w:pPr>
      <w:ind w:firstLine="480"/>
      <w:spacing w:line="480" w:lineRule="exact"/>
    </w:pPr>
    <w:rPr>
      <w:rFonts w:ascii="宋体" w:hAnsi="宋体"/>
      <w:sz w:val="24"/>
      <w:lang w:val="zh-CN"/>
    </w:rPr>
  </w:style>
  <w:style w:type="paragraph" w:styleId="1346" w:customStyle="1">
    <w:name w:val="Char3"/>
    <w:basedOn w:val="850"/>
    <w:uiPriority w:val="0"/>
    <w:qFormat/>
    <w:pPr>
      <w:tabs>
        <w:tab w:val="left" w:pos="360" w:leader="none"/>
      </w:tabs>
    </w:pPr>
    <w:rPr>
      <w:sz w:val="24"/>
    </w:rPr>
  </w:style>
  <w:style w:type="paragraph" w:styleId="1347" w:customStyle="1">
    <w:name w:val="Char Char Char Char Char Char Char Char Char Char Char Char Char Char Char Char1"/>
    <w:basedOn w:val="850"/>
    <w:uiPriority w:val="0"/>
    <w:qFormat/>
    <w:pPr>
      <w:jc w:val="center"/>
      <w:spacing w:after="160" w:line="240" w:lineRule="exact"/>
      <w:widowControl/>
    </w:pPr>
    <w:rPr>
      <w:rFonts w:ascii="宋体" w:hAnsi="宋体"/>
      <w:b/>
      <w:sz w:val="30"/>
      <w:szCs w:val="30"/>
      <w:lang w:eastAsia="en-US"/>
    </w:rPr>
  </w:style>
  <w:style w:type="paragraph" w:styleId="1348" w:customStyle="1">
    <w:name w:val="Char Char1 Char Char Char Char Char Char1"/>
    <w:basedOn w:val="850"/>
    <w:uiPriority w:val="0"/>
    <w:qFormat/>
    <w:pPr>
      <w:jc w:val="left"/>
      <w:spacing w:after="160" w:line="240" w:lineRule="exact"/>
      <w:widowControl/>
    </w:pPr>
    <w:rPr>
      <w:rFonts w:ascii="Verdana" w:hAnsi="Verdana" w:eastAsia="仿宋_GB2312"/>
      <w:sz w:val="24"/>
      <w:szCs w:val="20"/>
      <w:lang w:eastAsia="en-US"/>
    </w:rPr>
  </w:style>
  <w:style w:type="paragraph" w:styleId="1349" w:customStyle="1">
    <w:name w:val="列出段落2"/>
    <w:basedOn w:val="850"/>
    <w:uiPriority w:val="0"/>
    <w:qFormat/>
    <w:pPr>
      <w:ind w:firstLine="420"/>
    </w:pPr>
    <w:rPr>
      <w:rFonts w:ascii="Calibri" w:hAnsi="Calibri"/>
      <w:szCs w:val="22"/>
    </w:rPr>
  </w:style>
  <w:style w:type="paragraph" w:styleId="1350" w:customStyle="1">
    <w:name w:val="Char Char Char1 Char2"/>
    <w:basedOn w:val="850"/>
    <w:uiPriority w:val="0"/>
    <w:qFormat/>
    <w:rPr>
      <w:rFonts w:ascii="Tahoma" w:hAnsi="Tahoma"/>
      <w:sz w:val="24"/>
      <w:szCs w:val="20"/>
    </w:rPr>
  </w:style>
  <w:style w:type="paragraph" w:styleId="1351" w:customStyle="1">
    <w:name w:val="Char Char Char2"/>
    <w:basedOn w:val="850"/>
    <w:uiPriority w:val="0"/>
    <w:qFormat/>
    <w:rPr>
      <w:rFonts w:ascii="Tahoma" w:hAnsi="Tahoma"/>
      <w:sz w:val="24"/>
      <w:szCs w:val="20"/>
    </w:rPr>
  </w:style>
  <w:style w:type="paragraph" w:styleId="1352" w:customStyle="1">
    <w:name w:val="Char Char Char Char Char Char Char2"/>
    <w:basedOn w:val="850"/>
    <w:uiPriority w:val="0"/>
    <w:qFormat/>
    <w:pPr>
      <w:ind w:firstLine="200"/>
      <w:spacing w:line="360" w:lineRule="auto"/>
    </w:pPr>
    <w:rPr>
      <w:rFonts w:eastAsia="仿宋_GB2312"/>
      <w:sz w:val="24"/>
    </w:rPr>
  </w:style>
  <w:style w:type="paragraph" w:styleId="1353" w:customStyle="1">
    <w:name w:val="正文缩进2"/>
    <w:basedOn w:val="850"/>
    <w:uiPriority w:val="0"/>
    <w:qFormat/>
    <w:pPr>
      <w:ind w:firstLine="567"/>
      <w:spacing w:line="480" w:lineRule="exact"/>
      <w:widowControl/>
    </w:pPr>
    <w:rPr>
      <w:rFonts w:ascii="宋体"/>
      <w:color w:val="000000"/>
      <w:sz w:val="28"/>
      <w:szCs w:val="20"/>
      <w:lang w:val="zh-CN"/>
    </w:rPr>
  </w:style>
  <w:style w:type="paragraph" w:styleId="1354" w:customStyle="1">
    <w:name w:val="修订1"/>
    <w:uiPriority w:val="0"/>
    <w:qFormat/>
    <w:rPr>
      <w:rFonts w:hint="default" w:ascii="Times New Roman" w:hAnsi="Times New Roman" w:eastAsia="宋体" w:cs="Times New Roman"/>
      <w:sz w:val="21"/>
      <w:szCs w:val="24"/>
      <w:lang w:val="en-US" w:eastAsia="zh-CN" w:bidi="ar-SA"/>
    </w:rPr>
  </w:style>
  <w:style w:type="paragraph" w:styleId="1355" w:customStyle="1">
    <w:name w:val="Char22"/>
    <w:basedOn w:val="850"/>
    <w:uiPriority w:val="0"/>
    <w:qFormat/>
    <w:rPr>
      <w:rFonts w:ascii="Tahoma" w:hAnsi="Tahoma"/>
      <w:sz w:val="24"/>
      <w:szCs w:val="20"/>
    </w:rPr>
  </w:style>
  <w:style w:type="paragraph" w:styleId="1356" w:customStyle="1">
    <w:name w:val="Char Char Char Char Char Char Char Char Char Char2"/>
    <w:basedOn w:val="850"/>
    <w:uiPriority w:val="0"/>
    <w:qFormat/>
    <w:rPr>
      <w:rFonts w:ascii="宋体" w:hAnsi="宋体" w:cs="Courier New"/>
      <w:sz w:val="32"/>
      <w:szCs w:val="32"/>
    </w:rPr>
  </w:style>
  <w:style w:type="paragraph" w:styleId="1357" w:customStyle="1">
    <w:name w:val="Char2 Char Char Char Char Char Char1"/>
    <w:basedOn w:val="850"/>
    <w:uiPriority w:val="0"/>
    <w:qFormat/>
    <w:pPr>
      <w:jc w:val="center"/>
      <w:spacing w:line="400" w:lineRule="exact"/>
      <w:widowControl/>
    </w:pPr>
  </w:style>
  <w:style w:type="character" w:styleId="1358" w:customStyle="1">
    <w:name w:val="页脚 Char"/>
    <w:uiPriority w:val="0"/>
    <w:qFormat/>
    <w:rPr>
      <w:rFonts w:ascii="宋体" w:eastAsia="宋体"/>
      <w:sz w:val="18"/>
      <w:lang w:val="en-US" w:eastAsia="zh-CN" w:bidi="ar-SA"/>
    </w:rPr>
  </w:style>
  <w:style w:type="paragraph" w:styleId="1359" w:customStyle="1">
    <w:name w:val="Char Char41"/>
    <w:basedOn w:val="850"/>
    <w:uiPriority w:val="0"/>
    <w:qFormat/>
    <w:pPr>
      <w:jc w:val="center"/>
      <w:spacing w:line="400" w:lineRule="exact"/>
      <w:widowControl/>
    </w:pPr>
  </w:style>
  <w:style w:type="character" w:styleId="1360" w:customStyle="1">
    <w:name w:val="批注文字 Char"/>
    <w:uiPriority w:val="99"/>
    <w:qFormat/>
    <w:rPr>
      <w:sz w:val="21"/>
      <w:szCs w:val="24"/>
    </w:rPr>
  </w:style>
  <w:style w:type="character" w:styleId="1361" w:customStyle="1">
    <w:name w:val="标题 Char"/>
    <w:uiPriority w:val="0"/>
    <w:qFormat/>
    <w:rPr>
      <w:b/>
      <w:sz w:val="32"/>
    </w:rPr>
  </w:style>
  <w:style w:type="paragraph" w:styleId="1362" w:customStyle="1">
    <w:name w:val="图例"/>
    <w:basedOn w:val="850"/>
    <w:uiPriority w:val="0"/>
    <w:qFormat/>
    <w:pPr>
      <w:jc w:val="center"/>
      <w:spacing w:before="120" w:after="120" w:line="360" w:lineRule="auto"/>
    </w:pPr>
    <w:rPr>
      <w:rFonts w:eastAsia="仿宋_GB2312"/>
      <w:b/>
      <w:sz w:val="24"/>
      <w:szCs w:val="20"/>
    </w:rPr>
  </w:style>
  <w:style w:type="table" w:styleId="1363"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64" w:customStyle="1">
    <w:name w:val="Table Paragraph"/>
    <w:basedOn w:val="850"/>
    <w:uiPriority w:val="1"/>
    <w:qFormat/>
    <w:pPr>
      <w:jc w:val="left"/>
    </w:pPr>
    <w:rPr>
      <w:rFonts w:ascii="宋体" w:hAnsi="宋体" w:cs="宋体"/>
      <w:sz w:val="22"/>
      <w:szCs w:val="22"/>
      <w:lang w:eastAsia="en-US"/>
    </w:rPr>
  </w:style>
  <w:style w:type="paragraph" w:styleId="1365" w:customStyle="1">
    <w:name w:val="成文日期"/>
    <w:basedOn w:val="850"/>
    <w:link w:val="1366"/>
    <w:uiPriority w:val="0"/>
    <w:qFormat/>
    <w:pPr>
      <w:ind w:right="400" w:firstLine="200"/>
      <w:jc w:val="right"/>
      <w:spacing w:line="570" w:lineRule="exact"/>
    </w:pPr>
    <w:rPr>
      <w:rFonts w:ascii="仿宋_GB2312" w:eastAsia="仿宋_GB2312"/>
      <w:sz w:val="32"/>
      <w:szCs w:val="20"/>
    </w:rPr>
  </w:style>
  <w:style w:type="character" w:styleId="1366" w:customStyle="1">
    <w:name w:val="成文日期 Char"/>
    <w:link w:val="1365"/>
    <w:uiPriority w:val="0"/>
    <w:qFormat/>
    <w:rPr>
      <w:rFonts w:ascii="仿宋_GB2312" w:eastAsia="仿宋_GB2312"/>
      <w:sz w:val="32"/>
    </w:rPr>
  </w:style>
  <w:style w:type="paragraph" w:styleId="1367" w:customStyle="1">
    <w:name w:val="修订2"/>
    <w:uiPriority w:val="99"/>
    <w:qFormat/>
    <w:rPr>
      <w:rFonts w:hint="default" w:ascii="Times New Roman" w:hAnsi="Times New Roman" w:eastAsia="宋体" w:cs="Times New Roman"/>
      <w:sz w:val="21"/>
      <w:szCs w:val="24"/>
      <w:lang w:val="en-US" w:eastAsia="zh-CN" w:bidi="ar-SA"/>
    </w:rPr>
  </w:style>
  <w:style w:type="paragraph" w:styleId="1368" w:customStyle="1">
    <w:name w:val="Body text|1"/>
    <w:basedOn w:val="850"/>
    <w:uiPriority w:val="0"/>
    <w:qFormat/>
    <w:pPr>
      <w:ind w:firstLine="460"/>
      <w:spacing w:after="100" w:line="407" w:lineRule="exact"/>
    </w:pPr>
    <w:rPr>
      <w:rFonts w:ascii="宋体" w:hAnsi="宋体" w:cs="宋体"/>
      <w:sz w:val="20"/>
      <w:szCs w:val="20"/>
      <w:u w:val="single"/>
      <w:lang w:val="zh-TW" w:eastAsia="zh-TW" w:bidi="zh-TW"/>
    </w:rPr>
  </w:style>
  <w:style w:type="paragraph" w:styleId="1369" w:customStyle="1">
    <w:name w:val="Other|1"/>
    <w:basedOn w:val="850"/>
    <w:uiPriority w:val="0"/>
    <w:qFormat/>
    <w:pPr>
      <w:jc w:val="center"/>
    </w:pPr>
    <w:rPr>
      <w:sz w:val="19"/>
      <w:szCs w:val="19"/>
      <w:lang w:val="zh-TW" w:eastAsia="zh-TW" w:bidi="zh-TW"/>
    </w:rPr>
  </w:style>
  <w:style w:type="paragraph" w:styleId="1370" w:customStyle="1">
    <w:name w:val="_Style 4"/>
    <w:basedOn w:val="850"/>
    <w:next w:val="1213"/>
    <w:uiPriority w:val="34"/>
    <w:qFormat/>
    <w:pPr>
      <w:ind w:firstLine="420"/>
    </w:pPr>
    <w:rPr>
      <w:rFonts w:ascii="Calibri" w:hAnsi="Calibri"/>
      <w:szCs w:val="22"/>
    </w:rPr>
  </w:style>
  <w:style w:type="character" w:styleId="1371" w:customStyle="1">
    <w:name w:val="font01"/>
    <w:basedOn w:val="1124"/>
    <w:uiPriority w:val="0"/>
    <w:qFormat/>
    <w:rPr>
      <w:rFonts w:hint="eastAsia" w:ascii="宋体" w:hAnsi="宋体" w:eastAsia="宋体" w:cs="宋体"/>
      <w:color w:val="000000"/>
      <w:sz w:val="24"/>
      <w:szCs w:val="24"/>
      <w:u w:val="none"/>
    </w:rPr>
  </w:style>
  <w:style w:type="paragraph" w:styleId="1372" w:customStyle="1">
    <w:name w:val="正文1"/>
    <w:basedOn w:val="850"/>
    <w:next w:val="850"/>
    <w:uiPriority w:val="0"/>
    <w:qFormat/>
    <w:pPr>
      <w:ind w:left="420" w:firstLine="527"/>
      <w:spacing w:before="120" w:line="360" w:lineRule="auto"/>
    </w:pPr>
    <w:rPr>
      <w:rFonts w:ascii="宋体" w:hAnsi="宋体"/>
    </w:rPr>
  </w:style>
  <w:style w:type="paragraph" w:styleId="13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74"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75" w:customStyle="1">
    <w:name w:val="null3"/>
    <w:uiPriority w:val="0"/>
    <w:qFormat/>
    <w:rPr>
      <w:rFonts w:hint="eastAsia" w:ascii="Calibri" w:hAnsi="Calibri" w:eastAsia="宋体" w:cs="Times New Roman"/>
      <w:lang w:val="en-US" w:eastAsia="zh-CN" w:bidi="ar-SA"/>
    </w:rPr>
  </w:style>
  <w:style w:type="paragraph" w:styleId="1376" w:customStyle="1">
    <w:name w:val="列出段落5"/>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列出段落3"/>
    <w:basedOn w:val="850"/>
    <w:uiPriority w:val="34"/>
    <w:qFormat/>
    <w:pPr>
      <w:ind w:firstLine="420"/>
    </w:pPr>
    <w:rPr>
      <w:rFonts w:ascii="Calibri" w:hAnsi="Calibri"/>
      <w:szCs w:val="22"/>
    </w:rPr>
  </w:style>
  <w:style w:type="character" w:styleId="1378" w:customStyle="1">
    <w:name w:val="font11"/>
    <w:basedOn w:val="860"/>
    <w:uiPriority w:val="0"/>
    <w:qFormat/>
    <w:rPr>
      <w:rFonts w:hint="eastAsia" w:ascii="宋体" w:hAnsi="宋体" w:eastAsia="宋体" w:cs="宋体"/>
      <w:color w:val="000000"/>
      <w:sz w:val="21"/>
      <w:szCs w:val="21"/>
      <w:u w:val="none"/>
    </w:rPr>
  </w:style>
  <w:style w:type="character" w:styleId="1379" w:customStyle="1">
    <w:name w:val="font21"/>
    <w:basedOn w:val="860"/>
    <w:uiPriority w:val="0"/>
    <w:qFormat/>
    <w:rPr>
      <w:rFonts w:hint="default" w:ascii="Calibri" w:hAnsi="Calibri" w:cs="Calibri"/>
      <w:color w:val="000000"/>
      <w:sz w:val="21"/>
      <w:szCs w:val="21"/>
      <w:u w:val="none"/>
    </w:rPr>
  </w:style>
  <w:style w:type="paragraph" w:styleId="1380" w:customStyle="1">
    <w:name w:val="一、"/>
    <w:uiPriority w:val="0"/>
    <w:qFormat/>
    <w:pPr>
      <w:ind w:firstLine="640"/>
      <w:jc w:val="both"/>
      <w:widowControl w:val="off"/>
    </w:pPr>
    <w:rPr>
      <w:rFonts w:hint="default" w:ascii="Times New Roman" w:hAnsi="Times New Roman" w:eastAsia="黑体" w:cs="Times New Roman"/>
      <w:sz w:val="21"/>
      <w:szCs w:val="32"/>
      <w:lang w:val="en-US" w:eastAsia="zh-CN" w:bidi="ar-SA"/>
    </w:rPr>
  </w:style>
  <w:style w:type="paragraph" w:styleId="1381" w:customStyle="1">
    <w:name w:val="Table Text"/>
    <w:uiPriority w:val="0"/>
    <w:qFormat/>
    <w:rPr>
      <w:rFonts w:hint="default" w:ascii="宋体" w:hAnsi="宋体" w:eastAsia="宋体" w:cs="宋体"/>
      <w:color w:val="000000"/>
      <w:sz w:val="24"/>
      <w:szCs w:val="24"/>
      <w:lang w:val="en-US" w:eastAsia="en-US" w:bidi="ar-SA"/>
    </w:rPr>
  </w:style>
  <w:style w:type="character" w:styleId="1382" w:customStyle="1">
    <w:name w:val="font51"/>
    <w:basedOn w:val="860"/>
    <w:uiPriority w:val="0"/>
    <w:qFormat/>
    <w:rPr>
      <w:rFonts w:hint="eastAsia" w:ascii="宋体" w:hAnsi="宋体" w:eastAsia="宋体" w:cs="宋体"/>
      <w:color w:val="000000"/>
      <w:sz w:val="22"/>
      <w:szCs w:val="22"/>
      <w:u w:val="none"/>
    </w:rPr>
  </w:style>
  <w:style w:type="character" w:styleId="1383" w:customStyle="1">
    <w:name w:val="font61"/>
    <w:basedOn w:val="860"/>
    <w:uiPriority w:val="0"/>
    <w:qFormat/>
    <w:rPr>
      <w:rFonts w:hint="default" w:ascii="Times New Roman" w:hAnsi="Times New Roman" w:cs="Times New Roman"/>
      <w:color w:val="000000"/>
      <w:sz w:val="24"/>
      <w:szCs w:val="24"/>
      <w:u w:val="none"/>
    </w:rPr>
  </w:style>
  <w:style w:type="character" w:styleId="1384" w:customStyle="1">
    <w:name w:val="font91"/>
    <w:basedOn w:val="860"/>
    <w:uiPriority w:val="0"/>
    <w:qFormat/>
    <w:rPr>
      <w:rFonts w:hint="eastAsia" w:ascii="宋体" w:hAnsi="宋体" w:eastAsia="宋体" w:cs="宋体"/>
      <w:color w:val="000000"/>
      <w:sz w:val="22"/>
      <w:szCs w:val="22"/>
      <w:u w:val="single"/>
    </w:rPr>
  </w:style>
  <w:style w:type="character" w:styleId="1385" w:customStyle="1">
    <w:name w:val="font71"/>
    <w:basedOn w:val="860"/>
    <w:uiPriority w:val="0"/>
    <w:qFormat/>
    <w:rPr>
      <w:rFonts w:hint="eastAsia" w:ascii="宋体" w:hAnsi="宋体" w:eastAsia="宋体" w:cs="宋体"/>
      <w:b/>
      <w:bCs/>
      <w:color w:val="000000"/>
      <w:sz w:val="28"/>
      <w:szCs w:val="28"/>
      <w:u w:val="none"/>
    </w:rPr>
  </w:style>
  <w:style w:type="character" w:styleId="1386" w:customStyle="1">
    <w:name w:val="font41"/>
    <w:basedOn w:val="860"/>
    <w:uiPriority w:val="0"/>
    <w:qFormat/>
    <w:rPr>
      <w:rFonts w:hint="default" w:ascii="Times New Roman" w:hAnsi="Times New Roman" w:cs="Times New Roman"/>
      <w:b/>
      <w:bCs/>
      <w:color w:val="000000"/>
      <w:sz w:val="22"/>
      <w:szCs w:val="22"/>
      <w:u w:val="none"/>
    </w:rPr>
  </w:style>
  <w:style w:type="character" w:styleId="1387" w:customStyle="1">
    <w:name w:val="font81"/>
    <w:basedOn w:val="860"/>
    <w:uiPriority w:val="0"/>
    <w:qFormat/>
    <w:rPr>
      <w:rFonts w:hint="eastAsia" w:ascii="宋体" w:hAnsi="宋体" w:eastAsia="宋体" w:cs="宋体"/>
      <w:b/>
      <w:bCs/>
      <w:color w:val="000000"/>
      <w:sz w:val="22"/>
      <w:szCs w:val="22"/>
      <w:u w:val="none"/>
    </w:rPr>
  </w:style>
  <w:style w:type="character" w:styleId="1388" w:customStyle="1">
    <w:name w:val="font31"/>
    <w:basedOn w:val="860"/>
    <w:uiPriority w:val="0"/>
    <w:qFormat/>
    <w:rPr>
      <w:rFonts w:hint="default" w:ascii="Times New Roman" w:hAnsi="Times New Roman" w:cs="Times New Roman"/>
      <w:color w:val="000000"/>
      <w:sz w:val="22"/>
      <w:szCs w:val="22"/>
      <w:u w:val="none"/>
    </w:rPr>
  </w:style>
  <w:style w:type="character" w:styleId="1389" w:customStyle="1">
    <w:name w:val="批注框文本 Char"/>
    <w:link w:val="905"/>
    <w:uiPriority w:val="99"/>
    <w:qFormat/>
    <w:rPr>
      <w:sz w:val="18"/>
    </w:rPr>
  </w:style>
  <w:style w:type="character" w:styleId="1390" w:customStyle="1">
    <w:name w:val="批注文字 Char1"/>
    <w:link w:val="879"/>
    <w:uiPriority w:val="99"/>
    <w:qFormat/>
  </w:style>
  <w:style w:type="character" w:styleId="1391" w:customStyle="1">
    <w:name w:val="批注主题 Char"/>
    <w:link w:val="936"/>
    <w:uiPriority w:val="0"/>
    <w:qFormat/>
    <w:rPr>
      <w:b/>
    </w:rPr>
  </w:style>
  <w:style w:type="character" w:styleId="1392" w:customStyle="1">
    <w:name w:val="font121"/>
    <w:basedOn w:val="860"/>
    <w:uiPriority w:val="0"/>
    <w:qFormat/>
    <w:rPr>
      <w:rFonts w:hint="eastAsia" w:ascii="宋体" w:hAnsi="宋体" w:eastAsia="宋体" w:cs="宋体"/>
      <w:b/>
      <w:bCs/>
      <w:color w:val="000000"/>
      <w:sz w:val="32"/>
      <w:szCs w:val="32"/>
      <w:u w:val="none"/>
    </w:rPr>
  </w:style>
  <w:style w:type="character" w:styleId="1393" w:customStyle="1">
    <w:name w:val="font131"/>
    <w:basedOn w:val="860"/>
    <w:uiPriority w:val="0"/>
    <w:qFormat/>
    <w:rPr>
      <w:rFonts w:hint="eastAsia" w:ascii="宋体" w:hAnsi="宋体" w:eastAsia="宋体" w:cs="宋体"/>
      <w:b/>
      <w:bCs/>
      <w:color w:val="000000"/>
      <w:sz w:val="22"/>
      <w:szCs w:val="22"/>
      <w:u w:val="none"/>
    </w:rPr>
  </w:style>
  <w:style w:type="character" w:styleId="1394" w:customStyle="1">
    <w:name w:val="font141"/>
    <w:basedOn w:val="860"/>
    <w:uiPriority w:val="0"/>
    <w:qFormat/>
    <w:rPr>
      <w:rFonts w:hint="default" w:ascii="Times New Roman" w:hAnsi="Times New Roman" w:cs="Times New Roman"/>
      <w:color w:val="000000"/>
      <w:sz w:val="22"/>
      <w:szCs w:val="22"/>
      <w:u w:val="none"/>
      <w:vertAlign w:val="superscript"/>
    </w:rPr>
  </w:style>
  <w:style w:type="character" w:styleId="1395" w:customStyle="1">
    <w:name w:val="font101"/>
    <w:basedOn w:val="860"/>
    <w:uiPriority w:val="0"/>
    <w:qFormat/>
    <w:rPr>
      <w:rFonts w:hint="eastAsia" w:ascii="宋体" w:hAnsi="宋体" w:eastAsia="宋体" w:cs="宋体"/>
      <w:b/>
      <w:bCs/>
      <w:color w:val="000000"/>
      <w:sz w:val="22"/>
      <w:szCs w:val="22"/>
      <w:u w:val="none"/>
    </w:rPr>
  </w:style>
  <w:style w:type="character" w:styleId="1396" w:customStyle="1">
    <w:name w:val="font112"/>
    <w:basedOn w:val="860"/>
    <w:uiPriority w:val="0"/>
    <w:qFormat/>
    <w:rPr>
      <w:rFonts w:hint="default" w:ascii="Times New Roman" w:hAnsi="Times New Roman" w:cs="Times New Roman"/>
      <w:b/>
      <w:bCs/>
      <w:color w:val="000000"/>
      <w:sz w:val="22"/>
      <w:szCs w:val="22"/>
      <w:u w:val="none"/>
    </w:rPr>
  </w:style>
  <w:style w:type="character" w:styleId="1397" w:customStyle="1">
    <w:name w:val="font151"/>
    <w:basedOn w:val="860"/>
    <w:uiPriority w:val="0"/>
    <w:qFormat/>
    <w:rPr>
      <w:rFonts w:hint="eastAsia" w:ascii="宋体" w:hAnsi="宋体" w:eastAsia="宋体" w:cs="宋体"/>
      <w:b/>
      <w:bCs/>
      <w:color w:val="ff0000"/>
      <w:sz w:val="22"/>
      <w:szCs w:val="22"/>
      <w:u w:val="none"/>
    </w:rPr>
  </w:style>
  <w:style w:type="character" w:styleId="1398" w:customStyle="1">
    <w:name w:val="font161"/>
    <w:basedOn w:val="860"/>
    <w:uiPriority w:val="0"/>
    <w:qFormat/>
    <w:rPr>
      <w:rFonts w:hint="default" w:ascii="Times New Roman" w:hAnsi="Times New Roman" w:cs="Times New Roman"/>
      <w:b/>
      <w:bCs/>
      <w:color w:val="ff0000"/>
      <w:sz w:val="22"/>
      <w:szCs w:val="22"/>
      <w:u w:val="none"/>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孙芸</cp:lastModifiedBy>
  <cp:revision>13</cp:revision>
  <dcterms:created xsi:type="dcterms:W3CDTF">2022-05-30T08:08:00Z</dcterms:created>
  <dcterms:modified xsi:type="dcterms:W3CDTF">2026-10-28T03:43:06Z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eyJoZGlkIjoiZTkwYjI0ZmQzNWViMmQ5ZGNlZjFiZDQzZTRhNWY2OTkiLCJ1c2VySWQiOiIzNzQ5MTM5MjEifQ==</vt:lpwstr>
  </property>
  <property fmtid="{D5CDD505-2E9C-101B-9397-08002B2CF9AE}" pid="3" name="KSOProductBuildVer">
    <vt:lpwstr>2052-12.1.0.29161</vt:lpwstr>
  </property>
  <property fmtid="{D5CDD505-2E9C-101B-9397-08002B2CF9AE}" pid="4" name="ICV">
    <vt:lpwstr>ED45264A399647BCBCDF0222DD350770_13</vt:lpwstr>
  </property>
</Properties>
</file>