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eastAsia="黑体"/>
          <w:b/>
          <w:bCs/>
          <w:sz w:val="84"/>
        </w:rPr>
      </w:pPr>
      <w:r>
        <w:rPr>
          <w:rFonts w:hint="eastAsia" w:eastAsia="黑体"/>
          <w:b/>
          <w:bCs/>
          <w:sz w:val="84"/>
        </w:rPr>
      </w:r>
      <w:r/>
    </w:p>
    <w:p>
      <w:pPr>
        <w:pStyle w:val="97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8"/>
        <w:ind w:firstLine="0"/>
        <w:jc w:val="center"/>
        <w:rPr>
          <w:rFonts w:hint="eastAsia"/>
          <w:b/>
          <w:bCs/>
          <w:sz w:val="32"/>
        </w:rPr>
      </w:pPr>
      <w:r>
        <w:rPr>
          <w:rFonts w:hint="eastAsia"/>
          <w:b/>
          <w:bCs/>
          <w:sz w:val="32"/>
        </w:rPr>
      </w:r>
      <w:r/>
    </w:p>
    <w:p>
      <w:pPr>
        <w:pStyle w:val="978"/>
        <w:ind w:firstLine="0"/>
        <w:jc w:val="center"/>
        <w:rPr>
          <w:rFonts w:hint="eastAsia"/>
          <w:b/>
          <w:bCs/>
          <w:sz w:val="32"/>
        </w:rPr>
      </w:pPr>
      <w:r>
        <w:rPr>
          <w:rFonts w:hint="eastAsia"/>
          <w:b/>
          <w:bCs/>
          <w:sz w:val="32"/>
        </w:rPr>
      </w:r>
      <w:r/>
    </w:p>
    <w:p>
      <w:pPr>
        <w:pStyle w:val="978"/>
        <w:ind w:firstLine="0"/>
        <w:jc w:val="center"/>
        <w:rPr>
          <w:rFonts w:hint="eastAsia"/>
          <w:b/>
          <w:bCs/>
          <w:sz w:val="32"/>
        </w:rPr>
      </w:pPr>
      <w:r>
        <w:rPr>
          <w:rFonts w:hint="eastAsia"/>
          <w:b/>
          <w:bCs/>
          <w:sz w:val="32"/>
        </w:rPr>
      </w:r>
      <w:r/>
    </w:p>
    <w:p>
      <w:pPr>
        <w:pStyle w:val="978"/>
        <w:ind w:firstLine="0"/>
        <w:jc w:val="center"/>
        <w:rPr>
          <w:rFonts w:hint="eastAsia"/>
          <w:b/>
          <w:bCs/>
          <w:sz w:val="32"/>
        </w:rPr>
      </w:pPr>
      <w:r>
        <w:rPr>
          <w:rFonts w:hint="eastAsia"/>
          <w:b/>
          <w:bCs/>
          <w:sz w:val="32"/>
        </w:rPr>
      </w:r>
      <w:r/>
    </w:p>
    <w:p>
      <w:pPr>
        <w:pStyle w:val="978"/>
        <w:ind w:firstLine="0"/>
        <w:jc w:val="center"/>
        <w:rPr>
          <w:rFonts w:hint="eastAsia" w:eastAsia="黑体"/>
          <w:b/>
          <w:bCs/>
          <w:sz w:val="84"/>
        </w:rPr>
      </w:pPr>
      <w:r>
        <w:rPr>
          <w:rFonts w:hint="eastAsia"/>
          <w:b/>
          <w:bCs/>
          <w:sz w:val="32"/>
        </w:rPr>
        <w:t xml:space="preserve">项目名称：</w:t>
      </w:r>
      <w:r>
        <w:rPr>
          <w:b/>
          <w:bCs/>
          <w:sz w:val="32"/>
        </w:rPr>
        <w:t xml:space="preserve">财政人工智能知识库构建服务平台</w:t>
      </w:r>
      <w:r>
        <w:rPr>
          <w:rFonts w:hint="eastAsia" w:eastAsia="黑体"/>
          <w:b/>
          <w:bCs/>
          <w:sz w:val="84"/>
        </w:rPr>
      </w:r>
      <w:r/>
    </w:p>
    <w:p>
      <w:pPr>
        <w:pStyle w:val="978"/>
        <w:ind w:firstLine="0"/>
        <w:jc w:val="center"/>
        <w:rPr>
          <w:rFonts w:eastAsia="黑体"/>
          <w:b/>
          <w:bCs/>
          <w:sz w:val="84"/>
        </w:rPr>
      </w:pPr>
      <w:r>
        <w:rPr>
          <w:rFonts w:hint="eastAsia"/>
          <w:b/>
          <w:bCs/>
          <w:sz w:val="32"/>
        </w:rPr>
        <w:t xml:space="preserve">采购编号：</w:t>
      </w:r>
      <w:r>
        <w:rPr>
          <w:b/>
          <w:bCs/>
          <w:sz w:val="32"/>
        </w:rPr>
        <w:t xml:space="preserve">JSZC-320000-SCZX-G2026-0490</w:t>
      </w:r>
      <w:r>
        <w:rPr>
          <w:rFonts w:hint="eastAsia"/>
          <w:b/>
          <w:bCs/>
          <w:sz w:val="32"/>
        </w:rPr>
        <w:t xml:space="preserve">        </w:t>
      </w:r>
      <w:r>
        <w:rPr>
          <w:b/>
          <w:bCs/>
          <w:sz w:val="32"/>
        </w:rPr>
        <w:t xml:space="preserve">   </w:t>
      </w:r>
      <w:r>
        <w:rPr>
          <w:rFonts w:eastAsia="黑体"/>
          <w:b/>
          <w:bCs/>
          <w:sz w:val="84"/>
        </w:rPr>
      </w:r>
      <w:r/>
    </w:p>
    <w:p>
      <w:pPr>
        <w:pStyle w:val="891"/>
        <w:ind w:left="2811" w:hanging="2811"/>
        <w:jc w:val="center"/>
        <w:rPr>
          <w:rFonts w:hint="eastAsia"/>
          <w:b/>
          <w:color w:val="ff0000"/>
          <w:sz w:val="28"/>
          <w:szCs w:val="28"/>
        </w:rPr>
      </w:pPr>
      <w:r>
        <w:rPr>
          <w:rFonts w:hint="eastAsia"/>
          <w:b/>
          <w:color w:val="ff0000"/>
          <w:sz w:val="28"/>
          <w:szCs w:val="28"/>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jc w:val="center"/>
        <w:rPr>
          <w:rFonts w:hint="eastAsia"/>
          <w:b/>
          <w:bCs/>
          <w:sz w:val="32"/>
        </w:rPr>
      </w:pPr>
      <w:r>
        <w:rPr>
          <w:rFonts w:hint="eastAsia"/>
          <w:b/>
          <w:bCs/>
          <w:sz w:val="32"/>
        </w:rPr>
        <w:t xml:space="preserve">江苏省政府采购中心</w:t>
      </w:r>
      <w:r/>
    </w:p>
    <w:p>
      <w:pPr>
        <w:pStyle w:val="978"/>
        <w:ind w:firstLine="0"/>
        <w:jc w:val="center"/>
        <w:rPr>
          <w:rFonts w:hint="eastAsia"/>
          <w:b/>
          <w:bCs/>
          <w:sz w:val="32"/>
        </w:rPr>
      </w:pPr>
      <w:r>
        <w:rPr>
          <w:rFonts w:hint="eastAsia"/>
          <w:b/>
          <w:bCs/>
          <w:sz w:val="32"/>
        </w:rPr>
        <w:t xml:space="preserve">2026</w:t>
      </w:r>
      <w:r>
        <w:rPr>
          <w:rFonts w:hint="eastAsia"/>
          <w:b/>
          <w:bCs/>
          <w:sz w:val="32"/>
        </w:rPr>
        <w:t xml:space="preserve">年</w:t>
      </w:r>
      <w:r>
        <w:rPr>
          <w:rFonts w:hint="eastAsia"/>
          <w:b/>
          <w:bCs/>
          <w:sz w:val="32"/>
        </w:rPr>
        <w:t xml:space="preserve">9</w:t>
      </w:r>
      <w:r>
        <w:rPr>
          <w:rFonts w:hint="eastAsia"/>
          <w:b/>
          <w:bCs/>
          <w:sz w:val="32"/>
        </w:rPr>
        <w:t xml:space="preserve">月</w:t>
      </w:r>
      <w:r/>
    </w:p>
    <w:p>
      <w:pPr>
        <w:pStyle w:val="978"/>
        <w:ind w:firstLine="0"/>
        <w:rPr>
          <w:rFonts w:hint="eastAsia"/>
          <w:u w:val="single"/>
        </w:rPr>
      </w:pPr>
      <w:r>
        <w:rPr>
          <w:rFonts w:hint="eastAsia"/>
        </w:rPr>
        <w:t xml:space="preserve">                        </w:t>
      </w:r>
      <w:r>
        <w:rPr>
          <w:rFonts w:hint="eastAsia"/>
          <w:u w:val="single"/>
        </w:rPr>
      </w:r>
      <w:r/>
    </w:p>
    <w:p>
      <w:pPr>
        <w:pStyle w:val="978"/>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………………………26</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………………………………35</w:t>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江苏省财政厅财政信息管理中心</w:t>
      </w:r>
      <w:r>
        <w:rPr>
          <w:rFonts w:hint="eastAsia" w:ascii="宋体" w:hAnsi="宋体"/>
          <w:sz w:val="24"/>
          <w:szCs w:val="24"/>
        </w:rPr>
        <w:t xml:space="preserve">的委</w:t>
      </w:r>
      <w:r>
        <w:rPr>
          <w:rFonts w:hint="eastAsia" w:ascii="宋体" w:hAnsi="宋体"/>
          <w:sz w:val="24"/>
          <w:szCs w:val="24"/>
        </w:rPr>
        <w:t xml:space="preserve">托，江苏省政府采购中心就</w:t>
      </w:r>
      <w:r>
        <w:rPr>
          <w:rFonts w:hint="eastAsia" w:ascii="宋体" w:hAnsi="宋体"/>
          <w:sz w:val="24"/>
          <w:szCs w:val="24"/>
        </w:rPr>
      </w:r>
      <w:r>
        <w:rPr>
          <w:rFonts w:ascii="Segoe UI" w:hAnsi="Segoe UI" w:cs="Segoe UI"/>
          <w:sz w:val="23"/>
          <w:szCs w:val="23"/>
          <w:shd w:val="clear" w:color="auto" w:fill="ffffff"/>
        </w:rPr>
        <w:t xml:space="preserve">财政人工智能知识库构建服务平台</w:t>
      </w:r>
      <w:r/>
      <w:r>
        <w:rPr>
          <w:rFonts w:hint="eastAsia" w:ascii="宋体" w:hAnsi="宋体"/>
          <w:sz w:val="24"/>
          <w:szCs w:val="24"/>
        </w:rPr>
        <w:t xml:space="preserve">(</w:t>
      </w:r>
      <w:r>
        <w:rPr>
          <w:rFonts w:hint="eastAsia" w:ascii="Segoe UI" w:hAnsi="Segoe UI" w:cs="Segoe UI"/>
          <w:sz w:val="23"/>
          <w:szCs w:val="23"/>
          <w:shd w:val="clear" w:color="auto" w:fill="ffffff"/>
        </w:rPr>
      </w:r>
      <w:r>
        <w:rPr>
          <w:rFonts w:ascii="Segoe UI" w:hAnsi="Segoe UI" w:cs="Segoe UI"/>
          <w:sz w:val="23"/>
          <w:szCs w:val="23"/>
          <w:shd w:val="clear" w:color="auto" w:fill="ffffff"/>
        </w:rPr>
        <w:t xml:space="preserve">JSZC-320000-SCZX-G2026-0490</w:t>
      </w:r>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r>
      <w:r>
        <w:rPr>
          <w:rFonts w:hint="eastAsia" w:ascii="宋体" w:hAnsi="宋体"/>
          <w:sz w:val="24"/>
          <w:szCs w:val="24"/>
        </w:rPr>
      </w:r>
      <w:r>
        <w:rPr>
          <w:rFonts w:ascii="Segoe UI" w:hAnsi="Segoe UI" w:cs="Segoe UI"/>
          <w:sz w:val="23"/>
          <w:szCs w:val="23"/>
          <w:shd w:val="clear" w:color="auto" w:fill="ffffff"/>
        </w:rPr>
        <w:t xml:space="preserve">财政人工智能知识库构建服务平台</w:t>
      </w:r>
      <w:r/>
      <w:r>
        <w:rPr>
          <w:rFonts w:hint="eastAsia" w:ascii="宋体" w:hAnsi="宋体"/>
          <w:sz w:val="24"/>
          <w:szCs w:val="24"/>
          <w:u w:val="single"/>
        </w:rPr>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2026</w:t>
      </w:r>
      <w:r>
        <w:rPr>
          <w:rFonts w:hint="eastAsia" w:ascii="宋体" w:hAnsi="宋体"/>
          <w:bCs/>
          <w:sz w:val="24"/>
          <w:szCs w:val="24"/>
          <w:u w:val="single"/>
        </w:rPr>
        <w:t xml:space="preserve">年10月21日9点30分（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1"/>
        <w:ind w:firstLine="480"/>
        <w:spacing w:line="400" w:lineRule="exact"/>
        <w:rPr>
          <w:rFonts w:ascii="宋体" w:hAnsi="宋体"/>
          <w:sz w:val="24"/>
          <w:szCs w:val="24"/>
        </w:rPr>
      </w:pPr>
      <w:r>
        <w:rPr>
          <w:rFonts w:hint="eastAsia" w:ascii="宋体" w:hAnsi="宋体"/>
          <w:sz w:val="24"/>
          <w:szCs w:val="24"/>
        </w:rPr>
        <w:t xml:space="preserve">1</w:t>
      </w:r>
      <w:r>
        <w:rPr>
          <w:rFonts w:hint="eastAsia" w:ascii="Segoe UI" w:hAnsi="Segoe UI" w:cs="Segoe UI"/>
          <w:sz w:val="23"/>
          <w:szCs w:val="23"/>
          <w:shd w:val="clear" w:color="auto" w:fill="ffffff"/>
        </w:rPr>
        <w:t xml:space="preserve">.采购编号：</w:t>
      </w:r>
      <w:r>
        <w:rPr>
          <w:rFonts w:ascii="Segoe UI" w:hAnsi="Segoe UI" w:cs="Segoe UI"/>
          <w:sz w:val="23"/>
          <w:szCs w:val="23"/>
          <w:shd w:val="clear" w:color="auto" w:fill="ffffff"/>
        </w:rPr>
        <w:t xml:space="preserve">JSZC-320000-SCZX-G2026-0490</w:t>
      </w:r>
      <w:r>
        <w:rPr>
          <w:rFonts w:hint="eastAsia" w:ascii="Segoe UI" w:hAnsi="Segoe UI" w:cs="Segoe UI"/>
          <w:sz w:val="23"/>
          <w:szCs w:val="23"/>
          <w:shd w:val="clear" w:color="auto" w:fill="ffffff"/>
        </w:rPr>
        <w:t xml:space="preserve">  </w:t>
      </w:r>
      <w:r>
        <w:rPr>
          <w:rFonts w:ascii="宋体" w:hAnsi="宋体"/>
          <w:sz w:val="24"/>
          <w:szCs w:val="24"/>
        </w:rPr>
      </w:r>
      <w:r/>
    </w:p>
    <w:p>
      <w:pPr>
        <w:pStyle w:val="891"/>
        <w:ind w:firstLine="480"/>
        <w:spacing w:line="400" w:lineRule="exact"/>
        <w:rPr>
          <w:rFonts w:hint="eastAsia" w:ascii="Segoe UI" w:hAnsi="Segoe UI" w:cs="Segoe UI"/>
          <w:sz w:val="23"/>
          <w:szCs w:val="23"/>
          <w:shd w:val="clear" w:color="auto" w:fill="ffffff"/>
        </w:rPr>
      </w:pPr>
      <w:r>
        <w:rPr>
          <w:rFonts w:hint="eastAsia" w:ascii="宋体" w:hAnsi="宋体"/>
          <w:sz w:val="24"/>
          <w:szCs w:val="24"/>
        </w:rPr>
        <w:t xml:space="preserve">2.项目名称：</w:t>
      </w:r>
      <w:bookmarkEnd w:id="11"/>
      <w:r>
        <w:rPr>
          <w:rFonts w:ascii="Segoe UI" w:hAnsi="Segoe UI" w:cs="Segoe UI"/>
          <w:sz w:val="23"/>
          <w:szCs w:val="23"/>
          <w:shd w:val="clear" w:color="auto" w:fill="ffffff"/>
        </w:rPr>
        <w:t xml:space="preserve">财政人工智能知识库构建服务平台</w:t>
      </w:r>
      <w:r>
        <w:rPr>
          <w:rFonts w:hint="eastAsia" w:ascii="Segoe UI" w:hAnsi="Segoe UI" w:cs="Segoe UI"/>
          <w:sz w:val="23"/>
          <w:szCs w:val="23"/>
          <w:shd w:val="clear" w:color="auto" w:fill="ffffff"/>
        </w:rPr>
      </w:r>
      <w:r/>
    </w:p>
    <w:p>
      <w:pPr>
        <w:pStyle w:val="891"/>
        <w:ind w:firstLine="480"/>
        <w:spacing w:line="400" w:lineRule="exact"/>
        <w:rPr>
          <w:rFonts w:ascii="Segoe UI" w:hAnsi="Segoe UI" w:cs="Segoe UI"/>
          <w:color w:val="000000" w:themeColor="text1"/>
          <w:sz w:val="23"/>
          <w:szCs w:val="23"/>
          <w:shd w:val="clear" w:color="auto" w:fill="ffffff"/>
        </w:rPr>
      </w:pPr>
      <w:r>
        <w:rPr>
          <w:rFonts w:hint="eastAsia" w:ascii="宋体" w:hAnsi="宋体"/>
          <w:color w:val="000000" w:themeColor="text1"/>
          <w:sz w:val="24"/>
          <w:szCs w:val="24"/>
        </w:rPr>
        <w:t xml:space="preserve">3.预算</w:t>
      </w:r>
      <w:r>
        <w:rPr>
          <w:rFonts w:hint="eastAsia" w:ascii="Segoe UI" w:hAnsi="Segoe UI" w:cs="Segoe UI"/>
          <w:color w:val="000000" w:themeColor="text1"/>
          <w:sz w:val="23"/>
          <w:szCs w:val="23"/>
          <w:shd w:val="clear" w:color="auto" w:fill="ffffff"/>
        </w:rPr>
        <w:t xml:space="preserve">金额</w:t>
      </w:r>
      <w:r>
        <w:rPr>
          <w:rFonts w:hint="eastAsia" w:ascii="Segoe UI" w:hAnsi="Segoe UI" w:cs="Segoe UI"/>
          <w:color w:val="000000" w:themeColor="text1"/>
          <w:sz w:val="23"/>
          <w:szCs w:val="23"/>
          <w:shd w:val="clear" w:color="auto" w:fill="ffffff"/>
        </w:rPr>
        <w:t xml:space="preserve">：</w:t>
      </w:r>
      <w:r>
        <w:rPr>
          <w:rFonts w:ascii="Segoe UI" w:hAnsi="Segoe UI" w:cs="Segoe UI"/>
          <w:color w:val="000000" w:themeColor="text1"/>
          <w:sz w:val="23"/>
          <w:szCs w:val="23"/>
          <w:shd w:val="clear" w:color="auto" w:fill="ffffff"/>
        </w:rPr>
        <w:t xml:space="preserve">65 万元</w:t>
      </w:r>
      <w:r>
        <w:rPr>
          <w:rFonts w:ascii="Segoe UI" w:hAnsi="Segoe UI" w:cs="Segoe UI"/>
          <w:color w:val="000000" w:themeColor="text1"/>
          <w:sz w:val="23"/>
          <w:szCs w:val="23"/>
          <w:shd w:val="clear" w:color="auto" w:fill="ffffff"/>
        </w:rPr>
      </w:r>
      <w:r>
        <w:rPr>
          <w:color w:val="000000" w:themeColor="text1"/>
        </w:rPr>
      </w:r>
    </w:p>
    <w:p>
      <w:pPr>
        <w:pStyle w:val="891"/>
        <w:ind w:firstLine="480"/>
        <w:spacing w:line="40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4.最高限价</w:t>
      </w:r>
      <w:r>
        <w:rPr>
          <w:rFonts w:hint="eastAsia" w:ascii="方正魏碑_GBK" w:hAnsi="方正魏碑_GBK" w:eastAsia="方正魏碑_GBK" w:cs="方正魏碑_GBK"/>
          <w:color w:val="000000" w:themeColor="text1"/>
          <w:sz w:val="24"/>
          <w:szCs w:val="24"/>
        </w:rPr>
        <w:t xml:space="preserve">：</w:t>
      </w:r>
      <w:r>
        <w:rPr>
          <w:rFonts w:hint="eastAsia" w:ascii="方正魏碑_GBK" w:hAnsi="方正魏碑_GBK" w:eastAsia="方正魏碑_GBK" w:cs="方正魏碑_GBK"/>
          <w:color w:val="000000" w:themeColor="text1"/>
          <w:sz w:val="24"/>
          <w:szCs w:val="24"/>
        </w:rPr>
        <w:t xml:space="preserve">65万元</w:t>
      </w:r>
      <w:r>
        <w:rPr>
          <w:rFonts w:hint="eastAsia" w:ascii="方正魏碑_GBK" w:hAnsi="方正魏碑_GBK" w:eastAsia="方正魏碑_GBK" w:cs="方正魏碑_GBK"/>
          <w:color w:val="000000" w:themeColor="text1"/>
          <w:sz w:val="24"/>
          <w:szCs w:val="24"/>
        </w:rPr>
      </w:r>
      <w:r>
        <w:rPr>
          <w:color w:val="000000" w:themeColor="text1"/>
        </w:rPr>
      </w:r>
    </w:p>
    <w:p>
      <w:pPr>
        <w:pStyle w:val="891"/>
        <w:ind w:firstLine="480"/>
        <w:spacing w:line="400" w:lineRule="exact"/>
        <w:rPr>
          <w:rFonts w:ascii="宋体" w:hAnsi="宋体"/>
          <w:sz w:val="24"/>
          <w:szCs w:val="24"/>
          <w:u w:val="single"/>
        </w:rPr>
      </w:pPr>
      <w:r>
        <w:rPr>
          <w:rFonts w:hint="eastAsia" w:ascii="宋体" w:hAnsi="宋体"/>
          <w:color w:val="000000" w:themeColor="text1"/>
          <w:sz w:val="24"/>
          <w:szCs w:val="24"/>
        </w:rPr>
        <w:t xml:space="preserve">5.采购需求（简介）：</w:t>
      </w:r>
      <w:r>
        <w:rPr>
          <w:rFonts w:hint="eastAsia" w:ascii="宋体" w:hAnsi="宋体"/>
          <w:color w:val="000000" w:themeColor="text1"/>
          <w:sz w:val="24"/>
          <w:szCs w:val="24"/>
        </w:rPr>
        <w:t xml:space="preserve">随着财政体制改革的深化，财会监督与政策法规的专业性、复杂性日益增强。基层财政人员与一线监督专家在日常工作中，面临着政策文件数量庞大、新旧法规交替频繁、跨页财务表格查阅困难等痛点。为提升财政知识服务水平，本项目拟依托省数据局统一建设的算力平台（提供开源大模型 API 及算力资源），建设一套全链路自主可控、具备深度</w:t>
      </w:r>
      <w:r>
        <w:rPr>
          <w:rFonts w:hint="eastAsia" w:ascii="宋体" w:hAnsi="宋体"/>
          <w:sz w:val="24"/>
          <w:szCs w:val="24"/>
        </w:rPr>
        <w:t xml:space="preserve">解析与精准溯源能力的“财政智能知识库平台”。</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自合同签订之日起3个月内完成上线。</w:t>
      </w:r>
      <w:r>
        <w:rPr>
          <w:rFonts w:ascii="宋体" w:hAnsi="宋体"/>
          <w:sz w:val="24"/>
          <w:szCs w:val="24"/>
          <w:u w:val="single"/>
        </w:rPr>
      </w:r>
      <w:r/>
    </w:p>
    <w:p>
      <w:pPr>
        <w:pStyle w:val="894"/>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w:t>
      </w:r>
      <w:r>
        <w:rPr>
          <w:rFonts w:hint="eastAsia" w:ascii="宋体" w:hAnsi="宋体"/>
          <w:sz w:val="24"/>
          <w:szCs w:val="24"/>
        </w:rPr>
        <w:t xml:space="preserve">联合</w:t>
      </w:r>
      <w:r>
        <w:rPr>
          <w:rFonts w:ascii="宋体" w:hAnsi="宋体"/>
          <w:sz w:val="24"/>
          <w:szCs w:val="24"/>
        </w:rPr>
        <w:t xml:space="preserve">体投标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891"/>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ascii="宋体" w:hAnsi="宋体"/>
          <w:bCs/>
          <w:sz w:val="24"/>
          <w:szCs w:val="24"/>
          <w:u w:val="single"/>
        </w:rPr>
      </w:pPr>
      <w:r>
        <w:rPr>
          <w:rFonts w:hint="eastAsia" w:ascii="宋体" w:hAnsi="宋体"/>
          <w:bCs/>
          <w:sz w:val="24"/>
          <w:szCs w:val="24"/>
          <w:u w:val="single"/>
        </w:rPr>
        <w:t xml:space="preserve">1.2026年10月21日9点30分</w:t>
      </w:r>
      <w:r>
        <w:rPr>
          <w:rFonts w:hint="eastAsia" w:ascii="宋体" w:hAnsi="宋体"/>
          <w:bCs/>
          <w:sz w:val="24"/>
          <w:szCs w:val="24"/>
        </w:rPr>
        <w:t xml:space="preserve">（北京时间）</w:t>
      </w:r>
      <w:r>
        <w:rPr>
          <w:rFonts w:ascii="宋体" w:hAnsi="宋体"/>
          <w:bCs/>
          <w:sz w:val="24"/>
          <w:szCs w:val="24"/>
          <w:u w:val="single"/>
        </w:rPr>
      </w:r>
      <w:r/>
    </w:p>
    <w:p>
      <w:pPr>
        <w:pStyle w:val="89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9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98"/>
        <w:spacing w:before="145" w:after="145" w:line="400" w:lineRule="exact"/>
      </w:pPr>
      <w:r/>
      <w:bookmarkStart w:id="35" w:name="_Toc35393796"/>
      <w:r/>
      <w:bookmarkStart w:id="36" w:name="_Toc38985269"/>
      <w:r/>
      <w:bookmarkStart w:id="37" w:name="_Toc28359085"/>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pStyle w:val="89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江苏省财政厅财政信息管理中心</w:t>
      </w:r>
      <w:r>
        <w:rPr>
          <w:rFonts w:hint="eastAsia" w:ascii="宋体" w:hAnsi="宋体"/>
          <w:sz w:val="24"/>
          <w:szCs w:val="24"/>
          <w:u w:val="single"/>
        </w:rPr>
        <w:t xml:space="preserve">　</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南京市鼓楼区北京西路63号天目大厦</w:t>
      </w:r>
      <w:r>
        <w:rPr>
          <w:rFonts w:hint="eastAsia" w:ascii="宋体" w:hAnsi="宋体"/>
          <w:sz w:val="24"/>
          <w:szCs w:val="24"/>
          <w:u w:val="single"/>
        </w:rPr>
        <w:t xml:space="preserve">　</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夏玮</w:t>
      </w:r>
      <w:r>
        <w:rPr>
          <w:rFonts w:hint="eastAsia" w:ascii="宋体" w:hAnsi="宋体"/>
          <w:sz w:val="24"/>
          <w:szCs w:val="24"/>
          <w:u w:val="single"/>
        </w:rPr>
        <w:t xml:space="preserve"> </w:t>
      </w:r>
      <w:r>
        <w:rPr>
          <w:rFonts w:ascii="宋体" w:hAnsi="宋体"/>
          <w:sz w:val="24"/>
          <w:szCs w:val="24"/>
        </w:rPr>
      </w:r>
      <w:r/>
    </w:p>
    <w:p>
      <w:pPr>
        <w:pStyle w:val="891"/>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83633360</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9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94"/>
        <w:ind w:firstLine="498"/>
        <w:spacing w:before="145" w:after="145" w:line="400" w:lineRule="exact"/>
      </w:pPr>
      <w:r/>
      <w:bookmarkEnd w:id="42"/>
      <w:r/>
      <w:bookmarkEnd w:id="43"/>
      <w:r>
        <w:rPr>
          <w:rFonts w:hint="eastAsia"/>
        </w:rPr>
        <w:t xml:space="preserve">八、其他</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4"/>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5"/>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p>
    <w:p>
      <w:pPr>
        <w:pStyle w:val="89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p>
    <w:p>
      <w:pPr>
        <w:pStyle w:val="89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4"/>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4"/>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p>
    <w:p>
      <w:pPr>
        <w:pStyle w:val="8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4"/>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9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91"/>
        <w:ind w:firstLine="480"/>
        <w:spacing w:line="400" w:lineRule="exact"/>
        <w:rPr>
          <w:rFonts w:hint="eastAsia" w:ascii="方正魏碑_GBK" w:hAnsi="方正魏碑_GBK" w:eastAsia="方正魏碑_GBK" w:cs="方正魏碑_GBK"/>
          <w:color w:val="ff0000"/>
          <w:sz w:val="32"/>
          <w:szCs w:val="32"/>
        </w:rPr>
      </w:pPr>
      <w:r>
        <w:rPr>
          <w:rFonts w:hint="eastAsia" w:ascii="宋体" w:hAnsi="宋体"/>
          <w:sz w:val="24"/>
          <w:szCs w:val="24"/>
        </w:rPr>
        <w:t xml:space="preserve">采购人质疑接收人及联系方式见招标文件第一章。</w:t>
      </w:r>
      <w:r>
        <w:rPr>
          <w:rFonts w:hint="eastAsia" w:ascii="方正魏碑_GBK" w:hAnsi="方正魏碑_GBK" w:eastAsia="方正魏碑_GBK" w:cs="方正魏碑_GBK"/>
          <w:color w:val="ff0000"/>
          <w:sz w:val="32"/>
          <w:szCs w:val="32"/>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5"/>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6"/>
        <w:spacing w:line="400" w:lineRule="exact"/>
        <w:rPr>
          <w:rFonts w:hint="eastAsia" w:ascii="宋体" w:hAnsi="宋体"/>
          <w:sz w:val="24"/>
          <w:szCs w:val="24"/>
          <w:lang w:val="en-US" w:eastAsia="zh-CN"/>
        </w:rPr>
      </w:pPr>
      <w:r>
        <w:rPr>
          <w:rFonts w:hint="eastAsia" w:ascii="宋体" w:hAnsi="宋体"/>
          <w:bCs/>
          <w:sz w:val="24"/>
          <w:lang w:val="en-US" w:eastAsia="zh-CN"/>
        </w:rPr>
      </w:r>
      <w:r>
        <w:rPr>
          <w:rFonts w:hint="eastAsia" w:ascii="宋体" w:hAnsi="宋体"/>
          <w:bCs/>
          <w:sz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p>
    <w:p>
      <w:pPr>
        <w:pStyle w:val="906"/>
        <w:spacing w:line="400" w:lineRule="exact"/>
        <w:rPr>
          <w:rFonts w:hint="eastAsia" w:ascii="宋体" w:hAnsi="宋体"/>
          <w:sz w:val="24"/>
          <w:szCs w:val="24"/>
          <w:lang w:val="en-US" w:eastAsia="zh-CN"/>
        </w:rPr>
      </w:pPr>
      <w:r>
        <w:rPr>
          <w:rFonts w:hint="eastAsia" w:ascii="宋体" w:hAnsi="宋体"/>
          <w:bCs/>
          <w:sz w:val="24"/>
          <w:lang w:val="en-US" w:eastAsia="zh-CN"/>
        </w:rPr>
      </w:r>
      <w:r/>
    </w:p>
    <w:p>
      <w:pPr>
        <w:pStyle w:val="89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91"/>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w:t>
      </w:r>
      <w:r>
        <w:rPr>
          <w:rFonts w:hint="eastAsia" w:hAnsi="宋体"/>
          <w:sz w:val="24"/>
          <w:szCs w:val="24"/>
          <w:lang w:eastAsia="zh-CN"/>
        </w:rPr>
        <w:t xml:space="preserve">江苏省财政厅财政信息管理中心</w:t>
      </w:r>
      <w:r>
        <w:rPr>
          <w:rFonts w:hAnsi="宋体"/>
          <w:sz w:val="24"/>
          <w:szCs w:val="24"/>
        </w:rPr>
        <w:t xml:space="preserve">________</w:t>
      </w:r>
      <w:r/>
    </w:p>
    <w:p>
      <w:pPr>
        <w:pStyle w:val="93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0"/>
        <w:spacing w:before="120" w:after="120"/>
        <w:rPr>
          <w:rFonts w:hint="eastAsia" w:hAnsi="宋体"/>
          <w:sz w:val="24"/>
          <w:szCs w:val="24"/>
        </w:rPr>
      </w:pPr>
      <w:r>
        <w:rPr>
          <w:rFonts w:hint="eastAsia" w:hAnsi="宋体"/>
          <w:sz w:val="24"/>
          <w:szCs w:val="24"/>
        </w:rPr>
        <w:t xml:space="preserve">1.3 标的数量（规模）：</w:t>
      </w:r>
      <w:r/>
    </w:p>
    <w:p>
      <w:pPr>
        <w:pStyle w:val="930"/>
        <w:spacing w:before="120" w:after="120"/>
        <w:rPr>
          <w:rFonts w:hint="eastAsia" w:hAnsi="宋体"/>
          <w:sz w:val="24"/>
          <w:szCs w:val="24"/>
        </w:rPr>
      </w:pPr>
      <w:r>
        <w:rPr>
          <w:rFonts w:hint="eastAsia" w:hAnsi="宋体"/>
          <w:sz w:val="24"/>
          <w:szCs w:val="24"/>
        </w:rPr>
        <w:t xml:space="preserve">1.4 履行时间（期限）：</w:t>
      </w:r>
      <w:r/>
    </w:p>
    <w:p>
      <w:pPr>
        <w:pStyle w:val="93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0"/>
        <w:spacing w:before="120" w:after="120"/>
        <w:rPr>
          <w:rFonts w:hAnsi="宋体"/>
          <w:b/>
          <w:sz w:val="24"/>
          <w:szCs w:val="24"/>
        </w:rPr>
      </w:pPr>
      <w:r>
        <w:rPr>
          <w:rFonts w:hAnsi="宋体"/>
          <w:b/>
          <w:sz w:val="24"/>
          <w:szCs w:val="24"/>
        </w:rPr>
        <w:t xml:space="preserve">二、合同金额</w:t>
      </w:r>
      <w:r/>
    </w:p>
    <w:p>
      <w:pPr>
        <w:pStyle w:val="93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0"/>
        <w:spacing w:before="120" w:after="120"/>
        <w:rPr>
          <w:rFonts w:hAnsi="宋体"/>
          <w:b/>
          <w:sz w:val="24"/>
          <w:szCs w:val="24"/>
        </w:rPr>
      </w:pPr>
      <w:r>
        <w:rPr>
          <w:rFonts w:hAnsi="宋体"/>
          <w:b/>
          <w:sz w:val="24"/>
          <w:szCs w:val="24"/>
        </w:rPr>
        <w:t xml:space="preserve">三、技术资料</w:t>
      </w:r>
      <w:r/>
    </w:p>
    <w:p>
      <w:pPr>
        <w:pStyle w:val="93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left="412" w:hanging="412"/>
        <w:spacing w:before="120" w:after="120"/>
        <w:rPr>
          <w:rFonts w:hAnsi="宋体"/>
          <w:b/>
          <w:sz w:val="24"/>
          <w:szCs w:val="24"/>
        </w:rPr>
      </w:pPr>
      <w:r>
        <w:rPr>
          <w:rFonts w:hAnsi="宋体"/>
          <w:b/>
          <w:sz w:val="24"/>
          <w:szCs w:val="24"/>
        </w:rPr>
        <w:t xml:space="preserve">四、知识产权</w:t>
      </w:r>
      <w:r/>
    </w:p>
    <w:p>
      <w:pPr>
        <w:pStyle w:val="93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0"/>
        <w:ind w:left="408" w:hanging="408"/>
        <w:spacing w:before="120" w:after="120"/>
        <w:rPr>
          <w:rFonts w:hAnsi="宋体"/>
          <w:sz w:val="24"/>
          <w:szCs w:val="24"/>
          <w:highlight w:val="white"/>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w:t>
      </w:r>
      <w:r>
        <w:rPr>
          <w:rFonts w:hAnsi="宋体"/>
          <w:sz w:val="24"/>
          <w:szCs w:val="24"/>
          <w:highlight w:val="white"/>
        </w:rPr>
        <w:t xml:space="preserve">何抵押、查封等产权瑕疵。</w:t>
      </w:r>
      <w:r>
        <w:rPr>
          <w:rFonts w:hAnsi="宋体"/>
          <w:sz w:val="24"/>
          <w:szCs w:val="24"/>
          <w:highlight w:val="white"/>
          <w:u w:val="single"/>
        </w:rPr>
      </w:r>
      <w:r>
        <w:rPr>
          <w:highlight w:val="white"/>
        </w:rPr>
      </w:r>
    </w:p>
    <w:p>
      <w:pPr>
        <w:pStyle w:val="930"/>
        <w:ind w:left="410" w:hanging="410"/>
        <w:spacing w:before="120" w:after="120"/>
        <w:rPr>
          <w:rFonts w:hAnsi="宋体"/>
          <w:b/>
          <w:sz w:val="24"/>
          <w:szCs w:val="24"/>
          <w:highlight w:val="white"/>
        </w:rPr>
      </w:pPr>
      <w:r>
        <w:rPr>
          <w:rFonts w:hAnsi="宋体"/>
          <w:b/>
          <w:sz w:val="24"/>
          <w:szCs w:val="24"/>
          <w:highlight w:val="white"/>
        </w:rPr>
        <w:t xml:space="preserve">六、履约保证金</w:t>
      </w:r>
      <w:r>
        <w:rPr>
          <w:highlight w:val="white"/>
        </w:rPr>
      </w:r>
    </w:p>
    <w:p>
      <w:pPr>
        <w:pStyle w:val="891"/>
        <w:spacing w:before="120" w:after="120"/>
        <w:rPr>
          <w:rFonts w:hint="eastAsia" w:ascii="宋体" w:hAnsi="宋体" w:cs="Courier New"/>
          <w:bCs/>
          <w:sz w:val="24"/>
          <w:szCs w:val="24"/>
          <w:highlight w:val="white"/>
        </w:rPr>
      </w:pPr>
      <w:r>
        <w:rPr>
          <w:rFonts w:hint="eastAsia" w:ascii="宋体" w:hAnsi="宋体" w:cs="Courier New"/>
          <w:bCs/>
          <w:sz w:val="24"/>
          <w:szCs w:val="24"/>
          <w:highlight w:val="white"/>
        </w:rPr>
        <w:t xml:space="preserve">本项目不收取履约保证金。</w:t>
      </w:r>
      <w:r>
        <w:rPr>
          <w:highlight w:val="white"/>
        </w:rPr>
      </w:r>
    </w:p>
    <w:p>
      <w:pPr>
        <w:pStyle w:val="891"/>
        <w:spacing w:before="145" w:after="145"/>
        <w:rPr>
          <w:rFonts w:ascii="宋体" w:hAnsi="宋体" w:eastAsia="仿宋_GB2312"/>
          <w:b/>
          <w:sz w:val="24"/>
          <w:szCs w:val="24"/>
          <w:highlight w:val="white"/>
        </w:rPr>
      </w:pPr>
      <w:r>
        <w:rPr>
          <w:rFonts w:hint="eastAsia" w:ascii="宋体" w:hAnsi="宋体"/>
          <w:b/>
          <w:sz w:val="24"/>
          <w:szCs w:val="24"/>
          <w:highlight w:val="white"/>
        </w:rPr>
        <w:t xml:space="preserve">七、合同转包或分包</w:t>
      </w:r>
      <w:r>
        <w:rPr>
          <w:rFonts w:ascii="宋体" w:hAnsi="宋体" w:eastAsia="仿宋_GB2312"/>
          <w:b/>
          <w:sz w:val="24"/>
          <w:szCs w:val="24"/>
          <w:highlight w:val="white"/>
        </w:rPr>
      </w:r>
      <w:r>
        <w:rPr>
          <w:highlight w:val="white"/>
        </w:rPr>
      </w:r>
    </w:p>
    <w:p>
      <w:pPr>
        <w:pStyle w:val="891"/>
        <w:spacing w:before="145" w:after="145"/>
        <w:rPr>
          <w:rFonts w:hint="eastAsia" w:ascii="宋体" w:hAnsi="宋体"/>
          <w:sz w:val="24"/>
          <w:szCs w:val="24"/>
        </w:rPr>
      </w:pPr>
      <w:r>
        <w:rPr>
          <w:rFonts w:hint="eastAsia" w:ascii="宋体" w:hAnsi="宋体"/>
          <w:sz w:val="24"/>
          <w:szCs w:val="24"/>
          <w:highlight w:val="white"/>
        </w:rPr>
        <w:t xml:space="preserve">7.1乙方不得将合同标的转包给</w:t>
      </w:r>
      <w:r>
        <w:rPr>
          <w:rFonts w:hint="eastAsia" w:ascii="宋体" w:hAnsi="宋体"/>
          <w:sz w:val="24"/>
          <w:szCs w:val="24"/>
        </w:rPr>
        <w:t xml:space="preserve">他人履行。</w:t>
      </w:r>
      <w:r/>
    </w:p>
    <w:p>
      <w:pPr>
        <w:pStyle w:val="89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9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w:t>
      </w:r>
      <w:r>
        <w:rPr>
          <w:rFonts w:hint="eastAsia" w:ascii="宋体" w:hAnsi="宋体"/>
          <w:sz w:val="24"/>
          <w:szCs w:val="24"/>
        </w:rPr>
        <w:t xml:space="preserve">10</w:t>
      </w:r>
      <w:r>
        <w:rPr>
          <w:rFonts w:hint="eastAsia" w:ascii="宋体" w:hAnsi="宋体"/>
          <w:sz w:val="24"/>
          <w:szCs w:val="24"/>
        </w:rPr>
        <w:t xml:space="preserve">工作日内，预付款支付比例：合同金额的</w:t>
      </w:r>
      <w:r>
        <w:rPr>
          <w:rFonts w:hint="eastAsia" w:ascii="宋体" w:hAnsi="宋体"/>
          <w:sz w:val="24"/>
          <w:szCs w:val="24"/>
        </w:rPr>
        <w:t xml:space="preserve">50</w:t>
      </w:r>
      <w:r>
        <w:rPr>
          <w:rFonts w:hint="eastAsia" w:ascii="宋体" w:hAnsi="宋体"/>
          <w:sz w:val="24"/>
          <w:szCs w:val="24"/>
        </w:rPr>
        <w:t xml:space="preserve">%。</w:t>
      </w:r>
      <w:r/>
    </w:p>
    <w:p>
      <w:pPr>
        <w:pStyle w:val="891"/>
        <w:spacing w:before="145" w:after="145"/>
        <w:rPr>
          <w:rFonts w:hAnsi="宋体"/>
          <w:bCs/>
          <w:sz w:val="24"/>
          <w:szCs w:val="24"/>
        </w:rPr>
      </w:pPr>
      <w:r>
        <w:rPr>
          <w:rFonts w:ascii="宋体" w:hAnsi="宋体"/>
          <w:sz w:val="24"/>
          <w:szCs w:val="24"/>
        </w:rPr>
        <w:t xml:space="preserve">8</w:t>
      </w:r>
      <w:r>
        <w:rPr>
          <w:rFonts w:hint="eastAsia" w:ascii="宋体" w:hAnsi="宋体"/>
          <w:sz w:val="24"/>
          <w:szCs w:val="24"/>
        </w:rPr>
        <w:t xml:space="preserve">.1.2 尾款支付时间：</w:t>
      </w:r>
      <w:r>
        <w:rPr>
          <w:color w:val="0d0d0d"/>
          <w:sz w:val="24"/>
          <w:szCs w:val="24"/>
        </w:rPr>
        <w:t xml:space="preserve">项目验收通过后</w:t>
      </w:r>
      <w:r>
        <w:rPr>
          <w:rFonts w:hint="eastAsia"/>
          <w:color w:val="0d0d0d"/>
          <w:sz w:val="24"/>
          <w:szCs w:val="24"/>
        </w:rPr>
        <w:t xml:space="preserve">收到发票十个工作日内，</w:t>
      </w:r>
      <w:r>
        <w:rPr>
          <w:color w:val="0d0d0d"/>
          <w:sz w:val="24"/>
          <w:szCs w:val="24"/>
        </w:rPr>
        <w:t xml:space="preserve">支付合同总金额的50%。</w:t>
      </w:r>
      <w:r>
        <w:rPr>
          <w:rFonts w:hAnsi="宋体"/>
          <w:bCs/>
          <w:sz w:val="24"/>
          <w:szCs w:val="24"/>
        </w:rPr>
      </w:r>
      <w:r/>
    </w:p>
    <w:p>
      <w:pPr>
        <w:pStyle w:val="89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0"/>
        <w:ind w:left="480" w:hanging="480"/>
        <w:spacing w:before="120" w:after="120" w:line="0" w:lineRule="atLeast"/>
        <w:rPr>
          <w:rFonts w:hAnsi="宋体"/>
          <w:sz w:val="24"/>
          <w:szCs w:val="24"/>
        </w:rPr>
      </w:pPr>
      <w:r>
        <w:rPr>
          <w:rFonts w:hAnsi="宋体"/>
          <w:sz w:val="24"/>
          <w:szCs w:val="24"/>
        </w:rPr>
        <w:t xml:space="preserve">  甲方：                        乙方： </w:t>
      </w:r>
      <w:r/>
    </w:p>
    <w:p>
      <w:pPr>
        <w:pStyle w:val="93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0"/>
        <w:jc w:val="center"/>
        <w:spacing w:before="120" w:after="120" w:line="0" w:lineRule="atLeast"/>
      </w:pPr>
      <w:r>
        <w:rPr>
          <w:rFonts w:hint="eastAsia"/>
        </w:rPr>
        <w:t xml:space="preserve">                                         </w:t>
      </w:r>
      <w:r/>
    </w:p>
    <w:p>
      <w:pPr>
        <w:pStyle w:val="930"/>
        <w:jc w:val="right"/>
        <w:spacing w:before="120" w:after="120" w:line="0" w:lineRule="atLeast"/>
        <w:rPr>
          <w:sz w:val="24"/>
          <w:szCs w:val="24"/>
        </w:rPr>
      </w:pPr>
      <w:r>
        <w:rPr>
          <w:rFonts w:hint="eastAsia"/>
          <w:sz w:val="24"/>
          <w:szCs w:val="24"/>
        </w:rPr>
        <w:t xml:space="preserve"> </w:t>
      </w:r>
      <w:r>
        <w:rPr>
          <w:sz w:val="24"/>
          <w:szCs w:val="24"/>
        </w:rPr>
      </w:r>
      <w:r/>
    </w:p>
    <w:p>
      <w:pPr>
        <w:pStyle w:val="93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1005"/>
        <w:ind w:firstLine="0"/>
        <w:spacing w:after="0"/>
        <w:rPr>
          <w:rFonts w:hint="eastAsia" w:ascii="宋体" w:hAnsi="宋体"/>
          <w:b/>
          <w:sz w:val="32"/>
          <w:szCs w:val="32"/>
        </w:rPr>
        <w:outlineLvl w:val="1"/>
      </w:pPr>
      <w:r/>
      <w:bookmarkStart w:id="191" w:name="_Toc49090575"/>
      <w:r/>
      <w:bookmarkStart w:id="192" w:name="_Toc26554093"/>
      <w:r>
        <w:rPr>
          <w:rFonts w:hint="eastAsia" w:ascii="宋体" w:hAnsi="宋体"/>
          <w:b/>
          <w:sz w:val="32"/>
          <w:szCs w:val="32"/>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756"/>
        <w:gridCol w:w="3402"/>
      </w:tblGrid>
      <w:tr>
        <w:trPr>
          <w:cantSplit/>
          <w:trHeight w:val="701"/>
        </w:trPr>
        <w:tc>
          <w:tcPr>
            <w:tcW w:w="1114" w:type="dxa"/>
            <w:vAlign w:val="center"/>
            <w:textDirection w:val="lrTb"/>
            <w:noWrap w:val="false"/>
          </w:tcPr>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序号</w:t>
            </w:r>
            <w:r/>
          </w:p>
        </w:tc>
        <w:tc>
          <w:tcPr>
            <w:tcW w:w="3756" w:type="dxa"/>
            <w:vAlign w:val="center"/>
            <w:textDirection w:val="lrTb"/>
            <w:noWrap w:val="false"/>
          </w:tcPr>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采购标的</w:t>
            </w:r>
            <w:r/>
          </w:p>
        </w:tc>
        <w:tc>
          <w:tcPr>
            <w:tcW w:w="3402" w:type="dxa"/>
            <w:vAlign w:val="center"/>
            <w:textDirection w:val="lrTb"/>
            <w:noWrap w:val="false"/>
          </w:tcPr>
          <w:p>
            <w:pPr>
              <w:pStyle w:val="891"/>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对应中小企业划分标准所属行业</w:t>
            </w:r>
            <w:r/>
          </w:p>
        </w:tc>
      </w:tr>
      <w:tr>
        <w:trPr>
          <w:cantSplit/>
          <w:trHeight w:val="291"/>
        </w:trPr>
        <w:tc>
          <w:tcPr>
            <w:tcW w:w="1114" w:type="dxa"/>
            <w:vAlign w:val="top"/>
            <w:textDirection w:val="lrTb"/>
            <w:noWrap w:val="false"/>
          </w:tcPr>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1</w:t>
            </w:r>
            <w:r/>
          </w:p>
        </w:tc>
        <w:tc>
          <w:tcPr>
            <w:tcW w:w="3756" w:type="dxa"/>
            <w:vAlign w:val="top"/>
            <w:textDirection w:val="lrTb"/>
            <w:noWrap w:val="false"/>
          </w:tcPr>
          <w:p>
            <w:pPr>
              <w:pStyle w:val="891"/>
              <w:spacing w:line="560" w:lineRule="exact"/>
              <w:rPr>
                <w:rFonts w:hint="eastAsia" w:ascii="方正魏碑_GBK" w:hAnsi="方正魏碑_GBK" w:eastAsia="方正魏碑_GBK" w:cs="方正魏碑_GBK"/>
                <w:bCs/>
                <w:color w:val="000000"/>
              </w:rPr>
            </w:pPr>
            <w:r>
              <w:rPr>
                <w:rFonts w:ascii="方正魏碑_GBK" w:hAnsi="方正魏碑_GBK" w:eastAsia="方正魏碑_GBK" w:cs="方正魏碑_GBK"/>
                <w:bCs/>
                <w:color w:val="000000"/>
              </w:rPr>
              <w:t xml:space="preserve">财政人工智能知识库构建服务平台</w:t>
            </w:r>
            <w:r>
              <w:rPr>
                <w:rFonts w:hint="eastAsia" w:ascii="方正魏碑_GBK" w:hAnsi="方正魏碑_GBK" w:eastAsia="方正魏碑_GBK" w:cs="方正魏碑_GBK"/>
                <w:bCs/>
                <w:color w:val="000000"/>
              </w:rPr>
            </w:r>
            <w:r/>
          </w:p>
        </w:tc>
        <w:tc>
          <w:tcPr>
            <w:tcW w:w="3402" w:type="dxa"/>
            <w:vAlign w:val="top"/>
            <w:textDirection w:val="lrTb"/>
            <w:noWrap w:val="false"/>
          </w:tcPr>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软件和信息技术服务业</w:t>
            </w:r>
            <w:r>
              <w:rPr>
                <w:rFonts w:hint="eastAsia" w:ascii="方正魏碑_GBK" w:hAnsi="方正魏碑_GBK" w:eastAsia="方正魏碑_GBK" w:cs="方正魏碑_GBK"/>
                <w:bCs/>
                <w:color w:val="000000"/>
              </w:rPr>
            </w:r>
            <w:r/>
          </w:p>
        </w:tc>
      </w:tr>
    </w:tbl>
    <w:p>
      <w:pPr>
        <w:pStyle w:val="891"/>
        <w:ind w:firstLine="640"/>
        <w:spacing w:line="560" w:lineRule="exact"/>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bCs/>
          <w:color w:val="000000"/>
          <w:sz w:val="32"/>
          <w:szCs w:val="32"/>
        </w:rPr>
        <w:t xml:space="preserve">项目属性:服务类项目。</w:t>
      </w:r>
      <w:r>
        <w:rPr>
          <w:rFonts w:hint="eastAsia" w:ascii="方正仿宋_GBK" w:hAnsi="方正仿宋_GBK" w:eastAsia="方正仿宋_GBK" w:cs="方正仿宋_GBK"/>
          <w:sz w:val="32"/>
          <w:szCs w:val="32"/>
          <w:highlight w:val="yellow"/>
        </w:rPr>
      </w:r>
      <w:r/>
    </w:p>
    <w:p>
      <w:pPr>
        <w:pStyle w:val="1005"/>
        <w:ind w:firstLine="0"/>
        <w:spacing w:after="0"/>
        <w:rPr>
          <w:rFonts w:hint="eastAsia" w:ascii="宋体" w:hAnsi="宋体"/>
          <w:b/>
          <w:sz w:val="32"/>
          <w:szCs w:val="32"/>
        </w:rPr>
        <w:outlineLvl w:val="1"/>
      </w:pPr>
      <w:r>
        <w:rPr>
          <w:rFonts w:hint="eastAsia" w:ascii="宋体" w:hAnsi="宋体"/>
          <w:b/>
          <w:sz w:val="32"/>
          <w:szCs w:val="32"/>
        </w:rPr>
        <w:t xml:space="preserve">二、政府采购中实施本国产品标准及相关政策</w:t>
      </w:r>
      <w:r/>
    </w:p>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
          <w:color w:val="000000"/>
        </w:rPr>
        <w:t xml:space="preserve">2.本国产品标准适用于服务项目中涉及的货物。</w:t>
      </w:r>
      <w:r>
        <w:rPr>
          <w:rFonts w:hint="eastAsia" w:ascii="方正魏碑_GBK" w:hAnsi="方正魏碑_GBK" w:eastAsia="方正魏碑_GBK" w:cs="方正魏碑_GBK"/>
          <w:bCs/>
          <w:color w:val="00000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ind w:firstLine="420"/>
        <w:spacing w:line="560" w:lineRule="exact"/>
        <w:rPr>
          <w:rFonts w:hint="eastAsia" w:ascii="方正魏碑_GBK" w:hAnsi="方正魏碑_GBK" w:eastAsia="方正魏碑_GBK" w:cs="方正魏碑_GBK"/>
          <w:bCs/>
          <w:color w:val="000000"/>
        </w:rPr>
      </w:pPr>
      <w:r>
        <w:rPr>
          <w:rFonts w:hint="eastAsia" w:ascii="方正魏碑_GBK" w:hAnsi="方正魏碑_GBK" w:eastAsia="方正魏碑_GBK" w:cs="方正魏碑_GBK"/>
          <w:bCs/>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3"/>
        <w:ind w:left="-420" w:firstLine="420"/>
        <w:spacing w:before="0" w:after="0" w:line="360" w:lineRule="auto"/>
        <w:tabs>
          <w:tab w:val="left" w:pos="397" w:leader="none"/>
          <w:tab w:val="left" w:pos="1427" w:leader="none"/>
        </w:tabs>
        <w:rPr>
          <w:rFonts w:hint="eastAsia" w:ascii="Times New Roman" w:hAnsi="Times New Roman"/>
          <w:bCs w:val="0"/>
          <w:sz w:val="24"/>
          <w:szCs w:val="24"/>
          <w:lang w:val="zh-CN" w:eastAsia="zh-CN"/>
        </w:rPr>
      </w:pPr>
      <w:r/>
      <w:bookmarkStart w:id="193" w:name="_Toc447268504"/>
      <w:r/>
      <w:bookmarkStart w:id="194" w:name="_Toc48556394"/>
      <w:r/>
      <w:bookmarkStart w:id="195" w:name="_Toc421617727"/>
      <w:r/>
      <w:bookmarkStart w:id="196" w:name="_Toc403401469"/>
      <w:r>
        <w:rPr>
          <w:rFonts w:hint="eastAsia" w:ascii="Times New Roman" w:hAnsi="Times New Roman"/>
          <w:bCs w:val="0"/>
          <w:sz w:val="24"/>
          <w:szCs w:val="24"/>
          <w:lang w:val="zh-CN" w:eastAsia="zh-CN"/>
        </w:rPr>
      </w:r>
      <w:r/>
    </w:p>
    <w:p>
      <w:pPr>
        <w:pStyle w:val="1005"/>
        <w:ind w:firstLine="0"/>
        <w:spacing w:after="0"/>
        <w:rPr>
          <w:rFonts w:ascii="宋体" w:hAnsi="宋体"/>
          <w:b/>
          <w:sz w:val="32"/>
          <w:szCs w:val="32"/>
        </w:rPr>
        <w:outlineLvl w:val="1"/>
      </w:pPr>
      <w:r>
        <w:rPr>
          <w:rFonts w:hint="eastAsia" w:ascii="宋体" w:hAnsi="宋体"/>
          <w:b/>
          <w:sz w:val="32"/>
          <w:szCs w:val="32"/>
        </w:rPr>
        <w:t xml:space="preserve">三、项目基本信息</w:t>
      </w:r>
      <w:bookmarkEnd w:id="193"/>
      <w:r/>
      <w:bookmarkEnd w:id="194"/>
      <w:r>
        <w:rPr>
          <w:rFonts w:ascii="宋体" w:hAnsi="宋体"/>
          <w:b/>
          <w:sz w:val="32"/>
          <w:szCs w:val="32"/>
        </w:rPr>
      </w:r>
      <w:r/>
    </w:p>
    <w:p>
      <w:pPr>
        <w:pStyle w:val="1005"/>
        <w:ind w:firstLine="0"/>
        <w:spacing w:after="0"/>
        <w:rPr>
          <w:rFonts w:ascii="宋体" w:hAnsi="宋体"/>
          <w:b/>
          <w:szCs w:val="24"/>
        </w:rPr>
        <w:outlineLvl w:val="1"/>
      </w:pPr>
      <w:r>
        <w:rPr>
          <w:rFonts w:hint="eastAsia" w:ascii="宋体" w:hAnsi="宋体"/>
          <w:b/>
          <w:szCs w:val="24"/>
        </w:rPr>
        <w:t xml:space="preserve">（一）项目目标</w:t>
      </w:r>
      <w:r>
        <w:rPr>
          <w:rFonts w:ascii="宋体" w:hAnsi="宋体"/>
          <w:b/>
          <w:szCs w:val="24"/>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随着财政体制改革的深化，财会监督与政策法规的专业性、复杂性日益增强。基层财政人员与一线监督专家在日常工作中，面临着政策文件数量庞大、新旧法规交替频繁、跨页财务表格查阅困难等痛点。为提升财政知识服务水平，本项目拟依托省数据局统一建设的算力平台（提供开源大模型 API 及算力资源），建设一套全链路自主可控、具备深度解析与精准溯源能力的“财政智能知识库平台”。该平台是一个集成知识库能力并对外提供智能问答等应用场景的一体化平台，采用“平台底座—知识中枢—智能应用”三层架构：</w:t>
      </w:r>
      <w:r>
        <w:rPr>
          <w:rFonts w:ascii="宋体" w:hAnsi="宋体"/>
          <w:spacing w:val="8"/>
          <w:szCs w:val="24"/>
          <w:lang w:val="en-US"/>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平台底座层：多租户隔离、权限与安全管控、模型网关与算力调度、国产化环境适配，为上层能力提供统一支撑；</w:t>
      </w:r>
      <w:r>
        <w:rPr>
          <w:rFonts w:ascii="宋体" w:hAnsi="宋体"/>
          <w:spacing w:val="8"/>
          <w:szCs w:val="24"/>
          <w:lang w:val="en-US"/>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知识中枢层：财政知识资产的解析、切片、治理、组织、检索与全链路追溯，是平台的核心能力层；</w:t>
      </w:r>
      <w:r>
        <w:rPr>
          <w:rFonts w:ascii="宋体" w:hAnsi="宋体"/>
          <w:spacing w:val="8"/>
          <w:szCs w:val="24"/>
          <w:lang w:val="en-US"/>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智能应用层：面向财会监督、政策法规等场景的智能问答服务，以及通用/个人智能体平台。</w:t>
      </w:r>
      <w:r>
        <w:rPr>
          <w:rFonts w:ascii="宋体" w:hAnsi="宋体"/>
          <w:spacing w:val="8"/>
          <w:szCs w:val="24"/>
          <w:lang w:val="en-US"/>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率先在财会监督与政策法规问答场景中实现 AI 赋能。</w:t>
      </w:r>
      <w:r>
        <w:rPr>
          <w:rFonts w:ascii="宋体" w:hAnsi="宋体"/>
          <w:spacing w:val="8"/>
          <w:szCs w:val="24"/>
          <w:lang w:val="en-US"/>
        </w:rPr>
      </w:r>
      <w:r/>
    </w:p>
    <w:p>
      <w:pPr>
        <w:pStyle w:val="1005"/>
        <w:numPr>
          <w:ilvl w:val="0"/>
          <w:numId w:val="5"/>
        </w:numPr>
        <w:spacing w:after="0"/>
        <w:rPr>
          <w:rFonts w:ascii="宋体" w:hAnsi="宋体"/>
          <w:b/>
          <w:szCs w:val="24"/>
        </w:rPr>
        <w:outlineLvl w:val="1"/>
      </w:pPr>
      <w:r>
        <w:rPr>
          <w:rFonts w:hint="eastAsia" w:ascii="宋体" w:hAnsi="宋体"/>
          <w:b/>
          <w:szCs w:val="24"/>
        </w:rPr>
        <w:t xml:space="preserve">项目建设周期</w:t>
      </w:r>
      <w:r>
        <w:rPr>
          <w:rFonts w:ascii="宋体" w:hAnsi="宋体"/>
          <w:b/>
          <w:szCs w:val="24"/>
        </w:rPr>
      </w:r>
      <w:r/>
    </w:p>
    <w:p>
      <w:pPr>
        <w:pStyle w:val="891"/>
        <w:ind w:firstLine="480"/>
        <w:jc w:val="left"/>
        <w:spacing w:line="360" w:lineRule="auto"/>
        <w:widowControl/>
        <w:rPr>
          <w:rFonts w:ascii="宋体" w:hAnsi="宋体"/>
          <w:sz w:val="24"/>
          <w:szCs w:val="24"/>
        </w:rPr>
      </w:pPr>
      <w:r/>
      <w:bookmarkStart w:id="197" w:name="_Toc447268505"/>
      <w:r>
        <w:rPr>
          <w:rFonts w:hint="eastAsia" w:ascii="宋体" w:hAnsi="宋体"/>
          <w:sz w:val="24"/>
          <w:szCs w:val="24"/>
        </w:rPr>
        <w:t xml:space="preserve">自合同签订之日起</w:t>
      </w:r>
      <w:r>
        <w:rPr>
          <w:rFonts w:hint="eastAsia" w:ascii="宋体" w:hAnsi="宋体"/>
          <w:b/>
          <w:bCs/>
          <w:sz w:val="24"/>
          <w:szCs w:val="24"/>
        </w:rPr>
        <w:t xml:space="preserve">3个月内</w:t>
      </w:r>
      <w:r>
        <w:rPr>
          <w:rFonts w:hint="eastAsia" w:ascii="宋体" w:hAnsi="宋体"/>
          <w:sz w:val="24"/>
          <w:szCs w:val="24"/>
        </w:rPr>
        <w:t xml:space="preserve">完成上线。</w:t>
      </w:r>
      <w:r>
        <w:rPr>
          <w:rFonts w:ascii="宋体" w:hAnsi="宋体"/>
          <w:sz w:val="24"/>
          <w:szCs w:val="24"/>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第一阶段（第1-5周）：基础能力交付。完成系统环境私有化部署；完成省本级首批核心文件（约100份）的版面解析、手工纠错与向量化入库；基础问答功能可用，支持政策条文检索和单文档问答；所有回答100%溯源至原文段落或表格单元格；系统在国产化环境下完成部署验证。</w:t>
      </w:r>
      <w:r>
        <w:rPr>
          <w:rFonts w:ascii="宋体" w:hAnsi="宋体"/>
          <w:spacing w:val="8"/>
          <w:szCs w:val="24"/>
          <w:lang w:val="en-US"/>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第二阶段（第6-9周）：能力增强交付。完成“财会监督”与“政策法规”两大场景建设；跨文件关联检索能力上线；混合检索策略调优，专业术语召回率达标；多租户隔离机制完成；智能体平台基础功能交付；完成与数据局DeepSeek/Qwen等模型API的对接调优。本阶段的核心判断依据是第一阶段实际积累的查询日志，哪些场景需要更深度的关联能力由数据决定。</w:t>
      </w:r>
      <w:r>
        <w:rPr>
          <w:rFonts w:ascii="宋体" w:hAnsi="宋体"/>
          <w:spacing w:val="8"/>
          <w:szCs w:val="24"/>
          <w:lang w:val="en-US"/>
        </w:rPr>
      </w:r>
      <w:r/>
    </w:p>
    <w:p>
      <w:pPr>
        <w:pStyle w:val="1005"/>
        <w:ind w:firstLine="512"/>
        <w:spacing w:after="0"/>
        <w:rPr>
          <w:rFonts w:ascii="宋体" w:hAnsi="宋体"/>
          <w:spacing w:val="8"/>
          <w:szCs w:val="24"/>
          <w:lang w:val="en-US"/>
        </w:rPr>
      </w:pPr>
      <w:r>
        <w:rPr>
          <w:rFonts w:hint="eastAsia" w:ascii="宋体" w:hAnsi="宋体"/>
          <w:spacing w:val="8"/>
          <w:szCs w:val="24"/>
          <w:lang w:val="en-US"/>
        </w:rPr>
        <w:t xml:space="preserve">第三阶段（第10-12周）：试运行与培训。利用“黄金测试集”进行准确率压测调优；完成业务人员后台操作培训；开展全省多租户账号分发与试运行。</w:t>
      </w:r>
      <w:r>
        <w:rPr>
          <w:rFonts w:ascii="宋体" w:hAnsi="宋体"/>
          <w:spacing w:val="8"/>
          <w:szCs w:val="24"/>
          <w:lang w:val="en-US"/>
        </w:rPr>
      </w:r>
      <w:r/>
    </w:p>
    <w:p>
      <w:pPr>
        <w:pStyle w:val="1005"/>
        <w:numPr>
          <w:ilvl w:val="0"/>
          <w:numId w:val="5"/>
        </w:numPr>
        <w:spacing w:after="0"/>
        <w:rPr>
          <w:rFonts w:ascii="宋体" w:hAnsi="宋体"/>
          <w:b/>
          <w:szCs w:val="24"/>
        </w:rPr>
        <w:outlineLvl w:val="1"/>
      </w:pPr>
      <w:r>
        <w:rPr>
          <w:rFonts w:hint="eastAsia" w:ascii="宋体" w:hAnsi="宋体"/>
          <w:b/>
          <w:szCs w:val="24"/>
        </w:rPr>
        <w:t xml:space="preserve">项目预算</w:t>
      </w:r>
      <w:r>
        <w:rPr>
          <w:rFonts w:ascii="宋体" w:hAnsi="宋体"/>
          <w:b/>
          <w:szCs w:val="24"/>
        </w:rPr>
      </w:r>
      <w:r/>
    </w:p>
    <w:p>
      <w:pPr>
        <w:pStyle w:val="891"/>
        <w:ind w:firstLine="480"/>
        <w:spacing w:line="360" w:lineRule="auto"/>
        <w:rPr>
          <w:rFonts w:ascii="宋体" w:hAnsi="宋体"/>
          <w:sz w:val="24"/>
          <w:szCs w:val="24"/>
        </w:rPr>
      </w:pPr>
      <w:r>
        <w:rPr>
          <w:rFonts w:hint="eastAsia" w:ascii="宋体" w:hAnsi="宋体"/>
          <w:sz w:val="24"/>
          <w:szCs w:val="24"/>
        </w:rPr>
        <w:t xml:space="preserve">项目预算：65万元。</w:t>
      </w:r>
      <w:bookmarkEnd w:id="197"/>
      <w:r>
        <w:rPr>
          <w:rFonts w:ascii="宋体" w:hAnsi="宋体"/>
          <w:sz w:val="24"/>
          <w:szCs w:val="24"/>
        </w:rPr>
      </w:r>
      <w:r/>
    </w:p>
    <w:p>
      <w:pPr>
        <w:pStyle w:val="1005"/>
        <w:numPr>
          <w:ilvl w:val="0"/>
          <w:numId w:val="5"/>
        </w:numPr>
        <w:spacing w:after="0"/>
        <w:rPr>
          <w:rFonts w:ascii="宋体" w:hAnsi="宋体"/>
          <w:b/>
          <w:szCs w:val="24"/>
        </w:rPr>
        <w:outlineLvl w:val="1"/>
      </w:pPr>
      <w:r>
        <w:rPr>
          <w:rFonts w:hint="eastAsia" w:ascii="宋体" w:hAnsi="宋体"/>
          <w:b/>
          <w:szCs w:val="24"/>
        </w:rPr>
        <w:t xml:space="preserve">项目内容</w:t>
      </w:r>
      <w:r>
        <w:rPr>
          <w:rFonts w:ascii="宋体" w:hAnsi="宋体"/>
          <w:b/>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1．财政知识治理与可信管控</w:t>
      </w:r>
      <w:r>
        <w:rPr>
          <w:rFonts w:ascii="宋体" w:hAnsi="宋体"/>
          <w:b/>
          <w:bCs/>
          <w:sz w:val="24"/>
          <w:szCs w:val="24"/>
        </w:rPr>
      </w:r>
      <w:r/>
    </w:p>
    <w:p>
      <w:pPr>
        <w:pStyle w:val="891"/>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）数据可信与规范治理。建立统一财政知识资产目录，支持PDF、DOC、DOCX、TXT、HTML 等多格式解析与转换；实施数据分类分级、脱敏处理、权限管控；对每条知识标注来源权威等级、核验状态、时效性、版本号，确保引用依据真实、可查、可核验。</w:t>
      </w:r>
      <w:r>
        <w:rPr>
          <w:rFonts w:ascii="宋体" w:hAnsi="宋体"/>
          <w:sz w:val="24"/>
          <w:szCs w:val="24"/>
        </w:rPr>
      </w:r>
      <w:r/>
    </w:p>
    <w:p>
      <w:pPr>
        <w:pStyle w:val="891"/>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过程与结果可信管控。建立政策文本判定逻辑的可执行转换机制，转换准确率≥95%；建立源头政策与派生知识联动更新机制，知识变更响应时间≤24小时；构建知识可信引用与冲突裁决机制，优先选用权威、有效、核验通过知识，支持业务结论依据溯源展示。</w:t>
      </w:r>
      <w:r>
        <w:rPr>
          <w:rFonts w:ascii="宋体" w:hAnsi="宋体"/>
          <w:sz w:val="24"/>
          <w:szCs w:val="24"/>
        </w:rPr>
      </w:r>
      <w:r/>
    </w:p>
    <w:p>
      <w:pPr>
        <w:pStyle w:val="891"/>
        <w:ind w:firstLine="482"/>
        <w:spacing w:line="360" w:lineRule="auto"/>
        <w:outlineLvl w:val="2"/>
      </w:pPr>
      <w:r>
        <w:rPr>
          <w:rFonts w:hint="eastAsia" w:ascii="宋体" w:hAnsi="宋体"/>
          <w:b/>
          <w:sz w:val="24"/>
        </w:rPr>
        <w:t xml:space="preserve">2．知识组织追溯与国产化性能</w:t>
      </w:r>
      <w:r/>
    </w:p>
    <w:p>
      <w:pPr>
        <w:pStyle w:val="891"/>
        <w:ind w:firstLine="480"/>
        <w:spacing w:line="360" w:lineRule="auto"/>
        <w:rPr>
          <w:rFonts w:ascii="宋体" w:hAnsi="宋体"/>
          <w:sz w:val="24"/>
          <w:szCs w:val="24"/>
        </w:rPr>
      </w:pPr>
      <w:r>
        <w:rPr>
          <w:rFonts w:hint="eastAsia" w:ascii="宋体" w:hAnsi="宋体"/>
          <w:sz w:val="24"/>
          <w:szCs w:val="24"/>
        </w:rPr>
        <w:t xml:space="preserve">（1）知识组织与全链路追溯。支持跨库、跨目录、跨部门统一搜索，召回准确率≥90%；文件元数据自动提取准确率≥96%，支持标签管理；完整留存知识全生命周期操作记录，实现业务结论可追溯、责任可明确。</w:t>
      </w:r>
      <w:r>
        <w:rPr>
          <w:rFonts w:ascii="宋体" w:hAnsi="宋体"/>
          <w:sz w:val="24"/>
          <w:szCs w:val="24"/>
        </w:rPr>
      </w:r>
      <w:r/>
    </w:p>
    <w:p>
      <w:pPr>
        <w:pStyle w:val="891"/>
        <w:ind w:firstLine="480"/>
        <w:spacing w:line="360" w:lineRule="auto"/>
        <w:rPr>
          <w:rFonts w:ascii="宋体" w:hAnsi="宋体"/>
          <w:sz w:val="24"/>
          <w:szCs w:val="24"/>
        </w:rPr>
      </w:pPr>
      <w:r>
        <w:rPr>
          <w:rFonts w:hint="eastAsia" w:ascii="宋体" w:hAnsi="宋体"/>
          <w:sz w:val="24"/>
          <w:szCs w:val="24"/>
        </w:rPr>
        <w:t xml:space="preserve">（2）</w:t>
      </w:r>
      <w:bookmarkStart w:id="198" w:name="OLE_LINK6"/>
      <w:r>
        <w:rPr>
          <w:rFonts w:hint="eastAsia" w:ascii="宋体" w:hAnsi="宋体"/>
          <w:sz w:val="24"/>
          <w:szCs w:val="24"/>
        </w:rPr>
        <w:t xml:space="preserve">治理机制与权限管控</w:t>
      </w:r>
      <w:bookmarkEnd w:id="198"/>
      <w:r>
        <w:rPr>
          <w:rFonts w:hint="eastAsia" w:ascii="宋体" w:hAnsi="宋体"/>
          <w:sz w:val="24"/>
          <w:szCs w:val="24"/>
        </w:rPr>
        <w:t xml:space="preserve">。建立人机协同审核流程，未经审核知识禁止进入正式应用；按部门、岗位、密级实施文件级权限管理，严防敏感数据越权访问、违规使用。</w:t>
      </w:r>
      <w:r>
        <w:rPr>
          <w:rFonts w:ascii="宋体" w:hAnsi="宋体"/>
          <w:sz w:val="24"/>
          <w:szCs w:val="24"/>
        </w:rPr>
      </w:r>
      <w:r/>
    </w:p>
    <w:p>
      <w:pPr>
        <w:pStyle w:val="891"/>
        <w:ind w:firstLine="480"/>
        <w:spacing w:line="360" w:lineRule="auto"/>
        <w:rPr>
          <w:rFonts w:ascii="宋体" w:hAnsi="宋体"/>
          <w:sz w:val="24"/>
          <w:szCs w:val="24"/>
        </w:rPr>
      </w:pPr>
      <w:r>
        <w:rPr>
          <w:rFonts w:hint="eastAsia" w:ascii="宋体" w:hAnsi="宋体"/>
          <w:sz w:val="24"/>
          <w:szCs w:val="24"/>
        </w:rPr>
        <w:t xml:space="preserve">（3）国产化适配。全面适配国产化环境，支持国产操作系统、国产数据库、国产中间件；并发用户数≥50人。</w:t>
      </w:r>
      <w:r>
        <w:rPr>
          <w:rFonts w:ascii="宋体" w:hAnsi="宋体"/>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3．数据切片策略与人工干预方案</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深度文档解析与治理引擎（核心基座）</w:t>
      </w:r>
      <w:r>
        <w:rPr>
          <w:sz w:val="24"/>
          <w:szCs w:val="24"/>
        </w:rPr>
      </w:r>
      <w:r/>
    </w:p>
    <w:p>
      <w:pPr>
        <w:pStyle w:val="891"/>
        <w:ind w:firstLine="480"/>
        <w:jc w:val="left"/>
        <w:spacing w:line="360" w:lineRule="auto"/>
        <w:widowControl/>
        <w:rPr>
          <w:sz w:val="24"/>
          <w:szCs w:val="24"/>
        </w:rPr>
      </w:pPr>
      <w:r>
        <w:rPr>
          <w:rFonts w:hint="eastAsia"/>
          <w:sz w:val="24"/>
          <w:szCs w:val="24"/>
        </w:rPr>
        <w:t xml:space="preserve">多模态版面还原：应具备文档版面分析能力，能精准提取财政扫描件中的印章、双栏排版及复杂嵌套表格，并转换为标准的Markdown或JSON格式。</w:t>
      </w:r>
      <w:r>
        <w:rPr>
          <w:sz w:val="24"/>
          <w:szCs w:val="24"/>
        </w:rPr>
      </w:r>
      <w:r/>
    </w:p>
    <w:p>
      <w:pPr>
        <w:pStyle w:val="891"/>
        <w:ind w:firstLine="480"/>
        <w:jc w:val="left"/>
        <w:spacing w:line="360" w:lineRule="auto"/>
        <w:widowControl/>
        <w:rPr>
          <w:sz w:val="24"/>
          <w:szCs w:val="24"/>
        </w:rPr>
      </w:pPr>
      <w:r>
        <w:rPr>
          <w:rFonts w:hint="eastAsia"/>
          <w:sz w:val="24"/>
          <w:szCs w:val="24"/>
        </w:rPr>
        <w:t xml:space="preserve">语义层级切片：针对财政公文，支持按“章-节-条-款”的业务逻辑进行切片，保留父子文档结构，严禁粗暴按字数截断导致上下文语义丢失。</w:t>
      </w:r>
      <w:r>
        <w:rPr>
          <w:sz w:val="24"/>
          <w:szCs w:val="24"/>
        </w:rPr>
      </w:r>
      <w:r/>
    </w:p>
    <w:p>
      <w:pPr>
        <w:pStyle w:val="891"/>
        <w:ind w:firstLine="480"/>
        <w:jc w:val="left"/>
        <w:spacing w:line="360" w:lineRule="auto"/>
        <w:widowControl/>
        <w:rPr>
          <w:sz w:val="24"/>
          <w:szCs w:val="24"/>
        </w:rPr>
      </w:pPr>
      <w:r>
        <w:rPr>
          <w:rFonts w:hint="eastAsia"/>
          <w:sz w:val="24"/>
          <w:szCs w:val="24"/>
        </w:rPr>
        <w:t xml:space="preserve">人工干预机制：提供可视化界面展示切片结果及父子文档关系，支持人工调整切片边界、标注错误、重新切片等操作。</w:t>
      </w:r>
      <w:r>
        <w:rPr>
          <w:sz w:val="24"/>
          <w:szCs w:val="24"/>
        </w:rPr>
      </w:r>
      <w:r/>
    </w:p>
    <w:p>
      <w:pPr>
        <w:pStyle w:val="891"/>
        <w:ind w:firstLine="482"/>
        <w:jc w:val="left"/>
        <w:spacing w:line="360" w:lineRule="auto"/>
        <w:widowControl/>
        <w:rPr>
          <w:rFonts w:ascii="宋体" w:hAnsi="宋体"/>
          <w:b/>
          <w:bCs/>
          <w:sz w:val="24"/>
          <w:szCs w:val="24"/>
        </w:rPr>
        <w:outlineLvl w:val="2"/>
      </w:pPr>
      <w:r>
        <w:rPr>
          <w:rFonts w:hint="eastAsia" w:ascii="宋体" w:hAnsi="宋体"/>
          <w:b/>
          <w:bCs/>
          <w:sz w:val="24"/>
          <w:szCs w:val="24"/>
        </w:rPr>
        <w:t xml:space="preserve">4．知识入库与检索策略</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模型调用：利用省数据局提供的算力资源与模型API，完成向量化模型与重排模型的调用集成与参数调优。投标人无需自行部署模型，但须完成与数据局模型服务的对接、调优和效果验证。</w:t>
      </w:r>
      <w:r>
        <w:rPr>
          <w:sz w:val="24"/>
          <w:szCs w:val="24"/>
        </w:rPr>
      </w:r>
      <w:r/>
    </w:p>
    <w:p>
      <w:pPr>
        <w:pStyle w:val="891"/>
        <w:ind w:firstLine="480"/>
        <w:jc w:val="left"/>
        <w:spacing w:line="360" w:lineRule="auto"/>
        <w:widowControl/>
        <w:rPr>
          <w:sz w:val="24"/>
          <w:szCs w:val="24"/>
        </w:rPr>
      </w:pPr>
      <w:r>
        <w:rPr>
          <w:rFonts w:hint="eastAsia"/>
          <w:sz w:val="24"/>
          <w:szCs w:val="24"/>
        </w:rPr>
        <w:t xml:space="preserve">向量存储：使用省数据局云平台提供的存储资源部署向量存储组件，确保财政数据资产存储于数据局统一管理的云平台内。</w:t>
      </w:r>
      <w:r>
        <w:rPr>
          <w:sz w:val="24"/>
          <w:szCs w:val="24"/>
        </w:rPr>
      </w:r>
      <w:r/>
    </w:p>
    <w:p>
      <w:pPr>
        <w:pStyle w:val="891"/>
        <w:ind w:firstLine="482"/>
        <w:jc w:val="left"/>
        <w:spacing w:line="360" w:lineRule="auto"/>
        <w:widowControl/>
        <w:rPr>
          <w:rFonts w:ascii="宋体" w:hAnsi="宋体"/>
          <w:b/>
          <w:bCs/>
          <w:sz w:val="24"/>
          <w:szCs w:val="24"/>
        </w:rPr>
        <w:outlineLvl w:val="2"/>
      </w:pPr>
      <w:r>
        <w:rPr>
          <w:rFonts w:hint="eastAsia" w:ascii="宋体" w:hAnsi="宋体"/>
          <w:b/>
          <w:bCs/>
          <w:sz w:val="24"/>
          <w:szCs w:val="24"/>
        </w:rPr>
        <w:t xml:space="preserve">5．多租户隔离架构设计</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评估省市两级租户权限隔离机制、本地数据加密策略，确保各级财政业务数据的绝对物理与逻辑隔离。</w:t>
      </w:r>
      <w:r>
        <w:rPr>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6．知识检索与排序能力、联合检索与数据共享流</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知识检索引擎（语义+关键词融合、二次排序）、省市联合检索架构（物理集中、逻辑隔离、按权限聚合“省厅公共库”与“本地市独有库”）。</w:t>
      </w:r>
      <w:r>
        <w:rPr>
          <w:sz w:val="24"/>
          <w:szCs w:val="24"/>
        </w:rPr>
      </w:r>
      <w:r/>
    </w:p>
    <w:p>
      <w:pPr>
        <w:pStyle w:val="891"/>
        <w:ind w:firstLine="482"/>
        <w:spacing w:line="360" w:lineRule="auto"/>
        <w:outlineLvl w:val="2"/>
      </w:pPr>
      <w:r>
        <w:rPr>
          <w:rFonts w:hint="eastAsia" w:ascii="宋体" w:hAnsi="宋体"/>
          <w:b/>
          <w:sz w:val="24"/>
        </w:rPr>
        <w:t xml:space="preserve">7．复杂查询处理能力</w:t>
      </w:r>
      <w:r/>
    </w:p>
    <w:p>
      <w:pPr>
        <w:pStyle w:val="891"/>
        <w:ind w:firstLine="480"/>
        <w:jc w:val="left"/>
        <w:spacing w:line="360" w:lineRule="auto"/>
        <w:widowControl/>
        <w:rPr>
          <w:sz w:val="24"/>
          <w:szCs w:val="24"/>
        </w:rPr>
      </w:pPr>
      <w:r>
        <w:rPr>
          <w:rFonts w:hint="eastAsia"/>
          <w:sz w:val="24"/>
          <w:szCs w:val="24"/>
        </w:rPr>
        <w:t xml:space="preserve">投标人须在技术方案中针对关系型查询和全局性问题的处理进行专项说明：明确识别关系型查询（如跨文件引用、多条款对比、关联政策推荐）和全局性问题（如多年度政策演变归纳、跨领域政策综合）作为系统的能力边界，并说明传统单文档检索在这些场景下的局限性；提出可操作的技术增强路径，说明其核心思路及如何解决关系型查询和全局性问题；说明现有架构如何支持后续增强而不需要重构，包括知识存储层是否预留关系数据存储空间、检索层是否支持增加其他检索路径、是否具备根据查询复杂度动态选择检索策略的能力。</w:t>
      </w:r>
      <w:r>
        <w:rPr>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8．系统可信管控（防幻觉控制与时效性冲突处理）</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考察系统抑制大模型“无中生有”及“时效错乱”的工程机制，包括证据充分性评估、引用精确溯源、法规版本时效追踪等能力。系统应在生成答案前主动识别证据不足情况，并做出标记、提示补件或转入人工复核等正确处理。系统应能识别法规生效时间与修订历史，对引用已失效或已修订法规的回答进行主动警示，或优先引用现行有效版本并标注版本号。</w:t>
      </w:r>
      <w:r>
        <w:rPr>
          <w:sz w:val="24"/>
          <w:szCs w:val="24"/>
        </w:rPr>
      </w:r>
      <w:r/>
    </w:p>
    <w:p>
      <w:pPr>
        <w:pStyle w:val="891"/>
        <w:ind w:firstLine="482"/>
        <w:spacing w:line="360" w:lineRule="auto"/>
        <w:outlineLvl w:val="2"/>
      </w:pPr>
      <w:r>
        <w:rPr>
          <w:rFonts w:hint="eastAsia" w:ascii="宋体" w:hAnsi="宋体"/>
          <w:b/>
          <w:sz w:val="24"/>
        </w:rPr>
        <w:t xml:space="preserve">9．安全管控与审计</w:t>
      </w:r>
      <w:r/>
    </w:p>
    <w:p>
      <w:pPr>
        <w:pStyle w:val="891"/>
        <w:ind w:firstLine="480"/>
        <w:jc w:val="left"/>
        <w:spacing w:line="360" w:lineRule="auto"/>
        <w:widowControl/>
        <w:rPr>
          <w:sz w:val="24"/>
          <w:szCs w:val="24"/>
        </w:rPr>
      </w:pPr>
      <w:r>
        <w:rPr>
          <w:rFonts w:hint="eastAsia"/>
          <w:sz w:val="24"/>
          <w:szCs w:val="24"/>
        </w:rPr>
        <w:t xml:space="preserve">评估系统安全管控与审计能力，须提供以下功能的设计方案：（</w:t>
      </w:r>
      <w:r>
        <w:rPr>
          <w:sz w:val="24"/>
          <w:szCs w:val="24"/>
        </w:rPr>
        <w:t xml:space="preserve">1</w:t>
      </w:r>
      <w:r>
        <w:rPr>
          <w:rFonts w:hint="eastAsia"/>
          <w:sz w:val="24"/>
          <w:szCs w:val="24"/>
        </w:rPr>
        <w:t xml:space="preserve">）按部门、岗位、密级实施文件级权限管理，严防敏感数据越权访问、违规使用；（</w:t>
      </w:r>
      <w:r>
        <w:rPr>
          <w:sz w:val="24"/>
          <w:szCs w:val="24"/>
        </w:rPr>
        <w:t xml:space="preserve">2</w:t>
      </w:r>
      <w:r>
        <w:rPr>
          <w:rFonts w:hint="eastAsia"/>
          <w:sz w:val="24"/>
          <w:szCs w:val="24"/>
        </w:rPr>
        <w:t xml:space="preserve">）审计日志留存≥</w:t>
      </w:r>
      <w:r>
        <w:rPr>
          <w:sz w:val="24"/>
          <w:szCs w:val="24"/>
        </w:rPr>
        <w:t xml:space="preserve">1</w:t>
      </w:r>
      <w:r>
        <w:rPr>
          <w:rFonts w:hint="eastAsia"/>
          <w:sz w:val="24"/>
          <w:szCs w:val="24"/>
        </w:rPr>
        <w:t xml:space="preserve">年，支持导出、查询、统计，满足历史现场复盘需要；（</w:t>
      </w:r>
      <w:r>
        <w:rPr>
          <w:sz w:val="24"/>
          <w:szCs w:val="24"/>
        </w:rPr>
        <w:t xml:space="preserve">3</w:t>
      </w:r>
      <w:r>
        <w:rPr>
          <w:rFonts w:hint="eastAsia"/>
          <w:sz w:val="24"/>
          <w:szCs w:val="24"/>
        </w:rPr>
        <w:t xml:space="preserve">）秘密级以上文档按权限拒答或放行并说明原因；（</w:t>
      </w:r>
      <w:r>
        <w:rPr>
          <w:sz w:val="24"/>
          <w:szCs w:val="24"/>
        </w:rPr>
        <w:t xml:space="preserve">4</w:t>
      </w:r>
      <w:r>
        <w:rPr>
          <w:rFonts w:hint="eastAsia"/>
          <w:sz w:val="24"/>
          <w:szCs w:val="24"/>
        </w:rPr>
        <w:t xml:space="preserve">）提供动态图形化调用链路展示。</w:t>
      </w:r>
      <w:r>
        <w:rPr>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10．模型网关与算力调度</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系统必须具备标准协议（如兼容OpenAI API规范）的网关层，支持无缝对接并一键切换省数据局平台提供的各类异构大模型（DeepSeek、千问等），具备超时重试、高并发排队及断路保护机制。数据安全与隐私保护：强调数据安全和隐私保护的重要性，提出具体的保障措施建议。</w:t>
      </w:r>
      <w:r>
        <w:rPr>
          <w:sz w:val="24"/>
          <w:szCs w:val="24"/>
        </w:rPr>
      </w:r>
      <w:r/>
    </w:p>
    <w:p>
      <w:pPr>
        <w:pStyle w:val="891"/>
        <w:ind w:firstLine="480"/>
        <w:jc w:val="left"/>
        <w:spacing w:line="360" w:lineRule="auto"/>
        <w:widowControl/>
        <w:rPr>
          <w:sz w:val="24"/>
          <w:szCs w:val="24"/>
        </w:rPr>
      </w:pPr>
      <w:r>
        <w:rPr>
          <w:rFonts w:hint="eastAsia"/>
          <w:color w:val="000000"/>
          <w:sz w:val="24"/>
          <w:szCs w:val="24"/>
        </w:rPr>
        <w:t xml:space="preserve">（1）</w:t>
      </w:r>
      <w:r>
        <w:rPr>
          <w:rFonts w:hint="eastAsia"/>
          <w:sz w:val="24"/>
          <w:szCs w:val="24"/>
        </w:rPr>
        <w:t xml:space="preserve">统一接入与安全管控所有智能业务请求，通过统一可信入口接入，实施权限、数据、风险、隐私分级处置；兼容主流大模型API接入方式，模型接入配置时间</w:t>
      </w:r>
      <w:r>
        <w:rPr>
          <w:rFonts w:ascii="宋体" w:hAnsi="宋体"/>
          <w:sz w:val="24"/>
          <w:szCs w:val="24"/>
        </w:rPr>
        <w:t xml:space="preserve">≤</w:t>
      </w:r>
      <w:r>
        <w:rPr>
          <w:rFonts w:hint="eastAsia"/>
          <w:sz w:val="24"/>
          <w:szCs w:val="24"/>
        </w:rPr>
        <w:t xml:space="preserve">24小时；具备请求限流、恶意请求拦截能力，可抵御SQL注入、XSS攻击等常见网络攻击。</w:t>
      </w:r>
      <w:r>
        <w:rPr>
          <w:sz w:val="24"/>
          <w:szCs w:val="24"/>
        </w:rPr>
      </w:r>
      <w:r/>
    </w:p>
    <w:p>
      <w:pPr>
        <w:pStyle w:val="891"/>
        <w:ind w:firstLine="480"/>
        <w:jc w:val="left"/>
        <w:spacing w:line="360" w:lineRule="auto"/>
        <w:widowControl/>
        <w:rPr>
          <w:sz w:val="24"/>
          <w:szCs w:val="24"/>
        </w:rPr>
      </w:pPr>
      <w:r>
        <w:rPr>
          <w:rFonts w:hint="eastAsia"/>
          <w:sz w:val="24"/>
          <w:szCs w:val="24"/>
        </w:rPr>
        <w:t xml:space="preserve">（</w:t>
      </w:r>
      <w:r>
        <w:rPr>
          <w:sz w:val="24"/>
          <w:szCs w:val="24"/>
        </w:rPr>
        <w:t xml:space="preserve">2</w:t>
      </w:r>
      <w:r>
        <w:rPr>
          <w:rFonts w:hint="eastAsia"/>
          <w:sz w:val="24"/>
          <w:szCs w:val="24"/>
        </w:rPr>
        <w:t xml:space="preserve">）执行可信与能力调度独立于大模型，实现规则校验、形式化推理、符号计算，对推理路径、执行步骤、依据使用、结论生成全流程编排、观测、确定性验证；按业务场景、数据敏感度、任务复杂度、安全等级统一调度智能能力；高频/确定性事项优先本地规则处理；需知识支撑事项强制挂接权威知识；证据不足/风险较高事项主动标记、提示补件、转入人工复核。</w:t>
      </w:r>
      <w:r>
        <w:rPr>
          <w:sz w:val="24"/>
          <w:szCs w:val="24"/>
        </w:rPr>
      </w:r>
      <w:r/>
    </w:p>
    <w:p>
      <w:pPr>
        <w:pStyle w:val="891"/>
        <w:ind w:firstLine="480"/>
        <w:jc w:val="left"/>
        <w:spacing w:line="360" w:lineRule="auto"/>
        <w:widowControl/>
        <w:rPr>
          <w:sz w:val="24"/>
          <w:szCs w:val="24"/>
        </w:rPr>
      </w:pPr>
      <w:r>
        <w:rPr>
          <w:rFonts w:hint="eastAsia"/>
          <w:color w:val="000000"/>
          <w:sz w:val="24"/>
          <w:szCs w:val="24"/>
        </w:rPr>
        <w:t xml:space="preserve">（3）</w:t>
      </w:r>
      <w:r>
        <w:rPr>
          <w:rFonts w:hint="eastAsia"/>
          <w:sz w:val="24"/>
          <w:szCs w:val="24"/>
        </w:rPr>
        <w:t xml:space="preserve">密级/隐私检测与审计追溯。自动判定任务低/中/高风险等级，驱动差异化管控流程；PII隐私检测支持</w:t>
      </w:r>
      <w:r>
        <w:rPr>
          <w:rFonts w:hint="eastAsia" w:ascii="宋体" w:hAnsi="宋体"/>
          <w:sz w:val="24"/>
          <w:szCs w:val="24"/>
        </w:rPr>
        <w:t xml:space="preserve">≥</w:t>
      </w:r>
      <w:r>
        <w:rPr>
          <w:rFonts w:hint="eastAsia"/>
          <w:sz w:val="24"/>
          <w:szCs w:val="24"/>
        </w:rPr>
        <w:t xml:space="preserve">4种处置策略；秘密级以上文档按权限拒答或放行并说明原因；提供动态图形化调用链路展示；全周期记录请求接入、权限校验、安全处置、模型调用、知识引用、规则校验、输出复核、人工干预、异常处理等环节；审计日志留存</w:t>
      </w:r>
      <w:r>
        <w:rPr>
          <w:rFonts w:hint="eastAsia" w:ascii="宋体" w:hAnsi="宋体"/>
          <w:sz w:val="24"/>
          <w:szCs w:val="24"/>
        </w:rPr>
        <w:t xml:space="preserve">≥</w:t>
      </w:r>
      <w:r>
        <w:rPr>
          <w:rFonts w:hint="eastAsia"/>
          <w:sz w:val="24"/>
          <w:szCs w:val="24"/>
        </w:rPr>
        <w:t xml:space="preserve">1年，支持导出、查询、统计、历史现场复盘。</w:t>
      </w:r>
      <w:r>
        <w:rPr>
          <w:sz w:val="24"/>
          <w:szCs w:val="24"/>
        </w:rPr>
      </w:r>
      <w:r/>
    </w:p>
    <w:p>
      <w:pPr>
        <w:pStyle w:val="891"/>
        <w:ind w:firstLine="480"/>
        <w:jc w:val="left"/>
        <w:spacing w:line="360" w:lineRule="auto"/>
        <w:widowControl/>
        <w:rPr>
          <w:sz w:val="24"/>
          <w:szCs w:val="24"/>
        </w:rPr>
      </w:pPr>
      <w:r>
        <w:rPr>
          <w:rFonts w:hint="eastAsia"/>
          <w:color w:val="000000"/>
          <w:sz w:val="24"/>
          <w:szCs w:val="24"/>
        </w:rPr>
        <w:t xml:space="preserve">（4）</w:t>
      </w:r>
      <w:r>
        <w:rPr>
          <w:rFonts w:hint="eastAsia"/>
          <w:sz w:val="24"/>
          <w:szCs w:val="24"/>
        </w:rPr>
        <w:t xml:space="preserve">持续治理与能力资产沉淀。沉淀典型问题、标准结论、业务规则、知识依据、处置经验为可信智能技能资产；建立技能库版本管理、审核发布、迭代更新机制，推动智能应用向场景化、规则化、资产化、可控化演进。</w:t>
      </w:r>
      <w:r>
        <w:rPr>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11．通用智能体平台建设</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面向业务场景提供统一的智能体创建、配置、知识库管理、工具调用、工作流编排、多渠道交互及运行监控能力</w:t>
      </w:r>
      <w:r>
        <w:rPr>
          <w:rFonts w:hint="eastAsia"/>
          <w:sz w:val="24"/>
          <w:szCs w:val="24"/>
        </w:rPr>
        <w:t xml:space="preserve">。建设过程中，应重点完善模型与知识库底座、工具和系统接入、权限与数据隔离、记忆管理、安全审计、效果评估及运营管理机制，确保智能体具备可配置、可复用、可扩展、可管控和持续优化的能力。</w:t>
      </w:r>
      <w:r>
        <w:rPr>
          <w:sz w:val="24"/>
          <w:szCs w:val="24"/>
        </w:rPr>
      </w:r>
      <w:r/>
    </w:p>
    <w:p>
      <w:pPr>
        <w:pStyle w:val="891"/>
        <w:ind w:firstLine="482"/>
        <w:spacing w:line="360" w:lineRule="auto"/>
        <w:outlineLvl w:val="2"/>
      </w:pPr>
      <w:r>
        <w:rPr>
          <w:rFonts w:hint="eastAsia" w:ascii="宋体" w:hAnsi="宋体"/>
          <w:b/>
          <w:sz w:val="24"/>
        </w:rPr>
        <w:t xml:space="preserve">12．个人智能体平台建设</w:t>
      </w:r>
      <w:r/>
    </w:p>
    <w:p>
      <w:pPr>
        <w:pStyle w:val="891"/>
        <w:ind w:firstLine="480"/>
        <w:jc w:val="left"/>
        <w:spacing w:line="360" w:lineRule="auto"/>
        <w:widowControl/>
        <w:rPr>
          <w:sz w:val="24"/>
          <w:szCs w:val="24"/>
        </w:rPr>
      </w:pPr>
      <w:r>
        <w:rPr>
          <w:rFonts w:hint="eastAsia"/>
          <w:sz w:val="24"/>
          <w:szCs w:val="24"/>
        </w:rPr>
        <w:t xml:space="preserve">面向个人用户提供个人智能体平台，重点提供个性化配置、用户偏好与长期记忆、日程与任务管理、信息检索、内容生成及个人工具协同等服务；应重点完善模型与知识库底座、工具和系统接入、权限与数据隔离、记忆管理、安全审计、效果评估及运营管理机制，确保个人智能体具备可配置、可复用、可扩展、可管控和持续优化的能力。</w:t>
      </w:r>
      <w:r>
        <w:rPr>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13．实施保障要求</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施工组织设计、时间节点管控（特别是前 4 周数据治理冲刺期）、应急预案与风险场景推演。</w:t>
      </w:r>
      <w:r>
        <w:rPr>
          <w:sz w:val="24"/>
          <w:szCs w:val="24"/>
        </w:rPr>
      </w:r>
      <w:r/>
    </w:p>
    <w:p>
      <w:pPr>
        <w:pStyle w:val="891"/>
        <w:ind w:firstLine="482"/>
        <w:spacing w:line="360" w:lineRule="auto"/>
        <w:rPr>
          <w:rFonts w:ascii="宋体" w:hAnsi="宋体"/>
          <w:b/>
          <w:bCs/>
          <w:sz w:val="24"/>
          <w:szCs w:val="24"/>
        </w:rPr>
        <w:outlineLvl w:val="2"/>
      </w:pPr>
      <w:r>
        <w:rPr>
          <w:rFonts w:hint="eastAsia" w:ascii="宋体" w:hAnsi="宋体"/>
          <w:b/>
          <w:bCs/>
          <w:sz w:val="24"/>
          <w:szCs w:val="24"/>
        </w:rPr>
        <w:t xml:space="preserve">14．培训与运营赋能要求</w:t>
      </w:r>
      <w:r>
        <w:rPr>
          <w:rFonts w:ascii="宋体" w:hAnsi="宋体"/>
          <w:b/>
          <w:bCs/>
          <w:sz w:val="24"/>
          <w:szCs w:val="24"/>
        </w:rPr>
      </w:r>
      <w:r/>
    </w:p>
    <w:p>
      <w:pPr>
        <w:pStyle w:val="891"/>
        <w:ind w:firstLine="480"/>
        <w:jc w:val="left"/>
        <w:spacing w:line="360" w:lineRule="auto"/>
        <w:widowControl/>
        <w:rPr>
          <w:sz w:val="24"/>
          <w:szCs w:val="24"/>
        </w:rPr>
      </w:pPr>
      <w:r>
        <w:rPr>
          <w:rFonts w:hint="eastAsia"/>
          <w:sz w:val="24"/>
          <w:szCs w:val="24"/>
        </w:rPr>
        <w:t xml:space="preserve">面向全省财政人员零基础操作的“白盒化”使用培训，构建“业务专员与 AI”循环调优机制。</w:t>
      </w:r>
      <w:r>
        <w:rPr>
          <w:sz w:val="24"/>
          <w:szCs w:val="24"/>
        </w:rPr>
      </w:r>
      <w:r/>
    </w:p>
    <w:p>
      <w:pPr>
        <w:pStyle w:val="1005"/>
        <w:ind w:firstLine="0"/>
        <w:spacing w:after="0"/>
        <w:rPr>
          <w:rFonts w:ascii="宋体" w:hAnsi="宋体"/>
          <w:b/>
          <w:sz w:val="32"/>
          <w:szCs w:val="32"/>
        </w:rPr>
        <w:outlineLvl w:val="1"/>
      </w:pPr>
      <w:r>
        <w:rPr>
          <w:rFonts w:hint="eastAsia" w:ascii="宋体" w:hAnsi="宋体"/>
          <w:b/>
          <w:sz w:val="32"/>
          <w:szCs w:val="32"/>
        </w:rPr>
        <w:t xml:space="preserve">四</w:t>
      </w:r>
      <w:r>
        <w:rPr>
          <w:rFonts w:hint="eastAsia" w:ascii="宋体" w:hAnsi="宋体"/>
          <w:b/>
          <w:sz w:val="32"/>
          <w:szCs w:val="32"/>
        </w:rPr>
        <w:t xml:space="preserve">、保密要求</w:t>
      </w:r>
      <w:r>
        <w:rPr>
          <w:rFonts w:ascii="宋体" w:hAnsi="宋体"/>
          <w:b/>
          <w:sz w:val="32"/>
          <w:szCs w:val="32"/>
        </w:rPr>
      </w:r>
      <w:r/>
    </w:p>
    <w:p>
      <w:pPr>
        <w:pStyle w:val="891"/>
        <w:ind w:firstLine="480"/>
        <w:spacing w:line="360" w:lineRule="auto"/>
        <w:rPr>
          <w:sz w:val="24"/>
          <w:szCs w:val="24"/>
        </w:rPr>
      </w:pPr>
      <w:r>
        <w:rPr>
          <w:rFonts w:hint="eastAsia"/>
          <w:sz w:val="24"/>
          <w:szCs w:val="24"/>
        </w:rPr>
        <w:t xml:space="preserve">本项目对系统数据的保密性、安全性、可靠性有较高要求。供应商必须严格按照国家、省委省政府、省财政厅安全管理要求履行安全保密义务。</w:t>
      </w:r>
      <w:r>
        <w:rPr>
          <w:sz w:val="24"/>
          <w:szCs w:val="24"/>
        </w:rPr>
      </w:r>
      <w:r/>
    </w:p>
    <w:p>
      <w:pPr>
        <w:pStyle w:val="891"/>
        <w:ind w:firstLine="480"/>
        <w:spacing w:line="360" w:lineRule="auto"/>
        <w:rPr>
          <w:sz w:val="24"/>
          <w:szCs w:val="24"/>
        </w:rPr>
      </w:pPr>
      <w:r>
        <w:rPr>
          <w:rFonts w:hint="eastAsia"/>
          <w:sz w:val="24"/>
          <w:szCs w:val="24"/>
        </w:rPr>
        <w:t xml:space="preserve">供应商必须与采购人签署保密协议，对本项目中涉及的所有信息有保密义务、未经采购人及所服务的各级财政部门书面认可，不得向任何第三方提供，不得用于本项目之外的任何其他用途。</w:t>
      </w:r>
      <w:r>
        <w:rPr>
          <w:sz w:val="24"/>
          <w:szCs w:val="24"/>
        </w:rPr>
      </w:r>
      <w:r/>
    </w:p>
    <w:p>
      <w:pPr>
        <w:pStyle w:val="891"/>
        <w:ind w:firstLine="480"/>
        <w:spacing w:line="360" w:lineRule="auto"/>
        <w:rPr>
          <w:sz w:val="24"/>
          <w:szCs w:val="24"/>
        </w:rPr>
      </w:pPr>
      <w:r>
        <w:rPr>
          <w:rFonts w:hint="eastAsia"/>
          <w:sz w:val="24"/>
          <w:szCs w:val="24"/>
        </w:rPr>
        <w:t xml:space="preserve">供应商服务人员签署保密承诺书后方可上岗工作。并必须遵守保密义务,不得泄露、篡改或删除相关信息。因供应商（或其员工）原因引起信息泄露，供应商必须承担相应的法律责任，并可向具体责任人员追偿。</w:t>
      </w:r>
      <w:r>
        <w:rPr>
          <w:sz w:val="24"/>
          <w:szCs w:val="24"/>
        </w:rPr>
      </w:r>
      <w:r/>
    </w:p>
    <w:p>
      <w:pPr>
        <w:pStyle w:val="1005"/>
        <w:ind w:firstLine="0"/>
        <w:spacing w:after="0"/>
        <w:rPr>
          <w:rFonts w:ascii="宋体" w:hAnsi="宋体"/>
          <w:b/>
          <w:sz w:val="32"/>
          <w:szCs w:val="32"/>
        </w:rPr>
        <w:outlineLvl w:val="1"/>
      </w:pPr>
      <w:r/>
      <w:bookmarkStart w:id="199" w:name="_Toc48556402"/>
      <w:r/>
      <w:bookmarkStart w:id="200" w:name="_Toc523059114"/>
      <w:r/>
      <w:bookmarkStart w:id="201" w:name="_Toc42541245"/>
      <w:r>
        <w:rPr>
          <w:rFonts w:hint="eastAsia" w:ascii="宋体" w:hAnsi="宋体"/>
          <w:b/>
          <w:sz w:val="32"/>
          <w:szCs w:val="32"/>
        </w:rPr>
        <w:t xml:space="preserve">五</w:t>
      </w:r>
      <w:r>
        <w:rPr>
          <w:rFonts w:hint="eastAsia" w:ascii="宋体" w:hAnsi="宋体"/>
          <w:b/>
          <w:sz w:val="32"/>
          <w:szCs w:val="32"/>
        </w:rPr>
        <w:t xml:space="preserve">、验收要求</w:t>
      </w:r>
      <w:bookmarkEnd w:id="199"/>
      <w:r/>
      <w:bookmarkEnd w:id="200"/>
      <w:r/>
      <w:bookmarkEnd w:id="201"/>
      <w:r>
        <w:rPr>
          <w:rFonts w:ascii="宋体" w:hAnsi="宋体"/>
          <w:b/>
          <w:sz w:val="32"/>
          <w:szCs w:val="32"/>
        </w:rPr>
      </w:r>
      <w:r/>
    </w:p>
    <w:p>
      <w:pPr>
        <w:pStyle w:val="891"/>
        <w:ind w:firstLine="480"/>
        <w:spacing w:line="360" w:lineRule="auto"/>
        <w:rPr>
          <w:sz w:val="24"/>
          <w:szCs w:val="24"/>
        </w:rPr>
      </w:pPr>
      <w:r/>
      <w:bookmarkStart w:id="202" w:name="OLE_LINK3"/>
      <w:r>
        <w:rPr>
          <w:rFonts w:hint="eastAsia"/>
          <w:sz w:val="24"/>
          <w:szCs w:val="24"/>
        </w:rPr>
        <w:t xml:space="preserve">1. 启动验收的基本条件</w:t>
      </w:r>
      <w:r>
        <w:rPr>
          <w:sz w:val="24"/>
          <w:szCs w:val="24"/>
        </w:rPr>
      </w:r>
      <w:r/>
    </w:p>
    <w:p>
      <w:pPr>
        <w:pStyle w:val="891"/>
        <w:ind w:firstLine="480"/>
        <w:spacing w:line="360" w:lineRule="auto"/>
        <w:rPr>
          <w:sz w:val="24"/>
          <w:szCs w:val="24"/>
        </w:rPr>
      </w:pPr>
      <w:r>
        <w:rPr>
          <w:rFonts w:hint="eastAsia"/>
          <w:sz w:val="24"/>
          <w:szCs w:val="24"/>
        </w:rPr>
        <w:t xml:space="preserve">系统所有功能均已建设完成并交付，系统功能、性能均达到设计要求，相关问题均已整改完成。</w:t>
      </w:r>
      <w:r>
        <w:rPr>
          <w:sz w:val="24"/>
          <w:szCs w:val="24"/>
        </w:rPr>
      </w:r>
      <w:r/>
    </w:p>
    <w:p>
      <w:pPr>
        <w:pStyle w:val="891"/>
        <w:ind w:firstLine="480"/>
        <w:spacing w:line="360" w:lineRule="auto"/>
        <w:rPr>
          <w:sz w:val="24"/>
          <w:szCs w:val="24"/>
        </w:rPr>
      </w:pPr>
      <w:r>
        <w:rPr>
          <w:rFonts w:hint="eastAsia"/>
          <w:sz w:val="24"/>
          <w:szCs w:val="24"/>
        </w:rPr>
        <w:t xml:space="preserve">2. 核心技术 KPI（硬性指标）</w:t>
      </w:r>
      <w:r>
        <w:rPr>
          <w:sz w:val="24"/>
          <w:szCs w:val="24"/>
        </w:rPr>
      </w:r>
      <w:r/>
    </w:p>
    <w:p>
      <w:pPr>
        <w:pStyle w:val="891"/>
        <w:ind w:firstLine="480"/>
        <w:spacing w:line="360" w:lineRule="auto"/>
        <w:rPr>
          <w:sz w:val="24"/>
          <w:szCs w:val="24"/>
        </w:rPr>
      </w:pPr>
      <w:r>
        <w:rPr>
          <w:rFonts w:hint="eastAsia"/>
          <w:sz w:val="24"/>
          <w:szCs w:val="24"/>
        </w:rPr>
        <w:t xml:space="preserve">解析质量：抽取10份含跨页表格的历史公文，要求Markdown转换后的表格数据漏项/错位率&lt; 5%。</w:t>
      </w:r>
      <w:r>
        <w:rPr>
          <w:sz w:val="24"/>
          <w:szCs w:val="24"/>
        </w:rPr>
      </w:r>
      <w:r/>
    </w:p>
    <w:p>
      <w:pPr>
        <w:pStyle w:val="891"/>
        <w:ind w:firstLine="480"/>
        <w:spacing w:line="360" w:lineRule="auto"/>
      </w:pPr>
      <w:r>
        <w:rPr>
          <w:rFonts w:hint="eastAsia"/>
          <w:sz w:val="24"/>
          <w:szCs w:val="24"/>
        </w:rPr>
        <w:t xml:space="preserve">检索召回率（Recall）：针对预设的100道财会监督实战测试题，Top-5召回率必须≥92%。</w:t>
      </w:r>
      <w:r>
        <w:rPr>
          <w:sz w:val="24"/>
          <w:szCs w:val="24"/>
        </w:rPr>
      </w:r>
      <w:r/>
    </w:p>
    <w:p>
      <w:pPr>
        <w:pStyle w:val="891"/>
        <w:ind w:firstLine="480"/>
        <w:spacing w:line="360" w:lineRule="auto"/>
        <w:rPr>
          <w:sz w:val="24"/>
          <w:szCs w:val="24"/>
        </w:rPr>
      </w:pPr>
      <w:r>
        <w:rPr>
          <w:rFonts w:hint="eastAsia"/>
          <w:sz w:val="24"/>
          <w:szCs w:val="24"/>
        </w:rPr>
        <w:t xml:space="preserve">回答准确率与溯源：业务定性准确率≥95%；所有政策类问答必须100%实现精准溯源，点击引用可直接高亮展示原PDF文件中的对应段落或表格单元格。</w:t>
      </w:r>
      <w:r>
        <w:rPr>
          <w:sz w:val="24"/>
          <w:szCs w:val="24"/>
        </w:rPr>
      </w:r>
      <w:r/>
    </w:p>
    <w:p>
      <w:pPr>
        <w:pStyle w:val="891"/>
        <w:ind w:firstLine="480"/>
        <w:spacing w:line="360" w:lineRule="auto"/>
        <w:rPr>
          <w:sz w:val="24"/>
          <w:szCs w:val="24"/>
        </w:rPr>
      </w:pPr>
      <w:r>
        <w:rPr>
          <w:rFonts w:hint="eastAsia"/>
          <w:sz w:val="24"/>
          <w:szCs w:val="24"/>
        </w:rPr>
        <w:t xml:space="preserve">3. 软件与数据资产移交（防绑定要求）</w:t>
      </w:r>
      <w:r>
        <w:rPr>
          <w:sz w:val="24"/>
          <w:szCs w:val="24"/>
        </w:rPr>
      </w:r>
      <w:r/>
    </w:p>
    <w:p>
      <w:pPr>
        <w:pStyle w:val="891"/>
        <w:ind w:firstLine="480"/>
        <w:spacing w:line="360" w:lineRule="auto"/>
        <w:rPr>
          <w:sz w:val="24"/>
          <w:szCs w:val="24"/>
        </w:rPr>
      </w:pPr>
      <w:r>
        <w:rPr>
          <w:rFonts w:hint="eastAsia"/>
          <w:sz w:val="24"/>
          <w:szCs w:val="24"/>
        </w:rPr>
        <w:t xml:space="preserve">系统验收时，中标人必须向采购人移交以下完整资产：</w:t>
      </w:r>
      <w:r>
        <w:rPr>
          <w:sz w:val="24"/>
          <w:szCs w:val="24"/>
        </w:rPr>
      </w:r>
      <w:r/>
    </w:p>
    <w:p>
      <w:pPr>
        <w:pStyle w:val="891"/>
        <w:ind w:firstLine="480"/>
        <w:spacing w:line="360" w:lineRule="auto"/>
        <w:rPr>
          <w:sz w:val="24"/>
          <w:szCs w:val="24"/>
        </w:rPr>
      </w:pPr>
      <w:r>
        <w:rPr>
          <w:rFonts w:hint="eastAsia"/>
          <w:sz w:val="24"/>
          <w:szCs w:val="24"/>
        </w:rPr>
        <w:t xml:space="preserve">经过清洗、纠错的全量非结构化数据仓库（Markdown 格式文件集）。</w:t>
      </w:r>
      <w:r>
        <w:rPr>
          <w:sz w:val="24"/>
          <w:szCs w:val="24"/>
        </w:rPr>
      </w:r>
      <w:r/>
    </w:p>
    <w:p>
      <w:pPr>
        <w:pStyle w:val="891"/>
        <w:ind w:firstLine="480"/>
        <w:spacing w:line="360" w:lineRule="auto"/>
        <w:rPr>
          <w:sz w:val="24"/>
          <w:szCs w:val="24"/>
        </w:rPr>
      </w:pPr>
      <w:r>
        <w:rPr>
          <w:rFonts w:hint="eastAsia"/>
          <w:sz w:val="24"/>
          <w:szCs w:val="24"/>
        </w:rPr>
        <w:t xml:space="preserve">已经完成向量化的向量数据库全量索引快照文件。</w:t>
      </w:r>
      <w:r>
        <w:rPr>
          <w:sz w:val="24"/>
          <w:szCs w:val="24"/>
        </w:rPr>
      </w:r>
      <w:r/>
    </w:p>
    <w:p>
      <w:pPr>
        <w:pStyle w:val="891"/>
        <w:ind w:firstLine="480"/>
        <w:spacing w:line="360" w:lineRule="auto"/>
        <w:rPr>
          <w:sz w:val="24"/>
          <w:szCs w:val="24"/>
        </w:rPr>
      </w:pPr>
      <w:r>
        <w:rPr>
          <w:rFonts w:hint="eastAsia"/>
          <w:sz w:val="24"/>
          <w:szCs w:val="24"/>
        </w:rPr>
        <w:t xml:space="preserve">系统所有定制化调优的系统提示词（Prompt）明文库。</w:t>
      </w:r>
      <w:r>
        <w:rPr>
          <w:sz w:val="24"/>
          <w:szCs w:val="24"/>
        </w:rPr>
      </w:r>
      <w:r/>
    </w:p>
    <w:p>
      <w:pPr>
        <w:pStyle w:val="891"/>
        <w:ind w:firstLine="480"/>
        <w:spacing w:line="360" w:lineRule="auto"/>
        <w:rPr>
          <w:sz w:val="24"/>
          <w:szCs w:val="24"/>
        </w:rPr>
      </w:pPr>
      <w:r>
        <w:rPr>
          <w:rFonts w:hint="eastAsia"/>
          <w:sz w:val="24"/>
          <w:szCs w:val="24"/>
        </w:rPr>
        <w:t xml:space="preserve">智能知识平台系统安装包、部署脚本及接口规范开发文档。</w:t>
      </w:r>
      <w:r>
        <w:rPr>
          <w:sz w:val="24"/>
          <w:szCs w:val="24"/>
        </w:rPr>
      </w:r>
      <w:r/>
    </w:p>
    <w:p>
      <w:pPr>
        <w:pStyle w:val="1005"/>
        <w:ind w:firstLine="0"/>
        <w:spacing w:after="0"/>
        <w:rPr>
          <w:rFonts w:ascii="宋体" w:hAnsi="宋体"/>
          <w:b/>
          <w:sz w:val="32"/>
          <w:szCs w:val="32"/>
        </w:rPr>
        <w:outlineLvl w:val="1"/>
      </w:pPr>
      <w:r>
        <w:rPr>
          <w:rFonts w:hint="eastAsia" w:ascii="宋体" w:hAnsi="宋体"/>
          <w:b/>
          <w:sz w:val="32"/>
          <w:szCs w:val="32"/>
        </w:rPr>
        <w:t xml:space="preserve">六</w:t>
      </w:r>
      <w:r>
        <w:rPr>
          <w:rFonts w:hint="eastAsia" w:ascii="宋体" w:hAnsi="宋体"/>
          <w:b/>
          <w:sz w:val="32"/>
          <w:szCs w:val="32"/>
        </w:rPr>
        <w:t xml:space="preserve">、商务条款</w:t>
      </w:r>
      <w:r>
        <w:rPr>
          <w:rFonts w:ascii="宋体" w:hAnsi="宋体"/>
          <w:b/>
          <w:sz w:val="32"/>
          <w:szCs w:val="32"/>
        </w:rPr>
      </w:r>
      <w:r/>
    </w:p>
    <w:p>
      <w:pPr>
        <w:pStyle w:val="891"/>
        <w:ind w:firstLine="480"/>
        <w:spacing w:line="360" w:lineRule="auto"/>
        <w:rPr>
          <w:sz w:val="24"/>
          <w:szCs w:val="24"/>
        </w:rPr>
      </w:pPr>
      <w:r/>
      <w:bookmarkEnd w:id="202"/>
      <w:r>
        <w:rPr>
          <w:rFonts w:hint="eastAsia"/>
          <w:sz w:val="24"/>
          <w:szCs w:val="24"/>
        </w:rPr>
        <w:t xml:space="preserve">下列款项以人民币方式按照以下进度由采购人办理支付。</w:t>
      </w:r>
      <w:r>
        <w:rPr>
          <w:sz w:val="24"/>
          <w:szCs w:val="24"/>
        </w:rPr>
      </w:r>
      <w:r/>
    </w:p>
    <w:p>
      <w:pPr>
        <w:pStyle w:val="891"/>
        <w:ind w:firstLine="480"/>
        <w:spacing w:line="360" w:lineRule="auto"/>
        <w:rPr>
          <w:sz w:val="24"/>
          <w:szCs w:val="24"/>
        </w:rPr>
      </w:pPr>
      <w:r>
        <w:rPr>
          <w:rFonts w:hint="eastAsia"/>
          <w:sz w:val="24"/>
          <w:szCs w:val="24"/>
        </w:rPr>
        <w:t xml:space="preserve">合同签订且采购人收到中标人提供的发票后十日内支付合同总金额的50%，项目验收通过且采购人收到中标人提供的发票后十日内支付合同总金额的50%。</w:t>
      </w:r>
      <w:r>
        <w:rPr>
          <w:sz w:val="24"/>
          <w:szCs w:val="24"/>
        </w:rPr>
      </w:r>
      <w:r/>
    </w:p>
    <w:p>
      <w:pPr>
        <w:pStyle w:val="1005"/>
        <w:ind w:firstLine="0"/>
        <w:spacing w:after="0"/>
        <w:rPr>
          <w:rFonts w:ascii="宋体" w:hAnsi="宋体"/>
          <w:b/>
          <w:sz w:val="32"/>
          <w:szCs w:val="32"/>
        </w:rPr>
        <w:outlineLvl w:val="1"/>
      </w:pPr>
      <w:r/>
      <w:bookmarkStart w:id="203" w:name="_Hlk206086991"/>
      <w:r>
        <w:rPr>
          <w:rFonts w:hint="eastAsia" w:ascii="宋体" w:hAnsi="宋体"/>
          <w:b/>
          <w:sz w:val="32"/>
          <w:szCs w:val="32"/>
        </w:rPr>
        <w:t xml:space="preserve">七</w:t>
      </w:r>
      <w:r>
        <w:rPr>
          <w:rFonts w:hint="eastAsia" w:ascii="宋体" w:hAnsi="宋体"/>
          <w:b/>
          <w:sz w:val="32"/>
          <w:szCs w:val="32"/>
        </w:rPr>
        <w:t xml:space="preserve">、资质证书要求</w:t>
      </w:r>
      <w:r>
        <w:rPr>
          <w:rFonts w:ascii="宋体" w:hAnsi="宋体"/>
          <w:b/>
          <w:sz w:val="32"/>
          <w:szCs w:val="32"/>
        </w:rPr>
      </w:r>
      <w:r/>
    </w:p>
    <w:p>
      <w:pPr>
        <w:pStyle w:val="1006"/>
        <w:ind w:firstLine="480"/>
        <w:spacing w:after="0"/>
        <w:rPr>
          <w:rFonts w:hAnsi="宋体"/>
          <w:color w:val="000000"/>
          <w:szCs w:val="24"/>
        </w:rPr>
      </w:pPr>
      <w:r/>
      <w:bookmarkEnd w:id="203"/>
      <w:r>
        <w:rPr>
          <w:rFonts w:hAnsi="宋体"/>
          <w:color w:val="000000"/>
          <w:szCs w:val="24"/>
        </w:rPr>
        <w:t xml:space="preserve">供应商应具有较高的IT服务能力水平，具有与本项目软件相关的技术实力和经验为好，如有，请提供以下证明材料复印件或扫描件并加盖公章。</w:t>
      </w:r>
      <w:r>
        <w:rPr>
          <w:rFonts w:hAnsi="宋体"/>
          <w:color w:val="000000"/>
          <w:szCs w:val="24"/>
        </w:rPr>
      </w:r>
      <w:r/>
    </w:p>
    <w:p>
      <w:pPr>
        <w:pStyle w:val="1006"/>
        <w:ind w:firstLine="480"/>
        <w:spacing w:after="0"/>
        <w:rPr>
          <w:rFonts w:hAnsi="宋体"/>
          <w:color w:val="000000"/>
          <w:szCs w:val="24"/>
        </w:rPr>
      </w:pPr>
      <w:r>
        <w:rPr>
          <w:rFonts w:hAnsi="宋体"/>
          <w:color w:val="000000"/>
          <w:szCs w:val="24"/>
        </w:rPr>
        <w:t xml:space="preserve">1.企业资质：</w:t>
      </w:r>
      <w:r>
        <w:rPr>
          <w:rFonts w:hAnsi="宋体"/>
          <w:color w:val="000000"/>
          <w:szCs w:val="24"/>
        </w:rPr>
      </w:r>
      <w:r/>
    </w:p>
    <w:p>
      <w:pPr>
        <w:pStyle w:val="1006"/>
        <w:ind w:firstLine="480"/>
        <w:spacing w:after="0"/>
        <w:rPr>
          <w:rFonts w:hAnsi="宋体"/>
          <w:color w:val="000000"/>
          <w:szCs w:val="24"/>
        </w:rPr>
      </w:pPr>
      <w:r>
        <w:rPr>
          <w:rFonts w:hAnsi="宋体"/>
          <w:color w:val="000000"/>
          <w:szCs w:val="24"/>
        </w:rPr>
        <w:t xml:space="preserve">投标人具有有效期内的质量管理体系认证（ISO9001）证书；</w:t>
      </w:r>
      <w:r>
        <w:rPr>
          <w:rFonts w:hAnsi="宋体"/>
          <w:color w:val="000000"/>
          <w:szCs w:val="24"/>
        </w:rPr>
      </w:r>
      <w:r/>
    </w:p>
    <w:p>
      <w:pPr>
        <w:pStyle w:val="1006"/>
        <w:ind w:firstLine="480"/>
        <w:spacing w:after="0"/>
        <w:rPr>
          <w:rFonts w:hAnsi="宋体"/>
          <w:color w:val="000000"/>
          <w:szCs w:val="24"/>
        </w:rPr>
      </w:pPr>
      <w:r>
        <w:rPr>
          <w:rFonts w:hAnsi="宋体"/>
          <w:color w:val="000000"/>
          <w:szCs w:val="24"/>
        </w:rPr>
        <w:t xml:space="preserve">投标人具有有效期内的环境管理体系认证（ISO 14001）证书；</w:t>
      </w:r>
      <w:r>
        <w:rPr>
          <w:rFonts w:hAnsi="宋体"/>
          <w:color w:val="000000"/>
          <w:szCs w:val="24"/>
        </w:rPr>
      </w:r>
      <w:r/>
    </w:p>
    <w:p>
      <w:pPr>
        <w:pStyle w:val="1006"/>
        <w:ind w:firstLine="480"/>
        <w:spacing w:after="0"/>
        <w:rPr>
          <w:rFonts w:hAnsi="宋体"/>
          <w:color w:val="000000"/>
          <w:szCs w:val="24"/>
        </w:rPr>
      </w:pPr>
      <w:r>
        <w:rPr>
          <w:rFonts w:hAnsi="宋体"/>
          <w:color w:val="000000"/>
          <w:szCs w:val="24"/>
        </w:rPr>
        <w:t xml:space="preserve">投标人具有有效期内的职业健康安全管理体系认证（ISO 45001）证书。</w:t>
      </w:r>
      <w:r>
        <w:rPr>
          <w:rFonts w:hAnsi="宋体"/>
          <w:color w:val="000000"/>
          <w:szCs w:val="24"/>
        </w:rPr>
      </w:r>
      <w:r/>
    </w:p>
    <w:p>
      <w:pPr>
        <w:pStyle w:val="1006"/>
        <w:ind w:firstLine="480"/>
        <w:spacing w:after="0"/>
        <w:rPr>
          <w:rFonts w:hAnsi="宋体"/>
          <w:color w:val="000000"/>
          <w:szCs w:val="24"/>
        </w:rPr>
      </w:pPr>
      <w:r>
        <w:rPr>
          <w:rFonts w:hAnsi="宋体"/>
          <w:color w:val="000000"/>
          <w:szCs w:val="24"/>
        </w:rPr>
        <w:t xml:space="preserve">提供上述认证证书的复印件或扫描件并加盖投标人公章。</w:t>
      </w:r>
      <w:r>
        <w:rPr>
          <w:rFonts w:hAnsi="宋体"/>
          <w:color w:val="000000"/>
          <w:szCs w:val="24"/>
        </w:rPr>
      </w:r>
      <w:r/>
    </w:p>
    <w:p>
      <w:pPr>
        <w:pStyle w:val="1006"/>
        <w:ind w:firstLine="480"/>
        <w:spacing w:after="0"/>
        <w:rPr>
          <w:sz w:val="21"/>
          <w:szCs w:val="21"/>
        </w:rPr>
      </w:pPr>
      <w:r>
        <w:rPr>
          <w:rFonts w:hAnsi="宋体"/>
          <w:color w:val="000000"/>
          <w:szCs w:val="21"/>
        </w:rPr>
        <w:t xml:space="preserve">2.项目团队要求：拟派本项目的核心算法工程师（不少于2人）具备大语言模型微调、RAG系统研发实战经验；项目组研发人员不少于10人，具有大模型、RAG相关研发经验。投标人须同时提供上述人员以往参与项目的项目合同复印件或扫描件、证明上述人员参加该项目且由合同对方单位盖章的证明材料，以及近6个月内任意一个月投标人为上述人员缴纳社保的证明材料，均须加盖投标人公章。</w:t>
      </w:r>
      <w:r>
        <w:rPr>
          <w:sz w:val="21"/>
          <w:szCs w:val="21"/>
        </w:rPr>
      </w:r>
      <w:r/>
    </w:p>
    <w:p>
      <w:pPr>
        <w:pStyle w:val="1006"/>
        <w:ind w:firstLine="480"/>
        <w:spacing w:after="0"/>
        <w:rPr>
          <w:sz w:val="21"/>
          <w:szCs w:val="21"/>
        </w:rPr>
      </w:pPr>
      <w:r>
        <w:rPr>
          <w:rFonts w:hAnsi="宋体"/>
          <w:color w:val="000000"/>
          <w:szCs w:val="21"/>
        </w:rPr>
        <w:t xml:space="preserve">3.知识产权要求：</w:t>
      </w:r>
      <w:r>
        <w:rPr>
          <w:sz w:val="21"/>
          <w:szCs w:val="21"/>
        </w:rPr>
      </w:r>
      <w:r/>
    </w:p>
    <w:p>
      <w:pPr>
        <w:pStyle w:val="1006"/>
        <w:ind w:firstLine="480"/>
        <w:spacing w:after="0"/>
        <w:rPr>
          <w:sz w:val="21"/>
          <w:szCs w:val="21"/>
        </w:rPr>
      </w:pPr>
      <w:r>
        <w:rPr>
          <w:rFonts w:hAnsi="宋体"/>
          <w:color w:val="000000"/>
          <w:szCs w:val="21"/>
        </w:rPr>
        <w:t xml:space="preserve">投标人应具有应用AI大语言模型、RAG知识库或文本解析相关内容的国产软件著作权，提供软件著作权登记证书的复印件或扫描件并加盖投标人公章。</w:t>
      </w:r>
      <w:r>
        <w:rPr>
          <w:sz w:val="21"/>
          <w:szCs w:val="21"/>
        </w:rPr>
      </w:r>
      <w:r/>
    </w:p>
    <w:p>
      <w:pPr>
        <w:pStyle w:val="1006"/>
        <w:ind w:firstLine="480"/>
        <w:spacing w:after="0"/>
        <w:rPr>
          <w:sz w:val="21"/>
          <w:szCs w:val="21"/>
        </w:rPr>
      </w:pPr>
      <w:r>
        <w:rPr>
          <w:rFonts w:hAnsi="宋体"/>
          <w:color w:val="000000"/>
          <w:szCs w:val="21"/>
        </w:rPr>
        <w:t xml:space="preserve">4.类似业绩要求：</w:t>
      </w:r>
      <w:r>
        <w:rPr>
          <w:sz w:val="21"/>
          <w:szCs w:val="21"/>
        </w:rPr>
      </w:r>
      <w:r/>
    </w:p>
    <w:p>
      <w:pPr>
        <w:pStyle w:val="1006"/>
        <w:ind w:firstLine="480"/>
        <w:spacing w:after="0"/>
        <w:rPr>
          <w:rFonts w:hAnsi="宋体"/>
          <w:color w:val="000000"/>
          <w:szCs w:val="24"/>
        </w:rPr>
      </w:pPr>
      <w:r>
        <w:rPr>
          <w:rFonts w:hAnsi="宋体"/>
          <w:color w:val="000000"/>
          <w:szCs w:val="24"/>
        </w:rPr>
        <w:t xml:space="preserve">投标人应提供自2022年1月1日以来（以合同签订日期为准）基于大模型的智能知识库、RAG或复杂非结构化数据治理的合同案例，提供合同复印件或扫描件并加盖投标人公章。</w:t>
      </w:r>
      <w:r>
        <w:rPr>
          <w:rFonts w:hAnsi="宋体"/>
          <w:color w:val="000000"/>
          <w:szCs w:val="24"/>
        </w:rPr>
      </w:r>
      <w:r/>
    </w:p>
    <w:p>
      <w:pPr>
        <w:pStyle w:val="1005"/>
        <w:ind w:firstLine="0"/>
        <w:spacing w:after="0"/>
        <w:rPr>
          <w:rFonts w:ascii="宋体" w:hAnsi="宋体"/>
          <w:b/>
          <w:sz w:val="32"/>
          <w:szCs w:val="32"/>
        </w:rPr>
        <w:outlineLvl w:val="1"/>
      </w:pPr>
      <w:r/>
      <w:bookmarkStart w:id="204" w:name="OLE_LINK20"/>
      <w:r>
        <w:rPr>
          <w:rFonts w:hint="eastAsia" w:ascii="宋体" w:hAnsi="宋体"/>
          <w:b/>
          <w:sz w:val="32"/>
          <w:szCs w:val="32"/>
        </w:rPr>
        <w:t xml:space="preserve">八</w:t>
      </w:r>
      <w:r>
        <w:rPr>
          <w:rFonts w:hint="eastAsia" w:ascii="宋体" w:hAnsi="宋体"/>
          <w:b/>
          <w:sz w:val="32"/>
          <w:szCs w:val="32"/>
        </w:rPr>
        <w:t xml:space="preserve">、技术方案要求</w:t>
      </w:r>
      <w:r>
        <w:rPr>
          <w:rFonts w:ascii="宋体" w:hAnsi="宋体"/>
          <w:b/>
          <w:sz w:val="32"/>
          <w:szCs w:val="32"/>
        </w:rPr>
      </w:r>
      <w:r/>
    </w:p>
    <w:p>
      <w:pPr>
        <w:pStyle w:val="891"/>
        <w:ind w:firstLine="480"/>
        <w:spacing w:line="360" w:lineRule="auto"/>
        <w:rPr>
          <w:sz w:val="24"/>
          <w:szCs w:val="24"/>
        </w:rPr>
      </w:pPr>
      <w:r/>
      <w:bookmarkEnd w:id="204"/>
      <w:r>
        <w:rPr>
          <w:rFonts w:hint="eastAsia"/>
          <w:sz w:val="24"/>
          <w:szCs w:val="24"/>
        </w:rPr>
        <w:t xml:space="preserve">1.财政知识治理与可信管控方案</w:t>
      </w:r>
      <w:r>
        <w:rPr>
          <w:sz w:val="24"/>
          <w:szCs w:val="24"/>
        </w:rPr>
      </w:r>
      <w:r/>
    </w:p>
    <w:p>
      <w:pPr>
        <w:pStyle w:val="891"/>
        <w:ind w:firstLine="480"/>
        <w:spacing w:line="360" w:lineRule="auto"/>
        <w:rPr>
          <w:sz w:val="24"/>
          <w:szCs w:val="24"/>
        </w:rPr>
      </w:pPr>
      <w:r>
        <w:rPr>
          <w:rFonts w:hint="eastAsia"/>
          <w:sz w:val="24"/>
          <w:szCs w:val="24"/>
        </w:rPr>
        <w:t xml:space="preserve">2.知识组织追溯与国产化性能方案</w:t>
      </w:r>
      <w:r>
        <w:rPr>
          <w:sz w:val="24"/>
          <w:szCs w:val="24"/>
        </w:rPr>
      </w:r>
      <w:r/>
    </w:p>
    <w:p>
      <w:pPr>
        <w:pStyle w:val="891"/>
        <w:ind w:firstLine="480"/>
        <w:spacing w:line="360" w:lineRule="auto"/>
        <w:rPr>
          <w:sz w:val="24"/>
          <w:szCs w:val="24"/>
        </w:rPr>
      </w:pPr>
      <w:r>
        <w:rPr>
          <w:rFonts w:hint="eastAsia"/>
          <w:sz w:val="24"/>
          <w:szCs w:val="24"/>
        </w:rPr>
        <w:t xml:space="preserve">3.数据切片策略与人工干预方案</w:t>
      </w:r>
      <w:r>
        <w:rPr>
          <w:sz w:val="24"/>
          <w:szCs w:val="24"/>
        </w:rPr>
      </w:r>
      <w:r/>
    </w:p>
    <w:p>
      <w:pPr>
        <w:pStyle w:val="891"/>
        <w:ind w:firstLine="480"/>
        <w:spacing w:line="360" w:lineRule="auto"/>
        <w:rPr>
          <w:sz w:val="24"/>
          <w:szCs w:val="24"/>
        </w:rPr>
      </w:pPr>
      <w:r>
        <w:rPr>
          <w:rFonts w:hint="eastAsia"/>
          <w:sz w:val="24"/>
          <w:szCs w:val="24"/>
        </w:rPr>
        <w:t xml:space="preserve">4.知识组织与检索能力方案（演示要求详见本章“三、演示要求”）</w:t>
      </w:r>
      <w:r>
        <w:rPr>
          <w:sz w:val="24"/>
          <w:szCs w:val="24"/>
        </w:rPr>
      </w:r>
      <w:r/>
    </w:p>
    <w:p>
      <w:pPr>
        <w:pStyle w:val="891"/>
        <w:ind w:firstLine="480"/>
        <w:spacing w:line="360" w:lineRule="auto"/>
        <w:rPr>
          <w:sz w:val="24"/>
          <w:szCs w:val="24"/>
        </w:rPr>
      </w:pPr>
      <w:r>
        <w:rPr>
          <w:rFonts w:hint="eastAsia"/>
          <w:sz w:val="24"/>
          <w:szCs w:val="24"/>
        </w:rPr>
        <w:t xml:space="preserve">5</w:t>
      </w:r>
      <w:r>
        <w:rPr>
          <w:sz w:val="24"/>
          <w:szCs w:val="24"/>
        </w:rPr>
        <w:t xml:space="preserve">.</w:t>
      </w:r>
      <w:r>
        <w:rPr>
          <w:rFonts w:hint="eastAsia"/>
          <w:sz w:val="24"/>
          <w:szCs w:val="24"/>
        </w:rPr>
        <w:t xml:space="preserve">复杂查询处理能力方案（含问题识别、技术路径、架构可扩展性说明）</w:t>
      </w:r>
      <w:r>
        <w:rPr>
          <w:sz w:val="24"/>
          <w:szCs w:val="24"/>
        </w:rPr>
      </w:r>
      <w:r/>
    </w:p>
    <w:p>
      <w:pPr>
        <w:pStyle w:val="891"/>
        <w:ind w:firstLine="480"/>
        <w:spacing w:line="360" w:lineRule="auto"/>
        <w:rPr>
          <w:sz w:val="24"/>
          <w:szCs w:val="24"/>
        </w:rPr>
      </w:pPr>
      <w:r>
        <w:rPr>
          <w:sz w:val="24"/>
          <w:szCs w:val="24"/>
        </w:rPr>
        <w:t xml:space="preserve">6.</w:t>
      </w:r>
      <w:r>
        <w:rPr>
          <w:rFonts w:hint="eastAsia"/>
          <w:sz w:val="24"/>
          <w:szCs w:val="24"/>
        </w:rPr>
        <w:t xml:space="preserve">多租户隔离架构设计方案</w:t>
      </w:r>
      <w:r>
        <w:rPr>
          <w:sz w:val="24"/>
          <w:szCs w:val="24"/>
        </w:rPr>
      </w:r>
      <w:r/>
    </w:p>
    <w:p>
      <w:pPr>
        <w:pStyle w:val="891"/>
        <w:ind w:firstLine="480"/>
        <w:spacing w:line="360" w:lineRule="auto"/>
        <w:rPr>
          <w:sz w:val="24"/>
          <w:szCs w:val="24"/>
        </w:rPr>
      </w:pPr>
      <w:r>
        <w:rPr>
          <w:sz w:val="24"/>
          <w:szCs w:val="24"/>
        </w:rPr>
        <w:t xml:space="preserve">7.</w:t>
      </w:r>
      <w:r>
        <w:rPr>
          <w:rFonts w:hint="eastAsia"/>
          <w:sz w:val="24"/>
          <w:szCs w:val="24"/>
        </w:rPr>
        <w:t xml:space="preserve">系统可信管控方案（含证据充分性评估机制、时效性冲突处理）</w:t>
      </w:r>
      <w:r>
        <w:rPr>
          <w:sz w:val="24"/>
          <w:szCs w:val="24"/>
        </w:rPr>
      </w:r>
      <w:r/>
    </w:p>
    <w:p>
      <w:pPr>
        <w:pStyle w:val="891"/>
        <w:ind w:firstLine="480"/>
        <w:spacing w:line="360" w:lineRule="auto"/>
        <w:rPr>
          <w:sz w:val="24"/>
          <w:szCs w:val="24"/>
        </w:rPr>
      </w:pPr>
      <w:r>
        <w:rPr>
          <w:sz w:val="24"/>
          <w:szCs w:val="24"/>
        </w:rPr>
        <w:t xml:space="preserve">8.</w:t>
      </w:r>
      <w:r>
        <w:rPr>
          <w:rFonts w:hint="eastAsia"/>
          <w:sz w:val="24"/>
          <w:szCs w:val="24"/>
        </w:rPr>
        <w:t xml:space="preserve">安全管控与审计方案（含权限管控与审计）</w:t>
      </w:r>
      <w:r>
        <w:rPr>
          <w:sz w:val="24"/>
          <w:szCs w:val="24"/>
        </w:rPr>
      </w:r>
      <w:r/>
    </w:p>
    <w:p>
      <w:pPr>
        <w:pStyle w:val="891"/>
        <w:ind w:firstLine="480"/>
        <w:spacing w:line="360" w:lineRule="auto"/>
        <w:rPr>
          <w:sz w:val="24"/>
          <w:szCs w:val="24"/>
        </w:rPr>
      </w:pPr>
      <w:r>
        <w:rPr>
          <w:sz w:val="24"/>
          <w:szCs w:val="24"/>
        </w:rPr>
        <w:t xml:space="preserve">9.</w:t>
      </w:r>
      <w:r>
        <w:rPr>
          <w:rFonts w:hint="eastAsia"/>
          <w:sz w:val="24"/>
          <w:szCs w:val="24"/>
        </w:rPr>
        <w:t xml:space="preserve">模型网关与算力调度方案</w:t>
      </w:r>
      <w:r>
        <w:rPr>
          <w:sz w:val="24"/>
          <w:szCs w:val="24"/>
        </w:rPr>
      </w:r>
      <w:r/>
    </w:p>
    <w:p>
      <w:pPr>
        <w:pStyle w:val="891"/>
        <w:ind w:firstLine="480"/>
        <w:spacing w:line="360" w:lineRule="auto"/>
        <w:rPr>
          <w:sz w:val="24"/>
          <w:szCs w:val="24"/>
        </w:rPr>
      </w:pPr>
      <w:r>
        <w:rPr>
          <w:sz w:val="24"/>
          <w:szCs w:val="24"/>
        </w:rPr>
        <w:t xml:space="preserve">10</w:t>
      </w:r>
      <w:r>
        <w:rPr>
          <w:rFonts w:hint="eastAsia"/>
          <w:sz w:val="24"/>
          <w:szCs w:val="24"/>
        </w:rPr>
        <w:t xml:space="preserve">.通用智能体平台建设方案</w:t>
      </w:r>
      <w:r>
        <w:rPr>
          <w:sz w:val="24"/>
          <w:szCs w:val="24"/>
        </w:rPr>
      </w:r>
      <w:r/>
    </w:p>
    <w:p>
      <w:pPr>
        <w:pStyle w:val="891"/>
        <w:ind w:firstLine="480"/>
        <w:spacing w:line="360" w:lineRule="auto"/>
        <w:rPr>
          <w:sz w:val="24"/>
          <w:szCs w:val="24"/>
        </w:rPr>
      </w:pPr>
      <w:r>
        <w:rPr>
          <w:sz w:val="24"/>
          <w:szCs w:val="24"/>
        </w:rPr>
        <w:t xml:space="preserve">11.</w:t>
      </w:r>
      <w:r>
        <w:rPr>
          <w:rFonts w:hint="eastAsia"/>
          <w:sz w:val="24"/>
          <w:szCs w:val="24"/>
        </w:rPr>
        <w:t xml:space="preserve">个人智能体平台建设方案</w:t>
      </w:r>
      <w:r>
        <w:rPr>
          <w:sz w:val="24"/>
          <w:szCs w:val="24"/>
        </w:rPr>
      </w:r>
      <w:r/>
    </w:p>
    <w:p>
      <w:pPr>
        <w:pStyle w:val="891"/>
        <w:ind w:firstLine="480"/>
        <w:jc w:val="left"/>
        <w:spacing w:line="360" w:lineRule="auto"/>
        <w:widowControl/>
        <w:rPr>
          <w:sz w:val="24"/>
          <w:szCs w:val="24"/>
        </w:rPr>
      </w:pPr>
      <w:r>
        <w:rPr>
          <w:sz w:val="24"/>
          <w:szCs w:val="24"/>
        </w:rPr>
        <w:t xml:space="preserve">12.</w:t>
      </w:r>
      <w:r>
        <w:rPr>
          <w:rFonts w:hint="eastAsia"/>
          <w:sz w:val="24"/>
          <w:szCs w:val="24"/>
        </w:rPr>
        <w:t xml:space="preserve">应急预案</w:t>
      </w:r>
      <w:r>
        <w:rPr>
          <w:sz w:val="24"/>
          <w:szCs w:val="24"/>
        </w:rPr>
      </w:r>
      <w:r/>
    </w:p>
    <w:p>
      <w:pPr>
        <w:pStyle w:val="891"/>
        <w:ind w:firstLine="480"/>
        <w:jc w:val="left"/>
        <w:spacing w:line="360" w:lineRule="auto"/>
        <w:widowControl/>
        <w:rPr>
          <w:sz w:val="24"/>
          <w:szCs w:val="24"/>
        </w:rPr>
      </w:pPr>
      <w:r>
        <w:rPr>
          <w:sz w:val="24"/>
          <w:szCs w:val="24"/>
        </w:rPr>
        <w:t xml:space="preserve">13.</w:t>
      </w:r>
      <w:r>
        <w:rPr>
          <w:rFonts w:hint="eastAsia"/>
          <w:sz w:val="24"/>
          <w:szCs w:val="24"/>
        </w:rPr>
        <w:t xml:space="preserve">培训方案</w:t>
      </w:r>
      <w:r>
        <w:rPr>
          <w:sz w:val="24"/>
          <w:szCs w:val="24"/>
        </w:rPr>
      </w:r>
      <w:r/>
    </w:p>
    <w:p>
      <w:pPr>
        <w:pStyle w:val="891"/>
        <w:ind w:left="-420" w:firstLine="723"/>
        <w:jc w:val="left"/>
        <w:keepLines/>
        <w:keepNext/>
        <w:spacing w:line="360" w:lineRule="auto"/>
        <w:tabs>
          <w:tab w:val="left" w:pos="397" w:leader="none"/>
          <w:tab w:val="left" w:pos="1427" w:leader="none"/>
        </w:tabs>
        <w:rPr>
          <w:b/>
          <w:sz w:val="24"/>
          <w:szCs w:val="24"/>
          <w:lang w:val="zh-CN"/>
        </w:rPr>
        <w:outlineLvl w:val="1"/>
      </w:pPr>
      <w:r>
        <w:rPr>
          <w:rFonts w:hint="eastAsia"/>
          <w:b/>
          <w:sz w:val="24"/>
          <w:szCs w:val="24"/>
          <w:lang w:val="zh-CN"/>
        </w:rPr>
        <w:t xml:space="preserve">八、其他要求</w:t>
      </w:r>
      <w:r>
        <w:rPr>
          <w:b/>
          <w:sz w:val="24"/>
          <w:szCs w:val="24"/>
          <w:lang w:val="zh-CN"/>
        </w:rPr>
      </w:r>
      <w:r/>
    </w:p>
    <w:p>
      <w:pPr>
        <w:pStyle w:val="891"/>
        <w:spacing w:line="360" w:lineRule="auto"/>
        <w:rPr>
          <w:sz w:val="24"/>
          <w:szCs w:val="24"/>
        </w:rPr>
      </w:pPr>
      <w:r/>
      <w:bookmarkEnd w:id="195"/>
      <w:r/>
      <w:bookmarkEnd w:id="196"/>
      <w:r>
        <w:rPr>
          <w:rFonts w:hint="eastAsia"/>
          <w:sz w:val="24"/>
          <w:szCs w:val="24"/>
        </w:rPr>
        <w:t xml:space="preserve">（1）本项目形成的所有资料、成果等知识产权归江苏省财政厅所有。成交供应商应保证所提供的所有技术材料任何一部分不受第三方提出的侵犯专利权、著作权、商标权和工业设计权等的起诉。如果任何第三方提出侵权指控，成交供应商须与第三方交涉并承担由此发生的一切责任、费用和经济赔偿等。</w:t>
      </w:r>
      <w:r>
        <w:rPr>
          <w:sz w:val="24"/>
          <w:szCs w:val="24"/>
        </w:rPr>
      </w:r>
      <w:r/>
    </w:p>
    <w:p>
      <w:pPr>
        <w:pStyle w:val="891"/>
        <w:spacing w:line="360" w:lineRule="auto"/>
        <w:rPr>
          <w:rFonts w:hint="eastAsia"/>
          <w:sz w:val="24"/>
          <w:szCs w:val="24"/>
        </w:rPr>
      </w:pPr>
      <w:r>
        <w:rPr>
          <w:rFonts w:hint="eastAsia"/>
          <w:sz w:val="24"/>
          <w:szCs w:val="24"/>
        </w:rPr>
        <w:t xml:space="preserve">（2）上传视频演示</w:t>
      </w:r>
      <w:r/>
    </w:p>
    <w:p>
      <w:pPr>
        <w:pStyle w:val="891"/>
        <w:spacing w:line="360" w:lineRule="auto"/>
        <w:rPr>
          <w:rFonts w:hint="eastAsia"/>
          <w:sz w:val="24"/>
          <w:szCs w:val="24"/>
        </w:rPr>
      </w:pPr>
      <w:r>
        <w:rPr>
          <w:rFonts w:hint="eastAsia"/>
          <w:sz w:val="24"/>
          <w:szCs w:val="24"/>
        </w:rPr>
        <w:t xml:space="preserve">    </w:t>
      </w:r>
      <w:r>
        <w:rPr>
          <w:rFonts w:hint="eastAsia"/>
          <w:sz w:val="24"/>
          <w:szCs w:val="24"/>
        </w:rPr>
        <w:t xml:space="preserve">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w:t>
      </w:r>
      <w:r>
        <w:rPr>
          <w:rFonts w:hint="eastAsia"/>
          <w:sz w:val="24"/>
          <w:szCs w:val="24"/>
        </w:rPr>
        <w:t xml:space="preserve">画面清晰连续，关键实测数据须在画面同步展示。</w:t>
      </w:r>
      <w:r>
        <w:rPr>
          <w:rFonts w:hint="eastAsia"/>
          <w:sz w:val="24"/>
          <w:szCs w:val="24"/>
        </w:rPr>
        <w:t xml:space="preserve">视频时长总计不超过15分钟</w:t>
      </w:r>
      <w:r>
        <w:rPr>
          <w:rFonts w:hint="eastAsia"/>
          <w:sz w:val="24"/>
          <w:szCs w:val="24"/>
        </w:rPr>
        <w:t xml:space="preserve">投标人以录制视频方式提交平台功能演示，演示使用的文档和测试题随招标文件发出，见招标文件附件。要求如下：</w:t>
      </w:r>
      <w:r/>
    </w:p>
    <w:p>
      <w:pPr>
        <w:pStyle w:val="891"/>
        <w:ind w:firstLine="480"/>
        <w:spacing w:line="360" w:lineRule="auto"/>
        <w:rPr>
          <w:sz w:val="24"/>
          <w:szCs w:val="24"/>
        </w:rPr>
      </w:pPr>
      <w:r>
        <w:rPr>
          <w:rFonts w:hint="eastAsia"/>
          <w:sz w:val="24"/>
          <w:szCs w:val="24"/>
        </w:rPr>
        <w:t xml:space="preserve">演示针对财政公文样本（含双栏排版、跨页表格、印章）的解析过程，以Markdown转换后的表格数据漏项/错位率为量化依据，转换后的文档与原文档对比漏项率；知识切片与结构保留：演示切片方案如何保留“章-节-条-款”结构及父子文档关系；以切片后语义完整性的测试用例通过率为依据；检索效果：演示针对预设测试题的检索召回率实测过程</w:t>
      </w:r>
      <w:r>
        <w:rPr>
          <w:rFonts w:hint="eastAsia"/>
          <w:sz w:val="24"/>
          <w:szCs w:val="24"/>
        </w:rPr>
        <w:t xml:space="preserve">；</w:t>
      </w:r>
      <w:r>
        <w:rPr>
          <w:rFonts w:hint="eastAsia"/>
          <w:sz w:val="24"/>
          <w:szCs w:val="24"/>
        </w:rPr>
        <w:t xml:space="preserve">溯源精确度：演示政策类问答点击引用后直接高亮展示原文对应段落或表格单元格的效果</w:t>
      </w:r>
      <w:r>
        <w:rPr>
          <w:rFonts w:hint="eastAsia"/>
          <w:sz w:val="24"/>
          <w:szCs w:val="24"/>
        </w:rPr>
        <w:t xml:space="preserve">。</w:t>
      </w:r>
      <w:r>
        <w:rPr>
          <w:sz w:val="24"/>
          <w:szCs w:val="24"/>
        </w:rPr>
      </w:r>
      <w:r/>
    </w:p>
    <w:p>
      <w:pPr>
        <w:pStyle w:val="891"/>
        <w:spacing w:line="0" w:lineRule="atLeast"/>
        <w:rPr>
          <w:rFonts w:hint="eastAsia" w:ascii="宋体" w:hAnsi="宋体"/>
          <w:b/>
          <w:color w:val="000000"/>
        </w:rPr>
      </w:pPr>
      <w:r>
        <w:rPr>
          <w:rFonts w:hint="eastAsia" w:ascii="宋体" w:hAnsi="宋体"/>
          <w:b/>
          <w:color w:val="000000"/>
        </w:rPr>
      </w:r>
      <w:r/>
    </w:p>
    <w:p>
      <w:pPr>
        <w:pStyle w:val="891"/>
        <w:spacing w:line="0" w:lineRule="atLeast"/>
        <w:rPr>
          <w:rFonts w:hint="eastAsia" w:ascii="宋体" w:hAnsi="宋体"/>
          <w:b/>
          <w:color w:val="000000"/>
        </w:rPr>
      </w:pPr>
      <w:r>
        <w:rPr>
          <w:rFonts w:hint="eastAsia" w:ascii="宋体" w:hAnsi="宋体"/>
          <w:b/>
          <w:color w:val="000000"/>
        </w:rPr>
      </w:r>
      <w:r/>
    </w:p>
    <w:p>
      <w:pPr>
        <w:pStyle w:val="891"/>
        <w:spacing w:line="0" w:lineRule="atLeast"/>
        <w:rPr>
          <w:rFonts w:hint="eastAsia" w:ascii="宋体" w:hAnsi="宋体"/>
          <w:b/>
          <w:color w:val="000000"/>
        </w:rPr>
      </w:pPr>
      <w:r>
        <w:rPr>
          <w:rFonts w:hint="eastAsia" w:ascii="宋体" w:hAnsi="宋体"/>
          <w:b/>
          <w:color w:val="000000"/>
        </w:rPr>
      </w:r>
      <w:r/>
    </w:p>
    <w:p>
      <w:pPr>
        <w:pStyle w:val="891"/>
        <w:spacing w:line="0" w:lineRule="atLeast"/>
        <w:rPr>
          <w:rFonts w:hint="eastAsia" w:ascii="宋体" w:hAnsi="宋体"/>
          <w:b/>
          <w:color w:val="000000"/>
        </w:rPr>
      </w:pPr>
      <w:r>
        <w:rPr>
          <w:rFonts w:hint="eastAsia" w:ascii="宋体" w:hAnsi="宋体"/>
          <w:b/>
          <w:color w:val="000000"/>
        </w:rPr>
      </w:r>
      <w:r/>
    </w:p>
    <w:p>
      <w:pPr>
        <w:pStyle w:val="892"/>
        <w:jc w:val="center"/>
        <w:rPr>
          <w:rFonts w:hint="eastAsia" w:ascii="黑体" w:eastAsia="黑体"/>
          <w:bCs/>
          <w:sz w:val="44"/>
        </w:rPr>
      </w:pPr>
      <w:r/>
      <w:bookmarkStart w:id="205"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8"/>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8"/>
        <w:spacing w:line="0" w:lineRule="atLeast"/>
        <w:rPr>
          <w:rFonts w:hint="eastAsia" w:ascii="宋体" w:hAnsi="宋体"/>
        </w:rPr>
      </w:pPr>
      <w:r>
        <w:rPr>
          <w:rFonts w:hint="eastAsia" w:ascii="宋体" w:hAnsi="宋体"/>
        </w:rPr>
        <w:t xml:space="preserve">1、小微型企业价格扣除</w:t>
      </w:r>
      <w:r/>
    </w:p>
    <w:p>
      <w:pPr>
        <w:pStyle w:val="97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8"/>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78"/>
        <w:spacing w:line="0" w:lineRule="atLeast"/>
        <w:rPr>
          <w:rFonts w:hint="eastAsia" w:ascii="宋体" w:hAnsi="宋体"/>
        </w:rPr>
      </w:pPr>
      <w:r>
        <w:rPr>
          <w:rFonts w:hint="eastAsia" w:ascii="宋体" w:hAnsi="宋体"/>
        </w:rPr>
        <w:t xml:space="preserve">2、残疾人福利单位价格扣除</w:t>
      </w:r>
      <w:r/>
    </w:p>
    <w:p>
      <w:pPr>
        <w:pStyle w:val="97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8"/>
        <w:spacing w:line="0" w:lineRule="atLeast"/>
        <w:rPr>
          <w:rFonts w:hint="eastAsia" w:ascii="宋体" w:hAnsi="宋体"/>
        </w:rPr>
      </w:pPr>
      <w:r>
        <w:rPr>
          <w:rFonts w:hint="eastAsia" w:ascii="宋体" w:hAnsi="宋体"/>
        </w:rPr>
        <w:t xml:space="preserve">3、监狱和戒毒企业价格扣除</w:t>
      </w:r>
      <w:r/>
    </w:p>
    <w:p>
      <w:pPr>
        <w:pStyle w:val="97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8"/>
        <w:spacing w:line="400" w:lineRule="exact"/>
        <w:rPr>
          <w:rFonts w:hint="eastAsia" w:ascii="宋体" w:hAnsi="宋体"/>
        </w:rPr>
      </w:pPr>
      <w:r>
        <w:rPr>
          <w:rFonts w:hint="eastAsia" w:ascii="宋体" w:hAnsi="宋体"/>
        </w:rPr>
        <w:t xml:space="preserve">7.采购本国产品的支持政策</w:t>
      </w:r>
      <w:r/>
    </w:p>
    <w:p>
      <w:pPr>
        <w:pStyle w:val="978"/>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978"/>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78"/>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978"/>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spacing w:line="400" w:lineRule="exact"/>
        <w:rPr>
          <w:rFonts w:hint="eastAsia" w:ascii="宋体" w:hAnsi="宋体"/>
        </w:rPr>
      </w:pPr>
      <w:r>
        <w:rPr>
          <w:rFonts w:hint="eastAsia" w:ascii="宋体" w:hAnsi="宋体"/>
        </w:rPr>
      </w:r>
      <w:r/>
    </w:p>
    <w:p>
      <w:pPr>
        <w:pStyle w:val="97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pPr w:horzAnchor="page" w:tblpX="1611" w:vertAnchor="text" w:tblpY="179" w:leftFromText="181" w:topFromText="0" w:rightFromText="181" w:bottomFromText="0"/>
        <w:tblW w:w="89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393"/>
        <w:gridCol w:w="6367"/>
        <w:gridCol w:w="709"/>
      </w:tblGrid>
      <w:tr>
        <w:trPr>
          <w:trHeight w:val="23"/>
        </w:trPr>
        <w:tc>
          <w:tcPr>
            <w:tcW w:w="456" w:type="dxa"/>
            <w:vAlign w:val="center"/>
            <w:textDirection w:val="lrTb"/>
            <w:noWrap w:val="false"/>
          </w:tcPr>
          <w:p>
            <w:pPr>
              <w:pStyle w:val="891"/>
              <w:jc w:val="left"/>
              <w:rPr>
                <w:b/>
                <w:bCs/>
              </w:rPr>
              <w:framePr w:hSpace="181" w:wrap="around" w:vAnchor="text" w:hAnchor="page" w:x="1611" w:y="179"/>
            </w:pPr>
            <w:r/>
            <w:bookmarkStart w:id="206" w:name="OLE_LINK13"/>
            <w:r>
              <w:rPr>
                <w:rFonts w:hint="eastAsia"/>
                <w:b/>
                <w:bCs/>
              </w:rPr>
              <w:t xml:space="preserve">序</w:t>
            </w:r>
            <w:r>
              <w:rPr>
                <w:b/>
                <w:bCs/>
              </w:rPr>
            </w:r>
            <w:r/>
          </w:p>
          <w:p>
            <w:pPr>
              <w:pStyle w:val="891"/>
              <w:jc w:val="left"/>
              <w:rPr>
                <w:b/>
                <w:bCs/>
              </w:rPr>
              <w:framePr w:hSpace="181" w:wrap="around" w:vAnchor="text" w:hAnchor="page" w:x="1611" w:y="179"/>
            </w:pPr>
            <w:r>
              <w:rPr>
                <w:rFonts w:hint="eastAsia"/>
                <w:b/>
                <w:bCs/>
              </w:rPr>
              <w:t xml:space="preserve">号</w:t>
            </w:r>
            <w:r>
              <w:rPr>
                <w:b/>
                <w:bCs/>
              </w:rPr>
            </w:r>
            <w:r/>
          </w:p>
        </w:tc>
        <w:tc>
          <w:tcPr>
            <w:tcW w:w="1393" w:type="dxa"/>
            <w:vAlign w:val="center"/>
            <w:textDirection w:val="lrTb"/>
            <w:noWrap w:val="false"/>
          </w:tcPr>
          <w:p>
            <w:pPr>
              <w:pStyle w:val="891"/>
              <w:jc w:val="left"/>
              <w:rPr>
                <w:b/>
                <w:bCs/>
              </w:rPr>
              <w:framePr w:hSpace="181" w:wrap="around" w:vAnchor="text" w:hAnchor="page" w:x="1611" w:y="179"/>
            </w:pPr>
            <w:r>
              <w:rPr>
                <w:rFonts w:hint="eastAsia"/>
                <w:b/>
                <w:bCs/>
              </w:rPr>
              <w:t xml:space="preserve">评分因素</w:t>
            </w:r>
            <w:r>
              <w:rPr>
                <w:b/>
                <w:bCs/>
              </w:rPr>
            </w:r>
            <w:r/>
          </w:p>
        </w:tc>
        <w:tc>
          <w:tcPr>
            <w:tcW w:w="6367" w:type="dxa"/>
            <w:vAlign w:val="center"/>
            <w:textDirection w:val="lrTb"/>
            <w:noWrap w:val="false"/>
          </w:tcPr>
          <w:p>
            <w:pPr>
              <w:pStyle w:val="891"/>
              <w:jc w:val="center"/>
              <w:rPr>
                <w:b/>
                <w:bCs/>
              </w:rPr>
              <w:framePr w:hSpace="181" w:wrap="around" w:vAnchor="text" w:hAnchor="page" w:x="1611" w:y="179"/>
            </w:pPr>
            <w:r>
              <w:rPr>
                <w:rFonts w:hint="eastAsia"/>
                <w:b/>
                <w:bCs/>
              </w:rPr>
              <w:t xml:space="preserve">评审标准</w:t>
            </w:r>
            <w:r>
              <w:rPr>
                <w:b/>
                <w:bCs/>
              </w:rPr>
            </w:r>
            <w:r/>
          </w:p>
        </w:tc>
        <w:tc>
          <w:tcPr>
            <w:tcW w:w="709" w:type="dxa"/>
            <w:vAlign w:val="center"/>
            <w:textDirection w:val="lrTb"/>
            <w:noWrap w:val="false"/>
          </w:tcPr>
          <w:p>
            <w:pPr>
              <w:pStyle w:val="891"/>
              <w:jc w:val="left"/>
              <w:framePr w:hSpace="181" w:wrap="around" w:vAnchor="text" w:hAnchor="page" w:x="1611" w:y="179"/>
            </w:pPr>
            <w:r>
              <w:rPr>
                <w:rFonts w:hint="eastAsia"/>
                <w:b/>
                <w:bCs/>
              </w:rPr>
              <w:t xml:space="preserve">分值</w:t>
            </w:r>
            <w:r/>
          </w:p>
        </w:tc>
      </w:tr>
      <w:tr>
        <w:trPr>
          <w:trHeight w:val="23"/>
        </w:trPr>
        <w:tc>
          <w:tcPr>
            <w:gridSpan w:val="4"/>
            <w:tcW w:w="8925" w:type="dxa"/>
            <w:vAlign w:val="center"/>
            <w:textDirection w:val="lrTb"/>
            <w:noWrap w:val="false"/>
          </w:tcPr>
          <w:p>
            <w:pPr>
              <w:pStyle w:val="891"/>
              <w:jc w:val="center"/>
              <w:rPr>
                <w:b/>
                <w:bCs/>
                <w:sz w:val="24"/>
                <w:szCs w:val="24"/>
              </w:rPr>
              <w:framePr w:hSpace="181" w:wrap="around" w:vAnchor="text" w:hAnchor="page" w:x="1611" w:y="179"/>
            </w:pPr>
            <w:r>
              <w:rPr>
                <w:rFonts w:hint="eastAsia"/>
                <w:b/>
                <w:bCs/>
                <w:sz w:val="24"/>
                <w:szCs w:val="24"/>
              </w:rPr>
              <w:t xml:space="preserve">报价部分（10分）</w:t>
            </w:r>
            <w:r>
              <w:rPr>
                <w:b/>
                <w:bCs/>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sz w:val="24"/>
                <w:szCs w:val="24"/>
              </w:rPr>
              <w:t xml:space="preserve">1</w:t>
            </w:r>
            <w:r/>
          </w:p>
        </w:tc>
        <w:tc>
          <w:tcPr>
            <w:tcW w:w="1393"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价格</w:t>
            </w:r>
            <w:r>
              <w:rPr>
                <w:b/>
                <w:bCs/>
                <w:sz w:val="24"/>
                <w:szCs w:val="24"/>
              </w:rPr>
            </w:r>
            <w:r/>
          </w:p>
          <w:p>
            <w:pPr>
              <w:pStyle w:val="891"/>
              <w:jc w:val="left"/>
              <w:rPr>
                <w:sz w:val="24"/>
                <w:szCs w:val="24"/>
              </w:rPr>
              <w:framePr w:hSpace="181" w:wrap="around" w:vAnchor="text" w:hAnchor="page" w:x="1611" w:y="179"/>
            </w:pPr>
            <w:r>
              <w:rPr>
                <w:rFonts w:hint="eastAsia"/>
                <w:b/>
                <w:bCs/>
                <w:sz w:val="24"/>
                <w:szCs w:val="24"/>
              </w:rPr>
              <w:t xml:space="preserve">（10分）</w:t>
            </w:r>
            <w:r>
              <w:rPr>
                <w:sz w:val="24"/>
                <w:szCs w:val="24"/>
              </w:rPr>
            </w:r>
            <w:r/>
          </w:p>
        </w:tc>
        <w:tc>
          <w:tcPr>
            <w:tcW w:w="6367" w:type="dxa"/>
            <w:vAlign w:val="center"/>
            <w:textDirection w:val="lrTb"/>
            <w:noWrap w:val="false"/>
          </w:tcPr>
          <w:p>
            <w:pPr>
              <w:pStyle w:val="978"/>
              <w:spacing w:line="400" w:lineRule="exact"/>
              <w:rPr>
                <w:rFonts w:ascii="宋体" w:hAnsi="宋体"/>
              </w:rPr>
              <w:framePr w:hSpace="181" w:wrap="around" w:vAnchor="text" w:hAnchor="page" w:x="1611" w:y="179"/>
            </w:pPr>
            <w:r>
              <w:rPr>
                <w:rFonts w:hint="eastAsia" w:ascii="宋体" w:hAnsi="宋体"/>
              </w:rPr>
              <w:t xml:space="preserve">采用低价优先法计算，即满足招标文件要求且投标价格最低的投标报价为评标基准价，其价格分为满分。其他满足招标文件要求的供应商的价格分统一按照下列公式计算：投标报价得分=（评标基准价／投标报价）×10。</w:t>
            </w:r>
            <w:r>
              <w:rPr>
                <w:rFonts w:ascii="宋体" w:hAnsi="宋体"/>
              </w:rPr>
            </w:r>
            <w:r/>
          </w:p>
          <w:p>
            <w:pPr>
              <w:pStyle w:val="978"/>
              <w:spacing w:line="400" w:lineRule="exact"/>
              <w:framePr w:hSpace="181" w:wrap="around" w:vAnchor="text" w:hAnchor="page" w:x="1611" w:y="179"/>
            </w:pPr>
            <w:r>
              <w:rPr>
                <w:rFonts w:hint="eastAsia" w:ascii="宋体" w:hAnsi="宋体"/>
              </w:rPr>
              <w:t xml:space="preserve">注：报价得分保留两位小数。</w:t>
            </w:r>
            <w:r/>
          </w:p>
        </w:tc>
        <w:tc>
          <w:tcPr>
            <w:tcW w:w="709" w:type="dxa"/>
            <w:vAlign w:val="center"/>
            <w:textDirection w:val="lrTb"/>
            <w:noWrap w:val="false"/>
          </w:tcPr>
          <w:p>
            <w:pPr>
              <w:pStyle w:val="891"/>
              <w:jc w:val="left"/>
              <w:rPr>
                <w:sz w:val="24"/>
                <w:szCs w:val="24"/>
              </w:rPr>
              <w:framePr w:hSpace="181" w:wrap="around" w:vAnchor="text" w:hAnchor="page" w:x="1611" w:y="179"/>
            </w:pPr>
            <w:r>
              <w:rPr>
                <w:sz w:val="24"/>
                <w:szCs w:val="24"/>
              </w:rPr>
              <w:t xml:space="preserve">10</w:t>
            </w:r>
            <w:r/>
          </w:p>
        </w:tc>
      </w:tr>
      <w:tr>
        <w:trPr>
          <w:trHeight w:val="23"/>
        </w:trPr>
        <w:tc>
          <w:tcPr>
            <w:gridSpan w:val="4"/>
            <w:tcW w:w="8925" w:type="dxa"/>
            <w:vAlign w:val="center"/>
            <w:textDirection w:val="lrTb"/>
            <w:noWrap w:val="false"/>
          </w:tcPr>
          <w:p>
            <w:pPr>
              <w:pStyle w:val="891"/>
              <w:jc w:val="center"/>
              <w:rPr>
                <w:sz w:val="24"/>
                <w:szCs w:val="24"/>
              </w:rPr>
              <w:framePr w:hSpace="181" w:wrap="around" w:vAnchor="text" w:hAnchor="page" w:x="1611" w:y="179"/>
            </w:pPr>
            <w:r>
              <w:rPr>
                <w:rFonts w:hint="eastAsia"/>
                <w:b/>
                <w:bCs/>
                <w:sz w:val="24"/>
                <w:szCs w:val="24"/>
              </w:rPr>
              <w:t xml:space="preserve">商务部分（20分）</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sz w:val="24"/>
                <w:szCs w:val="24"/>
              </w:rPr>
              <w:t xml:space="preserve">2</w:t>
            </w:r>
            <w:r/>
          </w:p>
        </w:tc>
        <w:tc>
          <w:tcPr>
            <w:tcW w:w="1393" w:type="dxa"/>
            <w:vAlign w:val="center"/>
            <w:textDirection w:val="lrTb"/>
            <w:noWrap w:val="false"/>
          </w:tcPr>
          <w:p>
            <w:pPr>
              <w:pStyle w:val="891"/>
              <w:jc w:val="left"/>
              <w:rPr>
                <w:color w:val="000000"/>
                <w:sz w:val="24"/>
                <w:szCs w:val="24"/>
              </w:rPr>
              <w:framePr w:hSpace="181" w:wrap="around" w:vAnchor="text" w:hAnchor="page" w:x="1611" w:y="179"/>
            </w:pPr>
            <w:r>
              <w:rPr>
                <w:rFonts w:hint="eastAsia"/>
                <w:b/>
                <w:bCs/>
                <w:color w:val="000000"/>
                <w:sz w:val="24"/>
                <w:szCs w:val="24"/>
              </w:rPr>
              <w:t xml:space="preserve">投标人资质（3分）</w:t>
            </w:r>
            <w:r>
              <w:rPr>
                <w:color w:val="000000"/>
                <w:sz w:val="24"/>
                <w:szCs w:val="24"/>
              </w:rPr>
            </w:r>
            <w:r/>
          </w:p>
        </w:tc>
        <w:tc>
          <w:tcPr>
            <w:tcW w:w="6367" w:type="dxa"/>
            <w:vAlign w:val="center"/>
            <w:textDirection w:val="lrTb"/>
            <w:noWrap w:val="false"/>
          </w:tcPr>
          <w:p>
            <w:pPr>
              <w:pStyle w:val="978"/>
              <w:spacing w:line="400" w:lineRule="exact"/>
              <w:rPr>
                <w:rFonts w:ascii="宋体" w:hAnsi="宋体"/>
              </w:rPr>
              <w:framePr w:hSpace="181" w:wrap="around" w:vAnchor="text" w:hAnchor="page" w:x="1611" w:y="179"/>
            </w:pPr>
            <w:r/>
            <w:bookmarkStart w:id="207" w:name="_Hlk206086569"/>
            <w:r/>
            <w:bookmarkEnd w:id="207"/>
            <w:r>
              <w:rPr>
                <w:rFonts w:hint="eastAsia" w:ascii="宋体" w:hAnsi="宋体"/>
              </w:rPr>
              <w:t xml:space="preserve">企业资质情况：投标人具有有效期内的质量管理体系认证（ISO9001）证书；投标人具有有效期内的环境管理体系认证（ISO 14001）证书；投标人具有有效期内的职业健康安全管理体系认证（ISO 45001）证书。注：提供上述认证证书的复印件或扫描件并加盖投标人公章，每具有一项得1分，最高得3分；未提供或经核验无效的，对应项不得分。</w:t>
            </w:r>
            <w:r>
              <w:rPr>
                <w:rFonts w:ascii="宋体" w:hAnsi="宋体"/>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3</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sz w:val="24"/>
                <w:szCs w:val="24"/>
              </w:rPr>
              <w:t xml:space="preserve">3</w:t>
            </w:r>
            <w:r/>
          </w:p>
        </w:tc>
        <w:tc>
          <w:tcPr>
            <w:tcW w:w="1393" w:type="dxa"/>
            <w:vAlign w:val="center"/>
            <w:textDirection w:val="lrTb"/>
            <w:noWrap w:val="false"/>
          </w:tcPr>
          <w:p>
            <w:pPr>
              <w:pStyle w:val="891"/>
              <w:jc w:val="left"/>
              <w:rPr>
                <w:sz w:val="24"/>
                <w:szCs w:val="24"/>
              </w:rPr>
              <w:framePr w:hSpace="181" w:wrap="around" w:vAnchor="text" w:hAnchor="page" w:x="1611" w:y="179"/>
            </w:pPr>
            <w:r>
              <w:rPr>
                <w:rFonts w:hint="eastAsia"/>
                <w:b/>
                <w:bCs/>
                <w:sz w:val="24"/>
                <w:szCs w:val="24"/>
              </w:rPr>
              <w:t xml:space="preserve">软件著作权（3分）</w:t>
            </w:r>
            <w:r>
              <w:rPr>
                <w:sz w:val="24"/>
                <w:szCs w:val="24"/>
              </w:rPr>
            </w:r>
            <w:r/>
          </w:p>
        </w:tc>
        <w:tc>
          <w:tcPr>
            <w:tcW w:w="6367" w:type="dxa"/>
            <w:vAlign w:val="center"/>
            <w:textDirection w:val="lrTb"/>
            <w:noWrap w:val="false"/>
          </w:tcPr>
          <w:p>
            <w:pPr>
              <w:pStyle w:val="978"/>
              <w:ind w:firstLine="0"/>
              <w:spacing w:line="400" w:lineRule="exact"/>
              <w:rPr>
                <w:rFonts w:ascii="宋体" w:hAnsi="宋体"/>
              </w:rPr>
              <w:framePr w:hSpace="181" w:wrap="around" w:vAnchor="text" w:hAnchor="page" w:x="1611" w:y="179"/>
            </w:pPr>
            <w:r/>
            <w:bookmarkStart w:id="208" w:name="OLE_LINK10"/>
            <w:r>
              <w:rPr>
                <w:rFonts w:hint="eastAsia" w:ascii="宋体" w:hAnsi="宋体"/>
              </w:rPr>
              <w:t xml:space="preserve">具有应用AI大语言模型、RAG知识库或文本解析相关内容的国产软件著作权，每一项得1分，最高得3分。</w:t>
            </w:r>
            <w:r>
              <w:rPr>
                <w:rFonts w:ascii="宋体" w:hAnsi="宋体"/>
              </w:rPr>
            </w:r>
            <w:r/>
          </w:p>
          <w:p>
            <w:pPr>
              <w:pStyle w:val="978"/>
              <w:ind w:firstLine="0"/>
              <w:spacing w:line="400" w:lineRule="exact"/>
              <w:rPr>
                <w:rFonts w:ascii="宋体" w:hAnsi="宋体"/>
              </w:rPr>
              <w:framePr w:hSpace="181" w:wrap="around" w:vAnchor="text" w:hAnchor="page" w:x="1611" w:y="179"/>
            </w:pPr>
            <w:r>
              <w:rPr>
                <w:rFonts w:hint="eastAsia" w:ascii="宋体" w:hAnsi="宋体"/>
              </w:rPr>
              <w:t xml:space="preserve">注：投标人提供证书</w:t>
            </w:r>
            <w:r>
              <w:rPr>
                <w:rFonts w:hint="eastAsia" w:ascii="宋体" w:hAnsi="宋体"/>
              </w:rPr>
              <w:t xml:space="preserve">复印件</w:t>
            </w:r>
            <w:r>
              <w:rPr>
                <w:rFonts w:hint="eastAsia" w:ascii="宋体" w:hAnsi="宋体"/>
              </w:rPr>
              <w:t xml:space="preserve">，</w:t>
            </w:r>
            <w:r>
              <w:rPr>
                <w:rFonts w:hint="eastAsia" w:ascii="宋体" w:hAnsi="宋体"/>
              </w:rPr>
            </w:r>
            <w:r>
              <w:rPr>
                <w:rFonts w:hint="eastAsia" w:ascii="宋体" w:hAnsi="宋体"/>
              </w:rPr>
              <w:t xml:space="preserve">并加盖投标人公章。</w:t>
            </w:r>
            <w:r/>
            <w:r>
              <w:rPr>
                <w:rFonts w:hint="eastAsia" w:ascii="宋体" w:hAnsi="宋体"/>
              </w:rPr>
            </w:r>
            <w:r>
              <w:rPr>
                <w:rFonts w:hint="eastAsia" w:ascii="宋体" w:hAnsi="宋体"/>
              </w:rPr>
              <w:t xml:space="preserve">如投标文件中提供的软著证书名称表述与招标文件描述的关键字样不一致，而该投标文件中能证明投标人拥有的软件著作权具有相同或相似功能和效果，且评标委员会认可的，视同符合要求。</w:t>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3</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4</w:t>
            </w:r>
            <w:r>
              <w:rPr>
                <w:sz w:val="24"/>
                <w:szCs w:val="24"/>
              </w:rPr>
            </w:r>
            <w:r/>
          </w:p>
        </w:tc>
        <w:tc>
          <w:tcPr>
            <w:tcW w:w="1393"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类似业绩（8分）</w:t>
            </w:r>
            <w:r>
              <w:rPr>
                <w:b/>
                <w:bCs/>
                <w:sz w:val="24"/>
                <w:szCs w:val="24"/>
              </w:rPr>
            </w:r>
            <w:r/>
          </w:p>
        </w:tc>
        <w:tc>
          <w:tcPr>
            <w:tcW w:w="6367"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投标人提供的自2022年1月1日以来（以合同签订日期为准），投标人具有基于大模型的智能知识库、RAG或复杂非结构化数据治理的合同案例。</w:t>
            </w:r>
            <w:r>
              <w:rPr>
                <w:sz w:val="24"/>
                <w:szCs w:val="24"/>
              </w:rPr>
            </w:r>
            <w:r/>
          </w:p>
          <w:p>
            <w:pPr>
              <w:pStyle w:val="891"/>
              <w:jc w:val="left"/>
              <w:rPr>
                <w:sz w:val="24"/>
                <w:szCs w:val="24"/>
              </w:rPr>
              <w:framePr w:hSpace="181" w:wrap="around" w:vAnchor="text" w:hAnchor="page" w:x="1611" w:y="179"/>
            </w:pPr>
            <w:r>
              <w:rPr>
                <w:rFonts w:hint="eastAsia"/>
                <w:sz w:val="24"/>
                <w:szCs w:val="24"/>
              </w:rPr>
              <w:t xml:space="preserve">注：投标人需提供合同扫描件并加盖投标人公章，否则不得分。每个得2分，最高得8分；若仅为传统财务/ERP等大系统合同且未单列大模型模块的，不得分。</w:t>
            </w:r>
            <w:r>
              <w:rPr>
                <w:sz w:val="24"/>
                <w:szCs w:val="24"/>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8</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5</w:t>
            </w:r>
            <w:r>
              <w:rPr>
                <w:sz w:val="24"/>
                <w:szCs w:val="24"/>
              </w:rPr>
            </w:r>
            <w:r/>
          </w:p>
        </w:tc>
        <w:tc>
          <w:tcPr>
            <w:tcW w:w="1393"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技术人员资质（6分）</w:t>
            </w:r>
            <w:r>
              <w:rPr>
                <w:b/>
                <w:bCs/>
                <w:sz w:val="24"/>
                <w:szCs w:val="24"/>
              </w:rPr>
            </w:r>
            <w:r/>
          </w:p>
        </w:tc>
        <w:tc>
          <w:tcPr>
            <w:tcW w:w="6367" w:type="dxa"/>
            <w:vAlign w:val="center"/>
            <w:textDirection w:val="lrTb"/>
            <w:noWrap w:val="false"/>
          </w:tcPr>
          <w:p>
            <w:pPr>
              <w:pStyle w:val="891"/>
              <w:jc w:val="left"/>
              <w:rPr>
                <w:rFonts w:hint="eastAsia"/>
                <w:color w:val="000000"/>
                <w:sz w:val="24"/>
                <w:szCs w:val="24"/>
              </w:rPr>
              <w:framePr w:hSpace="181" w:wrap="around" w:vAnchor="text" w:hAnchor="page" w:x="1611" w:y="179"/>
            </w:pPr>
            <w:r>
              <w:rPr>
                <w:rFonts w:hint="eastAsia"/>
                <w:color w:val="000000"/>
                <w:sz w:val="24"/>
                <w:szCs w:val="24"/>
              </w:rPr>
              <w:t xml:space="preserve">拟派本项目的核心算法工程师（不少于2人）具备大语言模型微调、RAG系统研发实战经验；项目组研发人员不少于10人，具有大模型、RAG相关研发经验。</w:t>
            </w:r>
            <w:r>
              <w:rPr>
                <w:color w:val="000000"/>
                <w:sz w:val="24"/>
                <w:szCs w:val="24"/>
              </w:rPr>
              <w:t xml:space="preserve">每</w:t>
            </w:r>
            <w:r>
              <w:rPr>
                <w:color w:val="000000"/>
                <w:sz w:val="24"/>
                <w:szCs w:val="24"/>
              </w:rPr>
              <w:t xml:space="preserve">有</w:t>
            </w:r>
            <w:r>
              <w:rPr>
                <w:color w:val="000000"/>
                <w:sz w:val="24"/>
                <w:szCs w:val="24"/>
              </w:rPr>
              <w:t xml:space="preserve">一人</w:t>
            </w:r>
            <w:r>
              <w:rPr>
                <w:color w:val="000000"/>
                <w:sz w:val="24"/>
                <w:szCs w:val="24"/>
              </w:rPr>
              <w:t xml:space="preserve">得0.5</w:t>
            </w:r>
            <w:r>
              <w:rPr>
                <w:color w:val="000000"/>
                <w:sz w:val="24"/>
                <w:szCs w:val="24"/>
              </w:rPr>
              <w:t xml:space="preserve">分。</w:t>
            </w:r>
            <w:r>
              <w:rPr>
                <w:color w:val="000000"/>
                <w:sz w:val="24"/>
                <w:szCs w:val="24"/>
              </w:rPr>
            </w:r>
            <w:r/>
          </w:p>
          <w:p>
            <w:pPr>
              <w:jc w:val="left"/>
              <w:rPr>
                <w:color w:val="000000"/>
                <w:sz w:val="24"/>
                <w:szCs w:val="24"/>
              </w:rPr>
              <w:framePr w:hSpace="181" w:wrap="around" w:vAnchor="text" w:hAnchor="page" w:x="1611" w:y="179"/>
            </w:pPr>
            <w:r>
              <w:rPr>
                <w:rFonts w:hint="eastAsia"/>
                <w:color w:val="000000"/>
                <w:sz w:val="24"/>
                <w:szCs w:val="24"/>
              </w:rPr>
              <w:t xml:space="preserve">注：投标人须同时提供以下材料并加盖投标人公章，任一项未提供的，本项不得分：①上述人员以往参与项目的项目合同复印件或扫描件；②证明上述人员参加该项目、且由合同对方单位盖章的证明材料；③近6个月内任意一个月投标人为上述人员缴纳社保的证明材料。</w:t>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6</w:t>
            </w:r>
            <w:r>
              <w:rPr>
                <w:sz w:val="24"/>
                <w:szCs w:val="24"/>
              </w:rPr>
            </w:r>
            <w:r/>
          </w:p>
        </w:tc>
      </w:tr>
      <w:tr>
        <w:trPr>
          <w:trHeight w:val="23"/>
        </w:trPr>
        <w:tc>
          <w:tcPr>
            <w:gridSpan w:val="4"/>
            <w:tcW w:w="8925" w:type="dxa"/>
            <w:vAlign w:val="center"/>
            <w:textDirection w:val="lrTb"/>
            <w:noWrap w:val="false"/>
          </w:tcPr>
          <w:p>
            <w:pPr>
              <w:pStyle w:val="891"/>
              <w:jc w:val="center"/>
              <w:rPr>
                <w:sz w:val="24"/>
                <w:szCs w:val="24"/>
              </w:rPr>
              <w:framePr w:hSpace="181" w:wrap="around" w:vAnchor="text" w:hAnchor="page" w:x="1611" w:y="179"/>
            </w:pPr>
            <w:r>
              <w:rPr>
                <w:rFonts w:hint="eastAsia"/>
                <w:b/>
                <w:bCs/>
                <w:sz w:val="24"/>
                <w:szCs w:val="24"/>
              </w:rPr>
              <w:t xml:space="preserve">技术部分（70分）</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bookmarkStart w:id="209" w:name="_Hlk226034410"/>
            <w:r/>
            <w:bookmarkStart w:id="210" w:name="_Hlk206087127"/>
            <w:r>
              <w:rPr>
                <w:rFonts w:hint="eastAsia"/>
                <w:sz w:val="24"/>
                <w:szCs w:val="24"/>
              </w:rPr>
              <w:t xml:space="preserve">6</w:t>
            </w:r>
            <w:r>
              <w:rPr>
                <w:sz w:val="24"/>
                <w:szCs w:val="24"/>
              </w:rPr>
            </w:r>
            <w:r/>
          </w:p>
        </w:tc>
        <w:tc>
          <w:tcPr>
            <w:tcW w:w="1393"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财政知识治理与可信管控方案（5分）</w:t>
            </w:r>
            <w:r>
              <w:rPr>
                <w:b/>
                <w:bCs/>
                <w:sz w:val="24"/>
                <w:szCs w:val="24"/>
              </w:rPr>
            </w:r>
            <w:r/>
          </w:p>
        </w:tc>
        <w:tc>
          <w:tcPr>
            <w:tcW w:w="6367"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方案符合省级人工智能建设基础设施实际情况，使用省数据局提供的算力资源与模型API，包含数据可信与规范治理、过程与结果可信管控等相关内容的建设方案。</w:t>
            </w:r>
            <w:r>
              <w:rPr>
                <w:sz w:val="24"/>
                <w:szCs w:val="24"/>
              </w:rPr>
            </w:r>
            <w:r/>
          </w:p>
          <w:p>
            <w:pPr>
              <w:pStyle w:val="891"/>
              <w:jc w:val="left"/>
              <w:rPr>
                <w:sz w:val="24"/>
                <w:szCs w:val="24"/>
              </w:rPr>
              <w:framePr w:hSpace="181" w:wrap="around" w:vAnchor="text" w:hAnchor="page" w:x="1611" w:y="179"/>
            </w:pPr>
            <w:r>
              <w:rPr>
                <w:rFonts w:hint="eastAsia"/>
                <w:sz w:val="24"/>
                <w:szCs w:val="24"/>
              </w:rPr>
              <w:t xml:space="preserve">（1）投标文件未符合“财政知识治理与可信管控方案”中全部条款要求的，视为不符合招标文件，本项得0分。（2）投标文件符合“财政知识治理与可信管控方案”中全部条款要求的，视为符合招标文件，本项得3分。</w:t>
            </w:r>
            <w:r>
              <w:rPr>
                <w:sz w:val="24"/>
                <w:szCs w:val="24"/>
              </w:rPr>
            </w:r>
            <w:r/>
          </w:p>
          <w:p>
            <w:pPr>
              <w:pStyle w:val="891"/>
              <w:jc w:val="left"/>
              <w:rPr>
                <w:color w:val="000000"/>
                <w:sz w:val="24"/>
                <w:szCs w:val="24"/>
              </w:rPr>
              <w:framePr w:hSpace="181" w:wrap="around" w:vAnchor="text" w:hAnchor="page" w:x="1611" w:y="179"/>
            </w:pPr>
            <w:r>
              <w:rPr>
                <w:rFonts w:hint="eastAsia"/>
                <w:sz w:val="24"/>
                <w:szCs w:val="24"/>
              </w:rPr>
              <w:t xml:space="preserve">（3）经评委认定，投标文件对“财政知识治理与可信管控方案”中“数据可信与规范治理”、“过程与结果可信管控”两项要求的响应内容全部优于招标文件要求的（投标文件对“财政知识治理与可信管控方案”中除“数据可信与规范治理”、“过程与结果可信管控”外其他要求响应内容符合招标文件要求），本项得5分。</w:t>
            </w:r>
            <w:r>
              <w:rPr>
                <w:color w:val="000000"/>
                <w:sz w:val="24"/>
                <w:szCs w:val="24"/>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7</w:t>
            </w:r>
            <w:r>
              <w:rPr>
                <w:b/>
                <w:bCs/>
                <w:sz w:val="24"/>
                <w:szCs w:val="24"/>
              </w:rPr>
            </w:r>
            <w:r/>
          </w:p>
        </w:tc>
        <w:tc>
          <w:tcPr>
            <w:tcW w:w="1393"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知识组织追溯与国产化适配方案（5分）</w:t>
            </w:r>
            <w:r>
              <w:rPr>
                <w:b/>
                <w:bCs/>
                <w:sz w:val="24"/>
                <w:szCs w:val="24"/>
              </w:rPr>
            </w:r>
            <w:r/>
          </w:p>
        </w:tc>
        <w:tc>
          <w:tcPr>
            <w:tcW w:w="6367"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包含知识组织与全链路追溯、治理机制与权限管控、国产化与性能硬性指标等相关内容的建设方案。</w:t>
            </w:r>
            <w:r>
              <w:rPr>
                <w:sz w:val="24"/>
                <w:szCs w:val="24"/>
              </w:rPr>
            </w:r>
            <w:r/>
          </w:p>
          <w:p>
            <w:pPr>
              <w:pStyle w:val="891"/>
              <w:jc w:val="left"/>
              <w:rPr>
                <w:sz w:val="24"/>
                <w:szCs w:val="24"/>
              </w:rPr>
              <w:framePr w:hSpace="181" w:wrap="around" w:vAnchor="text" w:hAnchor="page" w:x="1611" w:y="179"/>
            </w:pPr>
            <w:r>
              <w:rPr>
                <w:rFonts w:hint="eastAsia"/>
                <w:sz w:val="24"/>
                <w:szCs w:val="24"/>
              </w:rPr>
              <w:t xml:space="preserve">（1）投标文件未符合“知识组织追溯与国产化性能方案”中全部条款要求的，视为不符合招标文件，本项得0分。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（2）投标文件符合“知识组织追溯与国产化性能方案”中全部条款要求的，视为符合招标文件，本项得3分。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3）经评委认定，投标文件对“知识组织追溯与国产化性能方案”中“知识组织与全链路追溯”、“治理机制与权限管控”、“国产化适配”三项要求的响应内容全部优于招标文件要求的（投标文件对“知识组织追溯与国产化性能方案”中除“知识组织与全链路追溯”、“治理机制与权限管控”、“国产化适配”外其他要求响应内容符合招标文件要求），本项得5分。</w:t>
            </w:r>
            <w:r>
              <w:rPr>
                <w:sz w:val="24"/>
                <w:szCs w:val="24"/>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8</w:t>
            </w:r>
            <w:r>
              <w:rPr>
                <w:sz w:val="24"/>
                <w:szCs w:val="24"/>
              </w:rPr>
            </w:r>
            <w:r/>
          </w:p>
        </w:tc>
        <w:tc>
          <w:tcPr>
            <w:tcW w:w="1393" w:type="dxa"/>
            <w:vAlign w:val="center"/>
            <w:textDirection w:val="lrTb"/>
            <w:noWrap w:val="false"/>
          </w:tcPr>
          <w:p>
            <w:pPr>
              <w:pStyle w:val="891"/>
              <w:jc w:val="left"/>
              <w:rPr>
                <w:b/>
                <w:bCs/>
                <w:sz w:val="24"/>
                <w:szCs w:val="24"/>
              </w:rPr>
              <w:framePr w:hSpace="181" w:wrap="around" w:vAnchor="text" w:hAnchor="page" w:x="1611" w:y="179"/>
            </w:pPr>
            <w:r/>
            <w:bookmarkStart w:id="211" w:name="OLE_LINK2"/>
            <w:r/>
            <w:bookmarkEnd w:id="211"/>
            <w:r>
              <w:rPr>
                <w:rFonts w:hint="eastAsia"/>
                <w:b/>
                <w:bCs/>
                <w:sz w:val="24"/>
                <w:szCs w:val="24"/>
              </w:rPr>
              <w:t xml:space="preserve">数据切片策略与人工干预方案（5分）</w:t>
            </w:r>
            <w:r>
              <w:rPr>
                <w:b/>
                <w:bCs/>
                <w:sz w:val="24"/>
                <w:szCs w:val="24"/>
              </w:rPr>
            </w:r>
            <w:r/>
          </w:p>
        </w:tc>
        <w:tc>
          <w:tcPr>
            <w:tcW w:w="6367"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考察知识入库时的切片逻辑及可视化处理方案。</w:t>
            </w:r>
            <w:r>
              <w:rPr>
                <w:sz w:val="24"/>
                <w:szCs w:val="24"/>
              </w:rPr>
            </w:r>
            <w:r/>
          </w:p>
          <w:p>
            <w:pPr>
              <w:pStyle w:val="891"/>
              <w:jc w:val="left"/>
              <w:rPr>
                <w:sz w:val="24"/>
                <w:szCs w:val="24"/>
              </w:rPr>
              <w:framePr w:hSpace="181" w:wrap="around" w:vAnchor="text" w:hAnchor="page" w:x="1611" w:y="179"/>
            </w:pPr>
            <w:r>
              <w:rPr>
                <w:rFonts w:hint="eastAsia"/>
                <w:sz w:val="24"/>
                <w:szCs w:val="24"/>
              </w:rPr>
              <w:t xml:space="preserve">（1）投标文件未符合“数据切片策略与人工干预方案”中全部条款要求的，视为不符合招标文件，本项得0分。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（2）投标文件符合“数据切片策略与人工干预方案”中全部条款要求的，视为符合招标文件，本项得3分。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3）经评委认定，投标文件对“数据切片策略与人工干预方案”中“多模态版面还原”、“语义层级切片”、“人工干预机制”三项要求的响应内容全部优于招标文件要求的（投标文件对“数据切片策略与人工干预方案”中除“多模态版面还原”、“语义层级切片”、“人工干预机制”外其他要求响应内容符合招标文件要求），本项得5分。</w:t>
            </w:r>
            <w:r>
              <w:rPr>
                <w:sz w:val="24"/>
                <w:szCs w:val="24"/>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sz w:val="24"/>
                <w:szCs w:val="24"/>
                <w:highlight w:val="yellow"/>
              </w:rPr>
              <w:framePr w:hSpace="181" w:wrap="around" w:vAnchor="text" w:hAnchor="page" w:x="1611" w:y="179"/>
            </w:pPr>
            <w:r>
              <w:rPr>
                <w:rFonts w:hint="eastAsia"/>
                <w:sz w:val="24"/>
                <w:szCs w:val="24"/>
              </w:rPr>
              <w:t xml:space="preserve">9</w:t>
            </w:r>
            <w:r>
              <w:rPr>
                <w:sz w:val="24"/>
                <w:szCs w:val="24"/>
                <w:highlight w:val="yellow"/>
              </w:rPr>
            </w:r>
            <w:r/>
          </w:p>
        </w:tc>
        <w:tc>
          <w:tcPr>
            <w:tcW w:w="1393" w:type="dxa"/>
            <w:vAlign w:val="center"/>
            <w:textDirection w:val="lrTb"/>
            <w:noWrap w:val="false"/>
          </w:tcPr>
          <w:p>
            <w:pPr>
              <w:pStyle w:val="891"/>
              <w:jc w:val="left"/>
              <w:rPr>
                <w:b/>
                <w:bCs/>
                <w:sz w:val="24"/>
                <w:szCs w:val="24"/>
                <w:highlight w:val="yellow"/>
              </w:rPr>
              <w:framePr w:hSpace="181" w:wrap="around" w:vAnchor="text" w:hAnchor="page" w:x="1611" w:y="179"/>
            </w:pPr>
            <w:r>
              <w:rPr>
                <w:rFonts w:hint="eastAsia"/>
                <w:b/>
                <w:bCs/>
                <w:sz w:val="24"/>
                <w:szCs w:val="24"/>
              </w:rPr>
              <w:t xml:space="preserve">知识组织与检索能力演示（10分）</w:t>
            </w:r>
            <w:r>
              <w:rPr>
                <w:b/>
                <w:bCs/>
                <w:sz w:val="24"/>
                <w:szCs w:val="24"/>
                <w:highlight w:val="yellow"/>
              </w:rPr>
            </w:r>
            <w:r/>
          </w:p>
        </w:tc>
        <w:tc>
          <w:tcPr>
            <w:tcW w:w="6367" w:type="dxa"/>
            <w:vAlign w:val="center"/>
            <w:textDirection w:val="lrTb"/>
            <w:noWrap w:val="false"/>
          </w:tcPr>
          <w:p>
            <w:pPr>
              <w:pStyle w:val="891"/>
              <w:jc w:val="left"/>
              <w:rPr>
                <w:rFonts w:hint="eastAsia"/>
                <w:sz w:val="24"/>
                <w:szCs w:val="24"/>
              </w:rPr>
            </w:pPr>
            <w:r>
              <w:rPr>
                <w:rFonts w:hint="eastAsia"/>
                <w:sz w:val="24"/>
                <w:szCs w:val="24"/>
              </w:rPr>
              <w:t xml:space="preserve">演示环境应为原型系统或真实系统，如采用静态页面、PPT等其它方式演示，得分为实际演示结果对应分值乘以系数0.5。</w:t>
            </w:r>
            <w:r>
              <w:rPr>
                <w:rFonts w:hint="eastAsia"/>
                <w:sz w:val="24"/>
                <w:szCs w:val="24"/>
              </w:rPr>
            </w:r>
            <w:r/>
          </w:p>
          <w:p>
            <w:pPr>
              <w:pStyle w:val="891"/>
              <w:jc w:val="left"/>
              <w:rPr>
                <w:sz w:val="24"/>
                <w:szCs w:val="24"/>
              </w:rPr>
            </w:pPr>
            <w:r>
              <w:rPr>
                <w:rFonts w:hint="eastAsia"/>
                <w:sz w:val="24"/>
                <w:szCs w:val="24"/>
              </w:rPr>
              <w:t xml:space="preserve">视频须画面清晰，时长≤15分钟，关键实测数据（如召回率统计界面）须在画面中同步展示，不得剪辑拼接或使用非本项目系统的画面。演示使用的文档和测试题随招标文件发出，见招标文件附件。</w:t>
            </w:r>
            <w:r>
              <w:rPr>
                <w:sz w:val="24"/>
                <w:szCs w:val="24"/>
              </w:rPr>
            </w:r>
            <w:r/>
          </w:p>
          <w:p>
            <w:pPr>
              <w:pStyle w:val="891"/>
              <w:jc w:val="left"/>
              <w:rPr>
                <w:sz w:val="24"/>
                <w:szCs w:val="24"/>
              </w:rPr>
              <w:framePr w:hSpace="181" w:wrap="around" w:vAnchor="text" w:hAnchor="page" w:x="1611" w:y="179"/>
            </w:pPr>
            <w:r>
              <w:rPr>
                <w:rFonts w:hint="eastAsia"/>
                <w:sz w:val="24"/>
                <w:szCs w:val="24"/>
              </w:rPr>
              <w:t xml:space="preserve">演示内容限定为以下四项：</w:t>
            </w:r>
            <w:r>
              <w:rPr>
                <w:sz w:val="24"/>
                <w:szCs w:val="24"/>
              </w:rPr>
            </w:r>
            <w:r/>
          </w:p>
          <w:p>
            <w:pPr>
              <w:pStyle w:val="891"/>
              <w:jc w:val="left"/>
              <w:rPr>
                <w:sz w:val="24"/>
                <w:szCs w:val="24"/>
              </w:rPr>
              <w:framePr w:hSpace="181" w:wrap="around" w:vAnchor="text" w:hAnchor="page" w:x="1611" w:y="179"/>
            </w:pPr>
            <w:r>
              <w:rPr>
                <w:rFonts w:hint="eastAsia"/>
                <w:sz w:val="24"/>
                <w:szCs w:val="24"/>
              </w:rPr>
              <w:t xml:space="preserve">①</w:t>
            </w:r>
            <w:r>
              <w:rPr>
                <w:rFonts w:hint="eastAsia"/>
                <w:sz w:val="24"/>
                <w:szCs w:val="24"/>
              </w:rPr>
              <w:t xml:space="preserve">文档解析能力（</w:t>
            </w:r>
            <w:r>
              <w:rPr>
                <w:sz w:val="24"/>
                <w:szCs w:val="24"/>
              </w:rPr>
              <w:t xml:space="preserve">3</w:t>
            </w:r>
            <w:r>
              <w:rPr>
                <w:rFonts w:hint="eastAsia"/>
                <w:sz w:val="24"/>
                <w:szCs w:val="24"/>
              </w:rPr>
              <w:t xml:space="preserve">分）：演示针对财政公文样本（含双栏排版、跨页表格、印章）的解析过程，以</w:t>
            </w:r>
            <w:r>
              <w:rPr>
                <w:sz w:val="24"/>
                <w:szCs w:val="24"/>
              </w:rPr>
              <w:t xml:space="preserve">Markdown</w:t>
            </w:r>
            <w:r>
              <w:rPr>
                <w:rFonts w:hint="eastAsia"/>
                <w:sz w:val="24"/>
                <w:szCs w:val="24"/>
              </w:rPr>
              <w:t xml:space="preserve">转换后的表格数据漏项</w:t>
            </w:r>
            <w:r>
              <w:rPr>
                <w:sz w:val="24"/>
                <w:szCs w:val="24"/>
              </w:rPr>
              <w:t xml:space="preserve">/</w:t>
            </w:r>
            <w:r>
              <w:rPr>
                <w:rFonts w:hint="eastAsia"/>
                <w:sz w:val="24"/>
                <w:szCs w:val="24"/>
              </w:rPr>
              <w:t xml:space="preserve">错位率为量化依据，转换后的文档与原文档对比，漏项率</w:t>
            </w:r>
            <w:r>
              <w:rPr>
                <w:sz w:val="24"/>
                <w:szCs w:val="24"/>
              </w:rPr>
              <w:t xml:space="preserve">&lt;5%</w:t>
            </w:r>
            <w:r>
              <w:rPr>
                <w:rFonts w:hint="eastAsia"/>
                <w:sz w:val="24"/>
                <w:szCs w:val="24"/>
              </w:rPr>
              <w:t xml:space="preserve">得</w:t>
            </w:r>
            <w:r>
              <w:rPr>
                <w:sz w:val="24"/>
                <w:szCs w:val="24"/>
              </w:rPr>
              <w:t xml:space="preserve">3</w:t>
            </w:r>
            <w:r>
              <w:rPr>
                <w:rFonts w:hint="eastAsia"/>
                <w:sz w:val="24"/>
                <w:szCs w:val="24"/>
              </w:rPr>
              <w:t xml:space="preserve">分，</w:t>
            </w:r>
            <w:r>
              <w:rPr>
                <w:sz w:val="24"/>
                <w:szCs w:val="24"/>
              </w:rPr>
              <w:t xml:space="preserve">5%-10%</w:t>
            </w:r>
            <w:r>
              <w:rPr>
                <w:rFonts w:hint="eastAsia"/>
                <w:sz w:val="24"/>
                <w:szCs w:val="24"/>
              </w:rPr>
              <w:t xml:space="preserve">得</w:t>
            </w:r>
            <w:r>
              <w:rPr>
                <w:sz w:val="24"/>
                <w:szCs w:val="24"/>
              </w:rPr>
              <w:t xml:space="preserve">1.5</w:t>
            </w:r>
            <w:r>
              <w:rPr>
                <w:rFonts w:hint="eastAsia"/>
                <w:sz w:val="24"/>
                <w:szCs w:val="24"/>
              </w:rPr>
              <w:t xml:space="preserve">分，</w:t>
            </w:r>
            <w:r>
              <w:rPr>
                <w:sz w:val="24"/>
                <w:szCs w:val="24"/>
              </w:rPr>
              <w:t xml:space="preserve">&gt;10%</w:t>
            </w:r>
            <w:r>
              <w:rPr>
                <w:rFonts w:hint="eastAsia"/>
                <w:sz w:val="24"/>
                <w:szCs w:val="24"/>
              </w:rPr>
              <w:t xml:space="preserve">得</w:t>
            </w:r>
            <w:r>
              <w:rPr>
                <w:sz w:val="24"/>
                <w:szCs w:val="24"/>
              </w:rPr>
              <w:t xml:space="preserve">0</w:t>
            </w:r>
            <w:r>
              <w:rPr>
                <w:rFonts w:hint="eastAsia"/>
                <w:sz w:val="24"/>
                <w:szCs w:val="24"/>
              </w:rPr>
              <w:t xml:space="preserve">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② 知识切片与结构保留（2分）：演示切片方案如何保留“章-节-条-款”结构及父子文档关系；以切片后语义完整性的测试用例通过率为依据，全部测试用例通过得2分，部分通过得1分，均未通过得0分；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③</w:t>
            </w:r>
            <w:bookmarkStart w:id="212" w:name="OLE_LINK1"/>
            <w:r>
              <w:rPr>
                <w:rFonts w:hint="eastAsia"/>
                <w:sz w:val="24"/>
                <w:szCs w:val="24"/>
              </w:rPr>
              <w:t xml:space="preserve"> 检索效果（3分）：演示针对预设测试题的检索召回率实测过程，Top-5召回率≥92%得3分，85%-92%得1.5分，&lt;85%得0分；</w:t>
            </w:r>
            <w:bookmarkEnd w:id="212"/>
            <w:r>
              <w:rPr>
                <w:sz w:val="24"/>
                <w:szCs w:val="24"/>
              </w:rPr>
            </w:r>
            <w:r/>
          </w:p>
          <w:p>
            <w:pPr>
              <w:pStyle w:val="891"/>
              <w:jc w:val="left"/>
              <w:rPr>
                <w:rFonts w:hint="eastAsia"/>
                <w:sz w:val="24"/>
                <w:szCs w:val="24"/>
              </w:rPr>
              <w:framePr w:hSpace="181" w:wrap="around" w:vAnchor="text" w:hAnchor="page" w:x="1611" w:y="179"/>
            </w:pPr>
            <w:r>
              <w:rPr>
                <w:rFonts w:hint="eastAsia"/>
                <w:sz w:val="24"/>
                <w:szCs w:val="24"/>
              </w:rPr>
              <w:t xml:space="preserve">④ 溯源精确度（2分）：演示政策类问答点击引用后直接高亮展示原文对应段落或表格单元格的效果，实现得2分，未实现得0分。</w:t>
            </w:r>
            <w:r/>
          </w:p>
          <w:p>
            <w:pPr>
              <w:pStyle w:val="891"/>
              <w:jc w:val="left"/>
              <w:rPr>
                <w:sz w:val="24"/>
                <w:szCs w:val="24"/>
              </w:rPr>
              <w:framePr w:hSpace="181" w:wrap="around" w:vAnchor="text" w:hAnchor="page" w:x="1611" w:y="179"/>
            </w:pPr>
            <w:r>
              <w:rPr>
                <w:rFonts w:hint="eastAsia"/>
                <w:sz w:val="24"/>
                <w:szCs w:val="24"/>
              </w:rPr>
              <w:t xml:space="preserve">注：未提交演示视频的，本项得0分。</w:t>
            </w:r>
            <w:r>
              <w:rPr>
                <w:sz w:val="24"/>
                <w:szCs w:val="24"/>
              </w:rPr>
            </w:r>
            <w:r/>
          </w:p>
          <w:p>
            <w:pPr>
              <w:pStyle w:val="891"/>
              <w:jc w:val="left"/>
              <w:rPr>
                <w:sz w:val="24"/>
                <w:szCs w:val="24"/>
              </w:rPr>
              <w:framePr w:hSpace="181" w:wrap="around" w:vAnchor="text" w:hAnchor="page" w:x="1611" w:y="179"/>
            </w:pPr>
            <w:r>
              <w:rPr>
                <w:rFonts w:hint="eastAsia"/>
                <w:sz w:val="24"/>
                <w:szCs w:val="24"/>
              </w:rPr>
              <w:t xml:space="preserve">上述演示内容超出本评分标准范围的部分不予评审，不作为其他评分项的加分依据。</w:t>
            </w:r>
            <w:r>
              <w:rPr>
                <w:sz w:val="24"/>
                <w:szCs w:val="24"/>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10</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10</w:t>
            </w:r>
            <w:r>
              <w:rPr>
                <w:sz w:val="24"/>
                <w:szCs w:val="24"/>
              </w:rPr>
            </w:r>
            <w:r/>
          </w:p>
        </w:tc>
        <w:tc>
          <w:tcPr>
            <w:tcW w:w="1393"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复杂查询处理能力方案（5分）</w:t>
            </w:r>
            <w:r>
              <w:rPr>
                <w:b/>
                <w:bCs/>
                <w:sz w:val="24"/>
                <w:szCs w:val="24"/>
              </w:rPr>
            </w:r>
            <w:r/>
          </w:p>
        </w:tc>
        <w:tc>
          <w:tcPr>
            <w:tcW w:w="6367" w:type="dxa"/>
            <w:vAlign w:val="center"/>
            <w:textDirection w:val="lrTb"/>
            <w:noWrap w:val="false"/>
          </w:tcPr>
          <w:p>
            <w:pPr>
              <w:pStyle w:val="891"/>
              <w:jc w:val="left"/>
              <w:spacing w:line="360" w:lineRule="auto"/>
              <w:widowControl/>
              <w:rPr>
                <w:sz w:val="24"/>
                <w:szCs w:val="24"/>
              </w:rPr>
              <w:framePr w:hSpace="181" w:wrap="around" w:vAnchor="text" w:hAnchor="page" w:x="1611" w:y="179"/>
            </w:pPr>
            <w:r>
              <w:rPr>
                <w:rFonts w:hint="eastAsia"/>
                <w:sz w:val="24"/>
                <w:szCs w:val="24"/>
              </w:rPr>
              <w:t xml:space="preserve">投标人须在技术方案中针对关系型查询和全局性问题的处理进行专</w:t>
            </w:r>
            <w:r>
              <w:rPr>
                <w:rFonts w:hint="eastAsia"/>
                <w:sz w:val="24"/>
                <w:szCs w:val="24"/>
              </w:rPr>
              <w:t xml:space="preserve">项说明，内容包括：（1）问题识别：投标人是否明确识别了关系型查询（如跨文件引用、多条款对比、关联政策推荐）和全局性问题（如多年度政策演变归纳、跨领域政策综合）作为系统的能力边界，并说明传统单文档检索在这些场景下的局限性。（2）技术路径：投标人是否提出了可操作的技术增强路径，说明其核心思路及如何解决关系型查询和全局性问题。（3）架构可扩展性：投标人是否说明现有架构如何支持后续增强而不需要重构，包括知识存储层是否预留关系数据存储空间、检索层是否支持增加其他检索路径、是否具备根据查询复杂度动态选择检索策略的能力。</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（1）投标文件未符合“复杂查询处理能力方案”中全部条款要求的，视为不符合招标文件，本项得0分。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（2）投标文件符合“复杂查询处理能力方案”中全部条款要求的，视为符合招标文件，本项得3分。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3）经评委认定，投标文件对“复杂查询处理能力方案”中“问题识别”、“技术路径”、“架构可扩展性”三项要求的响应内容全部优于招标文件要求的（投标文件对“复杂查询处理能力方案”中除“问题识别”、“技术路径”、“架构可扩展性”外其他要求响应内容符合招标文件要求），本项得5分。</w:t>
            </w:r>
            <w:r>
              <w:rPr>
                <w:sz w:val="24"/>
                <w:szCs w:val="24"/>
              </w:rPr>
            </w:r>
            <w:r/>
          </w:p>
        </w:tc>
        <w:tc>
          <w:tcPr>
            <w:tcW w:w="709" w:type="dxa"/>
            <w:vAlign w:val="center"/>
            <w:textDirection w:val="lrTb"/>
            <w:noWrap w:val="false"/>
          </w:tcPr>
          <w:p>
            <w:pPr>
              <w:pStyle w:val="891"/>
              <w:ind w:firstLine="240"/>
              <w:jc w:val="left"/>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color w:val="000000"/>
                <w:sz w:val="24"/>
                <w:szCs w:val="24"/>
              </w:rPr>
              <w:framePr w:hSpace="181" w:wrap="around" w:vAnchor="text" w:hAnchor="page" w:x="1611" w:y="179"/>
            </w:pPr>
            <w:r>
              <w:rPr>
                <w:rFonts w:hint="eastAsia"/>
                <w:color w:val="000000"/>
                <w:sz w:val="24"/>
                <w:szCs w:val="24"/>
              </w:rPr>
              <w:t xml:space="preserve">11</w:t>
            </w:r>
            <w:r>
              <w:rPr>
                <w:color w:val="000000"/>
                <w:sz w:val="24"/>
                <w:szCs w:val="24"/>
              </w:rPr>
            </w:r>
            <w:r/>
          </w:p>
        </w:tc>
        <w:tc>
          <w:tcPr>
            <w:tcW w:w="1393" w:type="dxa"/>
            <w:vAlign w:val="center"/>
            <w:textDirection w:val="lrTb"/>
            <w:noWrap w:val="false"/>
          </w:tcPr>
          <w:p>
            <w:pPr>
              <w:pStyle w:val="891"/>
              <w:jc w:val="left"/>
              <w:rPr>
                <w:b/>
                <w:bCs/>
                <w:color w:val="000000"/>
                <w:sz w:val="24"/>
                <w:szCs w:val="24"/>
              </w:rPr>
              <w:framePr w:hSpace="181" w:wrap="around" w:vAnchor="text" w:hAnchor="page" w:x="1611" w:y="179"/>
            </w:pPr>
            <w:r/>
            <w:bookmarkStart w:id="213" w:name="OLE_LINK4"/>
            <w:r/>
            <w:bookmarkEnd w:id="213"/>
            <w:r>
              <w:rPr>
                <w:rFonts w:hint="eastAsia"/>
                <w:b/>
                <w:bCs/>
                <w:color w:val="000000"/>
                <w:sz w:val="24"/>
                <w:szCs w:val="24"/>
              </w:rPr>
              <w:t xml:space="preserve">多租户隔离架构设计方案（5分）</w:t>
            </w:r>
            <w:r>
              <w:rPr>
                <w:b/>
                <w:bCs/>
                <w:color w:val="000000"/>
                <w:sz w:val="24"/>
                <w:szCs w:val="24"/>
              </w:rPr>
            </w:r>
            <w:r/>
          </w:p>
        </w:tc>
        <w:tc>
          <w:tcPr>
            <w:tcW w:w="6367" w:type="dxa"/>
            <w:vAlign w:val="center"/>
            <w:textDirection w:val="lrTb"/>
            <w:noWrap w:val="false"/>
          </w:tcPr>
          <w:p>
            <w:pPr>
              <w:pStyle w:val="891"/>
              <w:jc w:val="left"/>
              <w:spacing w:line="360" w:lineRule="auto"/>
              <w:widowControl/>
              <w:rPr>
                <w:sz w:val="24"/>
                <w:szCs w:val="24"/>
              </w:rPr>
              <w:framePr w:hSpace="181" w:wrap="around" w:vAnchor="text" w:hAnchor="page" w:x="1611" w:y="179"/>
            </w:pPr>
            <w:r>
              <w:rPr>
                <w:rFonts w:hint="eastAsia"/>
                <w:sz w:val="24"/>
                <w:szCs w:val="24"/>
              </w:rPr>
              <w:t xml:space="preserve">多租户隔离机制：评估省市两级租户权限隔离机制、本地数据加密策略，确保各级财政业务数据的绝对物理与逻辑隔离。</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（1）投标文件未符合“多租户隔离架构设计方案”中全部条款要求的，视为不符合招标文件，本项得0分。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（2）投标文件符合“多租户隔离架构设计方案”中全部条款要求的，视为符合招标文件，本项得3分。</w:t>
            </w:r>
            <w:r>
              <w:rPr>
                <w:sz w:val="24"/>
                <w:szCs w:val="24"/>
              </w:rPr>
            </w:r>
            <w:r/>
          </w:p>
          <w:p>
            <w:pPr>
              <w:pStyle w:val="891"/>
              <w:jc w:val="left"/>
              <w:spacing w:line="360" w:lineRule="auto"/>
              <w:widowControl/>
              <w:rPr>
                <w:color w:val="000000"/>
                <w:sz w:val="24"/>
                <w:szCs w:val="24"/>
              </w:rPr>
              <w:framePr w:hSpace="181" w:wrap="around" w:vAnchor="text" w:hAnchor="page" w:x="1611" w:y="179"/>
            </w:pPr>
            <w:r>
              <w:rPr>
                <w:rFonts w:hint="eastAsia"/>
                <w:sz w:val="24"/>
                <w:szCs w:val="24"/>
              </w:rPr>
              <w:t xml:space="preserve">（3）经评委认定，投标文件对“多租户隔离架构设计方案”中“省市两级租户权限隔离机制”、“本地数据加密策略”两项要求的响应内容全部优于招标文件要求的（投标文件对“多租户隔离架构设计方案”中除“省市两级租户权限隔离机制”、“本地数据加密策略”外其他要求响应内容符合招标文件要求），本项得5分。</w:t>
            </w:r>
            <w:r>
              <w:rPr>
                <w:color w:val="000000"/>
                <w:sz w:val="24"/>
                <w:szCs w:val="24"/>
              </w:rPr>
            </w:r>
            <w:r/>
          </w:p>
        </w:tc>
        <w:tc>
          <w:tcPr>
            <w:tcW w:w="709"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color w:val="000000"/>
                <w:sz w:val="24"/>
                <w:szCs w:val="24"/>
              </w:rPr>
              <w:framePr w:hSpace="181" w:wrap="around" w:vAnchor="text" w:hAnchor="page" w:x="1611" w:y="179"/>
            </w:pPr>
            <w:r/>
            <w:bookmarkEnd w:id="209"/>
            <w:r/>
            <w:bookmarkEnd w:id="210"/>
            <w:r>
              <w:rPr>
                <w:rFonts w:hint="eastAsia"/>
                <w:color w:val="000000"/>
                <w:sz w:val="24"/>
                <w:szCs w:val="24"/>
              </w:rPr>
              <w:t xml:space="preserve">12</w:t>
            </w:r>
            <w:r>
              <w:rPr>
                <w:color w:val="000000"/>
                <w:sz w:val="24"/>
                <w:szCs w:val="24"/>
              </w:rPr>
            </w:r>
            <w:r/>
          </w:p>
        </w:tc>
        <w:tc>
          <w:tcPr>
            <w:tcW w:w="1393" w:type="dxa"/>
            <w:vAlign w:val="center"/>
            <w:textDirection w:val="lrTb"/>
            <w:noWrap w:val="false"/>
          </w:tcPr>
          <w:p>
            <w:pPr>
              <w:pStyle w:val="891"/>
              <w:jc w:val="left"/>
              <w:rPr>
                <w:b/>
                <w:bCs/>
                <w:color w:val="000000"/>
                <w:sz w:val="24"/>
                <w:szCs w:val="24"/>
              </w:rPr>
              <w:framePr w:hSpace="181" w:wrap="around" w:vAnchor="text" w:hAnchor="page" w:x="1611" w:y="179"/>
            </w:pPr>
            <w:r>
              <w:rPr>
                <w:rFonts w:hint="eastAsia"/>
                <w:b/>
                <w:bCs/>
                <w:color w:val="000000"/>
                <w:sz w:val="24"/>
                <w:szCs w:val="24"/>
              </w:rPr>
              <w:t xml:space="preserve">系统可信管控方案（5分）</w:t>
            </w:r>
            <w:r>
              <w:rPr>
                <w:b/>
                <w:bCs/>
                <w:color w:val="000000"/>
                <w:sz w:val="24"/>
                <w:szCs w:val="24"/>
              </w:rPr>
            </w:r>
            <w:r/>
          </w:p>
        </w:tc>
        <w:tc>
          <w:tcPr>
            <w:tcW w:w="6367" w:type="dxa"/>
            <w:vAlign w:val="center"/>
            <w:textDirection w:val="lrTb"/>
            <w:noWrap w:val="false"/>
          </w:tcPr>
          <w:p>
            <w:pPr>
              <w:pStyle w:val="891"/>
              <w:jc w:val="left"/>
              <w:spacing w:line="360" w:lineRule="auto"/>
              <w:widowControl/>
              <w:rPr>
                <w:sz w:val="24"/>
                <w:szCs w:val="24"/>
              </w:rPr>
              <w:framePr w:hSpace="181" w:wrap="around" w:vAnchor="text" w:hAnchor="page" w:x="1611" w:y="179"/>
            </w:pPr>
            <w:r>
              <w:rPr>
                <w:rFonts w:hint="eastAsia"/>
                <w:sz w:val="24"/>
                <w:szCs w:val="24"/>
              </w:rPr>
              <w:t xml:space="preserve">1．证据充分性评估机制：投标人须在技术方案中说明系统如何在生成答案前主动识别证据不足情况，并做出标记、提示补件或转入人工复核等正确处理。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2．时效性冲突处理：投标人须在技术方案中说明系统如何识别法规生效时间与修订历史，对引用已失效或已修订法规的回答进行主动警示，或优先引用现行有效版本并标注版本号。</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（1）投标文件未符合“系统可信管控方案”中全部条款要求的，视为不符合招标文件，本项得0分。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（2）投标文件符合“系统可信管控方案”中全部条款要求的，视为符合招标文件，本项得3分。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3）经评委认定，投标文件对“系统可信管控方案”中“证据充分性评估机制”、“时效性冲突处理”两项要求的响应内容全部优于招标文件要求的（投标文件对“系统可信管控方案”中除“证据充分性评估机制”、“时效性冲突处理”外其他要求响应内容符合招标文件要求），本项得5分。</w:t>
            </w:r>
            <w:r>
              <w:rPr>
                <w:sz w:val="24"/>
                <w:szCs w:val="24"/>
              </w:rPr>
            </w:r>
            <w:r/>
          </w:p>
        </w:tc>
        <w:tc>
          <w:tcPr>
            <w:tcW w:w="709"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b/>
                <w:bCs/>
                <w:color w:val="000000"/>
                <w:sz w:val="24"/>
                <w:szCs w:val="24"/>
              </w:rPr>
              <w:framePr w:hSpace="181" w:wrap="around" w:vAnchor="text" w:hAnchor="page" w:x="1611" w:y="179"/>
            </w:pPr>
            <w:r>
              <w:rPr>
                <w:b/>
                <w:bCs/>
                <w:color w:val="000000"/>
                <w:sz w:val="24"/>
                <w:szCs w:val="24"/>
              </w:rPr>
              <w:t xml:space="preserve">13</w:t>
            </w:r>
            <w:r/>
          </w:p>
        </w:tc>
        <w:tc>
          <w:tcPr>
            <w:tcW w:w="1393" w:type="dxa"/>
            <w:vAlign w:val="center"/>
            <w:textDirection w:val="lrTb"/>
            <w:noWrap w:val="false"/>
          </w:tcPr>
          <w:p>
            <w:pPr>
              <w:pStyle w:val="891"/>
              <w:jc w:val="left"/>
              <w:rPr>
                <w:b/>
                <w:bCs/>
                <w:color w:val="000000"/>
                <w:sz w:val="24"/>
                <w:szCs w:val="24"/>
              </w:rPr>
              <w:framePr w:hSpace="181" w:wrap="around" w:vAnchor="text" w:hAnchor="page" w:x="1611" w:y="179"/>
            </w:pPr>
            <w:r>
              <w:rPr>
                <w:rFonts w:hint="eastAsia"/>
                <w:b/>
                <w:bCs/>
                <w:color w:val="000000"/>
                <w:sz w:val="24"/>
                <w:szCs w:val="24"/>
              </w:rPr>
              <w:t xml:space="preserve">安全管控与审计方案（5分）</w:t>
            </w:r>
            <w:r>
              <w:rPr>
                <w:b/>
                <w:bCs/>
                <w:color w:val="000000"/>
                <w:sz w:val="24"/>
                <w:szCs w:val="24"/>
              </w:rPr>
            </w:r>
            <w:r/>
          </w:p>
        </w:tc>
        <w:tc>
          <w:tcPr>
            <w:tcW w:w="6367" w:type="dxa"/>
            <w:vAlign w:val="center"/>
            <w:textDirection w:val="lrTb"/>
            <w:noWrap w:val="false"/>
          </w:tcPr>
          <w:p>
            <w:pPr>
              <w:pStyle w:val="891"/>
              <w:jc w:val="left"/>
              <w:spacing w:line="360" w:lineRule="auto"/>
              <w:widowControl/>
              <w:rPr>
                <w:sz w:val="24"/>
                <w:szCs w:val="24"/>
              </w:rPr>
              <w:framePr w:hSpace="181" w:wrap="around" w:vAnchor="text" w:hAnchor="page" w:x="1611" w:y="179"/>
            </w:pPr>
            <w:r>
              <w:rPr>
                <w:rFonts w:hint="eastAsia"/>
                <w:sz w:val="24"/>
                <w:szCs w:val="24"/>
              </w:rPr>
              <w:t xml:space="preserve">权限管控与审计：投标人须在技术方案中说明以下四个功能的设计方案：（1）按部门、岗位、密级实施文件级权限管理；（2）审计日志留存≥1年，支持导出、查询、统计；（3）秘密级以上文档按权限拒答或放行并说明原因；（4）提供动态图形化调用链路展示。</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（1）投标文件未符合“安全管控与审计方案”中全部条款要求的，视为不符合招标文件，本项得0分。</w:t>
            </w:r>
            <w:r>
              <w:rPr>
                <w:sz w:val="24"/>
                <w:szCs w:val="24"/>
              </w:rPr>
            </w:r>
            <w:r/>
          </w:p>
          <w:p>
            <w:pPr>
              <w:pStyle w:val="891"/>
              <w:jc w:val="left"/>
              <w:spacing w:line="360" w:lineRule="auto"/>
              <w:widowControl/>
              <w:rPr>
                <w:sz w:val="24"/>
                <w:szCs w:val="24"/>
              </w:rPr>
              <w:framePr w:hSpace="181" w:wrap="around" w:vAnchor="text" w:hAnchor="page" w:x="1611" w:y="179"/>
            </w:pPr>
            <w:r>
              <w:rPr>
                <w:rFonts w:hint="eastAsia"/>
                <w:sz w:val="24"/>
                <w:szCs w:val="24"/>
              </w:rPr>
              <w:t xml:space="preserve">（2）投标文件符合“安全管控与审计方案”中全部条款要求的，视为符合招标文件，本项得3分。</w:t>
            </w:r>
            <w:r>
              <w:rPr>
                <w:sz w:val="24"/>
                <w:szCs w:val="24"/>
              </w:rPr>
            </w:r>
            <w:r/>
          </w:p>
          <w:p>
            <w:pPr>
              <w:pStyle w:val="891"/>
              <w:jc w:val="left"/>
              <w:spacing w:line="360" w:lineRule="auto"/>
              <w:widowControl/>
              <w:rPr>
                <w:color w:val="000000"/>
                <w:sz w:val="24"/>
                <w:szCs w:val="24"/>
              </w:rPr>
              <w:framePr w:hSpace="181" w:wrap="around" w:vAnchor="text" w:hAnchor="page" w:x="1611" w:y="179"/>
            </w:pPr>
            <w:r>
              <w:rPr>
                <w:rFonts w:hint="eastAsia"/>
                <w:sz w:val="24"/>
                <w:szCs w:val="24"/>
              </w:rPr>
              <w:t xml:space="preserve">（3）经评委认定，投标文件对“安全管控与审计方案”中“文件级权限管理”、“审计日志留存与查询统计”、“秘密级以上文档按权限拒答或放行”、“动态图形化调用链路展示”四项要求的响应内容全部优于招标文件要求的（投标文件对“安全管控与审计方案”中除上述四项外其他要求响应内容符合招标文件要求），本项得5分。</w:t>
            </w:r>
            <w:r>
              <w:rPr>
                <w:color w:val="000000"/>
                <w:sz w:val="24"/>
                <w:szCs w:val="24"/>
              </w:rPr>
            </w:r>
            <w:r/>
          </w:p>
        </w:tc>
        <w:tc>
          <w:tcPr>
            <w:tcW w:w="709" w:type="dxa"/>
            <w:vAlign w:val="center"/>
            <w:textDirection w:val="lrTb"/>
            <w:noWrap w:val="false"/>
          </w:tcPr>
          <w:p>
            <w:pPr>
              <w:pStyle w:val="891"/>
              <w:jc w:val="left"/>
              <w:rPr>
                <w:color w:val="000000"/>
                <w:sz w:val="24"/>
                <w:szCs w:val="24"/>
              </w:rPr>
              <w:framePr w:hSpace="181" w:wrap="around" w:vAnchor="text" w:hAnchor="page" w:x="1611" w:y="179"/>
            </w:pPr>
            <w:r>
              <w:rPr>
                <w:color w:val="000000"/>
                <w:sz w:val="24"/>
                <w:szCs w:val="24"/>
              </w:rPr>
              <w:t xml:space="preserve">5</w:t>
            </w:r>
            <w:r/>
          </w:p>
        </w:tc>
      </w:tr>
      <w:tr>
        <w:trPr>
          <w:trHeight w:val="23"/>
        </w:trPr>
        <w:tc>
          <w:tcPr>
            <w:tcW w:w="456" w:type="dxa"/>
            <w:vAlign w:val="center"/>
            <w:textDirection w:val="lrTb"/>
            <w:noWrap w:val="false"/>
          </w:tcPr>
          <w:p>
            <w:pPr>
              <w:pStyle w:val="891"/>
              <w:jc w:val="left"/>
              <w:rPr>
                <w:color w:val="000000"/>
                <w:sz w:val="24"/>
                <w:szCs w:val="24"/>
              </w:rPr>
              <w:framePr w:hSpace="181" w:wrap="around" w:vAnchor="text" w:hAnchor="page" w:x="1611" w:y="179"/>
            </w:pPr>
            <w:r>
              <w:rPr>
                <w:color w:val="000000"/>
                <w:sz w:val="24"/>
                <w:szCs w:val="24"/>
              </w:rPr>
              <w:t xml:space="preserve">14</w:t>
            </w:r>
            <w:r/>
          </w:p>
        </w:tc>
        <w:tc>
          <w:tcPr>
            <w:tcW w:w="1393" w:type="dxa"/>
            <w:vAlign w:val="center"/>
            <w:textDirection w:val="lrTb"/>
            <w:noWrap w:val="false"/>
          </w:tcPr>
          <w:p>
            <w:pPr>
              <w:pStyle w:val="891"/>
              <w:jc w:val="left"/>
              <w:widowControl/>
              <w:rPr>
                <w:b/>
                <w:bCs/>
                <w:color w:val="000000"/>
                <w:sz w:val="24"/>
                <w:szCs w:val="24"/>
              </w:rPr>
              <w:framePr w:hSpace="181" w:wrap="around" w:vAnchor="text" w:hAnchor="page" w:x="1611" w:y="179"/>
            </w:pPr>
            <w:r>
              <w:rPr>
                <w:rFonts w:hint="eastAsia"/>
                <w:b/>
                <w:bCs/>
                <w:color w:val="000000"/>
                <w:sz w:val="24"/>
                <w:szCs w:val="24"/>
              </w:rPr>
              <w:t xml:space="preserve">模型网关与算力调度方案（5分）</w:t>
            </w:r>
            <w:r>
              <w:rPr>
                <w:b/>
                <w:bCs/>
                <w:color w:val="000000"/>
                <w:sz w:val="24"/>
                <w:szCs w:val="24"/>
              </w:rPr>
            </w:r>
            <w:r/>
          </w:p>
        </w:tc>
        <w:tc>
          <w:tcPr>
            <w:tcW w:w="6367" w:type="dxa"/>
            <w:vAlign w:val="center"/>
            <w:textDirection w:val="lrTb"/>
            <w:noWrap w:val="false"/>
          </w:tcPr>
          <w:p>
            <w:pPr>
              <w:pStyle w:val="1007"/>
              <w:ind w:firstLine="0"/>
              <w:jc w:val="left"/>
              <w:spacing w:after="0"/>
              <w:rPr>
                <w:rFonts w:ascii="Times New Roman" w:hAnsi="Times New Roman"/>
                <w:color w:val="000000"/>
                <w:sz w:val="24"/>
                <w:szCs w:val="24"/>
              </w:rPr>
              <w:framePr w:hSpace="181" w:wrap="around" w:vAnchor="text" w:hAnchor="page" w:x="1611" w:y="179"/>
            </w:pPr>
            <w:r>
              <w:rPr>
                <w:rFonts w:hint="eastAsia" w:ascii="Times New Roman" w:hAnsi="Times New Roman"/>
                <w:color w:val="000000"/>
                <w:sz w:val="24"/>
                <w:szCs w:val="24"/>
              </w:rPr>
              <w:t xml:space="preserve">系统必须具备标准协议（如兼容OpenAI API规范）的网关层，支持无缝对接并一键切换省数据局平台提供的各类异构大模型（DeepSeek、千问等），具备超时重试、高并发排队及断路保护机制。</w:t>
            </w:r>
            <w:r>
              <w:rPr>
                <w:rFonts w:ascii="Times New Roman" w:hAnsi="Times New Roman"/>
                <w:color w:val="000000"/>
                <w:sz w:val="24"/>
                <w:szCs w:val="24"/>
              </w:rPr>
            </w:r>
            <w:r/>
          </w:p>
          <w:p>
            <w:pPr>
              <w:pStyle w:val="1007"/>
              <w:ind w:firstLine="0"/>
              <w:jc w:val="left"/>
              <w:spacing w:after="0"/>
              <w:rPr>
                <w:rFonts w:ascii="Times New Roman" w:hAnsi="Times New Roman"/>
                <w:color w:val="000000"/>
                <w:sz w:val="24"/>
                <w:szCs w:val="24"/>
              </w:rPr>
              <w:framePr w:hSpace="181" w:wrap="around" w:vAnchor="text" w:hAnchor="page" w:x="1611" w:y="179"/>
            </w:pPr>
            <w:r>
              <w:rPr>
                <w:rFonts w:hint="eastAsia" w:ascii="Times New Roman" w:hAnsi="Times New Roman"/>
                <w:color w:val="000000"/>
                <w:sz w:val="24"/>
                <w:szCs w:val="24"/>
              </w:rPr>
              <w:t xml:space="preserve">（1）投标文件未符合“模型网关与算力调度方案”中全部条款要求的，视为不符合招标文件，本项得0分。</w:t>
            </w:r>
            <w:r>
              <w:rPr>
                <w:rFonts w:ascii="Times New Roman" w:hAnsi="Times New Roman"/>
                <w:color w:val="000000"/>
                <w:sz w:val="24"/>
                <w:szCs w:val="24"/>
              </w:rPr>
            </w:r>
            <w:r/>
          </w:p>
          <w:p>
            <w:pPr>
              <w:pStyle w:val="1007"/>
              <w:ind w:firstLine="0"/>
              <w:jc w:val="left"/>
              <w:spacing w:after="0"/>
              <w:rPr>
                <w:rFonts w:ascii="Times New Roman" w:hAnsi="Times New Roman"/>
                <w:color w:val="000000"/>
                <w:sz w:val="24"/>
                <w:szCs w:val="24"/>
              </w:rPr>
              <w:framePr w:hSpace="181" w:wrap="around" w:vAnchor="text" w:hAnchor="page" w:x="1611" w:y="179"/>
            </w:pPr>
            <w:r>
              <w:rPr>
                <w:rFonts w:hint="eastAsia" w:ascii="Times New Roman" w:hAnsi="Times New Roman"/>
                <w:color w:val="000000"/>
                <w:sz w:val="24"/>
                <w:szCs w:val="24"/>
              </w:rPr>
              <w:t xml:space="preserve">（2）投标文件符合“模型网关与算力调度方案”中全部条款要求的，视为符合招标文件，本项得3分。</w:t>
            </w:r>
            <w:r>
              <w:rPr>
                <w:rFonts w:ascii="Times New Roman" w:hAnsi="Times New Roman"/>
                <w:color w:val="000000"/>
                <w:sz w:val="24"/>
                <w:szCs w:val="24"/>
              </w:rPr>
            </w:r>
            <w:r/>
          </w:p>
          <w:p>
            <w:pPr>
              <w:pStyle w:val="1007"/>
              <w:ind w:firstLine="0"/>
              <w:jc w:val="left"/>
              <w:spacing w:after="0"/>
              <w:rPr>
                <w:rFonts w:ascii="Times New Roman" w:hAnsi="Times New Roman"/>
                <w:color w:val="000000"/>
                <w:sz w:val="24"/>
                <w:szCs w:val="24"/>
              </w:rPr>
              <w:framePr w:hSpace="181" w:wrap="around" w:vAnchor="text" w:hAnchor="page" w:x="1611" w:y="179"/>
            </w:pPr>
            <w:r>
              <w:rPr>
                <w:rFonts w:hint="eastAsia" w:ascii="Times New Roman" w:hAnsi="Times New Roman"/>
                <w:color w:val="000000"/>
                <w:sz w:val="24"/>
                <w:szCs w:val="24"/>
              </w:rPr>
              <w:t xml:space="preserve">（3）经评委认定，投标文件对“模型网关与算力调度方案”中“异构大模型一键切换与接口适配”、“超时重试与高并发排队”、“断路保护机制”三项要求的响应内容全部优于招标文件要求的（投标文件对“模型网关与算力调度方案”中除“异构大模型一键切换与接口适配”、“超时重试与高并发排队”、“断路保护机制”外其他要求响应内容符合招标文件要求），本项得5分。</w:t>
            </w:r>
            <w:r>
              <w:rPr>
                <w:rFonts w:ascii="Times New Roman" w:hAnsi="Times New Roman"/>
                <w:color w:val="000000"/>
                <w:sz w:val="24"/>
                <w:szCs w:val="24"/>
              </w:rPr>
            </w:r>
            <w:r/>
          </w:p>
        </w:tc>
        <w:tc>
          <w:tcPr>
            <w:tcW w:w="709" w:type="dxa"/>
            <w:vAlign w:val="center"/>
            <w:textDirection w:val="lrTb"/>
            <w:noWrap w:val="false"/>
          </w:tcPr>
          <w:p>
            <w:pPr>
              <w:pStyle w:val="891"/>
              <w:jc w:val="left"/>
              <w:widowControl/>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15</w:t>
            </w:r>
            <w:r>
              <w:rPr>
                <w:sz w:val="24"/>
                <w:szCs w:val="24"/>
              </w:rPr>
            </w:r>
            <w:r/>
          </w:p>
        </w:tc>
        <w:tc>
          <w:tcPr>
            <w:tcW w:w="1393" w:type="dxa"/>
            <w:vAlign w:val="center"/>
            <w:textDirection w:val="lrTb"/>
            <w:noWrap w:val="false"/>
          </w:tcPr>
          <w:p>
            <w:pPr>
              <w:pStyle w:val="891"/>
              <w:jc w:val="left"/>
              <w:widowControl/>
              <w:rPr>
                <w:b/>
                <w:bCs/>
                <w:sz w:val="24"/>
                <w:szCs w:val="24"/>
              </w:rPr>
              <w:framePr w:hSpace="181" w:wrap="around" w:vAnchor="text" w:hAnchor="page" w:x="1611" w:y="179"/>
            </w:pPr>
            <w:r>
              <w:rPr>
                <w:rFonts w:hint="eastAsia"/>
                <w:b/>
                <w:bCs/>
                <w:sz w:val="24"/>
                <w:szCs w:val="24"/>
              </w:rPr>
              <w:t xml:space="preserve">通用智能体平台建设方案（5分）</w:t>
            </w:r>
            <w:r>
              <w:rPr>
                <w:b/>
                <w:bCs/>
                <w:sz w:val="24"/>
                <w:szCs w:val="24"/>
              </w:rPr>
            </w:r>
            <w:r/>
          </w:p>
        </w:tc>
        <w:tc>
          <w:tcPr>
            <w:tcW w:w="6367" w:type="dxa"/>
            <w:vAlign w:val="center"/>
            <w:textDirection w:val="lrTb"/>
            <w:noWrap w:val="false"/>
          </w:tcPr>
          <w:p>
            <w:pPr>
              <w:pStyle w:val="1007"/>
              <w:ind w:firstLine="0"/>
              <w:jc w:val="left"/>
              <w:spacing w:after="0"/>
              <w:rPr>
                <w:sz w:val="24"/>
                <w:szCs w:val="24"/>
              </w:rPr>
              <w:framePr w:hSpace="181" w:wrap="around" w:vAnchor="text" w:hAnchor="page" w:x="1611" w:y="179"/>
            </w:pPr>
            <w:r>
              <w:rPr>
                <w:rFonts w:hint="eastAsia"/>
                <w:sz w:val="24"/>
                <w:szCs w:val="24"/>
              </w:rPr>
              <w:t xml:space="preserve">提供通用智能体平台。通用智能体面向业务场景，提供统一的智能体创建、配置、知识库管理、工具调用、工作流编排、多渠道交互及运行监控能力。</w:t>
            </w:r>
            <w:r>
              <w:rPr>
                <w:sz w:val="24"/>
                <w:szCs w:val="24"/>
              </w:rPr>
            </w:r>
            <w:r/>
          </w:p>
          <w:p>
            <w:pPr>
              <w:pStyle w:val="1007"/>
              <w:ind w:firstLine="0"/>
              <w:jc w:val="left"/>
              <w:spacing w:after="0"/>
              <w:rPr>
                <w:sz w:val="24"/>
                <w:szCs w:val="24"/>
              </w:rPr>
              <w:framePr w:hSpace="181" w:wrap="around" w:vAnchor="text" w:hAnchor="page" w:x="1611" w:y="179"/>
            </w:pPr>
            <w:r>
              <w:rPr>
                <w:rFonts w:hint="eastAsia"/>
                <w:sz w:val="24"/>
                <w:szCs w:val="24"/>
              </w:rPr>
              <w:t xml:space="preserve">（1）投标文件未符合“通用智能体平台建设方案”中全部条款要求的，视为不符合招标文件，本项得0分。</w:t>
            </w:r>
            <w:r>
              <w:rPr>
                <w:sz w:val="24"/>
                <w:szCs w:val="24"/>
              </w:rPr>
            </w:r>
            <w:r/>
          </w:p>
          <w:p>
            <w:pPr>
              <w:pStyle w:val="1007"/>
              <w:ind w:firstLine="0"/>
              <w:jc w:val="left"/>
              <w:spacing w:after="0"/>
              <w:rPr>
                <w:sz w:val="24"/>
                <w:szCs w:val="24"/>
              </w:rPr>
              <w:framePr w:hSpace="181" w:wrap="around" w:vAnchor="text" w:hAnchor="page" w:x="1611" w:y="179"/>
            </w:pPr>
            <w:r>
              <w:rPr>
                <w:rFonts w:hint="eastAsia"/>
                <w:sz w:val="24"/>
                <w:szCs w:val="24"/>
              </w:rPr>
              <w:t xml:space="preserve">（2）投标文件符合“通用智能体平台建设方案”中全部条款要求的，视为符合招标文件，本项得</w:t>
            </w:r>
            <w:r>
              <w:rPr>
                <w:rFonts w:hint="eastAsia"/>
                <w:sz w:val="24"/>
                <w:szCs w:val="24"/>
              </w:rPr>
              <w:t xml:space="preserve">3</w:t>
            </w:r>
            <w:r>
              <w:rPr>
                <w:rFonts w:hint="eastAsia"/>
                <w:sz w:val="24"/>
                <w:szCs w:val="24"/>
              </w:rPr>
              <w:t xml:space="preserve">分。</w:t>
            </w:r>
            <w:r>
              <w:rPr>
                <w:sz w:val="24"/>
                <w:szCs w:val="24"/>
              </w:rPr>
            </w:r>
            <w:r/>
          </w:p>
          <w:p>
            <w:pPr>
              <w:pStyle w:val="1007"/>
              <w:ind w:firstLine="0"/>
              <w:jc w:val="left"/>
              <w:spacing w:after="0"/>
              <w:rPr>
                <w:rFonts w:ascii="Times New Roman" w:hAnsi="Times New Roman"/>
                <w:sz w:val="24"/>
                <w:szCs w:val="24"/>
              </w:rPr>
              <w:framePr w:hSpace="181" w:wrap="around" w:vAnchor="text" w:hAnchor="page" w:x="1611" w:y="179"/>
            </w:pPr>
            <w:r>
              <w:rPr>
                <w:rFonts w:hint="eastAsia"/>
                <w:sz w:val="24"/>
                <w:szCs w:val="24"/>
              </w:rPr>
              <w:t xml:space="preserve">（3）经评委认定，投标文件对“通用智能体平台建设方案”中“智能体创建与配置”、“知识库管理”、“工具调用与工作流编排”、“多渠道交互与运行监控”四项要求的响应内容全部优于招标文件要求的（投标文件对“智能体创建与配置”、“知识库管理”、“工具调用与工作流编排”、“多渠道交互与运行监控”四项外其他要求响应内容符合招标文件要求），本项得5分。</w:t>
            </w:r>
            <w:r>
              <w:rPr>
                <w:rFonts w:ascii="Times New Roman" w:hAnsi="Times New Roman"/>
                <w:sz w:val="24"/>
                <w:szCs w:val="24"/>
              </w:rPr>
            </w:r>
            <w:r/>
          </w:p>
        </w:tc>
        <w:tc>
          <w:tcPr>
            <w:tcW w:w="709" w:type="dxa"/>
            <w:vAlign w:val="center"/>
            <w:textDirection w:val="lrTb"/>
            <w:noWrap w:val="false"/>
          </w:tcPr>
          <w:p>
            <w:pPr>
              <w:pStyle w:val="891"/>
              <w:jc w:val="left"/>
              <w:widowControl/>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b/>
                <w:bCs/>
                <w:sz w:val="24"/>
                <w:szCs w:val="24"/>
              </w:rPr>
              <w:framePr w:hSpace="181" w:wrap="around" w:vAnchor="text" w:hAnchor="page" w:x="1611" w:y="179"/>
            </w:pPr>
            <w:r>
              <w:rPr>
                <w:rFonts w:hint="eastAsia"/>
                <w:b/>
                <w:bCs/>
                <w:sz w:val="24"/>
                <w:szCs w:val="24"/>
              </w:rPr>
              <w:t xml:space="preserve">16</w:t>
            </w:r>
            <w:r>
              <w:rPr>
                <w:b/>
                <w:bCs/>
                <w:sz w:val="24"/>
                <w:szCs w:val="24"/>
              </w:rPr>
            </w:r>
            <w:r/>
          </w:p>
        </w:tc>
        <w:tc>
          <w:tcPr>
            <w:tcW w:w="1393" w:type="dxa"/>
            <w:vAlign w:val="center"/>
            <w:textDirection w:val="lrTb"/>
            <w:noWrap w:val="false"/>
          </w:tcPr>
          <w:p>
            <w:pPr>
              <w:pStyle w:val="891"/>
              <w:jc w:val="left"/>
              <w:widowControl/>
              <w:rPr>
                <w:b/>
                <w:bCs/>
                <w:sz w:val="24"/>
                <w:szCs w:val="24"/>
              </w:rPr>
              <w:framePr w:hSpace="181" w:wrap="around" w:vAnchor="text" w:hAnchor="page" w:x="1611" w:y="179"/>
            </w:pPr>
            <w:r>
              <w:rPr>
                <w:rFonts w:hint="eastAsia"/>
                <w:b/>
                <w:bCs/>
                <w:sz w:val="24"/>
                <w:szCs w:val="24"/>
              </w:rPr>
              <w:t xml:space="preserve">个人智能体平台建设方案（5分）</w:t>
            </w:r>
            <w:r>
              <w:rPr>
                <w:b/>
                <w:bCs/>
                <w:sz w:val="24"/>
                <w:szCs w:val="24"/>
              </w:rPr>
            </w:r>
            <w:r/>
          </w:p>
        </w:tc>
        <w:tc>
          <w:tcPr>
            <w:tcW w:w="6367" w:type="dxa"/>
            <w:vAlign w:val="center"/>
            <w:textDirection w:val="lrTb"/>
            <w:noWrap w:val="false"/>
          </w:tcPr>
          <w:p>
            <w:pPr>
              <w:pStyle w:val="1007"/>
              <w:ind w:firstLine="0"/>
              <w:jc w:val="left"/>
              <w:spacing w:after="0"/>
              <w:rPr>
                <w:sz w:val="24"/>
                <w:szCs w:val="24"/>
              </w:rPr>
              <w:framePr w:hSpace="181" w:wrap="around" w:vAnchor="text" w:hAnchor="page" w:x="1611" w:y="179"/>
            </w:pPr>
            <w:r>
              <w:rPr>
                <w:rFonts w:hint="eastAsia"/>
                <w:sz w:val="24"/>
                <w:szCs w:val="24"/>
              </w:rPr>
              <w:t xml:space="preserve">提供个人智能体平台。个人智能体面向个人用户，提供个性化配置、用户偏好与长期记忆、日程与任务管理、信息检索、内容生成及个人工具协同等服务。</w:t>
            </w:r>
            <w:r>
              <w:rPr>
                <w:sz w:val="24"/>
                <w:szCs w:val="24"/>
              </w:rPr>
            </w:r>
            <w:r/>
          </w:p>
          <w:p>
            <w:pPr>
              <w:pStyle w:val="1007"/>
              <w:ind w:firstLine="0"/>
              <w:jc w:val="left"/>
              <w:spacing w:after="0"/>
              <w:rPr>
                <w:sz w:val="24"/>
                <w:szCs w:val="24"/>
              </w:rPr>
              <w:framePr w:hSpace="181" w:wrap="around" w:vAnchor="text" w:hAnchor="page" w:x="1611" w:y="179"/>
            </w:pPr>
            <w:r>
              <w:rPr>
                <w:rFonts w:hint="eastAsia"/>
                <w:sz w:val="24"/>
                <w:szCs w:val="24"/>
              </w:rPr>
              <w:t xml:space="preserve">（1）投标文件未符合“个人智能体平台建设方案”中全部条款要求的，视为不符合招标文件，本项得0分。</w:t>
            </w:r>
            <w:r>
              <w:rPr>
                <w:sz w:val="24"/>
                <w:szCs w:val="24"/>
              </w:rPr>
            </w:r>
            <w:r/>
          </w:p>
          <w:p>
            <w:pPr>
              <w:pStyle w:val="1007"/>
              <w:ind w:firstLine="0"/>
              <w:jc w:val="left"/>
              <w:spacing w:after="0"/>
              <w:rPr>
                <w:sz w:val="24"/>
                <w:szCs w:val="24"/>
              </w:rPr>
              <w:framePr w:hSpace="181" w:wrap="around" w:vAnchor="text" w:hAnchor="page" w:x="1611" w:y="179"/>
            </w:pPr>
            <w:r>
              <w:rPr>
                <w:rFonts w:hint="eastAsia"/>
                <w:sz w:val="24"/>
                <w:szCs w:val="24"/>
              </w:rPr>
              <w:t xml:space="preserve">（2）投标文件符合“个人智能体平台建设方案”中全部条款要求的，视为符合招标文件，本项得3分。</w:t>
            </w:r>
            <w:r>
              <w:rPr>
                <w:sz w:val="24"/>
                <w:szCs w:val="24"/>
              </w:rPr>
            </w:r>
            <w:r/>
          </w:p>
          <w:p>
            <w:pPr>
              <w:pStyle w:val="1007"/>
              <w:ind w:firstLine="0"/>
              <w:jc w:val="left"/>
              <w:spacing w:after="0"/>
              <w:rPr>
                <w:sz w:val="24"/>
                <w:szCs w:val="24"/>
              </w:rPr>
              <w:framePr w:hSpace="181" w:wrap="around" w:vAnchor="text" w:hAnchor="page" w:x="1611" w:y="179"/>
            </w:pPr>
            <w:r>
              <w:rPr>
                <w:rFonts w:hint="eastAsia"/>
                <w:sz w:val="24"/>
                <w:szCs w:val="24"/>
              </w:rPr>
              <w:t xml:space="preserve">（3）经评委认定，投标文件对“个人智能体平台建设方案”中“个性化配置与用户偏好”、“长期记忆管理”、“日程与任务管理”、“信息检索与内容生成”四项要求的响应内容全部优于招标文件要求的（投标文件对“个人智能体平台建设方案”中除“个性化配置与用户偏好”、“长期记忆管理”、“日程与任务管理”、“信息检索与内容生成”四项外其他要求响应内容符合招标文件要求），本项得5分。</w:t>
            </w:r>
            <w:r>
              <w:rPr>
                <w:sz w:val="24"/>
                <w:szCs w:val="24"/>
              </w:rPr>
            </w:r>
            <w:r/>
          </w:p>
        </w:tc>
        <w:tc>
          <w:tcPr>
            <w:tcW w:w="709" w:type="dxa"/>
            <w:vAlign w:val="center"/>
            <w:textDirection w:val="lrTb"/>
            <w:noWrap w:val="false"/>
          </w:tcPr>
          <w:p>
            <w:pPr>
              <w:pStyle w:val="891"/>
              <w:jc w:val="left"/>
              <w:widowControl/>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17</w:t>
            </w:r>
            <w:r>
              <w:rPr>
                <w:sz w:val="24"/>
                <w:szCs w:val="24"/>
              </w:rPr>
            </w:r>
            <w:r/>
          </w:p>
        </w:tc>
        <w:tc>
          <w:tcPr>
            <w:tcW w:w="1393" w:type="dxa"/>
            <w:vAlign w:val="center"/>
            <w:textDirection w:val="lrTb"/>
            <w:noWrap w:val="false"/>
          </w:tcPr>
          <w:p>
            <w:pPr>
              <w:pStyle w:val="891"/>
              <w:jc w:val="left"/>
              <w:widowControl/>
              <w:rPr>
                <w:b/>
                <w:bCs/>
                <w:sz w:val="24"/>
                <w:szCs w:val="24"/>
              </w:rPr>
              <w:framePr w:hSpace="181" w:wrap="around" w:vAnchor="text" w:hAnchor="page" w:x="1611" w:y="179"/>
            </w:pPr>
            <w:r>
              <w:rPr>
                <w:rFonts w:hint="eastAsia"/>
                <w:b/>
                <w:bCs/>
                <w:sz w:val="24"/>
                <w:szCs w:val="24"/>
              </w:rPr>
              <w:t xml:space="preserve">应急预案（5分）</w:t>
            </w:r>
            <w:r>
              <w:rPr>
                <w:b/>
                <w:bCs/>
                <w:sz w:val="24"/>
                <w:szCs w:val="24"/>
              </w:rPr>
            </w:r>
            <w:r/>
          </w:p>
        </w:tc>
        <w:tc>
          <w:tcPr>
            <w:tcW w:w="6367" w:type="dxa"/>
            <w:vAlign w:val="center"/>
            <w:textDirection w:val="lrTb"/>
            <w:noWrap w:val="false"/>
          </w:tcPr>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评估针对本项目的施工组织设计、时间节点管控（特别是前4周数据治理冲刺期）及应急预案的科学性。</w:t>
            </w:r>
            <w:r>
              <w:rPr>
                <w:rFonts w:ascii="Times New Roman" w:hAnsi="Times New Roman"/>
                <w:sz w:val="24"/>
                <w:szCs w:val="24"/>
              </w:rPr>
            </w:r>
            <w:r/>
          </w:p>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（1）投标文件未符合“应急预案”中全部条款要求的，视为不符合招标文件，本项得0分。</w:t>
            </w:r>
            <w:r>
              <w:rPr>
                <w:rFonts w:ascii="Times New Roman" w:hAnsi="Times New Roman"/>
                <w:sz w:val="24"/>
                <w:szCs w:val="24"/>
              </w:rPr>
            </w:r>
            <w:r/>
          </w:p>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（2）投标文件符合“应急预案”中全部条款要求的，视为符合招标文件，本项得3分。</w:t>
            </w:r>
            <w:r>
              <w:rPr>
                <w:rFonts w:ascii="Times New Roman" w:hAnsi="Times New Roman"/>
                <w:sz w:val="24"/>
                <w:szCs w:val="24"/>
              </w:rPr>
            </w:r>
            <w:r/>
          </w:p>
          <w:p>
            <w:pPr>
              <w:pStyle w:val="1007"/>
              <w:ind w:firstLine="0"/>
              <w:jc w:val="left"/>
              <w:spacing w:after="0"/>
              <w:rPr>
                <w:rFonts w:ascii="Times New Roman" w:hAnsi="Times New Roman"/>
                <w:color w:val="c00000"/>
                <w:sz w:val="24"/>
                <w:szCs w:val="24"/>
              </w:rPr>
              <w:framePr w:hSpace="181" w:wrap="around" w:vAnchor="text" w:hAnchor="page" w:x="1611" w:y="179"/>
            </w:pPr>
            <w:r>
              <w:rPr>
                <w:rFonts w:hint="eastAsia" w:ascii="Times New Roman" w:hAnsi="Times New Roman"/>
                <w:sz w:val="24"/>
                <w:szCs w:val="24"/>
              </w:rPr>
              <w:t xml:space="preserve">（3）经评委认定，投标文件对“应急预案”中“施工组织设计”、“时间节点管控（含前4周数据治理冲刺期）”、“多维风险场景推演与自动化熔断恢复”三项要求的响应内容全部优于招标文件要求的（投标文件对“应急预案”中除上述三项外其他要求响应内容符合招标文件要求），本项得5分。</w:t>
            </w:r>
            <w:r>
              <w:rPr>
                <w:rFonts w:ascii="Times New Roman" w:hAnsi="Times New Roman"/>
                <w:color w:val="c00000"/>
                <w:sz w:val="24"/>
                <w:szCs w:val="24"/>
              </w:rPr>
            </w:r>
            <w:r/>
          </w:p>
        </w:tc>
        <w:tc>
          <w:tcPr>
            <w:tcW w:w="709" w:type="dxa"/>
            <w:vAlign w:val="center"/>
            <w:textDirection w:val="lrTb"/>
            <w:noWrap w:val="false"/>
          </w:tcPr>
          <w:p>
            <w:pPr>
              <w:pStyle w:val="891"/>
              <w:jc w:val="left"/>
              <w:widowControl/>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tcW w:w="456" w:type="dxa"/>
            <w:vAlign w:val="center"/>
            <w:textDirection w:val="lrTb"/>
            <w:noWrap w:val="false"/>
          </w:tcPr>
          <w:p>
            <w:pPr>
              <w:pStyle w:val="891"/>
              <w:jc w:val="left"/>
              <w:rPr>
                <w:sz w:val="24"/>
                <w:szCs w:val="24"/>
              </w:rPr>
              <w:framePr w:hSpace="181" w:wrap="around" w:vAnchor="text" w:hAnchor="page" w:x="1611" w:y="179"/>
            </w:pPr>
            <w:r>
              <w:rPr>
                <w:rFonts w:hint="eastAsia"/>
                <w:sz w:val="24"/>
                <w:szCs w:val="24"/>
              </w:rPr>
              <w:t xml:space="preserve">18</w:t>
            </w:r>
            <w:r>
              <w:rPr>
                <w:sz w:val="24"/>
                <w:szCs w:val="24"/>
              </w:rPr>
            </w:r>
            <w:r/>
          </w:p>
        </w:tc>
        <w:tc>
          <w:tcPr>
            <w:tcW w:w="1393" w:type="dxa"/>
            <w:vAlign w:val="center"/>
            <w:textDirection w:val="lrTb"/>
            <w:noWrap w:val="false"/>
          </w:tcPr>
          <w:p>
            <w:pPr>
              <w:pStyle w:val="891"/>
              <w:jc w:val="left"/>
              <w:widowControl/>
              <w:rPr>
                <w:b/>
                <w:bCs/>
                <w:sz w:val="24"/>
                <w:szCs w:val="24"/>
              </w:rPr>
              <w:framePr w:hSpace="181" w:wrap="around" w:vAnchor="text" w:hAnchor="page" w:x="1611" w:y="179"/>
            </w:pPr>
            <w:r>
              <w:rPr>
                <w:rFonts w:hint="eastAsia"/>
                <w:b/>
                <w:bCs/>
                <w:sz w:val="24"/>
                <w:szCs w:val="24"/>
              </w:rPr>
              <w:t xml:space="preserve">培训方案（5分）</w:t>
            </w:r>
            <w:r>
              <w:rPr>
                <w:b/>
                <w:bCs/>
                <w:sz w:val="24"/>
                <w:szCs w:val="24"/>
              </w:rPr>
            </w:r>
            <w:r/>
          </w:p>
        </w:tc>
        <w:tc>
          <w:tcPr>
            <w:tcW w:w="6367" w:type="dxa"/>
            <w:vAlign w:val="center"/>
            <w:textDirection w:val="lrTb"/>
            <w:noWrap w:val="false"/>
          </w:tcPr>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评估针对全省财政人员零基础操作的“白盒化”使用培训，以及构建“业务专员与AI”循环调优机制的方案。</w:t>
            </w:r>
            <w:r>
              <w:rPr>
                <w:rFonts w:ascii="Times New Roman" w:hAnsi="Times New Roman"/>
                <w:sz w:val="24"/>
                <w:szCs w:val="24"/>
              </w:rPr>
            </w:r>
            <w:r/>
          </w:p>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（1）投标文件未符合“培训方案”中全部条款要求的，视为不符合招标文件，本项得0分。</w:t>
            </w:r>
            <w:r>
              <w:rPr>
                <w:rFonts w:ascii="Times New Roman" w:hAnsi="Times New Roman"/>
                <w:sz w:val="24"/>
                <w:szCs w:val="24"/>
              </w:rPr>
            </w:r>
            <w:r/>
          </w:p>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（2）投标文件符合“培训方案”中全部条款要求的，视为符合招标文件，本项得3分。</w:t>
            </w:r>
            <w:r>
              <w:rPr>
                <w:rFonts w:ascii="Times New Roman" w:hAnsi="Times New Roman"/>
                <w:sz w:val="24"/>
                <w:szCs w:val="24"/>
              </w:rPr>
            </w:r>
            <w:r/>
          </w:p>
          <w:p>
            <w:pPr>
              <w:pStyle w:val="1007"/>
              <w:ind w:firstLine="0"/>
              <w:jc w:val="left"/>
              <w:spacing w:after="0"/>
              <w:rPr>
                <w:rFonts w:ascii="Times New Roman" w:hAnsi="Times New Roman"/>
                <w:sz w:val="24"/>
                <w:szCs w:val="24"/>
              </w:rPr>
              <w:framePr w:hSpace="181" w:wrap="around" w:vAnchor="text" w:hAnchor="page" w:x="1611" w:y="179"/>
            </w:pPr>
            <w:r>
              <w:rPr>
                <w:rFonts w:hint="eastAsia" w:ascii="Times New Roman" w:hAnsi="Times New Roman"/>
                <w:sz w:val="24"/>
                <w:szCs w:val="24"/>
              </w:rPr>
              <w:t xml:space="preserve">（3）经评委认定，投标文件对“培训方案”中“全场景‘白盒化’培训体系”、“业务专员与AI循环调优机制”两项要求的响应内容全部优于招标文件要求的（投标文件对“培训方案”中除上述两项外其他要求响应内容符合招标文件要求），本项得5分。</w:t>
            </w:r>
            <w:r>
              <w:rPr>
                <w:rFonts w:ascii="Times New Roman" w:hAnsi="Times New Roman"/>
                <w:sz w:val="24"/>
                <w:szCs w:val="24"/>
              </w:rPr>
            </w:r>
            <w:r/>
          </w:p>
        </w:tc>
        <w:tc>
          <w:tcPr>
            <w:tcW w:w="709" w:type="dxa"/>
            <w:vAlign w:val="center"/>
            <w:textDirection w:val="lrTb"/>
            <w:noWrap w:val="false"/>
          </w:tcPr>
          <w:p>
            <w:pPr>
              <w:pStyle w:val="891"/>
              <w:jc w:val="left"/>
              <w:widowControl/>
              <w:rPr>
                <w:sz w:val="24"/>
                <w:szCs w:val="24"/>
              </w:rPr>
              <w:framePr w:hSpace="181" w:wrap="around" w:vAnchor="text" w:hAnchor="page" w:x="1611" w:y="179"/>
            </w:pPr>
            <w:r>
              <w:rPr>
                <w:rFonts w:hint="eastAsia"/>
                <w:sz w:val="24"/>
                <w:szCs w:val="24"/>
              </w:rPr>
              <w:t xml:space="preserve">5</w:t>
            </w:r>
            <w:r>
              <w:rPr>
                <w:sz w:val="24"/>
                <w:szCs w:val="24"/>
              </w:rPr>
            </w:r>
            <w:r/>
          </w:p>
        </w:tc>
      </w:tr>
      <w:tr>
        <w:trPr>
          <w:trHeight w:val="23"/>
        </w:trPr>
        <w:tc>
          <w:tcPr>
            <w:gridSpan w:val="3"/>
            <w:tcW w:w="8216" w:type="dxa"/>
            <w:vAlign w:val="center"/>
            <w:textDirection w:val="lrTb"/>
            <w:noWrap w:val="false"/>
          </w:tcPr>
          <w:p>
            <w:pPr>
              <w:pStyle w:val="891"/>
              <w:jc w:val="center"/>
              <w:rPr>
                <w:sz w:val="24"/>
                <w:szCs w:val="24"/>
              </w:rPr>
              <w:framePr w:hSpace="181" w:wrap="around" w:vAnchor="text" w:hAnchor="page" w:x="1611" w:y="179"/>
            </w:pPr>
            <w:r>
              <w:rPr>
                <w:rFonts w:hint="eastAsia"/>
                <w:b/>
                <w:bCs/>
                <w:sz w:val="24"/>
                <w:szCs w:val="24"/>
              </w:rPr>
              <w:t xml:space="preserve">合计100分</w:t>
            </w:r>
            <w:r>
              <w:rPr>
                <w:sz w:val="24"/>
                <w:szCs w:val="24"/>
              </w:rPr>
            </w:r>
            <w:r/>
          </w:p>
        </w:tc>
        <w:tc>
          <w:tcPr>
            <w:tcW w:w="709" w:type="dxa"/>
            <w:vAlign w:val="center"/>
            <w:textDirection w:val="lrTb"/>
            <w:noWrap w:val="false"/>
          </w:tcPr>
          <w:p>
            <w:pPr>
              <w:pStyle w:val="891"/>
              <w:jc w:val="left"/>
              <w:rPr>
                <w:sz w:val="24"/>
                <w:szCs w:val="24"/>
              </w:rPr>
              <w:framePr w:hSpace="181" w:wrap="around" w:vAnchor="text" w:hAnchor="page" w:x="1611" w:y="179"/>
            </w:pPr>
            <w:r>
              <w:rPr>
                <w:sz w:val="24"/>
                <w:szCs w:val="24"/>
              </w:rPr>
            </w:r>
            <w:r/>
          </w:p>
        </w:tc>
      </w:tr>
    </w:tbl>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jc w:val="left"/>
        <w:rPr>
          <w:rFonts w:ascii="黑体" w:eastAsia="黑体"/>
          <w:sz w:val="44"/>
          <w:szCs w:val="44"/>
        </w:rPr>
      </w:pPr>
      <w:r>
        <w:rPr>
          <w:rFonts w:ascii="黑体" w:eastAsia="黑体"/>
          <w:sz w:val="44"/>
          <w:szCs w:val="44"/>
        </w:rPr>
      </w:r>
      <w:r>
        <w:rPr>
          <w:rFonts w:ascii="黑体" w:eastAsia="黑体"/>
          <w:sz w:val="44"/>
          <w:szCs w:val="44"/>
        </w:rPr>
      </w:r>
    </w:p>
    <w:p>
      <w:pPr>
        <w:pStyle w:val="892"/>
        <w:jc w:val="left"/>
        <w:rPr>
          <w:rFonts w:ascii="黑体" w:eastAsia="黑体"/>
          <w:bCs/>
          <w:sz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1"/>
      <w:r/>
      <w:bookmarkEnd w:id="192"/>
      <w:r/>
      <w:bookmarkEnd w:id="205"/>
      <w:r>
        <w:rPr>
          <w:rFonts w:hint="eastAsia" w:ascii="黑体" w:eastAsia="黑体"/>
          <w:bCs/>
          <w:sz w:val="44"/>
        </w:rPr>
        <w:t xml:space="preserve">文件格式 </w:t>
      </w:r>
      <w:r/>
    </w:p>
    <w:p>
      <w:pPr>
        <w:pStyle w:val="891"/>
        <w:jc w:val="center"/>
        <w:rPr>
          <w:rFonts w:hint="eastAsia" w:ascii="宋体" w:hAnsi="宋体"/>
          <w:b/>
          <w:sz w:val="72"/>
        </w:rPr>
      </w:pPr>
      <w:r/>
      <w:bookmarkStart w:id="214" w:name="_Hlt26955039"/>
      <w:r/>
      <w:bookmarkEnd w:id="214"/>
      <w:r/>
      <w:bookmarkStart w:id="215" w:name="_Hlt26671244"/>
      <w:r/>
      <w:bookmarkEnd w:id="215"/>
      <w:r/>
      <w:bookmarkStart w:id="216" w:name="_Toc49090576"/>
      <w:r/>
      <w:bookmarkStart w:id="217" w:name="_Toc120614282"/>
      <w:r/>
      <w:bookmarkStart w:id="218" w:name="_Toc26554094"/>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rPr>
      </w:pPr>
      <w:r>
        <w:rPr>
          <w:rFonts w:ascii="宋体" w:hAnsi="宋体"/>
        </w:rPr>
      </w:r>
      <w:r/>
    </w:p>
    <w:p>
      <w:pPr>
        <w:pStyle w:val="89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
        <w:rPr>
          <w:rFonts w:ascii="宋体" w:hAnsi="宋体"/>
          <w:sz w:val="24"/>
        </w:rPr>
      </w:r>
    </w:p>
    <w:p>
      <w:pPr>
        <w:pStyle w:val="8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1"/>
        <w:ind w:firstLine="480"/>
        <w:spacing w:line="400" w:lineRule="exact"/>
        <w:rPr>
          <w:rFonts w:hint="eastAsia" w:ascii="方正魏碑_GBK" w:hAnsi="方正魏碑_GBK" w:eastAsia="方正魏碑_GBK" w:cs="方正魏碑_GBK"/>
          <w:color w:val="ff0000"/>
          <w:sz w:val="32"/>
          <w:szCs w:val="32"/>
        </w:rPr>
      </w:pPr>
      <w:r>
        <w:rPr>
          <w:rFonts w:hint="eastAsia" w:ascii="宋体" w:hAnsi="宋体"/>
          <w:sz w:val="24"/>
        </w:rPr>
        <w:t xml:space="preserve">3.关于符合本国产品标准的声明函（格式见附件13）</w:t>
      </w:r>
      <w:r>
        <w:rPr>
          <w:rFonts w:hint="eastAsia" w:ascii="方正魏碑_GBK" w:hAnsi="方正魏碑_GBK" w:eastAsia="方正魏碑_GBK" w:cs="方正魏碑_GBK"/>
          <w:color w:val="ff0000"/>
          <w:sz w:val="32"/>
          <w:szCs w:val="32"/>
        </w:rPr>
      </w:r>
      <w:r/>
      <w:r>
        <w:rPr>
          <w:rFonts w:ascii="宋体" w:hAnsi="宋体"/>
          <w:b/>
          <w:color w:val="ff0000"/>
          <w:sz w:val="24"/>
          <w:szCs w:val="24"/>
        </w:rPr>
      </w:r>
      <w:r/>
      <w:r>
        <w:rPr>
          <w:rFonts w:hint="eastAsia" w:ascii="方正魏碑_GBK" w:hAnsi="方正魏碑_GBK" w:eastAsia="方正魏碑_GBK" w:cs="方正魏碑_GBK"/>
          <w:color w:val="ff0000"/>
          <w:sz w:val="32"/>
          <w:szCs w:val="32"/>
        </w:rP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1"/>
        <w:ind w:firstLine="480"/>
        <w:rPr>
          <w:rFonts w:hint="eastAsia" w:ascii="宋体" w:hAnsi="宋体"/>
          <w:sz w:val="24"/>
          <w:szCs w:val="24"/>
        </w:rPr>
      </w:pPr>
      <w:r>
        <w:rPr>
          <w:rFonts w:hint="eastAsia" w:ascii="宋体" w:hAnsi="宋体"/>
          <w:sz w:val="24"/>
          <w:szCs w:val="24"/>
        </w:rPr>
      </w:r>
      <w:r/>
    </w:p>
    <w:p>
      <w:pPr>
        <w:pStyle w:val="891"/>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04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p>
        </w:tc>
      </w:tr>
      <w:tr>
        <w:trPr>
          <w:cantSplit/>
          <w:trHeight w:val="294"/>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106" w:type="dxa"/>
            <w:vAlign w:val="center"/>
            <w:textDirection w:val="lrTb"/>
            <w:noWrap w:val="false"/>
          </w:tcPr>
          <w:p>
            <w:pPr>
              <w:pStyle w:val="891"/>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p>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p>
        </w:tc>
        <w:tc>
          <w:tcPr>
            <w:tcW w:w="104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p>
        </w:tc>
      </w:tr>
      <w:tr>
        <w:trPr>
          <w:cantSplit/>
          <w:trHeight w:val="696"/>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891"/>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54"/>
              <w:spacing w:before="0" w:beforeAutospacing="0" w:after="0" w:afterAutospacing="0"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32"/>
                <w:szCs w:val="32"/>
                <w:u w:val="single"/>
              </w:rPr>
              <w:t xml:space="preserve">XX</w:t>
            </w:r>
            <w:r>
              <w:rPr>
                <w:rFonts w:hint="eastAsia" w:ascii="方正魏碑_GBK" w:hAnsi="方正魏碑_GBK" w:eastAsia="方正魏碑_GBK" w:cs="方正魏碑_GBK"/>
                <w:color w:val="000000"/>
                <w:sz w:val="28"/>
                <w:szCs w:val="28"/>
              </w:rPr>
              <w:t xml:space="preserve">%。</w:t>
            </w:r>
            <w:r/>
          </w:p>
        </w:tc>
      </w:tr>
    </w:tbl>
    <w:p>
      <w:pPr>
        <w:pStyle w:val="891"/>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891"/>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91"/>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pStyle w:val="891"/>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3.分项服务不需填写品牌、规格型号、制造商、产地。</w:t>
      </w:r>
      <w:r/>
    </w:p>
    <w:p>
      <w:pPr>
        <w:pStyle w:val="891"/>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91"/>
        <w:spacing w:line="0" w:lineRule="atLeast"/>
        <w:rPr>
          <w:rFonts w:ascii="宋体" w:hAnsi="宋体"/>
          <w:sz w:val="24"/>
          <w:szCs w:val="24"/>
        </w:rPr>
      </w:pPr>
      <w:r>
        <w:rPr>
          <w:rFonts w:ascii="宋体" w:hAnsi="宋体"/>
          <w:sz w:val="24"/>
          <w:szCs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1"/>
        <w:rPr>
          <w:rFonts w:hint="eastAsia" w:ascii="宋体" w:hAnsi="宋体"/>
          <w:b/>
          <w:sz w:val="24"/>
        </w:rPr>
      </w:pPr>
      <w:r>
        <w:rPr>
          <w:rFonts w:hint="eastAsia" w:ascii="宋体" w:hAnsi="宋体"/>
          <w:b/>
          <w:sz w:val="24"/>
        </w:rPr>
      </w:r>
      <w:r/>
    </w:p>
    <w:p>
      <w:pPr>
        <w:pStyle w:val="891"/>
        <w:ind w:firstLine="480"/>
        <w:spacing w:line="440" w:lineRule="exact"/>
        <w:rPr>
          <w:rFonts w:ascii="宋体" w:hAnsi="宋体"/>
          <w:sz w:val="24"/>
        </w:rPr>
      </w:pPr>
      <w:r>
        <w:rPr>
          <w:rFonts w:ascii="宋体" w:hAnsi="宋体"/>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left="480"/>
        <w:rPr>
          <w:rFonts w:ascii="宋体" w:hAnsi="宋体"/>
          <w:b/>
          <w:color w:val="ff0000"/>
          <w:sz w:val="24"/>
        </w:rPr>
      </w:pPr>
      <w:r>
        <w:rPr>
          <w:rFonts w:ascii="宋体" w:hAnsi="宋体"/>
          <w:b/>
          <w:color w:val="ff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8"/>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8"/>
        <w:ind w:left="420"/>
        <w:spacing w:before="0" w:after="0" w:line="420" w:lineRule="exact"/>
        <w:rPr>
          <w:rFonts w:hint="eastAsia" w:ascii="宋体" w:hAnsi="宋体"/>
          <w:szCs w:val="21"/>
        </w:rPr>
      </w:pPr>
      <w:r>
        <w:rPr>
          <w:rFonts w:hint="eastAsia" w:ascii="宋体" w:hAnsi="宋体"/>
          <w:szCs w:val="21"/>
        </w:rPr>
        <w:t xml:space="preserve">地          址：</w:t>
      </w:r>
      <w:r/>
    </w:p>
    <w:p>
      <w:pPr>
        <w:pStyle w:val="978"/>
        <w:ind w:left="420"/>
        <w:spacing w:before="0" w:after="0" w:line="420" w:lineRule="exact"/>
        <w:rPr>
          <w:rFonts w:hint="eastAsia" w:ascii="宋体" w:hAnsi="宋体"/>
          <w:szCs w:val="21"/>
        </w:rPr>
      </w:pPr>
      <w:r>
        <w:rPr>
          <w:rFonts w:hint="eastAsia" w:ascii="宋体" w:hAnsi="宋体"/>
          <w:szCs w:val="21"/>
        </w:rPr>
        <w:t xml:space="preserve">邮          编：</w:t>
      </w:r>
      <w:r/>
    </w:p>
    <w:p>
      <w:pPr>
        <w:pStyle w:val="978"/>
        <w:ind w:left="420"/>
        <w:spacing w:before="0" w:after="0" w:line="420" w:lineRule="exact"/>
        <w:rPr>
          <w:rFonts w:hint="eastAsia" w:ascii="宋体" w:hAnsi="宋体"/>
          <w:szCs w:val="21"/>
        </w:rPr>
      </w:pPr>
      <w:r>
        <w:rPr>
          <w:rFonts w:hint="eastAsia" w:ascii="宋体" w:hAnsi="宋体"/>
          <w:szCs w:val="21"/>
        </w:rPr>
        <w:t xml:space="preserve">电          话：</w:t>
      </w:r>
      <w:r/>
    </w:p>
    <w:p>
      <w:pPr>
        <w:pStyle w:val="978"/>
        <w:ind w:left="420"/>
        <w:spacing w:before="0" w:after="0" w:line="420" w:lineRule="exact"/>
        <w:rPr>
          <w:rFonts w:hint="eastAsia" w:ascii="宋体" w:hAnsi="宋体"/>
          <w:szCs w:val="21"/>
        </w:rPr>
      </w:pPr>
      <w:r>
        <w:rPr>
          <w:rFonts w:hint="eastAsia" w:ascii="宋体" w:hAnsi="宋体"/>
          <w:szCs w:val="21"/>
        </w:rPr>
        <w:t xml:space="preserve">传          真：</w:t>
      </w:r>
      <w:r/>
    </w:p>
    <w:p>
      <w:pPr>
        <w:pStyle w:val="97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8"/>
        <w:ind w:left="420"/>
        <w:spacing w:before="0" w:after="0" w:line="420" w:lineRule="exact"/>
        <w:rPr>
          <w:rFonts w:hint="eastAsia" w:ascii="宋体" w:hAnsi="宋体"/>
          <w:szCs w:val="21"/>
        </w:rPr>
      </w:pPr>
      <w:r>
        <w:rPr>
          <w:rFonts w:hint="eastAsia" w:ascii="宋体" w:hAnsi="宋体"/>
          <w:szCs w:val="21"/>
        </w:rPr>
        <w:t xml:space="preserve">账          号： </w:t>
      </w:r>
      <w:r/>
    </w:p>
    <w:p>
      <w:pPr>
        <w:pStyle w:val="89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8"/>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78"/>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spacing w:line="460" w:lineRule="exact"/>
        <w:rPr>
          <w:rFonts w:hint="eastAsia" w:ascii="黑体" w:hAnsi="黑体" w:eastAsia="黑体"/>
          <w:b/>
          <w:sz w:val="32"/>
          <w:szCs w:val="32"/>
        </w:rPr>
      </w:pPr>
      <w:r/>
      <w:bookmarkEnd w:id="216"/>
      <w:r/>
      <w:bookmarkEnd w:id="217"/>
      <w:r/>
      <w:bookmarkEnd w:id="218"/>
      <w:r/>
      <w:bookmarkStart w:id="219" w:name="_Toc120614284"/>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1"/>
        <w:spacing w:line="400" w:lineRule="exact"/>
        <w:rPr>
          <w:rFonts w:hint="eastAsia" w:ascii="黑体" w:hAnsi="黑体" w:eastAsia="黑体"/>
          <w:b/>
          <w:sz w:val="32"/>
          <w:szCs w:val="32"/>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1"/>
        <w:spacing w:line="400" w:lineRule="exact"/>
        <w:rPr>
          <w:rFonts w:hint="eastAsia" w:ascii="宋体" w:hAnsi="宋体"/>
          <w:color w:val="ff0000"/>
          <w:sz w:val="24"/>
          <w:szCs w:val="24"/>
        </w:rPr>
      </w:pPr>
      <w:r>
        <w:rPr>
          <w:rFonts w:hint="eastAsia" w:ascii="宋体" w:hAnsi="宋体"/>
          <w:color w:val="ff0000"/>
          <w:sz w:val="24"/>
          <w:szCs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spacing w:line="460" w:lineRule="exact"/>
        <w:rPr>
          <w:rFonts w:hint="eastAsia" w:ascii="宋体" w:hAnsi="宋体"/>
          <w:bCs/>
          <w:color w:val="000000"/>
          <w:sz w:val="24"/>
        </w:rPr>
      </w:pPr>
      <w:r>
        <w:rPr>
          <w:rFonts w:hint="eastAsia" w:ascii="宋体" w:hAnsi="宋体"/>
          <w:bCs/>
          <w:color w:val="000000"/>
          <w:sz w:val="24"/>
        </w:rPr>
      </w:r>
      <w:r/>
    </w:p>
    <w:p>
      <w:pPr>
        <w:pStyle w:val="891"/>
        <w:rPr>
          <w:rFonts w:hint="eastAsia"/>
          <w:color w:val="000000"/>
        </w:rPr>
      </w:pPr>
      <w:r>
        <w:rPr>
          <w:rFonts w:hint="eastAsia"/>
          <w:color w:val="000000"/>
        </w:rPr>
      </w:r>
      <w:r/>
    </w:p>
    <w:p>
      <w:pPr>
        <w:pStyle w:val="891"/>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附件13  关于符合本国产品标准的声明函（采购包号：XX）</w:t>
      </w:r>
      <w:r/>
    </w:p>
    <w:p>
      <w:pPr>
        <w:pStyle w:val="954"/>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004"/>
          <w:rFonts w:hint="eastAsia" w:ascii="方正魏碑_GBK" w:hAnsi="方正魏碑_GBK" w:eastAsia="方正魏碑_GBK" w:cs="方正魏碑_GBK"/>
          <w:color w:val="000000"/>
          <w:shd w:val="clear" w:color="auto" w:fill="ffffff"/>
        </w:rPr>
        <w:t xml:space="preserve">（产品名称1）</w:t>
      </w:r>
      <w:r>
        <w:rPr>
          <w:rStyle w:val="1004"/>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04"/>
          <w:rFonts w:hint="eastAsia" w:ascii="方正魏碑_GBK" w:hAnsi="方正魏碑_GBK" w:eastAsia="方正魏碑_GBK" w:cs="方正魏碑_GBK"/>
          <w:color w:val="000000"/>
          <w:shd w:val="clear" w:color="auto" w:fill="ffffff"/>
        </w:rPr>
        <w:t xml:space="preserve">（厂名）</w:t>
      </w:r>
      <w:r>
        <w:rPr>
          <w:rStyle w:val="1004"/>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04"/>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Style w:val="1004"/>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Style w:val="1004"/>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Style w:val="1004"/>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004"/>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04"/>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04"/>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54"/>
        <w:ind w:firstLine="480"/>
        <w:jc w:val="right"/>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rPr>
          <w:rFonts w:hint="eastAsia" w:ascii="方正魏碑_GBK" w:hAnsi="方正魏碑_GBK" w:eastAsia="方正魏碑_GBK" w:cs="方正魏碑_GBK"/>
          <w:color w:val="000000"/>
        </w:rPr>
      </w:r>
      <w:r/>
    </w:p>
    <w:p>
      <w:pPr>
        <w:pStyle w:val="954"/>
        <w:ind w:firstLine="48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54"/>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1004"/>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pStyle w:val="891"/>
        <w:spacing w:line="460" w:lineRule="exact"/>
        <w:rPr>
          <w:rFonts w:hint="eastAsia" w:ascii="方正魏碑_GBK" w:hAnsi="方正魏碑_GBK" w:eastAsia="方正魏碑_GBK" w:cs="方正魏碑_GBK"/>
          <w:bCs/>
          <w:color w:val="ff0000"/>
          <w:sz w:val="24"/>
          <w:szCs w:val="24"/>
        </w:rPr>
      </w:pPr>
      <w:r>
        <w:rPr>
          <w:rFonts w:hint="eastAsia" w:ascii="方正魏碑_GBK" w:hAnsi="方正魏碑_GBK" w:eastAsia="方正魏碑_GBK" w:cs="方正魏碑_GBK"/>
          <w:bCs/>
          <w:color w:val="ff0000"/>
          <w:sz w:val="24"/>
          <w:szCs w:val="24"/>
        </w:rPr>
      </w:r>
      <w:r/>
    </w:p>
    <w:p>
      <w:pPr>
        <w:pStyle w:val="891"/>
        <w:rPr>
          <w:rFonts w:hint="eastAsia" w:ascii="宋体" w:hAnsi="宋体" w:cs="仿宋"/>
          <w:b/>
          <w:bCs/>
          <w:sz w:val="32"/>
          <w:szCs w:val="32"/>
        </w:rPr>
      </w:pPr>
      <w:r/>
      <w:bookmarkEnd w:id="189"/>
      <w:r/>
      <w:bookmarkEnd w:id="190"/>
      <w:r/>
      <w:bookmarkEnd w:id="219"/>
      <w:r>
        <w:rPr>
          <w:rFonts w:hint="eastAsia" w:ascii="宋体" w:hAnsi="宋体" w:cs="仿宋"/>
          <w:b/>
          <w:bCs/>
          <w:sz w:val="32"/>
          <w:szCs w:val="32"/>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6"/>
        <w:rPr>
          <w:rFonts w:hint="eastAsia"/>
          <w:sz w:val="24"/>
          <w:szCs w:val="24"/>
        </w:rPr>
      </w:pPr>
      <w:r>
        <w:rPr>
          <w:rFonts w:hint="eastAsia"/>
          <w:sz w:val="24"/>
          <w:szCs w:val="24"/>
        </w:rPr>
      </w:r>
      <w:r/>
    </w:p>
    <w:p>
      <w:pPr>
        <w:pStyle w:val="90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36</w:t>
    </w:r>
    <w:r>
      <w:rPr>
        <w:rFonts w:ascii="宋体" w:hAnsi="宋体"/>
      </w:rPr>
      <w:fldChar w:fldCharType="end"/>
    </w:r>
    <w:r>
      <w:rPr>
        <w:rStyle w:val="964"/>
        <w:rFonts w:ascii="宋体" w:hAnsi="宋体"/>
      </w:rPr>
    </w:r>
    <w:r/>
  </w:p>
  <w:p>
    <w:pPr>
      <w:pStyle w:val="93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fldChar w:fldCharType="begin"/>
    </w:r>
    <w:r>
      <w:instrText xml:space="preserve">PAGE   \* MERGEFORMAT</w:instrText>
    </w:r>
    <w:r>
      <w:fldChar w:fldCharType="separate"/>
    </w:r>
    <w:r>
      <w:rPr>
        <w:lang w:val="zh-CN"/>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0"/>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pStyle w:val="891"/>
        <w:ind w:left="360" w:hanging="360"/>
      </w:pPr>
    </w:lvl>
    <w:lvl w:ilvl="1">
      <w:start w:val="1"/>
      <w:numFmt w:val="lowerLetter"/>
      <w:isLgl w:val="false"/>
      <w:suff w:val="tab"/>
      <w:lvlText w:val="%2)"/>
      <w:lvlJc w:val="left"/>
      <w:pPr>
        <w:pStyle w:val="891"/>
        <w:ind w:left="880" w:hanging="440"/>
      </w:pPr>
    </w:lvl>
    <w:lvl w:ilvl="2">
      <w:start w:val="1"/>
      <w:numFmt w:val="lowerRoman"/>
      <w:isLgl w:val="false"/>
      <w:suff w:val="tab"/>
      <w:lvlText w:val="%3."/>
      <w:lvlJc w:val="right"/>
      <w:pPr>
        <w:pStyle w:val="891"/>
        <w:ind w:left="1320" w:hanging="440"/>
      </w:pPr>
    </w:lvl>
    <w:lvl w:ilvl="3">
      <w:start w:val="1"/>
      <w:numFmt w:val="decimal"/>
      <w:isLgl w:val="false"/>
      <w:suff w:val="tab"/>
      <w:lvlText w:val="%4."/>
      <w:lvlJc w:val="left"/>
      <w:pPr>
        <w:pStyle w:val="891"/>
        <w:ind w:left="1760" w:hanging="440"/>
      </w:pPr>
    </w:lvl>
    <w:lvl w:ilvl="4">
      <w:start w:val="1"/>
      <w:numFmt w:val="lowerLetter"/>
      <w:isLgl w:val="false"/>
      <w:suff w:val="tab"/>
      <w:lvlText w:val="%5)"/>
      <w:lvlJc w:val="left"/>
      <w:pPr>
        <w:pStyle w:val="891"/>
        <w:ind w:left="2200" w:hanging="440"/>
      </w:pPr>
    </w:lvl>
    <w:lvl w:ilvl="5">
      <w:start w:val="1"/>
      <w:numFmt w:val="lowerRoman"/>
      <w:isLgl w:val="false"/>
      <w:suff w:val="tab"/>
      <w:lvlText w:val="%6."/>
      <w:lvlJc w:val="right"/>
      <w:pPr>
        <w:pStyle w:val="891"/>
        <w:ind w:left="2640" w:hanging="440"/>
      </w:pPr>
    </w:lvl>
    <w:lvl w:ilvl="6">
      <w:start w:val="1"/>
      <w:numFmt w:val="decimal"/>
      <w:isLgl w:val="false"/>
      <w:suff w:val="tab"/>
      <w:lvlText w:val="%7."/>
      <w:lvlJc w:val="left"/>
      <w:pPr>
        <w:pStyle w:val="891"/>
        <w:ind w:left="3080" w:hanging="440"/>
      </w:pPr>
    </w:lvl>
    <w:lvl w:ilvl="7">
      <w:start w:val="1"/>
      <w:numFmt w:val="lowerLetter"/>
      <w:isLgl w:val="false"/>
      <w:suff w:val="tab"/>
      <w:lvlText w:val="%8)"/>
      <w:lvlJc w:val="left"/>
      <w:pPr>
        <w:pStyle w:val="891"/>
        <w:ind w:left="3520" w:hanging="440"/>
      </w:pPr>
    </w:lvl>
    <w:lvl w:ilvl="8">
      <w:start w:val="1"/>
      <w:numFmt w:val="lowerRoman"/>
      <w:isLgl w:val="false"/>
      <w:suff w:val="tab"/>
      <w:lvlText w:val="%9."/>
      <w:lvlJc w:val="right"/>
      <w:pPr>
        <w:pStyle w:val="891"/>
        <w:ind w:left="3960" w:hanging="440"/>
      </w:pPr>
    </w:lvl>
  </w:abstractNum>
  <w:abstractNum w:abstractNumId="2">
    <w:multiLevelType w:val="hybridMultilevel"/>
    <w:lvl w:ilvl="0">
      <w:start w:val="1"/>
      <w:numFmt w:val="decimal"/>
      <w:pStyle w:val="987"/>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3">
    <w:multiLevelType w:val="hybridMultilevel"/>
    <w:lvl w:ilvl="0">
      <w:start w:val="2"/>
      <w:numFmt w:val="japaneseCounting"/>
      <w:isLgl w:val="false"/>
      <w:suff w:val="tab"/>
      <w:lvlText w:val="（%1）"/>
      <w:lvlJc w:val="left"/>
      <w:pPr>
        <w:pStyle w:val="891"/>
        <w:ind w:left="720" w:hanging="720"/>
      </w:pPr>
    </w:lvl>
    <w:lvl w:ilvl="1">
      <w:start w:val="1"/>
      <w:numFmt w:val="lowerLetter"/>
      <w:isLgl w:val="false"/>
      <w:suff w:val="tab"/>
      <w:lvlText w:val="%2)"/>
      <w:lvlJc w:val="left"/>
      <w:pPr>
        <w:pStyle w:val="891"/>
        <w:ind w:left="880" w:hanging="440"/>
      </w:pPr>
    </w:lvl>
    <w:lvl w:ilvl="2">
      <w:start w:val="1"/>
      <w:numFmt w:val="lowerRoman"/>
      <w:isLgl w:val="false"/>
      <w:suff w:val="tab"/>
      <w:lvlText w:val="%3."/>
      <w:lvlJc w:val="right"/>
      <w:pPr>
        <w:pStyle w:val="891"/>
        <w:ind w:left="1320" w:hanging="440"/>
      </w:pPr>
    </w:lvl>
    <w:lvl w:ilvl="3">
      <w:start w:val="1"/>
      <w:numFmt w:val="decimal"/>
      <w:isLgl w:val="false"/>
      <w:suff w:val="tab"/>
      <w:lvlText w:val="%4."/>
      <w:lvlJc w:val="left"/>
      <w:pPr>
        <w:pStyle w:val="891"/>
        <w:ind w:left="1760" w:hanging="440"/>
      </w:pPr>
    </w:lvl>
    <w:lvl w:ilvl="4">
      <w:start w:val="1"/>
      <w:numFmt w:val="lowerLetter"/>
      <w:isLgl w:val="false"/>
      <w:suff w:val="tab"/>
      <w:lvlText w:val="%5)"/>
      <w:lvlJc w:val="left"/>
      <w:pPr>
        <w:pStyle w:val="891"/>
        <w:ind w:left="2200" w:hanging="440"/>
      </w:pPr>
    </w:lvl>
    <w:lvl w:ilvl="5">
      <w:start w:val="1"/>
      <w:numFmt w:val="lowerRoman"/>
      <w:isLgl w:val="false"/>
      <w:suff w:val="tab"/>
      <w:lvlText w:val="%6."/>
      <w:lvlJc w:val="right"/>
      <w:pPr>
        <w:pStyle w:val="891"/>
        <w:ind w:left="2640" w:hanging="440"/>
      </w:pPr>
    </w:lvl>
    <w:lvl w:ilvl="6">
      <w:start w:val="1"/>
      <w:numFmt w:val="decimal"/>
      <w:isLgl w:val="false"/>
      <w:suff w:val="tab"/>
      <w:lvlText w:val="%7."/>
      <w:lvlJc w:val="left"/>
      <w:pPr>
        <w:pStyle w:val="891"/>
        <w:ind w:left="3080" w:hanging="440"/>
      </w:pPr>
    </w:lvl>
    <w:lvl w:ilvl="7">
      <w:start w:val="1"/>
      <w:numFmt w:val="lowerLetter"/>
      <w:isLgl w:val="false"/>
      <w:suff w:val="tab"/>
      <w:lvlText w:val="%8)"/>
      <w:lvlJc w:val="left"/>
      <w:pPr>
        <w:pStyle w:val="891"/>
        <w:ind w:left="3520" w:hanging="440"/>
      </w:pPr>
    </w:lvl>
    <w:lvl w:ilvl="8">
      <w:start w:val="1"/>
      <w:numFmt w:val="lowerRoman"/>
      <w:isLgl w:val="false"/>
      <w:suff w:val="tab"/>
      <w:lvlText w:val="%9."/>
      <w:lvlJc w:val="right"/>
      <w:pPr>
        <w:pStyle w:val="891"/>
        <w:ind w:left="3960" w:hanging="440"/>
      </w:p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lang w:val="en-US" w:eastAsia="en-US"/>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4">
    <w:name w:val="标题 3"/>
    <w:basedOn w:val="891"/>
    <w:next w:val="906"/>
    <w:link w:val="908"/>
    <w:qFormat/>
    <w:pPr>
      <w:keepLines/>
      <w:keepNext/>
      <w:spacing w:before="260" w:after="260" w:line="416" w:lineRule="auto"/>
      <w:outlineLvl w:val="2"/>
    </w:pPr>
    <w:rPr>
      <w:b/>
      <w:bCs/>
      <w:sz w:val="32"/>
      <w:szCs w:val="32"/>
      <w:lang w:val="en-US" w:eastAsia="en-US"/>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lang w:val="en-US" w:eastAsia="en-US"/>
    </w:rPr>
  </w:style>
  <w:style w:type="paragraph" w:styleId="896">
    <w:name w:val="标题 5"/>
    <w:basedOn w:val="891"/>
    <w:next w:val="906"/>
    <w:link w:val="910"/>
    <w:qFormat/>
    <w:pPr>
      <w:keepNext/>
      <w:outlineLvl w:val="4"/>
    </w:pPr>
    <w:rPr>
      <w:rFonts w:ascii="宋体"/>
      <w:color w:val="000000"/>
      <w:sz w:val="28"/>
      <w:szCs w:val="28"/>
      <w:lang w:val="en-US" w:eastAsia="en-US"/>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lang w:val="en-US" w:eastAsia="en-US"/>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numbering" w:styleId="903">
    <w:name w:val="无列表"/>
    <w:next w:val="903"/>
    <w:link w:val="891"/>
    <w:uiPriority w:val="99"/>
    <w:semiHidden/>
    <w:unhideWhenUsed/>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lang w:val="en-US" w:eastAsia="en-US"/>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lang w:val="en-US" w:eastAsia="en-US"/>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lang w:val="en-US" w:eastAsia="en-US"/>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lang w:val="en-US" w:eastAsia="en-US"/>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lang w:val="en-US" w:eastAsia="en-US"/>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lang w:val="en-US" w:eastAsia="en-US"/>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lang w:val="en-US" w:eastAsia="en-US"/>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lang w:val="en-US" w:eastAsia="en-US"/>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lang w:val="en-US" w:eastAsia="en-US"/>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lang w:val="en-US" w:eastAsia="en-US"/>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uiPriority w:val="99"/>
    <w:pPr>
      <w:jc w:val="left"/>
      <w:tabs>
        <w:tab w:val="center" w:pos="4153" w:leader="none"/>
        <w:tab w:val="right" w:pos="8306" w:leader="none"/>
      </w:tabs>
    </w:pPr>
    <w:rPr>
      <w:sz w:val="18"/>
      <w:szCs w:val="18"/>
      <w:lang w:val="en-US" w:eastAsia="en-US"/>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1"/>
    <w:next w:val="941"/>
    <w:link w:val="942"/>
    <w:pPr>
      <w:jc w:val="center"/>
      <w:tabs>
        <w:tab w:val="center" w:pos="4153" w:leader="none"/>
        <w:tab w:val="right" w:pos="8306" w:leader="none"/>
      </w:tabs>
      <w:pBdr>
        <w:bottom w:val="single" w:color="000000" w:sz="6" w:space="1"/>
      </w:pBdr>
    </w:pPr>
    <w:rPr>
      <w:sz w:val="18"/>
      <w:szCs w:val="18"/>
      <w:lang w:val="en-US" w:eastAsia="en-US"/>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lang w:val="en-US" w:eastAsia="en-US"/>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lang w:val="en-US" w:eastAsia="en-US"/>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lang w:val="en-US" w:eastAsia="en-US"/>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超链接"/>
    <w:next w:val="966"/>
    <w:link w:val="891"/>
    <w:rPr>
      <w:color w:val="0000ff"/>
      <w:u w:val="single"/>
    </w:rPr>
  </w:style>
  <w:style w:type="character" w:styleId="967">
    <w:name w:val="批注引用"/>
    <w:next w:val="967"/>
    <w:link w:val="891"/>
    <w:semiHidden/>
    <w:rPr>
      <w:sz w:val="21"/>
      <w:szCs w:val="21"/>
    </w:rPr>
  </w:style>
  <w:style w:type="character" w:styleId="968">
    <w:name w:val="font5 Char"/>
    <w:next w:val="968"/>
    <w:link w:val="891"/>
    <w:rPr>
      <w:rFonts w:ascii="宋体" w:hAnsi="宋体" w:eastAsia="宋体"/>
      <w:sz w:val="28"/>
      <w:szCs w:val="28"/>
      <w:lang w:val="en-US" w:eastAsia="zh-CN" w:bidi="ar-SA"/>
    </w:rPr>
  </w:style>
  <w:style w:type="character" w:styleId="969">
    <w:name w:val="二级目录 Char"/>
    <w:next w:val="969"/>
    <w:link w:val="970"/>
    <w:rPr>
      <w:b/>
      <w:sz w:val="30"/>
      <w:szCs w:val="28"/>
      <w:lang w:val="en-US" w:eastAsia="zh-CN" w:bidi="ar-SA"/>
    </w:rPr>
  </w:style>
  <w:style w:type="paragraph" w:styleId="970">
    <w:name w:val="二级目录"/>
    <w:next w:val="891"/>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91"/>
    <w:next w:val="972"/>
    <w:link w:val="971"/>
    <w:qFormat/>
    <w:pPr>
      <w:contextualSpacing/>
      <w:ind w:left="720"/>
      <w:jc w:val="left"/>
      <w:widowControl/>
    </w:pPr>
    <w:rPr>
      <w:rFonts w:ascii="Calibri" w:hAnsi="Calibri"/>
      <w:sz w:val="24"/>
      <w:szCs w:val="24"/>
      <w:lang w:val="en-US" w:eastAsia="en-US" w:bidi="en-US"/>
    </w:rPr>
  </w:style>
  <w:style w:type="paragraph" w:styleId="973">
    <w:name w:val="Body Text(ch)"/>
    <w:basedOn w:val="891"/>
    <w:next w:val="923"/>
    <w:link w:val="891"/>
    <w:pPr>
      <w:spacing w:after="120"/>
    </w:pPr>
    <w:rPr>
      <w:rFonts w:ascii="宋体" w:hAnsi="Arial"/>
      <w:bCs/>
      <w:iCs/>
      <w:szCs w:val="24"/>
    </w:rPr>
  </w:style>
  <w:style w:type="paragraph" w:styleId="974">
    <w:name w:val="xl27"/>
    <w:basedOn w:val="891"/>
    <w:next w:val="974"/>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91"/>
    <w:next w:val="975"/>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91"/>
    <w:next w:val="976"/>
    <w:link w:val="891"/>
    <w:pPr>
      <w:ind w:firstLine="200"/>
      <w:tabs>
        <w:tab w:val="left" w:pos="360" w:leader="none"/>
      </w:tabs>
    </w:pPr>
    <w:rPr>
      <w:sz w:val="28"/>
      <w:szCs w:val="30"/>
    </w:rPr>
  </w:style>
  <w:style w:type="paragraph" w:styleId="977">
    <w:name w:val=" Char"/>
    <w:basedOn w:val="917"/>
    <w:next w:val="977"/>
    <w:link w:val="891"/>
    <w:rPr>
      <w:rFonts w:ascii="Tahoma" w:hAnsi="Tahoma"/>
      <w:sz w:val="24"/>
      <w:szCs w:val="24"/>
    </w:rPr>
  </w:style>
  <w:style w:type="paragraph" w:styleId="978">
    <w:name w:val="普通正文"/>
    <w:basedOn w:val="891"/>
    <w:next w:val="978"/>
    <w:link w:val="891"/>
    <w:pPr>
      <w:ind w:firstLine="480"/>
      <w:jc w:val="left"/>
      <w:spacing w:before="120" w:after="120" w:line="360" w:lineRule="auto"/>
    </w:pPr>
    <w:rPr>
      <w:rFonts w:ascii="Arial" w:hAnsi="Arial"/>
      <w:sz w:val="24"/>
      <w:szCs w:val="24"/>
    </w:rPr>
  </w:style>
  <w:style w:type="paragraph" w:styleId="979">
    <w:name w:val="table_lines"/>
    <w:basedOn w:val="891"/>
    <w:next w:val="979"/>
    <w:link w:val="891"/>
    <w:pPr>
      <w:jc w:val="left"/>
      <w:widowControl/>
    </w:pPr>
    <w:rPr>
      <w:sz w:val="20"/>
      <w:szCs w:val="20"/>
      <w:lang w:val="de-DE" w:eastAsia="de-DE"/>
    </w:rPr>
  </w:style>
  <w:style w:type="paragraph" w:styleId="980">
    <w:name w:val="附录1"/>
    <w:next w:val="980"/>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font7"/>
    <w:basedOn w:val="891"/>
    <w:next w:val="981"/>
    <w:link w:val="891"/>
    <w:pPr>
      <w:jc w:val="left"/>
      <w:spacing w:before="100" w:beforeAutospacing="1" w:after="100" w:afterAutospacing="1"/>
      <w:widowControl/>
    </w:pPr>
    <w:rPr>
      <w:rFonts w:hint="eastAsia" w:ascii="宋体" w:hAnsi="宋体"/>
      <w:sz w:val="18"/>
      <w:szCs w:val="18"/>
    </w:rPr>
  </w:style>
  <w:style w:type="paragraph" w:styleId="982">
    <w:name w:val=" Char Char Char Char"/>
    <w:basedOn w:val="917"/>
    <w:next w:val="982"/>
    <w:link w:val="891"/>
    <w:pPr>
      <w:spacing w:line="360" w:lineRule="auto"/>
    </w:pPr>
    <w:rPr>
      <w:rFonts w:ascii="Tahoma" w:hAnsi="Tahoma"/>
      <w:sz w:val="24"/>
      <w:szCs w:val="24"/>
    </w:rPr>
  </w:style>
  <w:style w:type="paragraph" w:styleId="983">
    <w:name w:val="列出段落"/>
    <w:basedOn w:val="891"/>
    <w:next w:val="983"/>
    <w:link w:val="891"/>
    <w:uiPriority w:val="99"/>
    <w:qFormat/>
    <w:pPr>
      <w:contextualSpacing/>
      <w:ind w:left="720"/>
      <w:jc w:val="left"/>
      <w:widowControl/>
    </w:pPr>
    <w:rPr>
      <w:rFonts w:ascii="Calibri" w:hAnsi="Calibri"/>
      <w:sz w:val="24"/>
      <w:szCs w:val="24"/>
      <w:lang w:eastAsia="en-US" w:bidi="en-US"/>
    </w:rPr>
  </w:style>
  <w:style w:type="paragraph" w:styleId="984">
    <w:name w:val="4"/>
    <w:basedOn w:val="891"/>
    <w:next w:val="947"/>
    <w:link w:val="891"/>
    <w:pPr>
      <w:ind w:firstLine="420"/>
      <w:spacing w:line="360" w:lineRule="auto"/>
    </w:pPr>
    <w:rPr>
      <w:color w:val="ff0000"/>
      <w:sz w:val="24"/>
      <w:szCs w:val="24"/>
    </w:rPr>
  </w:style>
  <w:style w:type="paragraph" w:styleId="985">
    <w:name w:val="普通 (Web)"/>
    <w:basedOn w:val="891"/>
    <w:next w:val="985"/>
    <w:link w:val="891"/>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91"/>
    <w:next w:val="986"/>
    <w:link w:val="891"/>
    <w:pPr>
      <w:spacing w:line="360" w:lineRule="auto"/>
    </w:pPr>
    <w:rPr>
      <w:sz w:val="24"/>
      <w:szCs w:val="20"/>
    </w:rPr>
  </w:style>
  <w:style w:type="paragraph" w:styleId="987">
    <w:name w:val="样式1"/>
    <w:basedOn w:val="891"/>
    <w:next w:val="987"/>
    <w:link w:val="891"/>
    <w:pPr>
      <w:numPr>
        <w:ilvl w:val="0"/>
        <w:numId w:val="3"/>
      </w:numPr>
      <w:tabs>
        <w:tab w:val="left" w:pos="709" w:leader="none"/>
      </w:tabs>
    </w:pPr>
    <w:rPr>
      <w:rFonts w:ascii="宋体" w:hAnsi="宋体"/>
    </w:rPr>
  </w:style>
  <w:style w:type="paragraph" w:styleId="988">
    <w:name w:val="font6"/>
    <w:basedOn w:val="891"/>
    <w:next w:val="988"/>
    <w:link w:val="891"/>
    <w:pPr>
      <w:jc w:val="left"/>
      <w:spacing w:before="100" w:beforeAutospacing="1" w:after="100" w:afterAutospacing="1"/>
      <w:widowControl/>
    </w:pPr>
    <w:rPr>
      <w:rFonts w:hint="eastAsia" w:ascii="宋体" w:hAnsi="宋体"/>
      <w:sz w:val="28"/>
      <w:szCs w:val="28"/>
      <w:u w:val="single"/>
    </w:rPr>
  </w:style>
  <w:style w:type="paragraph" w:styleId="989">
    <w:name w:val="xl25"/>
    <w:basedOn w:val="891"/>
    <w:next w:val="989"/>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name w:val="标题3"/>
    <w:basedOn w:val="891"/>
    <w:next w:val="891"/>
    <w:link w:val="891"/>
    <w:pPr>
      <w:ind w:firstLine="624"/>
      <w:spacing w:line="590" w:lineRule="atLeast"/>
    </w:pPr>
    <w:rPr>
      <w:rFonts w:ascii="方正黑体_GBK" w:eastAsia="方正黑体_GBK"/>
      <w:sz w:val="32"/>
      <w:szCs w:val="32"/>
    </w:rPr>
  </w:style>
  <w:style w:type="paragraph" w:styleId="992">
    <w:name w:val="xl24"/>
    <w:basedOn w:val="891"/>
    <w:next w:val="992"/>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9"/>
    <w:basedOn w:val="891"/>
    <w:next w:val="993"/>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name w:val="Char Char Char Char Char Char Char Char"/>
    <w:basedOn w:val="891"/>
    <w:next w:val="994"/>
    <w:link w:val="891"/>
    <w:pPr>
      <w:jc w:val="left"/>
      <w:spacing w:after="160" w:line="240" w:lineRule="exact"/>
      <w:widowControl/>
    </w:pPr>
    <w:rPr>
      <w:rFonts w:ascii="Verdana" w:hAnsi="Verdana"/>
      <w:sz w:val="20"/>
      <w:szCs w:val="20"/>
      <w:lang w:eastAsia="en-US"/>
    </w:rPr>
  </w:style>
  <w:style w:type="paragraph" w:styleId="995">
    <w:name w:val="xl28"/>
    <w:basedOn w:val="891"/>
    <w:next w:val="995"/>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 Char Char Char Char Char Char Char Char"/>
    <w:basedOn w:val="891"/>
    <w:next w:val="996"/>
    <w:link w:val="891"/>
    <w:pPr>
      <w:jc w:val="left"/>
      <w:spacing w:after="160" w:line="240" w:lineRule="exact"/>
      <w:widowControl/>
    </w:pPr>
    <w:rPr>
      <w:rFonts w:ascii="Verdana" w:hAnsi="Verdana"/>
      <w:sz w:val="20"/>
      <w:szCs w:val="20"/>
      <w:lang w:eastAsia="en-US"/>
    </w:rPr>
  </w:style>
  <w:style w:type="paragraph" w:styleId="997">
    <w:name w:val="xl30"/>
    <w:basedOn w:val="891"/>
    <w:next w:val="997"/>
    <w:link w:val="891"/>
    <w:pPr>
      <w:jc w:val="center"/>
      <w:spacing w:before="100" w:beforeAutospacing="1" w:after="100" w:afterAutospacing="1"/>
      <w:widowControl/>
    </w:pPr>
    <w:rPr>
      <w:rFonts w:ascii="宋体" w:hAnsi="宋体"/>
      <w:b/>
      <w:bCs/>
      <w:sz w:val="36"/>
      <w:szCs w:val="36"/>
    </w:rPr>
  </w:style>
  <w:style w:type="paragraph" w:styleId="998">
    <w:name w:val="Char Char Char Char"/>
    <w:basedOn w:val="917"/>
    <w:next w:val="998"/>
    <w:link w:val="891"/>
    <w:pPr>
      <w:spacing w:line="360" w:lineRule="auto"/>
    </w:pPr>
    <w:rPr>
      <w:rFonts w:ascii="Tahoma" w:hAnsi="Tahoma"/>
      <w:sz w:val="24"/>
      <w:szCs w:val="24"/>
    </w:rPr>
  </w:style>
  <w:style w:type="paragraph" w:styleId="999">
    <w:name w:val="table_1stline"/>
    <w:basedOn w:val="891"/>
    <w:next w:val="999"/>
    <w:link w:val="891"/>
    <w:pPr>
      <w:jc w:val="left"/>
      <w:spacing w:before="120"/>
      <w:widowControl/>
    </w:pPr>
    <w:rPr>
      <w:bCs/>
      <w:sz w:val="20"/>
      <w:szCs w:val="20"/>
      <w:lang w:val="de-DE" w:eastAsia="de-DE"/>
    </w:rPr>
  </w:style>
  <w:style w:type="paragraph" w:styleId="1000">
    <w:name w:val="font5"/>
    <w:basedOn w:val="891"/>
    <w:next w:val="1000"/>
    <w:link w:val="891"/>
    <w:pPr>
      <w:jc w:val="left"/>
      <w:spacing w:before="100" w:beforeAutospacing="1" w:after="100" w:afterAutospacing="1"/>
      <w:widowControl/>
    </w:pPr>
    <w:rPr>
      <w:rFonts w:hint="eastAsia" w:ascii="宋体" w:hAnsi="宋体"/>
      <w:sz w:val="28"/>
      <w:szCs w:val="28"/>
    </w:rPr>
  </w:style>
  <w:style w:type="paragraph" w:styleId="1001">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修订"/>
    <w:next w:val="1002"/>
    <w:link w:val="891"/>
    <w:uiPriority w:val="99"/>
    <w:semiHidden/>
    <w:rPr>
      <w:rFonts w:ascii="Times New Roman" w:hAnsi="Times New Roman"/>
      <w:sz w:val="21"/>
      <w:szCs w:val="21"/>
      <w:lang w:val="en-US" w:eastAsia="zh-CN" w:bidi="ar-SA"/>
    </w:rPr>
  </w:style>
  <w:style w:type="paragraph" w:styleId="1003">
    <w:name w:val="无间隔"/>
    <w:next w:val="1003"/>
    <w:link w:val="891"/>
    <w:uiPriority w:val="99"/>
    <w:qFormat/>
    <w:pPr>
      <w:jc w:val="both"/>
      <w:widowControl w:val="off"/>
    </w:pPr>
    <w:rPr>
      <w:rFonts w:ascii="Times New Roman" w:hAnsi="Times New Roman"/>
      <w:sz w:val="21"/>
      <w:szCs w:val="21"/>
      <w:lang w:val="en-US" w:eastAsia="zh-CN" w:bidi="ar-SA"/>
    </w:rPr>
  </w:style>
  <w:style w:type="character" w:styleId="1004">
    <w:name w:val="强调"/>
    <w:next w:val="1004"/>
    <w:link w:val="891"/>
    <w:qFormat/>
    <w:rPr>
      <w:i/>
    </w:rPr>
  </w:style>
  <w:style w:type="paragraph" w:styleId="1005">
    <w:name w:val="正文（首行缩进2字符）"/>
    <w:basedOn w:val="891"/>
    <w:next w:val="1005"/>
    <w:link w:val="891"/>
    <w:qFormat/>
    <w:pPr>
      <w:ind w:firstLine="461"/>
      <w:spacing w:after="160" w:line="360" w:lineRule="auto"/>
    </w:pPr>
    <w:rPr>
      <w:rFonts w:ascii="Arial" w:hAnsi="Arial"/>
      <w:sz w:val="24"/>
      <w:szCs w:val="28"/>
      <w:lang w:val="zh-CN"/>
    </w:rPr>
  </w:style>
  <w:style w:type="paragraph" w:styleId="1006">
    <w:name w:val="#正文"/>
    <w:next w:val="1006"/>
    <w:link w:val="891"/>
    <w:qFormat/>
    <w:pPr>
      <w:ind w:firstLine="200"/>
      <w:jc w:val="both"/>
      <w:spacing w:after="160" w:line="360" w:lineRule="auto"/>
      <w:widowControl w:val="off"/>
    </w:pPr>
    <w:rPr>
      <w:rFonts w:hint="eastAsia" w:ascii="宋体"/>
      <w:sz w:val="24"/>
      <w:szCs w:val="22"/>
      <w:lang w:val="en-US" w:eastAsia="zh-CN" w:bidi="ar-SA"/>
    </w:rPr>
  </w:style>
  <w:style w:type="paragraph" w:styleId="1007">
    <w:name w:val="列表段落1"/>
    <w:basedOn w:val="891"/>
    <w:next w:val="1007"/>
    <w:link w:val="891"/>
    <w:uiPriority w:val="34"/>
    <w:qFormat/>
    <w:pPr>
      <w:ind w:firstLine="420"/>
      <w:spacing w:after="160" w:line="278" w:lineRule="auto"/>
    </w:pPr>
    <w:rPr>
      <w:rFonts w:ascii="Calibri" w:hAnsi="Calibri"/>
      <w:szCs w:val="22"/>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2</cp:revision>
  <dcterms:modified xsi:type="dcterms:W3CDTF">2026-09-30T07:43:45Z</dcterms:modified>
</cp:coreProperties>
</file>