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color w:val="auto"/>
          <w:sz w:val="72"/>
          <w:szCs w:val="20"/>
          <w:highlight w:val="none"/>
          <w:shd w:val="clear" w:color="auto" w:fill="ffffff"/>
        </w:rPr>
      </w:pPr>
      <w:r>
        <w:rPr>
          <w:rFonts w:ascii="宋体" w:hAnsi="宋体" w:eastAsia="宋体" w:cs="宋体"/>
          <w:b/>
          <w:color w:val="auto"/>
          <w:sz w:val="72"/>
          <w:szCs w:val="20"/>
          <w:highlight w:val="none"/>
          <w:shd w:val="clear" w:color="auto" w:fill="ffffff"/>
        </w:rPr>
      </w:r>
      <w:r/>
    </w:p>
    <w:p>
      <w:pPr>
        <w:jc w:val="center"/>
        <w:spacing w:line="360" w:lineRule="auto"/>
        <w:rPr>
          <w:rFonts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苏州市政府采购</w:t>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jc w:val="center"/>
        <w:spacing w:line="360" w:lineRule="auto"/>
        <w:rPr>
          <w:rFonts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招 标 文 件</w:t>
      </w:r>
      <w:r/>
    </w:p>
    <w:p>
      <w:pPr>
        <w:jc w:val="center"/>
        <w:spacing w:line="360" w:lineRule="auto"/>
        <w:rPr>
          <w:rFonts w:ascii="宋体" w:hAnsi="宋体" w:eastAsia="宋体" w:cs="宋体"/>
          <w:color w:val="auto"/>
          <w:sz w:val="26"/>
          <w:szCs w:val="26"/>
          <w:highlight w:val="none"/>
          <w:shd w:val="clear" w:color="auto" w:fill="ffffff"/>
        </w:rPr>
      </w:pPr>
      <w:r>
        <w:rPr>
          <w:rFonts w:ascii="宋体" w:hAnsi="宋体" w:eastAsia="宋体" w:cs="宋体"/>
          <w:color w:val="auto"/>
          <w:sz w:val="26"/>
          <w:szCs w:val="26"/>
          <w:highlight w:val="none"/>
          <w:shd w:val="clear" w:color="auto" w:fill="ffffff"/>
        </w:rPr>
        <w:t xml:space="preserve"> </w:t>
      </w:r>
      <w:r/>
    </w:p>
    <w:p>
      <w:pPr>
        <w:pStyle w:val="927"/>
        <w:ind w:firstLine="0"/>
        <w:jc w:val="center"/>
        <w:spacing w:line="360" w:lineRule="auto"/>
        <w:rPr>
          <w:rFonts w:ascii="宋体" w:hAnsi="宋体" w:cs="宋体"/>
          <w:color w:val="auto"/>
          <w:highlight w:val="none"/>
        </w:rPr>
      </w:pPr>
      <w:r>
        <w:rPr>
          <w:rFonts w:ascii="宋体" w:hAnsi="宋体" w:cs="宋体"/>
          <w:color w:val="auto"/>
          <w:highlight w:val="none"/>
        </w:rPr>
      </w:r>
      <w:r/>
    </w:p>
    <w:p>
      <w:pPr>
        <w:ind w:firstLine="2249"/>
        <w:spacing w:line="360" w:lineRule="auto"/>
        <w:rPr>
          <w:rFonts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采购编号：</w:t>
      </w:r>
      <w:r>
        <w:rPr>
          <w:rFonts w:ascii="宋体" w:hAnsi="宋体" w:eastAsia="宋体" w:cs="宋体"/>
          <w:b/>
          <w:bCs/>
          <w:color w:val="auto"/>
          <w:sz w:val="32"/>
          <w:szCs w:val="20"/>
          <w:highlight w:val="none"/>
          <w:shd w:val="clear" w:color="auto" w:fill="ffffff"/>
        </w:rPr>
        <w:t xml:space="preserve">JSZC-320500-SZCH-G2026-0054</w:t>
      </w:r>
      <w:r/>
    </w:p>
    <w:p>
      <w:pPr>
        <w:ind w:firstLine="2249"/>
        <w:spacing w:line="360" w:lineRule="auto"/>
        <w:tabs>
          <w:tab w:val="left" w:pos="8820" w:leader="none"/>
        </w:tabs>
        <w:rPr>
          <w:rFonts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 购 人：苏州大学</w:t>
      </w:r>
      <w:r/>
    </w:p>
    <w:p>
      <w:pPr>
        <w:ind w:firstLine="2249"/>
        <w:spacing w:line="360" w:lineRule="auto"/>
        <w:rPr>
          <w:rFonts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采购内容：单细胞原位组学分析</w:t>
      </w:r>
      <w:r/>
    </w:p>
    <w:p>
      <w:pPr>
        <w:ind w:firstLine="2249"/>
        <w:spacing w:line="360" w:lineRule="auto"/>
        <w:rPr>
          <w:rFonts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采购类别：货物类</w:t>
      </w:r>
      <w:r/>
    </w:p>
    <w:p>
      <w:pPr>
        <w:pStyle w:val="762"/>
        <w:ind w:left="0" w:firstLine="0"/>
        <w:jc w:val="center"/>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26"/>
          <w:szCs w:val="26"/>
          <w:highlight w:val="none"/>
          <w:shd w:val="clear" w:color="auto" w:fill="ffffff"/>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5" o:title=""/>
              </v:shape>
            </w:pict>
          </mc:Fallback>
        </mc:AlternateContent>
      </w:r>
      <w:r/>
    </w:p>
    <w:p>
      <w:pPr>
        <w:pStyle w:val="762"/>
        <w:ind w:left="0" w:firstLine="0"/>
        <w:jc w:val="center"/>
        <w:rPr>
          <w:rFonts w:ascii="宋体" w:hAnsi="宋体" w:eastAsia="宋体" w:cs="宋体"/>
          <w:color w:val="auto"/>
          <w:highlight w:val="none"/>
        </w:rPr>
      </w:pPr>
      <w:r>
        <w:rPr>
          <w:rFonts w:ascii="宋体" w:hAnsi="宋体" w:eastAsia="宋体" w:cs="宋体"/>
          <w:color w:val="auto"/>
          <w:highlight w:val="none"/>
        </w:rPr>
      </w:r>
      <w:r/>
    </w:p>
    <w:p>
      <w:pPr>
        <w:pStyle w:val="762"/>
        <w:ind w:left="0" w:firstLine="0"/>
        <w:jc w:val="center"/>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26"/>
          <w:szCs w:val="26"/>
          <w:highlight w:val="none"/>
          <w:shd w:val="clear" w:color="auto" w:fill="ffffff"/>
        </w:rPr>
      </w:pPr>
      <w:r>
        <w:rPr>
          <w:rFonts w:hint="eastAsia" w:ascii="宋体" w:hAnsi="宋体" w:eastAsia="宋体" w:cs="宋体"/>
          <w:b/>
          <w:color w:val="auto"/>
          <w:sz w:val="32"/>
          <w:highlight w:val="none"/>
        </w:rPr>
        <w:t xml:space="preserve">苏州诚和招投标咨询有限公司</w:t>
      </w:r>
      <w:r/>
    </w:p>
    <w:p>
      <w:pPr>
        <w:jc w:val="center"/>
        <w:spacing w:line="360" w:lineRule="auto"/>
        <w:rPr>
          <w:rFonts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t xml:space="preserve">二○二六年十月</w:t>
      </w:r>
      <w:r/>
    </w:p>
    <w:p>
      <w:pPr>
        <w:jc w:val="center"/>
        <w:spacing w:line="360" w:lineRule="auto"/>
        <w:rPr>
          <w:rFonts w:ascii="宋体" w:hAnsi="宋体" w:eastAsia="宋体" w:cs="宋体"/>
          <w:b/>
          <w:color w:val="auto"/>
          <w:sz w:val="32"/>
          <w:szCs w:val="32"/>
          <w:highlight w:val="none"/>
          <w:shd w:val="clear" w:color="auto" w:fill="ffffff"/>
        </w:rPr>
      </w:pPr>
      <w:r>
        <w:rPr>
          <w:rFonts w:ascii="宋体" w:hAnsi="宋体" w:eastAsia="宋体" w:cs="宋体"/>
          <w:b/>
          <w:color w:val="auto"/>
          <w:sz w:val="32"/>
          <w:szCs w:val="32"/>
          <w:highlight w:val="none"/>
          <w:shd w:val="clear" w:color="auto" w:fill="ffffff"/>
        </w:rPr>
      </w:r>
      <w:r/>
    </w:p>
    <w:p>
      <w:pPr>
        <w:jc w:val="center"/>
        <w:spacing w:line="360" w:lineRule="auto"/>
        <w:rPr>
          <w:rFonts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br w:type="page" w:clear="all"/>
      </w:r>
      <w:r>
        <w:rPr>
          <w:rFonts w:hint="eastAsia" w:ascii="宋体" w:hAnsi="宋体" w:eastAsia="宋体" w:cs="宋体"/>
          <w:b/>
          <w:color w:val="auto"/>
          <w:sz w:val="32"/>
          <w:szCs w:val="32"/>
          <w:highlight w:val="none"/>
          <w:shd w:val="clear" w:color="auto" w:fill="ffffff"/>
        </w:rPr>
        <w:t xml:space="preserve">前附表</w:t>
      </w:r>
      <w:r/>
    </w:p>
    <w:tbl>
      <w:tblPr>
        <w:tblStyle w:val="720"/>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序号</w:t>
            </w:r>
            <w:r/>
          </w:p>
        </w:tc>
        <w:tc>
          <w:tcPr>
            <w:tcW w:w="9144" w:type="dxa"/>
            <w:vAlign w:val="center"/>
            <w:textDirection w:val="lrTb"/>
            <w:noWrap w:val="false"/>
          </w:tcPr>
          <w:p>
            <w:pPr>
              <w:jc w:val="center"/>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9144" w:type="dxa"/>
            <w:vAlign w:val="center"/>
            <w:textDirection w:val="lrTb"/>
            <w:noWrap w:val="false"/>
          </w:tcPr>
          <w:p>
            <w:pP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采购内容：单细胞原位组学分析</w:t>
            </w:r>
            <w:r/>
          </w:p>
        </w:tc>
      </w:tr>
      <w:tr>
        <w:trPr>
          <w:jc w:val="center"/>
          <w:trHeight w:val="373"/>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w:t>
            </w:r>
            <w:r/>
          </w:p>
        </w:tc>
        <w:tc>
          <w:tcPr>
            <w:tcW w:w="9144" w:type="dxa"/>
            <w:vAlign w:val="center"/>
            <w:textDirection w:val="lrTb"/>
            <w:noWrap w:val="false"/>
          </w:tcPr>
          <w:p>
            <w:pP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投标有效期：自投标截止日起</w:t>
            </w:r>
            <w:r>
              <w:rPr>
                <w:rFonts w:hint="eastAsia" w:ascii="宋体" w:hAnsi="宋体" w:eastAsia="宋体" w:cs="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w:t>
            </w:r>
            <w:r/>
          </w:p>
        </w:tc>
        <w:tc>
          <w:tcPr>
            <w:tcW w:w="9144" w:type="dxa"/>
            <w:vAlign w:val="center"/>
            <w:textDirection w:val="lrTb"/>
            <w:noWrap w:val="false"/>
          </w:tcPr>
          <w:p>
            <w:pP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投标保证金：</w:t>
            </w:r>
            <w:r/>
          </w:p>
          <w:p>
            <w:pPr>
              <w:rPr>
                <w:rFonts w:ascii="宋体" w:hAnsi="宋体" w:eastAsia="宋体" w:cs="宋体"/>
                <w:color w:val="auto"/>
                <w:szCs w:val="21"/>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color w:val="auto"/>
                <w:szCs w:val="21"/>
                <w:highlight w:val="none"/>
                <w:shd w:val="clear" w:color="auto" w:fill="ffffff"/>
              </w:rPr>
              <w:t xml:space="preserve">不需提交，招标文件中有关投标保证金的规定均不适用。</w:t>
            </w:r>
            <w:r/>
          </w:p>
          <w:p>
            <w:pPr>
              <w:pStyle w:val="730"/>
              <w:ind w:left="0"/>
              <w:spacing w:line="240" w:lineRule="auto"/>
              <w:rPr>
                <w:rFonts w:ascii="宋体" w:hAnsi="宋体" w:eastAsia="宋体" w:cs="宋体"/>
                <w:color w:val="auto"/>
                <w:highlight w:val="none"/>
              </w:rPr>
            </w:pPr>
            <w:r>
              <w:rPr>
                <w:rFonts w:ascii="Wingdings" w:hAnsi="Wingdings" w:eastAsia="Wingdings" w:cs="Wingdings"/>
                <w:bCs/>
                <w:color w:val="auto"/>
                <w:szCs w:val="24"/>
                <w:highlight w:val="none"/>
              </w:rPr>
              <w:t xml:space="preserve"></w:t>
            </w:r>
            <w:r>
              <w:rPr>
                <w:rFonts w:hint="eastAsia" w:ascii="宋体" w:hAnsi="宋体" w:eastAsia="宋体" w:cs="宋体"/>
                <w:color w:val="auto"/>
                <w:sz w:val="21"/>
                <w:szCs w:val="21"/>
                <w:highlight w:val="none"/>
                <w:shd w:val="clear" w:color="auto" w:fill="ffffff"/>
              </w:rPr>
              <w:t xml:space="preserve">需提交，投标保证金金额： 元整。</w:t>
            </w:r>
            <w:r/>
          </w:p>
        </w:tc>
      </w:tr>
      <w:tr>
        <w:trPr>
          <w:jc w:val="center"/>
          <w:trHeight w:val="518"/>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w:t>
            </w:r>
            <w:r/>
          </w:p>
        </w:tc>
        <w:tc>
          <w:tcPr>
            <w:tcW w:w="9144" w:type="dxa"/>
            <w:vAlign w:val="center"/>
            <w:textDirection w:val="lrTb"/>
            <w:noWrap w:val="false"/>
          </w:tcPr>
          <w:p>
            <w:pPr>
              <w:rPr>
                <w:rFonts w:ascii="宋体" w:hAnsi="宋体" w:eastAsia="宋体" w:cs="宋体"/>
                <w:color w:val="auto"/>
                <w:highlight w:val="none"/>
              </w:rPr>
            </w:pPr>
            <w:r>
              <w:rPr>
                <w:rFonts w:hint="eastAsia" w:ascii="宋体" w:hAnsi="宋体" w:eastAsia="宋体" w:cs="宋体"/>
                <w:color w:val="auto"/>
                <w:szCs w:val="21"/>
                <w:highlight w:val="none"/>
                <w:shd w:val="clear" w:color="auto" w:fill="ffffff"/>
              </w:rPr>
              <w:t xml:space="preserve">投标文件：</w:t>
            </w:r>
            <w:r>
              <w:rPr>
                <w:rFonts w:hint="eastAsia" w:ascii="宋体" w:hAnsi="宋体" w:eastAsia="宋体" w:cs="宋体"/>
                <w:b/>
                <w:bCs/>
                <w:color w:val="auto"/>
                <w:szCs w:val="21"/>
                <w:highlight w:val="none"/>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w:t>
            </w:r>
            <w:r/>
          </w:p>
        </w:tc>
        <w:tc>
          <w:tcPr>
            <w:tcW w:w="9144" w:type="dxa"/>
            <w:vAlign w:val="center"/>
            <w:textDirection w:val="lrTb"/>
            <w:noWrap w:val="false"/>
          </w:tcPr>
          <w:p>
            <w:pPr>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开标信息</w:t>
            </w:r>
            <w:r/>
          </w:p>
          <w:p>
            <w:pPr>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投标截止时间：</w:t>
            </w:r>
            <w:r>
              <w:rPr>
                <w:rFonts w:hint="eastAsia" w:ascii="宋体" w:hAnsi="宋体" w:eastAsia="宋体" w:cs="宋体"/>
                <w:color w:val="auto"/>
                <w:szCs w:val="21"/>
                <w:highlight w:val="none"/>
                <w:shd w:val="clear" w:color="auto" w:fill="ffffff"/>
                <w:lang w:eastAsia="zh-CN"/>
              </w:rPr>
              <w:t xml:space="preserve">2026年11月12日</w:t>
            </w:r>
            <w:r>
              <w:rPr>
                <w:rFonts w:hint="eastAsia" w:ascii="宋体" w:hAnsi="宋体" w:eastAsia="宋体" w:cs="宋体"/>
                <w:color w:val="auto"/>
                <w:szCs w:val="21"/>
                <w:highlight w:val="none"/>
                <w:shd w:val="clear" w:color="auto" w:fill="ffffff"/>
                <w:lang w:val="en-US" w:eastAsia="zh-CN"/>
              </w:rPr>
              <w:t xml:space="preserve">13</w:t>
            </w:r>
            <w:r>
              <w:rPr>
                <w:rFonts w:hint="eastAsia" w:ascii="宋体" w:hAnsi="宋体" w:eastAsia="宋体" w:cs="宋体"/>
                <w:color w:val="auto"/>
                <w:szCs w:val="21"/>
                <w:highlight w:val="none"/>
                <w:shd w:val="clear" w:color="auto" w:fill="ffffff"/>
              </w:rPr>
              <w:t xml:space="preserve">点30分（北京时间）</w:t>
            </w:r>
            <w:r/>
          </w:p>
          <w:p>
            <w:pPr>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开标时间：</w:t>
            </w:r>
            <w:r>
              <w:rPr>
                <w:rFonts w:hint="eastAsia" w:ascii="宋体" w:hAnsi="宋体" w:eastAsia="宋体" w:cs="宋体"/>
                <w:color w:val="auto"/>
                <w:szCs w:val="21"/>
                <w:highlight w:val="none"/>
                <w:shd w:val="clear" w:color="auto" w:fill="ffffff"/>
                <w:lang w:eastAsia="zh-CN"/>
              </w:rPr>
              <w:t xml:space="preserve">2026年11月12日</w:t>
            </w:r>
            <w:r>
              <w:rPr>
                <w:rFonts w:hint="eastAsia" w:ascii="宋体" w:hAnsi="宋体" w:eastAsia="宋体" w:cs="宋体"/>
                <w:color w:val="auto"/>
                <w:szCs w:val="21"/>
                <w:highlight w:val="none"/>
                <w:shd w:val="clear" w:color="auto" w:fill="ffffff"/>
                <w:lang w:val="en-US" w:eastAsia="zh-CN"/>
              </w:rPr>
              <w:t xml:space="preserve">13</w:t>
            </w:r>
            <w:r>
              <w:rPr>
                <w:rFonts w:hint="eastAsia" w:ascii="宋体" w:hAnsi="宋体" w:eastAsia="宋体" w:cs="宋体"/>
                <w:color w:val="auto"/>
                <w:szCs w:val="21"/>
                <w:highlight w:val="none"/>
                <w:shd w:val="clear" w:color="auto" w:fill="ffffff"/>
              </w:rPr>
              <w:t xml:space="preserve">点30分（北京时间）</w:t>
            </w:r>
            <w:r/>
          </w:p>
          <w:p>
            <w:pPr>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开标地点：“苏采云”系统（网址：http://jszfcg.jsczt.cn/）</w:t>
            </w:r>
            <w:r/>
          </w:p>
          <w:p>
            <w:pPr>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w:t>
            </w:r>
            <w:r/>
          </w:p>
        </w:tc>
        <w:tc>
          <w:tcPr>
            <w:tcW w:w="9144" w:type="dxa"/>
            <w:vAlign w:val="center"/>
            <w:textDirection w:val="lrTb"/>
            <w:noWrap w:val="false"/>
          </w:tcPr>
          <w:p>
            <w:pPr>
              <w:ind w:right="-159"/>
              <w:jc w:val="left"/>
              <w:widowControl/>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履约保证金：</w:t>
            </w:r>
            <w:r/>
          </w:p>
          <w:p>
            <w:pPr>
              <w:jc w:val="left"/>
              <w:rPr>
                <w:rFonts w:ascii="宋体" w:hAnsi="宋体" w:eastAsia="宋体" w:cs="宋体"/>
                <w:color w:val="auto"/>
                <w:szCs w:val="21"/>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color w:val="auto"/>
                <w:szCs w:val="21"/>
                <w:highlight w:val="none"/>
                <w:shd w:val="clear" w:color="auto" w:fill="ffffff"/>
              </w:rPr>
              <w:t xml:space="preserve">不需提交，招标文件中有关履约保证金的规定均不适用。</w:t>
            </w:r>
            <w:r/>
          </w:p>
          <w:p>
            <w:pPr>
              <w:ind w:right="-159"/>
              <w:jc w:val="left"/>
              <w:widowControl/>
              <w:rPr>
                <w:rFonts w:ascii="宋体" w:hAnsi="宋体" w:eastAsia="宋体" w:cs="宋体"/>
                <w:color w:val="auto"/>
                <w:szCs w:val="21"/>
                <w:highlight w:val="none"/>
                <w:shd w:val="clear" w:color="auto" w:fill="ffffff"/>
              </w:rPr>
            </w:pPr>
            <w:r>
              <w:rPr>
                <w:rFonts w:ascii="Wingdings" w:hAnsi="Wingdings" w:eastAsia="Wingdings" w:cs="Wingdings"/>
                <w:bCs/>
                <w:color w:val="auto"/>
                <w:sz w:val="24"/>
                <w:szCs w:val="24"/>
                <w:highlight w:val="none"/>
              </w:rPr>
              <w:t xml:space="preserve">þ</w:t>
            </w:r>
            <w:r>
              <w:rPr>
                <w:rFonts w:hint="eastAsia" w:ascii="宋体" w:hAnsi="宋体" w:eastAsia="宋体" w:cs="宋体"/>
                <w:color w:val="auto"/>
                <w:szCs w:val="21"/>
                <w:highlight w:val="none"/>
                <w:shd w:val="clear" w:color="auto" w:fill="ffffff"/>
              </w:rPr>
              <w:t xml:space="preserve">需提交，中标合同金额的 10 %。</w:t>
            </w:r>
            <w:r/>
          </w:p>
        </w:tc>
      </w:tr>
      <w:tr>
        <w:trPr>
          <w:jc w:val="center"/>
          <w:trHeight w:val="3711"/>
        </w:trPr>
        <w:tc>
          <w:tcPr>
            <w:tcW w:w="664" w:type="dxa"/>
            <w:vAlign w:val="center"/>
            <w:textDirection w:val="lrTb"/>
            <w:noWrap w:val="false"/>
          </w:tcPr>
          <w:p>
            <w:pPr>
              <w:ind w:right="18"/>
              <w:jc w:val="center"/>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9144" w:type="dxa"/>
            <w:vAlign w:val="center"/>
            <w:textDirection w:val="lrTb"/>
            <w:noWrap w:val="false"/>
          </w:tcPr>
          <w:p>
            <w:pP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 xml:space="preserve">代理服务费：</w:t>
            </w:r>
            <w:r/>
          </w:p>
          <w:p>
            <w:pPr>
              <w:rPr>
                <w:rFonts w:ascii="宋体" w:hAnsi="宋体" w:eastAsia="宋体" w:cs="宋体"/>
                <w:color w:val="auto"/>
                <w:szCs w:val="21"/>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color w:val="auto"/>
                <w:szCs w:val="21"/>
                <w:highlight w:val="none"/>
              </w:rPr>
              <w:t xml:space="preserve">由采购人承担并直接支付</w:t>
            </w:r>
            <w:r>
              <w:rPr>
                <w:rFonts w:hint="eastAsia" w:ascii="宋体" w:hAnsi="宋体" w:eastAsia="宋体" w:cs="宋体"/>
                <w:color w:val="auto"/>
                <w:szCs w:val="21"/>
                <w:highlight w:val="none"/>
                <w:shd w:val="clear" w:color="auto" w:fill="ffffff"/>
              </w:rPr>
              <w:t xml:space="preserve">，采购文件中有关代理服务费的规定均不适用。</w:t>
            </w:r>
            <w:r/>
          </w:p>
          <w:p>
            <w:pPr>
              <w:ind w:right="18"/>
              <w:jc w:val="left"/>
              <w:tabs>
                <w:tab w:val="left" w:pos="720" w:leader="none"/>
              </w:tabs>
              <w:rPr>
                <w:rFonts w:ascii="宋体" w:hAnsi="宋体" w:eastAsia="宋体" w:cs="宋体"/>
                <w:color w:val="auto"/>
                <w:szCs w:val="21"/>
                <w:highlight w:val="none"/>
              </w:rPr>
            </w:pPr>
            <w:r>
              <w:rPr>
                <w:rFonts w:ascii="Wingdings" w:hAnsi="Wingdings" w:eastAsia="Wingdings" w:cs="Wingdings"/>
                <w:bCs/>
                <w:color w:val="auto"/>
                <w:sz w:val="24"/>
                <w:szCs w:val="24"/>
                <w:highlight w:val="none"/>
              </w:rPr>
              <w:t xml:space="preserve"></w:t>
            </w:r>
            <w:r>
              <w:rPr>
                <w:rFonts w:hint="eastAsia" w:ascii="宋体" w:hAnsi="宋体" w:eastAsia="宋体" w:cs="宋体"/>
                <w:color w:val="auto"/>
                <w:szCs w:val="21"/>
                <w:highlight w:val="none"/>
              </w:rPr>
              <w:t xml:space="preserve">由中标（成交）供应商承担并支付：</w:t>
            </w:r>
            <w:r/>
          </w:p>
          <w:p>
            <w:pPr>
              <w:ind w:right="18"/>
              <w:jc w:val="left"/>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本项目代理服务费：</w:t>
            </w:r>
            <w:r>
              <w:rPr>
                <w:rFonts w:hint="eastAsia" w:ascii="宋体" w:hAnsi="宋体" w:eastAsia="宋体" w:cs="宋体"/>
                <w:color w:val="auto"/>
                <w:sz w:val="24"/>
                <w:szCs w:val="20"/>
                <w:highlight w:val="none"/>
              </w:rPr>
              <w:t xml:space="preserve">¥</w:t>
            </w:r>
            <w:r>
              <w:rPr>
                <w:rFonts w:hint="eastAsia" w:ascii="宋体" w:hAnsi="宋体" w:eastAsia="宋体" w:cs="宋体"/>
                <w:color w:val="auto"/>
                <w:szCs w:val="21"/>
                <w:highlight w:val="none"/>
              </w:rPr>
              <w:t xml:space="preserve">16,520.00元</w:t>
            </w:r>
            <w:r/>
          </w:p>
          <w:p>
            <w:pPr>
              <w:ind w:right="18"/>
              <w:jc w:val="left"/>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付款方式：银行转账、现金解款</w:t>
            </w:r>
            <w:r/>
          </w:p>
          <w:p>
            <w:pPr>
              <w:ind w:right="18"/>
              <w:jc w:val="left"/>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服务费收款账号：8314122601346</w:t>
            </w:r>
            <w:r/>
          </w:p>
          <w:p>
            <w:pPr>
              <w:ind w:right="18"/>
              <w:jc w:val="left"/>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账户名：苏州诚和招投标咨询有限公司</w:t>
            </w:r>
            <w:r/>
          </w:p>
          <w:p>
            <w:pPr>
              <w:ind w:right="18"/>
              <w:jc w:val="left"/>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8</w:t>
            </w:r>
            <w:r/>
          </w:p>
        </w:tc>
        <w:tc>
          <w:tcPr>
            <w:tcW w:w="9144" w:type="dxa"/>
            <w:vAlign w:val="center"/>
            <w:textDirection w:val="lrTb"/>
            <w:noWrap w:val="false"/>
          </w:tcPr>
          <w:p>
            <w:pP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政府采购监督电话：025-83633058</w:t>
            </w:r>
            <w:r/>
          </w:p>
        </w:tc>
      </w:tr>
    </w:tbl>
    <w:p>
      <w:pPr>
        <w:jc w:val="center"/>
        <w:spacing w:line="360" w:lineRule="auto"/>
        <w:rPr>
          <w:rFonts w:ascii="宋体" w:hAnsi="宋体" w:eastAsia="宋体" w:cs="宋体"/>
          <w:color w:val="auto"/>
          <w:sz w:val="52"/>
          <w:szCs w:val="52"/>
          <w:highlight w:val="none"/>
          <w:shd w:val="clear" w:color="auto" w:fill="ffffff"/>
        </w:rPr>
      </w:pPr>
      <w:r>
        <w:rPr>
          <w:rFonts w:hint="eastAsia" w:ascii="宋体" w:hAnsi="宋体" w:eastAsia="宋体" w:cs="宋体"/>
          <w:color w:val="auto"/>
          <w:sz w:val="52"/>
          <w:szCs w:val="52"/>
          <w:highlight w:val="none"/>
          <w:shd w:val="clear" w:color="auto" w:fill="ffffff"/>
        </w:rPr>
        <w:br w:type="page" w:clear="all"/>
      </w:r>
      <w:r/>
    </w:p>
    <w:p>
      <w:pPr>
        <w:jc w:val="center"/>
        <w:spacing w:line="360" w:lineRule="auto"/>
        <w:rPr>
          <w:rFonts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t xml:space="preserve">总目录</w:t>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b/>
          <w:bCs/>
          <w:color w:val="auto"/>
          <w:sz w:val="24"/>
          <w:szCs w:val="24"/>
          <w:highlight w:val="none"/>
          <w:shd w:val="clear" w:color="auto" w:fill="ffffff"/>
        </w:rPr>
        <w:fldChar w:fldCharType="begin"/>
      </w:r>
      <w:r>
        <w:rPr>
          <w:rFonts w:hint="eastAsia" w:ascii="宋体" w:hAnsi="宋体" w:eastAsia="宋体" w:cs="宋体"/>
          <w:b/>
          <w:bCs/>
          <w:color w:val="auto"/>
          <w:sz w:val="24"/>
          <w:szCs w:val="24"/>
          <w:highlight w:val="none"/>
          <w:shd w:val="clear" w:color="auto" w:fill="ffffff"/>
        </w:rPr>
        <w:instrText xml:space="preserve"> TOC \o "1-1"</w:instrText>
      </w:r>
      <w:r>
        <w:rPr>
          <w:rFonts w:hint="eastAsia" w:ascii="宋体" w:hAnsi="宋体" w:eastAsia="宋体" w:cs="宋体"/>
          <w:b/>
          <w:bCs/>
          <w:color w:val="auto"/>
          <w:sz w:val="24"/>
          <w:szCs w:val="24"/>
          <w:highlight w:val="none"/>
          <w:shd w:val="clear" w:color="auto" w:fill="ffffff"/>
        </w:rPr>
        <w:fldChar w:fldCharType="separate"/>
      </w:r>
      <w:r>
        <w:rPr>
          <w:rFonts w:hint="eastAsia" w:ascii="宋体" w:hAnsi="宋体" w:eastAsia="宋体" w:cs="宋体"/>
          <w:color w:val="auto"/>
          <w:sz w:val="24"/>
          <w:szCs w:val="20"/>
          <w:highlight w:val="none"/>
          <w:shd w:val="clear" w:color="auto" w:fill="ffffff"/>
        </w:rPr>
        <w:t xml:space="preserve">第一章 投标邀请函</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_Toc105940237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第二章 供应商须知</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_Toc105940238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8</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第三章 投标文件格式</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_Toc105940239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25</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第四章 招标书</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_Toc105940240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43</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第五章 合同主要条款</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_Toc105940241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52</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第六章 评分标准</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_Toc105940242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59</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第七章 附件</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_Toc105940243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62</w:t>
      </w:r>
      <w:r>
        <w:rPr>
          <w:rFonts w:hint="eastAsia" w:ascii="宋体" w:hAnsi="宋体" w:eastAsia="宋体" w:cs="宋体"/>
          <w:color w:val="auto"/>
          <w:sz w:val="24"/>
          <w:szCs w:val="20"/>
          <w:highlight w:val="none"/>
        </w:rPr>
        <w:fldChar w:fldCharType="end"/>
      </w:r>
      <w:r/>
    </w:p>
    <w:p>
      <w:pPr>
        <w:spacing w:line="360" w:lineRule="auto"/>
        <w:rPr>
          <w:rFonts w:ascii="宋体" w:hAnsi="宋体" w:eastAsia="宋体" w:cs="宋体"/>
          <w:b/>
          <w:color w:val="auto"/>
          <w:sz w:val="32"/>
          <w:szCs w:val="20"/>
          <w:highlight w:val="none"/>
          <w:shd w:val="clear" w:color="auto" w:fill="ffffff"/>
        </w:rPr>
      </w:pPr>
      <w:r>
        <w:rPr>
          <w:rFonts w:hint="eastAsia" w:ascii="宋体" w:hAnsi="宋体" w:eastAsia="宋体" w:cs="宋体"/>
          <w:bCs/>
          <w:color w:val="auto"/>
          <w:sz w:val="24"/>
          <w:szCs w:val="24"/>
          <w:highlight w:val="none"/>
          <w:shd w:val="clear" w:color="auto" w:fill="ffffff"/>
        </w:rPr>
        <w:fldChar w:fldCharType="end"/>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tabs>
          <w:tab w:val="left" w:pos="6398" w:leader="none"/>
        </w:tabs>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ab/>
      </w:r>
      <w:r/>
    </w:p>
    <w:p>
      <w:pPr>
        <w:spacing w:line="360" w:lineRule="auto"/>
        <w:rPr>
          <w:rFonts w:ascii="宋体" w:hAnsi="宋体" w:eastAsia="宋体" w:cs="宋体"/>
          <w:b/>
          <w:color w:val="auto"/>
          <w:sz w:val="30"/>
          <w:szCs w:val="3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spacing w:line="360" w:lineRule="auto"/>
        <w:rPr>
          <w:rFonts w:ascii="宋体" w:hAnsi="宋体" w:eastAsia="宋体" w:cs="宋体"/>
          <w:b/>
          <w:color w:val="auto"/>
          <w:sz w:val="30"/>
          <w:szCs w:val="30"/>
          <w:highlight w:val="none"/>
          <w:shd w:val="clear" w:color="auto" w:fill="ffffff"/>
        </w:rPr>
      </w:pPr>
      <w:r>
        <w:rPr>
          <w:rFonts w:ascii="宋体" w:hAnsi="宋体" w:eastAsia="宋体" w:cs="宋体"/>
          <w:b/>
          <w:color w:val="auto"/>
          <w:sz w:val="30"/>
          <w:szCs w:val="30"/>
          <w:highlight w:val="none"/>
          <w:shd w:val="clear" w:color="auto" w:fill="ffffff"/>
        </w:rPr>
      </w:r>
      <w:r/>
    </w:p>
    <w:p>
      <w:pPr>
        <w:spacing w:line="360" w:lineRule="auto"/>
        <w:rPr>
          <w:rFonts w:ascii="宋体" w:hAnsi="宋体" w:eastAsia="宋体" w:cs="宋体"/>
          <w:b/>
          <w:color w:val="auto"/>
          <w:sz w:val="30"/>
          <w:szCs w:val="30"/>
          <w:highlight w:val="none"/>
          <w:shd w:val="clear" w:color="auto" w:fill="ffffff"/>
        </w:rPr>
      </w:pPr>
      <w:r>
        <w:rPr>
          <w:rFonts w:ascii="宋体" w:hAnsi="宋体" w:eastAsia="宋体" w:cs="宋体"/>
          <w:b/>
          <w:color w:val="auto"/>
          <w:sz w:val="30"/>
          <w:szCs w:val="30"/>
          <w:highlight w:val="none"/>
          <w:shd w:val="clear" w:color="auto" w:fill="ffffff"/>
        </w:rPr>
      </w:r>
      <w:r/>
    </w:p>
    <w:p>
      <w:pPr>
        <w:spacing w:line="360" w:lineRule="auto"/>
        <w:rPr>
          <w:rFonts w:ascii="宋体" w:hAnsi="宋体" w:eastAsia="宋体" w:cs="宋体"/>
          <w:b/>
          <w:color w:val="auto"/>
          <w:sz w:val="30"/>
          <w:szCs w:val="30"/>
          <w:highlight w:val="none"/>
          <w:shd w:val="clear" w:color="auto" w:fill="ffffff"/>
        </w:rPr>
      </w:pPr>
      <w:r>
        <w:rPr>
          <w:rFonts w:ascii="宋体" w:hAnsi="宋体" w:eastAsia="宋体" w:cs="宋体"/>
          <w:b/>
          <w:color w:val="auto"/>
          <w:sz w:val="30"/>
          <w:szCs w:val="30"/>
          <w:highlight w:val="none"/>
          <w:shd w:val="clear" w:color="auto" w:fill="ffffff"/>
        </w:rPr>
      </w:r>
      <w:r/>
    </w:p>
    <w:p>
      <w:pPr>
        <w:spacing w:line="360" w:lineRule="auto"/>
        <w:rPr>
          <w:rFonts w:ascii="宋体" w:hAnsi="宋体" w:eastAsia="宋体" w:cs="宋体"/>
          <w:b/>
          <w:color w:val="auto"/>
          <w:sz w:val="30"/>
          <w:szCs w:val="30"/>
          <w:highlight w:val="none"/>
          <w:shd w:val="clear" w:color="auto" w:fill="ffffff"/>
        </w:rPr>
      </w:pPr>
      <w:r>
        <w:rPr>
          <w:rFonts w:ascii="宋体" w:hAnsi="宋体" w:eastAsia="宋体" w:cs="宋体"/>
          <w:b/>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bookmarkStart w:id="0" w:name="_Toc105940237"/>
      <w:r>
        <w:rPr>
          <w:rFonts w:hint="eastAsia" w:ascii="宋体" w:hAnsi="宋体" w:eastAsia="宋体" w:cs="宋体"/>
          <w:b/>
          <w:color w:val="auto"/>
          <w:sz w:val="52"/>
          <w:szCs w:val="20"/>
          <w:highlight w:val="none"/>
          <w:shd w:val="clear" w:color="auto" w:fill="ffffff"/>
        </w:rPr>
        <w:t xml:space="preserve">第一章 投标邀请函</w:t>
      </w:r>
      <w:bookmarkEnd w:id="0"/>
      <w:r/>
      <w:r/>
    </w:p>
    <w:p>
      <w:pPr>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tbl>
      <w:tblPr>
        <w:tblStyle w:val="720"/>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项目概况：</w:t>
            </w:r>
            <w:r/>
          </w:p>
          <w:p>
            <w:pPr>
              <w:ind w:firstLine="480"/>
              <w:spacing w:line="360" w:lineRule="auto"/>
              <w:rPr>
                <w:rFonts w:ascii="宋体" w:hAnsi="宋体" w:eastAsia="宋体" w:cs="宋体"/>
                <w:color w:val="auto"/>
                <w:szCs w:val="21"/>
                <w:highlight w:val="none"/>
              </w:rPr>
            </w:pPr>
            <w:r>
              <w:rPr>
                <w:rFonts w:hint="eastAsia" w:ascii="宋体" w:hAnsi="宋体" w:eastAsia="宋体" w:cs="宋体"/>
                <w:color w:val="auto"/>
                <w:sz w:val="24"/>
                <w:highlight w:val="none"/>
              </w:rPr>
              <w:t xml:space="preserve">单细胞原位组学分析JSZC-320500-SZCH-G2026-0054的潜在投标人应在江苏省政府采购一体化平台“苏采云”系统自行免费下载招标（采购）文件，并于</w:t>
            </w:r>
            <w:r>
              <w:rPr>
                <w:rFonts w:hint="eastAsia" w:ascii="宋体" w:hAnsi="宋体" w:eastAsia="宋体" w:cs="宋体"/>
                <w:color w:val="auto"/>
                <w:sz w:val="24"/>
                <w:highlight w:val="none"/>
                <w:lang w:eastAsia="zh-CN"/>
              </w:rPr>
              <w:t xml:space="preserve">2026年11月12日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点30分（北京时间）前递交投标文件。</w:t>
            </w:r>
            <w:r/>
          </w:p>
        </w:tc>
      </w:tr>
    </w:tbl>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项目编号：JSZC-320500-SZCH-G2026-0054</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项目名称：单细胞原位组学分析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spacing w:line="360" w:lineRule="auto"/>
        <w:rPr>
          <w:rFonts w:ascii="宋体" w:hAnsi="宋体" w:eastAsia="宋体" w:cs="宋体"/>
          <w:color w:val="auto"/>
          <w:sz w:val="24"/>
          <w:szCs w:val="24"/>
          <w:highlight w:val="none"/>
        </w:rPr>
      </w:pPr>
      <w:r/>
      <w:bookmarkStart w:id="1" w:name="_Hlk193370935"/>
      <w:r>
        <w:rPr>
          <w:rFonts w:hint="eastAsia" w:ascii="宋体" w:hAnsi="宋体" w:eastAsia="宋体" w:cs="宋体"/>
          <w:color w:val="auto"/>
          <w:sz w:val="24"/>
          <w:szCs w:val="24"/>
          <w:highlight w:val="none"/>
        </w:rPr>
        <w:t xml:space="preserve">预算金额：</w:t>
      </w:r>
      <w:bookmarkEnd w:id="1"/>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人民币（大写）：伍佰万元整</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人民币（小写）：¥5,000,000.00</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人民币（大写）：伍佰万元整</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人民币（小写）：¥5,000,000.00</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采购需求：单细胞原位组学分析1套。本项目接受进口产品投标。具体采购需求详见招标文件。</w:t>
      </w:r>
      <w:r/>
    </w:p>
    <w:p>
      <w:pPr>
        <w:ind w:firstLine="480"/>
        <w:spacing w:line="360" w:lineRule="auto"/>
        <w:tabs>
          <w:tab w:val="left" w:pos="903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合同履行期限：中标供应商应当在合同签订后5个月内将货物运送至采购人指定实验室（采购方另行约定的时间除外，但最迟不得晚于2027年3月31日）。</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本项目（是/否）接受联合体：否。</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pStyle w:val="723"/>
        <w:ind w:firstLine="480"/>
        <w:spacing w:line="360" w:lineRule="auto"/>
        <w:rPr>
          <w:rFonts w:ascii="宋体" w:hAnsi="宋体" w:eastAsia="宋体" w:cs="宋体"/>
          <w:color w:val="auto"/>
          <w:szCs w:val="24"/>
          <w:highlight w:val="none"/>
        </w:rPr>
      </w:pPr>
      <w:r/>
      <w:bookmarkStart w:id="2" w:name="_Hlk193371023"/>
      <w:r>
        <w:rPr>
          <w:rFonts w:hint="eastAsia" w:ascii="宋体" w:hAnsi="宋体" w:eastAsia="宋体" w:cs="宋体"/>
          <w:color w:val="auto"/>
          <w:szCs w:val="24"/>
          <w:highlight w:val="none"/>
        </w:rPr>
        <w:t xml:space="preserve">1.具有独立承担民事责任的能力；</w:t>
      </w:r>
      <w:r/>
    </w:p>
    <w:p>
      <w:pPr>
        <w:pStyle w:val="723"/>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2.具有良好的商业信誉和健全的财务会计制度；</w:t>
      </w:r>
      <w:r/>
    </w:p>
    <w:p>
      <w:pPr>
        <w:pStyle w:val="723"/>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3.具有履行合同所必需的设备和专业技术能力；</w:t>
      </w:r>
      <w:r/>
    </w:p>
    <w:p>
      <w:pPr>
        <w:pStyle w:val="723"/>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4.有依法缴纳税收和社会保障资金的良好记录；</w:t>
      </w:r>
      <w:r/>
    </w:p>
    <w:p>
      <w:pPr>
        <w:pStyle w:val="723"/>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5.参加政府采购活动前三年内，在经营活动中没有重大违法记录；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bookmarkEnd w:id="2"/>
      <w:r/>
      <w:r/>
    </w:p>
    <w:p>
      <w:pPr>
        <w:pStyle w:val="758"/>
        <w:ind w:firstLine="480"/>
        <w:spacing w:before="0" w:beforeAutospacing="0" w:after="0" w:afterAutospacing="0" w:line="360" w:lineRule="auto"/>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（二）落实政府采购政策需满足的资格要求：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1、未被“信用中国”网站（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）列入失信被执行人、重大税收违法案件当事人名单、政府采购严重失信行为记录名单。</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2、具有所投产品的合法代理资格（所投产品为国产产品的可不提供）。</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ind w:firstLine="480"/>
        <w:spacing w:line="360" w:lineRule="auto"/>
        <w:rPr>
          <w:rFonts w:ascii="宋体" w:hAnsi="宋体" w:eastAsia="宋体" w:cs="宋体"/>
          <w:color w:val="auto"/>
          <w:sz w:val="24"/>
          <w:szCs w:val="24"/>
          <w:highlight w:val="none"/>
        </w:rPr>
      </w:pPr>
      <w:r/>
      <w:bookmarkStart w:id="3" w:name="_Hlk97035982"/>
      <w:r>
        <w:rPr>
          <w:rFonts w:hint="eastAsia" w:ascii="宋体" w:hAnsi="宋体" w:eastAsia="宋体" w:cs="宋体"/>
          <w:color w:val="auto"/>
          <w:sz w:val="24"/>
          <w:szCs w:val="24"/>
          <w:highlight w:val="none"/>
        </w:rPr>
        <w:t xml:space="preserve">1、时间：自招标公告发布之日起</w:t>
      </w:r>
      <w:r>
        <w:rPr>
          <w:rFonts w:hint="eastAsia" w:ascii="宋体" w:hAnsi="宋体" w:eastAsia="宋体" w:cs="宋体"/>
          <w:color w:val="auto"/>
          <w:sz w:val="24"/>
          <w:szCs w:val="24"/>
          <w:highlight w:val="none"/>
          <w:shd w:val="clear" w:color="auto" w:fill="ffffff"/>
        </w:rPr>
        <w:t xml:space="preserve">5个工作日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shd w:val="clear" w:color="auto" w:fill="ffffff"/>
        </w:rPr>
        <w:t xml:space="preserve">地点：江苏省政府采购一体化平台“苏采云”系统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4" w:name="_Hlk193371285"/>
      <w:r>
        <w:rPr>
          <w:rFonts w:hint="eastAsia" w:ascii="宋体" w:hAnsi="宋体" w:eastAsia="宋体" w:cs="宋体"/>
          <w:color w:val="auto"/>
          <w:sz w:val="24"/>
          <w:szCs w:val="24"/>
          <w:highlight w:val="none"/>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4、售价：0.00元</w:t>
      </w:r>
      <w:bookmarkEnd w:id="3"/>
      <w:r/>
      <w:r/>
    </w:p>
    <w:p>
      <w:pPr>
        <w:ind w:firstLine="48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2026年11月12日</w:t>
      </w:r>
      <w:r>
        <w:rPr>
          <w:rFonts w:hint="eastAsia" w:ascii="宋体" w:hAnsi="宋体" w:eastAsia="宋体" w:cs="宋体"/>
          <w:color w:val="auto"/>
          <w:sz w:val="24"/>
          <w:szCs w:val="24"/>
          <w:highlight w:val="none"/>
          <w:lang w:val="en-US" w:eastAsia="zh-CN"/>
        </w:rPr>
        <w:t xml:space="preserve">13</w:t>
      </w:r>
      <w:bookmarkStart w:id="83" w:name="_GoBack"/>
      <w:r/>
      <w:bookmarkEnd w:id="83"/>
      <w:r>
        <w:rPr>
          <w:rFonts w:hint="eastAsia" w:ascii="宋体" w:hAnsi="宋体" w:eastAsia="宋体" w:cs="宋体"/>
          <w:color w:val="auto"/>
          <w:sz w:val="24"/>
          <w:szCs w:val="24"/>
          <w:highlight w:val="none"/>
        </w:rPr>
        <w:t xml:space="preserve">点30分（北京时间）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767"/>
          <w:rFonts w:hint="eastAsia" w:ascii="宋体" w:hAnsi="宋体" w:eastAsia="宋体" w:cs="宋体"/>
          <w:color w:val="auto"/>
          <w:sz w:val="24"/>
          <w:szCs w:val="24"/>
          <w:highlight w:val="none"/>
        </w:rPr>
        <w:t xml:space="preserve">http://jszfcg.jsczt.cn/）</w:t>
      </w:r>
      <w:r>
        <w:rPr>
          <w:rStyle w:val="767"/>
          <w:rFonts w:hint="eastAsia" w:ascii="宋体" w:hAnsi="宋体" w:eastAsia="宋体" w:cs="宋体"/>
          <w:color w:val="auto"/>
          <w:sz w:val="24"/>
          <w:szCs w:val="24"/>
          <w:highlight w:val="none"/>
        </w:rPr>
        <w:fldChar w:fldCharType="end"/>
      </w:r>
      <w:r/>
    </w:p>
    <w:p>
      <w:pPr>
        <w:ind w:firstLine="482"/>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五、公告期限：自本公告发布之日起5个工作日。</w:t>
      </w:r>
      <w:r/>
    </w:p>
    <w:p>
      <w:pPr>
        <w:ind w:firstLine="48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color w:val="auto"/>
          <w:sz w:val="24"/>
          <w:szCs w:val="24"/>
          <w:highlight w:val="none"/>
        </w:rPr>
      </w:pPr>
      <w:r/>
      <w:bookmarkStart w:id="5" w:name="_Hlk193371515"/>
      <w:r>
        <w:rPr>
          <w:rFonts w:hint="eastAsia" w:ascii="宋体" w:hAnsi="宋体" w:eastAsia="宋体" w:cs="宋体"/>
          <w:color w:val="auto"/>
          <w:sz w:val="24"/>
          <w:szCs w:val="24"/>
          <w:highlight w:val="none"/>
        </w:rPr>
        <w:t xml:space="preserve">4、CA证书办理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rPr>
        <w:t xml:space="preserve">苏州现场办理地址：</w:t>
      </w:r>
      <w:r>
        <w:rPr>
          <w:rFonts w:hint="eastAsia" w:ascii="宋体" w:hAnsi="宋体" w:eastAsia="宋体" w:cs="宋体"/>
          <w:color w:val="auto"/>
          <w:sz w:val="24"/>
          <w:szCs w:val="24"/>
          <w:highlight w:val="none"/>
          <w:shd w:val="clear" w:color="auto" w:fill="ffffff"/>
          <w:lang w:bidi="ar"/>
        </w:rPr>
        <w:t xml:space="preserve">苏州市高新区邓尉路105号狮山科技馆一楼服务大厅，咨询电话：0512-65737699。</w:t>
      </w:r>
      <w:bookmarkEnd w:id="5"/>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pPr>
      <w:r/>
      <w:bookmarkStart w:id="6" w:name="_Hlk193371550"/>
      <w:r>
        <w:rPr>
          <w:rFonts w:hint="eastAsia" w:ascii="宋体" w:hAnsi="宋体" w:eastAsia="宋体" w:cs="宋体"/>
          <w:color w:val="auto"/>
          <w:sz w:val="24"/>
          <w:szCs w:val="24"/>
          <w:highlight w:val="none"/>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7、如不同投标（响应）文件制作机器码一致，则投标（响应）无效。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8、制作电子投标（响应）文件：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color w:val="auto"/>
          <w:sz w:val="24"/>
          <w:szCs w:val="24"/>
          <w:highlight w:val="none"/>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color w:val="auto"/>
          <w:sz w:val="24"/>
          <w:szCs w:val="24"/>
          <w:highlight w:val="none"/>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color w:val="auto"/>
          <w:sz w:val="24"/>
          <w:szCs w:val="24"/>
          <w:highlight w:val="none"/>
        </w:rPr>
      </w:pPr>
      <w:r/>
      <w:bookmarkStart w:id="7" w:name="_Hlk193371673"/>
      <w:r>
        <w:rPr>
          <w:rFonts w:hint="eastAsia" w:ascii="宋体" w:hAnsi="宋体" w:eastAsia="宋体" w:cs="宋体"/>
          <w:color w:val="auto"/>
          <w:sz w:val="24"/>
          <w:szCs w:val="24"/>
          <w:highlight w:val="none"/>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电子签章技术咨询服务电话：15380932027、15371015030、13675197356、13675197221</w:t>
      </w:r>
      <w:r/>
    </w:p>
    <w:p>
      <w:pPr>
        <w:ind w:firstLine="480"/>
        <w:jc w:val="left"/>
        <w:spacing w:line="360" w:lineRule="auto"/>
        <w:widowControl/>
        <w:rPr>
          <w:rFonts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13、本项目支持政府采购合同信用融资。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14、政府采购监督电话：025-83633058。</w:t>
      </w:r>
      <w:r/>
    </w:p>
    <w:p>
      <w:pPr>
        <w:ind w:firstLine="482"/>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七、对本次招标提出询问，请按以下方式联系。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单位名称：苏州大学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单位地址：苏州市东环路50号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联系人：丁老师</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联系电话：0512-67504198</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单位名称：苏州诚和招投标咨询有限公司</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单位地址：苏州市竹辉路477号咨询大厦二楼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联系人：邬汝超、沈川渝、张萱</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联系电话：0512-65161672、0512-65161797</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项目联系人：邬汝超、沈川渝、张萱</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电话：0512-65161672、0512-65161797</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rPr>
          <w:rFonts w:ascii="宋体" w:hAnsi="宋体" w:eastAsia="宋体" w:cs="宋体"/>
          <w:color w:val="auto"/>
          <w:highlight w:val="none"/>
        </w:rPr>
      </w:pPr>
      <w:r>
        <w:rPr>
          <w:rFonts w:ascii="宋体" w:hAnsi="宋体" w:eastAsia="宋体" w:cs="宋体"/>
          <w:color w:val="auto"/>
          <w:highlight w:val="none"/>
        </w:rPr>
      </w:r>
      <w:r/>
    </w:p>
    <w:p>
      <w:pPr>
        <w:pStyle w:val="731"/>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1"/>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1"/>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1"/>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1"/>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1"/>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bookmarkStart w:id="8" w:name="_Toc105940238"/>
      <w:r>
        <w:rPr>
          <w:rFonts w:hint="eastAsia" w:ascii="宋体" w:hAnsi="宋体" w:eastAsia="宋体" w:cs="宋体"/>
          <w:b/>
          <w:color w:val="auto"/>
          <w:sz w:val="52"/>
          <w:szCs w:val="20"/>
          <w:highlight w:val="none"/>
          <w:shd w:val="clear" w:color="auto" w:fill="ffffff"/>
        </w:rPr>
        <w:t xml:space="preserve">第二章供应商须知</w:t>
      </w:r>
      <w:bookmarkEnd w:id="8"/>
      <w:r/>
      <w:r/>
    </w:p>
    <w:p>
      <w:pPr>
        <w:ind w:firstLine="480"/>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ind w:firstLine="482"/>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A.说明和释义</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1.说明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1.3本招标文件的解释权属于苏州诚和招投标咨询有限公司。</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2.词语释义</w:t>
      </w:r>
      <w:r/>
    </w:p>
    <w:p>
      <w:pPr>
        <w:ind w:firstLine="480"/>
        <w:spacing w:line="360" w:lineRule="auto"/>
        <w:rPr>
          <w:rFonts w:ascii="宋体" w:hAnsi="宋体" w:eastAsia="宋体" w:cs="宋体"/>
          <w:color w:val="auto"/>
          <w:sz w:val="24"/>
          <w:szCs w:val="24"/>
          <w:highlight w:val="none"/>
          <w:shd w:val="clear" w:color="auto" w:fill="ffffff"/>
        </w:rPr>
      </w:pPr>
      <w:r/>
      <w:bookmarkStart w:id="9" w:name="_Hlk193372031"/>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2.8货物：系指乙方按招标文件规定，应向甲方提供的一切设备、备品、备件、工具、手册及其他有关技术资料和材料。</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2.9服务：系指本次招标文件规定乙方应承担的与提供货物和服务有关的辅助服务，比如运输、保险、安装、调试、提供技术援助、培训、配合措施、维修响应及合同中规定乙方应承担的其他义务。</w:t>
      </w:r>
      <w:r/>
    </w:p>
    <w:p>
      <w:pPr>
        <w:ind w:firstLine="484"/>
        <w:spacing w:line="360" w:lineRule="auto"/>
        <w:tabs>
          <w:tab w:val="left" w:pos="54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2.11天：日历天。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2.12时间：除特别说明，均指北京时间。</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bookmarkEnd w:id="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ascii="宋体" w:hAnsi="宋体" w:eastAsia="宋体" w:cs="宋体"/>
          <w:color w:val="auto"/>
          <w:sz w:val="24"/>
          <w:szCs w:val="24"/>
          <w:highlight w:val="none"/>
        </w:rPr>
        <w:t xml:space="preserve">书面形式：指书面文字、合同书、信件和传真等可以有形地表现所载内容的形式。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ascii="宋体" w:hAnsi="宋体" w:eastAsia="宋体" w:cs="宋体"/>
          <w:color w:val="auto"/>
          <w:sz w:val="24"/>
          <w:szCs w:val="24"/>
          <w:highlight w:val="none"/>
        </w:rPr>
        <w:t xml:space="preserve">核心产品：根据本项目技术构成、产品价格比重等合理确定的产品。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ascii="宋体" w:hAnsi="宋体" w:eastAsia="宋体" w:cs="宋体"/>
          <w:color w:val="auto"/>
          <w:sz w:val="24"/>
          <w:szCs w:val="24"/>
          <w:highlight w:val="none"/>
        </w:rPr>
        <w:t xml:space="preserve">进口产品：通过中国海关报关验放进入中国境内且产自关境外的产品。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ascii="宋体" w:hAnsi="宋体" w:eastAsia="宋体" w:cs="宋体"/>
          <w:color w:val="auto"/>
          <w:sz w:val="24"/>
          <w:szCs w:val="24"/>
          <w:highlight w:val="none"/>
        </w:rPr>
        <w:t xml:space="preserve">本国产品：符合</w:t>
      </w:r>
      <w:r>
        <w:rPr>
          <w:rFonts w:hint="eastAsia" w:ascii="宋体" w:hAnsi="宋体" w:eastAsia="宋体" w:cs="宋体"/>
          <w:color w:val="auto"/>
          <w:sz w:val="24"/>
          <w:szCs w:val="24"/>
          <w:highlight w:val="none"/>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highlight w:val="none"/>
        </w:rPr>
        <w:t xml:space="preserve">的产品视为本国产品。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ffffff"/>
        </w:rPr>
        <w:t xml:space="preserve">2.22</w:t>
      </w:r>
      <w:r>
        <w:rPr>
          <w:rFonts w:hint="eastAsia" w:ascii="宋体" w:hAnsi="宋体" w:eastAsia="宋体" w:cs="宋体"/>
          <w:color w:val="auto"/>
          <w:sz w:val="24"/>
          <w:highlight w:val="none"/>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B.供应商</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3、申请人的资格要求：</w:t>
      </w:r>
      <w:r/>
    </w:p>
    <w:p>
      <w:pPr>
        <w:ind w:firstLine="480"/>
        <w:spacing w:line="360" w:lineRule="auto"/>
        <w:rPr>
          <w:rFonts w:ascii="宋体" w:hAnsi="宋体" w:eastAsia="宋体" w:cs="宋体"/>
          <w:color w:val="auto"/>
          <w:sz w:val="24"/>
          <w:szCs w:val="24"/>
          <w:highlight w:val="none"/>
          <w:shd w:val="clear" w:color="auto" w:fill="ffffff"/>
        </w:rPr>
      </w:pPr>
      <w:r/>
      <w:bookmarkStart w:id="10" w:name="_Hlk193372108"/>
      <w:r>
        <w:rPr>
          <w:rFonts w:hint="eastAsia" w:ascii="宋体" w:hAnsi="宋体" w:eastAsia="宋体" w:cs="宋体"/>
          <w:color w:val="auto"/>
          <w:sz w:val="24"/>
          <w:szCs w:val="24"/>
          <w:highlight w:val="none"/>
          <w:shd w:val="clear" w:color="auto" w:fill="ffffff"/>
        </w:rPr>
        <w:t xml:space="preserve">详见本项目招标公告中的“申请人的资格要求”。</w:t>
      </w:r>
      <w:bookmarkEnd w:id="10"/>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4.供应商代表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指全权代表供应商参加投标（响应）活动并签署投标（响应）文件的人，如果供应商代表不是法人代表，须持有《法定代表人授权委托书》（</w:t>
      </w:r>
      <w:bookmarkStart w:id="11" w:name="_Hlk193372244"/>
      <w:r>
        <w:rPr>
          <w:rFonts w:hint="eastAsia" w:ascii="宋体" w:hAnsi="宋体" w:eastAsia="宋体" w:cs="宋体"/>
          <w:color w:val="auto"/>
          <w:sz w:val="24"/>
          <w:szCs w:val="24"/>
          <w:highlight w:val="none"/>
          <w:shd w:val="clear" w:color="auto" w:fill="ffffff"/>
        </w:rPr>
        <w:t xml:space="preserve">详见统一格式</w:t>
      </w:r>
      <w:bookmarkEnd w:id="11"/>
      <w:r>
        <w:rPr>
          <w:rFonts w:hint="eastAsia" w:ascii="宋体" w:hAnsi="宋体" w:eastAsia="宋体" w:cs="宋体"/>
          <w:color w:val="auto"/>
          <w:sz w:val="24"/>
          <w:szCs w:val="24"/>
          <w:highlight w:val="none"/>
          <w:shd w:val="clear" w:color="auto" w:fill="ffffff"/>
        </w:rPr>
        <w:t xml:space="preserve">）。</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5.投标费用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b/>
          <w:color w:val="auto"/>
          <w:sz w:val="24"/>
          <w:szCs w:val="24"/>
          <w:highlight w:val="none"/>
        </w:rPr>
      </w:pPr>
      <w:r/>
      <w:bookmarkStart w:id="12" w:name="_Hlk193372378"/>
      <w:r>
        <w:rPr>
          <w:rFonts w:hint="eastAsia" w:ascii="宋体" w:hAnsi="宋体" w:eastAsia="宋体" w:cs="宋体"/>
          <w:b/>
          <w:color w:val="auto"/>
          <w:sz w:val="24"/>
          <w:szCs w:val="24"/>
          <w:highlight w:val="none"/>
          <w:shd w:val="clear" w:color="auto" w:fill="ffffff"/>
        </w:rPr>
        <w:t xml:space="preserve">6.</w:t>
      </w:r>
      <w:r>
        <w:rPr>
          <w:rFonts w:hint="eastAsia" w:ascii="宋体" w:hAnsi="宋体" w:eastAsia="宋体" w:cs="宋体"/>
          <w:b/>
          <w:color w:val="auto"/>
          <w:sz w:val="24"/>
          <w:szCs w:val="24"/>
          <w:highlight w:val="none"/>
        </w:rPr>
        <w:t xml:space="preserve">联合投标（响应）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eastAsia="宋体" w:cs="宋体"/>
          <w:color w:val="auto"/>
          <w:sz w:val="24"/>
          <w:szCs w:val="24"/>
          <w:highlight w:val="none"/>
        </w:rPr>
      </w:pPr>
      <w:r/>
      <w:bookmarkStart w:id="13" w:name="_Hlk193372188"/>
      <w:r>
        <w:rPr>
          <w:rFonts w:hint="eastAsia" w:ascii="宋体" w:hAnsi="宋体" w:eastAsia="宋体" w:cs="宋体"/>
          <w:color w:val="auto"/>
          <w:sz w:val="24"/>
          <w:szCs w:val="24"/>
          <w:highlight w:val="none"/>
          <w:shd w:val="clear" w:color="auto" w:fill="ffffff"/>
        </w:rPr>
        <w:t xml:space="preserve">6.2</w:t>
      </w:r>
      <w:r>
        <w:rPr>
          <w:rFonts w:hint="eastAsia" w:ascii="宋体" w:hAnsi="宋体" w:eastAsia="宋体" w:cs="宋体"/>
          <w:color w:val="auto"/>
          <w:sz w:val="24"/>
          <w:szCs w:val="24"/>
          <w:highlight w:val="none"/>
        </w:rPr>
        <w:t xml:space="preserve">联合体除应符合上述</w:t>
      </w: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条要求外，还应遵守以下规定：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他相关法律、法规之规定解释。</w:t>
      </w:r>
      <w:bookmarkEnd w:id="12"/>
      <w:r/>
      <w:bookmarkEnd w:id="13"/>
      <w:r/>
      <w:r/>
    </w:p>
    <w:p>
      <w:pPr>
        <w:ind w:firstLine="482"/>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C.招标文件和投标文件的说明</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7.招标文件</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w:t>
      </w:r>
      <w:bookmarkStart w:id="14" w:name="_Hlk193372537"/>
      <w:r>
        <w:rPr>
          <w:rFonts w:hint="eastAsia" w:ascii="宋体" w:hAnsi="宋体" w:eastAsia="宋体" w:cs="宋体"/>
          <w:color w:val="auto"/>
          <w:sz w:val="24"/>
          <w:szCs w:val="24"/>
          <w:highlight w:val="none"/>
        </w:rPr>
        <w:t xml:space="preserve">招标文件由招标文件总目录所列内容组成，</w:t>
      </w:r>
      <w:bookmarkEnd w:id="14"/>
      <w:r>
        <w:rPr>
          <w:rFonts w:hint="eastAsia" w:ascii="宋体" w:hAnsi="宋体" w:eastAsia="宋体" w:cs="宋体"/>
          <w:color w:val="auto"/>
          <w:sz w:val="24"/>
          <w:szCs w:val="24"/>
          <w:highlight w:val="none"/>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5" w:name="_Hlk193372564"/>
      <w:r>
        <w:rPr>
          <w:rFonts w:hint="eastAsia" w:ascii="宋体" w:hAnsi="宋体" w:eastAsia="宋体" w:cs="宋体"/>
          <w:b/>
          <w:color w:val="auto"/>
          <w:sz w:val="24"/>
          <w:szCs w:val="24"/>
          <w:highlight w:val="none"/>
        </w:rPr>
        <w:t xml:space="preserve">该电子投标（响应）文件将被视为未实质性响应。</w:t>
      </w:r>
      <w:bookmarkEnd w:id="15"/>
      <w:r/>
      <w:r/>
    </w:p>
    <w:p>
      <w:pPr>
        <w:ind w:firstLine="480"/>
        <w:jc w:val="left"/>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7.2招标文件及其补充文件</w:t>
      </w:r>
      <w:bookmarkStart w:id="16" w:name="_Hlk193372622"/>
      <w:r>
        <w:rPr>
          <w:rFonts w:hint="eastAsia" w:ascii="宋体" w:hAnsi="宋体" w:eastAsia="宋体" w:cs="宋体"/>
          <w:color w:val="auto"/>
          <w:sz w:val="24"/>
          <w:szCs w:val="24"/>
          <w:highlight w:val="none"/>
        </w:rPr>
        <w:t xml:space="preserve">未按规定的方式获得的</w:t>
      </w:r>
      <w:bookmarkEnd w:id="16"/>
      <w:r>
        <w:rPr>
          <w:rFonts w:hint="eastAsia" w:ascii="宋体" w:hAnsi="宋体" w:eastAsia="宋体" w:cs="宋体"/>
          <w:color w:val="auto"/>
          <w:sz w:val="24"/>
          <w:szCs w:val="24"/>
          <w:highlight w:val="none"/>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bookmarkStart w:id="17" w:name="_Hlk193372773"/>
      <w:r>
        <w:rPr>
          <w:rFonts w:hint="eastAsia" w:ascii="宋体" w:hAnsi="宋体" w:eastAsia="宋体" w:cs="宋体"/>
          <w:b/>
          <w:color w:val="auto"/>
          <w:sz w:val="24"/>
          <w:szCs w:val="24"/>
          <w:highlight w:val="none"/>
          <w:shd w:val="clear" w:color="auto" w:fill="ffffff"/>
        </w:rPr>
        <w:t xml:space="preserve">8.招标文件的询问</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9.现场踏勘</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10.集中现场考察</w:t>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①采购人不组织集中现场考察；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②采购人组织集中现场考察，请供应商持在“苏采云”系统中下载本项目采购文件的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11.招标文件的澄清或修改</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7"/>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12.提示与要求</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13.投标（响应）文件计量单位和使用文字</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8" w:name="_Hlk193372870"/>
      <w:r>
        <w:rPr>
          <w:rFonts w:hint="eastAsia" w:ascii="宋体" w:hAnsi="宋体" w:eastAsia="宋体" w:cs="宋体"/>
          <w:color w:val="auto"/>
          <w:sz w:val="24"/>
          <w:szCs w:val="24"/>
          <w:highlight w:val="none"/>
          <w:shd w:val="clear" w:color="auto" w:fill="ffffff"/>
        </w:rPr>
        <w:t xml:space="preserve">采购人或采购代理机构概不负责。</w:t>
      </w:r>
      <w:bookmarkEnd w:id="18"/>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14.投标（响应）文件的组成</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14.1投标（响应）书：</w:t>
      </w:r>
      <w:r/>
    </w:p>
    <w:p>
      <w:pPr>
        <w:ind w:firstLine="482"/>
        <w:spacing w:line="360" w:lineRule="auto"/>
        <w:rPr>
          <w:rFonts w:ascii="宋体" w:hAnsi="宋体" w:eastAsia="宋体" w:cs="宋体"/>
          <w:color w:val="auto"/>
          <w:highlight w:val="none"/>
        </w:rPr>
      </w:pPr>
      <w:r>
        <w:rPr>
          <w:rFonts w:hint="eastAsia" w:ascii="宋体" w:hAnsi="宋体" w:eastAsia="宋体" w:cs="宋体"/>
          <w:b/>
          <w:color w:val="auto"/>
          <w:sz w:val="24"/>
          <w:highlight w:val="none"/>
        </w:rPr>
        <w:t xml:space="preserve">14.1.1封面；</w:t>
      </w:r>
      <w:r/>
    </w:p>
    <w:p>
      <w:pPr>
        <w:ind w:firstLine="482"/>
        <w:spacing w:line="360" w:lineRule="auto"/>
        <w:tabs>
          <w:tab w:val="left" w:pos="0" w:leader="none"/>
        </w:tabs>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14.1.2开标一览表（格式详见第三章）；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14.1.3投标</w:t>
      </w:r>
      <w:r>
        <w:rPr>
          <w:rFonts w:hint="eastAsia" w:ascii="宋体" w:hAnsi="宋体" w:eastAsia="宋体" w:cs="宋体"/>
          <w:b/>
          <w:color w:val="auto"/>
          <w:sz w:val="24"/>
          <w:szCs w:val="24"/>
          <w:highlight w:val="none"/>
          <w:shd w:val="clear" w:color="auto" w:fill="ffffff"/>
        </w:rPr>
        <w:t xml:space="preserve">（响应）</w:t>
      </w:r>
      <w:r>
        <w:rPr>
          <w:rFonts w:hint="eastAsia" w:ascii="宋体" w:hAnsi="宋体" w:eastAsia="宋体" w:cs="宋体"/>
          <w:b/>
          <w:bCs/>
          <w:color w:val="auto"/>
          <w:sz w:val="24"/>
          <w:szCs w:val="24"/>
          <w:highlight w:val="none"/>
          <w:shd w:val="clear" w:color="auto" w:fill="ffffff"/>
        </w:rPr>
        <w:t xml:space="preserve">报价明细表（格式详见第三章）；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14.1.4资格性审查文件</w:t>
      </w:r>
      <w:r/>
    </w:p>
    <w:tbl>
      <w:tblPr>
        <w:tblStyle w:val="720"/>
        <w:tblW w:w="47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273"/>
        <w:gridCol w:w="4492"/>
      </w:tblGrid>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color w:val="auto"/>
                <w:sz w:val="21"/>
                <w:highlight w:val="none"/>
              </w:rPr>
            </w:pPr>
            <w:r/>
            <w:bookmarkStart w:id="19" w:name="_Hlk193373287"/>
            <w:r>
              <w:rPr>
                <w:rFonts w:hint="eastAsia" w:ascii="宋体" w:hAnsi="宋体" w:eastAsia="宋体" w:cs="宋体"/>
                <w:color w:val="auto"/>
                <w:sz w:val="21"/>
                <w:highlight w:val="none"/>
              </w:rPr>
              <w:t xml:space="preserve">序号</w:t>
            </w:r>
            <w:r/>
          </w:p>
        </w:tc>
        <w:tc>
          <w:tcPr>
            <w:tcW w:w="2325" w:type="pct"/>
            <w:vAlign w:val="center"/>
            <w:textDirection w:val="lrTb"/>
            <w:noWrap w:val="false"/>
          </w:tcPr>
          <w:p>
            <w:pPr>
              <w:pStyle w:val="729"/>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评审项</w:t>
            </w:r>
            <w:r/>
          </w:p>
        </w:tc>
        <w:tc>
          <w:tcPr>
            <w:tcW w:w="2442" w:type="pct"/>
            <w:vAlign w:val="center"/>
            <w:textDirection w:val="lrTb"/>
            <w:noWrap w:val="false"/>
          </w:tcPr>
          <w:p>
            <w:pPr>
              <w:pStyle w:val="729"/>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评审要求</w:t>
            </w:r>
            <w:r/>
          </w:p>
        </w:tc>
      </w:tr>
      <w:tr>
        <w:trPr>
          <w:jc w:val="center"/>
          <w:trHeight w:val="23"/>
        </w:trPr>
        <w:tc>
          <w:tcPr>
            <w:gridSpan w:val="3"/>
            <w:tcW w:w="5000" w:type="pct"/>
            <w:vAlign w:val="center"/>
            <w:textDirection w:val="lrTb"/>
            <w:noWrap w:val="false"/>
          </w:tcPr>
          <w:p>
            <w:pPr>
              <w:pStyle w:val="729"/>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273" w:type="dxa"/>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4492" w:type="dxa"/>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供应商提供包括法人或者其他组织的营业执照等证明文件，自然人的身份证明。</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4273" w:type="dxa"/>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4492" w:type="dxa"/>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供应商提供最近一期的财务报告，或财政部门认可的政府采购专业担保机构出具的投标担保函；其他组织、自然人及成立未满一年的法人应提供银行出具的资信证明。</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4273" w:type="dxa"/>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4492" w:type="dxa"/>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4273" w:type="dxa"/>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具有依法缴纳税收和社会保障资金的良好记录</w:t>
            </w:r>
            <w:r/>
          </w:p>
        </w:tc>
        <w:tc>
          <w:tcPr>
            <w:tcW w:w="4492" w:type="dxa"/>
            <w:vAlign w:val="center"/>
            <w:textDirection w:val="lrTb"/>
            <w:noWrap w:val="false"/>
          </w:tcPr>
          <w:p>
            <w:pPr>
              <w:jc w:val="left"/>
              <w:rPr>
                <w:rFonts w:ascii="宋体" w:hAnsi="宋体" w:eastAsia="宋体" w:cs="宋体"/>
                <w:color w:val="auto"/>
                <w:highlight w:val="none"/>
              </w:rPr>
            </w:pPr>
            <w:r>
              <w:rPr>
                <w:rFonts w:hint="eastAsia" w:ascii="宋体" w:hAnsi="宋体" w:eastAsia="宋体" w:cs="宋体"/>
                <w:color w:val="auto"/>
                <w:szCs w:val="21"/>
                <w:highlight w:val="none"/>
              </w:rPr>
              <w:t xml:space="preserve">供应商提供</w:t>
            </w:r>
            <w:r>
              <w:rPr>
                <w:rFonts w:hint="eastAsia" w:ascii="宋体" w:hAnsi="宋体" w:eastAsia="宋体" w:cs="宋体"/>
                <w:color w:val="auto"/>
                <w:szCs w:val="21"/>
                <w:highlight w:val="none"/>
                <w:shd w:val="clear" w:color="auto" w:fill="ffffff"/>
              </w:rPr>
              <w:t xml:space="preserve">参加本次政府采购活动前一段时间内依法缴纳税收和社会保险的凭据；依法免税或不需要缴纳社会保障资金的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shd w:val="clear" w:color="auto" w:fill="ffffff"/>
              </w:rPr>
              <w:t xml:space="preserve">，应提供相应证明资料证明其依法免税或不需要缴纳社会保障资金。</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4273" w:type="dxa"/>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4492" w:type="dxa"/>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4273" w:type="dxa"/>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4492" w:type="dxa"/>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符合法律、行政法规规定的其他条件的证明材料或书面声明。</w:t>
            </w:r>
            <w:r/>
          </w:p>
        </w:tc>
      </w:tr>
      <w:tr>
        <w:trPr>
          <w:jc w:val="center"/>
          <w:trHeight w:val="23"/>
        </w:trPr>
        <w:tc>
          <w:tcPr>
            <w:gridSpan w:val="3"/>
            <w:tcW w:w="5000" w:type="pct"/>
            <w:vAlign w:val="center"/>
            <w:textDirection w:val="lrTb"/>
            <w:noWrap w:val="false"/>
          </w:tcPr>
          <w:p>
            <w:pPr>
              <w:pStyle w:val="729"/>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2325"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无</w:t>
            </w:r>
            <w:r/>
          </w:p>
        </w:tc>
        <w:tc>
          <w:tcPr>
            <w:tcW w:w="2442" w:type="pct"/>
            <w:textDirection w:val="lrTb"/>
            <w:noWrap w:val="false"/>
          </w:tcPr>
          <w:p>
            <w:pPr>
              <w:pStyle w:val="729"/>
              <w:jc w:val="left"/>
              <w:spacing w:line="240" w:lineRule="auto"/>
              <w:rPr>
                <w:rFonts w:ascii="宋体" w:hAnsi="宋体" w:eastAsia="宋体" w:cs="宋体"/>
                <w:color w:val="auto"/>
                <w:sz w:val="21"/>
                <w:highlight w:val="none"/>
              </w:rPr>
            </w:pPr>
            <w:r>
              <w:rPr>
                <w:rFonts w:hint="eastAsia" w:ascii="宋体" w:hAnsi="宋体" w:eastAsia="宋体" w:cs="宋体"/>
                <w:color w:val="auto"/>
                <w:sz w:val="21"/>
                <w:szCs w:val="21"/>
                <w:highlight w:val="none"/>
              </w:rPr>
              <w:t xml:space="preserve">无</w:t>
            </w:r>
            <w:r/>
          </w:p>
        </w:tc>
      </w:tr>
      <w:tr>
        <w:trPr>
          <w:jc w:val="center"/>
          <w:trHeight w:val="23"/>
        </w:trPr>
        <w:tc>
          <w:tcPr>
            <w:gridSpan w:val="3"/>
            <w:tcW w:w="5000" w:type="pct"/>
            <w:vAlign w:val="center"/>
            <w:textDirection w:val="lrTb"/>
            <w:noWrap w:val="false"/>
          </w:tcPr>
          <w:p>
            <w:pPr>
              <w:pStyle w:val="729"/>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shd w:val="clear" w:color="auto" w:fill="auto"/>
            <w:tcW w:w="2325"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2442"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供应商无需提供相关证明资料，由采购代理机构按照招标文件第二章“21.信用查询”要求执行。</w:t>
            </w:r>
            <w:bookmarkEnd w:id="19"/>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shd w:val="clear" w:color="auto" w:fill="auto"/>
            <w:tcW w:w="2325"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具有所投产品的合法代理资格（所投产品为国产产品的可不提供）。</w:t>
            </w:r>
            <w:r/>
          </w:p>
        </w:tc>
        <w:tc>
          <w:tcPr>
            <w:shd w:val="clear" w:color="auto" w:fill="auto"/>
            <w:tcW w:w="2442" w:type="pct"/>
            <w:textDirection w:val="lrTb"/>
            <w:noWrap w:val="false"/>
          </w:tcPr>
          <w:p>
            <w:pPr>
              <w:pStyle w:val="729"/>
              <w:jc w:val="left"/>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所投产品合法代理资格的证明材料扫描件（所投产品为国产产品的可不提供）</w:t>
            </w:r>
            <w:r/>
          </w:p>
        </w:tc>
      </w:tr>
    </w:tbl>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14.1.5符合性审查响应文件</w:t>
      </w:r>
      <w:r/>
    </w:p>
    <w:tbl>
      <w:tblPr>
        <w:tblStyle w:val="7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2734"/>
        <w:gridCol w:w="6432"/>
      </w:tblGrid>
      <w:tr>
        <w:trPr>
          <w:trHeight w:val="23"/>
        </w:trPr>
        <w:tc>
          <w:tcPr>
            <w:tcW w:w="240" w:type="pct"/>
            <w:vAlign w:val="center"/>
            <w:textDirection w:val="lrTb"/>
            <w:noWrap w:val="false"/>
          </w:tcPr>
          <w:p>
            <w:pPr>
              <w:pStyle w:val="729"/>
              <w:jc w:val="center"/>
              <w:spacing w:line="24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420" w:type="pct"/>
            <w:vAlign w:val="center"/>
            <w:textDirection w:val="lrTb"/>
            <w:noWrap w:val="false"/>
          </w:tcPr>
          <w:p>
            <w:pPr>
              <w:pStyle w:val="729"/>
              <w:jc w:val="center"/>
              <w:spacing w:line="240" w:lineRule="auto"/>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3339" w:type="pct"/>
            <w:vAlign w:val="center"/>
            <w:textDirection w:val="lrTb"/>
            <w:noWrap w:val="false"/>
          </w:tcPr>
          <w:p>
            <w:pPr>
              <w:pStyle w:val="729"/>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23"/>
        </w:trPr>
        <w:tc>
          <w:tcPr>
            <w:gridSpan w:val="3"/>
            <w:tcW w:w="5000" w:type="pct"/>
            <w:vAlign w:val="center"/>
            <w:textDirection w:val="lrTb"/>
            <w:noWrap w:val="false"/>
          </w:tcPr>
          <w:p>
            <w:pPr>
              <w:pStyle w:val="729"/>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20"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报价符合性审查</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属于投标</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报价低于采购项目最高限价45%的，即投标</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采购项目最高限价</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45%，供应商可随投标</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文件一</w:t>
            </w:r>
            <w:r>
              <w:rPr>
                <w:rFonts w:hint="eastAsia" w:ascii="宋体" w:hAnsi="宋体" w:eastAsia="宋体" w:cs="宋体"/>
                <w:color w:val="auto"/>
                <w:sz w:val="21"/>
                <w:szCs w:val="21"/>
                <w:highlight w:val="none"/>
              </w:rPr>
              <w:t xml:space="preserve">并</w:t>
            </w:r>
            <w:r>
              <w:rPr>
                <w:rFonts w:ascii="宋体" w:hAnsi="宋体" w:eastAsia="宋体" w:cs="宋体"/>
                <w:color w:val="auto"/>
                <w:sz w:val="21"/>
                <w:szCs w:val="21"/>
                <w:highlight w:val="none"/>
              </w:rPr>
              <w:t xml:space="preserve">提交相关书面说明及必要的证明材料。</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420"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以投标文件报价为准（供应商无须单独提供资料）</w:t>
            </w:r>
            <w:r/>
          </w:p>
        </w:tc>
      </w:tr>
      <w:tr>
        <w:trPr>
          <w:trHeight w:val="23"/>
        </w:trPr>
        <w:tc>
          <w:tcPr>
            <w:gridSpan w:val="3"/>
            <w:tcW w:w="5000" w:type="pct"/>
            <w:vAlign w:val="center"/>
            <w:textDirection w:val="lrTb"/>
            <w:noWrap w:val="false"/>
          </w:tcPr>
          <w:p>
            <w:pPr>
              <w:pStyle w:val="729"/>
              <w:jc w:val="center"/>
              <w:spacing w:line="24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420" w:type="pct"/>
            <w:vAlign w:val="center"/>
            <w:textDirection w:val="lrTb"/>
            <w:noWrap w:val="false"/>
          </w:tcPr>
          <w:p>
            <w:pPr>
              <w:pStyle w:val="729"/>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投标（响应）函</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1420" w:type="pct"/>
            <w:vAlign w:val="center"/>
            <w:textDirection w:val="lrTb"/>
            <w:noWrap w:val="false"/>
          </w:tcPr>
          <w:p>
            <w:pPr>
              <w:pStyle w:val="729"/>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法定代表人授权委托书（如有授权）</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w:t>
            </w:r>
            <w:r/>
          </w:p>
        </w:tc>
        <w:tc>
          <w:tcPr>
            <w:tcW w:w="1420" w:type="pct"/>
            <w:vAlign w:val="center"/>
            <w:textDirection w:val="lrTb"/>
            <w:noWrap w:val="false"/>
          </w:tcPr>
          <w:p>
            <w:pPr>
              <w:pStyle w:val="729"/>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p>
        </w:tc>
        <w:tc>
          <w:tcPr>
            <w:tcW w:w="1420" w:type="pct"/>
            <w:vAlign w:val="center"/>
            <w:textDirection w:val="lrTb"/>
            <w:noWrap w:val="false"/>
          </w:tcPr>
          <w:p>
            <w:pPr>
              <w:pStyle w:val="729"/>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《供应商基本情况表》《资格文件的声明函》</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w:t>
            </w:r>
            <w:r/>
          </w:p>
        </w:tc>
        <w:tc>
          <w:tcPr>
            <w:tcW w:w="1420" w:type="pct"/>
            <w:vAlign w:val="center"/>
            <w:textDirection w:val="lrTb"/>
            <w:noWrap w:val="false"/>
          </w:tcPr>
          <w:p>
            <w:pPr>
              <w:pStyle w:val="729"/>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《对投标人（供应商）有直接控股、管理关系的单位情况表》</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w:t>
            </w:r>
            <w:r/>
          </w:p>
        </w:tc>
        <w:tc>
          <w:tcPr>
            <w:tcW w:w="1420"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7</w:t>
            </w:r>
            <w:r/>
          </w:p>
        </w:tc>
        <w:tc>
          <w:tcPr>
            <w:tcW w:w="1420" w:type="pct"/>
            <w:vAlign w:val="center"/>
            <w:textDirection w:val="lrTb"/>
            <w:noWrap w:val="false"/>
          </w:tcPr>
          <w:p>
            <w:pPr>
              <w:pStyle w:val="729"/>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《拟投入本项目人员配备一览表》</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gridSpan w:val="3"/>
            <w:tcW w:w="5000" w:type="pct"/>
            <w:vAlign w:val="center"/>
            <w:textDirection w:val="lrTb"/>
            <w:noWrap w:val="false"/>
          </w:tcPr>
          <w:p>
            <w:pPr>
              <w:pStyle w:val="729"/>
              <w:jc w:val="center"/>
              <w:spacing w:line="24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20"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《技术或服务要求偏离表》</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420"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《投标货物和服务数量、品牌型号、技术要求、交货期》</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420"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《针对本项目制定的实施方案》</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rPr>
            </w:pPr>
            <w:r/>
            <w:bookmarkStart w:id="20" w:name="_Hlk193373412"/>
            <w:r>
              <w:rPr>
                <w:rFonts w:hint="eastAsia" w:ascii="宋体" w:hAnsi="宋体" w:eastAsia="宋体" w:cs="宋体"/>
                <w:color w:val="auto"/>
                <w:sz w:val="21"/>
                <w:szCs w:val="21"/>
                <w:highlight w:val="none"/>
              </w:rPr>
              <w:t xml:space="preserve">4</w:t>
            </w:r>
            <w:r/>
          </w:p>
        </w:tc>
        <w:tc>
          <w:tcPr>
            <w:tcW w:w="1420"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带“★”项技术参数要求的相关佐证材料</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能直接反映该产品技术参数的官网截图或彩页或产品说明书或具有检验（检测）资质的第三方检测机构出具的有效检验（检测）报告等相关佐证材料扫描件</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420"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采购需求中所涉及到的或供应商认为需加以说明或证明的其他有关符合性证明材料、证明（如有）</w:t>
            </w:r>
            <w:r/>
          </w:p>
        </w:tc>
        <w:tc>
          <w:tcPr>
            <w:tcW w:w="3339" w:type="pct"/>
            <w:vAlign w:val="center"/>
            <w:textDirection w:val="lrTb"/>
            <w:noWrap w:val="false"/>
          </w:tcPr>
          <w:p>
            <w:pPr>
              <w:pStyle w:val="729"/>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格式自拟</w:t>
            </w:r>
            <w:bookmarkEnd w:id="20"/>
            <w:r/>
            <w:r/>
          </w:p>
        </w:tc>
      </w:tr>
    </w:tbl>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w:t>
      </w:r>
      <w:bookmarkStart w:id="21" w:name="_Hlk193373771"/>
      <w:r>
        <w:rPr>
          <w:rFonts w:hint="eastAsia" w:ascii="宋体" w:hAnsi="宋体" w:eastAsia="宋体" w:cs="宋体"/>
          <w:b/>
          <w:bCs/>
          <w:color w:val="auto"/>
          <w:sz w:val="24"/>
          <w:szCs w:val="24"/>
          <w:highlight w:val="none"/>
          <w:u w:val="single"/>
          <w:shd w:val="clear" w:color="auto" w:fill="ffffff"/>
        </w:rPr>
        <w:t xml:space="preserve">未按要求提供</w:t>
      </w:r>
      <w:bookmarkEnd w:id="21"/>
      <w:r>
        <w:rPr>
          <w:rFonts w:hint="eastAsia" w:ascii="宋体" w:hAnsi="宋体" w:eastAsia="宋体" w:cs="宋体"/>
          <w:b/>
          <w:bCs/>
          <w:color w:val="auto"/>
          <w:sz w:val="24"/>
          <w:szCs w:val="24"/>
          <w:highlight w:val="none"/>
          <w:u w:val="single"/>
          <w:shd w:val="clear" w:color="auto" w:fill="ffffff"/>
        </w:rPr>
        <w:t xml:space="preserve">的投标（响应）无效。</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14.1.6综合评审其他文件相关要求详见采购文件第六章评审办法。</w:t>
      </w:r>
      <w:r/>
    </w:p>
    <w:p>
      <w:pPr>
        <w:ind w:firstLine="482"/>
        <w:spacing w:line="360" w:lineRule="auto"/>
        <w:tabs>
          <w:tab w:val="left" w:pos="753"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.5款规定的资料。否则，投标响应文件将被视为因未实质性响应招标文件要求而被拒绝。</w:t>
      </w:r>
      <w:r/>
    </w:p>
    <w:p>
      <w:pPr>
        <w:ind w:firstLine="480"/>
        <w:spacing w:line="360" w:lineRule="auto"/>
        <w:rPr>
          <w:rFonts w:ascii="宋体" w:hAnsi="宋体" w:eastAsia="宋体" w:cs="宋体"/>
          <w:color w:val="auto"/>
          <w:sz w:val="24"/>
          <w:szCs w:val="24"/>
          <w:highlight w:val="none"/>
          <w:shd w:val="clear" w:color="auto" w:fill="ffffff"/>
        </w:rPr>
      </w:pPr>
      <w:r/>
      <w:bookmarkStart w:id="22" w:name="_Hlk193374074"/>
      <w:r/>
      <w:bookmarkStart w:id="23" w:name="_Hlk158131259"/>
      <w:r>
        <w:rPr>
          <w:rFonts w:hint="eastAsia" w:ascii="宋体" w:hAnsi="宋体" w:eastAsia="宋体" w:cs="宋体"/>
          <w:color w:val="auto"/>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如供应商投标（响应）文件中某些条款不响应招标文件提出的全部采购内容与服务要求，须在偏离表中逐条列出，未列出的视同响应。</w:t>
      </w:r>
      <w:bookmarkEnd w:id="22"/>
      <w:r/>
      <w:bookmarkEnd w:id="23"/>
      <w:r/>
      <w:r/>
    </w:p>
    <w:p>
      <w:pPr>
        <w:ind w:firstLine="482"/>
        <w:spacing w:line="360" w:lineRule="auto"/>
        <w:tabs>
          <w:tab w:val="left" w:pos="142"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w:t>
      </w:r>
      <w:r>
        <w:rPr>
          <w:rFonts w:hint="eastAsia" w:ascii="宋体" w:hAnsi="宋体" w:eastAsia="宋体" w:cs="宋体"/>
          <w:b/>
          <w:color w:val="auto"/>
          <w:sz w:val="24"/>
          <w:szCs w:val="24"/>
          <w:highlight w:val="none"/>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bookmarkStart w:id="24" w:name="_Hlk140247794"/>
      <w:r>
        <w:rPr>
          <w:rFonts w:hint="eastAsia" w:ascii="宋体" w:hAnsi="宋体" w:eastAsia="宋体" w:cs="宋体"/>
          <w:color w:val="auto"/>
          <w:sz w:val="24"/>
          <w:szCs w:val="24"/>
          <w:highlight w:val="none"/>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bookmarkStart w:id="25" w:name="_Hlk158134955"/>
      <w:r>
        <w:rPr>
          <w:rFonts w:hint="eastAsia" w:ascii="宋体" w:hAnsi="宋体" w:eastAsia="宋体" w:cs="宋体"/>
          <w:color w:val="auto"/>
          <w:sz w:val="24"/>
          <w:szCs w:val="24"/>
          <w:highlight w:val="none"/>
        </w:rPr>
        <w:t xml:space="preserve">15.4联合体投标（响应）：如招标公告中允许联合体投标（响应），联合体投标（响应）的投标（响应）文件制作上传操作如下：</w:t>
      </w:r>
      <w:r/>
    </w:p>
    <w:p>
      <w:pPr>
        <w:pStyle w:val="730"/>
        <w:ind w:left="0" w:firstLine="480"/>
        <w:spacing w:line="360" w:lineRule="auto"/>
        <w:rPr>
          <w:rFonts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第一步：在投标（响应）文件中上传联合体投标（响应）协议书。</w:t>
      </w:r>
      <w:r>
        <w:rPr>
          <w:rFonts w:hint="eastAsia" w:ascii="宋体" w:hAnsi="宋体" w:eastAsia="宋体" w:cs="宋体"/>
          <w:bCs/>
          <w:color w:val="auto"/>
          <w:szCs w:val="24"/>
          <w:highlight w:val="none"/>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第二步：在投标（响应）文件中，由联合体中的牵头人制作投标（响应）文件。</w:t>
      </w:r>
      <w:bookmarkEnd w:id="25"/>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15.5如不同投标（响应）文件制作机器码一致，则投标（响应）无效。</w:t>
      </w:r>
      <w:bookmarkEnd w:id="24"/>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16.投标（响应）报价（编制）要求的说明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16.1</w:t>
      </w:r>
      <w:bookmarkStart w:id="26" w:name="_Hlk193374411"/>
      <w:r>
        <w:rPr>
          <w:rFonts w:hint="eastAsia" w:ascii="宋体" w:hAnsi="宋体" w:eastAsia="宋体" w:cs="宋体"/>
          <w:color w:val="auto"/>
          <w:sz w:val="24"/>
          <w:szCs w:val="24"/>
          <w:highlight w:val="none"/>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16.4投标（响应）文件报价中的单价和总价全部采用人民币表示，除非合同的特殊条款另有规定。</w:t>
      </w:r>
      <w:r/>
    </w:p>
    <w:p>
      <w:pPr>
        <w:pStyle w:val="1039"/>
        <w:ind w:firstLine="480"/>
        <w:spacing w:before="0" w:beforeAutospacing="0" w:after="0" w:afterAutospacing="0" w:line="360" w:lineRule="auto"/>
        <w:shd w:val="clear" w:color="auto" w:fill="ffffff"/>
        <w:rPr>
          <w:color w:val="auto"/>
          <w:highlight w:val="none"/>
        </w:rPr>
      </w:pPr>
      <w:r>
        <w:rPr>
          <w:rFonts w:hint="eastAsia"/>
          <w:color w:val="auto"/>
          <w:highlight w:val="none"/>
          <w:shd w:val="clear" w:color="auto" w:fill="ffffff"/>
        </w:rPr>
        <w:t xml:space="preserve">16.5</w:t>
      </w:r>
      <w:r>
        <w:rPr>
          <w:rFonts w:hint="eastAsia"/>
          <w:b/>
          <w:bCs/>
          <w:color w:val="auto"/>
          <w:highlight w:val="none"/>
          <w:shd w:val="clear" w:color="auto" w:fill="ffffff"/>
        </w:rPr>
        <w:t xml:space="preserve">所投</w:t>
      </w:r>
      <w:r>
        <w:rPr>
          <w:rFonts w:hint="eastAsia"/>
          <w:b/>
          <w:bCs/>
          <w:color w:val="auto"/>
          <w:highlight w:val="none"/>
        </w:rPr>
        <w:t xml:space="preserve">产品为进口产品时，报价必须为人民币含税价</w:t>
      </w:r>
      <w:r>
        <w:rPr>
          <w:rFonts w:hint="eastAsia"/>
          <w:color w:val="auto"/>
          <w:highlight w:val="none"/>
        </w:rPr>
        <w:t xml:space="preserve">，</w:t>
      </w:r>
      <w:r>
        <w:rPr>
          <w:rFonts w:hint="eastAsia"/>
          <w:color w:val="auto"/>
          <w:highlight w:val="none"/>
          <w:shd w:val="clear" w:color="auto" w:fill="ffffff"/>
        </w:rPr>
        <w:t xml:space="preserve">即在采购人指定地点交货所需的所有费用，</w:t>
      </w:r>
      <w:r>
        <w:rPr>
          <w:rFonts w:hint="eastAsia"/>
          <w:b/>
          <w:bCs/>
          <w:color w:val="auto"/>
          <w:highlight w:val="none"/>
          <w:shd w:val="clear" w:color="auto" w:fill="ffffff"/>
        </w:rPr>
        <w:t xml:space="preserve">包含但不限于进口关税、进口增值税、进口代理服务费及</w:t>
      </w:r>
      <w:r>
        <w:rPr>
          <w:rFonts w:hint="eastAsia"/>
          <w:b/>
          <w:bCs/>
          <w:color w:val="auto"/>
          <w:highlight w:val="none"/>
        </w:rPr>
        <w:t xml:space="preserve">安装、调试、培训和检测等的全部费用</w:t>
      </w:r>
      <w:r>
        <w:rPr>
          <w:rFonts w:hint="eastAsia"/>
          <w:color w:val="auto"/>
          <w:highlight w:val="none"/>
        </w:rPr>
        <w:t xml:space="preserve">。</w:t>
      </w:r>
      <w:r/>
    </w:p>
    <w:p>
      <w:pPr>
        <w:pStyle w:val="1039"/>
        <w:ind w:firstLine="480"/>
        <w:spacing w:before="0" w:beforeAutospacing="0" w:after="0" w:afterAutospacing="0" w:line="360" w:lineRule="auto"/>
        <w:shd w:val="clear" w:color="auto" w:fill="ffffff"/>
        <w:rPr>
          <w:color w:val="auto"/>
          <w:highlight w:val="none"/>
        </w:rPr>
      </w:pPr>
      <w:r>
        <w:rPr>
          <w:rFonts w:hint="eastAsia"/>
          <w:color w:val="auto"/>
          <w:highlight w:val="none"/>
        </w:rPr>
        <w:t xml:space="preserve">16.5.1如进口产品在国务院税委会公告的加征关税商品清单中，加征的关税应包含在报价中，即采购人在按照政府采购合同规定的付款方式和金额支付完货款后，不承担任何其他的或后续的费用。</w:t>
      </w:r>
      <w:r/>
    </w:p>
    <w:p>
      <w:pPr>
        <w:pStyle w:val="1039"/>
        <w:ind w:firstLine="480"/>
        <w:spacing w:before="0" w:beforeAutospacing="0" w:after="0" w:afterAutospacing="0" w:line="360" w:lineRule="auto"/>
        <w:shd w:val="clear" w:color="auto" w:fill="ffffff"/>
        <w:rPr>
          <w:color w:val="auto"/>
          <w:highlight w:val="none"/>
        </w:rPr>
      </w:pPr>
      <w:r>
        <w:rPr>
          <w:rFonts w:hint="eastAsia"/>
          <w:color w:val="auto"/>
          <w:highlight w:val="none"/>
        </w:rPr>
        <w:t xml:space="preserve">16.5.2本次采购的产品使用场景不符合免税办理条件，如投标报价的</w:t>
      </w:r>
      <w:r>
        <w:rPr>
          <w:rFonts w:hint="eastAsia"/>
          <w:b/>
          <w:bCs/>
          <w:color w:val="auto"/>
          <w:highlight w:val="none"/>
        </w:rPr>
        <w:t xml:space="preserve">进口产品</w:t>
      </w:r>
      <w:r>
        <w:rPr>
          <w:rFonts w:hint="eastAsia"/>
          <w:color w:val="auto"/>
          <w:highlight w:val="none"/>
        </w:rPr>
        <w:t xml:space="preserve">，即使在免税清单内，</w:t>
      </w:r>
      <w:r>
        <w:rPr>
          <w:rFonts w:hint="eastAsia"/>
          <w:b/>
          <w:bCs/>
          <w:color w:val="auto"/>
          <w:highlight w:val="none"/>
        </w:rPr>
        <w:t xml:space="preserve">报价也必须为含税价，不接受免税报价</w:t>
      </w:r>
      <w:r>
        <w:rPr>
          <w:rFonts w:hint="eastAsia"/>
          <w:color w:val="auto"/>
          <w:highlight w:val="none"/>
        </w:rPr>
        <w:t xml:space="preserve">。</w:t>
      </w:r>
      <w:r/>
    </w:p>
    <w:p>
      <w:pPr>
        <w:pStyle w:val="1039"/>
        <w:ind w:firstLine="480"/>
        <w:spacing w:before="0" w:beforeAutospacing="0" w:after="0" w:afterAutospacing="0" w:line="360" w:lineRule="auto"/>
        <w:shd w:val="clear" w:color="auto" w:fill="ffffff"/>
        <w:rPr>
          <w:color w:val="auto"/>
          <w:highlight w:val="none"/>
        </w:rPr>
      </w:pPr>
      <w:r>
        <w:rPr>
          <w:rFonts w:hint="eastAsia"/>
          <w:color w:val="auto"/>
          <w:highlight w:val="none"/>
        </w:rPr>
        <w:t xml:space="preserve">16.5.3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16.6最低报价不能作为中标的保证。</w:t>
      </w:r>
      <w:r/>
    </w:p>
    <w:p>
      <w:pPr>
        <w:ind w:firstLine="482"/>
        <w:spacing w:line="360" w:lineRule="auto"/>
        <w:rPr>
          <w:rFonts w:ascii="宋体" w:hAnsi="宋体" w:eastAsia="宋体" w:cs="宋体"/>
          <w:b/>
          <w:color w:val="auto"/>
          <w:sz w:val="24"/>
          <w:szCs w:val="24"/>
          <w:highlight w:val="none"/>
          <w:shd w:val="clear" w:color="auto" w:fill="ffffff"/>
        </w:rPr>
      </w:pPr>
      <w:r/>
      <w:bookmarkStart w:id="27" w:name="_Hlk193374841"/>
      <w:r>
        <w:rPr>
          <w:rFonts w:hint="eastAsia" w:ascii="宋体" w:hAnsi="宋体" w:eastAsia="宋体" w:cs="宋体"/>
          <w:b/>
          <w:color w:val="auto"/>
          <w:sz w:val="24"/>
          <w:szCs w:val="24"/>
          <w:highlight w:val="none"/>
          <w:shd w:val="clear" w:color="auto" w:fill="ffffff"/>
        </w:rPr>
        <w:t xml:space="preserve">17.履约保证金</w:t>
      </w:r>
      <w:bookmarkEnd w:id="27"/>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17.1中标单位应按前附表的规定提交履约保证金。</w:t>
      </w:r>
      <w:r>
        <w:rPr>
          <w:rFonts w:hint="eastAsia" w:ascii="宋体" w:hAnsi="宋体" w:eastAsia="宋体" w:cs="宋体"/>
          <w:bCs/>
          <w:color w:val="auto"/>
          <w:sz w:val="24"/>
          <w:szCs w:val="24"/>
          <w:highlight w:val="none"/>
        </w:rPr>
        <w:t xml:space="preserve">履约保证金形式：以转账、支票、汇票、本票或者金融机构、担保机构出具的见索即付保函等非现金形式提交（保函内容须经采购方认可）</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17.2履约保证金至采购人签署最终验收合格证明之日起稳定运行1年后无息退还。</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17.4若中标单位对货物缺陷不予更正，采购人有权另请其他单位更正，所发生的费用在履约保证金中扣除。</w:t>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18.投标（响应）文件的有效期</w:t>
      </w:r>
      <w:r/>
    </w:p>
    <w:p>
      <w:pPr>
        <w:ind w:firstLine="480"/>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18.1自投标（响应）截止日起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天内，投标（响应）书应保持有效。</w:t>
      </w:r>
      <w:r>
        <w:rPr>
          <w:rFonts w:hint="eastAsia" w:ascii="宋体" w:hAnsi="宋体" w:eastAsia="宋体" w:cs="宋体"/>
          <w:b/>
          <w:bCs/>
          <w:color w:val="auto"/>
          <w:sz w:val="24"/>
          <w:szCs w:val="24"/>
          <w:highlight w:val="none"/>
          <w:shd w:val="clear" w:color="auto" w:fill="ffffff"/>
        </w:rPr>
        <w:t xml:space="preserve">有效期短于这个规定期限的投标（响应）将被拒绝。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w:t>
      </w:r>
      <w:r>
        <w:rPr>
          <w:rFonts w:hint="eastAsia" w:ascii="宋体" w:hAnsi="宋体" w:eastAsia="宋体" w:cs="宋体"/>
          <w:b/>
          <w:color w:val="auto"/>
          <w:sz w:val="24"/>
          <w:szCs w:val="24"/>
          <w:highlight w:val="none"/>
        </w:rPr>
        <w:t xml:space="preserve">投标（响应）截止时间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bookmarkStart w:id="28" w:name="_Hlk193375017"/>
      <w:r>
        <w:rPr>
          <w:rFonts w:hint="eastAsia" w:ascii="宋体" w:hAnsi="宋体" w:eastAsia="宋体" w:cs="宋体"/>
          <w:color w:val="auto"/>
          <w:sz w:val="24"/>
          <w:szCs w:val="24"/>
          <w:highlight w:val="none"/>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w:t>
      </w:r>
      <w:bookmarkStart w:id="29" w:name="_Hlk116314345"/>
      <w:r/>
      <w:bookmarkStart w:id="30" w:name="_Hlk117242692"/>
      <w:r>
        <w:rPr>
          <w:rFonts w:hint="eastAsia" w:ascii="宋体" w:hAnsi="宋体" w:eastAsia="宋体" w:cs="宋体"/>
          <w:color w:val="auto"/>
          <w:sz w:val="24"/>
          <w:szCs w:val="24"/>
          <w:highlight w:val="none"/>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29"/>
      <w:r/>
      <w:bookmarkEnd w:id="30"/>
      <w:r/>
      <w:r/>
    </w:p>
    <w:p>
      <w:pPr>
        <w:ind w:firstLine="482"/>
        <w:spacing w:line="360" w:lineRule="auto"/>
        <w:rPr>
          <w:rFonts w:ascii="宋体" w:hAnsi="宋体" w:eastAsia="宋体" w:cs="宋体"/>
          <w:color w:val="auto"/>
          <w:highlight w:val="none"/>
        </w:rPr>
      </w:pPr>
      <w:r>
        <w:rPr>
          <w:rFonts w:hint="eastAsia" w:ascii="宋体" w:hAnsi="宋体" w:eastAsia="宋体" w:cs="宋体"/>
          <w:b/>
          <w:bCs/>
          <w:color w:val="auto"/>
          <w:sz w:val="24"/>
          <w:szCs w:val="20"/>
          <w:highlight w:val="none"/>
          <w:shd w:val="clear" w:color="auto" w:fill="ffffff"/>
        </w:rPr>
        <w:t xml:space="preserve">D.开标和评标</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20.开标</w:t>
      </w:r>
      <w:r/>
    </w:p>
    <w:p>
      <w:pPr>
        <w:ind w:firstLine="480"/>
        <w:spacing w:line="360" w:lineRule="auto"/>
        <w:widowControl/>
        <w:rPr>
          <w:rFonts w:ascii="宋体" w:hAnsi="宋体" w:eastAsia="宋体" w:cs="宋体"/>
          <w:color w:val="auto"/>
          <w:sz w:val="24"/>
          <w:szCs w:val="24"/>
          <w:highlight w:val="none"/>
        </w:rPr>
      </w:pPr>
      <w:r/>
      <w:bookmarkStart w:id="31" w:name="_Hlk92794076"/>
      <w:r>
        <w:rPr>
          <w:rFonts w:hint="eastAsia" w:ascii="宋体" w:hAnsi="宋体" w:eastAsia="宋体" w:cs="宋体"/>
          <w:color w:val="auto"/>
          <w:sz w:val="24"/>
          <w:szCs w:val="24"/>
          <w:highlight w:val="none"/>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color w:val="auto"/>
          <w:sz w:val="24"/>
          <w:szCs w:val="24"/>
          <w:highlight w:val="none"/>
        </w:rPr>
      </w:pPr>
      <w:r/>
      <w:bookmarkStart w:id="32" w:name="_Hlk90652960"/>
      <w:r>
        <w:rPr>
          <w:rFonts w:hint="eastAsia" w:ascii="宋体" w:hAnsi="宋体" w:eastAsia="宋体" w:cs="宋体"/>
          <w:color w:val="auto"/>
          <w:sz w:val="24"/>
          <w:szCs w:val="24"/>
          <w:highlight w:val="none"/>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r/>
    </w:p>
    <w:p>
      <w:pPr>
        <w:ind w:firstLine="480"/>
        <w:spacing w:line="360" w:lineRule="auto"/>
        <w:rPr>
          <w:rFonts w:ascii="宋体" w:hAnsi="宋体" w:eastAsia="宋体" w:cs="宋体"/>
          <w:color w:val="auto"/>
          <w:sz w:val="24"/>
          <w:szCs w:val="24"/>
          <w:highlight w:val="none"/>
        </w:rPr>
      </w:pPr>
      <w:r/>
      <w:bookmarkStart w:id="33" w:name="_Hlk158135485"/>
      <w:r>
        <w:rPr>
          <w:rFonts w:hint="eastAsia" w:ascii="宋体" w:hAnsi="宋体" w:eastAsia="宋体" w:cs="宋体"/>
          <w:color w:val="auto"/>
          <w:sz w:val="24"/>
          <w:szCs w:val="24"/>
          <w:highlight w:val="none"/>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20.5供应商在“苏采云”系统规定的时间内未成功解密电子投标（响应）文件的，投标（响应）无效。</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20.8至投标（响应）文件提交截止时间，递交投标（响应）文件的供应商不足三家的，不得开标。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color w:val="auto"/>
          <w:highlight w:val="none"/>
        </w:rPr>
      </w:pPr>
      <w:r/>
      <w:bookmarkStart w:id="34" w:name="_Hlk193375492"/>
      <w:r>
        <w:rPr>
          <w:rFonts w:hint="eastAsia" w:ascii="宋体" w:hAnsi="宋体" w:eastAsia="宋体" w:cs="宋体"/>
          <w:color w:val="auto"/>
          <w:sz w:val="24"/>
          <w:szCs w:val="24"/>
          <w:highlight w:val="none"/>
        </w:rPr>
        <w:t xml:space="preserve">20.10以上开标活动</w:t>
      </w:r>
      <w:bookmarkStart w:id="35" w:name="_Hlk193375633"/>
      <w:r>
        <w:rPr>
          <w:rFonts w:hint="eastAsia" w:ascii="宋体" w:hAnsi="宋体" w:eastAsia="宋体" w:cs="宋体"/>
          <w:color w:val="auto"/>
          <w:sz w:val="24"/>
          <w:szCs w:val="24"/>
          <w:highlight w:val="none"/>
        </w:rPr>
        <w:t xml:space="preserve">所涉及系统操作，以“苏采云”系统最新要求为准</w:t>
      </w:r>
      <w:bookmarkEnd w:id="35"/>
      <w:r>
        <w:rPr>
          <w:rFonts w:hint="eastAsia" w:ascii="宋体" w:hAnsi="宋体" w:eastAsia="宋体" w:cs="宋体"/>
          <w:color w:val="auto"/>
          <w:sz w:val="24"/>
          <w:szCs w:val="24"/>
          <w:highlight w:val="none"/>
        </w:rPr>
        <w:t xml:space="preserve">。</w:t>
      </w:r>
      <w:bookmarkEnd w:id="31"/>
      <w:r/>
      <w:bookmarkEnd w:id="34"/>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21.信用查询</w:t>
      </w:r>
      <w:r/>
    </w:p>
    <w:p>
      <w:pPr>
        <w:ind w:firstLine="480"/>
        <w:spacing w:line="360" w:lineRule="auto"/>
        <w:rPr>
          <w:rFonts w:ascii="宋体" w:hAnsi="宋体" w:eastAsia="宋体" w:cs="宋体"/>
          <w:color w:val="auto"/>
          <w:sz w:val="24"/>
          <w:szCs w:val="24"/>
          <w:highlight w:val="none"/>
        </w:rPr>
      </w:pPr>
      <w:r/>
      <w:bookmarkStart w:id="36" w:name="_Hlk193375658"/>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21.1查询时间：投标（响应）文件提交截止时间。</w:t>
      </w:r>
      <w:r/>
    </w:p>
    <w:p>
      <w:pPr>
        <w:ind w:firstLine="480"/>
        <w:spacing w:line="360" w:lineRule="auto"/>
        <w:tabs>
          <w:tab w:val="left" w:pos="753"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21.2查询渠道：</w:t>
      </w:r>
      <w:bookmarkStart w:id="37" w:name="_Hlk92794284"/>
      <w:r>
        <w:rPr>
          <w:rFonts w:hint="eastAsia" w:ascii="宋体" w:hAnsi="宋体" w:eastAsia="宋体" w:cs="宋体"/>
          <w:bCs/>
          <w:color w:val="auto"/>
          <w:sz w:val="24"/>
          <w:szCs w:val="24"/>
          <w:highlight w:val="none"/>
        </w:rPr>
        <w:t xml:space="preserve">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宋体" w:hAnsi="宋体" w:eastAsia="宋体" w:cs="宋体"/>
          <w:bCs/>
          <w:color w:val="auto"/>
          <w:sz w:val="24"/>
          <w:szCs w:val="24"/>
          <w:highlight w:val="none"/>
        </w:rPr>
        <w:t xml:space="preserve">www.jscredit.gov.cn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）、诚信苏州（www.szcredit.gov.cn）。</w:t>
      </w:r>
      <w:r/>
    </w:p>
    <w:p>
      <w:pPr>
        <w:ind w:firstLine="480"/>
        <w:jc w:val="left"/>
        <w:spacing w:line="360" w:lineRule="auto"/>
        <w:tabs>
          <w:tab w:val="left" w:pos="753"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21.3查询证据留存方式：</w:t>
      </w:r>
      <w:bookmarkEnd w:id="37"/>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ascii="宋体" w:hAnsi="宋体" w:eastAsia="宋体" w:cs="宋体"/>
          <w:color w:val="auto"/>
          <w:highlight w:val="none"/>
        </w:rPr>
      </w:pPr>
      <w:r>
        <w:rPr>
          <w:rFonts w:hint="eastAsia" w:ascii="宋体" w:hAnsi="宋体" w:eastAsia="宋体" w:cs="宋体"/>
          <w:color w:val="auto"/>
          <w:sz w:val="24"/>
          <w:szCs w:val="24"/>
          <w:highlight w:val="none"/>
        </w:rPr>
        <w:t xml:space="preserve">21.4信用记录使用规则：</w:t>
      </w: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21.4.2财政部门与法院、工商、税务等部门联合惩戒的失信信息，包括：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21.4.2.1被列入失信被执行人名单；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21.4.2.2被列入重大税收违法案件当事人名单；</w:t>
      </w:r>
      <w:r/>
    </w:p>
    <w:p>
      <w:pPr>
        <w:ind w:firstLine="480"/>
        <w:spacing w:line="360" w:lineRule="auto"/>
        <w:rPr>
          <w:rFonts w:ascii="宋体" w:hAnsi="宋体" w:eastAsia="宋体" w:cs="宋体"/>
          <w:color w:val="auto"/>
          <w:sz w:val="24"/>
          <w:szCs w:val="24"/>
          <w:highlight w:val="none"/>
        </w:rPr>
      </w:pPr>
      <w:r/>
      <w:bookmarkStart w:id="38" w:name="_Hlk92794378"/>
      <w:r>
        <w:rPr>
          <w:rFonts w:hint="eastAsia" w:ascii="宋体" w:hAnsi="宋体" w:eastAsia="宋体" w:cs="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6"/>
      <w:r/>
      <w:bookmarkEnd w:id="38"/>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22.评标委员会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22.1评标委员会由采购人或采购代理机构依法组建,由采购单位代表、专家评委组成。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22.2评标委员会负责具体的评标事务，并独立履行以下职责：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22.2.1审查、评价投标（响应）文件是否符合招标文件的商务、技术等实质性要求；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22.2.2要求供应商对投标（响应）文件有关事项作出澄清或者说明；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22.2.3对投标（响应）文件进行比较和评价；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22.2.4</w:t>
      </w:r>
      <w:r>
        <w:rPr>
          <w:rFonts w:hint="eastAsia" w:ascii="宋体" w:hAnsi="宋体" w:eastAsia="宋体" w:cs="宋体"/>
          <w:color w:val="auto"/>
          <w:sz w:val="24"/>
          <w:szCs w:val="24"/>
          <w:highlight w:val="none"/>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22.2.5向采购人、采购代理机构或者有关部门报告评标中发现的违法行为；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22.3评标委员会成员应当履行下列义务：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22.3.1遵纪守法，客观、公正、廉洁地履行职责；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22.3.2按照招标文件规定的评标办法和评标标准进行评标，对评审意见承担个人责任；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22.3.3对评标过程和结果，以及供应商的商业秘密保密；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22.3.4参与评审报告的起草；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22.3.5配合相关部门的投诉处理工作；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22.3.6配合采购人或采购代理机构答复投标（响应）供应商提出的质疑。</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23.评标内容的保密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23.3在评标期间，</w:t>
      </w:r>
      <w:bookmarkStart w:id="39" w:name="_Hlk193376556"/>
      <w:r>
        <w:rPr>
          <w:rFonts w:hint="eastAsia" w:ascii="宋体" w:hAnsi="宋体" w:eastAsia="宋体" w:cs="宋体"/>
          <w:color w:val="auto"/>
          <w:sz w:val="24"/>
          <w:szCs w:val="24"/>
          <w:highlight w:val="none"/>
          <w:shd w:val="clear" w:color="auto" w:fill="ffffff"/>
        </w:rPr>
        <w:t xml:space="preserve">采购人或采购代理机构将通过指定联络人与供应商进行联系。</w:t>
      </w:r>
      <w:bookmarkEnd w:id="39"/>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24.对投标（响应）文件初审</w:t>
      </w:r>
      <w:r/>
    </w:p>
    <w:p>
      <w:pPr>
        <w:ind w:firstLine="476"/>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24.1开标结束后，采购人依法对供应商的资格进行审查。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24.2.1供应商的投标（响应）文件未按照本须知规定制作的；</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24.2.2与招标文件有重大偏离；</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24.2.3供应商拒绝修正错误；</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24.2.4供应商的报价是选择性的；</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24.2.5供应商的报价只投了部分内容；</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shd w:val="clear" w:color="auto" w:fill="ffffff"/>
        </w:rPr>
        <w:t xml:space="preserve">24.2.7其他被评标委员会认定无效的情况。</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color w:val="auto"/>
          <w:sz w:val="24"/>
          <w:szCs w:val="24"/>
          <w:highlight w:val="none"/>
          <w:shd w:val="clear" w:color="auto" w:fill="ffffff"/>
        </w:rPr>
      </w:pPr>
      <w:r/>
      <w:bookmarkStart w:id="40" w:name="_Hlk193377260"/>
      <w:r>
        <w:rPr>
          <w:rFonts w:hint="eastAsia" w:ascii="宋体" w:hAnsi="宋体" w:eastAsia="宋体" w:cs="宋体"/>
          <w:color w:val="auto"/>
          <w:sz w:val="24"/>
          <w:szCs w:val="24"/>
          <w:highlight w:val="none"/>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24.6.2大写金额和小写金额不一致的，以大写金额为准；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24.7供应商不同意以上修正，则其投标（响应）将被拒绝。</w:t>
      </w:r>
      <w:bookmarkEnd w:id="40"/>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color w:val="auto"/>
          <w:sz w:val="24"/>
          <w:szCs w:val="24"/>
          <w:highlight w:val="none"/>
          <w:shd w:val="clear" w:color="auto" w:fill="ffffff"/>
        </w:rPr>
        <w:t xml:space="preserve">（线上开评标项目可通过“苏采云”系统要求其提供）</w:t>
      </w:r>
      <w:bookmarkEnd w:id="41"/>
      <w:r>
        <w:rPr>
          <w:rFonts w:hint="eastAsia" w:ascii="宋体" w:hAnsi="宋体" w:eastAsia="宋体" w:cs="宋体"/>
          <w:color w:val="auto"/>
          <w:sz w:val="24"/>
          <w:szCs w:val="24"/>
          <w:highlight w:val="none"/>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color w:val="auto"/>
          <w:sz w:val="24"/>
          <w:szCs w:val="24"/>
          <w:highlight w:val="none"/>
          <w:shd w:val="clear" w:color="auto" w:fill="ffffff"/>
        </w:rPr>
      </w:pPr>
      <w:r/>
      <w:bookmarkStart w:id="42" w:name="_Hlk193377421"/>
      <w:r>
        <w:rPr>
          <w:rFonts w:hint="eastAsia" w:ascii="宋体" w:hAnsi="宋体" w:eastAsia="宋体" w:cs="宋体"/>
          <w:color w:val="auto"/>
          <w:sz w:val="24"/>
          <w:szCs w:val="24"/>
          <w:highlight w:val="none"/>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25.投标的澄清</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color w:val="auto"/>
          <w:sz w:val="24"/>
          <w:szCs w:val="24"/>
          <w:highlight w:val="none"/>
          <w:shd w:val="clear" w:color="auto" w:fill="ffffff"/>
        </w:rPr>
      </w:pPr>
      <w:r/>
      <w:bookmarkStart w:id="43" w:name="_Hlk158140503"/>
      <w:r/>
      <w:bookmarkStart w:id="44" w:name="_Hlk158140452"/>
      <w:r/>
      <w:bookmarkStart w:id="45" w:name="_Hlk193377538"/>
      <w:r/>
      <w:bookmarkStart w:id="46" w:name="_Hlk90656398"/>
      <w:r>
        <w:rPr>
          <w:rFonts w:hint="eastAsia" w:ascii="宋体" w:hAnsi="宋体" w:eastAsia="宋体" w:cs="宋体"/>
          <w:color w:val="auto"/>
          <w:sz w:val="24"/>
          <w:szCs w:val="24"/>
          <w:highlight w:val="none"/>
          <w:shd w:val="clear" w:color="auto" w:fill="ffffff"/>
        </w:rPr>
        <w:t xml:space="preserve">25.2本项目采用线上澄清</w:t>
      </w:r>
      <w:bookmarkEnd w:id="43"/>
      <w:r>
        <w:rPr>
          <w:rFonts w:hint="eastAsia" w:ascii="宋体" w:hAnsi="宋体" w:eastAsia="宋体" w:cs="宋体"/>
          <w:color w:val="auto"/>
          <w:sz w:val="24"/>
          <w:szCs w:val="24"/>
          <w:highlight w:val="none"/>
          <w:shd w:val="clear" w:color="auto" w:fill="ffffff"/>
        </w:rPr>
        <w:t xml:space="preserve">。</w:t>
      </w:r>
      <w:bookmarkEnd w:id="44"/>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26.废标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26.1在招标过程中，出现下列情况之一的，应予废标：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26.1.2出现影响采购公正的违法、违规行为的；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26.1.3供应商的报价均超过了采购预算，采购人不能支付的；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26.1.4因重大变故，采购任务取消的；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26.2废标后，采购代理机构将把废标的理由通知所有供应商。</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27.2.1投标（响应）者的资信情况和履约能力；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27.2.2投标（响应）者提供的其他优惠条件；</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28.中标单位的确认</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28.1评标委员会根据供应商资格审查情况，以及对投标（响应）文件进行评价和比较，按照评标办法和标准进行评标，并根据采购人的委托，按照中标候选人的顺序在中标候选人中直接确定中标人。</w:t>
      </w:r>
      <w:r/>
    </w:p>
    <w:p>
      <w:pPr>
        <w:ind w:firstLine="480"/>
        <w:spacing w:line="360" w:lineRule="auto"/>
        <w:widowControl/>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28.2经评</w:t>
      </w:r>
      <w:r>
        <w:rPr>
          <w:rFonts w:hint="eastAsia" w:ascii="宋体" w:hAnsi="宋体" w:eastAsia="宋体" w:cs="宋体"/>
          <w:color w:val="auto"/>
          <w:sz w:val="24"/>
          <w:szCs w:val="24"/>
          <w:highlight w:val="none"/>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E.授予合同</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29.合同授予标准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30.中标通知书</w:t>
      </w:r>
      <w:r/>
    </w:p>
    <w:p>
      <w:pPr>
        <w:ind w:firstLine="480"/>
        <w:spacing w:line="360" w:lineRule="auto"/>
        <w:rPr>
          <w:rFonts w:ascii="宋体" w:hAnsi="宋体" w:eastAsia="宋体" w:cs="宋体"/>
          <w:color w:val="auto"/>
          <w:sz w:val="24"/>
          <w:szCs w:val="24"/>
          <w:highlight w:val="none"/>
          <w:shd w:val="clear" w:color="auto" w:fill="ffffff"/>
        </w:rPr>
      </w:pPr>
      <w:r/>
      <w:bookmarkStart w:id="47" w:name="_Hlk193377906"/>
      <w:r>
        <w:rPr>
          <w:rFonts w:hint="eastAsia" w:ascii="宋体" w:hAnsi="宋体" w:eastAsia="宋体" w:cs="宋体"/>
          <w:color w:val="auto"/>
          <w:sz w:val="24"/>
          <w:szCs w:val="24"/>
          <w:highlight w:val="none"/>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30.3中标通知书将成为合同的组成部分。</w:t>
      </w:r>
      <w:bookmarkEnd w:id="47"/>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31.合同的签订</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color w:val="auto"/>
          <w:sz w:val="24"/>
          <w:szCs w:val="24"/>
          <w:highlight w:val="none"/>
          <w:shd w:val="clear" w:color="auto" w:fill="ffffff"/>
        </w:rPr>
      </w:pPr>
      <w:r/>
      <w:bookmarkStart w:id="48" w:name="_Hlk193378097"/>
      <w:r>
        <w:rPr>
          <w:rFonts w:hint="eastAsia" w:ascii="宋体" w:hAnsi="宋体" w:eastAsia="宋体" w:cs="宋体"/>
          <w:b/>
          <w:bCs/>
          <w:color w:val="auto"/>
          <w:sz w:val="24"/>
          <w:szCs w:val="20"/>
          <w:highlight w:val="none"/>
          <w:shd w:val="clear" w:color="auto" w:fill="ffffff"/>
        </w:rPr>
        <w:t xml:space="preserve">F.其他事项</w:t>
      </w:r>
      <w:bookmarkEnd w:id="48"/>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32.质疑</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32.1质疑及答复遵守《政府采购质疑和投诉办法》（财政部令第94号）规定。</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32.2.2对采购过程提出质疑的，为各采购程序环节结束之日；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32.2.3对中标结果提出质疑的，为中标结果公告期限届满之日。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32.7</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shd w:val="clear" w:color="auto" w:fill="ffffff"/>
        </w:rPr>
        <w:t xml:space="preserve">32.8</w:t>
      </w:r>
      <w:r>
        <w:rPr>
          <w:rFonts w:hint="eastAsia" w:ascii="宋体" w:hAnsi="宋体" w:eastAsia="宋体" w:cs="宋体"/>
          <w:color w:val="auto"/>
          <w:sz w:val="24"/>
          <w:szCs w:val="24"/>
          <w:highlight w:val="none"/>
          <w:lang w:val="zh-CN"/>
        </w:rPr>
        <w:t xml:space="preserve">质疑递交信息：详见第一章采购人及采购代理机构联系信息。</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33.代理服务费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33.1中标单位须按前附表的规定计算并支付代理服务费。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34.监督和公证</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34.1有关监督部门将对招投标全过程进行监督。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34.2开、评标过程将通过公证机关进行公证（如有）。</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35.未尽事宜</w:t>
      </w:r>
      <w:r/>
    </w:p>
    <w:p>
      <w:pPr>
        <w:ind w:firstLine="480"/>
        <w:spacing w:line="360" w:lineRule="auto"/>
        <w:rPr>
          <w:rFonts w:ascii="宋体" w:hAnsi="宋体" w:eastAsia="宋体" w:cs="宋体"/>
          <w:color w:val="auto"/>
          <w:sz w:val="32"/>
          <w:szCs w:val="32"/>
          <w:highlight w:val="none"/>
          <w:shd w:val="clear" w:color="auto" w:fill="ffffff"/>
        </w:rPr>
      </w:pPr>
      <w:r/>
      <w:bookmarkStart w:id="49" w:name="_Hlk193378690"/>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未尽事宜应按《中华人民共和国民法典》、《中华人民共和国政府采购法》以及其他相关法律、法规之规定解释。</w:t>
      </w:r>
      <w:bookmarkEnd w:id="49"/>
      <w:r>
        <w:rPr>
          <w:rFonts w:hint="eastAsia" w:ascii="宋体" w:hAnsi="宋体" w:eastAsia="宋体" w:cs="宋体"/>
          <w:color w:val="auto"/>
          <w:sz w:val="32"/>
          <w:szCs w:val="32"/>
          <w:highlight w:val="none"/>
          <w:shd w:val="clear" w:color="auto" w:fill="ffffff"/>
        </w:rPr>
        <w:br w:type="page" w:clear="all"/>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jc w:val="center"/>
        <w:keepLines/>
        <w:keepNext/>
        <w:spacing w:before="340" w:after="330" w:line="360" w:lineRule="auto"/>
        <w:rPr>
          <w:rFonts w:ascii="宋体" w:hAnsi="宋体" w:eastAsia="宋体" w:cs="宋体"/>
          <w:color w:val="auto"/>
          <w:sz w:val="52"/>
          <w:szCs w:val="20"/>
          <w:highlight w:val="none"/>
          <w:shd w:val="clear" w:color="auto" w:fill="ffffff"/>
        </w:rPr>
        <w:outlineLvl w:val="0"/>
      </w:pPr>
      <w:r/>
      <w:bookmarkStart w:id="50" w:name="_Toc105940239"/>
      <w:r>
        <w:rPr>
          <w:rFonts w:hint="eastAsia" w:ascii="宋体" w:hAnsi="宋体" w:eastAsia="宋体" w:cs="宋体"/>
          <w:b/>
          <w:color w:val="auto"/>
          <w:sz w:val="52"/>
          <w:szCs w:val="20"/>
          <w:highlight w:val="none"/>
          <w:shd w:val="clear" w:color="auto" w:fill="ffffff"/>
        </w:rPr>
        <w:t xml:space="preserve">第三章投标文件格式</w:t>
      </w:r>
      <w:bookmarkEnd w:id="50"/>
      <w:r/>
      <w:r/>
    </w:p>
    <w:p>
      <w:pPr>
        <w:jc w:val="left"/>
        <w:spacing w:line="360" w:lineRule="auto"/>
        <w:rPr>
          <w:rFonts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t xml:space="preserve">说明：</w:t>
      </w:r>
      <w:r/>
    </w:p>
    <w:p>
      <w:pPr>
        <w:ind w:firstLine="482"/>
        <w:jc w:val="left"/>
        <w:spacing w:line="360" w:lineRule="auto"/>
        <w:rPr>
          <w:rFonts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1"/>
          <w:highlight w:val="none"/>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color w:val="auto"/>
          <w:sz w:val="24"/>
          <w:szCs w:val="20"/>
          <w:highlight w:val="none"/>
          <w:shd w:val="clear" w:color="auto" w:fill="ffffff"/>
        </w:rPr>
        <w:t xml:space="preserve">。</w:t>
      </w:r>
      <w:r/>
    </w:p>
    <w:p>
      <w:pPr>
        <w:spacing w:line="360" w:lineRule="auto"/>
        <w:rPr>
          <w:rFonts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8"/>
          <w:szCs w:val="20"/>
          <w:highlight w:val="none"/>
          <w:shd w:val="clear" w:color="auto" w:fill="ffffff"/>
        </w:rPr>
        <w:br w:type="page" w:clear="all"/>
      </w:r>
      <w:r>
        <w:rPr>
          <w:rFonts w:hint="eastAsia" w:ascii="宋体" w:hAnsi="宋体" w:eastAsia="宋体" w:cs="宋体"/>
          <w:b/>
          <w:color w:val="auto"/>
          <w:sz w:val="24"/>
          <w:szCs w:val="20"/>
          <w:highlight w:val="none"/>
          <w:shd w:val="clear" w:color="auto" w:fill="ffffff"/>
        </w:rPr>
        <w:t xml:space="preserve">1、（供应商）法定代表人授权委托书</w:t>
      </w:r>
      <w:r/>
    </w:p>
    <w:p>
      <w:pPr>
        <w:jc w:val="cente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0"/>
          <w:highlight w:val="none"/>
        </w:rPr>
        <w:t xml:space="preserve">授权委托书</w:t>
      </w:r>
      <w:r/>
    </w:p>
    <w:p>
      <w:pPr>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360" w:lineRule="auto"/>
        <w:rPr>
          <w:rFonts w:ascii="宋体" w:hAnsi="宋体" w:eastAsia="宋体" w:cs="宋体"/>
          <w:color w:val="auto"/>
          <w:sz w:val="24"/>
          <w:szCs w:val="20"/>
          <w:highlight w:val="none"/>
        </w:rPr>
      </w:pPr>
      <w:r/>
      <w:bookmarkStart w:id="51" w:name="_Hlk117242496"/>
      <w:r>
        <w:rPr>
          <w:rFonts w:hint="eastAsia" w:ascii="宋体" w:hAnsi="宋体" w:eastAsia="宋体" w:cs="宋体"/>
          <w:color w:val="auto"/>
          <w:sz w:val="24"/>
          <w:szCs w:val="20"/>
          <w:highlight w:val="none"/>
        </w:rPr>
        <w:t xml:space="preserve">本授权委托书声明：我</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（姓名）系</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（供应商名称）的法定代表人，现授权委托</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（供应商名称）的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（姓名+手机号码）为本公司代理人，以本公司的名义参加本项目采购代理机构组织实施的编号为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highlight w:val="none"/>
          <w:u w:val="single"/>
        </w:rPr>
        <w:t xml:space="preserve">JSZC-320500-SZCH-G2026-0054</w:t>
      </w:r>
      <w:r>
        <w:rPr>
          <w:rFonts w:hint="eastAsia" w:ascii="宋体" w:hAnsi="宋体" w:eastAsia="宋体" w:cs="宋体"/>
          <w:color w:val="auto"/>
          <w:sz w:val="24"/>
          <w:szCs w:val="20"/>
          <w:highlight w:val="none"/>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代理人无转委托权。特此委托。</w:t>
      </w:r>
      <w:bookmarkEnd w:id="51"/>
      <w:r/>
      <w:r/>
    </w:p>
    <w:p>
      <w:pPr>
        <w:ind w:firstLine="480"/>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br w:type="page" w:clear="all"/>
      </w:r>
      <w:r/>
    </w:p>
    <w:p>
      <w:pPr>
        <w:jc w:val="left"/>
        <w:spacing w:line="360" w:lineRule="auto"/>
        <w:rPr>
          <w:rFonts w:ascii="宋体" w:hAnsi="宋体" w:eastAsia="宋体" w:cs="宋体"/>
          <w:b/>
          <w:color w:val="auto"/>
          <w:sz w:val="24"/>
          <w:szCs w:val="20"/>
          <w:highlight w:val="none"/>
        </w:rPr>
        <w:outlineLvl w:val="1"/>
      </w:pPr>
      <w:r>
        <w:rPr>
          <w:rFonts w:hint="eastAsia" w:ascii="宋体" w:hAnsi="宋体" w:eastAsia="宋体" w:cs="宋体"/>
          <w:b/>
          <w:color w:val="auto"/>
          <w:sz w:val="24"/>
          <w:szCs w:val="20"/>
          <w:highlight w:val="none"/>
        </w:rPr>
        <w:t xml:space="preserve">2、投标（响应）函</w:t>
      </w:r>
      <w:r/>
    </w:p>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投标（响应）函</w:t>
      </w:r>
      <w:r/>
    </w:p>
    <w:p>
      <w:pPr>
        <w:rPr>
          <w:rFonts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shd w:val="clear" w:color="auto" w:fill="ffffff"/>
        </w:rPr>
        <w:t xml:space="preserve">苏州诚和招投标咨询有限公司</w:t>
      </w:r>
      <w:r>
        <w:rPr>
          <w:rFonts w:hint="eastAsia" w:ascii="宋体" w:hAnsi="宋体" w:eastAsia="宋体" w:cs="宋体"/>
          <w:color w:val="auto"/>
          <w:sz w:val="24"/>
          <w:szCs w:val="24"/>
          <w:highlight w:val="none"/>
          <w:u w:val="single"/>
        </w:rPr>
        <w:t xml:space="preserve">：</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本公司收到贵司</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号招标文件，经仔细阅读和研究，本公司决定参加投标。</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1、本公司愿意按照招标文件的一切要求，提供完成该项目的全部内容，本公司的投标报价</w:t>
      </w:r>
      <w:r>
        <w:rPr>
          <w:rFonts w:hint="eastAsia" w:ascii="宋体" w:hAnsi="宋体" w:eastAsia="宋体" w:cs="宋体"/>
          <w:color w:val="auto"/>
          <w:sz w:val="24"/>
          <w:szCs w:val="24"/>
          <w:highlight w:val="none"/>
          <w:shd w:val="clear" w:color="auto" w:fill="ffffff"/>
        </w:rPr>
        <w:t xml:space="preserve">包括完成对应采购包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2、如果本公司的投标书被接受，本公司将严格履行招标文件中规定的每一项要求，按期、按质、按量履行合同的义务。</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3、本公司已详细审查全部招标文件，包括补充文件（更正公告，如有）。本公司完全理解并同意放弃对这方面有不明及误解的权利。</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4、本公司同意按招标文件中的规定，本投标书的有效期限为投标截止日起</w:t>
      </w:r>
      <w:r>
        <w:rPr>
          <w:rFonts w:hint="eastAsia" w:ascii="宋体" w:hAnsi="宋体" w:eastAsia="宋体" w:cs="宋体"/>
          <w:color w:val="auto"/>
          <w:sz w:val="24"/>
          <w:szCs w:val="20"/>
          <w:highlight w:val="none"/>
          <w:u w:val="single"/>
          <w:shd w:val="clear" w:color="auto" w:fill="ffffff"/>
        </w:rPr>
        <w:t xml:space="preserve">90</w:t>
      </w:r>
      <w:r>
        <w:rPr>
          <w:rFonts w:hint="eastAsia" w:ascii="宋体" w:hAnsi="宋体" w:eastAsia="宋体" w:cs="宋体"/>
          <w:color w:val="auto"/>
          <w:sz w:val="24"/>
          <w:szCs w:val="20"/>
          <w:highlight w:val="none"/>
          <w:shd w:val="clear" w:color="auto" w:fill="ffffff"/>
        </w:rPr>
        <w:t xml:space="preserve">天。</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5、本公司愿意提供采购人或采购代理机构在招标文件中要求的所有资料。</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6、</w:t>
      </w:r>
      <w:r>
        <w:rPr>
          <w:rFonts w:hint="eastAsia" w:ascii="宋体" w:hAnsi="宋体" w:eastAsia="宋体" w:cs="宋体"/>
          <w:color w:val="auto"/>
          <w:sz w:val="24"/>
          <w:szCs w:val="24"/>
          <w:highlight w:val="none"/>
          <w:shd w:val="clear" w:color="auto" w:fill="ffffff"/>
        </w:rPr>
        <w:t xml:space="preserve">本公司声明：本公司在参加本次政府采购活动前3年内在经营活动中没有重大违法记录。</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7、本公司愿意遵守招标公告及招标文件中所列的收费标准。</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8、本公司承诺该项投标在开标后的全过程中保持有效，不作任何更改和变动。</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9、如果本公司中标（成交），本公司愿意按采购文件规定支付履约保证金（如有）。</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10、本公司承诺符合</w:t>
      </w:r>
      <w:r>
        <w:rPr>
          <w:rFonts w:hint="eastAsia" w:ascii="宋体" w:hAnsi="宋体" w:eastAsia="宋体" w:cs="宋体"/>
          <w:color w:val="auto"/>
          <w:sz w:val="24"/>
          <w:szCs w:val="24"/>
          <w:highlight w:val="none"/>
        </w:rPr>
        <w:t xml:space="preserve">招标公告中的“申请人的资格要求”</w:t>
      </w:r>
      <w:r>
        <w:rPr>
          <w:rFonts w:hint="eastAsia" w:ascii="宋体" w:hAnsi="宋体" w:eastAsia="宋体" w:cs="宋体"/>
          <w:color w:val="auto"/>
          <w:sz w:val="24"/>
          <w:szCs w:val="20"/>
          <w:highlight w:val="none"/>
          <w:shd w:val="clear" w:color="auto" w:fill="ffffff"/>
        </w:rPr>
        <w:t xml:space="preserve">的要求，若与真实情况不符，本公司愿意承担由此而产生的一切后果。</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11、综合说明：</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（1）伴随服务及配合措施；</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（2）要求甲方提供的配合；</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（3）对招标文件有不同意见的偏离说明；</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（4）其他说明。</w:t>
      </w:r>
      <w:r/>
    </w:p>
    <w:p>
      <w:pPr>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所有有关</w:t>
      </w:r>
      <w:r>
        <w:rPr>
          <w:rFonts w:hint="eastAsia" w:ascii="宋体" w:hAnsi="宋体" w:eastAsia="宋体" w:cs="宋体"/>
          <w:color w:val="auto"/>
          <w:sz w:val="24"/>
          <w:szCs w:val="24"/>
          <w:highlight w:val="none"/>
        </w:rPr>
        <w:t xml:space="preserve">投标（响应）文件</w:t>
      </w:r>
      <w:r>
        <w:rPr>
          <w:rFonts w:hint="eastAsia" w:ascii="宋体" w:hAnsi="宋体" w:eastAsia="宋体" w:cs="宋体"/>
          <w:color w:val="auto"/>
          <w:sz w:val="24"/>
          <w:szCs w:val="20"/>
          <w:highlight w:val="none"/>
          <w:shd w:val="clear" w:color="auto" w:fill="ffffff"/>
        </w:rPr>
        <w:t xml:space="preserve">的函电，请按下列地址联系：</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                     联系人：                 地址：</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邮政编码：                 联系电话：               传真：</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公司电子邮箱：</w:t>
      </w:r>
      <w:r/>
    </w:p>
    <w:p>
      <w:pPr>
        <w:ind w:firstLine="48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银行账号：</w:t>
      </w:r>
      <w:r/>
    </w:p>
    <w:p>
      <w:pPr>
        <w:ind w:firstLine="48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银行开户行：</w:t>
      </w:r>
      <w:r/>
    </w:p>
    <w:p>
      <w:pPr>
        <w:ind w:firstLine="48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数字人民币开户行（如有）：</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highlight w:val="none"/>
          <w:shd w:val="clear" w:color="auto" w:fill="ffffff"/>
        </w:rPr>
        <w:t xml:space="preserve">数字人民币账户（数币钱包ID）：</w:t>
      </w:r>
      <w:r/>
    </w:p>
    <w:p>
      <w:pPr>
        <w:pStyle w:val="729"/>
        <w:spacing w:line="240" w:lineRule="auto"/>
        <w:rPr>
          <w:rFonts w:ascii="宋体" w:hAnsi="宋体" w:eastAsia="宋体" w:cs="宋体"/>
          <w:color w:val="auto"/>
          <w:highlight w:val="none"/>
        </w:rPr>
      </w:pPr>
      <w:r>
        <w:rPr>
          <w:rFonts w:ascii="宋体" w:hAnsi="宋体" w:eastAsia="宋体" w:cs="宋体"/>
          <w:color w:val="auto"/>
          <w:highlight w:val="none"/>
        </w:rPr>
      </w:r>
      <w:r/>
    </w:p>
    <w:p>
      <w:pPr>
        <w:ind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723"/>
        <w:ind w:firstLine="0"/>
        <w:jc w:val="both"/>
        <w:spacing w:line="360" w:lineRule="auto"/>
        <w:rPr>
          <w:rFonts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3、开标一览表</w:t>
      </w:r>
      <w:r/>
    </w:p>
    <w:p>
      <w:pPr>
        <w:pStyle w:val="1020"/>
        <w:jc w:val="center"/>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开标一览表</w:t>
      </w:r>
      <w:r/>
    </w:p>
    <w:p>
      <w:pPr>
        <w:ind w:firstLine="420"/>
        <w:spacing w:line="44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供应商全称：</w:t>
      </w:r>
      <w:bookmarkStart w:id="52" w:name="TBR"/>
      <w:r/>
      <w:bookmarkEnd w:id="52"/>
      <w:r/>
      <w:r/>
    </w:p>
    <w:p>
      <w:pPr>
        <w:ind w:firstLine="420"/>
        <w:spacing w:line="44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bookmarkStart w:id="53" w:name="XMBH"/>
      <w:r/>
      <w:bookmarkEnd w:id="53"/>
      <w:r/>
      <w:r/>
    </w:p>
    <w:p>
      <w:pPr>
        <w:ind w:firstLine="420"/>
        <w:spacing w:line="44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分包号：</w:t>
      </w:r>
      <w:bookmarkStart w:id="54" w:name="FBH"/>
      <w:r/>
      <w:bookmarkEnd w:id="54"/>
      <w:r/>
      <w:r/>
    </w:p>
    <w:tbl>
      <w:tblPr>
        <w:tblStyle w:val="720"/>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ascii="宋体" w:hAnsi="宋体" w:eastAsia="宋体" w:cs="宋体"/>
                <w:color w:val="auto"/>
                <w:sz w:val="24"/>
                <w:szCs w:val="24"/>
                <w:highlight w:val="none"/>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bookmarkStart w:id="56" w:name="JEXX"/>
            <w:r/>
            <w:bookmarkEnd w:id="56"/>
            <w:r>
              <w:rPr>
                <w:rFonts w:hint="eastAsia" w:ascii="宋体" w:hAnsi="宋体" w:eastAsia="宋体" w:cs="宋体"/>
                <w:color w:val="auto"/>
                <w:sz w:val="24"/>
                <w:szCs w:val="24"/>
                <w:highlight w:val="none"/>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ascii="宋体" w:hAnsi="宋体" w:eastAsia="宋体" w:cs="宋体"/>
                <w:color w:val="auto"/>
                <w:sz w:val="24"/>
                <w:szCs w:val="24"/>
                <w:highlight w:val="none"/>
              </w:rPr>
            </w:pPr>
            <w:r/>
            <w:bookmarkStart w:id="57" w:name="JEDX"/>
            <w:r/>
            <w:bookmarkEnd w:id="57"/>
            <w:r/>
            <w:r/>
          </w:p>
        </w:tc>
      </w:tr>
    </w:tbl>
    <w:p>
      <w:pPr>
        <w:ind w:left="1024"/>
        <w:spacing w:line="60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highlight w:val="none"/>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4、</w:t>
      </w:r>
      <w:r>
        <w:rPr>
          <w:rFonts w:hint="eastAsia" w:ascii="宋体" w:hAnsi="宋体" w:eastAsia="宋体" w:cs="宋体"/>
          <w:b/>
          <w:bCs/>
          <w:color w:val="auto"/>
          <w:sz w:val="24"/>
          <w:szCs w:val="24"/>
          <w:highlight w:val="none"/>
          <w:shd w:val="clear" w:color="auto" w:fill="ffffff"/>
        </w:rPr>
        <w:t xml:space="preserve">投标</w:t>
      </w:r>
      <w:r>
        <w:rPr>
          <w:rFonts w:hint="eastAsia" w:ascii="宋体" w:hAnsi="宋体" w:eastAsia="宋体" w:cs="宋体"/>
          <w:b/>
          <w:color w:val="auto"/>
          <w:sz w:val="24"/>
          <w:szCs w:val="24"/>
          <w:highlight w:val="none"/>
          <w:shd w:val="clear" w:color="auto" w:fill="ffffff"/>
        </w:rPr>
        <w:t xml:space="preserve">（响应）</w:t>
      </w:r>
      <w:r>
        <w:rPr>
          <w:rFonts w:hint="eastAsia" w:ascii="宋体" w:hAnsi="宋体" w:eastAsia="宋体" w:cs="宋体"/>
          <w:b/>
          <w:bCs/>
          <w:color w:val="auto"/>
          <w:sz w:val="24"/>
          <w:szCs w:val="24"/>
          <w:highlight w:val="none"/>
          <w:shd w:val="clear" w:color="auto" w:fill="ffffff"/>
        </w:rPr>
        <w:t xml:space="preserve">报价明细表</w:t>
      </w:r>
      <w:r/>
    </w:p>
    <w:p>
      <w:pPr>
        <w:pStyle w:val="731"/>
        <w:ind w:left="0" w:right="0" w:firstLine="0"/>
        <w:jc w:val="center"/>
        <w:rPr>
          <w:rFonts w:hint="default" w:ascii="宋体" w:hAnsi="宋体" w:eastAsia="宋体" w:cs="宋体"/>
          <w:b/>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 xml:space="preserve">投标</w:t>
      </w:r>
      <w:r>
        <w:rPr>
          <w:rFonts w:ascii="宋体" w:hAnsi="宋体" w:eastAsia="宋体" w:cs="宋体"/>
          <w:b/>
          <w:color w:val="auto"/>
          <w:sz w:val="24"/>
          <w:szCs w:val="24"/>
          <w:highlight w:val="none"/>
          <w:shd w:val="clear" w:color="auto" w:fill="ffffff"/>
        </w:rPr>
        <w:t xml:space="preserve">（响应）</w:t>
      </w:r>
      <w:r>
        <w:rPr>
          <w:rFonts w:ascii="宋体" w:hAnsi="宋体" w:eastAsia="宋体" w:cs="宋体"/>
          <w:b/>
          <w:bCs/>
          <w:color w:val="auto"/>
          <w:sz w:val="24"/>
          <w:szCs w:val="24"/>
          <w:highlight w:val="none"/>
          <w:shd w:val="clear" w:color="auto" w:fill="ffffff"/>
        </w:rPr>
        <w:t xml:space="preserve">报价明细表</w:t>
      </w:r>
      <w:r/>
    </w:p>
    <w:tbl>
      <w:tblPr>
        <w:tblStyle w:val="720"/>
        <w:tblW w:w="4423" w:type="pct"/>
        <w:jc w:val="center"/>
        <w:tblLayout w:type="autofit"/>
        <w:tblCellMar>
          <w:left w:w="0" w:type="dxa"/>
          <w:top w:w="0" w:type="dxa"/>
          <w:right w:w="0" w:type="dxa"/>
          <w:bottom w:w="0" w:type="dxa"/>
        </w:tblCellMar>
        <w:tblLook w:val="04A0" w:firstRow="1" w:lastRow="0" w:firstColumn="1" w:lastColumn="0" w:noHBand="0" w:noVBand="1"/>
      </w:tblPr>
      <w:tblGrid>
        <w:gridCol w:w="595"/>
        <w:gridCol w:w="1420"/>
        <w:gridCol w:w="916"/>
        <w:gridCol w:w="1033"/>
        <w:gridCol w:w="1061"/>
        <w:gridCol w:w="735"/>
        <w:gridCol w:w="657"/>
        <w:gridCol w:w="1113"/>
        <w:gridCol w:w="996"/>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b/>
                <w:color w:val="auto"/>
                <w:szCs w:val="21"/>
                <w:highlight w:val="none"/>
              </w:rPr>
            </w:pPr>
            <w:r>
              <w:rPr>
                <w:rFonts w:hint="eastAsia" w:ascii="宋体" w:hAnsi="宋体" w:eastAsia="宋体" w:cs="宋体"/>
                <w:b/>
                <w:color w:val="auto"/>
                <w:spacing w:val="20"/>
                <w:szCs w:val="24"/>
                <w:highlight w:val="none"/>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品牌</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总价</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widowControl/>
              <w:rPr>
                <w:rFonts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t xml:space="preserve">投标总价：</w:t>
            </w:r>
            <w:r>
              <w:rPr>
                <w:rFonts w:hint="eastAsia" w:ascii="宋体" w:hAnsi="宋体" w:eastAsia="宋体" w:cs="宋体"/>
                <w:b/>
                <w:color w:val="auto"/>
                <w:szCs w:val="21"/>
                <w:highlight w:val="none"/>
              </w:rPr>
              <w:t xml:space="preserve">（大写）人民币元                      （</w:t>
            </w:r>
            <w:r>
              <w:rPr>
                <w:rFonts w:hint="eastAsia" w:ascii="宋体" w:hAnsi="宋体" w:eastAsia="宋体" w:cs="宋体"/>
                <w:color w:val="auto"/>
                <w:sz w:val="24"/>
                <w:szCs w:val="20"/>
                <w:highlight w:val="none"/>
              </w:rPr>
              <w:t xml:space="preserve">¥</w:t>
            </w:r>
            <w:r>
              <w:rPr>
                <w:rFonts w:hint="eastAsia" w:ascii="宋体" w:hAnsi="宋体" w:eastAsia="宋体" w:cs="宋体"/>
                <w:b/>
                <w:color w:val="auto"/>
                <w:szCs w:val="21"/>
                <w:highlight w:val="none"/>
              </w:rPr>
              <w:t xml:space="preserve">           元）</w:t>
            </w:r>
            <w:r/>
          </w:p>
        </w:tc>
      </w:tr>
    </w:tbl>
    <w:p>
      <w:pPr>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jc w:val="left"/>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5、投标货物和服务数量、品牌型号、技术要求、交货期</w:t>
      </w:r>
      <w:r/>
    </w:p>
    <w:p>
      <w:pPr>
        <w:pStyle w:val="723"/>
        <w:ind w:firstLine="0"/>
        <w:jc w:val="center"/>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投标货物和服务数量、品牌型号、技术要求、交货期</w:t>
      </w:r>
      <w:r/>
    </w:p>
    <w:tbl>
      <w:tblPr>
        <w:tblStyle w:val="7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70"/>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0"/>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0"/>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bl>
    <w:p>
      <w:pPr>
        <w:pStyle w:val="723"/>
        <w:ind w:firstLine="0"/>
        <w:jc w:val="both"/>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1034"/>
        <w:ind w:firstLine="480"/>
        <w:spacing w:line="320" w:lineRule="exact"/>
        <w:rPr>
          <w:rFonts w:hAnsi="宋体" w:eastAsia="宋体" w:cs="宋体"/>
          <w:color w:val="auto"/>
          <w:sz w:val="24"/>
          <w:szCs w:val="24"/>
          <w:highlight w:val="none"/>
          <w:shd w:val="clear" w:color="auto" w:fill="ffffff"/>
        </w:rPr>
      </w:pPr>
      <w:r>
        <w:rPr>
          <w:rFonts w:hAnsi="宋体" w:eastAsia="宋体" w:cs="宋体"/>
          <w:color w:val="auto"/>
          <w:sz w:val="24"/>
          <w:szCs w:val="24"/>
          <w:highlight w:val="none"/>
          <w:shd w:val="clear" w:color="auto" w:fill="ffffff"/>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6、针对本项目制定的实施方案</w:t>
      </w:r>
      <w:r/>
    </w:p>
    <w:p>
      <w:pPr>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针对本项目制定的实施方案</w:t>
      </w:r>
      <w:r/>
    </w:p>
    <w:tbl>
      <w:tblPr>
        <w:tblStyle w:val="720"/>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color w:val="auto"/>
                <w:sz w:val="24"/>
                <w:szCs w:val="21"/>
                <w:highlight w:val="none"/>
                <w:shd w:val="clear" w:color="auto" w:fill="ffffff"/>
              </w:rPr>
            </w:pPr>
            <w:r>
              <w:rPr>
                <w:rFonts w:hint="eastAsia" w:ascii="宋体" w:hAnsi="宋体" w:eastAsia="宋体" w:cs="宋体"/>
                <w:color w:val="auto"/>
                <w:sz w:val="24"/>
                <w:szCs w:val="24"/>
                <w:highlight w:val="none"/>
                <w:shd w:val="clear" w:color="auto" w:fill="ffffff"/>
              </w:rPr>
              <w:t xml:space="preserve">提示：</w:t>
            </w:r>
            <w:r>
              <w:rPr>
                <w:rFonts w:hint="eastAsia" w:ascii="宋体" w:hAnsi="宋体" w:eastAsia="宋体" w:cs="宋体"/>
                <w:bCs/>
                <w:color w:val="auto"/>
                <w:sz w:val="24"/>
                <w:szCs w:val="24"/>
                <w:highlight w:val="none"/>
              </w:rPr>
              <w:t xml:space="preserve">供应商应根据本次采购项目要求，对实施方案等进行详细的说明与描述。</w:t>
            </w:r>
            <w:r>
              <w:rPr>
                <w:rFonts w:hint="eastAsia" w:ascii="宋体" w:hAnsi="宋体" w:eastAsia="宋体" w:cs="宋体"/>
                <w:color w:val="auto"/>
                <w:sz w:val="24"/>
                <w:szCs w:val="24"/>
                <w:highlight w:val="none"/>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260"/>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ind w:firstLine="260"/>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tc>
      </w:tr>
    </w:tbl>
    <w:p>
      <w:pPr>
        <w:ind w:firstLine="480"/>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7、</w:t>
      </w:r>
      <w:r>
        <w:rPr>
          <w:rFonts w:hint="eastAsia" w:ascii="宋体" w:hAnsi="宋体" w:eastAsia="宋体" w:cs="宋体"/>
          <w:b/>
          <w:color w:val="auto"/>
          <w:sz w:val="24"/>
          <w:szCs w:val="24"/>
          <w:highlight w:val="none"/>
        </w:rPr>
        <w:t xml:space="preserve">技术或服务</w:t>
      </w:r>
      <w:r>
        <w:rPr>
          <w:rFonts w:hint="eastAsia" w:ascii="宋体" w:hAnsi="宋体" w:eastAsia="宋体" w:cs="宋体"/>
          <w:b/>
          <w:color w:val="auto"/>
          <w:sz w:val="24"/>
          <w:szCs w:val="24"/>
          <w:highlight w:val="none"/>
          <w:shd w:val="clear" w:color="auto" w:fill="ffffff"/>
        </w:rPr>
        <w:t xml:space="preserve">要求偏离表</w:t>
      </w:r>
      <w:r/>
    </w:p>
    <w:p>
      <w:pPr>
        <w:pStyle w:val="730"/>
        <w:ind w:left="0"/>
        <w:jc w:val="center"/>
        <w:spacing w:line="360" w:lineRule="auto"/>
        <w:rPr>
          <w:color w:val="auto"/>
          <w:highlight w:val="none"/>
          <w:lang w:val="zh-CN"/>
        </w:rPr>
      </w:pPr>
      <w:r>
        <w:rPr>
          <w:rFonts w:hint="eastAsia" w:ascii="宋体" w:hAnsi="宋体" w:eastAsia="宋体" w:cs="宋体"/>
          <w:b/>
          <w:color w:val="auto"/>
          <w:szCs w:val="24"/>
          <w:highlight w:val="none"/>
        </w:rPr>
        <w:t xml:space="preserve">技术或服务</w:t>
      </w:r>
      <w:r>
        <w:rPr>
          <w:rFonts w:hint="eastAsia" w:ascii="宋体" w:hAnsi="宋体" w:eastAsia="宋体" w:cs="宋体"/>
          <w:b/>
          <w:color w:val="auto"/>
          <w:szCs w:val="24"/>
          <w:highlight w:val="none"/>
          <w:shd w:val="clear" w:color="auto" w:fill="ffffff"/>
        </w:rPr>
        <w:t xml:space="preserve">要求偏离表</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bl>
    <w:p>
      <w:pPr>
        <w:pStyle w:val="762"/>
        <w:ind w:firstLine="520"/>
        <w:rPr>
          <w:rFonts w:ascii="宋体" w:hAnsi="宋体" w:eastAsia="宋体" w:cs="宋体"/>
          <w:color w:val="auto"/>
          <w:highlight w:val="none"/>
        </w:rPr>
      </w:pPr>
      <w:r>
        <w:rPr>
          <w:rFonts w:ascii="宋体" w:hAnsi="宋体" w:eastAsia="宋体" w:cs="宋体"/>
          <w:color w:val="auto"/>
          <w:highlight w:val="none"/>
        </w:rPr>
      </w:r>
      <w:r/>
    </w:p>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w:t>
      </w:r>
      <w:r>
        <w:rPr>
          <w:rFonts w:hint="eastAsia" w:ascii="宋体" w:hAnsi="宋体" w:eastAsia="宋体" w:cs="宋体"/>
          <w:b/>
          <w:color w:val="auto"/>
          <w:sz w:val="24"/>
          <w:szCs w:val="24"/>
          <w:highlight w:val="none"/>
          <w:shd w:val="clear" w:color="auto" w:fill="ffffff"/>
        </w:rPr>
        <w:t xml:space="preserve">服务</w:t>
      </w:r>
      <w:r>
        <w:rPr>
          <w:rFonts w:hint="eastAsia" w:ascii="宋体" w:hAnsi="宋体" w:eastAsia="宋体" w:cs="宋体"/>
          <w:b/>
          <w:color w:val="auto"/>
          <w:sz w:val="24"/>
          <w:szCs w:val="24"/>
          <w:highlight w:val="none"/>
          <w:shd w:val="clear" w:color="auto" w:fill="ffffff"/>
          <w:lang w:eastAsia="zh"/>
        </w:rPr>
        <w:t xml:space="preserve">条款详细描述和说明的替代。</w:t>
      </w:r>
      <w:r/>
    </w:p>
    <w:p>
      <w:pPr>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8、商务要求偏离表</w:t>
      </w:r>
      <w:r/>
    </w:p>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商务要求偏离表</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6"/>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bl>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9、拟投入本项目人员配备一览表</w:t>
      </w:r>
      <w:r/>
    </w:p>
    <w:p>
      <w:pPr>
        <w:jc w:val="center"/>
        <w:spacing w:line="360" w:lineRule="auto"/>
        <w:rPr>
          <w:rFonts w:ascii="宋体" w:hAnsi="宋体" w:eastAsia="宋体" w:cs="宋体"/>
          <w:b/>
          <w:color w:val="auto"/>
          <w:sz w:val="26"/>
          <w:szCs w:val="20"/>
          <w:highlight w:val="none"/>
        </w:rPr>
      </w:pPr>
      <w:r>
        <w:rPr>
          <w:rFonts w:hint="eastAsia" w:ascii="宋体" w:hAnsi="宋体" w:eastAsia="宋体" w:cs="宋体"/>
          <w:b/>
          <w:color w:val="auto"/>
          <w:sz w:val="24"/>
          <w:szCs w:val="24"/>
          <w:highlight w:val="none"/>
        </w:rPr>
        <w:t xml:space="preserve">拟投入本项目人员配备一览表</w:t>
      </w:r>
      <w:r/>
    </w:p>
    <w:tbl>
      <w:tblPr>
        <w:tblStyle w:val="720"/>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注：投标人根据招标文件要求及自身情况配备项目团队成员。</w:t>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1"/>
          <w:highlight w:val="none"/>
        </w:rPr>
        <w:t xml:space="preserve">10、类似业绩情况表</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类似业绩情况表（如有）</w:t>
      </w:r>
      <w:r/>
    </w:p>
    <w:tbl>
      <w:tblPr>
        <w:tblStyle w:val="720"/>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合同金额（万元）</w:t>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pStyle w:val="731"/>
        <w:rPr>
          <w:rFonts w:hint="default" w:ascii="宋体" w:hAnsi="宋体" w:eastAsia="宋体" w:cs="宋体"/>
          <w:color w:val="auto"/>
          <w:highlight w:val="none"/>
        </w:rPr>
      </w:pPr>
      <w:r>
        <w:rPr>
          <w:rFonts w:hint="default" w:ascii="宋体" w:hAnsi="宋体" w:eastAsia="宋体" w:cs="宋体"/>
          <w:color w:val="auto"/>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spacing w:line="360" w:lineRule="auto"/>
        <w:rPr>
          <w:rFonts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4"/>
          <w:szCs w:val="21"/>
          <w:highlight w:val="none"/>
        </w:rPr>
        <w:t xml:space="preserve">11、资格证明文件</w:t>
      </w:r>
      <w:r/>
    </w:p>
    <w:p>
      <w:pPr>
        <w:spacing w:line="360" w:lineRule="auto"/>
        <w:rPr>
          <w:rFonts w:ascii="宋体" w:hAnsi="宋体" w:eastAsia="宋体" w:cs="宋体"/>
          <w:b/>
          <w:color w:val="auto"/>
          <w:sz w:val="24"/>
          <w:szCs w:val="20"/>
          <w:highlight w:val="none"/>
          <w:shd w:val="clear" w:color="auto" w:fill="ffffff"/>
        </w:rPr>
      </w:pPr>
      <w:r>
        <w:rPr>
          <w:rFonts w:ascii="宋体" w:hAnsi="宋体" w:eastAsia="宋体" w:cs="宋体"/>
          <w:b/>
          <w:color w:val="auto"/>
          <w:sz w:val="24"/>
          <w:szCs w:val="20"/>
          <w:highlight w:val="none"/>
          <w:shd w:val="clear" w:color="auto" w:fill="ffffff"/>
        </w:rPr>
      </w:r>
      <w:r/>
    </w:p>
    <w:p>
      <w:pPr>
        <w:spacing w:line="360" w:lineRule="auto"/>
        <w:rPr>
          <w:rFonts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（1）资格文件的声明函</w:t>
      </w:r>
      <w:r/>
    </w:p>
    <w:p>
      <w:pPr>
        <w:jc w:val="center"/>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资格文件的声明函</w:t>
      </w:r>
      <w:r/>
    </w:p>
    <w:p>
      <w:pPr>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shd w:val="clear" w:color="auto" w:fill="ffffff"/>
        </w:rPr>
        <w:t xml:space="preserve">苏州诚和招投标咨询有限公司</w:t>
      </w:r>
      <w:r>
        <w:rPr>
          <w:rFonts w:hint="eastAsia" w:ascii="宋体" w:hAnsi="宋体" w:eastAsia="宋体" w:cs="宋体"/>
          <w:color w:val="auto"/>
          <w:sz w:val="24"/>
          <w:szCs w:val="24"/>
          <w:highlight w:val="none"/>
          <w:u w:val="single"/>
        </w:rPr>
        <w:t xml:space="preserve">：</w:t>
      </w:r>
      <w:r/>
    </w:p>
    <w:p>
      <w:pPr>
        <w:ind w:firstLine="480"/>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本公司愿就由贵司组织实施的编号为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480"/>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br w:type="page" w:clear="all"/>
      </w:r>
      <w:r>
        <w:rPr>
          <w:rFonts w:hint="eastAsia" w:ascii="宋体" w:hAnsi="宋体" w:eastAsia="宋体" w:cs="宋体"/>
          <w:b/>
          <w:color w:val="auto"/>
          <w:sz w:val="24"/>
          <w:szCs w:val="20"/>
          <w:highlight w:val="none"/>
          <w:shd w:val="clear" w:color="auto" w:fill="ffffff"/>
        </w:rPr>
        <w:t xml:space="preserve">（2）供应商基本情况表</w:t>
      </w:r>
      <w:r/>
    </w:p>
    <w:p>
      <w:pPr>
        <w:jc w:val="center"/>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供应商基本情况表</w:t>
      </w:r>
      <w:r/>
    </w:p>
    <w:p>
      <w:pPr>
        <w:ind w:firstLine="480"/>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单位名称：</w:t>
      </w:r>
      <w:r/>
    </w:p>
    <w:tbl>
      <w:tblPr>
        <w:tblStyle w:val="7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92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300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92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92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gridSpan w:val="2"/>
            <w:tcW w:w="350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920" w:type="dxa"/>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3008" w:type="dxa"/>
            <w:vAlign w:val="center"/>
            <w:textDirection w:val="lrTb"/>
            <w:noWrap w:val="false"/>
          </w:tcPr>
          <w:p>
            <w:pPr>
              <w:ind w:firstLine="96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920" w:type="dxa"/>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3008" w:type="dxa"/>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2025年    万元</w:t>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92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2025年  万元</w:t>
            </w:r>
            <w:r/>
          </w:p>
        </w:tc>
        <w:tc>
          <w:tcPr>
            <w:tcW w:w="14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gridSpan w:val="2"/>
            <w:tcW w:w="300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920" w:type="dxa"/>
            <w:vAlign w:val="center"/>
            <w:textDirection w:val="lrTb"/>
            <w:noWrap w:val="false"/>
          </w:tcPr>
          <w:p>
            <w:pPr>
              <w:ind w:firstLine="96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14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300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bCs/>
          <w:color w:val="auto"/>
          <w:szCs w:val="24"/>
          <w:highlight w:val="none"/>
          <w:shd w:val="clear" w:color="auto" w:fill="ffffff"/>
        </w:rPr>
      </w:pPr>
      <w:r>
        <w:rPr>
          <w:rFonts w:hint="eastAsia" w:ascii="宋体" w:hAnsi="宋体" w:eastAsia="宋体" w:cs="宋体"/>
          <w:b/>
          <w:bCs/>
          <w:color w:val="auto"/>
          <w:szCs w:val="24"/>
          <w:highlight w:val="none"/>
          <w:shd w:val="clear" w:color="auto" w:fill="ffffff"/>
        </w:rPr>
        <w:br w:type="page" w:clear="all"/>
      </w:r>
      <w:r/>
    </w:p>
    <w:p>
      <w:pPr>
        <w:spacing w:line="360" w:lineRule="auto"/>
        <w:rPr>
          <w:rFonts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（3）关于符合本国产品标准的声明函</w:t>
      </w:r>
      <w:r/>
    </w:p>
    <w:p>
      <w:pPr>
        <w:ind w:firstLine="200"/>
        <w:spacing w:line="360" w:lineRule="auto"/>
        <w:rPr>
          <w:rFonts w:ascii="宋体" w:hAnsi="宋体" w:eastAsia="宋体" w:cs="宋体"/>
          <w:color w:val="auto"/>
          <w:sz w:val="24"/>
          <w:szCs w:val="24"/>
          <w:highlight w:val="none"/>
        </w:rPr>
      </w:pPr>
      <w:r/>
      <w:bookmarkStart w:id="58" w:name="OLE_LINK6"/>
      <w:r/>
      <w:bookmarkEnd w:id="58"/>
      <w:r/>
      <w:bookmarkStart w:id="59" w:name="OLE_LINK5"/>
      <w:r/>
      <w:bookmarkEnd w:id="59"/>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58"/>
        <w:ind w:firstLine="480"/>
        <w:jc w:val="both"/>
        <w:spacing w:before="0" w:beforeAutospacing="0" w:after="0" w:afterAutospacing="0" w:line="360" w:lineRule="auto"/>
        <w:rPr>
          <w:rFonts w:ascii="宋体" w:hAnsi="宋体" w:eastAsia="宋体" w:cs="宋体"/>
          <w:color w:val="auto"/>
          <w:szCs w:val="24"/>
          <w:highlight w:val="none"/>
        </w:rPr>
      </w:pPr>
      <w:r/>
      <w:bookmarkStart w:id="60" w:name="OLE_LINK12"/>
      <w:r>
        <w:rPr>
          <w:rFonts w:hint="eastAsia" w:ascii="宋体" w:hAnsi="宋体" w:eastAsia="宋体" w:cs="宋体"/>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80"/>
        <w:jc w:val="both"/>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w:t xml:space="preserve">1.</w:t>
      </w:r>
      <w:r>
        <w:rPr>
          <w:rStyle w:val="768"/>
          <w:rFonts w:hint="eastAsia" w:ascii="宋体" w:hAnsi="宋体" w:eastAsia="宋体" w:cs="宋体"/>
          <w:i w:val="0"/>
          <w:color w:val="auto"/>
          <w:szCs w:val="24"/>
          <w:highlight w:val="none"/>
          <w:u w:val="single"/>
          <w:shd w:val="clear" w:color="auto" w:fill="ffffff"/>
        </w:rPr>
        <w:t xml:space="preserve">（产品名称1）</w:t>
      </w:r>
      <w:r>
        <w:rPr>
          <w:rStyle w:val="768"/>
          <w:rFonts w:hint="eastAsia" w:ascii="宋体" w:hAnsi="宋体" w:eastAsia="宋体" w:cs="宋体"/>
          <w:i w:val="0"/>
          <w:color w:val="auto"/>
          <w:szCs w:val="24"/>
          <w:highlight w:val="none"/>
          <w:shd w:val="clear" w:color="auto" w:fill="ffffff"/>
          <w:vertAlign w:val="superscript"/>
        </w:rPr>
        <w:t xml:space="preserve">1</w:t>
      </w:r>
      <w:r>
        <w:rPr>
          <w:rFonts w:hint="eastAsia" w:ascii="宋体" w:hAnsi="宋体" w:eastAsia="宋体" w:cs="宋体"/>
          <w:color w:val="auto"/>
          <w:szCs w:val="24"/>
          <w:highlight w:val="none"/>
          <w:shd w:val="clear" w:color="auto" w:fill="ffffff"/>
        </w:rPr>
        <w:t xml:space="preserve">，生产厂为</w:t>
      </w:r>
      <w:r>
        <w:rPr>
          <w:rStyle w:val="768"/>
          <w:rFonts w:hint="eastAsia" w:ascii="宋体" w:hAnsi="宋体" w:eastAsia="宋体" w:cs="宋体"/>
          <w:i w:val="0"/>
          <w:color w:val="auto"/>
          <w:szCs w:val="24"/>
          <w:highlight w:val="none"/>
          <w:u w:val="single"/>
          <w:shd w:val="clear" w:color="auto" w:fill="ffffff"/>
        </w:rPr>
        <w:t xml:space="preserve">（厂名）</w:t>
      </w:r>
      <w:r>
        <w:rPr>
          <w:rStyle w:val="768"/>
          <w:rFonts w:hint="eastAsia" w:ascii="宋体" w:hAnsi="宋体" w:eastAsia="宋体" w:cs="宋体"/>
          <w:i w:val="0"/>
          <w:color w:val="auto"/>
          <w:szCs w:val="24"/>
          <w:highlight w:val="none"/>
          <w:shd w:val="clear" w:color="auto" w:fill="ffffff"/>
          <w:vertAlign w:val="superscript"/>
        </w:rPr>
        <w:t xml:space="preserve">2</w:t>
      </w:r>
      <w:r>
        <w:rPr>
          <w:rFonts w:hint="eastAsia" w:ascii="宋体" w:hAnsi="宋体" w:eastAsia="宋体" w:cs="宋体"/>
          <w:color w:val="auto"/>
          <w:szCs w:val="24"/>
          <w:highlight w:val="none"/>
          <w:shd w:val="clear" w:color="auto" w:fill="ffffff"/>
        </w:rPr>
        <w:t xml:space="preserve">，厂址为</w:t>
      </w:r>
      <w:r>
        <w:rPr>
          <w:rStyle w:val="768"/>
          <w:rFonts w:hint="eastAsia" w:ascii="宋体" w:hAnsi="宋体" w:eastAsia="宋体" w:cs="宋体"/>
          <w:i w:val="0"/>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 </w:t>
      </w:r>
      <w:r>
        <w:rPr>
          <w:rStyle w:val="768"/>
          <w:rFonts w:hint="eastAsia" w:ascii="宋体" w:hAnsi="宋体" w:eastAsia="宋体" w:cs="宋体"/>
          <w:i w:val="0"/>
          <w:color w:val="auto"/>
          <w:szCs w:val="24"/>
          <w:highlight w:val="none"/>
          <w:u w:val="single"/>
          <w:shd w:val="clear" w:color="auto" w:fill="ffffff"/>
        </w:rPr>
        <w:t xml:space="preserve">（产品名称1） </w:t>
      </w:r>
      <w:r>
        <w:rPr>
          <w:rFonts w:hint="eastAsia" w:ascii="宋体" w:hAnsi="宋体" w:eastAsia="宋体" w:cs="宋体"/>
          <w:color w:val="auto"/>
          <w:szCs w:val="24"/>
          <w:highlight w:val="none"/>
          <w:shd w:val="clear" w:color="auto" w:fill="ffffff"/>
        </w:rPr>
        <w:t xml:space="preserve">的中国境内生产的组件成本占比≥</w:t>
      </w:r>
      <w:r>
        <w:rPr>
          <w:rStyle w:val="768"/>
          <w:rFonts w:hint="eastAsia" w:ascii="宋体" w:hAnsi="宋体" w:eastAsia="宋体" w:cs="宋体"/>
          <w:i w:val="0"/>
          <w:color w:val="auto"/>
          <w:szCs w:val="24"/>
          <w:highlight w:val="none"/>
          <w:u w:val="single"/>
          <w:shd w:val="clear" w:color="auto" w:fill="ffffff"/>
        </w:rPr>
        <w:t xml:space="preserve">（规定比例）</w:t>
      </w:r>
      <w:r>
        <w:rPr>
          <w:rStyle w:val="768"/>
          <w:rFonts w:hint="eastAsia" w:ascii="宋体" w:hAnsi="宋体" w:eastAsia="宋体" w:cs="宋体"/>
          <w:i w:val="0"/>
          <w:color w:val="auto"/>
          <w:szCs w:val="24"/>
          <w:highlight w:val="none"/>
          <w:shd w:val="clear" w:color="auto" w:fill="ffffff"/>
          <w:vertAlign w:val="superscript"/>
        </w:rPr>
        <w:t xml:space="preserve">3</w:t>
      </w:r>
      <w:r>
        <w:rPr>
          <w:rFonts w:hint="eastAsia" w:ascii="宋体" w:hAnsi="宋体" w:eastAsia="宋体" w:cs="宋体"/>
          <w:color w:val="auto"/>
          <w:szCs w:val="24"/>
          <w:highlight w:val="none"/>
          <w:shd w:val="clear" w:color="auto" w:fill="ffffff"/>
        </w:rPr>
        <w:t xml:space="preserve">。</w:t>
      </w:r>
      <w:r>
        <w:rPr>
          <w:rStyle w:val="768"/>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768"/>
          <w:rFonts w:hint="eastAsia" w:ascii="宋体" w:hAnsi="宋体" w:eastAsia="宋体" w:cs="宋体"/>
          <w:i w:val="0"/>
          <w:color w:val="auto"/>
          <w:szCs w:val="24"/>
          <w:highlight w:val="none"/>
          <w:u w:val="single"/>
          <w:shd w:val="clear" w:color="auto" w:fill="ffffff"/>
        </w:rPr>
        <w:t xml:space="preserve">（关键组件）</w:t>
      </w:r>
      <w:r>
        <w:rPr>
          <w:rStyle w:val="768"/>
          <w:rFonts w:hint="eastAsia" w:ascii="宋体" w:hAnsi="宋体" w:eastAsia="宋体" w:cs="宋体"/>
          <w:i w:val="0"/>
          <w:color w:val="auto"/>
          <w:szCs w:val="24"/>
          <w:highlight w:val="none"/>
          <w:shd w:val="clear" w:color="auto" w:fill="ffffff"/>
          <w:vertAlign w:val="superscript"/>
        </w:rPr>
        <w:t xml:space="preserve">4</w:t>
      </w:r>
      <w:r>
        <w:rPr>
          <w:rFonts w:hint="eastAsia" w:ascii="宋体" w:hAnsi="宋体" w:eastAsia="宋体" w:cs="宋体"/>
          <w:color w:val="auto"/>
          <w:szCs w:val="24"/>
          <w:highlight w:val="none"/>
          <w:shd w:val="clear" w:color="auto" w:fill="ffffff"/>
        </w:rPr>
        <w:t xml:space="preserve">在中国境内生产。</w:t>
      </w:r>
      <w:r>
        <w:rPr>
          <w:rStyle w:val="768"/>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768"/>
          <w:rFonts w:hint="eastAsia" w:ascii="宋体" w:hAnsi="宋体" w:eastAsia="宋体" w:cs="宋体"/>
          <w:i w:val="0"/>
          <w:color w:val="auto"/>
          <w:szCs w:val="24"/>
          <w:highlight w:val="none"/>
          <w:u w:val="single"/>
          <w:shd w:val="clear" w:color="auto" w:fill="ffffff"/>
        </w:rPr>
        <w:t xml:space="preserve">（关键工序）</w:t>
      </w:r>
      <w:r>
        <w:rPr>
          <w:rStyle w:val="768"/>
          <w:rFonts w:hint="eastAsia" w:ascii="宋体" w:hAnsi="宋体" w:eastAsia="宋体" w:cs="宋体"/>
          <w:i w:val="0"/>
          <w:color w:val="auto"/>
          <w:szCs w:val="24"/>
          <w:highlight w:val="none"/>
          <w:shd w:val="clear" w:color="auto" w:fill="ffffff"/>
          <w:vertAlign w:val="superscript"/>
        </w:rPr>
        <w:t xml:space="preserve">5</w:t>
      </w:r>
      <w:r>
        <w:rPr>
          <w:rFonts w:hint="eastAsia" w:ascii="宋体" w:hAnsi="宋体" w:eastAsia="宋体" w:cs="宋体"/>
          <w:color w:val="auto"/>
          <w:szCs w:val="24"/>
          <w:highlight w:val="none"/>
          <w:shd w:val="clear" w:color="auto" w:fill="ffffff"/>
        </w:rPr>
        <w:t xml:space="preserve">在中国境内完成。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w:t xml:space="preserve">2.</w:t>
      </w:r>
      <w:r>
        <w:rPr>
          <w:rStyle w:val="768"/>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，生产厂为</w:t>
      </w:r>
      <w:r>
        <w:rPr>
          <w:rStyle w:val="768"/>
          <w:rFonts w:hint="eastAsia" w:ascii="宋体" w:hAnsi="宋体" w:eastAsia="宋体" w:cs="宋体"/>
          <w:i w:val="0"/>
          <w:color w:val="auto"/>
          <w:sz w:val="24"/>
          <w:szCs w:val="24"/>
          <w:highlight w:val="none"/>
          <w:u w:val="single"/>
        </w:rPr>
        <w:t xml:space="preserve">（厂名）</w:t>
      </w:r>
      <w:r>
        <w:rPr>
          <w:rFonts w:hint="eastAsia" w:ascii="宋体" w:hAnsi="宋体" w:eastAsia="宋体" w:cs="宋体"/>
          <w:color w:val="auto"/>
          <w:sz w:val="24"/>
          <w:szCs w:val="24"/>
          <w:highlight w:val="none"/>
        </w:rPr>
        <w:t xml:space="preserve">，厂址为</w:t>
      </w:r>
      <w:r>
        <w:rPr>
          <w:rStyle w:val="768"/>
          <w:rFonts w:hint="eastAsia" w:ascii="宋体" w:hAnsi="宋体" w:eastAsia="宋体" w:cs="宋体"/>
          <w:i w:val="0"/>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Style w:val="768"/>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的中国境内生产的组件成本占比≥</w:t>
      </w:r>
      <w:r>
        <w:rPr>
          <w:rStyle w:val="768"/>
          <w:rFonts w:hint="eastAsia" w:ascii="宋体" w:hAnsi="宋体" w:eastAsia="宋体" w:cs="宋体"/>
          <w:i w:val="0"/>
          <w:color w:val="auto"/>
          <w:sz w:val="24"/>
          <w:szCs w:val="24"/>
          <w:highlight w:val="none"/>
          <w:u w:val="single"/>
        </w:rPr>
        <w:t xml:space="preserve">（规定比例）</w:t>
      </w:r>
      <w:r>
        <w:rPr>
          <w:rFonts w:hint="eastAsia" w:ascii="宋体" w:hAnsi="宋体" w:eastAsia="宋体" w:cs="宋体"/>
          <w:color w:val="auto"/>
          <w:sz w:val="24"/>
          <w:szCs w:val="24"/>
          <w:highlight w:val="none"/>
        </w:rPr>
        <w:t xml:space="preserve">。</w:t>
      </w:r>
      <w:r>
        <w:rPr>
          <w:rStyle w:val="768"/>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Style w:val="768"/>
          <w:rFonts w:hint="eastAsia" w:ascii="宋体" w:hAnsi="宋体" w:eastAsia="宋体" w:cs="宋体"/>
          <w:i w:val="0"/>
          <w:color w:val="auto"/>
          <w:sz w:val="24"/>
          <w:szCs w:val="24"/>
          <w:highlight w:val="none"/>
          <w:u w:val="single"/>
        </w:rPr>
        <w:t xml:space="preserve">（关键组件）</w:t>
      </w:r>
      <w:r>
        <w:rPr>
          <w:rFonts w:hint="eastAsia" w:ascii="宋体" w:hAnsi="宋体" w:eastAsia="宋体" w:cs="宋体"/>
          <w:color w:val="auto"/>
          <w:sz w:val="24"/>
          <w:szCs w:val="24"/>
          <w:highlight w:val="none"/>
        </w:rPr>
        <w:t xml:space="preserve">在中国境内生产。</w:t>
      </w:r>
      <w:r>
        <w:rPr>
          <w:rStyle w:val="768"/>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Style w:val="768"/>
          <w:rFonts w:hint="eastAsia" w:ascii="宋体" w:hAnsi="宋体" w:eastAsia="宋体" w:cs="宋体"/>
          <w:i w:val="0"/>
          <w:color w:val="auto"/>
          <w:sz w:val="24"/>
          <w:szCs w:val="24"/>
          <w:highlight w:val="none"/>
          <w:u w:val="single"/>
        </w:rPr>
        <w:t xml:space="preserve">（关键工序）</w:t>
      </w:r>
      <w:r>
        <w:rPr>
          <w:rFonts w:hint="eastAsia" w:ascii="宋体" w:hAnsi="宋体" w:eastAsia="宋体" w:cs="宋体"/>
          <w:color w:val="auto"/>
          <w:sz w:val="24"/>
          <w:szCs w:val="24"/>
          <w:highlight w:val="none"/>
        </w:rPr>
        <w:t xml:space="preserve">在中国境内完成。</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__________________</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1.产品如有型号，请在“产品名称”栏一并填写。</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2.生产厂址应与生产厂营业执照载明的相关信息保持一致。</w:t>
      </w:r>
      <w:bookmarkStart w:id="61" w:name="OLE_LINK11"/>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3.该产品的中国境内生产的组件成本占比相关要求实施前，“规定比例”栏可不填，下同</w:t>
      </w:r>
      <w:bookmarkEnd w:id="61"/>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4.该产品的关键组件要求实施前，“关键组件”栏可不填，下同。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5.该产品的关键工序要求实施前，“关键工序”栏可不填，下同。</w:t>
      </w:r>
      <w:r/>
    </w:p>
    <w:p>
      <w:pPr>
        <w:pStyle w:val="758"/>
        <w:ind w:firstLine="480"/>
        <w:jc w:val="both"/>
        <w:spacing w:before="0" w:beforeAutospacing="0" w:after="0" w:afterAutospacing="0" w:line="360" w:lineRule="auto"/>
        <w:rPr>
          <w:rFonts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6.用斜线划除的地方无需填写。</w:t>
      </w:r>
      <w:r/>
    </w:p>
    <w:p>
      <w:pPr>
        <w:pStyle w:val="729"/>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本公司（单位）对上述声明内容的真实性负责。如有虚假，愿承担相应法律责任。</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394"/>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firstLine="4394"/>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bookmarkEnd w:id="60"/>
      <w:r/>
      <w:r/>
    </w:p>
    <w:p>
      <w:pPr>
        <w:pStyle w:val="729"/>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spacing w:line="360" w:lineRule="auto"/>
        <w:rPr>
          <w:rFonts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（4）关于本国产品成本占比的声明函（采购项目含有多种产品时适用）</w:t>
      </w:r>
      <w:r/>
    </w:p>
    <w:p>
      <w:pPr>
        <w:ind w:firstLine="20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关于本国产品成本占比的声明函</w:t>
      </w:r>
      <w:r/>
    </w:p>
    <w:p>
      <w:pPr>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p>
    <w:p>
      <w:pPr>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br w:type="page" w:clear="all"/>
      </w:r>
      <w:r/>
    </w:p>
    <w:p>
      <w:pPr>
        <w:pStyle w:val="723"/>
        <w:ind w:firstLine="0"/>
        <w:jc w:val="both"/>
        <w:spacing w:line="360" w:lineRule="auto"/>
        <w:rPr>
          <w:rFonts w:ascii="宋体" w:hAnsi="宋体" w:eastAsia="宋体" w:cs="宋体"/>
          <w:b/>
          <w:color w:val="auto"/>
          <w:highlight w:val="none"/>
          <w:shd w:val="clear" w:color="auto" w:fill="ffffff"/>
        </w:rPr>
        <w:outlineLvl w:val="2"/>
      </w:pPr>
      <w:r>
        <w:rPr>
          <w:rFonts w:hint="eastAsia" w:ascii="宋体" w:hAnsi="宋体" w:eastAsia="宋体" w:cs="宋体"/>
          <w:b/>
          <w:color w:val="auto"/>
          <w:highlight w:val="none"/>
          <w:shd w:val="clear" w:color="auto" w:fill="ffffff"/>
        </w:rPr>
        <w:t xml:space="preserve">（5）中小企业声明函</w:t>
      </w:r>
      <w:r/>
    </w:p>
    <w:p>
      <w:pPr>
        <w:ind w:firstLine="482"/>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中小企业声明函（货物）</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zh-CN"/>
        </w:rPr>
        <w:t xml:space="preserve">）郑重声明，根据《政府采购促进中小企业发展管理办法》（财库﹝2020﹞46 号）的规定，本公司（</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zh-CN"/>
        </w:rPr>
        <w:t xml:space="preserve">）参加</w:t>
      </w:r>
      <w:r>
        <w:rPr>
          <w:rFonts w:hint="eastAsia" w:ascii="宋体" w:hAnsi="宋体" w:eastAsia="宋体" w:cs="宋体"/>
          <w:color w:val="auto"/>
          <w:sz w:val="24"/>
          <w:szCs w:val="20"/>
          <w:highlight w:val="none"/>
          <w:u w:val="single"/>
          <w:shd w:val="clear" w:color="auto" w:fill="ffffff"/>
        </w:rPr>
        <w:t xml:space="preserve">苏州大学</w:t>
      </w:r>
      <w:r>
        <w:rPr>
          <w:rFonts w:hint="eastAsia" w:ascii="宋体" w:hAnsi="宋体" w:eastAsia="宋体" w:cs="宋体"/>
          <w:color w:val="auto"/>
          <w:sz w:val="24"/>
          <w:szCs w:val="20"/>
          <w:highlight w:val="none"/>
          <w:shd w:val="clear" w:color="auto" w:fill="ffffff"/>
        </w:rPr>
        <w:t xml:space="preserve">的</w:t>
      </w:r>
      <w:r>
        <w:rPr>
          <w:rFonts w:hint="eastAsia" w:ascii="宋体" w:hAnsi="宋体" w:eastAsia="宋体" w:cs="宋体"/>
          <w:color w:val="auto"/>
          <w:sz w:val="24"/>
          <w:szCs w:val="20"/>
          <w:highlight w:val="none"/>
          <w:u w:val="single"/>
          <w:shd w:val="clear" w:color="auto" w:fill="ffffff"/>
        </w:rPr>
        <w:t xml:space="preserve">单细胞原位组学分析</w:t>
      </w:r>
      <w:r>
        <w:rPr>
          <w:rFonts w:hint="eastAsia" w:ascii="宋体" w:hAnsi="宋体" w:eastAsia="宋体" w:cs="宋体"/>
          <w:color w:val="auto"/>
          <w:sz w:val="24"/>
          <w:szCs w:val="24"/>
          <w:highlight w:val="none"/>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jc w:val="left"/>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4"/>
          <w:highlight w:val="none"/>
          <w:lang w:val="zh-CN"/>
        </w:rPr>
        <w:t xml:space="preserve">制造商</w:t>
      </w:r>
      <w:r>
        <w:rPr>
          <w:rFonts w:hint="eastAsia" w:ascii="宋体" w:hAnsi="宋体" w:eastAsia="宋体" w:cs="宋体"/>
          <w:color w:val="auto"/>
          <w:sz w:val="24"/>
          <w:szCs w:val="20"/>
          <w:highlight w:val="none"/>
          <w:shd w:val="clear" w:color="auto" w:fill="ffffff"/>
        </w:rPr>
        <w:t xml:space="preserve">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numPr>
          <w:ilvl w:val="0"/>
          <w:numId w:val="3"/>
        </w:numPr>
        <w:ind w:firstLine="480"/>
        <w:jc w:val="left"/>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4"/>
          <w:highlight w:val="none"/>
          <w:lang w:val="zh-CN"/>
        </w:rPr>
        <w:t xml:space="preserve">制造商</w:t>
      </w:r>
      <w:r>
        <w:rPr>
          <w:rFonts w:hint="eastAsia" w:ascii="宋体" w:hAnsi="宋体" w:eastAsia="宋体" w:cs="宋体"/>
          <w:color w:val="auto"/>
          <w:sz w:val="24"/>
          <w:szCs w:val="20"/>
          <w:highlight w:val="none"/>
          <w:shd w:val="clear" w:color="auto" w:fill="ffffff"/>
        </w:rPr>
        <w:t xml:space="preserve">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pStyle w:val="729"/>
        <w:rPr>
          <w:rFonts w:ascii="宋体" w:hAnsi="宋体" w:eastAsia="宋体" w:cs="宋体"/>
          <w:color w:val="auto"/>
          <w:highlight w:val="none"/>
          <w:lang w:val="zh-CN"/>
        </w:rPr>
      </w:pPr>
      <w:r>
        <w:rPr>
          <w:rFonts w:ascii="宋体" w:hAnsi="宋体" w:eastAsia="宋体" w:cs="宋体"/>
          <w:color w:val="auto"/>
          <w:highlight w:val="none"/>
          <w:lang w:val="zh-CN"/>
        </w:rPr>
      </w:r>
      <w:r/>
    </w:p>
    <w:p>
      <w:pPr>
        <w:ind w:left="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企业名称（盖章）：</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22"/>
        <w:spacing w:line="380" w:lineRule="exact"/>
        <w:rPr>
          <w:rFonts w:ascii="宋体" w:hAnsi="宋体" w:eastAsia="宋体" w:cs="宋体"/>
          <w:color w:val="auto"/>
          <w:sz w:val="24"/>
          <w:szCs w:val="24"/>
          <w:highlight w:val="none"/>
          <w:shd w:val="clear" w:color="auto" w:fill="ffffff"/>
        </w:rPr>
      </w:pPr>
      <w:r>
        <w:rPr>
          <w:rFonts w:hint="eastAsia" w:ascii="宋体" w:hAnsi="宋体" w:eastAsia="宋体" w:cs="宋体"/>
          <w:b/>
          <w:color w:val="auto"/>
          <w:szCs w:val="21"/>
          <w:highlight w:val="none"/>
        </w:rPr>
        <w:t xml:space="preserve">备注：</w:t>
      </w:r>
      <w:r/>
    </w:p>
    <w:p>
      <w:pPr>
        <w:numPr>
          <w:ilvl w:val="255"/>
          <w:numId w:val="0"/>
        </w:numPr>
        <w:ind w:firstLine="420"/>
        <w:spacing w:line="380" w:lineRule="exact"/>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1、从业人员、营业收入、资产总额填报上一年度数据，无上一年度数据的新成立企业可不填报。</w:t>
      </w:r>
      <w:r/>
    </w:p>
    <w:p>
      <w:pPr>
        <w:rPr>
          <w:rFonts w:ascii="宋体" w:hAnsi="宋体" w:eastAsia="宋体" w:cs="宋体"/>
          <w:b/>
          <w:color w:val="auto"/>
          <w:sz w:val="24"/>
          <w:szCs w:val="20"/>
          <w:highlight w:val="none"/>
          <w:shd w:val="clear" w:color="auto" w:fill="ffffff"/>
        </w:rPr>
      </w:pPr>
      <w:r>
        <w:rPr>
          <w:rFonts w:hint="eastAsia" w:ascii="宋体" w:hAnsi="宋体" w:eastAsia="宋体" w:cs="宋体"/>
          <w:color w:val="auto"/>
          <w:sz w:val="24"/>
          <w:highlight w:val="none"/>
          <w:shd w:val="clear" w:color="auto" w:fill="ffffff"/>
        </w:rPr>
        <w:br w:type="page" w:clear="all"/>
      </w:r>
      <w:r/>
    </w:p>
    <w:p>
      <w:pPr>
        <w:pStyle w:val="723"/>
        <w:ind w:firstLine="0"/>
        <w:jc w:val="both"/>
        <w:spacing w:line="360" w:lineRule="auto"/>
        <w:rPr>
          <w:rFonts w:ascii="宋体" w:hAnsi="宋体" w:eastAsia="宋体" w:cs="宋体"/>
          <w:b/>
          <w:color w:val="auto"/>
          <w:highlight w:val="none"/>
          <w:shd w:val="clear" w:color="auto" w:fill="ffffff"/>
        </w:rPr>
        <w:outlineLvl w:val="2"/>
      </w:pPr>
      <w:r>
        <w:rPr>
          <w:rFonts w:hint="eastAsia" w:ascii="宋体" w:hAnsi="宋体" w:eastAsia="宋体" w:cs="宋体"/>
          <w:b/>
          <w:color w:val="auto"/>
          <w:highlight w:val="none"/>
          <w:shd w:val="clear" w:color="auto" w:fill="ffffff"/>
        </w:rPr>
        <w:t xml:space="preserve">（6）残疾人福利性单位声明函</w:t>
      </w:r>
      <w:r/>
    </w:p>
    <w:p>
      <w:pPr>
        <w:jc w:val="center"/>
        <w:spacing w:before="100" w:after="100" w:line="360" w:lineRule="auto"/>
        <w:widowControl/>
        <w:rPr>
          <w:rFonts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单位名称（盖章）：</w:t>
      </w:r>
      <w:r/>
    </w:p>
    <w:p>
      <w:pPr>
        <w:ind w:firstLine="48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br w:type="page" w:clear="all"/>
      </w:r>
      <w:r/>
    </w:p>
    <w:p>
      <w:pPr>
        <w:jc w:val="left"/>
        <w:spacing w:line="360" w:lineRule="auto"/>
        <w:rPr>
          <w:rFonts w:ascii="宋体" w:hAnsi="宋体" w:eastAsia="宋体" w:cs="宋体"/>
          <w:b/>
          <w:color w:val="auto"/>
          <w:sz w:val="24"/>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（7）</w:t>
      </w:r>
      <w:r>
        <w:rPr>
          <w:rFonts w:hint="eastAsia" w:ascii="宋体" w:hAnsi="宋体" w:eastAsia="宋体" w:cs="宋体"/>
          <w:b/>
          <w:bCs/>
          <w:color w:val="auto"/>
          <w:sz w:val="24"/>
          <w:highlight w:val="none"/>
          <w:shd w:val="clear" w:color="auto" w:fill="ffffff"/>
        </w:rPr>
        <w:t xml:space="preserve">对投标人（供应商）有直接控股、管理关系的单位情况表</w:t>
      </w:r>
      <w:r/>
    </w:p>
    <w:p>
      <w:pPr>
        <w:jc w:val="center"/>
        <w:spacing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对投标人（供应商）有直接控股、管理关系的单位情况表</w:t>
      </w:r>
      <w:r/>
    </w:p>
    <w:p>
      <w:pPr>
        <w:ind w:firstLine="42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单位名称：</w:t>
      </w:r>
      <w:r/>
    </w:p>
    <w:tbl>
      <w:tblPr>
        <w:tblStyle w:val="720"/>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单位名称</w:t>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是否为大型企业</w:t>
            </w:r>
            <w:r/>
          </w:p>
          <w:p>
            <w:pPr>
              <w:jc w:val="center"/>
              <w:widowControl/>
              <w:rPr>
                <w:rFonts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直接控股关系情况说明</w:t>
            </w:r>
            <w:r>
              <w:rPr>
                <w:rFonts w:hint="eastAsia" w:ascii="宋体" w:hAnsi="宋体" w:eastAsia="宋体" w:cs="宋体"/>
                <w:b/>
                <w:color w:val="auto"/>
                <w:sz w:val="18"/>
                <w:szCs w:val="18"/>
                <w:highlight w:val="none"/>
                <w:shd w:val="clear" w:color="auto" w:fill="ffffff"/>
              </w:rPr>
              <w:t xml:space="preserve">（持股比例等）</w:t>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单位名称</w:t>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是否为大型企业</w:t>
            </w:r>
            <w:r/>
          </w:p>
          <w:p>
            <w:pPr>
              <w:jc w:val="center"/>
              <w:widowControl/>
              <w:rPr>
                <w:rFonts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bl>
    <w:p>
      <w:pPr>
        <w:ind w:firstLine="482"/>
        <w:jc w:val="left"/>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color w:val="auto"/>
          <w:sz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rPr>
        <w:t xml:space="preserve">如填写“无”或不填写，均视为投标人（供应商）声明不存在有关情形。</w:t>
      </w:r>
      <w:r/>
    </w:p>
    <w:p>
      <w:pPr>
        <w:pStyle w:val="730"/>
        <w:ind w:left="0" w:firstLine="482"/>
        <w:jc w:val="left"/>
        <w:spacing w:line="360" w:lineRule="auto"/>
        <w:rPr>
          <w:rFonts w:ascii="宋体" w:hAnsi="宋体" w:eastAsia="宋体" w:cs="宋体"/>
          <w:color w:val="auto"/>
          <w:highlight w:val="none"/>
        </w:rPr>
      </w:pPr>
      <w:r>
        <w:rPr>
          <w:rFonts w:hint="eastAsia" w:ascii="宋体" w:hAnsi="宋体" w:eastAsia="宋体" w:cs="宋体"/>
          <w:b/>
          <w:color w:val="auto"/>
          <w:szCs w:val="24"/>
          <w:highlight w:val="none"/>
          <w:shd w:val="clear" w:color="auto" w:fill="ffffff"/>
        </w:rPr>
        <w:t xml:space="preserve">2、其中“直接控股”是指投标人（供应商）与大型企业之间存在直接投资并控股（非普通持股）的关系。</w:t>
      </w:r>
      <w:r/>
    </w:p>
    <w:p>
      <w:pPr>
        <w:pStyle w:val="1020"/>
        <w:ind w:firstLine="480"/>
        <w:jc w:val="left"/>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1020"/>
        <w:ind w:firstLine="480"/>
        <w:jc w:val="left"/>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1020"/>
        <w:ind w:firstLine="4440"/>
        <w:jc w:val="right"/>
        <w:spacing w:line="360" w:lineRule="exact"/>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jc w:val="right"/>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rPr>
          <w:rFonts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br w:type="page" w:clear="all"/>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pStyle w:val="731"/>
        <w:rPr>
          <w:rFonts w:hint="default" w:ascii="宋体" w:hAnsi="宋体" w:eastAsia="宋体" w:cs="宋体"/>
          <w:color w:val="auto"/>
          <w:sz w:val="30"/>
          <w:szCs w:val="30"/>
          <w:highlight w:val="none"/>
          <w:shd w:val="clear" w:color="auto" w:fill="ffffff"/>
        </w:rPr>
      </w:pPr>
      <w:r>
        <w:rPr>
          <w:rFonts w:hint="default" w:ascii="宋体" w:hAnsi="宋体" w:eastAsia="宋体" w:cs="宋体"/>
          <w:color w:val="auto"/>
          <w:sz w:val="30"/>
          <w:szCs w:val="30"/>
          <w:highlight w:val="none"/>
          <w:shd w:val="clear" w:color="auto" w:fill="ffffff"/>
        </w:rPr>
      </w:r>
      <w:r/>
    </w:p>
    <w:p>
      <w:pPr>
        <w:pStyle w:val="731"/>
        <w:rPr>
          <w:rFonts w:hint="default" w:ascii="宋体" w:hAnsi="宋体" w:eastAsia="宋体" w:cs="宋体"/>
          <w:color w:val="auto"/>
          <w:sz w:val="30"/>
          <w:szCs w:val="30"/>
          <w:highlight w:val="none"/>
          <w:shd w:val="clear" w:color="auto" w:fill="ffffff"/>
        </w:rPr>
      </w:pPr>
      <w:r>
        <w:rPr>
          <w:rFonts w:hint="default"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bookmarkStart w:id="62" w:name="_Toc105940240"/>
      <w:r/>
      <w:bookmarkStart w:id="63" w:name="_Toc13642115"/>
      <w:r>
        <w:rPr>
          <w:rFonts w:hint="eastAsia" w:ascii="宋体" w:hAnsi="宋体" w:eastAsia="宋体" w:cs="宋体"/>
          <w:b/>
          <w:color w:val="auto"/>
          <w:sz w:val="52"/>
          <w:szCs w:val="20"/>
          <w:highlight w:val="none"/>
          <w:shd w:val="clear" w:color="auto" w:fill="ffffff"/>
        </w:rPr>
        <w:t xml:space="preserve">第四章 招标书</w:t>
      </w:r>
      <w:bookmarkEnd w:id="62"/>
      <w:r/>
      <w:bookmarkEnd w:id="63"/>
      <w:r/>
      <w:r/>
    </w:p>
    <w:p>
      <w:pPr>
        <w:jc w:val="center"/>
        <w:spacing w:line="360" w:lineRule="auto"/>
        <w:rPr>
          <w:rFonts w:ascii="宋体" w:hAnsi="宋体" w:eastAsia="宋体" w:cs="宋体"/>
          <w:b/>
          <w:color w:val="auto"/>
          <w:sz w:val="48"/>
          <w:szCs w:val="48"/>
          <w:highlight w:val="none"/>
          <w:shd w:val="clear" w:color="auto" w:fill="ffffff"/>
        </w:rPr>
      </w:pPr>
      <w:r/>
      <w:bookmarkStart w:id="64" w:name="_Toc13543212"/>
      <w:r>
        <w:rPr>
          <w:rFonts w:hint="eastAsia" w:ascii="宋体" w:hAnsi="宋体" w:eastAsia="宋体" w:cs="宋体"/>
          <w:b/>
          <w:color w:val="auto"/>
          <w:sz w:val="48"/>
          <w:szCs w:val="48"/>
          <w:highlight w:val="none"/>
          <w:shd w:val="clear" w:color="auto" w:fill="ffffff"/>
        </w:rPr>
        <w:br w:type="page" w:clear="all"/>
      </w:r>
      <w:r>
        <w:rPr>
          <w:rFonts w:hint="eastAsia" w:ascii="宋体" w:hAnsi="宋体" w:eastAsia="宋体" w:cs="宋体"/>
          <w:b/>
          <w:color w:val="auto"/>
          <w:sz w:val="48"/>
          <w:szCs w:val="48"/>
          <w:highlight w:val="none"/>
          <w:shd w:val="clear" w:color="auto" w:fill="ffffff"/>
        </w:rPr>
        <w:t xml:space="preserve">招标书</w:t>
      </w:r>
      <w:bookmarkEnd w:id="64"/>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苏州诚和招投标咨询有限公司受苏州大学的委托，就其所需的单细胞原位组学分析进行国内公开招标。欢迎有资格的供应商前来参加投标（响应）。</w:t>
      </w:r>
      <w:r/>
    </w:p>
    <w:p>
      <w:pPr>
        <w:ind w:firstLine="482"/>
        <w:jc w:val="left"/>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一、招标编号：</w:t>
      </w:r>
      <w:bookmarkStart w:id="65" w:name="OLE_LINK1"/>
      <w:r>
        <w:rPr>
          <w:rFonts w:hint="eastAsia" w:ascii="宋体" w:hAnsi="宋体" w:eastAsia="宋体" w:cs="宋体"/>
          <w:color w:val="auto"/>
          <w:sz w:val="24"/>
          <w:highlight w:val="none"/>
        </w:rPr>
        <w:t xml:space="preserve">JSZC-320500-SZCH-G2026-0054</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二、采购需求</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（一）主要技术参数要求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1、检测原理及系统</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1.1检测原理：采用自动化多轮荧光染色与显微扫描成像相结合的技术，在同一张组织切片上累计检测不少于100种生物标志物，实现组织切片单细胞水平的原位蛋白表达检测与空间信息分析。</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★1.2支持通过多轮染色、成像及图像配准，将所有抗体一次性孵育，避免实验前抗体孵育轮次顺序的优化及实验多次抗体孵育洗脱操作导致的组织损伤和靶标丢失检测过程可自动连续运行，无需人工逐轮干预。</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1.3完整解决方案：提供集自动化染色、显微成像、图像处理及空间表型分析于一体的完整解决方案，支持符合实验要求的商品化第三方抗体或检测试剂，不限定试剂品牌，并提供相应的试剂使用方法、实验条件优化及技术指导。</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2、检测能力</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2.1检测模式：至少支持超多靶标单细胞空间蛋白检测及多通道荧光成像两种工作模式，可实现单张组织切片不少于100种生物标志物的累计检测，并支持不少于7个荧光通道的多色成像，满足空间蛋白组学及多重免疫荧光研究需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2.2自动全景成像：具备组织区域自动识别、自动定位及全景扫描成像功能，支持根据组织样本分布自动确定扫描区域，并可进行感兴趣区域的选择和调整。</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2.3检测面积：支持标准病理载玻片的组织区域扫描，常规多通道荧光成像面积不小于25mm×50mm，超多靶标循环检测模式下有效成像面积不小于30mm×18mm。</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2.4多样本检测：超多靶标检测模式下，单次实验可同时处理不少于2张标准载玻片，支持不同样本设置独立的检测方案，并可对同一玻片上的多个组织区域进行检测。</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2.5成像速度：</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★2.5.1在20×物镜条件下，对15mm×15mm组织区域完成一轮不少于4个荧光通道的自动染色、洗脱及扫描成像，单轮完成时间≤60分钟。</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2.5.2在多通道荧光成像模式下，支持不少于7个荧光通道的组织切片扫描，单张组织切片在规定扫描面积及采集条件下的成像时间≤30分钟。</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2.6样本检测通量：</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2.6.1超多靶标检测模式下，在检测不少于50个蛋白标志物的条件下，具备连续批次自动检测能力，满足不少于10个组织样本/周的检测需求。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2.6.2多通道荧光成像模式下，支持连续批次扫描及自动化数据采集，具备批量化样本检测能力。</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★2.7自发荧光处理：具备组织自发荧光识别、校正或去除功能，可通过光谱分析、图像处理或其他等效方式降低组织背景荧光干扰，无需光漂白操作，避免光漂白对组织样本的影响，提高目标信号的识别准确性。</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2.8数据处理能力：支持多轮荧光图像的自动配准、拼接及数据整合，能够对不少于50个蛋白标志物、扫描面积不小于15mm×15mm的组织样本,图像文件大小不大于20GB，支持数据本地存储、管理和导出，无需依赖外部云端服务器完成基本分析。</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2.9检测质量控制：具备多轮染色及成像过程的质量控制功能，支持图像配准、背景校正及信号质量检查，减少不同检测轮次之间的位置偏差和信号波动对分析结果的影响。</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3、适用样本</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3.1样本类型：兼容新鲜冷冻组织切片（FF）、石蜡包埋组织切片（FFPE）、组织芯片（TMA）等常见组织样本类型，适用于人及实验动物组织的原位检测分析。</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3.2样本规格：支持常规标准病理载玻片，兼容通用规格的组织切片样本，无需使用专用非标准载玻片。</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3.3样本通量：多通道荧光成像模式下，单次运行可处理不少于4张标准载玻片；超多靶标循环检测模式下，单次运行可处理不少于2张标准载玻片。</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3.4样本厚度：支持厚度不超过10μm的常规组织切片检测，满足常见病理组织及科研组织切片的检测需求。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3.5样本适配：配置与不同检测模式相匹配的样本装载及固定装置，满足标准载玻片批量荧光成像和多轮循环染色的自动化检测需求。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4、实验自动化</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4.1液流系统：配置自动化液体处理系统，支持不少于3种实验缓冲液的自动输送、切换及废液收集，满足多轮循环染色实验需求。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4.2自动上样：配置自动化试剂管理及上样系统，具备多种荧光检测试剂的自动选择、输送及加样功能，可通过机械臂、自动移液装置、流体控制系统或其他等效方式实现试剂自动化处理，支持多轮检测实验流程连续运行，满足不少于100种生物标志物的累计检测需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4.3缓冲液监测：具备实验缓冲液余量监测或自动检测功能，可在实验开始前检查缓冲液是否满足预设实验需求，并对余量不足等异常情况进行提示。</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4.4自动化检测：具备多轮荧光染色、清洗、成像及循环控制功能，可自动完成预设检测流程，无需人工逐轮更换试剂或操作设备。</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4.5自动化全景成像：</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4.5.1支持通过明场、荧光或其他等效成像方式自动识别组织区域，实现组织样本自动定位和扫描。</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4.5.2支持组织区域识别参数调节，并可手动选择或调整感兴趣区域，满足不同组织类型及样本条件下的成像需求。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4.6漏液保护：具备液路运行异常监测及安全保护功能，发生漏液等异常情况时可自动报警，并采取停止液体输送或其他相应保护措施。</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4.7曝光控制：支持荧光成像曝光参数的自动或手动调节，具备防止图像过度曝光的控制功能。</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4.8自动化运行稳定性：支持不少于24小时的连续自动化运行，能够完成预设多轮染色及扫描流程，并具备运行状态监测、异常报警和实验记录功能。</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5、光学显微成像系统</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5.1成像方式：采用光学显微成像方式获取组织样本原位信息，支持组织全景扫描及单细胞水平的高分辨率明场、荧光成像。</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5.2光源系统：兼容明场及荧光成像模式，配置透射光照明和多波段荧光激发光源，满足DAPI、FITC、Cy3、Texas Red、Cy5、Cy7等常用荧光标记或相应光谱范围的成像需求。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5.3荧光通道：具备多通道荧光成像及自动切换功能，支持不少于7个荧光检测通道，满足多重荧光标记样本的成像需求。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5.4物镜系统：配置电动物镜转换系统，支持低倍组织定位及中高倍高分辨率成像，物镜倍率至少覆盖4×、10×和20×，在相应成像条件下图像采样分辨率≤0.25 μm/像素。</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5.5图像校正：具备明场及荧光图像的光照均匀性校正功能，可通过硬件校准或软件处理方式减少背景亮度不均及全景图像拼接痕迹。</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6、软件配置及功能</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6.1设备控制及实验操作软件</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6.1.1支持样本信息录入、实验参数设置及检测流程管理，具备图形化操作界面。</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6.1.2支持针对不同样本设置独立的扫描区域、成像参数及检测方案。</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6.1.3支持超多靶标检测流程的建立、保存、调用及自动执行。</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6.2图像浏览及处理软件</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6.2.1支持组织全景图像浏览、缩放及感兴趣区域定位。</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6.2.2支持多通道荧光图像的单独显示、叠加显示及通道切换。</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6.2.3支持图像亮度、对比度及显示方式调整，支持荧光一键反转成明场病理视图，具备图像标注、比例尺显示、截图及导出功能。</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6.2.4支持组织芯片（TMA）的自动识别、扫描及图像管理，可对不同芯点进行独立定位、数据提取及后续分析。</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6.3超多靶标实验设计软件</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6.3.1支持不同样本检测方案的建立及管理，单次运行可同时录入2个不同的实验方案，并针对不同载玻片设置独立的抗体组合及检测流程。</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6.3.2支持实验操作流程的建立、保存、修改及重复调用。</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6.4空间表型分析软件</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6.4.1支持单通道及多通道荧光图像的显示、叠加和定量分析。</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6.4.2具备组织及细胞自动识别和分割功能，支持细胞核、细胞质及细胞膜等区域的识别与分析。</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6.4.3支持组织区域、细胞及目标结构的面积、数量、荧光强度等定量分析。</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6.4.4支持细胞表型分类、细胞亚群识别及可视化展示。</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6.4.5支持细胞空间分布及相互作用分析，包括细胞间距离、细胞密度及空间邻近关系等。</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6.4.6支持全片组织分析及感兴趣区域（ROI）分析。</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6.5智能图像分析及第三方软件兼容</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6.5.1配置满足本项目分析需求的图像分析软件及合法使用授权，支持与第三方图像分析软件进行数据交换。</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6.5.2支持基于人工智能或其他自动化图像处理算法的单细胞识别与分割。</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6.5.3支持细胞表型分析及分类，可统计不同细胞亚群的数量、密度和比例。</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6.5.4支持细胞空间距离分析及可视化展示。</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6.5.5支持细胞邻域及空间相互作用分析，可输出细胞空间分布及邻域分析结果。</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6.6数据管理及导出</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支持原始图像、处理后图像及分析结果的本地存储和导出，支持TIFF等通用图像格式及CSV等常用数据格式，便于第三方软件进行后续分析，并具备数据备份及恢复功能。</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6.7实验记录与追溯</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支持实验方案、样本信息、染色轮次、扫描参数及检测结果的记录和查询，便于实验过程管理、结果追溯及重复实验。</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7、售后服务及质保要求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7.1自设备安装调试并验收合格之日起，提供不少于5年的免费整机维保服务，包含设备正常使用条件下发生故障所需的维修人工、技术支持及非消耗性零部件维修或更换费用，不包含实验试剂及常规消耗性材料。</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7.2维保期内提供故障报修及技术支持服务，接到报修后24小时内响应；对于需要现场维修的故障，应在48小时内安排专业技术人员到场并提供免费维修服务。若现场维修48小时后仍无法排除故障，应在72小时内免费提供不低于原设备规格型号档次的备用设备供采购人使用，直至故障设备修复。</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7.3维保期内提供设备控制软件及配套分析软件的维护、故障修复和必要的软件升级服务，确保设备主要功能正常运行。</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7.4供应商负责设备安装、调试及性能验证，验收时提供设备安装调试报告、性能测试记录及相关技术资料，并配合采购人完成验收。</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Cs/>
          <w:color w:val="auto"/>
          <w:sz w:val="24"/>
          <w:szCs w:val="24"/>
          <w:highlight w:val="none"/>
        </w:rPr>
        <w:t xml:space="preserve">7.5提供不少于2次设备操作及维护培训，内容包括设备操作、实验流程建立、数据分析、日常维护及常见故障处理。</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注：带“★”项为实质性响应内容，投标人须全部满足，不得存在负偏离。以投标人提供的能直接反映该产品技术参数的官网或彩页或产品说明书或具有检验（检测）资质的第三方检测机构出具的有效检验（检测）报告等相关佐证材料作为主要评判依据。否则将视为未实质性响应招标文件，其投标将被否决（作无效投标处理）。</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（二）配置清单</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1、自动化微流控染色组件 1套</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2、标准载玻片适配器1套</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3、显微成像系统1套</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4、电脑工作站1套</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5、匹配独立图像采集控制软件1套、图像数据分析软件1套</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（三）交付及安装调试</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1、交付流程：中标供应商应当在合同签订后5个月内将货物运送至采购人指定实验室（采购方另行约定的时间除外，但最迟不得晚于2027年3月31日）。</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安装、调试及培训：供应商将设备运送至指定地点后的7个工作日内，采购方与供应方应确认安装调试日期，采购方应根据供应方要求准备好安装调试条件，供应商派专人到现场进行安装调试，并对采购方人员进行相关培训。</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（四）验收标准</w:t>
      </w:r>
      <w:r/>
    </w:p>
    <w:p>
      <w:pPr>
        <w:ind w:firstLine="482"/>
        <w:jc w:val="left"/>
        <w:spacing w:line="360" w:lineRule="auto"/>
        <w:rPr>
          <w:rFonts w:ascii="宋体" w:hAnsi="宋体" w:eastAsia="宋体" w:cs="宋体"/>
          <w:bCs/>
          <w:color w:val="auto"/>
          <w:sz w:val="24"/>
          <w:szCs w:val="24"/>
          <w:highlight w:val="none"/>
        </w:rPr>
        <w:outlineLvl w:val="1"/>
      </w:pPr>
      <w:r/>
      <w:bookmarkStart w:id="66" w:name="_Hlk234652762"/>
      <w:r>
        <w:rPr>
          <w:rFonts w:hint="eastAsia" w:ascii="宋体" w:hAnsi="宋体" w:eastAsia="宋体" w:cs="宋体"/>
          <w:bCs/>
          <w:color w:val="auto"/>
          <w:sz w:val="24"/>
          <w:szCs w:val="24"/>
          <w:highlight w:val="none"/>
        </w:rPr>
        <w:t xml:space="preserve">安装调试完毕，由采购人组织最终验收，设备配置、所有技术参数须符合招标文件和中标供应商投标响应文件要求。验收内容还包括资料完整性、设备“三漏”(漏水、漏电、漏气)检查、设备运行稳定性、技术规格符合性。各项指标还应符合国家质量和安全标准，设备可以在现有条件下安全稳定运行。</w:t>
      </w:r>
      <w:bookmarkEnd w:id="66"/>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（五）质保服务要求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1、设备免费质保期不少于5年，自最终验收完成合格之日起算，终身维修；</w:t>
      </w:r>
      <w:r/>
    </w:p>
    <w:p>
      <w:pPr>
        <w:ind w:firstLine="482"/>
        <w:jc w:val="left"/>
        <w:spacing w:line="360" w:lineRule="auto"/>
        <w:rPr>
          <w:rFonts w:hint="eastAsia" w:ascii="宋体" w:hAnsi="宋体" w:eastAsia="宋体" w:cs="宋体"/>
          <w:bCs/>
          <w:color w:val="auto"/>
          <w:sz w:val="24"/>
          <w:szCs w:val="24"/>
          <w:highlight w:val="none"/>
          <w:lang w:eastAsia="zh-CN"/>
        </w:rPr>
        <w:outlineLvl w:val="1"/>
      </w:pPr>
      <w:r>
        <w:rPr>
          <w:rFonts w:hint="eastAsia" w:ascii="宋体" w:hAnsi="宋体" w:eastAsia="宋体" w:cs="宋体"/>
          <w:bCs/>
          <w:color w:val="auto"/>
          <w:sz w:val="24"/>
          <w:szCs w:val="24"/>
          <w:highlight w:val="none"/>
        </w:rPr>
        <w:t xml:space="preserve">2、质保期内设备发生故障，供应商须在接到报修后24小时内响应；对于需要现场维修的故障，应在48小时内安排专业技术人员到场并提供免费维修服务。若现场维修48小时后仍无法排除故障，应在72小时内免费提供不低于原设备规格型号档次的备用设备供采购人使用，直至故障设备修复</w:t>
      </w:r>
      <w:r>
        <w:rPr>
          <w:rFonts w:hint="eastAsia" w:ascii="宋体" w:hAnsi="宋体" w:eastAsia="宋体" w:cs="宋体"/>
          <w:bCs/>
          <w:color w:val="auto"/>
          <w:sz w:val="24"/>
          <w:szCs w:val="24"/>
          <w:highlight w:val="none"/>
          <w:lang w:eastAsia="zh-CN"/>
        </w:rPr>
        <w:t xml:space="preserve">。</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（六）付款条款</w:t>
      </w:r>
      <w:r/>
    </w:p>
    <w:p>
      <w:pPr>
        <w:ind w:firstLine="482"/>
        <w:jc w:val="left"/>
        <w:spacing w:line="360" w:lineRule="auto"/>
        <w:rPr>
          <w:rFonts w:ascii="宋体" w:hAnsi="宋体" w:eastAsia="宋体" w:cs="宋体"/>
          <w:bCs/>
          <w:color w:val="auto"/>
          <w:sz w:val="24"/>
          <w:szCs w:val="24"/>
          <w:highlight w:val="none"/>
        </w:rPr>
        <w:outlineLvl w:val="1"/>
      </w:pPr>
      <w:r/>
      <w:bookmarkStart w:id="67" w:name="_Hlk234930879"/>
      <w:r>
        <w:rPr>
          <w:rFonts w:hint="eastAsia" w:ascii="宋体" w:hAnsi="宋体" w:eastAsia="宋体" w:cs="宋体"/>
          <w:bCs/>
          <w:color w:val="auto"/>
          <w:sz w:val="24"/>
          <w:szCs w:val="24"/>
          <w:highlight w:val="none"/>
        </w:rPr>
        <w:t xml:space="preserve">1、在合同签订后30日内，采购人向中标供应商支付合同总价90%的预付款。中标供应商须在收到预付款前（一般为合同签订后5天内），向采购人提供与该预付款等额的、由商业银行出具的不可撤销的、无条件的见索即付独立预付款保函（保函格式及内容须事先经采购人确认）。该保函在设备最终验收合格后30日内无息退还。</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2、全部设备完成安装、调试并正常运行后，经采购人签署最终验收合格证明文件（以采购人统一制式标准及签章为准），采购人再行支付合同总价10%的尾款。</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3、每次付款前，中标单位均须提供对应金额的、合法有效增值税专用发票。</w:t>
      </w:r>
      <w:bookmarkEnd w:id="67"/>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（七）报价要求</w:t>
      </w:r>
      <w:r/>
    </w:p>
    <w:p>
      <w:pPr>
        <w:pStyle w:val="1039"/>
        <w:ind w:firstLine="480"/>
        <w:spacing w:before="0" w:beforeAutospacing="0" w:after="0" w:afterAutospacing="0" w:line="360" w:lineRule="auto"/>
        <w:shd w:val="clear" w:color="auto" w:fill="ffffff"/>
        <w:rPr>
          <w:color w:val="auto"/>
          <w:highlight w:val="none"/>
        </w:rPr>
      </w:pPr>
      <w:r>
        <w:rPr>
          <w:rFonts w:hint="eastAsia"/>
          <w:color w:val="auto"/>
          <w:highlight w:val="none"/>
        </w:rPr>
        <w:t xml:space="preserve">1、报价币种为人民币。</w:t>
      </w:r>
      <w:r/>
    </w:p>
    <w:p>
      <w:pPr>
        <w:pStyle w:val="1039"/>
        <w:ind w:firstLine="480"/>
        <w:spacing w:before="0" w:beforeAutospacing="0" w:after="0" w:afterAutospacing="0" w:line="360" w:lineRule="auto"/>
        <w:shd w:val="clear" w:color="auto" w:fill="ffffff"/>
        <w:rPr>
          <w:color w:val="auto"/>
          <w:highlight w:val="none"/>
        </w:rPr>
      </w:pPr>
      <w:r>
        <w:rPr>
          <w:rFonts w:hint="eastAsia"/>
          <w:color w:val="auto"/>
          <w:highlight w:val="none"/>
        </w:rPr>
        <w:t xml:space="preserve">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pStyle w:val="1039"/>
        <w:ind w:firstLine="480"/>
        <w:spacing w:before="0" w:beforeAutospacing="0" w:after="0" w:afterAutospacing="0" w:line="360" w:lineRule="auto"/>
        <w:shd w:val="clear" w:color="auto" w:fill="ffffff"/>
        <w:rPr>
          <w:color w:val="auto"/>
          <w:szCs w:val="21"/>
          <w:highlight w:val="none"/>
        </w:rPr>
      </w:pPr>
      <w:r>
        <w:rPr>
          <w:rFonts w:hint="eastAsia"/>
          <w:color w:val="auto"/>
          <w:highlight w:val="none"/>
        </w:rPr>
        <w:t xml:space="preserve">3、</w:t>
      </w:r>
      <w:r>
        <w:rPr>
          <w:rFonts w:hint="eastAsia"/>
          <w:b/>
          <w:bCs/>
          <w:color w:val="auto"/>
          <w:szCs w:val="21"/>
          <w:highlight w:val="none"/>
        </w:rPr>
        <w:t xml:space="preserve">投标产品为进口产品时，报价必须为人民币含税价</w:t>
      </w:r>
      <w:r>
        <w:rPr>
          <w:rFonts w:hint="eastAsia"/>
          <w:color w:val="auto"/>
          <w:szCs w:val="21"/>
          <w:highlight w:val="none"/>
        </w:rPr>
        <w:t xml:space="preserve">，</w:t>
      </w:r>
      <w:r>
        <w:rPr>
          <w:rFonts w:hint="eastAsia"/>
          <w:color w:val="auto"/>
          <w:highlight w:val="none"/>
          <w:shd w:val="clear" w:color="auto" w:fill="ffffff"/>
        </w:rPr>
        <w:t xml:space="preserve">即在采购人指定地点交货所需的所有费用，</w:t>
      </w:r>
      <w:r>
        <w:rPr>
          <w:rFonts w:hint="eastAsia"/>
          <w:b/>
          <w:bCs/>
          <w:color w:val="auto"/>
          <w:highlight w:val="none"/>
          <w:shd w:val="clear" w:color="auto" w:fill="ffffff"/>
        </w:rPr>
        <w:t xml:space="preserve">包含但不限于进口关税、进口增值税、进口代理服务费及</w:t>
      </w:r>
      <w:r>
        <w:rPr>
          <w:rFonts w:hint="eastAsia"/>
          <w:b/>
          <w:bCs/>
          <w:color w:val="auto"/>
          <w:szCs w:val="21"/>
          <w:highlight w:val="none"/>
        </w:rPr>
        <w:t xml:space="preserve">安装、调试、培训和检测等的全部费用</w:t>
      </w:r>
      <w:r>
        <w:rPr>
          <w:rFonts w:hint="eastAsia"/>
          <w:color w:val="auto"/>
          <w:szCs w:val="21"/>
          <w:highlight w:val="none"/>
        </w:rPr>
        <w:t xml:space="preserve">。</w:t>
      </w:r>
      <w:r/>
    </w:p>
    <w:p>
      <w:pPr>
        <w:pStyle w:val="1039"/>
        <w:ind w:firstLine="480"/>
        <w:spacing w:before="0" w:beforeAutospacing="0" w:after="0" w:afterAutospacing="0" w:line="360" w:lineRule="auto"/>
        <w:shd w:val="clear" w:color="auto" w:fill="ffffff"/>
        <w:rPr>
          <w:color w:val="auto"/>
          <w:highlight w:val="none"/>
        </w:rPr>
      </w:pPr>
      <w:r>
        <w:rPr>
          <w:rFonts w:hint="eastAsia"/>
          <w:color w:val="auto"/>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pStyle w:val="1039"/>
        <w:ind w:firstLine="480"/>
        <w:spacing w:before="0" w:beforeAutospacing="0" w:after="0" w:afterAutospacing="0" w:line="360" w:lineRule="auto"/>
        <w:shd w:val="clear" w:color="auto" w:fill="ffffff"/>
        <w:rPr>
          <w:color w:val="auto"/>
          <w:highlight w:val="none"/>
        </w:rPr>
      </w:pPr>
      <w:r>
        <w:rPr>
          <w:rFonts w:hint="eastAsia"/>
          <w:color w:val="auto"/>
          <w:highlight w:val="none"/>
        </w:rPr>
        <w:t xml:space="preserve">（2）本次采购的产品使用场景不符合免税办理条件，如响应报价的</w:t>
      </w:r>
      <w:r>
        <w:rPr>
          <w:rFonts w:hint="eastAsia"/>
          <w:b/>
          <w:bCs/>
          <w:color w:val="auto"/>
          <w:highlight w:val="none"/>
        </w:rPr>
        <w:t xml:space="preserve">进口产品</w:t>
      </w:r>
      <w:r>
        <w:rPr>
          <w:rFonts w:hint="eastAsia"/>
          <w:color w:val="auto"/>
          <w:highlight w:val="none"/>
        </w:rPr>
        <w:t xml:space="preserve">，即使在免税清单内，</w:t>
      </w:r>
      <w:r>
        <w:rPr>
          <w:rFonts w:hint="eastAsia"/>
          <w:b/>
          <w:bCs/>
          <w:color w:val="auto"/>
          <w:highlight w:val="none"/>
        </w:rPr>
        <w:t xml:space="preserve">报价也必须为含税价，不接受免税报价</w:t>
      </w:r>
      <w:r>
        <w:rPr>
          <w:rFonts w:hint="eastAsia"/>
          <w:color w:val="auto"/>
          <w:highlight w:val="none"/>
        </w:rPr>
        <w:t xml:space="preserve">。</w:t>
      </w:r>
      <w:r/>
    </w:p>
    <w:p>
      <w:pPr>
        <w:pStyle w:val="1039"/>
        <w:ind w:firstLine="480"/>
        <w:spacing w:before="0" w:beforeAutospacing="0" w:after="0" w:afterAutospacing="0" w:line="360" w:lineRule="auto"/>
        <w:shd w:val="clear" w:color="auto" w:fill="ffffff"/>
        <w:rPr>
          <w:color w:val="auto"/>
          <w:highlight w:val="none"/>
        </w:rPr>
      </w:pPr>
      <w:r>
        <w:rPr>
          <w:rFonts w:hint="eastAsia"/>
          <w:color w:val="auto"/>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（八）采购主要标的物数量、交付期及交付方式、付款方式、质保期、质保方式及带“★”项参数属于实质性响应要求，不得出现负偏离，否则视为无效投标。</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三、综合说明及其他要求</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4、单位负责人为同一人或者存在直接控股、管理关系的不同供应商，不得参加同一合同项下的政府采购活动。</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5、为本项目提供整体设计、规范编制或者项目管理、监理、检测等服务的供应商，不得再参加该采购项目的其他采购活动。</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6、如接受进口产品投标的项目，优先采购向我国企业转让技术、与我国企业签订消化吸收再创新方案的供应商的进口产品。</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7、采购项目需要落实的政府采购政策：</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7.1根据财政部、工业和信息化部关于印发《政府采购促进中小企业发展管理办法》的规定执行。 </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7.2根据财政部、司法部《关于政府采购支持监狱企业发展有关问题的通知》（财库〔2014〕68号）的规定执行。 </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7.3根据财政部、民政部、中国残疾人联合会《关于促进残疾人就业政府采购政策的通知》（财库〔2017〕141号）的规定执行。 </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7.4绿色采购（本项目不涉及节能环保产品采购）</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8、凡涉及采购文件的补充说明和修改，均以政府采购网所发布的公告为准。</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highlight w:val="none"/>
        </w:rPr>
        <w:br w:type="page" w:clear="all"/>
      </w:r>
      <w:r/>
    </w:p>
    <w:p>
      <w:pPr>
        <w:pStyle w:val="926"/>
        <w:rPr>
          <w:rFonts w:hAnsi="宋体"/>
          <w:color w:val="auto"/>
          <w:highlight w:val="none"/>
        </w:rPr>
      </w:pPr>
      <w:r>
        <w:rPr>
          <w:rFonts w:hAnsi="宋体"/>
          <w:color w:val="auto"/>
          <w:highlight w:val="none"/>
        </w:rPr>
      </w:r>
      <w:r/>
    </w:p>
    <w:p>
      <w:pPr>
        <w:pStyle w:val="73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jc w:val="center"/>
        <w:keepLines/>
        <w:keepNext/>
        <w:spacing w:before="340" w:after="330" w:line="360" w:lineRule="auto"/>
        <w:rPr>
          <w:rFonts w:ascii="宋体" w:hAnsi="宋体" w:eastAsia="宋体" w:cs="宋体"/>
          <w:b/>
          <w:color w:val="auto"/>
          <w:sz w:val="48"/>
          <w:szCs w:val="48"/>
          <w:highlight w:val="none"/>
          <w:shd w:val="clear" w:color="auto" w:fill="ffffff"/>
        </w:rPr>
        <w:outlineLvl w:val="0"/>
      </w:pPr>
      <w:r/>
      <w:bookmarkStart w:id="68" w:name="_Toc396747046"/>
      <w:r/>
      <w:bookmarkStart w:id="69" w:name="_Toc105940241"/>
      <w:r>
        <w:rPr>
          <w:rFonts w:hint="eastAsia" w:ascii="宋体" w:hAnsi="宋体" w:eastAsia="宋体" w:cs="宋体"/>
          <w:b/>
          <w:color w:val="auto"/>
          <w:sz w:val="48"/>
          <w:szCs w:val="48"/>
          <w:highlight w:val="none"/>
          <w:shd w:val="clear" w:color="auto" w:fill="ffffff"/>
        </w:rPr>
        <w:t xml:space="preserve">第五章 合同主要条款</w:t>
      </w:r>
      <w:bookmarkEnd w:id="68"/>
      <w:r/>
      <w:bookmarkEnd w:id="69"/>
      <w:r/>
      <w:r/>
    </w:p>
    <w:p>
      <w:pPr>
        <w:rPr>
          <w:rFonts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br w:type="page" w:clear="all"/>
      </w:r>
      <w:bookmarkEnd w:id="65"/>
      <w:r/>
      <w:r/>
    </w:p>
    <w:p>
      <w:pPr>
        <w:ind w:firstLine="482"/>
        <w:jc w:val="center"/>
        <w:spacing w:after="181"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70" w:name="_Toc13642118"/>
      <w:r/>
      <w:bookmarkStart w:id="71" w:name="_Toc13889378"/>
      <w:r>
        <w:rPr>
          <w:rFonts w:hint="eastAsia" w:ascii="宋体" w:hAnsi="宋体" w:eastAsia="宋体" w:cs="宋体"/>
          <w:b/>
          <w:color w:val="auto"/>
          <w:sz w:val="44"/>
          <w:highlight w:val="none"/>
        </w:rPr>
        <w:t xml:space="preserve">政府采购合同书</w:t>
      </w:r>
      <w:r/>
    </w:p>
    <w:p>
      <w:pPr>
        <w:ind w:right="960" w:firstLine="480"/>
        <w:jc w:val="center"/>
        <w:spacing w:line="360" w:lineRule="auto"/>
        <w:rPr>
          <w:b/>
          <w:color w:val="auto"/>
          <w:sz w:val="24"/>
          <w:highlight w:val="none"/>
        </w:rPr>
      </w:pPr>
      <w:r>
        <w:rPr>
          <w:rFonts w:hint="eastAsia"/>
          <w:b/>
          <w:color w:val="auto"/>
          <w:sz w:val="24"/>
          <w:highlight w:val="none"/>
        </w:rPr>
        <w:t xml:space="preserve"> </w:t>
      </w:r>
      <w:r>
        <w:rPr>
          <w:b/>
          <w:color w:val="auto"/>
          <w:sz w:val="24"/>
          <w:highlight w:val="none"/>
        </w:rPr>
        <w:t xml:space="preserve">                                  </w:t>
      </w:r>
      <w:r>
        <w:rPr>
          <w:rFonts w:hint="eastAsia"/>
          <w:b/>
          <w:color w:val="auto"/>
          <w:sz w:val="24"/>
          <w:highlight w:val="none"/>
        </w:rPr>
        <w:t xml:space="preserve">合同编号：                  </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甲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方：苏州大学</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址：苏州市东环路50号</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联</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系</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人：</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联系电话：</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乙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方：</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址：</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联</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系</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人：</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联系电话：</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根据政府采购编号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号采购文件及乙方中标的投标文件和中标通知书，甲乙双方就此次中标的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事宜，签订本合同书。</w:t>
      </w:r>
      <w:r/>
    </w:p>
    <w:p>
      <w:pPr>
        <w:ind w:left="1325" w:hanging="765"/>
        <w:jc w:val="left"/>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第一条 </w:t>
      </w:r>
      <w:r>
        <w:rPr>
          <w:rFonts w:hint="eastAsia" w:ascii="宋体" w:hAnsi="宋体" w:eastAsia="宋体" w:cs="宋体"/>
          <w:color w:val="auto"/>
          <w:sz w:val="24"/>
          <w:szCs w:val="24"/>
          <w:highlight w:val="none"/>
        </w:rPr>
        <w:t xml:space="preserve">乙方根据甲方需求提供下列货物：</w:t>
      </w:r>
      <w:r/>
    </w:p>
    <w:tbl>
      <w:tblPr>
        <w:tblStyle w:val="720"/>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31"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701"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型号、规格</w:t>
            </w:r>
            <w:r/>
          </w:p>
        </w:tc>
        <w:tc>
          <w:tcPr>
            <w:tcW w:w="8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right w:val="single" w:color="auto" w:sz="4" w:space="0"/>
            </w:tcBorders>
            <w:tcW w:w="15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单价（万元人民币）</w:t>
            </w:r>
            <w:r/>
          </w:p>
        </w:tc>
        <w:tc>
          <w:tcPr>
            <w:tcBorders>
              <w:left w:val="single" w:color="auto" w:sz="4" w:space="0"/>
              <w:right w:val="single" w:color="auto" w:sz="4" w:space="0"/>
            </w:tcBorders>
            <w:tcW w:w="14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总价（万元人民币）</w:t>
            </w:r>
            <w:r/>
          </w:p>
        </w:tc>
        <w:tc>
          <w:tcPr>
            <w:tcBorders>
              <w:lef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09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r>
      <w:tr>
        <w:trPr>
          <w:trHeight w:val="300"/>
        </w:trPr>
        <w:tc>
          <w:tcPr>
            <w:tcBorders>
              <w:bottom w:val="single" w:color="auto" w:sz="4" w:space="0"/>
            </w:tcBorders>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bottom w:val="single" w:color="auto" w:sz="4" w:space="0"/>
            </w:tcBorders>
            <w:tcW w:w="1331"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auto" w:sz="4" w:space="0"/>
            </w:tcBorders>
            <w:tcW w:w="1701"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auto" w:sz="4" w:space="0"/>
              <w:right w:val="single" w:color="auto" w:sz="4" w:space="0"/>
            </w:tcBorders>
            <w:tcW w:w="15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left w:val="single" w:color="auto" w:sz="4" w:space="0"/>
              <w:bottom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auto" w:sz="4" w:space="0"/>
            </w:tcBorders>
            <w:tcW w:w="109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00"/>
        </w:trPr>
        <w:tc>
          <w:tcPr>
            <w:tcBorders>
              <w:bottom w:val="single" w:color="auto" w:sz="4" w:space="0"/>
              <w:right w:val="single" w:color="auto" w:sz="4" w:space="0"/>
            </w:tcBorders>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left w:val="single" w:color="auto" w:sz="4" w:space="0"/>
              <w:bottom w:val="single" w:color="auto" w:sz="4" w:space="0"/>
              <w:right w:val="single" w:color="auto" w:sz="4" w:space="0"/>
            </w:tcBorders>
            <w:tcW w:w="1331"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15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left w:val="single" w:color="auto" w:sz="4" w:space="0"/>
              <w:bottom w:val="single" w:color="auto" w:sz="4" w:space="0"/>
            </w:tcBorders>
            <w:tcW w:w="109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50"/>
        </w:trPr>
        <w:tc>
          <w:tcPr>
            <w:tcBorders>
              <w:top w:val="single" w:color="auto" w:sz="4" w:space="0"/>
              <w:right w:val="single" w:color="auto" w:sz="4" w:space="0"/>
            </w:tcBorders>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right w:val="single" w:color="auto" w:sz="4" w:space="0"/>
            </w:tcBorders>
            <w:tcW w:w="1331" w:type="dxa"/>
            <w:vAlign w:val="center"/>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c>
          <w:tcPr>
            <w:tcBorders>
              <w:top w:val="single" w:color="auto" w:sz="4" w:space="0"/>
              <w:left w:val="single" w:color="auto" w:sz="4" w:space="0"/>
              <w:right w:val="single" w:color="auto" w:sz="4" w:space="0"/>
            </w:tcBorders>
            <w:tcW w:w="1517" w:type="dxa"/>
            <w:vAlign w:val="center"/>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c>
          <w:tcPr>
            <w:tcBorders>
              <w:top w:val="single" w:color="auto" w:sz="4" w:space="0"/>
              <w:left w:val="single" w:color="auto" w:sz="4" w:space="0"/>
              <w:right w:val="single" w:color="auto" w:sz="4" w:space="0"/>
            </w:tcBorders>
            <w:tcW w:w="1460" w:type="dxa"/>
            <w:vAlign w:val="center"/>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c>
          <w:tcPr>
            <w:tcBorders>
              <w:top w:val="single" w:color="auto" w:sz="4" w:space="0"/>
              <w:left w:val="single" w:color="auto" w:sz="4" w:space="0"/>
            </w:tcBorders>
            <w:tcW w:w="1099" w:type="dxa"/>
            <w:vAlign w:val="center"/>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r>
    </w:tbl>
    <w:p>
      <w:pPr>
        <w:ind w:firstLine="480"/>
        <w:jc w:val="left"/>
        <w:spacing w:line="360" w:lineRule="auto"/>
        <w:rPr>
          <w:rFonts w:ascii="宋体" w:hAnsi="宋体" w:eastAsia="宋体" w:cs="宋体"/>
          <w:bCs/>
          <w:color w:val="auto"/>
          <w:sz w:val="24"/>
          <w:szCs w:val="24"/>
          <w:highlight w:val="none"/>
        </w:rPr>
      </w:pPr>
      <w:r>
        <w:rPr>
          <w:rFonts w:hint="eastAsia"/>
          <w:color w:val="auto"/>
          <w:sz w:val="24"/>
          <w:highlight w:val="none"/>
        </w:rPr>
        <w:t xml:space="preserve">设备配置、技术指标、安装条件及验收指标等详见附件一技术协议</w:t>
      </w:r>
      <w:r>
        <w:rPr>
          <w:rFonts w:hint="eastAsia" w:ascii="宋体" w:hAnsi="宋体" w:eastAsia="宋体" w:cs="宋体"/>
          <w:bCs/>
          <w:color w:val="auto"/>
          <w:sz w:val="24"/>
          <w:szCs w:val="24"/>
          <w:highlight w:val="none"/>
        </w:rPr>
        <w:t xml:space="preserve">。</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第二条 合同总价款   </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本合同项下货物总价款为人民币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bCs/>
          <w:color w:val="auto"/>
          <w:sz w:val="24"/>
          <w:szCs w:val="24"/>
          <w:highlight w:val="none"/>
        </w:rPr>
        <w:t xml:space="preserve">包括完成对应采购包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82"/>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482"/>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本合同执行期间合同总价款不变。</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第三条  履约保证金</w:t>
      </w:r>
      <w:r/>
    </w:p>
    <w:p>
      <w:pPr>
        <w:ind w:firstLine="480"/>
        <w:jc w:val="left"/>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乙方须在签订合同前缴纳合同金额的10%作为履约保证金，至甲方签署最终验收合格证明之日起稳定运行1年后无息退还。履约保证金形式：以转账、支票、汇票、本票或者金融机构、担保机构出具的见索即付保函等非现金形式提交（保函内容须经甲方认可）。</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第四条  权利保证</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第五条  质量保证</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3、设备的质保期为最终验收合格之日起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年。质保期内仪器设备本身所发生的问题（人为因素除外），由乙方提供完全无偿的维修服务。</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第六条  包装要求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2、每一包装单元内应附详细的装箱单、质量合格凭证以及其他必须的相关材料。</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第七条  交货</w:t>
      </w:r>
      <w:r/>
    </w:p>
    <w:p>
      <w:pPr>
        <w:pStyle w:val="1039"/>
        <w:ind w:firstLine="480"/>
        <w:spacing w:before="0" w:beforeAutospacing="0" w:after="0" w:afterAutospacing="0" w:line="360" w:lineRule="auto"/>
        <w:shd w:val="clear" w:color="auto" w:fill="ffffff"/>
        <w:rPr>
          <w:color w:val="auto"/>
          <w:highlight w:val="none"/>
        </w:rPr>
      </w:pPr>
      <w:r>
        <w:rPr>
          <w:rFonts w:hint="eastAsia"/>
          <w:color w:val="auto"/>
          <w:highlight w:val="none"/>
        </w:rPr>
        <w:t xml:space="preserve">1、乙方应当在合同签订</w:t>
      </w:r>
      <w:r>
        <w:rPr>
          <w:rFonts w:hint="eastAsia"/>
          <w:color w:val="auto"/>
          <w:highlight w:val="none"/>
          <w:u w:val="single"/>
        </w:rPr>
        <w:t xml:space="preserve">    </w:t>
      </w:r>
      <w:r>
        <w:rPr>
          <w:rFonts w:hint="eastAsia"/>
          <w:color w:val="auto"/>
          <w:highlight w:val="none"/>
        </w:rPr>
        <w:t xml:space="preserve">个月内将货物运送至甲方指定实验室（甲方另行约定的时间除外，但最迟不得晚于2027年3月31日）。</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第八条 安装调试、培训和验收</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1、乙方将设备运送至指定实验室后的7个工作日内，甲方与乙方应确认安装调试日期，甲方应根据乙方要求准备好安装调试条件，乙方派专人到现场进行安装调试，并对甲方人员进行相关培训。</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2、验收条款</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完毕，由甲方组织最终验收，设备配置、所有技术参数须符合招标文件和乙方投标响应文件要求。验收内容还包括资料完整性、设备“三漏”(漏水、漏电、漏气)检查、设备运行稳定性、技术规格符合性。各项指标还应符合国家质量和安全标准，设备可以在现有条件下安全稳定运行。</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如果双方对验收结果有争议，可委托双方一致认可的国家相关权威检测中心进行检测，以检测结果作为最终验收结果，费用由乙方承担。</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第九条  伴随服务／售后服务</w:t>
      </w:r>
      <w:r/>
    </w:p>
    <w:p>
      <w:pPr>
        <w:ind w:firstLine="48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1、乙方应按照国家有关法律法规规章和“三包”规定以及合同所附的“服务承诺”（如果有）提供服务。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2、除前款规定外，乙方还应提供下列服务：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（1）货物的现场安装、调试和/或启动监督；</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（2）就货物的安装、启动、运行及维护等对甲方人员进行免费培训。</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3、质保期内，乙方负责对其提供的货物整机进行维修和系统维护（乙方上门服务），不再收取任何费用。</w:t>
      </w:r>
      <w:r/>
    </w:p>
    <w:p>
      <w:pPr>
        <w:ind w:firstLine="48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4、货物故障报修的响应时间为：工作期间（星期一至星期五8：00-18：00）为24小时；非工作期间为48小时。</w:t>
      </w:r>
      <w:r/>
    </w:p>
    <w:p>
      <w:pPr>
        <w:ind w:firstLine="48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5、若货物故障在检修48小时后仍无法排除，乙方应在72小时内免费提供不低于故障货物规格型号档次的备用货物供甲方使用，直至故障货物修复。</w:t>
      </w:r>
      <w:r/>
    </w:p>
    <w:p>
      <w:pPr>
        <w:ind w:firstLine="48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6、质保期后的货物维护由双方协商确定。</w:t>
      </w:r>
      <w:r/>
    </w:p>
    <w:p>
      <w:pPr>
        <w:ind w:firstLine="482"/>
        <w:jc w:val="left"/>
        <w:spacing w:line="360" w:lineRule="auto"/>
        <w:tabs>
          <w:tab w:val="left" w:pos="162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第十条   货款支付</w:t>
      </w:r>
      <w:r/>
    </w:p>
    <w:p>
      <w:pPr>
        <w:ind w:firstLine="48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w:t>
      </w:r>
      <w:r/>
    </w:p>
    <w:p>
      <w:pPr>
        <w:ind w:firstLine="48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2、本合同按照以下付款节点及条件支付：</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签订后30日内，甲方向乙方支付合同总价90%的预付款。乙方须在收到预付款前（一般为合同签订后5天内），向甲方提供与该预付款等额的、由商业银行出具的不可撤销的、无条件的见索即付独立预付款保函（保函格式及内容须事先经甲方确认）。该保函在设备最终验收合格后30日内无息退还； </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（2）全部设备完成安装、调试并正常运行后，经甲方签署最终验收合格证明文件（以甲方统一制式标准及签章为准），甲方再行支付合同总价10%的尾款；</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（3）每次付款前，乙方均须提供对应金额的、合法有效增值税专用发票。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乙方开户银行：</w:t>
      </w:r>
      <w:r>
        <w:rPr>
          <w:rFonts w:hint="eastAsia" w:ascii="宋体" w:hAnsi="宋体" w:eastAsia="宋体" w:cs="宋体"/>
          <w:color w:val="auto"/>
          <w:sz w:val="24"/>
          <w:szCs w:val="24"/>
          <w:highlight w:val="none"/>
          <w:u w:val="single"/>
        </w:rPr>
        <w:t xml:space="preserve">                           </w:t>
      </w:r>
      <w:r/>
    </w:p>
    <w:p>
      <w:pPr>
        <w:ind w:firstLine="48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rPr>
          <w:rFonts w:hint="eastAsia" w:ascii="宋体" w:hAnsi="宋体" w:eastAsia="宋体" w:cs="宋体"/>
          <w:color w:val="auto"/>
          <w:sz w:val="24"/>
          <w:szCs w:val="24"/>
          <w:highlight w:val="none"/>
          <w:u w:val="single"/>
        </w:rPr>
        <w:t xml:space="preserve">                              </w:t>
      </w:r>
      <w:r/>
    </w:p>
    <w:p>
      <w:pPr>
        <w:ind w:firstLine="48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3、付款方式：银行汇票或转账</w:t>
      </w:r>
      <w:r/>
    </w:p>
    <w:p>
      <w:pPr>
        <w:ind w:firstLine="480"/>
        <w:jc w:val="left"/>
        <w:spacing w:line="360" w:lineRule="auto"/>
        <w:tabs>
          <w:tab w:val="left" w:pos="1620" w:leader="none"/>
        </w:tabs>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4、增值税专用发票开票信息</w:t>
      </w:r>
      <w:r/>
    </w:p>
    <w:tbl>
      <w:tblPr>
        <w:tblStyle w:val="720"/>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127125" cy="1096010"/>
                      <wp:effectExtent l="0" t="0" r="3175" b="8890"/>
                      <wp:docPr id="1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第十一条　违约责任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1、乙方逾期将货物运送至甲方指定地点的，每逾期1周（不足1周按1周计算），乙方向甲方偿付逾期交货部分货款总额的5‰的滞纳金。如乙方逾期</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z w:val="24"/>
          <w:szCs w:val="24"/>
          <w:highlight w:val="none"/>
        </w:rPr>
        <w:t xml:space="preserve">天仍未交齐货物的，甲方有权终止合同，乙方则应按合同总价的5%向甲方支付违约金，并全额退还甲方所有预付给乙方的货款。</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4、乙方未按本合同的规定和“服务承诺”提供伴随服务/售后服务的，应按合同总价款的5%向甲方承担违约责任。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第十二条  不可抗力</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2、因不可抗力致使完全不能履行合同的，本协议终止，双方无须承担任何责任，但本协议另有规定的除外。</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3、因发生不可抗力致使部分不能履行本合同的（包括导致延期履行），根据不可抗力的影响，免除相应的责任，但本合同另有规定的除外。</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5、因合同一方延迟履行合同后发生不可抗力的，不能免除延迟履行方的相应责任。</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第十三条　合同的变更和终止</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本合同一经签订，甲乙双方不得擅自变更、中止或终止合同。</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第十四条　合同的转让</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未经甲方书面同意，乙方不得擅自部分或全部转让其应履行的合同义务。</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第十五条  争议的解决</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第十六条   合同生效及其他</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1、下列文件作为本合同不可分割的部分：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采购文件及其附件；</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乙方的响应文件；</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乙方在采购过程中所作的其他承诺、声明、书面澄清等；</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合同附件等。</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2、本合同自合同双方签字、盖章之日起生效。</w:t>
      </w:r>
      <w:r/>
    </w:p>
    <w:p>
      <w:pPr>
        <w:ind w:firstLine="480"/>
        <w:jc w:val="left"/>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3、本合同一式5 份，甲方执 3 份，乙方执 1 份，代理机构执1份，具有同等法律效力。</w:t>
      </w:r>
      <w:r/>
    </w:p>
    <w:p>
      <w:pPr>
        <w:ind w:firstLine="560"/>
        <w:jc w:val="left"/>
        <w:spacing w:line="360" w:lineRule="auto"/>
        <w:rPr>
          <w:color w:val="auto"/>
          <w:sz w:val="24"/>
          <w:szCs w:val="24"/>
          <w:highlight w:val="none"/>
        </w:rPr>
      </w:pPr>
      <w:r>
        <w:rPr>
          <w:color w:val="auto"/>
          <w:sz w:val="24"/>
          <w:szCs w:val="24"/>
          <w:highlight w:val="none"/>
        </w:rPr>
      </w:r>
      <w:r/>
    </w:p>
    <w:p>
      <w:pPr>
        <w:ind w:firstLine="560"/>
        <w:jc w:val="left"/>
        <w:spacing w:line="360" w:lineRule="auto"/>
        <w:rPr>
          <w:color w:val="auto"/>
          <w:sz w:val="24"/>
          <w:szCs w:val="24"/>
          <w:highlight w:val="none"/>
        </w:rPr>
      </w:pPr>
      <w:r>
        <w:rPr>
          <w:color w:val="auto"/>
          <w:sz w:val="24"/>
          <w:szCs w:val="24"/>
          <w:highlight w:val="none"/>
        </w:rPr>
      </w:r>
      <w:r/>
    </w:p>
    <w:p>
      <w:pPr>
        <w:ind w:firstLine="560"/>
        <w:jc w:val="left"/>
        <w:spacing w:line="360" w:lineRule="auto"/>
        <w:rPr>
          <w:color w:val="auto"/>
          <w:sz w:val="24"/>
          <w:szCs w:val="24"/>
          <w:highlight w:val="none"/>
        </w:rPr>
      </w:pPr>
      <w:r>
        <w:rPr>
          <w:rFonts w:hint="eastAsia"/>
          <w:color w:val="auto"/>
          <w:sz w:val="24"/>
          <w:szCs w:val="24"/>
          <w:highlight w:val="none"/>
        </w:rPr>
        <w:t xml:space="preserve">甲方（盖章）：                   乙方（盖章）：    </w:t>
      </w:r>
      <w:r/>
    </w:p>
    <w:p>
      <w:pPr>
        <w:ind w:firstLine="540"/>
        <w:jc w:val="left"/>
        <w:spacing w:line="360" w:lineRule="auto"/>
        <w:rPr>
          <w:color w:val="auto"/>
          <w:sz w:val="24"/>
          <w:szCs w:val="24"/>
          <w:highlight w:val="none"/>
        </w:rPr>
      </w:pPr>
      <w:r>
        <w:rPr>
          <w:rFonts w:hint="eastAsia"/>
          <w:color w:val="auto"/>
          <w:sz w:val="24"/>
          <w:szCs w:val="24"/>
          <w:highlight w:val="none"/>
        </w:rPr>
        <w:t xml:space="preserve">单位地址：                       单位地址： </w:t>
      </w:r>
      <w:r/>
    </w:p>
    <w:p>
      <w:pPr>
        <w:ind w:firstLine="560"/>
        <w:jc w:val="left"/>
        <w:spacing w:line="360" w:lineRule="auto"/>
        <w:rPr>
          <w:color w:val="auto"/>
          <w:sz w:val="24"/>
          <w:szCs w:val="24"/>
          <w:highlight w:val="none"/>
        </w:rPr>
      </w:pPr>
      <w:r>
        <w:rPr>
          <w:rFonts w:hint="eastAsia"/>
          <w:color w:val="auto"/>
          <w:sz w:val="24"/>
          <w:szCs w:val="24"/>
          <w:highlight w:val="none"/>
        </w:rPr>
        <w:t xml:space="preserve">设备购置负责人：                 授权代表：</w:t>
      </w:r>
      <w:r/>
    </w:p>
    <w:p>
      <w:pPr>
        <w:ind w:firstLine="560"/>
        <w:jc w:val="left"/>
        <w:spacing w:line="360" w:lineRule="auto"/>
        <w:rPr>
          <w:color w:val="auto"/>
          <w:sz w:val="24"/>
          <w:szCs w:val="24"/>
          <w:highlight w:val="none"/>
        </w:rPr>
      </w:pPr>
      <w:r>
        <w:rPr>
          <w:rFonts w:hint="eastAsia"/>
          <w:color w:val="auto"/>
          <w:sz w:val="24"/>
          <w:szCs w:val="24"/>
          <w:highlight w:val="none"/>
        </w:rPr>
        <w:t xml:space="preserve">电话：                           电话：</w:t>
      </w:r>
      <w:r/>
    </w:p>
    <w:p>
      <w:pPr>
        <w:ind w:firstLine="560"/>
        <w:jc w:val="left"/>
        <w:spacing w:line="360" w:lineRule="auto"/>
        <w:rPr>
          <w:color w:val="auto"/>
          <w:sz w:val="24"/>
          <w:szCs w:val="24"/>
          <w:highlight w:val="none"/>
        </w:rPr>
      </w:pPr>
      <w:r>
        <w:rPr>
          <w:rFonts w:hint="eastAsia"/>
          <w:color w:val="auto"/>
          <w:sz w:val="24"/>
          <w:szCs w:val="24"/>
          <w:highlight w:val="none"/>
        </w:rPr>
        <w:t xml:space="preserve">采购部门经办人：                 经办人：</w:t>
      </w:r>
      <w:r/>
    </w:p>
    <w:p>
      <w:pPr>
        <w:ind w:firstLine="560"/>
        <w:jc w:val="left"/>
        <w:spacing w:line="360" w:lineRule="auto"/>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       </w:t>
      </w:r>
      <w:r>
        <w:rPr>
          <w:rFonts w:hint="eastAsia"/>
          <w:color w:val="auto"/>
          <w:sz w:val="24"/>
          <w:szCs w:val="24"/>
          <w:highlight w:val="none"/>
        </w:rPr>
        <w:t xml:space="preserve">审核人</w:t>
      </w:r>
      <w:r>
        <w:rPr>
          <w:color w:val="auto"/>
          <w:sz w:val="24"/>
          <w:szCs w:val="24"/>
          <w:highlight w:val="none"/>
        </w:rPr>
        <w:t xml:space="preserve">：</w:t>
      </w:r>
      <w:r/>
    </w:p>
    <w:p>
      <w:pPr>
        <w:ind w:firstLine="560"/>
        <w:jc w:val="left"/>
        <w:spacing w:line="360" w:lineRule="auto"/>
        <w:rPr>
          <w:color w:val="auto"/>
          <w:sz w:val="24"/>
          <w:szCs w:val="24"/>
          <w:highlight w:val="none"/>
        </w:rPr>
      </w:pPr>
      <w:r>
        <w:rPr>
          <w:rFonts w:hint="eastAsia"/>
          <w:color w:val="auto"/>
          <w:sz w:val="24"/>
          <w:szCs w:val="24"/>
          <w:highlight w:val="none"/>
        </w:rPr>
        <w:t xml:space="preserve">电话：                           电话：                          </w:t>
      </w:r>
      <w:r/>
    </w:p>
    <w:p>
      <w:pPr>
        <w:ind w:firstLine="480"/>
        <w:rPr>
          <w:color w:val="auto"/>
          <w:sz w:val="24"/>
          <w:szCs w:val="24"/>
          <w:highlight w:val="none"/>
        </w:rPr>
      </w:pPr>
      <w:r>
        <w:rPr>
          <w:rFonts w:hint="eastAsia"/>
          <w:color w:val="auto"/>
          <w:sz w:val="24"/>
          <w:szCs w:val="24"/>
          <w:highlight w:val="none"/>
        </w:rPr>
        <w:t xml:space="preserve">日期：   年     月    日         日期：   年     月    日</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bookmarkStart w:id="72" w:name="_Toc105940242"/>
      <w:r>
        <w:rPr>
          <w:rFonts w:hint="eastAsia" w:ascii="宋体" w:hAnsi="宋体" w:eastAsia="宋体" w:cs="宋体"/>
          <w:b/>
          <w:color w:val="auto"/>
          <w:sz w:val="52"/>
          <w:szCs w:val="20"/>
          <w:highlight w:val="none"/>
          <w:shd w:val="clear" w:color="auto" w:fill="ffffff"/>
        </w:rPr>
        <w:t xml:space="preserve">第六章 评分</w:t>
      </w:r>
      <w:bookmarkEnd w:id="70"/>
      <w:r/>
      <w:bookmarkEnd w:id="71"/>
      <w:r>
        <w:rPr>
          <w:rFonts w:hint="eastAsia" w:ascii="宋体" w:hAnsi="宋体" w:eastAsia="宋体" w:cs="宋体"/>
          <w:b/>
          <w:color w:val="auto"/>
          <w:sz w:val="52"/>
          <w:szCs w:val="20"/>
          <w:highlight w:val="none"/>
          <w:shd w:val="clear" w:color="auto" w:fill="ffffff"/>
        </w:rPr>
        <w:t xml:space="preserve">标准</w:t>
      </w:r>
      <w:bookmarkEnd w:id="72"/>
      <w:r/>
      <w:r/>
    </w:p>
    <w:p>
      <w:pPr>
        <w:ind w:firstLine="520"/>
        <w:spacing w:line="360" w:lineRule="auto"/>
        <w:rPr>
          <w:rFonts w:ascii="宋体" w:hAnsi="宋体" w:eastAsia="宋体" w:cs="宋体"/>
          <w:color w:val="auto"/>
          <w:sz w:val="24"/>
          <w:szCs w:val="24"/>
          <w:highlight w:val="none"/>
        </w:rPr>
        <w:outlineLvl w:val="1"/>
      </w:pPr>
      <w:r/>
      <w:bookmarkStart w:id="73" w:name="OLE_LINK2"/>
      <w:r>
        <w:rPr>
          <w:rFonts w:hint="eastAsia" w:ascii="宋体" w:hAnsi="宋体" w:eastAsia="宋体" w:cs="宋体"/>
          <w:color w:val="auto"/>
          <w:sz w:val="26"/>
          <w:szCs w:val="20"/>
          <w:highlight w:val="none"/>
          <w:shd w:val="clear" w:color="auto" w:fill="ffffff"/>
        </w:rPr>
        <w:br w:type="page" w:clear="all"/>
      </w:r>
      <w:bookmarkEnd w:id="73"/>
      <w:r>
        <w:rPr>
          <w:rFonts w:hint="eastAsia" w:ascii="宋体" w:hAnsi="宋体" w:eastAsia="宋体" w:cs="宋体"/>
          <w:b/>
          <w:bCs/>
          <w:color w:val="auto"/>
          <w:sz w:val="24"/>
          <w:szCs w:val="24"/>
          <w:highlight w:val="none"/>
        </w:rPr>
        <w:t xml:space="preserve">一、评标办法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1、评价和比较采用综合评分法，即指投标文件满足招标文件全部实质性要求，且按照评审因素的量化指标评审得分最高的供应商为排名第一的中标候选人的评标方法。</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（1）评审过程中出现下列情形之一的，评审委员会应当启动异常低价投标(响应)审查程序：</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p>
    <w:p>
      <w:pPr>
        <w:pStyle w:val="730"/>
        <w:ind w:left="0" w:firstLine="480"/>
        <w:spacing w:line="360" w:lineRule="auto"/>
        <w:rPr>
          <w:rFonts w:ascii="宋体" w:hAnsi="宋体" w:eastAsia="宋体" w:cs="宋体"/>
          <w:color w:val="auto"/>
          <w:highlight w:val="none"/>
        </w:rPr>
      </w:pPr>
      <w:r>
        <w:rPr>
          <w:rFonts w:hint="eastAsia" w:ascii="宋体" w:hAnsi="宋体" w:eastAsia="宋体" w:cs="宋体"/>
          <w:color w:val="auto"/>
          <w:szCs w:val="24"/>
          <w:highlight w:val="none"/>
        </w:rPr>
        <w:t xml:space="preserve">其中，属于第③项情形，供应商已随投标（响应）文件一并提交相关书面说明及必要的证明材料的，在评审现场可不再重复提交。</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代理机构组织以抽签方式确定优先选取顺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u w:val="single"/>
        </w:rPr>
        <w:t xml:space="preserve"> 30 </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bookmarkStart w:id="74" w:name="_Hlk193379726"/>
      <w:r>
        <w:rPr>
          <w:rFonts w:hint="eastAsia" w:ascii="宋体" w:hAnsi="宋体" w:eastAsia="宋体" w:cs="宋体"/>
          <w:color w:val="auto"/>
          <w:sz w:val="24"/>
          <w:szCs w:val="24"/>
          <w:highlight w:val="none"/>
        </w:rPr>
        <w:t xml:space="preserve">第一步：投标（响应）报价低于或等于财政预算（最高限价）且符合采购文件要求的，为有效投标（响应）报价。无效投标（响应）报价的投标（响应）文件不参与进一步评审。</w:t>
      </w:r>
      <w:bookmarkEnd w:id="7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w:t>
      </w:r>
      <w:bookmarkStart w:id="75" w:name="_Hlk193380191"/>
      <w:r>
        <w:rPr>
          <w:rFonts w:hint="eastAsia" w:ascii="宋体" w:hAnsi="宋体" w:eastAsia="宋体" w:cs="宋体"/>
          <w:color w:val="auto"/>
          <w:sz w:val="24"/>
          <w:szCs w:val="24"/>
          <w:highlight w:val="none"/>
        </w:rPr>
        <w:t xml:space="preserve">满足招标文件要求，且投标（响应）价格最低的投标（响应）报价为评标基准价</w:t>
      </w:r>
      <w:bookmarkEnd w:id="75"/>
      <w:r>
        <w:rPr>
          <w:rFonts w:hint="eastAsia" w:ascii="宋体" w:hAnsi="宋体" w:eastAsia="宋体" w:cs="宋体"/>
          <w:color w:val="auto"/>
          <w:sz w:val="24"/>
          <w:szCs w:val="24"/>
          <w:highlight w:val="none"/>
        </w:rPr>
        <w:t xml:space="preserve">，</w:t>
      </w:r>
      <w:bookmarkStart w:id="76" w:name="_Hlk193380219"/>
      <w:r>
        <w:rPr>
          <w:rFonts w:hint="eastAsia" w:ascii="宋体" w:hAnsi="宋体" w:eastAsia="宋体" w:cs="宋体"/>
          <w:color w:val="auto"/>
          <w:sz w:val="24"/>
          <w:szCs w:val="24"/>
          <w:highlight w:val="none"/>
        </w:rPr>
        <w:t xml:space="preserve">其价格分为满分，即</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分</w:t>
      </w:r>
      <w:bookmarkEnd w:id="76"/>
      <w:r>
        <w:rPr>
          <w:rFonts w:hint="eastAsia" w:ascii="宋体" w:hAnsi="宋体" w:eastAsia="宋体" w:cs="宋体"/>
          <w:color w:val="auto"/>
          <w:sz w:val="24"/>
          <w:szCs w:val="24"/>
          <w:highlight w:val="none"/>
        </w:rPr>
        <w:t xml:space="preserve">。其他报价得分统一按照下列公式计算（计算结果四舍五入，保留两位小数）：</w:t>
      </w:r>
      <w:r/>
    </w:p>
    <w:p>
      <w:pPr>
        <w:pStyle w:val="729"/>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投标（响应）报价得分=（评标基准价/有效投标（响应）报价）×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%×100</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（二）技术部分：</w:t>
      </w:r>
      <w:r>
        <w:rPr>
          <w:rFonts w:hint="eastAsia" w:ascii="宋体" w:hAnsi="宋体" w:eastAsia="宋体" w:cs="宋体"/>
          <w:b/>
          <w:color w:val="auto"/>
          <w:sz w:val="24"/>
          <w:szCs w:val="24"/>
          <w:highlight w:val="none"/>
          <w:u w:val="single"/>
        </w:rPr>
        <w:t xml:space="preserve">39</w:t>
      </w:r>
      <w:r>
        <w:rPr>
          <w:rFonts w:hint="eastAsia" w:ascii="宋体" w:hAnsi="宋体" w:eastAsia="宋体" w:cs="宋体"/>
          <w:b/>
          <w:color w:val="auto"/>
          <w:sz w:val="24"/>
          <w:szCs w:val="24"/>
          <w:highlight w:val="none"/>
        </w:rPr>
        <w:t xml:space="preserve">分</w:t>
      </w:r>
      <w:r/>
    </w:p>
    <w:tbl>
      <w:tblPr>
        <w:tblStyle w:val="7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7"/>
        <w:gridCol w:w="817"/>
        <w:gridCol w:w="7110"/>
        <w:gridCol w:w="1184"/>
      </w:tblGrid>
      <w:tr>
        <w:trPr>
          <w:jc w:val="center"/>
        </w:trPr>
        <w:tc>
          <w:tcPr>
            <w:shd w:val="clear" w:color="auto" w:fill="auto"/>
            <w:tcW w:w="520"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83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shd w:val="clear" w:color="auto" w:fill="auto"/>
            <w:tcW w:w="7374"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shd w:val="clear" w:color="auto" w:fill="auto"/>
            <w:tcW w:w="90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shd w:val="clear" w:color="auto" w:fill="auto"/>
            <w:tcW w:w="520"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shd w:val="clear" w:color="auto" w:fill="auto"/>
            <w:tcW w:w="83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技术参数及配置</w:t>
            </w:r>
            <w:r/>
          </w:p>
        </w:tc>
        <w:tc>
          <w:tcPr>
            <w:shd w:val="clear" w:color="auto" w:fill="auto"/>
            <w:tcW w:w="7374" w:type="dxa"/>
            <w:vAlign w:val="center"/>
            <w:textDirection w:val="lrTb"/>
            <w:noWrap w:val="false"/>
          </w:tcPr>
          <w:p>
            <w:pPr>
              <w:jc w:val="left"/>
              <w:rPr>
                <w:rFonts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以投标人提供的能直接反映该产品技术参数的官网或彩页或产品说明书或具有检验（检测）资质的第三方检测机构出具的有效检验（检测）报告等相关佐证材料作为主要评判依据。</w:t>
            </w:r>
            <w:r/>
          </w:p>
          <w:p>
            <w:pPr>
              <w:jc w:val="left"/>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全部响应即满足招标文件功能技术参数要求的得20分。所提供产品不满足招标文件要求（负偏离）、配置不详、技术参数不明确、缺漏项的，每项扣2分，扣完为止。</w:t>
            </w:r>
            <w:r/>
          </w:p>
        </w:tc>
        <w:tc>
          <w:tcPr>
            <w:shd w:val="clear" w:color="auto" w:fill="auto"/>
            <w:tcW w:w="90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w:t>
            </w:r>
            <w:r/>
          </w:p>
        </w:tc>
      </w:tr>
      <w:tr>
        <w:trPr>
          <w:jc w:val="center"/>
        </w:trPr>
        <w:tc>
          <w:tcPr>
            <w:shd w:val="clear" w:color="auto" w:fill="auto"/>
            <w:tcW w:w="520"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shd w:val="clear" w:color="auto" w:fill="auto"/>
            <w:tcW w:w="83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技术方案</w:t>
            </w:r>
            <w:r/>
          </w:p>
        </w:tc>
        <w:tc>
          <w:tcPr>
            <w:shd w:val="clear" w:color="auto" w:fill="auto"/>
            <w:tcW w:w="7374" w:type="dxa"/>
            <w:vAlign w:val="center"/>
            <w:textDirection w:val="lrTb"/>
            <w:noWrap w:val="false"/>
          </w:tcPr>
          <w:p>
            <w:pPr>
              <w:jc w:val="left"/>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提供为实现本项目招标文件技术参数要求而制定的技术方案。技术方案详尽合理、针对性强，能完全符合用户科研需求的得10分。技术方案基本规范合理、具有较强针对性，能基本符合用户科研需求的得6分。技术方案有疏漏、合理性及针对性较差，仅能符合用户部分科研需求的得2分。技术方案完全不能符合用户科研需求或未提供技术方案的不得分。</w:t>
            </w:r>
            <w:r/>
          </w:p>
        </w:tc>
        <w:tc>
          <w:tcPr>
            <w:shd w:val="clear" w:color="auto" w:fill="auto"/>
            <w:tcW w:w="90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10,6,2,0</w:t>
            </w:r>
            <w:r/>
          </w:p>
        </w:tc>
      </w:tr>
      <w:tr>
        <w:trPr>
          <w:jc w:val="center"/>
        </w:trPr>
        <w:tc>
          <w:tcPr>
            <w:shd w:val="clear" w:color="auto" w:fill="auto"/>
            <w:tcW w:w="520"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shd w:val="clear" w:color="auto" w:fill="auto"/>
            <w:tcW w:w="83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项目实施方案</w:t>
            </w:r>
            <w:r/>
          </w:p>
        </w:tc>
        <w:tc>
          <w:tcPr>
            <w:shd w:val="clear" w:color="auto" w:fill="auto"/>
            <w:tcW w:w="7374" w:type="dxa"/>
            <w:vAlign w:val="center"/>
            <w:textDirection w:val="lrTb"/>
            <w:noWrap w:val="false"/>
          </w:tcPr>
          <w:p>
            <w:pPr>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应包括但不限于（1）安装调试、系统集成、试运行测试调优等内容，（2）组织机构、工作时间进度表、工作程序和步骤、管理措施；（3）实施协调方法、关键步骤的思路和要点等：</w:t>
            </w:r>
            <w:r/>
          </w:p>
          <w:p>
            <w:pPr>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tc>
        <w:tc>
          <w:tcPr>
            <w:shd w:val="clear" w:color="auto" w:fill="auto"/>
            <w:tcW w:w="90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w:t>
            </w:r>
            <w:r/>
          </w:p>
        </w:tc>
      </w:tr>
    </w:tbl>
    <w:p>
      <w:pPr>
        <w:ind w:firstLine="482"/>
        <w:spacing w:line="360" w:lineRule="auto"/>
        <w:rPr>
          <w:color w:val="auto"/>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31 </w:t>
      </w:r>
      <w:r>
        <w:rPr>
          <w:rFonts w:hint="eastAsia" w:ascii="宋体" w:hAnsi="宋体" w:eastAsia="宋体" w:cs="宋体"/>
          <w:b/>
          <w:color w:val="auto"/>
          <w:sz w:val="24"/>
          <w:szCs w:val="24"/>
          <w:highlight w:val="none"/>
        </w:rPr>
        <w:t xml:space="preserve">分</w:t>
      </w:r>
      <w:r/>
    </w:p>
    <w:tbl>
      <w:tblPr>
        <w:tblStyle w:val="72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144"/>
        <w:gridCol w:w="6720"/>
        <w:gridCol w:w="1305"/>
      </w:tblGrid>
      <w:tr>
        <w:trPr>
          <w:jc w:val="center"/>
        </w:trPr>
        <w:tc>
          <w:tcPr>
            <w:tcW w:w="23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742"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3637"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38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23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742"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业绩</w:t>
            </w:r>
            <w:r/>
          </w:p>
        </w:tc>
        <w:tc>
          <w:tcPr>
            <w:tcW w:w="3637"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提供投标人的所投产品（同型号设备）自2023年8月1日起至今的销售业绩，每提供1份业绩得1分，满分4分。</w:t>
            </w:r>
            <w:r/>
          </w:p>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（注：①提供业绩合同扫描件；②以合同签订日期为准；③同一单位业绩不重复计分；④对应完整发票扫描件；⑤履约</w:t>
            </w:r>
            <w:r>
              <w:rPr>
                <w:rFonts w:hint="eastAsia" w:ascii="宋体" w:hAnsi="宋体" w:eastAsia="宋体" w:cs="宋体"/>
                <w:color w:val="auto"/>
                <w:sz w:val="24"/>
                <w:szCs w:val="24"/>
                <w:highlight w:val="none"/>
                <w:lang w:val="zh-CN"/>
              </w:rPr>
              <w:t xml:space="preserve">验收</w:t>
            </w:r>
            <w:r>
              <w:rPr>
                <w:rFonts w:hint="eastAsia" w:ascii="宋体" w:hAnsi="宋体" w:eastAsia="宋体" w:cs="宋体"/>
                <w:color w:val="auto"/>
                <w:sz w:val="24"/>
                <w:szCs w:val="24"/>
                <w:highlight w:val="none"/>
              </w:rPr>
              <w:t xml:space="preserve">合格相关</w:t>
            </w:r>
            <w:r>
              <w:rPr>
                <w:rFonts w:hint="eastAsia" w:ascii="宋体" w:hAnsi="宋体" w:eastAsia="宋体" w:cs="宋体"/>
                <w:color w:val="auto"/>
                <w:sz w:val="24"/>
                <w:szCs w:val="24"/>
                <w:highlight w:val="none"/>
                <w:lang w:val="zh-CN"/>
              </w:rPr>
              <w:t xml:space="preserve">证明</w:t>
            </w:r>
            <w:r>
              <w:rPr>
                <w:rFonts w:hint="eastAsia" w:ascii="宋体" w:hAnsi="宋体" w:eastAsia="宋体" w:cs="宋体"/>
                <w:color w:val="auto"/>
                <w:sz w:val="24"/>
                <w:szCs w:val="24"/>
                <w:highlight w:val="none"/>
              </w:rPr>
              <w:t xml:space="preserve">材料扫描件。）</w:t>
            </w:r>
            <w:r/>
          </w:p>
        </w:tc>
        <w:tc>
          <w:tcPr>
            <w:tcW w:w="38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r>
      <w:tr>
        <w:trPr>
          <w:jc w:val="center"/>
        </w:trPr>
        <w:tc>
          <w:tcPr>
            <w:tcW w:w="23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shd w:val="clear" w:color="auto" w:fill="auto"/>
            <w:tcW w:w="1424"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市场反馈情况</w:t>
            </w:r>
            <w:r/>
          </w:p>
        </w:tc>
        <w:tc>
          <w:tcPr>
            <w:shd w:val="clear" w:color="auto" w:fill="auto"/>
            <w:tcW w:w="7000" w:type="dxa"/>
            <w:vAlign w:val="center"/>
            <w:textDirection w:val="lrTb"/>
            <w:noWrap w:val="false"/>
          </w:tcPr>
          <w:p>
            <w:pPr>
              <w:jc w:val="left"/>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提供所投产品（同型号设备）现有用户反馈情况，每提供1份得1分，</w:t>
            </w:r>
            <w:r>
              <w:rPr>
                <w:rFonts w:ascii="宋体" w:hAnsi="宋体" w:eastAsia="宋体" w:cs="宋体"/>
                <w:bCs/>
                <w:color w:val="auto"/>
                <w:sz w:val="24"/>
                <w:szCs w:val="24"/>
                <w:highlight w:val="none"/>
              </w:rPr>
              <w:t xml:space="preserve">本项最高得</w:t>
            </w:r>
            <w:r>
              <w:rPr>
                <w:rFonts w:hint="eastAsia" w:ascii="宋体" w:hAnsi="宋体" w:eastAsia="宋体" w:cs="宋体"/>
                <w:bCs/>
                <w:color w:val="auto"/>
                <w:sz w:val="24"/>
                <w:szCs w:val="24"/>
                <w:highlight w:val="none"/>
              </w:rPr>
              <w:t xml:space="preserve">5</w:t>
            </w:r>
            <w:r>
              <w:rPr>
                <w:rFonts w:ascii="宋体" w:hAnsi="宋体" w:eastAsia="宋体" w:cs="宋体"/>
                <w:bCs/>
                <w:color w:val="auto"/>
                <w:sz w:val="24"/>
                <w:szCs w:val="24"/>
                <w:highlight w:val="none"/>
              </w:rPr>
              <w:t xml:space="preserve">分</w:t>
            </w:r>
            <w:r>
              <w:rPr>
                <w:rFonts w:hint="eastAsia" w:ascii="宋体" w:hAnsi="宋体" w:eastAsia="宋体" w:cs="宋体"/>
                <w:color w:val="auto"/>
                <w:sz w:val="24"/>
                <w:szCs w:val="24"/>
                <w:highlight w:val="none"/>
              </w:rPr>
              <w:t xml:space="preserve">。反馈情况需含项目名称、型号、采购时间、满意度、联系人及电话（注：材料须加盖所属用户单位公章）。</w:t>
            </w:r>
            <w:r/>
          </w:p>
        </w:tc>
        <w:tc>
          <w:tcPr>
            <w:shd w:val="clear" w:color="auto" w:fill="auto"/>
            <w:tcW w:w="38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r>
      <w:tr>
        <w:trPr>
          <w:jc w:val="center"/>
        </w:trPr>
        <w:tc>
          <w:tcPr>
            <w:tcW w:w="23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742"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售后服务方案</w:t>
            </w:r>
            <w:r/>
          </w:p>
        </w:tc>
        <w:tc>
          <w:tcPr>
            <w:tcW w:w="3637"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包括①针对本项目制定的售后服务响应机制及响应时间；②针对投标人服务体系的完备性；③投入本项目专业技术服务人员及技术力量保障性。</w:t>
            </w:r>
            <w:r/>
          </w:p>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上述每项应逐条叙述，方案全面合理、可行性强、操作性强、贴合项目实际的每项得</w:t>
            </w:r>
            <w:r>
              <w:rPr>
                <w:rFonts w:ascii="宋体" w:hAnsi="宋体" w:eastAsia="宋体" w:cs="宋体"/>
                <w:color w:val="auto"/>
                <w:sz w:val="24"/>
                <w:szCs w:val="24"/>
                <w:highlight w:val="none"/>
              </w:rPr>
              <w:t xml:space="preserve">4分；方案</w:t>
            </w:r>
            <w:r>
              <w:rPr>
                <w:rFonts w:hint="eastAsia" w:ascii="宋体" w:hAnsi="宋体" w:eastAsia="宋体" w:cs="宋体"/>
                <w:color w:val="auto"/>
                <w:sz w:val="24"/>
                <w:szCs w:val="24"/>
                <w:highlight w:val="none"/>
              </w:rPr>
              <w:t xml:space="preserve">较</w:t>
            </w:r>
            <w:r>
              <w:rPr>
                <w:rFonts w:ascii="宋体" w:hAnsi="宋体" w:eastAsia="宋体" w:cs="宋体"/>
                <w:color w:val="auto"/>
                <w:sz w:val="24"/>
                <w:szCs w:val="24"/>
                <w:highlight w:val="none"/>
              </w:rPr>
              <w:t xml:space="preserve">合理可行、</w:t>
            </w:r>
            <w:r>
              <w:rPr>
                <w:rFonts w:hint="eastAsia" w:ascii="宋体" w:hAnsi="宋体" w:eastAsia="宋体" w:cs="宋体"/>
                <w:color w:val="auto"/>
                <w:sz w:val="24"/>
                <w:szCs w:val="24"/>
                <w:highlight w:val="none"/>
              </w:rPr>
              <w:t xml:space="preserve">具有</w:t>
            </w:r>
            <w:r>
              <w:rPr>
                <w:rFonts w:ascii="宋体" w:hAnsi="宋体" w:eastAsia="宋体" w:cs="宋体"/>
                <w:color w:val="auto"/>
                <w:sz w:val="24"/>
                <w:szCs w:val="24"/>
                <w:highlight w:val="none"/>
              </w:rPr>
              <w:t xml:space="preserve">操作性、与项目实际</w:t>
            </w:r>
            <w:r>
              <w:rPr>
                <w:rFonts w:hint="eastAsia" w:ascii="宋体" w:hAnsi="宋体" w:eastAsia="宋体" w:cs="宋体"/>
                <w:color w:val="auto"/>
                <w:sz w:val="24"/>
                <w:szCs w:val="24"/>
                <w:highlight w:val="none"/>
              </w:rPr>
              <w:t xml:space="preserve">较</w:t>
            </w:r>
            <w:r>
              <w:rPr>
                <w:rFonts w:ascii="宋体" w:hAnsi="宋体" w:eastAsia="宋体" w:cs="宋体"/>
                <w:color w:val="auto"/>
                <w:sz w:val="24"/>
                <w:szCs w:val="24"/>
                <w:highlight w:val="none"/>
              </w:rPr>
              <w:t xml:space="preserve">贴合的得</w:t>
            </w: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分；方案合理性较弱、可行性有所欠缺、操作性不强、与项目实际贴合度不高的得</w:t>
            </w: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分；每项叙述内容完全脱离采购需求或未作完整叙述的不得分。本项最高得12分。</w:t>
            </w:r>
            <w:r/>
          </w:p>
        </w:tc>
        <w:tc>
          <w:tcPr>
            <w:tcW w:w="38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w:t>
            </w:r>
            <w:r/>
          </w:p>
        </w:tc>
      </w:tr>
      <w:tr>
        <w:trPr>
          <w:jc w:val="center"/>
        </w:trPr>
        <w:tc>
          <w:tcPr>
            <w:tcW w:w="23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742"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培训方案</w:t>
            </w:r>
            <w:r/>
          </w:p>
        </w:tc>
        <w:tc>
          <w:tcPr>
            <w:tcW w:w="3637"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包括（1）培训内容、时间、地点、人次、安装维护、调试、配置；（2）使用技能、业务人员培训、应用操作及使用等。</w:t>
            </w:r>
            <w:r/>
          </w:p>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上述每项应逐条叙述，方案全面合理、可行性强、操作性强、贴合项目实际的每项得</w:t>
            </w:r>
            <w:r>
              <w:rPr>
                <w:rFonts w:ascii="宋体" w:hAnsi="宋体" w:eastAsia="宋体" w:cs="宋体"/>
                <w:color w:val="auto"/>
                <w:sz w:val="24"/>
                <w:szCs w:val="24"/>
                <w:highlight w:val="none"/>
              </w:rPr>
              <w:t xml:space="preserve">4分；方案</w:t>
            </w:r>
            <w:r>
              <w:rPr>
                <w:rFonts w:hint="eastAsia" w:ascii="宋体" w:hAnsi="宋体" w:eastAsia="宋体" w:cs="宋体"/>
                <w:color w:val="auto"/>
                <w:sz w:val="24"/>
                <w:szCs w:val="24"/>
                <w:highlight w:val="none"/>
              </w:rPr>
              <w:t xml:space="preserve">较</w:t>
            </w:r>
            <w:r>
              <w:rPr>
                <w:rFonts w:ascii="宋体" w:hAnsi="宋体" w:eastAsia="宋体" w:cs="宋体"/>
                <w:color w:val="auto"/>
                <w:sz w:val="24"/>
                <w:szCs w:val="24"/>
                <w:highlight w:val="none"/>
              </w:rPr>
              <w:t xml:space="preserve">合理可行、</w:t>
            </w:r>
            <w:r>
              <w:rPr>
                <w:rFonts w:hint="eastAsia" w:ascii="宋体" w:hAnsi="宋体" w:eastAsia="宋体" w:cs="宋体"/>
                <w:color w:val="auto"/>
                <w:sz w:val="24"/>
                <w:szCs w:val="24"/>
                <w:highlight w:val="none"/>
              </w:rPr>
              <w:t xml:space="preserve">具有</w:t>
            </w:r>
            <w:r>
              <w:rPr>
                <w:rFonts w:ascii="宋体" w:hAnsi="宋体" w:eastAsia="宋体" w:cs="宋体"/>
                <w:color w:val="auto"/>
                <w:sz w:val="24"/>
                <w:szCs w:val="24"/>
                <w:highlight w:val="none"/>
              </w:rPr>
              <w:t xml:space="preserve">操作性、与项目实际</w:t>
            </w:r>
            <w:r>
              <w:rPr>
                <w:rFonts w:hint="eastAsia" w:ascii="宋体" w:hAnsi="宋体" w:eastAsia="宋体" w:cs="宋体"/>
                <w:color w:val="auto"/>
                <w:sz w:val="24"/>
                <w:szCs w:val="24"/>
                <w:highlight w:val="none"/>
              </w:rPr>
              <w:t xml:space="preserve">较</w:t>
            </w:r>
            <w:r>
              <w:rPr>
                <w:rFonts w:ascii="宋体" w:hAnsi="宋体" w:eastAsia="宋体" w:cs="宋体"/>
                <w:color w:val="auto"/>
                <w:sz w:val="24"/>
                <w:szCs w:val="24"/>
                <w:highlight w:val="none"/>
              </w:rPr>
              <w:t xml:space="preserve">贴合的得</w:t>
            </w: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分；方案合理性较弱、可行性有所欠缺、操作性不强、与项目实际贴合度不高的得</w:t>
            </w: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分；每项叙述内容完全脱离采购需求或未作完整叙述的不得分。本项最高得8分</w:t>
            </w:r>
            <w:r>
              <w:rPr>
                <w:rFonts w:hint="eastAsia" w:ascii="宋体" w:hAnsi="宋体" w:eastAsia="宋体" w:cs="宋体"/>
                <w:color w:val="auto"/>
                <w:sz w:val="24"/>
                <w:szCs w:val="24"/>
                <w:highlight w:val="none"/>
              </w:rPr>
              <w:t xml:space="preserve">。</w:t>
            </w:r>
            <w:r/>
          </w:p>
        </w:tc>
        <w:tc>
          <w:tcPr>
            <w:tcW w:w="38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w:t>
            </w:r>
            <w:r/>
          </w:p>
        </w:tc>
      </w:tr>
      <w:tr>
        <w:trPr>
          <w:jc w:val="center"/>
        </w:trPr>
        <w:tc>
          <w:tcPr>
            <w:tcW w:w="23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742"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其他优惠措施</w:t>
            </w:r>
            <w:r/>
          </w:p>
        </w:tc>
        <w:tc>
          <w:tcPr>
            <w:tcW w:w="3637"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供应商提供的在招标文件要求范围以外，评标委员会认可的优惠措施综合评定。优惠措施内容具体明确，具有实际价值及可行性高的得2分；优惠措施内容较为具体明确，实际价值及可行性较高的得1分；优惠措施内容不够具体明确，实际价值及可行性较低的得0.5分；不具备可行性或未提供具体内容的不得分。</w:t>
            </w:r>
            <w:r/>
          </w:p>
        </w:tc>
        <w:tc>
          <w:tcPr>
            <w:tcW w:w="38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2,1,0.5,0</w:t>
            </w:r>
            <w:r/>
          </w:p>
        </w:tc>
      </w:tr>
    </w:tbl>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spacing w:line="360" w:lineRule="auto"/>
        <w:rPr>
          <w:rFonts w:ascii="宋体" w:hAnsi="宋体" w:eastAsia="宋体" w:cs="宋体"/>
          <w:b/>
          <w:bCs/>
          <w:color w:val="auto"/>
          <w:sz w:val="24"/>
          <w:szCs w:val="24"/>
          <w:highlight w:val="none"/>
        </w:rPr>
      </w:pPr>
      <w:r/>
      <w:bookmarkStart w:id="77" w:name="_Toc105940243"/>
      <w:r/>
      <w:bookmarkStart w:id="78" w:name="_Toc48723925"/>
      <w:r>
        <w:rPr>
          <w:rFonts w:hint="eastAsia" w:ascii="宋体" w:hAnsi="宋体" w:eastAsia="宋体" w:cs="宋体"/>
          <w:b/>
          <w:bCs/>
          <w:color w:val="auto"/>
          <w:sz w:val="24"/>
          <w:szCs w:val="24"/>
          <w:highlight w:val="none"/>
        </w:rPr>
        <w:t xml:space="preserve">说明：</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针对评分标准中评分的每一条，供应商在投标（响应）文件中均应提供相关资料的清晰扫描件并作出相应说明供评委评判，未提供或提供不完整的视为不具备该项得分的条件。</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numPr>
          <w:ilvl w:val="0"/>
          <w:numId w:val="4"/>
        </w:num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政府采购政策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（一）支持本国产品政策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w:t>
      </w:r>
      <w:r>
        <w:rPr>
          <w:rFonts w:hint="eastAsia" w:ascii="宋体" w:hAnsi="宋体" w:eastAsia="宋体" w:cs="宋体"/>
          <w:color w:val="auto"/>
          <w:sz w:val="24"/>
          <w:szCs w:val="24"/>
          <w:highlight w:val="none"/>
          <w:lang w:val="zh-CN"/>
        </w:rPr>
        <w:t xml:space="preserve">《国务院办公厅关于在政府采购中实施本国产品标准及相关政策的通知》</w:t>
      </w:r>
      <w:bookmarkStart w:id="79" w:name="OLE_LINK13"/>
      <w:r>
        <w:rPr>
          <w:rFonts w:hint="eastAsia" w:ascii="宋体" w:hAnsi="宋体" w:eastAsia="宋体" w:cs="宋体"/>
          <w:color w:val="auto"/>
          <w:sz w:val="24"/>
          <w:szCs w:val="24"/>
          <w:highlight w:val="none"/>
          <w:lang w:val="zh-CN"/>
        </w:rPr>
        <w:t xml:space="preserve">（国办发［2025］34号）</w:t>
      </w:r>
      <w:bookmarkEnd w:id="79"/>
      <w:r>
        <w:rPr>
          <w:rFonts w:hint="eastAsia" w:ascii="宋体" w:hAnsi="宋体" w:eastAsia="宋体" w:cs="宋体"/>
          <w:color w:val="auto"/>
          <w:sz w:val="24"/>
          <w:szCs w:val="24"/>
          <w:highlight w:val="none"/>
          <w:lang w:val="zh-CN"/>
        </w:rPr>
        <w:t xml:space="preserve">（以下简称“本国产品扶持政策”）的规定，</w:t>
      </w:r>
      <w:r>
        <w:rPr>
          <w:rFonts w:hint="eastAsia" w:ascii="宋体" w:hAnsi="宋体" w:eastAsia="宋体" w:cs="宋体"/>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color w:val="auto"/>
          <w:sz w:val="24"/>
          <w:szCs w:val="24"/>
          <w:highlight w:val="none"/>
          <w:lang w:val="zh-CN"/>
        </w:rPr>
        <w:t xml:space="preserve">关于本国产品成本占比的声明函》，</w:t>
      </w:r>
      <w:r>
        <w:rPr>
          <w:rFonts w:hint="eastAsia" w:ascii="宋体" w:hAnsi="宋体" w:eastAsia="宋体" w:cs="宋体"/>
          <w:color w:val="auto"/>
          <w:sz w:val="24"/>
          <w:szCs w:val="24"/>
          <w:highlight w:val="none"/>
        </w:rPr>
        <w:t xml:space="preserve">未填写比例数值，或比例数值未达到80%的，将不享受本国产品价格评审优惠。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3、本国产品标准的适用范围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4、供应商应当提供符合</w:t>
      </w:r>
      <w:r>
        <w:rPr>
          <w:rFonts w:hint="eastAsia" w:ascii="宋体" w:hAnsi="宋体" w:eastAsia="宋体" w:cs="宋体"/>
          <w:color w:val="auto"/>
          <w:sz w:val="24"/>
          <w:szCs w:val="24"/>
          <w:highlight w:val="none"/>
          <w:lang w:val="zh-CN"/>
        </w:rPr>
        <w:t xml:space="preserve">本国产品扶持政策</w:t>
      </w:r>
      <w:r>
        <w:rPr>
          <w:rFonts w:hint="eastAsia" w:ascii="宋体" w:hAnsi="宋体" w:eastAsia="宋体" w:cs="宋体"/>
          <w:color w:val="auto"/>
          <w:sz w:val="24"/>
          <w:szCs w:val="24"/>
          <w:highlight w:val="none"/>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多种产品采购时，还应提供《</w:t>
      </w:r>
      <w:r>
        <w:rPr>
          <w:rFonts w:hint="eastAsia" w:ascii="宋体" w:hAnsi="宋体" w:eastAsia="宋体" w:cs="宋体"/>
          <w:color w:val="auto"/>
          <w:sz w:val="24"/>
          <w:szCs w:val="24"/>
          <w:highlight w:val="none"/>
          <w:lang w:val="zh-CN"/>
        </w:rPr>
        <w:t xml:space="preserve">关于本国产品成本占比的声明函》</w:t>
      </w:r>
      <w:r>
        <w:rPr>
          <w:rFonts w:hint="eastAsia" w:ascii="宋体" w:hAnsi="宋体" w:eastAsia="宋体" w:cs="宋体"/>
          <w:color w:val="auto"/>
          <w:sz w:val="24"/>
          <w:szCs w:val="24"/>
          <w:highlight w:val="none"/>
        </w:rPr>
        <w:t xml:space="preserve">（格式见第三章）。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未按上述要求提供的，不享受本国产品扶持政策。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6、若供应商提供虚假《关于符合本国产品标准的声明函》、《</w:t>
      </w:r>
      <w:r>
        <w:rPr>
          <w:rFonts w:hint="eastAsia" w:ascii="宋体" w:hAnsi="宋体" w:eastAsia="宋体" w:cs="宋体"/>
          <w:color w:val="auto"/>
          <w:sz w:val="24"/>
          <w:szCs w:val="24"/>
          <w:highlight w:val="none"/>
          <w:lang w:val="zh-CN"/>
        </w:rPr>
        <w:t xml:space="preserve">关于本国产品成本占比的声明函》、</w:t>
      </w:r>
      <w:r>
        <w:rPr>
          <w:rFonts w:hint="eastAsia" w:ascii="宋体" w:hAnsi="宋体" w:eastAsia="宋体" w:cs="宋体"/>
          <w:color w:val="auto"/>
          <w:sz w:val="24"/>
          <w:szCs w:val="24"/>
          <w:highlight w:val="none"/>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7、供应商提供的《关于符合本国产品标准的声明函》，或财政部会同有关部门规定的有关证明文件将随中标（成交）结果同时公告。</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（二）促进中小企业发展政策</w:t>
      </w:r>
      <w:r/>
    </w:p>
    <w:p>
      <w:pPr>
        <w:ind w:firstLine="480"/>
        <w:spacing w:line="360" w:lineRule="auto"/>
        <w:rPr>
          <w:rFonts w:ascii="宋体" w:hAnsi="宋体" w:eastAsia="宋体" w:cs="宋体"/>
          <w:color w:val="auto"/>
          <w:sz w:val="24"/>
          <w:szCs w:val="24"/>
          <w:highlight w:val="none"/>
        </w:rPr>
      </w:pPr>
      <w:r/>
      <w:bookmarkStart w:id="80"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8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2、本项目如属于</w:t>
      </w:r>
      <w:r>
        <w:rPr>
          <w:rFonts w:hint="eastAsia" w:ascii="宋体" w:hAnsi="宋体" w:eastAsia="宋体" w:cs="宋体"/>
          <w:b/>
          <w:color w:val="auto"/>
          <w:sz w:val="24"/>
          <w:szCs w:val="24"/>
          <w:highlight w:val="none"/>
        </w:rPr>
        <w:t xml:space="preserve">非专门面向中小企业采购</w:t>
      </w:r>
      <w:r>
        <w:rPr>
          <w:rFonts w:hint="eastAsia" w:ascii="宋体" w:hAnsi="宋体" w:eastAsia="宋体" w:cs="宋体"/>
          <w:color w:val="auto"/>
          <w:sz w:val="24"/>
          <w:szCs w:val="24"/>
          <w:highlight w:val="none"/>
        </w:rPr>
        <w:t xml:space="preserve">，对小微企业报价给予</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的扣除，用扣除后的价格参与评审。如扣除后的价格为最低价的，则作为评标基准价，中标（成交）金额则以实际投标（响应）报价为准。</w:t>
      </w:r>
      <w:r/>
    </w:p>
    <w:p>
      <w:pPr>
        <w:pStyle w:val="730"/>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如</w:t>
      </w:r>
      <w:bookmarkStart w:id="81" w:name="OLE_LINK8"/>
      <w:r/>
      <w:bookmarkStart w:id="82" w:name="OLE_LINK9"/>
      <w:r>
        <w:rPr>
          <w:rFonts w:hint="eastAsia" w:ascii="宋体" w:hAnsi="宋体" w:eastAsia="宋体" w:cs="宋体"/>
          <w:color w:val="auto"/>
          <w:szCs w:val="24"/>
          <w:highlight w:val="none"/>
        </w:rPr>
        <w:t xml:space="preserve">接受供应商为联合体投标（响应）</w:t>
      </w:r>
      <w:bookmarkEnd w:id="81"/>
      <w:r/>
      <w:bookmarkEnd w:id="82"/>
      <w:r>
        <w:rPr>
          <w:rFonts w:hint="eastAsia" w:ascii="宋体" w:hAnsi="宋体" w:eastAsia="宋体" w:cs="宋体"/>
          <w:color w:val="auto"/>
          <w:szCs w:val="24"/>
          <w:highlight w:val="none"/>
        </w:rPr>
        <w:t xml:space="preserve">，联合体各方均为小微企业的，对联合体报价在评审时给予</w:t>
      </w:r>
      <w:r>
        <w:rPr>
          <w:rFonts w:hint="eastAsia" w:ascii="宋体" w:hAnsi="宋体" w:eastAsia="宋体" w:cs="宋体"/>
          <w:color w:val="auto"/>
          <w:szCs w:val="24"/>
          <w:highlight w:val="none"/>
          <w:u w:val="single"/>
        </w:rPr>
        <w:t xml:space="preserve"> / %</w:t>
      </w:r>
      <w:r>
        <w:rPr>
          <w:rFonts w:hint="eastAsia" w:ascii="宋体" w:hAnsi="宋体" w:eastAsia="宋体" w:cs="宋体"/>
          <w:color w:val="auto"/>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Cs w:val="24"/>
          <w:highlight w:val="none"/>
          <w:u w:val="single"/>
        </w:rPr>
        <w:t xml:space="preserve"> / %</w:t>
      </w:r>
      <w:r>
        <w:rPr>
          <w:rFonts w:hint="eastAsia" w:ascii="宋体" w:hAnsi="宋体" w:eastAsia="宋体" w:cs="宋体"/>
          <w:color w:val="auto"/>
          <w:szCs w:val="24"/>
          <w:highlight w:val="none"/>
        </w:rPr>
        <w:t xml:space="preserve">的扣除，用扣除后的价格参与评审。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（四）监狱企业</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（五）绿色采购</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1、根据苏财购【2019】10号文：</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产品中若有属于《节能产品政府采购品目清单》范围内的强制采购产品，投标响应文件中须提供认证机构出具的、处于有效期之内的节能产品认证证书，未提供或提供不全的将视响应文件为未实质性响应采购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产品中若有属于《节能产品政府采购品目清单》范围内优先采购的产品，本次采购产品中若有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2、绿色采购</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bookmarkEnd w:id="77"/>
      <w:r/>
      <w:bookmarkEnd w:id="78"/>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center"/>
        <w:keepLines/>
        <w:keepNext/>
        <w:spacing w:before="340" w:after="330" w:line="360" w:lineRule="auto"/>
        <w:rPr>
          <w:rFonts w:ascii="宋体" w:hAnsi="宋体" w:eastAsia="宋体" w:cs="宋体"/>
          <w:color w:val="auto"/>
          <w:highlight w:val="none"/>
        </w:rPr>
        <w:outlineLvl w:val="0"/>
      </w:pPr>
      <w:r>
        <w:rPr>
          <w:rFonts w:hint="eastAsia" w:ascii="宋体" w:hAnsi="宋体" w:eastAsia="宋体" w:cs="宋体"/>
          <w:b/>
          <w:color w:val="auto"/>
          <w:sz w:val="52"/>
          <w:szCs w:val="20"/>
          <w:highlight w:val="none"/>
          <w:shd w:val="clear" w:color="auto" w:fill="ffffff"/>
        </w:rPr>
        <w:t xml:space="preserve">第七章 附件</w:t>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附件1：政府采购合同信用融资政策告知函</w:t>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附件2：中小企业</w:t>
      </w:r>
      <w:r>
        <w:rPr>
          <w:rFonts w:hint="eastAsia" w:ascii="宋体" w:hAnsi="宋体" w:eastAsia="宋体" w:cs="宋体"/>
          <w:b/>
          <w:bCs/>
          <w:color w:val="auto"/>
          <w:sz w:val="24"/>
          <w:szCs w:val="24"/>
          <w:highlight w:val="none"/>
        </w:rPr>
        <w:t xml:space="preserve">相关要求</w:t>
      </w:r>
      <w:r/>
    </w:p>
    <w:p>
      <w:pPr>
        <w:spacing w:line="360" w:lineRule="auto"/>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br w:type="page" w:clear="all"/>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附件1：</w:t>
      </w:r>
      <w:r/>
    </w:p>
    <w:p>
      <w:pPr>
        <w:jc w:val="center"/>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8"/>
          <w:szCs w:val="24"/>
          <w:highlight w:val="none"/>
        </w:rPr>
        <w:t xml:space="preserve">政府采购合同信用融资政策告知函</w:t>
      </w:r>
      <w:r/>
    </w:p>
    <w:p>
      <w:pPr>
        <w:ind w:firstLine="48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62"/>
        <w:ind w:firstLine="0"/>
        <w:jc w:val="left"/>
        <w:rPr>
          <w:rFonts w:ascii="宋体" w:hAnsi="宋体" w:eastAsia="宋体" w:cs="宋体"/>
          <w:b/>
          <w:bCs/>
          <w:color w:val="auto"/>
          <w:highlight w:val="none"/>
        </w:rPr>
      </w:pPr>
      <w:r>
        <w:rPr>
          <w:rFonts w:hint="eastAsia" w:ascii="宋体" w:hAnsi="宋体" w:eastAsia="宋体" w:cs="宋体"/>
          <w:b/>
          <w:bCs/>
          <w:color w:val="auto"/>
          <w:highlight w:val="none"/>
        </w:rPr>
        <w:t xml:space="preserve">附件2：</w:t>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中小企业</w:t>
      </w:r>
      <w:r>
        <w:rPr>
          <w:rFonts w:hint="eastAsia" w:ascii="宋体" w:hAnsi="宋体" w:eastAsia="宋体" w:cs="宋体"/>
          <w:b/>
          <w:bCs/>
          <w:color w:val="auto"/>
          <w:sz w:val="24"/>
          <w:szCs w:val="24"/>
          <w:highlight w:val="none"/>
        </w:rPr>
        <w:t xml:space="preserve">相关要求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1.在货物采购项目中，供应商提供的货物由中小企业制造，即货物由中小企业生产且使用该中小企业商号或者注册商标。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auto"/>
          <w:sz w:val="24"/>
          <w:szCs w:val="24"/>
          <w:highlight w:val="none"/>
        </w:rPr>
        <w:t xml:space="preserve">本采购标的对应的中小企业划分标准所属行业，以采购文件中具体规定为准。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color w:val="auto"/>
          <w:sz w:val="24"/>
          <w:szCs w:val="24"/>
          <w:highlight w:val="none"/>
        </w:rPr>
        <w:t xml:space="preserve">如未在</w:t>
      </w:r>
      <w:r>
        <w:rPr>
          <w:rFonts w:hint="eastAsia" w:ascii="宋体" w:hAnsi="宋体" w:eastAsia="宋体" w:cs="宋体"/>
          <w:color w:val="auto"/>
          <w:sz w:val="24"/>
          <w:szCs w:val="24"/>
          <w:highlight w:val="none"/>
        </w:rPr>
        <w:t xml:space="preserve">《中小企业声明函》中填写注明具体企业类型</w:t>
      </w:r>
      <w:r>
        <w:rPr>
          <w:rFonts w:hint="eastAsia" w:ascii="宋体" w:hAnsi="宋体" w:eastAsia="宋体" w:cs="宋体"/>
          <w:b/>
          <w:color w:val="auto"/>
          <w:sz w:val="24"/>
          <w:szCs w:val="24"/>
          <w:highlight w:val="none"/>
        </w:rPr>
        <w:t xml:space="preserve">（中型企业、小型企业或微型企业），不视为中小微企业，不享受相应扶持政策</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b/>
          <w:color w:val="auto"/>
          <w:highlight w:val="none"/>
        </w:rPr>
      </w:pPr>
      <w:r>
        <w:rPr>
          <w:rFonts w:hint="eastAsia" w:ascii="宋体" w:hAnsi="宋体" w:eastAsia="宋体" w:cs="宋体"/>
          <w:color w:val="auto"/>
          <w:sz w:val="24"/>
          <w:szCs w:val="24"/>
          <w:highlight w:val="none"/>
        </w:rPr>
        <w:t xml:space="preserve">4.中标（成交）单位为中小企业的，《中小企业声明函》将随中标（成交）结果同时公告。</w:t>
      </w:r>
      <w:r>
        <w:rPr>
          <w:rFonts w:hint="eastAsia" w:ascii="宋体" w:hAnsi="宋体" w:eastAsia="宋体" w:cs="宋体"/>
          <w:b/>
          <w:color w:val="auto"/>
          <w:highlight w:val="none"/>
        </w:rPr>
        <w:br w:type="page" w:clear="all"/>
      </w:r>
      <w:r/>
    </w:p>
    <w:p>
      <w:pPr>
        <w:pStyle w:val="962"/>
        <w:ind w:firstLine="0"/>
        <w:jc w:val="left"/>
        <w:rPr>
          <w:rFonts w:ascii="宋体" w:hAnsi="宋体" w:eastAsia="宋体" w:cs="宋体"/>
          <w:b/>
          <w:bCs/>
          <w:color w:val="auto"/>
          <w:highlight w:val="none"/>
        </w:rPr>
      </w:pPr>
      <w:r>
        <w:rPr>
          <w:rFonts w:hint="eastAsia" w:ascii="宋体" w:hAnsi="宋体" w:eastAsia="宋体" w:cs="宋体"/>
          <w:b/>
          <w:bCs/>
          <w:color w:val="auto"/>
          <w:highlight w:val="none"/>
        </w:rPr>
        <w:t xml:space="preserve">附件3：</w:t>
      </w:r>
      <w:r/>
    </w:p>
    <w:p>
      <w:pPr>
        <w:pStyle w:val="962"/>
        <w:ind w:firstLine="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中小企业划型标准规定</w:t>
      </w:r>
      <w:r>
        <w:rPr>
          <w:rFonts w:hint="eastAsia" w:ascii="宋体" w:hAnsi="宋体" w:eastAsia="宋体" w:cs="宋体"/>
          <w:b/>
          <w:color w:val="auto"/>
          <w:highlight w:val="none"/>
        </w:rPr>
        <w:t xml:space="preserve">（工信部联企业〔2011〕300号）</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（一）农、林、牧、渔业。</w:t>
      </w:r>
      <w:r>
        <w:rPr>
          <w:rFonts w:hint="eastAsia" w:ascii="宋体" w:hAnsi="宋体" w:eastAsia="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（十六）其他未列明行业。</w:t>
      </w:r>
      <w:r>
        <w:rPr>
          <w:rFonts w:hint="eastAsia" w:ascii="宋体" w:hAnsi="宋体" w:eastAsia="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jc w:val="right"/>
        <w:rPr>
          <w:rFonts w:ascii="宋体" w:hAnsi="宋体" w:eastAsia="宋体" w:cs="宋体"/>
          <w:b/>
          <w:bCs/>
          <w:color w:val="auto"/>
          <w:highlight w:val="none"/>
        </w:rPr>
      </w:pPr>
      <w:r>
        <w:rPr>
          <w:rFonts w:hint="eastAsia" w:ascii="宋体" w:hAnsi="宋体" w:eastAsia="宋体" w:cs="宋体"/>
          <w:b/>
          <w:bCs/>
          <w:color w:val="auto"/>
          <w:sz w:val="24"/>
          <w:szCs w:val="20"/>
          <w:highlight w:val="none"/>
          <w:shd w:val="clear" w:color="auto" w:fill="ffffff"/>
        </w:rPr>
        <w:t xml:space="preserve">（全文完）</w:t>
      </w:r>
      <w:r/>
    </w:p>
    <w:p>
      <w:pPr>
        <w:pStyle w:val="729"/>
        <w:rPr>
          <w:rFonts w:ascii="宋体" w:hAnsi="宋体" w:eastAsia="宋体" w:cs="宋体"/>
          <w:color w:val="auto"/>
          <w:highlight w:val="none"/>
        </w:rPr>
      </w:pPr>
      <w:r>
        <w:rPr>
          <w:rFonts w:ascii="宋体" w:hAnsi="宋体" w:eastAsia="宋体" w:cs="宋体"/>
          <w:color w:val="auto"/>
          <w:highlight w:val="none"/>
        </w:rPr>
      </w:r>
      <w:r/>
    </w:p>
    <w:p>
      <w:pPr>
        <w:ind w:right="480"/>
        <w:spacing w:line="360" w:lineRule="auto"/>
        <w:rPr>
          <w:rFonts w:ascii="宋体" w:hAnsi="宋体" w:eastAsia="宋体" w:cs="宋体"/>
          <w:b/>
          <w:bCs/>
          <w:color w:val="auto"/>
          <w:highlight w:val="none"/>
        </w:rPr>
      </w:pPr>
      <w:r>
        <w:rPr>
          <w:rFonts w:ascii="宋体" w:hAnsi="宋体" w:eastAsia="宋体" w:cs="宋体"/>
          <w:b/>
          <w:bCs/>
          <w:color w:val="auto"/>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60</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rFonts w:hint="eastAsia" w:ascii="宋体" w:hAnsi="宋体" w:eastAsia="宋体"/>
        <w:lang w:eastAsia="zh-CN"/>
      </w:rPr>
    </w:pPr>
    <w:r>
      <w:rPr>
        <w:rFonts w:hint="eastAsia" w:ascii="宋体" w:hAnsi="宋体" w:eastAsia="宋体"/>
      </w:rPr>
      <w:t xml:space="preserve">政府采购招标文件                                                          标号：</w:t>
    </w:r>
    <w:r>
      <w:rPr>
        <w:rFonts w:hint="eastAsia" w:ascii="宋体" w:hAnsi="宋体" w:eastAsia="宋体"/>
        <w:lang w:eastAsia="zh-CN"/>
      </w:rPr>
      <w:t xml:space="preserve">JSZC-320500-SZCH-G2026-0054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991"/>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6"/>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0">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1">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3">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6">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7">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8">
    <w:name w:val="TOC Heading"/>
    <w:uiPriority w:val="39"/>
    <w:unhideWhenUsed/>
  </w:style>
  <w:style w:type="paragraph" w:styleId="70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0">
    <w:name w:val="Heading 1"/>
    <w:basedOn w:val="709"/>
    <w:next w:val="709"/>
    <w:link w:val="928"/>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11">
    <w:name w:val="Heading 2"/>
    <w:basedOn w:val="709"/>
    <w:next w:val="709"/>
    <w:link w:val="929"/>
    <w:uiPriority w:val="0"/>
    <w:qFormat/>
    <w:pPr>
      <w:jc w:val="left"/>
      <w:keepLines/>
      <w:keepNext/>
      <w:outlineLvl w:val="1"/>
    </w:pPr>
    <w:rPr>
      <w:rFonts w:ascii="宋体" w:hAnsi="宋体" w:eastAsia="楷体_GB2312" w:cs="Times New Roman"/>
      <w:b/>
      <w:sz w:val="26"/>
      <w:szCs w:val="20"/>
    </w:rPr>
  </w:style>
  <w:style w:type="paragraph" w:styleId="712">
    <w:name w:val="Heading 3"/>
    <w:basedOn w:val="709"/>
    <w:next w:val="709"/>
    <w:link w:val="930"/>
    <w:uiPriority w:val="0"/>
    <w:qFormat/>
    <w:pPr>
      <w:jc w:val="left"/>
      <w:keepLines/>
      <w:keepNext/>
      <w:outlineLvl w:val="2"/>
    </w:pPr>
    <w:rPr>
      <w:rFonts w:ascii="Calibri" w:hAnsi="Calibri" w:eastAsia="楷体_GB2312" w:cs="Times New Roman"/>
      <w:b/>
      <w:sz w:val="26"/>
      <w:szCs w:val="20"/>
    </w:rPr>
  </w:style>
  <w:style w:type="paragraph" w:styleId="713">
    <w:name w:val="Heading 4"/>
    <w:basedOn w:val="709"/>
    <w:next w:val="709"/>
    <w:link w:val="931"/>
    <w:uiPriority w:val="0"/>
    <w:qFormat/>
    <w:pPr>
      <w:keepLines/>
      <w:keepNext/>
      <w:spacing w:before="280" w:after="290" w:line="376" w:lineRule="auto"/>
      <w:outlineLvl w:val="3"/>
    </w:pPr>
    <w:rPr>
      <w:rFonts w:ascii="Arial" w:hAnsi="Arial" w:eastAsia="黑体" w:cs="Times New Roman"/>
      <w:b/>
      <w:bCs/>
      <w:sz w:val="28"/>
      <w:szCs w:val="28"/>
    </w:rPr>
  </w:style>
  <w:style w:type="paragraph" w:styleId="714">
    <w:name w:val="Heading 5"/>
    <w:basedOn w:val="709"/>
    <w:next w:val="709"/>
    <w:link w:val="932"/>
    <w:uiPriority w:val="0"/>
    <w:qFormat/>
    <w:pPr>
      <w:keepNext/>
      <w:outlineLvl w:val="4"/>
    </w:pPr>
    <w:rPr>
      <w:rFonts w:ascii="宋体" w:hAnsi="宋体" w:eastAsia="宋体" w:cs="Times New Roman"/>
      <w:color w:val="000000"/>
      <w:sz w:val="28"/>
      <w:szCs w:val="20"/>
    </w:rPr>
  </w:style>
  <w:style w:type="paragraph" w:styleId="715">
    <w:name w:val="Heading 6"/>
    <w:basedOn w:val="709"/>
    <w:next w:val="709"/>
    <w:link w:val="933"/>
    <w:uiPriority w:val="0"/>
    <w:qFormat/>
    <w:pPr>
      <w:keepNext/>
      <w:outlineLvl w:val="5"/>
    </w:pPr>
    <w:rPr>
      <w:rFonts w:ascii="宋体" w:hAnsi="宋体" w:eastAsia="宋体" w:cs="Times New Roman"/>
      <w:sz w:val="28"/>
      <w:szCs w:val="20"/>
    </w:rPr>
  </w:style>
  <w:style w:type="paragraph" w:styleId="716">
    <w:name w:val="Heading 7"/>
    <w:basedOn w:val="709"/>
    <w:next w:val="709"/>
    <w:link w:val="804"/>
    <w:uiPriority w:val="9"/>
    <w:unhideWhenUsed/>
    <w:qFormat/>
    <w:pPr>
      <w:keepLines/>
      <w:keepNext/>
      <w:spacing w:before="320" w:after="200"/>
      <w:outlineLvl w:val="6"/>
    </w:pPr>
    <w:rPr>
      <w:rFonts w:ascii="Arial" w:hAnsi="Arial" w:eastAsia="Arial" w:cs="Arial"/>
      <w:b/>
      <w:bCs/>
      <w:i/>
      <w:iCs/>
      <w:sz w:val="22"/>
    </w:rPr>
  </w:style>
  <w:style w:type="paragraph" w:styleId="717">
    <w:name w:val="Heading 8"/>
    <w:basedOn w:val="709"/>
    <w:next w:val="709"/>
    <w:link w:val="805"/>
    <w:uiPriority w:val="9"/>
    <w:unhideWhenUsed/>
    <w:qFormat/>
    <w:pPr>
      <w:keepLines/>
      <w:keepNext/>
      <w:spacing w:before="320" w:after="200"/>
      <w:outlineLvl w:val="7"/>
    </w:pPr>
    <w:rPr>
      <w:rFonts w:ascii="Arial" w:hAnsi="Arial" w:eastAsia="Arial" w:cs="Arial"/>
      <w:i/>
      <w:iCs/>
      <w:sz w:val="22"/>
    </w:rPr>
  </w:style>
  <w:style w:type="paragraph" w:styleId="718">
    <w:name w:val="Heading 9"/>
    <w:basedOn w:val="709"/>
    <w:next w:val="709"/>
    <w:link w:val="806"/>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tblPr>
      <w:tblCellMar>
        <w:left w:w="108" w:type="dxa"/>
        <w:top w:w="0" w:type="dxa"/>
        <w:right w:w="108" w:type="dxa"/>
        <w:bottom w:w="0" w:type="dxa"/>
      </w:tblCellMar>
    </w:tblPr>
  </w:style>
  <w:style w:type="paragraph" w:styleId="721">
    <w:name w:val="toc 7"/>
    <w:basedOn w:val="709"/>
    <w:next w:val="709"/>
    <w:uiPriority w:val="0"/>
    <w:qFormat/>
    <w:pPr>
      <w:ind w:left="2520"/>
    </w:pPr>
    <w:rPr>
      <w:rFonts w:ascii="Calibri" w:hAnsi="Calibri" w:eastAsia="楷体_GB2312" w:cs="Times New Roman"/>
      <w:sz w:val="26"/>
      <w:szCs w:val="20"/>
    </w:rPr>
  </w:style>
  <w:style w:type="paragraph" w:styleId="722">
    <w:name w:val="index 8"/>
    <w:basedOn w:val="709"/>
    <w:next w:val="709"/>
    <w:uiPriority w:val="0"/>
    <w:qFormat/>
    <w:pPr>
      <w:ind w:left="2940"/>
    </w:pPr>
    <w:rPr>
      <w:rFonts w:ascii="Calibri" w:hAnsi="Calibri" w:eastAsia="楷体_GB2312" w:cs="Times New Roman"/>
      <w:sz w:val="26"/>
      <w:szCs w:val="20"/>
    </w:rPr>
  </w:style>
  <w:style w:type="paragraph" w:styleId="723">
    <w:name w:val="Normal Indent"/>
    <w:basedOn w:val="709"/>
    <w:next w:val="709"/>
    <w:link w:val="934"/>
    <w:uiPriority w:val="0"/>
    <w:qFormat/>
    <w:pPr>
      <w:ind w:firstLine="420"/>
      <w:jc w:val="left"/>
    </w:pPr>
    <w:rPr>
      <w:rFonts w:ascii="Calibri" w:hAnsi="Calibri" w:eastAsia="楷体_GB2312" w:cs="Times New Roman"/>
      <w:sz w:val="24"/>
      <w:szCs w:val="20"/>
    </w:rPr>
  </w:style>
  <w:style w:type="paragraph" w:styleId="724">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index 5"/>
    <w:basedOn w:val="709"/>
    <w:next w:val="709"/>
    <w:uiPriority w:val="0"/>
    <w:qFormat/>
    <w:pPr>
      <w:ind w:left="1680"/>
    </w:pPr>
    <w:rPr>
      <w:rFonts w:ascii="Calibri" w:hAnsi="Calibri" w:eastAsia="楷体_GB2312" w:cs="Times New Roman"/>
      <w:sz w:val="26"/>
      <w:szCs w:val="20"/>
    </w:rPr>
  </w:style>
  <w:style w:type="paragraph" w:styleId="726">
    <w:name w:val="Document Map"/>
    <w:basedOn w:val="709"/>
    <w:link w:val="935"/>
    <w:uiPriority w:val="0"/>
    <w:qFormat/>
    <w:pPr>
      <w:shd w:val="clear" w:color="auto" w:fill="000080"/>
    </w:pPr>
    <w:rPr>
      <w:rFonts w:ascii="Calibri" w:hAnsi="Calibri" w:eastAsia="楷体_GB2312" w:cs="Times New Roman"/>
      <w:sz w:val="26"/>
      <w:szCs w:val="20"/>
    </w:rPr>
  </w:style>
  <w:style w:type="paragraph" w:styleId="727">
    <w:name w:val="annotation text"/>
    <w:basedOn w:val="709"/>
    <w:link w:val="936"/>
    <w:uiPriority w:val="0"/>
    <w:qFormat/>
    <w:pPr>
      <w:jc w:val="left"/>
    </w:pPr>
    <w:rPr>
      <w:rFonts w:ascii="Calibri" w:hAnsi="Calibri" w:eastAsia="楷体_GB2312" w:cs="Times New Roman"/>
      <w:sz w:val="26"/>
      <w:szCs w:val="20"/>
    </w:rPr>
  </w:style>
  <w:style w:type="paragraph" w:styleId="728">
    <w:name w:val="index 6"/>
    <w:basedOn w:val="709"/>
    <w:next w:val="709"/>
    <w:uiPriority w:val="0"/>
    <w:qFormat/>
    <w:pPr>
      <w:ind w:left="2100"/>
    </w:pPr>
    <w:rPr>
      <w:rFonts w:ascii="Calibri" w:hAnsi="Calibri" w:eastAsia="楷体_GB2312" w:cs="Times New Roman"/>
      <w:sz w:val="26"/>
      <w:szCs w:val="20"/>
    </w:rPr>
  </w:style>
  <w:style w:type="paragraph" w:styleId="729">
    <w:name w:val="Body Text"/>
    <w:basedOn w:val="709"/>
    <w:link w:val="937"/>
    <w:uiPriority w:val="0"/>
    <w:qFormat/>
    <w:pPr>
      <w:spacing w:line="400" w:lineRule="exact"/>
    </w:pPr>
    <w:rPr>
      <w:rFonts w:ascii="楷体_GB2312" w:hAnsi="Calibri" w:eastAsia="楷体_GB2312" w:cs="Times New Roman"/>
      <w:sz w:val="28"/>
      <w:szCs w:val="20"/>
    </w:rPr>
  </w:style>
  <w:style w:type="paragraph" w:styleId="730">
    <w:name w:val="Body Text Indent"/>
    <w:basedOn w:val="709"/>
    <w:link w:val="938"/>
    <w:uiPriority w:val="99"/>
    <w:qFormat/>
    <w:pPr>
      <w:ind w:left="570"/>
      <w:spacing w:line="520" w:lineRule="exact"/>
    </w:pPr>
    <w:rPr>
      <w:rFonts w:ascii="方正仿宋简体" w:hAnsi="创艺简仿宋" w:eastAsia="方正仿宋简体" w:cs="Times New Roman"/>
      <w:sz w:val="24"/>
      <w:szCs w:val="20"/>
    </w:rPr>
  </w:style>
  <w:style w:type="paragraph" w:styleId="731">
    <w:name w:val="Block Text"/>
    <w:basedOn w:val="709"/>
    <w:next w:val="709"/>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32">
    <w:name w:val="index 4"/>
    <w:basedOn w:val="709"/>
    <w:next w:val="709"/>
    <w:uiPriority w:val="0"/>
    <w:qFormat/>
    <w:pPr>
      <w:ind w:left="1260"/>
    </w:pPr>
    <w:rPr>
      <w:rFonts w:ascii="Calibri" w:hAnsi="Calibri" w:eastAsia="楷体_GB2312" w:cs="Times New Roman"/>
      <w:sz w:val="26"/>
      <w:szCs w:val="20"/>
    </w:rPr>
  </w:style>
  <w:style w:type="paragraph" w:styleId="733">
    <w:name w:val="toc 5"/>
    <w:basedOn w:val="709"/>
    <w:next w:val="709"/>
    <w:uiPriority w:val="0"/>
    <w:qFormat/>
    <w:pPr>
      <w:ind w:left="1680"/>
    </w:pPr>
    <w:rPr>
      <w:rFonts w:ascii="Calibri" w:hAnsi="Calibri" w:eastAsia="楷体_GB2312" w:cs="Times New Roman"/>
      <w:sz w:val="26"/>
      <w:szCs w:val="20"/>
    </w:rPr>
  </w:style>
  <w:style w:type="paragraph" w:styleId="734">
    <w:name w:val="toc 3"/>
    <w:basedOn w:val="709"/>
    <w:next w:val="709"/>
    <w:uiPriority w:val="0"/>
    <w:qFormat/>
    <w:pPr>
      <w:ind w:left="840"/>
    </w:pPr>
    <w:rPr>
      <w:rFonts w:ascii="Calibri" w:hAnsi="Calibri" w:eastAsia="楷体_GB2312" w:cs="Times New Roman"/>
      <w:sz w:val="26"/>
      <w:szCs w:val="20"/>
    </w:rPr>
  </w:style>
  <w:style w:type="paragraph" w:styleId="735">
    <w:name w:val="Plain Text"/>
    <w:basedOn w:val="709"/>
    <w:link w:val="939"/>
    <w:uiPriority w:val="0"/>
    <w:qFormat/>
    <w:rPr>
      <w:rFonts w:ascii="宋体" w:hAnsi="Courier New" w:eastAsia="楷体_GB2312" w:cs="Times New Roman"/>
      <w:sz w:val="26"/>
      <w:szCs w:val="20"/>
    </w:rPr>
  </w:style>
  <w:style w:type="paragraph" w:styleId="736">
    <w:name w:val="toc 8"/>
    <w:basedOn w:val="709"/>
    <w:next w:val="709"/>
    <w:uiPriority w:val="0"/>
    <w:qFormat/>
    <w:pPr>
      <w:ind w:left="2940"/>
    </w:pPr>
    <w:rPr>
      <w:rFonts w:ascii="Calibri" w:hAnsi="Calibri" w:eastAsia="楷体_GB2312" w:cs="Times New Roman"/>
      <w:sz w:val="26"/>
      <w:szCs w:val="20"/>
    </w:rPr>
  </w:style>
  <w:style w:type="paragraph" w:styleId="737">
    <w:name w:val="index 3"/>
    <w:basedOn w:val="709"/>
    <w:next w:val="709"/>
    <w:uiPriority w:val="0"/>
    <w:qFormat/>
    <w:pPr>
      <w:ind w:left="840"/>
    </w:pPr>
    <w:rPr>
      <w:rFonts w:ascii="Calibri" w:hAnsi="Calibri" w:eastAsia="楷体_GB2312" w:cs="Times New Roman"/>
      <w:sz w:val="26"/>
      <w:szCs w:val="20"/>
    </w:rPr>
  </w:style>
  <w:style w:type="paragraph" w:styleId="738">
    <w:name w:val="Date"/>
    <w:basedOn w:val="709"/>
    <w:next w:val="709"/>
    <w:link w:val="940"/>
    <w:uiPriority w:val="0"/>
    <w:qFormat/>
    <w:rPr>
      <w:rFonts w:ascii="宋体" w:hAnsi="宋体" w:eastAsia="楷体_GB2312" w:cs="Times New Roman"/>
      <w:sz w:val="24"/>
      <w:szCs w:val="20"/>
    </w:rPr>
  </w:style>
  <w:style w:type="paragraph" w:styleId="739">
    <w:name w:val="Body Text Indent 2"/>
    <w:basedOn w:val="709"/>
    <w:link w:val="941"/>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40">
    <w:name w:val="endnote text"/>
    <w:basedOn w:val="709"/>
    <w:link w:val="942"/>
    <w:uiPriority w:val="0"/>
    <w:qFormat/>
    <w:pPr>
      <w:jc w:val="left"/>
    </w:pPr>
    <w:rPr>
      <w:rFonts w:ascii="Calibri" w:hAnsi="Calibri" w:eastAsia="楷体_GB2312" w:cs="Times New Roman"/>
      <w:sz w:val="26"/>
      <w:szCs w:val="20"/>
    </w:rPr>
  </w:style>
  <w:style w:type="paragraph" w:styleId="741">
    <w:name w:val="Balloon Text"/>
    <w:basedOn w:val="709"/>
    <w:link w:val="943"/>
    <w:uiPriority w:val="99"/>
    <w:qFormat/>
    <w:rPr>
      <w:rFonts w:ascii="Calibri" w:hAnsi="Calibri" w:eastAsia="楷体_GB2312" w:cs="Times New Roman"/>
      <w:sz w:val="18"/>
      <w:szCs w:val="18"/>
    </w:rPr>
  </w:style>
  <w:style w:type="paragraph" w:styleId="742">
    <w:name w:val="Footer"/>
    <w:basedOn w:val="709"/>
    <w:link w:val="944"/>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43">
    <w:name w:val="Header"/>
    <w:basedOn w:val="709"/>
    <w:link w:val="945"/>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44">
    <w:name w:val="toc 1"/>
    <w:basedOn w:val="709"/>
    <w:next w:val="709"/>
    <w:uiPriority w:val="39"/>
    <w:qFormat/>
    <w:pPr>
      <w:jc w:val="left"/>
    </w:pPr>
    <w:rPr>
      <w:rFonts w:ascii="Calibri" w:hAnsi="Calibri" w:eastAsia="楷体_GB2312" w:cs="Times New Roman"/>
      <w:sz w:val="24"/>
      <w:szCs w:val="20"/>
    </w:rPr>
  </w:style>
  <w:style w:type="paragraph" w:styleId="745">
    <w:name w:val="toc 4"/>
    <w:basedOn w:val="709"/>
    <w:next w:val="709"/>
    <w:uiPriority w:val="0"/>
    <w:qFormat/>
    <w:pPr>
      <w:ind w:left="1260"/>
    </w:pPr>
    <w:rPr>
      <w:rFonts w:ascii="Calibri" w:hAnsi="Calibri" w:eastAsia="楷体_GB2312" w:cs="Times New Roman"/>
      <w:sz w:val="26"/>
      <w:szCs w:val="20"/>
    </w:rPr>
  </w:style>
  <w:style w:type="paragraph" w:styleId="746">
    <w:name w:val="index heading"/>
    <w:basedOn w:val="709"/>
    <w:next w:val="747"/>
    <w:uiPriority w:val="0"/>
    <w:qFormat/>
    <w:rPr>
      <w:rFonts w:ascii="Calibri" w:hAnsi="Calibri" w:eastAsia="楷体_GB2312" w:cs="Times New Roman"/>
      <w:sz w:val="26"/>
      <w:szCs w:val="20"/>
    </w:rPr>
  </w:style>
  <w:style w:type="paragraph" w:styleId="747">
    <w:name w:val="index 1"/>
    <w:basedOn w:val="709"/>
    <w:next w:val="709"/>
    <w:uiPriority w:val="0"/>
    <w:unhideWhenUsed/>
    <w:qFormat/>
  </w:style>
  <w:style w:type="paragraph" w:styleId="748">
    <w:name w:val="Subtitle"/>
    <w:basedOn w:val="709"/>
    <w:next w:val="709"/>
    <w:link w:val="946"/>
    <w:uiPriority w:val="0"/>
    <w:qFormat/>
    <w:pPr>
      <w:jc w:val="left"/>
      <w:spacing w:before="120"/>
      <w:outlineLvl w:val="1"/>
    </w:pPr>
    <w:rPr>
      <w:rFonts w:ascii="Cambria" w:hAnsi="Cambria" w:eastAsia="宋体" w:cs="Times New Roman"/>
      <w:b/>
      <w:bCs/>
      <w:sz w:val="24"/>
      <w:szCs w:val="32"/>
    </w:rPr>
  </w:style>
  <w:style w:type="paragraph" w:styleId="749">
    <w:name w:val="footnote text"/>
    <w:basedOn w:val="709"/>
    <w:link w:val="947"/>
    <w:uiPriority w:val="0"/>
    <w:qFormat/>
    <w:pPr>
      <w:jc w:val="left"/>
    </w:pPr>
    <w:rPr>
      <w:rFonts w:ascii="Calibri" w:hAnsi="Calibri" w:eastAsia="楷体_GB2312" w:cs="Times New Roman"/>
      <w:sz w:val="18"/>
      <w:szCs w:val="20"/>
    </w:rPr>
  </w:style>
  <w:style w:type="paragraph" w:styleId="750">
    <w:name w:val="toc 6"/>
    <w:basedOn w:val="709"/>
    <w:next w:val="709"/>
    <w:uiPriority w:val="0"/>
    <w:qFormat/>
    <w:pPr>
      <w:ind w:left="2100"/>
    </w:pPr>
    <w:rPr>
      <w:rFonts w:ascii="Calibri" w:hAnsi="Calibri" w:eastAsia="楷体_GB2312" w:cs="Times New Roman"/>
      <w:sz w:val="26"/>
      <w:szCs w:val="20"/>
    </w:rPr>
  </w:style>
  <w:style w:type="paragraph" w:styleId="751">
    <w:name w:val="Body Text Indent 3"/>
    <w:basedOn w:val="709"/>
    <w:link w:val="948"/>
    <w:uiPriority w:val="0"/>
    <w:qFormat/>
    <w:pPr>
      <w:ind w:firstLine="617"/>
      <w:spacing w:line="360" w:lineRule="auto"/>
    </w:pPr>
    <w:rPr>
      <w:rFonts w:ascii="Calibri" w:hAnsi="Calibri" w:eastAsia="宋体" w:cs="Times New Roman"/>
      <w:sz w:val="24"/>
      <w:szCs w:val="24"/>
    </w:rPr>
  </w:style>
  <w:style w:type="paragraph" w:styleId="752">
    <w:name w:val="index 7"/>
    <w:basedOn w:val="709"/>
    <w:next w:val="709"/>
    <w:uiPriority w:val="0"/>
    <w:qFormat/>
    <w:pPr>
      <w:ind w:left="2520"/>
    </w:pPr>
    <w:rPr>
      <w:rFonts w:ascii="Calibri" w:hAnsi="Calibri" w:eastAsia="楷体_GB2312" w:cs="Times New Roman"/>
      <w:sz w:val="26"/>
      <w:szCs w:val="20"/>
    </w:rPr>
  </w:style>
  <w:style w:type="paragraph" w:styleId="753">
    <w:name w:val="index 9"/>
    <w:basedOn w:val="709"/>
    <w:next w:val="709"/>
    <w:uiPriority w:val="0"/>
    <w:qFormat/>
    <w:pPr>
      <w:ind w:left="3360"/>
    </w:pPr>
    <w:rPr>
      <w:rFonts w:ascii="Calibri" w:hAnsi="Calibri" w:eastAsia="楷体_GB2312" w:cs="Times New Roman"/>
      <w:sz w:val="26"/>
      <w:szCs w:val="20"/>
    </w:rPr>
  </w:style>
  <w:style w:type="paragraph" w:styleId="754">
    <w:name w:val="table of figures"/>
    <w:basedOn w:val="709"/>
    <w:next w:val="709"/>
    <w:uiPriority w:val="0"/>
    <w:qFormat/>
    <w:pPr>
      <w:ind w:left="420" w:hanging="420"/>
      <w:jc w:val="left"/>
    </w:pPr>
    <w:rPr>
      <w:rFonts w:ascii="Calibri" w:hAnsi="Calibri" w:eastAsia="楷体_GB2312" w:cs="Times New Roman"/>
      <w:smallCaps/>
      <w:sz w:val="24"/>
      <w:szCs w:val="20"/>
    </w:rPr>
  </w:style>
  <w:style w:type="paragraph" w:styleId="755">
    <w:name w:val="toc 2"/>
    <w:basedOn w:val="709"/>
    <w:next w:val="709"/>
    <w:uiPriority w:val="0"/>
    <w:qFormat/>
    <w:pPr>
      <w:ind w:left="420"/>
    </w:pPr>
    <w:rPr>
      <w:rFonts w:ascii="Calibri" w:hAnsi="Calibri" w:eastAsia="楷体_GB2312" w:cs="Times New Roman"/>
      <w:sz w:val="26"/>
      <w:szCs w:val="20"/>
    </w:rPr>
  </w:style>
  <w:style w:type="paragraph" w:styleId="756">
    <w:name w:val="toc 9"/>
    <w:basedOn w:val="709"/>
    <w:next w:val="709"/>
    <w:uiPriority w:val="0"/>
    <w:qFormat/>
    <w:pPr>
      <w:ind w:left="3360"/>
    </w:pPr>
    <w:rPr>
      <w:rFonts w:ascii="Calibri" w:hAnsi="Calibri" w:eastAsia="楷体_GB2312" w:cs="Times New Roman"/>
      <w:sz w:val="26"/>
      <w:szCs w:val="20"/>
    </w:rPr>
  </w:style>
  <w:style w:type="paragraph" w:styleId="757">
    <w:name w:val="HTML Preformatted"/>
    <w:basedOn w:val="709"/>
    <w:link w:val="9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58">
    <w:name w:val="Normal (Web)"/>
    <w:basedOn w:val="709"/>
    <w:uiPriority w:val="99"/>
    <w:qFormat/>
    <w:pPr>
      <w:jc w:val="left"/>
      <w:spacing w:before="100" w:beforeAutospacing="1" w:after="100" w:afterAutospacing="1"/>
    </w:pPr>
    <w:rPr>
      <w:rFonts w:ascii="Calibri" w:hAnsi="Calibri" w:eastAsia="楷体_GB2312" w:cs="Times New Roman"/>
      <w:sz w:val="24"/>
    </w:rPr>
  </w:style>
  <w:style w:type="paragraph" w:styleId="759">
    <w:name w:val="index 2"/>
    <w:basedOn w:val="709"/>
    <w:next w:val="709"/>
    <w:uiPriority w:val="0"/>
    <w:qFormat/>
    <w:pPr>
      <w:ind w:left="420"/>
    </w:pPr>
    <w:rPr>
      <w:rFonts w:ascii="Calibri" w:hAnsi="Calibri" w:eastAsia="楷体_GB2312" w:cs="Times New Roman"/>
      <w:sz w:val="26"/>
      <w:szCs w:val="20"/>
    </w:rPr>
  </w:style>
  <w:style w:type="paragraph" w:styleId="760">
    <w:name w:val="Title"/>
    <w:basedOn w:val="709"/>
    <w:next w:val="709"/>
    <w:link w:val="950"/>
    <w:uiPriority w:val="0"/>
    <w:qFormat/>
    <w:pPr>
      <w:jc w:val="center"/>
      <w:spacing w:before="240" w:after="60"/>
      <w:outlineLvl w:val="0"/>
    </w:pPr>
    <w:rPr>
      <w:rFonts w:ascii="Cambria" w:hAnsi="Cambria" w:eastAsia="宋体" w:cs="Times New Roman"/>
      <w:b/>
      <w:bCs/>
      <w:sz w:val="32"/>
      <w:szCs w:val="32"/>
    </w:rPr>
  </w:style>
  <w:style w:type="paragraph" w:styleId="761">
    <w:name w:val="annotation subject"/>
    <w:basedOn w:val="727"/>
    <w:next w:val="727"/>
    <w:link w:val="951"/>
    <w:uiPriority w:val="99"/>
    <w:qFormat/>
    <w:rPr>
      <w:b/>
      <w:bCs/>
    </w:rPr>
  </w:style>
  <w:style w:type="paragraph" w:styleId="762">
    <w:name w:val="Body Text First Indent 2"/>
    <w:basedOn w:val="730"/>
    <w:link w:val="952"/>
    <w:uiPriority w:val="0"/>
    <w:qFormat/>
    <w:pPr>
      <w:ind w:left="420" w:firstLine="420"/>
      <w:spacing w:after="120" w:line="240" w:lineRule="auto"/>
    </w:pPr>
    <w:rPr>
      <w:rFonts w:ascii="Calibri" w:hAnsi="Calibri" w:eastAsia="楷体_GB2312"/>
      <w:sz w:val="26"/>
    </w:rPr>
  </w:style>
  <w:style w:type="table" w:styleId="763">
    <w:name w:val="Table Grid"/>
    <w:basedOn w:val="72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basedOn w:val="719"/>
    <w:uiPriority w:val="0"/>
    <w:qFormat/>
    <w:rPr>
      <w:b/>
    </w:rPr>
  </w:style>
  <w:style w:type="character" w:styleId="765">
    <w:name w:val="endnote reference"/>
    <w:uiPriority w:val="0"/>
    <w:qFormat/>
    <w:rPr>
      <w:vertAlign w:val="superscript"/>
    </w:rPr>
  </w:style>
  <w:style w:type="character" w:styleId="766">
    <w:name w:val="page number"/>
    <w:basedOn w:val="719"/>
    <w:uiPriority w:val="0"/>
    <w:qFormat/>
  </w:style>
  <w:style w:type="character" w:styleId="767">
    <w:name w:val="FollowedHyperlink"/>
    <w:uiPriority w:val="99"/>
    <w:unhideWhenUsed/>
    <w:qFormat/>
    <w:rPr>
      <w:color w:val="800080"/>
      <w:u w:val="single"/>
    </w:rPr>
  </w:style>
  <w:style w:type="character" w:styleId="768">
    <w:name w:val="Emphasis"/>
    <w:uiPriority w:val="0"/>
    <w:qFormat/>
    <w:rPr>
      <w:i/>
    </w:rPr>
  </w:style>
  <w:style w:type="character" w:styleId="769">
    <w:name w:val="Hyperlink"/>
    <w:uiPriority w:val="0"/>
    <w:unhideWhenUsed/>
    <w:qFormat/>
    <w:rPr>
      <w:color w:val="0000ff"/>
      <w:u w:val="single"/>
    </w:rPr>
  </w:style>
  <w:style w:type="character" w:styleId="770">
    <w:name w:val="annotation reference"/>
    <w:uiPriority w:val="99"/>
    <w:qFormat/>
    <w:rPr>
      <w:sz w:val="21"/>
      <w:szCs w:val="21"/>
    </w:rPr>
  </w:style>
  <w:style w:type="character" w:styleId="771">
    <w:name w:val="footnote reference"/>
    <w:uiPriority w:val="0"/>
    <w:qFormat/>
    <w:rPr>
      <w:vertAlign w:val="superscript"/>
    </w:rPr>
  </w:style>
  <w:style w:type="table" w:styleId="772" w:customStyle="1">
    <w:name w:val="无格式表格 11"/>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basedOn w:val="7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网格表 31"/>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basedOn w:val="7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网格表 5 深色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网格表 6 彩色1"/>
    <w:basedOn w:val="7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网格表 7 彩色1"/>
    <w:basedOn w:val="7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清单表 1 浅色1"/>
    <w:basedOn w:val="7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清单表 21"/>
    <w:basedOn w:val="7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清单表 3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4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5 深色1"/>
    <w:basedOn w:val="7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清单表 6 彩色1"/>
    <w:basedOn w:val="7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清单表 7 彩色1"/>
    <w:basedOn w:val="7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标题1"/>
    <w:uiPriority w:val="39"/>
    <w:unhideWhenUsed/>
    <w:qFormat/>
    <w:rPr>
      <w:rFonts w:ascii="Times New Roman" w:hAnsi="Times New Roman" w:eastAsia="宋体" w:cs="Times New Roman"/>
      <w:lang w:val="en-US" w:eastAsia="zh-CN" w:bidi="ar-SA"/>
    </w:rPr>
  </w:style>
  <w:style w:type="character" w:styleId="792" w:customStyle="1">
    <w:name w:val="Heading 7 Char"/>
    <w:basedOn w:val="719"/>
    <w:uiPriority w:val="9"/>
    <w:qFormat/>
    <w:rPr>
      <w:rFonts w:ascii="Arial" w:hAnsi="Arial" w:eastAsia="Arial" w:cs="Arial"/>
      <w:b/>
      <w:bCs/>
      <w:i/>
      <w:iCs/>
      <w:sz w:val="22"/>
      <w:szCs w:val="22"/>
    </w:rPr>
  </w:style>
  <w:style w:type="character" w:styleId="793" w:customStyle="1">
    <w:name w:val="Heading 8 Char"/>
    <w:basedOn w:val="719"/>
    <w:uiPriority w:val="9"/>
    <w:qFormat/>
    <w:rPr>
      <w:rFonts w:ascii="Arial" w:hAnsi="Arial" w:eastAsia="Arial" w:cs="Arial"/>
      <w:i/>
      <w:iCs/>
      <w:sz w:val="22"/>
      <w:szCs w:val="22"/>
    </w:rPr>
  </w:style>
  <w:style w:type="character" w:styleId="794" w:customStyle="1">
    <w:name w:val="Heading 9 Char"/>
    <w:basedOn w:val="719"/>
    <w:uiPriority w:val="9"/>
    <w:qFormat/>
    <w:rPr>
      <w:rFonts w:ascii="Arial" w:hAnsi="Arial" w:eastAsia="Arial" w:cs="Arial"/>
      <w:i/>
      <w:iCs/>
      <w:sz w:val="21"/>
      <w:szCs w:val="21"/>
    </w:rPr>
  </w:style>
  <w:style w:type="character" w:styleId="795" w:customStyle="1">
    <w:name w:val="Quote Char"/>
    <w:uiPriority w:val="29"/>
    <w:qFormat/>
    <w:rPr>
      <w:i/>
    </w:rPr>
  </w:style>
  <w:style w:type="character" w:styleId="796" w:customStyle="1">
    <w:name w:val="Intense Quote Char"/>
    <w:uiPriority w:val="30"/>
    <w:qFormat/>
    <w:rPr>
      <w:i/>
    </w:rPr>
  </w:style>
  <w:style w:type="paragraph" w:styleId="797" w:customStyle="1">
    <w:name w:val="TOC 标题111"/>
    <w:uiPriority w:val="39"/>
    <w:unhideWhenUsed/>
    <w:qFormat/>
    <w:rPr>
      <w:rFonts w:ascii="Times New Roman" w:hAnsi="Times New Roman" w:eastAsia="宋体" w:cs="Times New Roman"/>
      <w:lang w:val="en-US" w:eastAsia="zh-CN" w:bidi="ar-SA"/>
    </w:rPr>
  </w:style>
  <w:style w:type="character" w:styleId="798" w:customStyle="1">
    <w:name w:val="Heading 1 Char"/>
    <w:basedOn w:val="719"/>
    <w:uiPriority w:val="9"/>
    <w:qFormat/>
    <w:rPr>
      <w:rFonts w:ascii="Arial" w:hAnsi="Arial" w:eastAsia="Arial" w:cs="Arial"/>
      <w:sz w:val="40"/>
      <w:szCs w:val="40"/>
    </w:rPr>
  </w:style>
  <w:style w:type="character" w:styleId="799" w:customStyle="1">
    <w:name w:val="Heading 2 Char"/>
    <w:basedOn w:val="719"/>
    <w:uiPriority w:val="9"/>
    <w:qFormat/>
    <w:rPr>
      <w:rFonts w:ascii="Arial" w:hAnsi="Arial" w:eastAsia="Arial" w:cs="Arial"/>
      <w:sz w:val="34"/>
    </w:rPr>
  </w:style>
  <w:style w:type="character" w:styleId="800" w:customStyle="1">
    <w:name w:val="Heading 3 Char"/>
    <w:basedOn w:val="719"/>
    <w:uiPriority w:val="9"/>
    <w:qFormat/>
    <w:rPr>
      <w:rFonts w:ascii="Arial" w:hAnsi="Arial" w:eastAsia="Arial" w:cs="Arial"/>
      <w:sz w:val="30"/>
      <w:szCs w:val="30"/>
    </w:rPr>
  </w:style>
  <w:style w:type="character" w:styleId="801" w:customStyle="1">
    <w:name w:val="Heading 4 Char"/>
    <w:basedOn w:val="719"/>
    <w:uiPriority w:val="9"/>
    <w:qFormat/>
    <w:rPr>
      <w:rFonts w:ascii="Arial" w:hAnsi="Arial" w:eastAsia="Arial" w:cs="Arial"/>
      <w:b/>
      <w:bCs/>
      <w:sz w:val="26"/>
      <w:szCs w:val="26"/>
    </w:rPr>
  </w:style>
  <w:style w:type="character" w:styleId="802" w:customStyle="1">
    <w:name w:val="Heading 5 Char"/>
    <w:basedOn w:val="719"/>
    <w:uiPriority w:val="9"/>
    <w:qFormat/>
    <w:rPr>
      <w:rFonts w:ascii="Arial" w:hAnsi="Arial" w:eastAsia="Arial" w:cs="Arial"/>
      <w:b/>
      <w:bCs/>
      <w:sz w:val="24"/>
      <w:szCs w:val="24"/>
    </w:rPr>
  </w:style>
  <w:style w:type="character" w:styleId="803" w:customStyle="1">
    <w:name w:val="Heading 6 Char"/>
    <w:basedOn w:val="719"/>
    <w:uiPriority w:val="9"/>
    <w:qFormat/>
    <w:rPr>
      <w:rFonts w:ascii="Arial" w:hAnsi="Arial" w:eastAsia="Arial" w:cs="Arial"/>
      <w:b/>
      <w:bCs/>
      <w:sz w:val="22"/>
      <w:szCs w:val="22"/>
    </w:rPr>
  </w:style>
  <w:style w:type="character" w:styleId="804" w:customStyle="1">
    <w:name w:val="标题 7 字符"/>
    <w:basedOn w:val="719"/>
    <w:link w:val="716"/>
    <w:uiPriority w:val="9"/>
    <w:qFormat/>
    <w:rPr>
      <w:rFonts w:ascii="Arial" w:hAnsi="Arial" w:eastAsia="Arial" w:cs="Arial"/>
      <w:b/>
      <w:bCs/>
      <w:i/>
      <w:iCs/>
      <w:sz w:val="22"/>
      <w:szCs w:val="22"/>
    </w:rPr>
  </w:style>
  <w:style w:type="character" w:styleId="805" w:customStyle="1">
    <w:name w:val="标题 8 字符"/>
    <w:basedOn w:val="719"/>
    <w:link w:val="717"/>
    <w:uiPriority w:val="9"/>
    <w:qFormat/>
    <w:rPr>
      <w:rFonts w:ascii="Arial" w:hAnsi="Arial" w:eastAsia="Arial" w:cs="Arial"/>
      <w:i/>
      <w:iCs/>
      <w:sz w:val="22"/>
      <w:szCs w:val="22"/>
    </w:rPr>
  </w:style>
  <w:style w:type="character" w:styleId="806" w:customStyle="1">
    <w:name w:val="标题 9 字符"/>
    <w:basedOn w:val="719"/>
    <w:link w:val="718"/>
    <w:uiPriority w:val="9"/>
    <w:qFormat/>
    <w:rPr>
      <w:rFonts w:ascii="Arial" w:hAnsi="Arial" w:eastAsia="Arial" w:cs="Arial"/>
      <w:i/>
      <w:iCs/>
      <w:sz w:val="21"/>
      <w:szCs w:val="21"/>
    </w:rPr>
  </w:style>
  <w:style w:type="paragraph" w:styleId="807">
    <w:name w:val="No Spacing"/>
    <w:uiPriority w:val="1"/>
    <w:qFormat/>
    <w:rPr>
      <w:rFonts w:ascii="Times New Roman" w:hAnsi="Times New Roman" w:eastAsia="宋体" w:cs="Times New Roman"/>
      <w:lang w:val="en-US" w:eastAsia="zh-CN" w:bidi="ar-SA"/>
    </w:rPr>
  </w:style>
  <w:style w:type="character" w:styleId="808" w:customStyle="1">
    <w:name w:val="Title Char"/>
    <w:basedOn w:val="719"/>
    <w:uiPriority w:val="10"/>
    <w:qFormat/>
    <w:rPr>
      <w:sz w:val="48"/>
      <w:szCs w:val="48"/>
    </w:rPr>
  </w:style>
  <w:style w:type="character" w:styleId="809" w:customStyle="1">
    <w:name w:val="Subtitle Char"/>
    <w:basedOn w:val="719"/>
    <w:uiPriority w:val="11"/>
    <w:qFormat/>
    <w:rPr>
      <w:sz w:val="24"/>
      <w:szCs w:val="24"/>
    </w:rPr>
  </w:style>
  <w:style w:type="paragraph" w:styleId="810">
    <w:name w:val="Quote"/>
    <w:basedOn w:val="709"/>
    <w:next w:val="709"/>
    <w:link w:val="811"/>
    <w:uiPriority w:val="29"/>
    <w:qFormat/>
    <w:pPr>
      <w:ind w:left="720" w:right="720"/>
    </w:pPr>
    <w:rPr>
      <w:i/>
    </w:rPr>
  </w:style>
  <w:style w:type="character" w:styleId="811" w:customStyle="1">
    <w:name w:val="引用 字符"/>
    <w:link w:val="810"/>
    <w:uiPriority w:val="29"/>
    <w:qFormat/>
    <w:rPr>
      <w:i/>
    </w:rPr>
  </w:style>
  <w:style w:type="paragraph" w:styleId="812">
    <w:name w:val="Intense Quote"/>
    <w:basedOn w:val="709"/>
    <w:next w:val="709"/>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qFormat/>
    <w:rPr>
      <w:i/>
    </w:rPr>
  </w:style>
  <w:style w:type="character" w:styleId="814" w:customStyle="1">
    <w:name w:val="Header Char"/>
    <w:basedOn w:val="719"/>
    <w:uiPriority w:val="99"/>
    <w:qFormat/>
  </w:style>
  <w:style w:type="character" w:styleId="815" w:customStyle="1">
    <w:name w:val="Footer Char"/>
    <w:basedOn w:val="719"/>
    <w:uiPriority w:val="99"/>
    <w:qFormat/>
  </w:style>
  <w:style w:type="character" w:styleId="816" w:customStyle="1">
    <w:name w:val="Caption Char"/>
    <w:uiPriority w:val="99"/>
    <w:qFormat/>
  </w:style>
  <w:style w:type="table" w:styleId="817" w:customStyle="1">
    <w:name w:val="Table Grid Light"/>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8" w:customStyle="1">
    <w:name w:val="Grid Table 1 Light - Accent 1"/>
    <w:basedOn w:val="7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basedOn w:val="7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basedOn w:val="7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basedOn w:val="7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basedOn w:val="7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 Accent 1"/>
    <w:basedOn w:val="7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 Accent 1"/>
    <w:basedOn w:val="7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 Accent 1"/>
    <w:basedOn w:val="72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basedOn w:val="72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basedOn w:val="72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basedOn w:val="72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basedOn w:val="72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basedOn w:val="72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Accent 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 Accent 1"/>
    <w:basedOn w:val="72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2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1" w:customStyle="1">
    <w:name w:val="Grid Table 6 Colorful - Accent 4"/>
    <w:basedOn w:val="7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2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basedOn w:val="72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 Accent 1"/>
    <w:basedOn w:val="72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2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2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2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2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2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 Accent 1"/>
    <w:basedOn w:val="72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2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2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2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2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2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 Accent 1"/>
    <w:basedOn w:val="72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basedOn w:val="72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basedOn w:val="72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basedOn w:val="72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basedOn w:val="72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basedOn w:val="72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 Accent 1"/>
    <w:basedOn w:val="72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basedOn w:val="7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2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2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2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 Accent 1"/>
    <w:basedOn w:val="72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basedOn w:val="72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basedOn w:val="72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basedOn w:val="72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basedOn w:val="72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basedOn w:val="72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 Accent 1"/>
    <w:basedOn w:val="72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2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2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2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2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2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 Accent 1"/>
    <w:basedOn w:val="72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2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2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2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2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2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 Accent 1"/>
    <w:basedOn w:val="72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72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72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72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72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72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basedOn w:val="7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basedOn w:val="72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basedOn w:val="72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basedOn w:val="72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basedOn w:val="72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basedOn w:val="72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basedOn w:val="72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basedOn w:val="7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basedOn w:val="7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basedOn w:val="7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basedOn w:val="7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basedOn w:val="7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basedOn w:val="7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basedOn w:val="7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Footnote Text Char"/>
    <w:uiPriority w:val="99"/>
    <w:qFormat/>
    <w:rPr>
      <w:sz w:val="18"/>
    </w:rPr>
  </w:style>
  <w:style w:type="character" w:styleId="924" w:customStyle="1">
    <w:name w:val="Endnote Text Char"/>
    <w:uiPriority w:val="99"/>
    <w:qFormat/>
    <w:rPr>
      <w:sz w:val="20"/>
    </w:rPr>
  </w:style>
  <w:style w:type="paragraph" w:styleId="925" w:customStyle="1">
    <w:name w:val="TOC 标题11"/>
    <w:uiPriority w:val="39"/>
    <w:unhideWhenUsed/>
    <w:qFormat/>
    <w:rPr>
      <w:rFonts w:ascii="Times New Roman" w:hAnsi="Times New Roman" w:eastAsia="宋体" w:cs="Times New Roman"/>
      <w:lang w:val="en-US" w:eastAsia="zh-CN" w:bidi="ar-SA"/>
    </w:rPr>
  </w:style>
  <w:style w:type="paragraph" w:styleId="926" w:customStyle="1">
    <w:name w:val="段"/>
    <w:next w:val="709"/>
    <w:uiPriority w:val="0"/>
    <w:qFormat/>
    <w:pPr>
      <w:ind w:firstLine="200"/>
      <w:jc w:val="both"/>
    </w:pPr>
    <w:rPr>
      <w:rFonts w:ascii="宋体" w:hAnsi="Times New Roman" w:eastAsia="宋体" w:cs="宋体"/>
      <w:sz w:val="21"/>
      <w:szCs w:val="21"/>
      <w:lang w:val="en-US" w:eastAsia="zh-CN" w:bidi="ar-SA"/>
    </w:rPr>
  </w:style>
  <w:style w:type="paragraph" w:styleId="927" w:customStyle="1">
    <w:name w:val="首行缩进"/>
    <w:basedOn w:val="709"/>
    <w:uiPriority w:val="0"/>
    <w:qFormat/>
    <w:pPr>
      <w:ind w:firstLine="480"/>
    </w:pPr>
    <w:rPr>
      <w:rFonts w:ascii="Calibri" w:hAnsi="Calibri" w:eastAsia="宋体" w:cs="Times New Roman"/>
      <w:szCs w:val="20"/>
      <w:lang w:val="zh-CN"/>
    </w:rPr>
  </w:style>
  <w:style w:type="character" w:styleId="928" w:customStyle="1">
    <w:name w:val="标题 1 字符"/>
    <w:basedOn w:val="719"/>
    <w:link w:val="710"/>
    <w:uiPriority w:val="0"/>
    <w:qFormat/>
    <w:rPr>
      <w:rFonts w:ascii="Calibri" w:hAnsi="Calibri" w:eastAsia="楷体_GB2312" w:cs="Times New Roman"/>
      <w:b/>
      <w:sz w:val="44"/>
      <w:szCs w:val="20"/>
    </w:rPr>
  </w:style>
  <w:style w:type="character" w:styleId="929" w:customStyle="1">
    <w:name w:val="标题 2 字符"/>
    <w:basedOn w:val="719"/>
    <w:link w:val="711"/>
    <w:uiPriority w:val="0"/>
    <w:qFormat/>
    <w:rPr>
      <w:rFonts w:ascii="宋体" w:hAnsi="宋体" w:eastAsia="楷体_GB2312" w:cs="Times New Roman"/>
      <w:b/>
      <w:sz w:val="26"/>
      <w:szCs w:val="20"/>
    </w:rPr>
  </w:style>
  <w:style w:type="character" w:styleId="930" w:customStyle="1">
    <w:name w:val="标题 3 字符"/>
    <w:basedOn w:val="719"/>
    <w:link w:val="712"/>
    <w:uiPriority w:val="0"/>
    <w:qFormat/>
    <w:rPr>
      <w:rFonts w:ascii="Calibri" w:hAnsi="Calibri" w:eastAsia="楷体_GB2312" w:cs="Times New Roman"/>
      <w:b/>
      <w:sz w:val="26"/>
      <w:szCs w:val="20"/>
    </w:rPr>
  </w:style>
  <w:style w:type="character" w:styleId="931" w:customStyle="1">
    <w:name w:val="标题 4 字符"/>
    <w:basedOn w:val="719"/>
    <w:link w:val="713"/>
    <w:uiPriority w:val="0"/>
    <w:qFormat/>
    <w:rPr>
      <w:rFonts w:ascii="Arial" w:hAnsi="Arial" w:eastAsia="黑体" w:cs="Times New Roman"/>
      <w:b/>
      <w:bCs/>
      <w:sz w:val="28"/>
      <w:szCs w:val="28"/>
    </w:rPr>
  </w:style>
  <w:style w:type="character" w:styleId="932" w:customStyle="1">
    <w:name w:val="标题 5 字符"/>
    <w:basedOn w:val="719"/>
    <w:link w:val="714"/>
    <w:uiPriority w:val="0"/>
    <w:qFormat/>
    <w:rPr>
      <w:rFonts w:ascii="宋体" w:hAnsi="宋体" w:eastAsia="宋体" w:cs="Times New Roman"/>
      <w:color w:val="000000"/>
      <w:sz w:val="28"/>
      <w:szCs w:val="20"/>
    </w:rPr>
  </w:style>
  <w:style w:type="character" w:styleId="933" w:customStyle="1">
    <w:name w:val="标题 6 字符"/>
    <w:basedOn w:val="719"/>
    <w:link w:val="715"/>
    <w:uiPriority w:val="0"/>
    <w:qFormat/>
    <w:rPr>
      <w:rFonts w:ascii="宋体" w:hAnsi="宋体" w:eastAsia="宋体" w:cs="Times New Roman"/>
      <w:sz w:val="28"/>
      <w:szCs w:val="20"/>
    </w:rPr>
  </w:style>
  <w:style w:type="character" w:styleId="934" w:customStyle="1">
    <w:name w:val="正文缩进 字符"/>
    <w:link w:val="723"/>
    <w:uiPriority w:val="0"/>
    <w:qFormat/>
    <w:rPr>
      <w:rFonts w:ascii="Calibri" w:hAnsi="Calibri" w:eastAsia="楷体_GB2312" w:cs="Times New Roman"/>
      <w:sz w:val="24"/>
      <w:szCs w:val="20"/>
    </w:rPr>
  </w:style>
  <w:style w:type="character" w:styleId="935" w:customStyle="1">
    <w:name w:val="文档结构图 字符"/>
    <w:basedOn w:val="719"/>
    <w:link w:val="726"/>
    <w:uiPriority w:val="0"/>
    <w:qFormat/>
    <w:rPr>
      <w:rFonts w:ascii="Calibri" w:hAnsi="Calibri" w:eastAsia="楷体_GB2312" w:cs="Times New Roman"/>
      <w:sz w:val="26"/>
      <w:szCs w:val="20"/>
      <w:shd w:val="clear" w:color="auto" w:fill="000080"/>
    </w:rPr>
  </w:style>
  <w:style w:type="character" w:styleId="936" w:customStyle="1">
    <w:name w:val="批注文字 字符"/>
    <w:basedOn w:val="719"/>
    <w:link w:val="727"/>
    <w:uiPriority w:val="0"/>
    <w:qFormat/>
    <w:rPr>
      <w:rFonts w:ascii="Calibri" w:hAnsi="Calibri" w:eastAsia="楷体_GB2312" w:cs="Times New Roman"/>
      <w:sz w:val="26"/>
      <w:szCs w:val="20"/>
    </w:rPr>
  </w:style>
  <w:style w:type="character" w:styleId="937" w:customStyle="1">
    <w:name w:val="正文文本 字符"/>
    <w:basedOn w:val="719"/>
    <w:link w:val="729"/>
    <w:uiPriority w:val="0"/>
    <w:qFormat/>
    <w:rPr>
      <w:rFonts w:ascii="楷体_GB2312" w:hAnsi="Calibri" w:eastAsia="楷体_GB2312" w:cs="Times New Roman"/>
      <w:sz w:val="28"/>
      <w:szCs w:val="20"/>
    </w:rPr>
  </w:style>
  <w:style w:type="character" w:styleId="938" w:customStyle="1">
    <w:name w:val="正文文本缩进 字符"/>
    <w:basedOn w:val="719"/>
    <w:link w:val="730"/>
    <w:uiPriority w:val="99"/>
    <w:qFormat/>
    <w:rPr>
      <w:rFonts w:ascii="方正仿宋简体" w:hAnsi="创艺简仿宋" w:eastAsia="方正仿宋简体" w:cs="Times New Roman"/>
      <w:sz w:val="24"/>
      <w:szCs w:val="20"/>
    </w:rPr>
  </w:style>
  <w:style w:type="character" w:styleId="939" w:customStyle="1">
    <w:name w:val="纯文本 字符"/>
    <w:basedOn w:val="719"/>
    <w:link w:val="735"/>
    <w:uiPriority w:val="0"/>
    <w:qFormat/>
    <w:rPr>
      <w:rFonts w:ascii="宋体" w:hAnsi="Courier New" w:eastAsia="楷体_GB2312" w:cs="Times New Roman"/>
      <w:sz w:val="26"/>
      <w:szCs w:val="20"/>
    </w:rPr>
  </w:style>
  <w:style w:type="character" w:styleId="940" w:customStyle="1">
    <w:name w:val="日期 字符"/>
    <w:basedOn w:val="719"/>
    <w:link w:val="738"/>
    <w:uiPriority w:val="0"/>
    <w:qFormat/>
    <w:rPr>
      <w:rFonts w:ascii="宋体" w:hAnsi="宋体" w:eastAsia="楷体_GB2312" w:cs="Times New Roman"/>
      <w:sz w:val="24"/>
      <w:szCs w:val="20"/>
    </w:rPr>
  </w:style>
  <w:style w:type="character" w:styleId="941" w:customStyle="1">
    <w:name w:val="正文文本缩进 2 字符"/>
    <w:basedOn w:val="719"/>
    <w:link w:val="739"/>
    <w:uiPriority w:val="0"/>
    <w:qFormat/>
    <w:rPr>
      <w:rFonts w:ascii="宋体" w:hAnsi="Calibri" w:eastAsia="宋体" w:cs="Times New Roman"/>
      <w:b/>
      <w:bCs/>
      <w:sz w:val="24"/>
      <w:szCs w:val="20"/>
    </w:rPr>
  </w:style>
  <w:style w:type="character" w:styleId="942" w:customStyle="1">
    <w:name w:val="尾注文本 字符"/>
    <w:basedOn w:val="719"/>
    <w:link w:val="740"/>
    <w:uiPriority w:val="0"/>
    <w:qFormat/>
    <w:rPr>
      <w:rFonts w:ascii="Calibri" w:hAnsi="Calibri" w:eastAsia="楷体_GB2312" w:cs="Times New Roman"/>
      <w:sz w:val="26"/>
      <w:szCs w:val="20"/>
    </w:rPr>
  </w:style>
  <w:style w:type="character" w:styleId="943" w:customStyle="1">
    <w:name w:val="批注框文本 字符"/>
    <w:basedOn w:val="719"/>
    <w:link w:val="741"/>
    <w:uiPriority w:val="99"/>
    <w:qFormat/>
    <w:rPr>
      <w:rFonts w:ascii="Calibri" w:hAnsi="Calibri" w:eastAsia="楷体_GB2312" w:cs="Times New Roman"/>
      <w:sz w:val="18"/>
      <w:szCs w:val="18"/>
    </w:rPr>
  </w:style>
  <w:style w:type="character" w:styleId="944" w:customStyle="1">
    <w:name w:val="页脚 字符"/>
    <w:basedOn w:val="719"/>
    <w:link w:val="742"/>
    <w:uiPriority w:val="99"/>
    <w:qFormat/>
    <w:rPr>
      <w:rFonts w:ascii="Calibri" w:hAnsi="Calibri" w:eastAsia="楷体_GB2312" w:cs="Times New Roman"/>
      <w:sz w:val="18"/>
      <w:szCs w:val="20"/>
    </w:rPr>
  </w:style>
  <w:style w:type="character" w:styleId="945" w:customStyle="1">
    <w:name w:val="页眉 字符"/>
    <w:basedOn w:val="719"/>
    <w:link w:val="743"/>
    <w:uiPriority w:val="99"/>
    <w:qFormat/>
    <w:rPr>
      <w:rFonts w:ascii="Calibri" w:hAnsi="Calibri" w:eastAsia="楷体_GB2312" w:cs="Times New Roman"/>
      <w:sz w:val="18"/>
      <w:szCs w:val="20"/>
    </w:rPr>
  </w:style>
  <w:style w:type="character" w:styleId="946" w:customStyle="1">
    <w:name w:val="副标题 字符"/>
    <w:basedOn w:val="719"/>
    <w:link w:val="748"/>
    <w:uiPriority w:val="0"/>
    <w:qFormat/>
    <w:rPr>
      <w:rFonts w:ascii="Cambria" w:hAnsi="Cambria" w:eastAsia="宋体" w:cs="Times New Roman"/>
      <w:b/>
      <w:bCs/>
      <w:sz w:val="24"/>
      <w:szCs w:val="32"/>
    </w:rPr>
  </w:style>
  <w:style w:type="character" w:styleId="947" w:customStyle="1">
    <w:name w:val="脚注文本 字符"/>
    <w:basedOn w:val="719"/>
    <w:link w:val="749"/>
    <w:uiPriority w:val="0"/>
    <w:qFormat/>
    <w:rPr>
      <w:rFonts w:ascii="Calibri" w:hAnsi="Calibri" w:eastAsia="楷体_GB2312" w:cs="Times New Roman"/>
      <w:sz w:val="18"/>
      <w:szCs w:val="20"/>
    </w:rPr>
  </w:style>
  <w:style w:type="character" w:styleId="948" w:customStyle="1">
    <w:name w:val="正文文本缩进 3 字符"/>
    <w:basedOn w:val="719"/>
    <w:link w:val="751"/>
    <w:uiPriority w:val="0"/>
    <w:qFormat/>
    <w:rPr>
      <w:rFonts w:ascii="Calibri" w:hAnsi="Calibri" w:eastAsia="宋体" w:cs="Times New Roman"/>
      <w:sz w:val="24"/>
      <w:szCs w:val="24"/>
    </w:rPr>
  </w:style>
  <w:style w:type="character" w:styleId="949" w:customStyle="1">
    <w:name w:val="HTML 预设格式 字符"/>
    <w:basedOn w:val="719"/>
    <w:link w:val="757"/>
    <w:uiPriority w:val="0"/>
    <w:qFormat/>
    <w:rPr>
      <w:rFonts w:ascii="黑体" w:hAnsi="Courier New" w:eastAsia="黑体" w:cs="Times New Roman"/>
      <w:sz w:val="20"/>
      <w:szCs w:val="20"/>
    </w:rPr>
  </w:style>
  <w:style w:type="character" w:styleId="950" w:customStyle="1">
    <w:name w:val="标题 字符"/>
    <w:basedOn w:val="719"/>
    <w:link w:val="760"/>
    <w:uiPriority w:val="0"/>
    <w:qFormat/>
    <w:rPr>
      <w:rFonts w:ascii="Cambria" w:hAnsi="Cambria" w:eastAsia="宋体" w:cs="Times New Roman"/>
      <w:b/>
      <w:bCs/>
      <w:sz w:val="32"/>
      <w:szCs w:val="32"/>
    </w:rPr>
  </w:style>
  <w:style w:type="character" w:styleId="951" w:customStyle="1">
    <w:name w:val="批注主题 字符"/>
    <w:basedOn w:val="936"/>
    <w:link w:val="761"/>
    <w:uiPriority w:val="99"/>
    <w:qFormat/>
    <w:rPr>
      <w:rFonts w:ascii="Calibri" w:hAnsi="Calibri" w:eastAsia="楷体_GB2312" w:cs="Times New Roman"/>
      <w:b/>
      <w:bCs/>
      <w:sz w:val="26"/>
      <w:szCs w:val="20"/>
    </w:rPr>
  </w:style>
  <w:style w:type="character" w:styleId="952" w:customStyle="1">
    <w:name w:val="正文首行缩进 2 字符"/>
    <w:basedOn w:val="938"/>
    <w:link w:val="762"/>
    <w:uiPriority w:val="0"/>
    <w:qFormat/>
    <w:rPr>
      <w:rFonts w:ascii="Calibri" w:hAnsi="Calibri" w:eastAsia="楷体_GB2312" w:cs="Times New Roman"/>
      <w:sz w:val="26"/>
      <w:szCs w:val="20"/>
    </w:rPr>
  </w:style>
  <w:style w:type="character" w:styleId="953" w:customStyle="1">
    <w:name w:val="Plain Text Char Char"/>
    <w:link w:val="954"/>
    <w:uiPriority w:val="0"/>
    <w:qFormat/>
    <w:rPr>
      <w:rFonts w:ascii="宋体" w:hAnsi="Courier New" w:eastAsia="楷体_GB2312"/>
      <w:sz w:val="26"/>
    </w:rPr>
  </w:style>
  <w:style w:type="paragraph" w:styleId="954" w:customStyle="1">
    <w:name w:val="纯文本3"/>
    <w:basedOn w:val="709"/>
    <w:link w:val="953"/>
    <w:uiPriority w:val="0"/>
    <w:qFormat/>
    <w:rPr>
      <w:rFonts w:ascii="宋体" w:hAnsi="Courier New" w:eastAsia="楷体_GB2312"/>
      <w:sz w:val="26"/>
    </w:rPr>
  </w:style>
  <w:style w:type="character" w:styleId="955" w:customStyle="1">
    <w:name w:val="styl81"/>
    <w:uiPriority w:val="0"/>
    <w:qFormat/>
    <w:rPr>
      <w:sz w:val="21"/>
    </w:rPr>
  </w:style>
  <w:style w:type="character" w:styleId="956" w:customStyle="1">
    <w:name w:val="Plain Text Char"/>
    <w:link w:val="957"/>
    <w:uiPriority w:val="0"/>
    <w:qFormat/>
    <w:rPr>
      <w:rFonts w:ascii="宋体" w:hAnsi="Courier New" w:eastAsia="楷体_GB2312"/>
      <w:sz w:val="26"/>
    </w:rPr>
  </w:style>
  <w:style w:type="paragraph" w:styleId="957" w:customStyle="1">
    <w:name w:val="纯文本1"/>
    <w:basedOn w:val="709"/>
    <w:link w:val="956"/>
    <w:uiPriority w:val="0"/>
    <w:qFormat/>
    <w:rPr>
      <w:rFonts w:ascii="宋体" w:hAnsi="Courier New" w:eastAsia="楷体_GB2312"/>
      <w:sz w:val="26"/>
    </w:rPr>
  </w:style>
  <w:style w:type="character" w:styleId="958" w:customStyle="1">
    <w:name w:val="表正文 Char1"/>
    <w:uiPriority w:val="0"/>
    <w:qFormat/>
    <w:rPr>
      <w:rFonts w:eastAsia="楷体_GB2312"/>
      <w:sz w:val="24"/>
      <w:lang w:val="en-US" w:eastAsia="zh-CN" w:bidi="ar-SA"/>
    </w:rPr>
  </w:style>
  <w:style w:type="character" w:styleId="959" w:customStyle="1">
    <w:name w:val="_正文段落 Char"/>
    <w:link w:val="960"/>
    <w:uiPriority w:val="0"/>
    <w:qFormat/>
    <w:rPr>
      <w:rFonts w:ascii="宋体" w:hAnsi="宋体"/>
      <w:sz w:val="24"/>
      <w:szCs w:val="24"/>
    </w:rPr>
  </w:style>
  <w:style w:type="paragraph" w:styleId="960" w:customStyle="1">
    <w:name w:val="_正文段落"/>
    <w:basedOn w:val="709"/>
    <w:link w:val="959"/>
    <w:uiPriority w:val="0"/>
    <w:qFormat/>
    <w:pPr>
      <w:ind w:firstLine="480"/>
      <w:spacing w:line="360" w:lineRule="auto"/>
    </w:pPr>
    <w:rPr>
      <w:rFonts w:ascii="宋体" w:hAnsi="宋体"/>
      <w:sz w:val="24"/>
      <w:szCs w:val="24"/>
    </w:rPr>
  </w:style>
  <w:style w:type="character" w:styleId="961" w:customStyle="1">
    <w:name w:val="Andy_正文 Char"/>
    <w:link w:val="962"/>
    <w:uiPriority w:val="0"/>
    <w:qFormat/>
    <w:rPr>
      <w:sz w:val="24"/>
      <w:szCs w:val="24"/>
    </w:rPr>
  </w:style>
  <w:style w:type="paragraph" w:styleId="962" w:customStyle="1">
    <w:name w:val="Andy_正文"/>
    <w:basedOn w:val="709"/>
    <w:link w:val="961"/>
    <w:uiPriority w:val="0"/>
    <w:qFormat/>
    <w:pPr>
      <w:ind w:firstLine="480"/>
      <w:spacing w:line="360" w:lineRule="auto"/>
    </w:pPr>
    <w:rPr>
      <w:sz w:val="24"/>
      <w:szCs w:val="24"/>
    </w:rPr>
  </w:style>
  <w:style w:type="character" w:styleId="963" w:customStyle="1">
    <w:name w:val="正文缩进 Char1"/>
    <w:uiPriority w:val="0"/>
    <w:qFormat/>
    <w:rPr>
      <w:rFonts w:eastAsia="楷体_GB2312"/>
      <w:sz w:val="24"/>
    </w:rPr>
  </w:style>
  <w:style w:type="character" w:styleId="964" w:customStyle="1">
    <w:name w:val="副标题 Char1"/>
    <w:uiPriority w:val="11"/>
    <w:qFormat/>
    <w:rPr>
      <w:rFonts w:ascii="Cambria" w:hAnsi="Cambria" w:cs="Times New Roman"/>
      <w:b/>
      <w:bCs/>
      <w:sz w:val="32"/>
      <w:szCs w:val="32"/>
    </w:rPr>
  </w:style>
  <w:style w:type="character" w:styleId="965" w:customStyle="1">
    <w:name w:val="Andy_2级 Char"/>
    <w:link w:val="966"/>
    <w:uiPriority w:val="0"/>
    <w:qFormat/>
    <w:rPr>
      <w:sz w:val="24"/>
    </w:rPr>
  </w:style>
  <w:style w:type="paragraph" w:styleId="966" w:customStyle="1">
    <w:name w:val="Andy_2级"/>
    <w:basedOn w:val="709"/>
    <w:link w:val="965"/>
    <w:uiPriority w:val="0"/>
    <w:qFormat/>
    <w:pPr>
      <w:numPr>
        <w:ilvl w:val="1"/>
        <w:numId w:val="1"/>
      </w:numPr>
      <w:spacing w:line="360" w:lineRule="auto"/>
    </w:pPr>
    <w:rPr>
      <w:sz w:val="24"/>
    </w:rPr>
  </w:style>
  <w:style w:type="character" w:styleId="967" w:customStyle="1">
    <w:name w:val="副标题 Char2"/>
    <w:uiPriority w:val="0"/>
    <w:qFormat/>
    <w:rPr>
      <w:rFonts w:ascii="Cambria" w:hAnsi="Cambria" w:cs="Times New Roman"/>
      <w:b/>
      <w:bCs/>
      <w:sz w:val="32"/>
      <w:szCs w:val="32"/>
    </w:rPr>
  </w:style>
  <w:style w:type="character" w:styleId="968" w:customStyle="1">
    <w:name w:val="正文首行缩进 2 Char1"/>
    <w:uiPriority w:val="0"/>
    <w:qFormat/>
    <w:rPr>
      <w:rFonts w:ascii="方正仿宋简体" w:hAnsi="创艺简仿宋" w:eastAsia="楷体_GB2312"/>
      <w:sz w:val="26"/>
    </w:rPr>
  </w:style>
  <w:style w:type="character" w:styleId="969" w:customStyle="1">
    <w:name w:val="ca-221"/>
    <w:uiPriority w:val="0"/>
    <w:qFormat/>
    <w:rPr>
      <w:rFonts w:hint="eastAsia" w:ascii="宋体" w:hAnsi="宋体" w:eastAsia="宋体"/>
      <w:color w:val="ff0000"/>
      <w:sz w:val="24"/>
      <w:szCs w:val="24"/>
    </w:rPr>
  </w:style>
  <w:style w:type="paragraph" w:styleId="970" w:customStyle="1">
    <w:name w:val="纯文本11"/>
    <w:basedOn w:val="709"/>
    <w:uiPriority w:val="0"/>
    <w:qFormat/>
    <w:rPr>
      <w:rFonts w:ascii="宋体" w:hAnsi="Courier New" w:eastAsia="楷体_GB2312" w:cs="Times New Roman"/>
      <w:sz w:val="26"/>
      <w:szCs w:val="20"/>
    </w:rPr>
  </w:style>
  <w:style w:type="paragraph" w:styleId="971" w:customStyle="1">
    <w:name w:val="xl7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72" w:customStyle="1">
    <w:name w:val="xl69"/>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73" w:customStyle="1">
    <w:name w:val="xl7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4" w:customStyle="1">
    <w:name w:val="xl8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75" w:customStyle="1">
    <w:name w:val="纯文本2"/>
    <w:basedOn w:val="709"/>
    <w:uiPriority w:val="0"/>
    <w:qFormat/>
    <w:rPr>
      <w:rFonts w:ascii="宋体" w:hAnsi="Courier New" w:eastAsia="楷体_GB2312" w:cs="Times New Roman"/>
      <w:sz w:val="26"/>
      <w:szCs w:val="20"/>
    </w:rPr>
  </w:style>
  <w:style w:type="paragraph" w:styleId="976" w:customStyle="1">
    <w:name w:val="列出段落2"/>
    <w:basedOn w:val="709"/>
    <w:uiPriority w:val="0"/>
    <w:qFormat/>
    <w:pPr>
      <w:ind w:firstLine="420"/>
    </w:pPr>
    <w:rPr>
      <w:rFonts w:ascii="Calibri" w:hAnsi="Calibri" w:eastAsia="宋体" w:cs="Times New Roman"/>
    </w:rPr>
  </w:style>
  <w:style w:type="paragraph" w:styleId="977" w:customStyle="1">
    <w:name w:val="xl7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8" w:customStyle="1">
    <w:name w:val="xl96"/>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9" w:customStyle="1">
    <w:name w:val="Char Char Char Char"/>
    <w:basedOn w:val="726"/>
    <w:uiPriority w:val="0"/>
    <w:qFormat/>
    <w:pPr>
      <w:ind w:left="357"/>
      <w:jc w:val="left"/>
      <w:spacing w:line="436" w:lineRule="exact"/>
      <w:outlineLvl w:val="3"/>
    </w:pPr>
    <w:rPr>
      <w:rFonts w:ascii="Tahoma" w:hAnsi="Tahoma" w:eastAsia="宋体"/>
      <w:b/>
      <w:sz w:val="24"/>
      <w:szCs w:val="24"/>
    </w:rPr>
  </w:style>
  <w:style w:type="paragraph" w:styleId="980" w:customStyle="1">
    <w:name w:val="列出段落1"/>
    <w:basedOn w:val="709"/>
    <w:uiPriority w:val="0"/>
    <w:qFormat/>
    <w:pPr>
      <w:ind w:firstLine="420"/>
    </w:pPr>
    <w:rPr>
      <w:rFonts w:ascii="Calibri" w:hAnsi="Calibri" w:eastAsia="楷体_GB2312" w:cs="Times New Roman"/>
      <w:sz w:val="26"/>
      <w:szCs w:val="20"/>
    </w:rPr>
  </w:style>
  <w:style w:type="paragraph" w:styleId="981" w:customStyle="1">
    <w:name w:val="xl7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2" w:customStyle="1">
    <w:name w:val="纯文本4"/>
    <w:basedOn w:val="709"/>
    <w:uiPriority w:val="0"/>
    <w:qFormat/>
    <w:rPr>
      <w:rFonts w:ascii="宋体" w:hAnsi="Courier New" w:eastAsia="楷体_GB2312" w:cs="Times New Roman"/>
      <w:sz w:val="26"/>
      <w:szCs w:val="20"/>
    </w:rPr>
  </w:style>
  <w:style w:type="paragraph" w:styleId="983" w:customStyle="1">
    <w:name w:val="xl9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4" w:customStyle="1">
    <w:name w:val="xl66"/>
    <w:basedOn w:val="70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5" w:customStyle="1">
    <w:name w:val="xl94"/>
    <w:basedOn w:val="709"/>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6" w:customStyle="1">
    <w:name w:val="Char Char3"/>
    <w:basedOn w:val="709"/>
    <w:uiPriority w:val="0"/>
    <w:qFormat/>
    <w:pPr>
      <w:jc w:val="left"/>
      <w:spacing w:after="160" w:line="240" w:lineRule="exact"/>
      <w:widowControl/>
    </w:pPr>
    <w:rPr>
      <w:rFonts w:ascii="Calibri" w:hAnsi="Calibri" w:eastAsia="宋体" w:cs="Times New Roman"/>
      <w:sz w:val="24"/>
      <w:szCs w:val="24"/>
    </w:rPr>
  </w:style>
  <w:style w:type="paragraph" w:styleId="987" w:customStyle="1">
    <w:name w:val="xl95"/>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8" w:customStyle="1">
    <w:name w:val="xl8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89" w:customStyle="1">
    <w:name w:val="q3"/>
    <w:basedOn w:val="709"/>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90" w:customStyle="1">
    <w:name w:val="xl91"/>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1" w:customStyle="1">
    <w:name w:val="Char Char Char"/>
    <w:basedOn w:val="709"/>
    <w:uiPriority w:val="0"/>
    <w:qFormat/>
    <w:pPr>
      <w:numPr>
        <w:ilvl w:val="0"/>
        <w:numId w:val="2"/>
      </w:numPr>
    </w:pPr>
    <w:rPr>
      <w:rFonts w:ascii="Calibri" w:hAnsi="Calibri" w:eastAsia="宋体" w:cs="Times New Roman"/>
      <w:sz w:val="24"/>
      <w:szCs w:val="24"/>
    </w:rPr>
  </w:style>
  <w:style w:type="paragraph" w:styleId="992" w:customStyle="1">
    <w:name w:val="xl8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3" w:customStyle="1">
    <w:name w:val="修订1"/>
    <w:uiPriority w:val="99"/>
    <w:unhideWhenUsed/>
    <w:qFormat/>
    <w:rPr>
      <w:rFonts w:ascii="Calibri" w:hAnsi="Calibri" w:eastAsia="楷体_GB2312" w:cs="Times New Roman"/>
      <w:sz w:val="26"/>
      <w:lang w:val="en-US" w:eastAsia="zh-CN" w:bidi="ar-SA"/>
    </w:rPr>
  </w:style>
  <w:style w:type="paragraph" w:styleId="994" w:customStyle="1">
    <w:name w:val="xl7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95"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96" w:customStyle="1">
    <w:name w:val="纯文本111"/>
    <w:basedOn w:val="709"/>
    <w:uiPriority w:val="0"/>
    <w:qFormat/>
    <w:rPr>
      <w:rFonts w:ascii="宋体" w:hAnsi="Courier New" w:eastAsia="楷体_GB2312" w:cs="Times New Roman"/>
      <w:sz w:val="26"/>
      <w:szCs w:val="20"/>
    </w:rPr>
  </w:style>
  <w:style w:type="paragraph" w:styleId="997" w:customStyle="1">
    <w:name w:val="xl93"/>
    <w:basedOn w:val="70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98"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999" w:customStyle="1">
    <w:name w:val="xl7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0" w:customStyle="1">
    <w:name w:val="xl87"/>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01" w:customStyle="1">
    <w:name w:val="Char"/>
    <w:basedOn w:val="709"/>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2" w:customStyle="1">
    <w:name w:val="xl67"/>
    <w:basedOn w:val="709"/>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03" w:customStyle="1">
    <w:name w:val="xl8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04" w:customStyle="1">
    <w:name w:val="xl7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5" w:customStyle="1">
    <w:name w:val="xl68"/>
    <w:basedOn w:val="70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6" w:customStyle="1">
    <w:name w:val="正文1"/>
    <w:basedOn w:val="709"/>
    <w:next w:val="709"/>
    <w:uiPriority w:val="0"/>
    <w:qFormat/>
    <w:pPr>
      <w:ind w:left="420" w:firstLine="527"/>
      <w:spacing w:before="120" w:line="360" w:lineRule="auto"/>
    </w:pPr>
    <w:rPr>
      <w:rFonts w:ascii="宋体" w:hAnsi="宋体" w:eastAsia="宋体" w:cs="Times New Roman"/>
      <w:sz w:val="24"/>
      <w:szCs w:val="24"/>
    </w:rPr>
  </w:style>
  <w:style w:type="paragraph" w:styleId="1007" w:customStyle="1">
    <w:name w:val="xl90"/>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8" w:customStyle="1">
    <w:name w:val="xl83"/>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9" w:customStyle="1">
    <w:name w:val="xl7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0" w:customStyle="1">
    <w:name w:val="xl82"/>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11">
    <w:name w:val="List Paragraph"/>
    <w:basedOn w:val="709"/>
    <w:uiPriority w:val="34"/>
    <w:qFormat/>
    <w:pPr>
      <w:ind w:firstLine="420"/>
    </w:pPr>
    <w:rPr>
      <w:rFonts w:ascii="Calibri" w:hAnsi="Calibri" w:eastAsia="楷体_GB2312" w:cs="Times New Roman"/>
      <w:sz w:val="26"/>
      <w:szCs w:val="20"/>
    </w:rPr>
  </w:style>
  <w:style w:type="paragraph" w:styleId="1012" w:customStyle="1">
    <w:name w:val="纯文本5"/>
    <w:basedOn w:val="709"/>
    <w:uiPriority w:val="0"/>
    <w:qFormat/>
    <w:rPr>
      <w:rFonts w:ascii="宋体" w:hAnsi="Courier New" w:eastAsia="楷体_GB2312" w:cs="Times New Roman"/>
      <w:sz w:val="26"/>
      <w:szCs w:val="20"/>
    </w:rPr>
  </w:style>
  <w:style w:type="paragraph" w:styleId="1013" w:customStyle="1">
    <w:name w:val="xl84"/>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14" w:customStyle="1">
    <w:name w:val="xl8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15" w:customStyle="1">
    <w:name w:val="xl7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6" w:customStyle="1">
    <w:name w:val="xl9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7" w:customStyle="1">
    <w:name w:val="xl7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8" w:customStyle="1">
    <w:name w:val="xl8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19" w:customStyle="1">
    <w:name w:val="网格型1"/>
    <w:basedOn w:val="72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0" w:customStyle="1">
    <w:name w:val="Plain Text1"/>
    <w:basedOn w:val="709"/>
    <w:uiPriority w:val="0"/>
    <w:qFormat/>
    <w:rPr>
      <w:rFonts w:ascii="宋体" w:hAnsi="Courier New" w:eastAsia="楷体_GB2312" w:cs="Times New Roman"/>
      <w:sz w:val="26"/>
      <w:szCs w:val="20"/>
    </w:rPr>
  </w:style>
  <w:style w:type="paragraph" w:styleId="1021"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22"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23"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24"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5"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26"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27" w:customStyle="1">
    <w:name w:val="font81"/>
    <w:basedOn w:val="719"/>
    <w:uiPriority w:val="0"/>
    <w:qFormat/>
    <w:rPr>
      <w:rFonts w:hint="eastAsia" w:ascii="宋体" w:hAnsi="宋体" w:eastAsia="宋体" w:cs="宋体"/>
      <w:color w:val="000000"/>
      <w:sz w:val="18"/>
      <w:szCs w:val="18"/>
      <w:u w:val="none"/>
    </w:rPr>
  </w:style>
  <w:style w:type="character" w:styleId="1028" w:customStyle="1">
    <w:name w:val="font91"/>
    <w:basedOn w:val="719"/>
    <w:uiPriority w:val="0"/>
    <w:qFormat/>
    <w:rPr>
      <w:rFonts w:hint="eastAsia" w:ascii="宋体" w:hAnsi="宋体" w:eastAsia="宋体" w:cs="宋体"/>
      <w:b/>
      <w:bCs/>
      <w:color w:val="ff0000"/>
      <w:sz w:val="18"/>
      <w:szCs w:val="18"/>
      <w:u w:val="none"/>
    </w:rPr>
  </w:style>
  <w:style w:type="character" w:styleId="1029" w:customStyle="1">
    <w:name w:val="font21"/>
    <w:basedOn w:val="719"/>
    <w:uiPriority w:val="0"/>
    <w:qFormat/>
    <w:rPr>
      <w:rFonts w:hint="eastAsia" w:ascii="宋体" w:hAnsi="宋体" w:eastAsia="宋体" w:cs="宋体"/>
      <w:b/>
      <w:bCs/>
      <w:color w:val="000000"/>
      <w:sz w:val="22"/>
      <w:szCs w:val="22"/>
      <w:u w:val="none"/>
    </w:rPr>
  </w:style>
  <w:style w:type="character" w:styleId="1030" w:customStyle="1">
    <w:name w:val="font51"/>
    <w:basedOn w:val="719"/>
    <w:uiPriority w:val="0"/>
    <w:qFormat/>
    <w:rPr>
      <w:rFonts w:hint="eastAsia" w:ascii="宋体" w:hAnsi="宋体" w:eastAsia="宋体" w:cs="宋体"/>
      <w:b/>
      <w:bCs/>
      <w:color w:val="ff0000"/>
      <w:sz w:val="22"/>
      <w:szCs w:val="22"/>
      <w:u w:val="none"/>
    </w:rPr>
  </w:style>
  <w:style w:type="character" w:styleId="1031" w:customStyle="1">
    <w:name w:val="font31"/>
    <w:basedOn w:val="719"/>
    <w:uiPriority w:val="0"/>
    <w:qFormat/>
    <w:rPr>
      <w:rFonts w:hint="eastAsia" w:ascii="宋体" w:hAnsi="宋体" w:eastAsia="宋体" w:cs="宋体"/>
      <w:color w:val="000000"/>
      <w:sz w:val="22"/>
      <w:szCs w:val="22"/>
      <w:u w:val="none"/>
    </w:rPr>
  </w:style>
  <w:style w:type="character" w:styleId="1032" w:customStyle="1">
    <w:name w:val="font61"/>
    <w:basedOn w:val="719"/>
    <w:uiPriority w:val="0"/>
    <w:qFormat/>
    <w:rPr>
      <w:rFonts w:hint="eastAsia" w:ascii="宋体" w:hAnsi="宋体" w:eastAsia="宋体" w:cs="宋体"/>
      <w:color w:val="ff0000"/>
      <w:sz w:val="22"/>
      <w:szCs w:val="22"/>
      <w:u w:val="none"/>
    </w:rPr>
  </w:style>
  <w:style w:type="table" w:styleId="1033" w:customStyle="1">
    <w:name w:val="Table Normal"/>
    <w:uiPriority w:val="0"/>
    <w:unhideWhenUsed/>
    <w:qFormat/>
    <w:tblPr>
      <w:tblCellMar>
        <w:left w:w="0" w:type="dxa"/>
        <w:top w:w="0" w:type="dxa"/>
        <w:right w:w="0" w:type="dxa"/>
        <w:bottom w:w="0" w:type="dxa"/>
      </w:tblCellMar>
    </w:tblPr>
  </w:style>
  <w:style w:type="paragraph" w:styleId="1034" w:customStyle="1">
    <w:name w:val="纯文本6"/>
    <w:basedOn w:val="709"/>
    <w:uiPriority w:val="0"/>
    <w:qFormat/>
    <w:rPr>
      <w:rFonts w:ascii="宋体" w:hAnsi="Courier New"/>
    </w:rPr>
  </w:style>
  <w:style w:type="character" w:styleId="1035" w:customStyle="1">
    <w:name w:val="NormalCharacter"/>
    <w:uiPriority w:val="0"/>
    <w:semiHidden/>
    <w:qFormat/>
  </w:style>
  <w:style w:type="paragraph" w:styleId="1036" w:customStyle="1">
    <w:name w:val="正文缩进1"/>
    <w:basedOn w:val="709"/>
    <w:next w:val="709"/>
    <w:uiPriority w:val="0"/>
    <w:qFormat/>
    <w:pPr>
      <w:ind w:firstLine="420"/>
      <w:jc w:val="left"/>
    </w:pPr>
    <w:rPr>
      <w:sz w:val="24"/>
    </w:rPr>
  </w:style>
  <w:style w:type="paragraph" w:styleId="1037"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1038" w:customStyle="1">
    <w:name w:val="修订7"/>
    <w:hidden/>
    <w:uiPriority w:val="99"/>
    <w:unhideWhenUsed/>
    <w:qFormat/>
    <w:rPr>
      <w:rFonts w:asciiTheme="minorHAnsi" w:hAnsiTheme="minorHAnsi" w:eastAsiaTheme="minorEastAsia" w:cstheme="minorBidi"/>
      <w:sz w:val="21"/>
      <w:szCs w:val="22"/>
      <w:lang w:val="en-US" w:eastAsia="zh-CN" w:bidi="ar-SA"/>
    </w:rPr>
  </w:style>
  <w:style w:type="paragraph" w:styleId="1039" w:customStyle="1">
    <w:name w:val="p_text_indent_2"/>
    <w:basedOn w:val="709"/>
    <w:uiPriority w:val="0"/>
    <w:qFormat/>
    <w:pPr>
      <w:jc w:val="left"/>
      <w:spacing w:before="100" w:beforeAutospacing="1" w:after="100" w:afterAutospacing="1"/>
      <w:widowControl/>
    </w:pPr>
    <w:rPr>
      <w:rFonts w:ascii="宋体" w:hAnsi="宋体" w:eastAsia="宋体" w:cs="宋体"/>
      <w:sz w:val="24"/>
      <w:szCs w:val="24"/>
    </w:rPr>
  </w:style>
  <w:style w:type="paragraph" w:styleId="1040" w:customStyle="1">
    <w:name w:val="修订8"/>
    <w:hidden/>
    <w:uiPriority w:val="99"/>
    <w:unhideWhenUsed/>
    <w:qFormat/>
    <w:rPr>
      <w:rFonts w:asciiTheme="minorHAnsi" w:hAnsiTheme="minorHAnsi" w:eastAsiaTheme="minorEastAsia" w:cstheme="minorBidi"/>
      <w:sz w:val="21"/>
      <w:szCs w:val="22"/>
      <w:lang w:val="en-US" w:eastAsia="zh-CN" w:bidi="ar-SA"/>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A2F4EE8-B3BE-4CF9-9F2D-722202925C3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沈川渝</cp:lastModifiedBy>
  <cp:revision>284</cp:revision>
  <dcterms:created xsi:type="dcterms:W3CDTF">2026-07-16T11:06:00Z</dcterms:created>
  <dcterms:modified xsi:type="dcterms:W3CDTF">2026-10-22T06:23:36Z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A9545B8865273721A824D86A6DB9B0EB_43</vt:lpwstr>
  </property>
  <property fmtid="{D5CDD505-2E9C-101B-9397-08002B2CF9AE}" pid="4" name="KSOTemplateDocerSaveRecord">
    <vt:lpwstr>eyJoZGlkIjoiNDcyOTY2ZDg2ZWQ5ZmU4ZTI4MDIxMTM2NjJiNDA2MzYiLCJ1c2VySWQiOiI3MTc0Mjg4MTUifQ==</vt:lpwstr>
  </property>
</Properties>
</file>