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firstLine="0"/>
        <w:rPr>
          <w:rFonts w:eastAsia="黑体"/>
          <w:b/>
          <w:bCs/>
          <w:sz w:val="84"/>
        </w:rPr>
      </w:pPr>
      <w:r>
        <w:rPr>
          <w:rFonts w:eastAsia="黑体"/>
          <w:b/>
          <w:bCs/>
          <w:sz w:val="84"/>
        </w:rPr>
      </w:r>
      <w:r/>
    </w:p>
    <w:p>
      <w:pPr>
        <w:pStyle w:val="907"/>
        <w:ind w:firstLine="0"/>
        <w:jc w:val="center"/>
        <w:rPr>
          <w:rFonts w:eastAsia="黑体"/>
          <w:b/>
          <w:bCs/>
          <w:sz w:val="84"/>
        </w:rPr>
      </w:pPr>
      <w:r>
        <w:rPr>
          <w:rFonts w:hint="eastAsia" w:eastAsia="黑体"/>
          <w:b/>
          <w:bCs/>
          <w:sz w:val="84"/>
        </w:rPr>
        <w:t xml:space="preserve">招　标　文　件</w:t>
      </w:r>
      <w:r/>
    </w:p>
    <w:p>
      <w:pPr>
        <w:pStyle w:val="907"/>
        <w:ind w:firstLine="0"/>
        <w:jc w:val="center"/>
        <w:rPr>
          <w:rFonts w:eastAsia="黑体"/>
          <w:b/>
          <w:bCs/>
          <w:sz w:val="84"/>
        </w:rPr>
      </w:pPr>
      <w:r>
        <w:rPr>
          <w:rFonts w:eastAsia="黑体"/>
          <w:b/>
          <w:bCs/>
          <w:sz w:val="84"/>
        </w:rPr>
      </w:r>
      <w:r/>
    </w:p>
    <w:p>
      <w:pPr>
        <w:pStyle w:val="907"/>
        <w:ind w:left="0" w:firstLine="0"/>
        <w:jc w:val="both"/>
        <w:rPr>
          <w:rFonts w:hint="eastAsia"/>
          <w:b/>
          <w:bCs/>
          <w:sz w:val="32"/>
          <w:lang w:eastAsia="zh-CN"/>
        </w:rPr>
      </w:pPr>
      <w:r>
        <w:rPr>
          <w:rFonts w:hint="eastAsia"/>
          <w:b/>
          <w:bCs/>
          <w:sz w:val="32"/>
        </w:rPr>
        <w:t xml:space="preserve">项目名称：</w:t>
      </w:r>
      <w:r>
        <w:rPr>
          <w:rFonts w:hint="eastAsia"/>
          <w:b/>
          <w:bCs/>
          <w:sz w:val="32"/>
          <w:lang w:eastAsia="zh-CN"/>
        </w:rPr>
        <w:t xml:space="preserve">海安市应急管理局微型水罐消防车及随车器材装备采购项目（</w:t>
      </w:r>
      <w:r>
        <w:rPr>
          <w:rFonts w:hint="eastAsia"/>
          <w:b/>
          <w:bCs/>
          <w:sz w:val="32"/>
          <w:lang w:val="en-US" w:eastAsia="zh-CN"/>
        </w:rPr>
        <w:t xml:space="preserve">重新采购</w:t>
      </w:r>
      <w:r>
        <w:rPr>
          <w:rFonts w:hint="eastAsia"/>
          <w:b/>
          <w:bCs/>
          <w:sz w:val="32"/>
          <w:lang w:eastAsia="zh-CN"/>
        </w:rPr>
        <w:t xml:space="preserve">）</w:t>
      </w:r>
      <w:r/>
    </w:p>
    <w:p>
      <w:pPr>
        <w:pStyle w:val="907"/>
        <w:ind w:firstLine="0"/>
        <w:spacing w:before="0" w:after="0"/>
        <w:rPr>
          <w:rFonts w:ascii="宋体" w:hAnsi="宋体"/>
        </w:rPr>
      </w:pPr>
      <w:r>
        <w:rPr>
          <w:rFonts w:hint="eastAsia"/>
          <w:b/>
          <w:bCs/>
          <w:sz w:val="32"/>
        </w:rPr>
        <w:t xml:space="preserve">项目编号：JSZC-320685-JSHS-G2026-0038</w:t>
      </w:r>
      <w:r/>
    </w:p>
    <w:p>
      <w:pPr>
        <w:pStyle w:val="907"/>
        <w:ind w:firstLine="0"/>
        <w:spacing w:before="0" w:after="0"/>
        <w:rPr>
          <w:rFonts w:ascii="宋体" w:hAnsi="宋体"/>
        </w:rPr>
      </w:pPr>
      <w:r>
        <w:rPr>
          <w:rFonts w:ascii="宋体" w:hAnsi="宋体"/>
        </w:rPr>
      </w:r>
      <w:r/>
    </w:p>
    <w:p>
      <w:pPr>
        <w:pStyle w:val="907"/>
        <w:ind w:firstLine="0"/>
        <w:spacing w:before="0" w:after="0"/>
        <w:rPr>
          <w:rFonts w:ascii="宋体" w:hAnsi="宋体"/>
        </w:rPr>
      </w:pPr>
      <w:r>
        <w:rPr>
          <w:rFonts w:ascii="宋体" w:hAnsi="宋体"/>
        </w:rPr>
      </w:r>
      <w:r/>
    </w:p>
    <w:p>
      <w:pPr>
        <w:pStyle w:val="907"/>
        <w:ind w:firstLine="0"/>
        <w:spacing w:before="0" w:after="0"/>
        <w:rPr>
          <w:rFonts w:ascii="宋体" w:hAnsi="宋体"/>
        </w:rPr>
      </w:pPr>
      <w:r>
        <w:rPr>
          <w:rFonts w:ascii="宋体" w:hAnsi="宋体"/>
        </w:rPr>
      </w:r>
      <w:r/>
    </w:p>
    <w:p>
      <w:pPr>
        <w:pStyle w:val="907"/>
        <w:ind w:firstLine="0"/>
        <w:spacing w:before="0" w:after="0"/>
        <w:rPr>
          <w:rFonts w:ascii="宋体" w:hAnsi="宋体"/>
        </w:rPr>
      </w:pPr>
      <w:r>
        <w:rPr>
          <w:rFonts w:ascii="宋体" w:hAnsi="宋体"/>
        </w:rPr>
      </w:r>
      <w:r/>
    </w:p>
    <w:p>
      <w:pPr>
        <w:pStyle w:val="907"/>
        <w:ind w:firstLine="0"/>
        <w:spacing w:before="0" w:after="0"/>
        <w:rPr>
          <w:rFonts w:ascii="宋体" w:hAnsi="宋体"/>
        </w:rPr>
      </w:pPr>
      <w:r>
        <w:rPr>
          <w:rFonts w:ascii="宋体" w:hAnsi="宋体"/>
        </w:rPr>
      </w:r>
      <w:r/>
    </w:p>
    <w:p>
      <w:pPr>
        <w:pStyle w:val="907"/>
        <w:ind w:firstLine="0"/>
        <w:jc w:val="both"/>
        <w:rPr>
          <w:b/>
          <w:bCs/>
          <w:sz w:val="32"/>
        </w:rPr>
      </w:pPr>
      <w:r>
        <w:rPr>
          <w:b/>
          <w:bCs/>
          <w:sz w:val="32"/>
        </w:rPr>
      </w:r>
      <w:r/>
    </w:p>
    <w:p>
      <w:pPr>
        <w:pStyle w:val="907"/>
        <w:ind w:firstLine="0"/>
        <w:jc w:val="center"/>
        <w:rPr>
          <w:b/>
          <w:bCs/>
          <w:sz w:val="32"/>
        </w:rPr>
      </w:pPr>
      <w:r>
        <w:rPr>
          <w:b/>
          <w:bCs/>
          <w:sz w:val="32"/>
        </w:rPr>
      </w:r>
      <w:r/>
    </w:p>
    <w:p>
      <w:pPr>
        <w:pStyle w:val="907"/>
        <w:ind w:firstLine="0"/>
        <w:jc w:val="both"/>
        <w:rPr>
          <w:b/>
          <w:bCs/>
          <w:sz w:val="32"/>
        </w:rPr>
      </w:pPr>
      <w:r>
        <w:rPr>
          <w:b/>
          <w:bCs/>
          <w:sz w:val="32"/>
        </w:rPr>
      </w:r>
      <w:r/>
    </w:p>
    <w:p>
      <w:pPr>
        <w:pStyle w:val="907"/>
        <w:ind w:firstLine="0"/>
        <w:jc w:val="center"/>
        <w:rPr>
          <w:b/>
          <w:bCs/>
          <w:sz w:val="32"/>
        </w:rPr>
      </w:pPr>
      <w:r>
        <w:rPr>
          <w:rFonts w:hint="eastAsia"/>
          <w:b/>
          <w:bCs/>
          <w:sz w:val="32"/>
        </w:rPr>
        <w:t xml:space="preserve">采购人：海安市应急管理局</w:t>
      </w:r>
      <w:r/>
    </w:p>
    <w:p>
      <w:pPr>
        <w:pStyle w:val="907"/>
        <w:ind w:firstLine="0"/>
        <w:jc w:val="center"/>
        <w:rPr>
          <w:rFonts w:ascii="黑体" w:hAnsi="Arial" w:eastAsia="黑体"/>
          <w:b/>
          <w:sz w:val="44"/>
        </w:rPr>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b/>
          <w:bCs/>
          <w:sz w:val="32"/>
        </w:rPr>
        <w:t xml:space="preserve"> 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10</w:t>
      </w:r>
      <w:r>
        <w:rPr>
          <w:rFonts w:hint="eastAsia"/>
          <w:b/>
          <w:bCs/>
          <w:sz w:val="32"/>
        </w:rPr>
        <w:t xml:space="preserve">月 </w:t>
      </w:r>
      <w:r/>
    </w:p>
    <w:p>
      <w:pPr>
        <w:jc w:val="center"/>
        <w:spacing w:line="480" w:lineRule="auto"/>
        <w:rPr>
          <w:rFonts w:hint="eastAsia" w:ascii="黑体" w:hAnsi="Arial" w:eastAsia="黑体"/>
          <w:b/>
          <w:sz w:val="44"/>
        </w:rPr>
        <w:outlineLvl w:val="0"/>
      </w:pPr>
      <w:r>
        <w:rPr>
          <w:rFonts w:hint="eastAsia"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Showcard Gothic"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61"/>
      </w:pPr>
      <w:r/>
      <w:r/>
    </w:p>
    <w:p>
      <w:pPr>
        <w:pStyle w:val="661"/>
      </w:pPr>
      <w:r/>
      <w:r/>
    </w:p>
    <w:p>
      <w:pPr>
        <w:pStyle w:val="661"/>
      </w:pPr>
      <w:r/>
      <w:r/>
    </w:p>
    <w:p>
      <w:r/>
      <w:r/>
    </w:p>
    <w:p>
      <w:r/>
      <w:r/>
    </w:p>
    <w:p>
      <w:pPr>
        <w:pStyle w:val="860"/>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60" w:lineRule="exact"/>
        <w:rPr>
          <w:rFonts w:ascii="宋体" w:hAnsi="宋体"/>
          <w:sz w:val="24"/>
          <w:szCs w:val="24"/>
        </w:rPr>
      </w:pPr>
      <w:r>
        <w:rPr>
          <w:rFonts w:hint="eastAsia" w:ascii="宋体" w:hAnsi="宋体"/>
          <w:sz w:val="24"/>
          <w:szCs w:val="24"/>
        </w:rPr>
        <w:t xml:space="preserve">受海安市应急管理局的委托，</w:t>
      </w:r>
      <w:r>
        <w:rPr>
          <w:rFonts w:hint="eastAsia" w:ascii="宋体" w:hAnsi="宋体" w:cs="宋体"/>
          <w:color w:val="000000"/>
          <w:sz w:val="24"/>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海安市应急管理局微型水罐消防车及随车器材装备采购项目</w:t>
      </w:r>
      <w:r>
        <w:rPr>
          <w:rFonts w:hint="eastAsia" w:ascii="宋体" w:hAnsi="宋体"/>
          <w:sz w:val="24"/>
          <w:szCs w:val="24"/>
        </w:rPr>
        <w:t xml:space="preserve">(JSZC-320685-JSHS-G2026-0038)进行公开招标采购，欢迎符合条件的供应商投标。</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海安市应急管理局微型水罐消防车及随车器材装备采购项目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2"/>
        <w:ind w:firstLine="498"/>
        <w:spacing w:before="0" w:after="0" w:line="560" w:lineRule="exact"/>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560" w:lineRule="exact"/>
        <w:rPr>
          <w:rFonts w:ascii="宋体" w:hAnsi="宋体"/>
          <w:sz w:val="24"/>
          <w:szCs w:val="24"/>
        </w:rPr>
      </w:pPr>
      <w:r>
        <w:rPr>
          <w:rFonts w:hint="eastAsia" w:ascii="宋体" w:hAnsi="宋体"/>
          <w:sz w:val="24"/>
          <w:szCs w:val="24"/>
        </w:rPr>
        <w:t xml:space="preserve">1.项目编号：JSZC-320685-JSHS-G2026-0038</w:t>
      </w:r>
      <w:r/>
    </w:p>
    <w:p>
      <w:pPr>
        <w:ind w:firstLine="480"/>
        <w:spacing w:line="56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海安市应急管理局微型水罐消防车及随车器材装备采购项目</w:t>
      </w:r>
      <w:r>
        <w:rPr>
          <w:rFonts w:hint="eastAsia" w:ascii="宋体" w:hAnsi="宋体"/>
          <w:sz w:val="24"/>
          <w:szCs w:val="24"/>
        </w:rPr>
        <w:t xml:space="preserve"> </w:t>
      </w:r>
      <w:bookmarkEnd w:id="11"/>
      <w:r/>
      <w:r/>
    </w:p>
    <w:p>
      <w:pPr>
        <w:ind w:firstLine="480"/>
        <w:spacing w:line="560" w:lineRule="exact"/>
        <w:rPr>
          <w:rFonts w:ascii="宋体" w:hAnsi="宋体"/>
          <w:sz w:val="24"/>
          <w:szCs w:val="24"/>
        </w:rPr>
      </w:pPr>
      <w:r>
        <w:rPr>
          <w:rFonts w:hint="eastAsia" w:ascii="宋体" w:hAnsi="宋体"/>
          <w:sz w:val="24"/>
          <w:szCs w:val="24"/>
        </w:rPr>
        <w:t xml:space="preserve">3.项目类型：货物</w:t>
      </w:r>
      <w:r/>
    </w:p>
    <w:p>
      <w:pPr>
        <w:ind w:firstLine="480"/>
        <w:spacing w:line="560" w:lineRule="exact"/>
        <w:rPr>
          <w:rFonts w:ascii="宋体" w:hAnsi="宋体"/>
          <w:sz w:val="24"/>
          <w:szCs w:val="24"/>
        </w:rPr>
      </w:pPr>
      <w:r>
        <w:rPr>
          <w:rFonts w:hint="eastAsia" w:ascii="宋体" w:hAnsi="宋体"/>
          <w:sz w:val="24"/>
          <w:szCs w:val="24"/>
        </w:rPr>
        <w:t xml:space="preserve">4.项目行业：工业</w:t>
      </w:r>
      <w:r/>
    </w:p>
    <w:p>
      <w:pPr>
        <w:ind w:firstLine="480"/>
        <w:spacing w:line="560" w:lineRule="exact"/>
        <w:rPr>
          <w:rFonts w:ascii="宋体" w:hAnsi="宋体"/>
          <w:color w:val="ff0000"/>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158</w:t>
      </w:r>
      <w:r>
        <w:rPr>
          <w:rFonts w:hint="eastAsia" w:ascii="宋体" w:hAnsi="宋体"/>
          <w:sz w:val="24"/>
          <w:szCs w:val="24"/>
        </w:rPr>
        <w:t xml:space="preserve">万元 </w:t>
      </w:r>
      <w:r/>
    </w:p>
    <w:p>
      <w:pPr>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158</w:t>
      </w:r>
      <w:r>
        <w:rPr>
          <w:rFonts w:hint="eastAsia" w:ascii="宋体" w:hAnsi="宋体"/>
          <w:sz w:val="24"/>
          <w:szCs w:val="24"/>
        </w:rPr>
        <w:t xml:space="preserve">万元，投标报价超过最高限价的投标将作为无效投标处理。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w:t>
      </w:r>
      <w:r>
        <w:rPr>
          <w:rFonts w:hint="eastAsia" w:ascii="宋体" w:hAnsi="宋体"/>
          <w:sz w:val="24"/>
          <w:szCs w:val="24"/>
          <w:lang w:val="en-US" w:eastAsia="zh-CN"/>
        </w:rPr>
        <w:t xml:space="preserve">详见招标文件</w:t>
      </w:r>
      <w:r>
        <w:rPr>
          <w:rFonts w:hint="eastAsia" w:ascii="宋体" w:hAnsi="宋体"/>
          <w:sz w:val="24"/>
          <w:szCs w:val="24"/>
        </w:rPr>
        <w:t xml:space="preserve">。</w:t>
      </w:r>
      <w:r/>
    </w:p>
    <w:p>
      <w:pPr>
        <w:pStyle w:val="862"/>
        <w:ind w:firstLine="498"/>
        <w:spacing w:before="0" w:after="0" w:line="560" w:lineRule="exact"/>
      </w:pPr>
      <w:r/>
      <w:bookmarkStart w:id="12" w:name="_Toc28359080"/>
      <w:r/>
      <w:bookmarkStart w:id="13" w:name="_Toc35393791"/>
      <w:r/>
      <w:bookmarkStart w:id="14" w:name="_Toc38985264"/>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rPr>
      </w:pPr>
      <w:r/>
      <w:bookmarkStart w:id="17" w:name="_Toc28359081"/>
      <w:r/>
      <w:bookmarkStart w:id="18" w:name="_Toc35393623"/>
      <w:r/>
      <w:bookmarkStart w:id="19" w:name="_Toc28359004"/>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(2)上一年度的财务状况报告（</w:t>
      </w:r>
      <w:r>
        <w:rPr>
          <w:rFonts w:hint="eastAsia" w:ascii="宋体" w:hAnsi="宋体" w:cs="宋体"/>
          <w:bCs/>
          <w:sz w:val="24"/>
          <w:szCs w:val="24"/>
        </w:rPr>
        <w:t xml:space="preserve">提供参加本次开标前的会计报表，必须含资产负债表、利润表等证明材料，成立不满一年不需提供</w:t>
      </w:r>
      <w:r>
        <w:rPr>
          <w:rFonts w:hint="eastAsia" w:ascii="宋体" w:hAnsi="宋体"/>
          <w:color w:val="000000"/>
          <w:sz w:val="24"/>
          <w:szCs w:val="24"/>
        </w:rPr>
        <w:t xml:space="preserve">）；</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(4)具备履行合同所必需的设备和专业技术能力的证明材料（提供承诺书，格式见附件1）；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(5)参加政府采购活动前3年内在经营活动中没有重大违法记录的书面声明（提供承诺书，格式见附件2）；</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jc w:val="left"/>
        <w:spacing w:line="560" w:lineRule="exact"/>
        <w:rPr>
          <w:rFonts w:ascii="宋体" w:hAnsi="宋体"/>
          <w:sz w:val="24"/>
          <w:szCs w:val="24"/>
        </w:rPr>
      </w:pPr>
      <w:r>
        <w:rPr>
          <w:rFonts w:hint="eastAsia" w:ascii="宋体" w:hAnsi="宋体"/>
          <w:sz w:val="24"/>
          <w:szCs w:val="24"/>
        </w:rPr>
        <w:t xml:space="preserve">2.落实政府采购政策需满足的资格要求：本项目为专门面向中小微企业采购项目（</w:t>
      </w:r>
      <w:r>
        <w:rPr>
          <w:rFonts w:hint="eastAsia" w:ascii="宋体" w:hAnsi="宋体"/>
          <w:sz w:val="24"/>
          <w:szCs w:val="24"/>
          <w:lang w:val="en-US" w:eastAsia="zh-CN"/>
        </w:rPr>
        <w:t xml:space="preserve">须按照</w:t>
      </w:r>
      <w:r>
        <w:rPr>
          <w:rFonts w:hint="eastAsia" w:ascii="宋体" w:hAnsi="宋体"/>
          <w:sz w:val="24"/>
          <w:szCs w:val="24"/>
        </w:rPr>
        <w:t xml:space="preserve">财库﹝2020﹞46 号的规定提供相应的中小企业声明函</w:t>
      </w:r>
      <w:r>
        <w:rPr>
          <w:rFonts w:hint="eastAsia" w:ascii="宋体" w:hAnsi="宋体"/>
          <w:sz w:val="24"/>
          <w:szCs w:val="24"/>
          <w:lang w:eastAsia="zh-CN"/>
        </w:rPr>
        <w:t xml:space="preserve">，</w:t>
      </w:r>
      <w:r>
        <w:rPr>
          <w:rFonts w:hint="eastAsia" w:ascii="宋体" w:hAnsi="宋体"/>
          <w:sz w:val="24"/>
          <w:szCs w:val="24"/>
          <w:lang w:val="en-US" w:eastAsia="zh-CN"/>
        </w:rPr>
        <w:t xml:space="preserve">格式见附件）</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b/>
          <w:color w:val="ff0000"/>
          <w:sz w:val="24"/>
          <w:szCs w:val="24"/>
        </w:rPr>
        <w:t xml:space="preserve">（提供承诺函，格式详见附件）</w:t>
      </w:r>
      <w:r/>
    </w:p>
    <w:p>
      <w:pPr>
        <w:ind w:firstLine="480"/>
        <w:spacing w:line="560" w:lineRule="exact"/>
        <w:rPr>
          <w:rFonts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sz w:val="24"/>
          <w:szCs w:val="24"/>
        </w:rPr>
      </w:pPr>
      <w:r>
        <w:rPr>
          <w:rFonts w:hint="eastAsia" w:ascii="宋体" w:hAnsi="宋体"/>
          <w:sz w:val="24"/>
          <w:szCs w:val="24"/>
        </w:rPr>
        <w:t xml:space="preserve">6.本项目不接受分包。</w:t>
      </w:r>
      <w:r/>
    </w:p>
    <w:p>
      <w:pPr>
        <w:ind w:firstLine="480"/>
        <w:spacing w:line="56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560" w:lineRule="exact"/>
        <w:rPr>
          <w:rFonts w:ascii="宋体" w:hAnsi="宋体"/>
          <w:sz w:val="24"/>
          <w:szCs w:val="24"/>
        </w:rPr>
      </w:pPr>
      <w:r>
        <w:rPr>
          <w:rFonts w:hint="eastAsia" w:ascii="宋体" w:hAnsi="宋体"/>
          <w:sz w:val="24"/>
          <w:szCs w:val="24"/>
        </w:rPr>
        <w:t xml:space="preserve">无</w:t>
      </w:r>
      <w:r/>
    </w:p>
    <w:p>
      <w:pPr>
        <w:pStyle w:val="862"/>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20</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9</w:t>
      </w:r>
      <w:r>
        <w:rPr>
          <w:rFonts w:hint="eastAsia" w:ascii="宋体" w:hAnsi="宋体" w:cs="宋体"/>
          <w:sz w:val="24"/>
          <w:szCs w:val="24"/>
        </w:rPr>
        <w:t xml:space="preserve">日（提供期限自本公告发布之日起不得少于5个工作日）。</w:t>
      </w:r>
      <w:r/>
    </w:p>
    <w:p>
      <w:pPr>
        <w:ind w:firstLine="54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pStyle w:val="862"/>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p>
    <w:p>
      <w:pPr>
        <w:ind w:firstLine="480"/>
        <w:spacing w:line="560" w:lineRule="exact"/>
        <w:rPr>
          <w:rFonts w:ascii="宋体" w:hAnsi="宋体"/>
          <w:sz w:val="24"/>
          <w:szCs w:val="24"/>
        </w:rPr>
      </w:pPr>
      <w:r>
        <w:rPr>
          <w:rFonts w:hint="eastAsia" w:ascii="宋体" w:hAnsi="宋体"/>
          <w:sz w:val="24"/>
          <w:szCs w:val="24"/>
        </w:rPr>
        <w:t xml:space="preserve">2.地点：“苏采云”政府采购交易系统网上开标大厅。</w:t>
      </w:r>
      <w:r/>
    </w:p>
    <w:p>
      <w:pPr>
        <w:ind w:firstLine="480"/>
        <w:spacing w:line="560" w:lineRule="exact"/>
        <w:rPr>
          <w:rFonts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pStyle w:val="862"/>
        <w:ind w:firstLine="498"/>
        <w:spacing w:before="0" w:after="0" w:line="560" w:lineRule="exact"/>
      </w:pPr>
      <w:r/>
      <w:bookmarkStart w:id="27" w:name="_Toc28359007"/>
      <w:r/>
      <w:bookmarkStart w:id="28" w:name="_Toc35393794"/>
      <w:r/>
      <w:bookmarkStart w:id="29" w:name="_Toc28359084"/>
      <w:r/>
      <w:bookmarkStart w:id="30" w:name="_Toc38985267"/>
      <w:r/>
      <w:bookmarkStart w:id="31" w:name="_Toc35393625"/>
      <w:r>
        <w:rPr>
          <w:rFonts w:hint="eastAsia"/>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p>
    <w:p>
      <w:pPr>
        <w:pStyle w:val="862"/>
        <w:ind w:firstLine="498"/>
        <w:spacing w:before="0" w:after="0" w:line="560" w:lineRule="exact"/>
      </w:pPr>
      <w:r>
        <w:rPr>
          <w:rFonts w:hint="eastAsia"/>
        </w:rPr>
        <w:t xml:space="preserve">六、其他补充事宜</w:t>
      </w:r>
      <w:bookmarkEnd w:id="32"/>
      <w:r/>
      <w:bookmarkEnd w:id="33"/>
      <w:r/>
      <w:bookmarkEnd w:id="34"/>
      <w:r/>
      <w:r/>
    </w:p>
    <w:p>
      <w:pPr>
        <w:ind w:firstLine="480"/>
        <w:spacing w:line="560" w:lineRule="exact"/>
        <w:rPr>
          <w:rFonts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ascii="宋体" w:hAnsi="宋体" w:cs="宋体"/>
          <w:sz w:val="24"/>
          <w:szCs w:val="24"/>
        </w:rPr>
      </w:pPr>
      <w:r>
        <w:rPr>
          <w:rFonts w:hint="eastAsia" w:ascii="宋体" w:hAnsi="宋体" w:cs="宋体"/>
          <w:sz w:val="24"/>
          <w:szCs w:val="24"/>
        </w:rPr>
        <w:t xml:space="preserve">3.项目演示、样品、答辩等（如有请描述）：有</w:t>
      </w:r>
      <w:r/>
    </w:p>
    <w:p>
      <w:pPr>
        <w:ind w:firstLine="480"/>
        <w:spacing w:line="560" w:lineRule="exact"/>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rPr>
      </w:pPr>
      <w:r>
        <w:rPr>
          <w:rFonts w:hint="eastAsia" w:ascii="宋体" w:hAnsi="宋体" w:cs="宋体"/>
          <w:sz w:val="24"/>
          <w:szCs w:val="24"/>
        </w:rPr>
        <w:t xml:space="preserve">6. 有关本次招标的事项若存在变动或修改，敬请及时关注采购人或采购代理机构在“江苏政府采购网”发布的更正公告。</w:t>
      </w:r>
      <w:r/>
    </w:p>
    <w:p>
      <w:pPr>
        <w:pStyle w:val="862"/>
        <w:ind w:firstLine="498"/>
        <w:spacing w:before="0" w:after="0" w:line="560" w:lineRule="exact"/>
      </w:pPr>
      <w:r/>
      <w:bookmarkStart w:id="35" w:name="_Toc35393796"/>
      <w:r/>
      <w:bookmarkStart w:id="36" w:name="_Toc38985269"/>
      <w:r/>
      <w:bookmarkStart w:id="37" w:name="_Toc35393627"/>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称：海安市应急管理局</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址：海安市长江中路106号</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w:t>
      </w:r>
      <w:r>
        <w:rPr>
          <w:rFonts w:hint="eastAsia" w:ascii="宋体" w:hAnsi="宋体"/>
          <w:color w:val="000000"/>
          <w:sz w:val="24"/>
          <w:szCs w:val="24"/>
          <w:lang w:val="en-US" w:eastAsia="zh-CN"/>
        </w:rPr>
        <w:t xml:space="preserve">薛永明</w:t>
      </w:r>
      <w:r>
        <w:rPr>
          <w:rFonts w:hint="eastAsia"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olor w:val="000000"/>
          <w:sz w:val="24"/>
          <w:szCs w:val="24"/>
          <w:lang w:val="en-US" w:eastAsia="zh-CN"/>
        </w:rPr>
        <w:t xml:space="preserve">15851283512</w:t>
      </w:r>
      <w:r/>
    </w:p>
    <w:p>
      <w:pPr>
        <w:numPr>
          <w:ilvl w:val="0"/>
          <w:numId w:val="0"/>
        </w:numPr>
        <w:ind w:left="1079" w:hanging="300"/>
        <w:jc w:val="left"/>
        <w:spacing w:line="560" w:lineRule="exact"/>
        <w:rPr>
          <w:rFonts w:ascii="宋体" w:hAnsi="宋体" w:cs="宋体"/>
          <w:sz w:val="24"/>
          <w:szCs w:val="24"/>
        </w:rPr>
      </w:pPr>
      <w:r/>
      <w:bookmarkStart w:id="40" w:name="_Toc28359010"/>
      <w:r/>
      <w:bookmarkStart w:id="41" w:name="_Toc28359087"/>
      <w:r>
        <w:rPr>
          <w:rFonts w:ascii="宋体" w:hAnsi="宋体" w:eastAsia="宋体" w:cs="宋体"/>
          <w:sz w:val="24"/>
          <w:szCs w:val="24"/>
          <w:lang w:val="en-US" w:eastAsia="zh-CN" w:bidi="ar-SA"/>
        </w:rPr>
        <w:t xml:space="preserve">2.</w:t>
      </w:r>
      <w:r>
        <w:rPr>
          <w:rFonts w:hint="eastAsia" w:ascii="宋体" w:hAnsi="宋体" w:cs="宋体"/>
          <w:sz w:val="24"/>
          <w:szCs w:val="24"/>
        </w:rPr>
        <w:t xml:space="preserve">采购代理机构信息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cs="宋体"/>
          <w:spacing w:val="7"/>
          <w:sz w:val="24"/>
        </w:rPr>
        <w:t xml:space="preserve">江苏海审工程咨询有限公司</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址：海安市长江中路122号</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人：徐迪徇</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s="宋体"/>
          <w:spacing w:val="7"/>
          <w:sz w:val="24"/>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ascii="宋体" w:hAnsi="宋体"/>
          <w:sz w:val="24"/>
          <w:szCs w:val="24"/>
          <w:u w:val="single"/>
        </w:rPr>
      </w:pPr>
      <w:r>
        <w:rPr>
          <w:rFonts w:hint="eastAsia" w:ascii="宋体" w:hAnsi="宋体"/>
          <w:sz w:val="24"/>
          <w:szCs w:val="24"/>
        </w:rPr>
        <w:t xml:space="preserve">招标文件制作人：徐迪徇</w:t>
      </w:r>
      <w:r/>
    </w:p>
    <w:p>
      <w:pPr>
        <w:ind w:firstLine="720"/>
        <w:spacing w:line="560" w:lineRule="exact"/>
        <w:rPr>
          <w:rFonts w:ascii="宋体" w:hAnsi="宋体"/>
          <w:sz w:val="24"/>
          <w:szCs w:val="24"/>
        </w:rPr>
      </w:pPr>
      <w:r>
        <w:rPr>
          <w:rFonts w:hint="eastAsia" w:ascii="宋体" w:hAnsi="宋体"/>
          <w:sz w:val="24"/>
          <w:szCs w:val="24"/>
        </w:rPr>
        <w:t xml:space="preserve">项目开标人：徐迪徇  </w:t>
      </w:r>
      <w:bookmarkEnd w:id="40"/>
      <w:r/>
      <w:bookmarkEnd w:id="41"/>
      <w:r/>
      <w:r/>
    </w:p>
    <w:p>
      <w:pPr>
        <w:ind w:firstLine="720"/>
        <w:spacing w:line="560" w:lineRule="exact"/>
        <w:rPr>
          <w:rFonts w:ascii="宋体" w:hAnsi="宋体"/>
          <w:sz w:val="24"/>
          <w:szCs w:val="24"/>
        </w:rPr>
      </w:pPr>
      <w:r/>
      <w:bookmarkStart w:id="42" w:name="_Toc120614211"/>
      <w:r>
        <w:rPr>
          <w:rFonts w:hint="eastAsia" w:ascii="宋体" w:hAnsi="宋体"/>
          <w:sz w:val="24"/>
          <w:szCs w:val="24"/>
        </w:rPr>
        <w:t xml:space="preserve">交易系统软件维护人员：0519-86722801、0513-59001950</w:t>
      </w:r>
      <w:r/>
    </w:p>
    <w:p>
      <w:pPr>
        <w:pStyle w:val="861"/>
        <w:jc w:val="both"/>
        <w:spacing w:before="0" w:after="0" w:line="520" w:lineRule="exact"/>
        <w:rPr>
          <w:rFonts w:ascii="黑体" w:eastAsia="黑体"/>
          <w:b w:val="0"/>
          <w:bCs w:val="0"/>
        </w:rPr>
      </w:pPr>
      <w:r>
        <w:rPr>
          <w:rFonts w:ascii="黑体" w:eastAsia="黑体"/>
        </w:rPr>
        <w:br w:type="page" w:clear="all"/>
      </w:r>
      <w:r>
        <w:rPr>
          <w:rFonts w:hint="eastAsia" w:ascii="黑体" w:eastAsia="黑体"/>
        </w:rPr>
        <w:t xml:space="preserve">          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eastAsia="黑体"/>
        </w:rPr>
        <w:t xml:space="preserve">投标人须知</w:t>
      </w:r>
      <w:bookmarkEnd w:id="43"/>
      <w:r/>
      <w:bookmarkEnd w:id="44"/>
      <w:r/>
      <w:bookmarkEnd w:id="45"/>
      <w:r/>
      <w:bookmarkEnd w:id="46"/>
      <w:r/>
      <w:r/>
    </w:p>
    <w:p>
      <w:pPr>
        <w:pStyle w:val="862"/>
        <w:ind w:firstLine="498"/>
        <w:spacing w:before="0" w:after="0" w:line="520" w:lineRule="exact"/>
      </w:pPr>
      <w:r/>
      <w:bookmarkStart w:id="47" w:name="_Toc20823275"/>
      <w:r/>
      <w:bookmarkStart w:id="48" w:name="_Toc16938519"/>
      <w:r/>
      <w:bookmarkStart w:id="49" w:name="_Toc513029203"/>
      <w:r/>
      <w:bookmarkStart w:id="50" w:name="_Toc120614214"/>
      <w:r>
        <w:rPr>
          <w:rFonts w:hint="eastAsia"/>
        </w:rPr>
        <w:t xml:space="preserve">一、总则</w:t>
      </w:r>
      <w:bookmarkEnd w:id="47"/>
      <w:r/>
      <w:bookmarkEnd w:id="48"/>
      <w:r/>
      <w:bookmarkEnd w:id="49"/>
      <w:r/>
      <w:bookmarkEnd w:id="50"/>
      <w:r/>
      <w:r/>
    </w:p>
    <w:p>
      <w:pPr>
        <w:pStyle w:val="863"/>
        <w:ind w:firstLine="420"/>
        <w:spacing w:before="0" w:after="0" w:line="520" w:lineRule="exact"/>
        <w:rPr>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863"/>
        <w:ind w:firstLine="420"/>
        <w:spacing w:before="0" w:after="0" w:line="520" w:lineRule="exact"/>
        <w:rPr>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 满足本文件实质性要求和条件的规定。</w:t>
      </w:r>
      <w:r/>
    </w:p>
    <w:p>
      <w:pPr>
        <w:pStyle w:val="863"/>
        <w:ind w:firstLine="420"/>
        <w:spacing w:before="0" w:after="0" w:line="520" w:lineRule="exact"/>
        <w:rPr>
          <w:b w:val="0"/>
          <w:bCs w:val="0"/>
        </w:rPr>
      </w:pPr>
      <w:r/>
      <w:bookmarkStart w:id="59" w:name="_Toc20823278"/>
      <w:r/>
      <w:bookmarkStart w:id="60" w:name="_Toc16938522"/>
      <w:r/>
      <w:bookmarkStart w:id="61" w:name="_Toc513029206"/>
      <w:r>
        <w:rPr>
          <w:rFonts w:hint="eastAsia"/>
          <w:b w:val="0"/>
          <w:bCs w:val="0"/>
        </w:rPr>
        <w:t xml:space="preserve">3.适用法律</w:t>
      </w:r>
      <w:bookmarkEnd w:id="59"/>
      <w:r/>
      <w:bookmarkEnd w:id="60"/>
      <w:r/>
      <w:bookmarkEnd w:id="61"/>
      <w:r/>
      <w:r/>
    </w:p>
    <w:p>
      <w:pPr>
        <w:ind w:firstLine="420"/>
        <w:spacing w:line="52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863"/>
        <w:ind w:firstLine="420"/>
        <w:spacing w:before="0" w:after="0" w:line="520" w:lineRule="exact"/>
        <w:rPr>
          <w:b w:val="0"/>
          <w:bCs w:val="0"/>
        </w:rPr>
      </w:pPr>
      <w:r/>
      <w:bookmarkStart w:id="62" w:name="_Toc16938523"/>
      <w:r/>
      <w:bookmarkStart w:id="63" w:name="_Toc462564067"/>
      <w:r/>
      <w:bookmarkStart w:id="64" w:name="_Toc20823279"/>
      <w:r/>
      <w:bookmarkStart w:id="65" w:name="_Toc513029207"/>
      <w:r>
        <w:rPr>
          <w:rFonts w:hint="eastAsia"/>
          <w:b w:val="0"/>
          <w:bCs w:val="0"/>
        </w:rPr>
        <w:t xml:space="preserve">4.投标费用</w:t>
      </w:r>
      <w:bookmarkEnd w:id="62"/>
      <w:r/>
      <w:bookmarkEnd w:id="63"/>
      <w:r/>
      <w:bookmarkEnd w:id="64"/>
      <w:r/>
      <w:bookmarkEnd w:id="65"/>
      <w:r/>
      <w:r/>
    </w:p>
    <w:p>
      <w:pPr>
        <w:ind w:firstLine="480"/>
        <w:spacing w:line="52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投标人应自行承担所有与参加投标有关的费用，无论投标过程中的做法和结果如何，采购人和采购代理机构在任何情况下均无义务和责任承担这些费用。</w:t>
      </w:r>
      <w:r/>
    </w:p>
    <w:p>
      <w:pPr>
        <w:pStyle w:val="863"/>
        <w:ind w:firstLine="355"/>
        <w:spacing w:before="0" w:after="0" w:line="520" w:lineRule="exact"/>
        <w:rPr>
          <w:rFonts w:ascii="宋体" w:hAnsi="宋体"/>
          <w:b w:val="0"/>
          <w:bCs w:val="0"/>
          <w:sz w:val="24"/>
        </w:rPr>
      </w:pPr>
      <w:r>
        <w:rPr>
          <w:rFonts w:hint="eastAsia" w:ascii="宋体" w:hAnsi="宋体" w:eastAsia="宋体" w:cs="宋体"/>
          <w:b w:val="0"/>
          <w:bCs w:val="0"/>
          <w:sz w:val="24"/>
        </w:rPr>
        <w:t xml:space="preserve">4.2本项目招标代理服务费分包按照《江苏省招标代理服务收费的指导意见》（苏招协（2022）002号）收费标准的</w:t>
      </w:r>
      <w:r>
        <w:rPr>
          <w:rFonts w:hint="eastAsia" w:ascii="宋体" w:hAnsi="宋体" w:eastAsia="宋体" w:cs="宋体"/>
          <w:b w:val="0"/>
          <w:bCs w:val="0"/>
          <w:sz w:val="24"/>
          <w:lang w:val="en-US" w:eastAsia="zh-CN"/>
        </w:rPr>
        <w:t xml:space="preserve">5</w:t>
      </w:r>
      <w:r>
        <w:rPr>
          <w:rFonts w:hint="eastAsia" w:ascii="宋体" w:hAnsi="宋体" w:eastAsia="宋体" w:cs="宋体"/>
          <w:b w:val="0"/>
          <w:bCs w:val="0"/>
          <w:sz w:val="24"/>
        </w:rPr>
        <w:t xml:space="preserve">0%收取，按差额定率分档累进法计算，以中标价为计算基数，此费用由供应商综合考虑在投标报价中，由成交供应商在签订合同前支付</w:t>
      </w:r>
      <w:r>
        <w:rPr>
          <w:rFonts w:hint="eastAsia" w:ascii="宋体" w:hAnsi="宋体"/>
          <w:b w:val="0"/>
          <w:bCs w:val="0"/>
          <w:sz w:val="24"/>
        </w:rPr>
        <w:t xml:space="preserve">。</w:t>
      </w:r>
      <w:r/>
    </w:p>
    <w:p>
      <w:pPr>
        <w:pStyle w:val="863"/>
        <w:ind w:firstLine="446"/>
        <w:spacing w:before="0" w:after="0" w:line="52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52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2"/>
        <w:ind w:firstLine="321"/>
        <w:spacing w:before="0" w:after="0" w:line="520" w:lineRule="exact"/>
      </w:pPr>
      <w:r/>
      <w:bookmarkStart w:id="66" w:name="_Toc20823281"/>
      <w:r/>
      <w:bookmarkStart w:id="67" w:name="_Toc513029209"/>
      <w:r/>
      <w:bookmarkStart w:id="68" w:name="_Toc120614215"/>
      <w:r/>
      <w:bookmarkStart w:id="69" w:name="_Toc16938525"/>
      <w:r>
        <w:rPr>
          <w:rFonts w:hint="eastAsia"/>
        </w:rPr>
        <w:t xml:space="preserve">二、招标文件</w:t>
      </w:r>
      <w:bookmarkEnd w:id="66"/>
      <w:r/>
      <w:bookmarkEnd w:id="67"/>
      <w:r/>
      <w:bookmarkEnd w:id="68"/>
      <w:r/>
      <w:bookmarkEnd w:id="69"/>
      <w:r/>
      <w:r/>
    </w:p>
    <w:p>
      <w:pPr>
        <w:pStyle w:val="863"/>
        <w:ind w:firstLine="420"/>
        <w:spacing w:before="0" w:after="0" w:line="520" w:lineRule="exact"/>
        <w:rPr>
          <w:b w:val="0"/>
          <w:bCs w:val="0"/>
        </w:rPr>
      </w:pPr>
      <w:r/>
      <w:bookmarkStart w:id="70" w:name="_Toc20823282"/>
      <w:r/>
      <w:bookmarkStart w:id="71" w:name="_Toc16938526"/>
      <w:r/>
      <w:bookmarkStart w:id="72" w:name="_Toc513029210"/>
      <w:r>
        <w:rPr>
          <w:rFonts w:hint="eastAsia"/>
          <w:b w:val="0"/>
          <w:bCs w:val="0"/>
        </w:rPr>
        <w:t xml:space="preserve">6.招标文件构成</w:t>
      </w:r>
      <w:bookmarkEnd w:id="70"/>
      <w:r/>
      <w:bookmarkEnd w:id="71"/>
      <w:r/>
      <w:bookmarkEnd w:id="72"/>
      <w:r/>
      <w:r/>
    </w:p>
    <w:p>
      <w:pPr>
        <w:ind w:firstLine="480"/>
        <w:spacing w:line="52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2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20" w:lineRule="exact"/>
        <w:rPr>
          <w:rFonts w:ascii="宋体" w:hAnsi="宋体"/>
          <w:sz w:val="24"/>
          <w:szCs w:val="24"/>
        </w:rPr>
      </w:pPr>
      <w:r>
        <w:rPr>
          <w:rFonts w:hint="eastAsia" w:ascii="宋体" w:hAnsi="宋体"/>
          <w:sz w:val="24"/>
          <w:szCs w:val="24"/>
        </w:rPr>
        <w:t xml:space="preserve">（2）投标人须知</w:t>
      </w:r>
      <w:r/>
    </w:p>
    <w:p>
      <w:pPr>
        <w:ind w:firstLine="360"/>
        <w:spacing w:line="520" w:lineRule="exact"/>
        <w:rPr>
          <w:rFonts w:ascii="宋体" w:hAnsi="宋体"/>
          <w:sz w:val="24"/>
          <w:szCs w:val="24"/>
        </w:rPr>
      </w:pPr>
      <w:r>
        <w:rPr>
          <w:rFonts w:hint="eastAsia" w:ascii="宋体" w:hAnsi="宋体"/>
          <w:sz w:val="24"/>
          <w:szCs w:val="24"/>
        </w:rPr>
        <w:t xml:space="preserve">（3）采购需求</w:t>
      </w:r>
      <w:r/>
    </w:p>
    <w:p>
      <w:pPr>
        <w:ind w:firstLine="360"/>
        <w:spacing w:line="520" w:lineRule="exact"/>
        <w:rPr>
          <w:sz w:val="24"/>
          <w:szCs w:val="24"/>
        </w:rPr>
      </w:pPr>
      <w:r>
        <w:rPr>
          <w:rFonts w:hint="eastAsia" w:ascii="宋体" w:hAnsi="宋体"/>
          <w:sz w:val="24"/>
          <w:szCs w:val="24"/>
        </w:rPr>
        <w:t xml:space="preserve">（4）</w:t>
      </w:r>
      <w:r>
        <w:rPr>
          <w:rFonts w:hint="eastAsia" w:hAnsi="宋体"/>
          <w:sz w:val="24"/>
          <w:szCs w:val="24"/>
        </w:rPr>
        <w:t xml:space="preserve">评标方法与评标标准</w:t>
      </w:r>
      <w:r/>
    </w:p>
    <w:p>
      <w:pPr>
        <w:ind w:firstLine="360"/>
        <w:spacing w:line="520" w:lineRule="exact"/>
        <w:rPr>
          <w:rFonts w:ascii="宋体" w:hAnsi="宋体"/>
          <w:sz w:val="24"/>
          <w:szCs w:val="24"/>
        </w:rPr>
      </w:pPr>
      <w:r>
        <w:rPr>
          <w:rFonts w:hint="eastAsia" w:ascii="宋体" w:hAnsi="宋体"/>
          <w:sz w:val="24"/>
          <w:szCs w:val="24"/>
        </w:rPr>
        <w:t xml:space="preserve">（5）投标文件格式</w:t>
      </w:r>
      <w:r/>
    </w:p>
    <w:p>
      <w:pPr>
        <w:ind w:firstLine="360"/>
        <w:spacing w:line="520" w:lineRule="exact"/>
        <w:rPr>
          <w:rFonts w:ascii="宋体" w:hAnsi="宋体"/>
          <w:sz w:val="24"/>
          <w:szCs w:val="24"/>
        </w:rPr>
      </w:pPr>
      <w:r>
        <w:rPr>
          <w:rFonts w:hint="eastAsia" w:ascii="宋体" w:hAnsi="宋体"/>
          <w:color w:val="000000"/>
          <w:sz w:val="24"/>
          <w:szCs w:val="24"/>
        </w:rPr>
        <w:t xml:space="preserve">（6）附件（如有）</w:t>
      </w:r>
      <w:r/>
    </w:p>
    <w:p>
      <w:pPr>
        <w:ind w:firstLine="480"/>
        <w:spacing w:line="520" w:lineRule="exact"/>
        <w:rPr>
          <w:rFonts w:ascii="宋体" w:hAnsi="宋体"/>
          <w:sz w:val="24"/>
        </w:rPr>
      </w:pPr>
      <w:r>
        <w:rPr>
          <w:rFonts w:hint="eastAsia" w:ascii="宋体" w:hAnsi="宋体"/>
          <w:sz w:val="24"/>
        </w:rPr>
        <w:t xml:space="preserve">请仔细检查招标文件是否齐全，如有缺漏请立即与采购人或采购代理机构联系解决。</w:t>
      </w:r>
      <w:r/>
    </w:p>
    <w:p>
      <w:pPr>
        <w:ind w:firstLine="480"/>
        <w:spacing w:line="52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560"/>
        <w:spacing w:before="0" w:after="0" w:line="520" w:lineRule="exact"/>
        <w:rPr>
          <w:b w:val="0"/>
          <w:bCs w:val="0"/>
        </w:rPr>
      </w:pPr>
      <w:r/>
      <w:bookmarkStart w:id="73" w:name="_Toc462564070"/>
      <w:r/>
      <w:bookmarkStart w:id="74" w:name="_Toc16938527"/>
      <w:r/>
      <w:bookmarkStart w:id="75" w:name="_Toc20823283"/>
      <w:r/>
      <w:bookmarkStart w:id="76" w:name="_Toc513029211"/>
      <w:r>
        <w:rPr>
          <w:rFonts w:hint="eastAsia"/>
          <w:b w:val="0"/>
          <w:bCs w:val="0"/>
        </w:rPr>
        <w:t xml:space="preserve">7.招标文件的澄清</w:t>
      </w:r>
      <w:bookmarkEnd w:id="73"/>
      <w:r/>
      <w:bookmarkEnd w:id="74"/>
      <w:r/>
      <w:bookmarkEnd w:id="75"/>
      <w:r/>
      <w:bookmarkEnd w:id="76"/>
      <w:r/>
      <w:r/>
    </w:p>
    <w:p>
      <w:pPr>
        <w:ind w:firstLine="480"/>
        <w:spacing w:line="52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p>
    <w:p>
      <w:pPr>
        <w:ind w:firstLine="480"/>
        <w:spacing w:line="520" w:lineRule="exact"/>
        <w:rPr>
          <w:rFonts w:ascii="宋体" w:hAnsi="宋体"/>
          <w:sz w:val="24"/>
          <w:szCs w:val="24"/>
        </w:rPr>
      </w:pPr>
      <w:r>
        <w:rPr>
          <w:rFonts w:hint="eastAsia" w:ascii="宋体" w:hAnsi="宋体"/>
          <w:sz w:val="24"/>
        </w:rPr>
        <w:t xml:space="preserve">7.2采购人视情组织答疑会。</w:t>
      </w:r>
      <w:r/>
    </w:p>
    <w:p>
      <w:pPr>
        <w:pStyle w:val="863"/>
        <w:ind w:firstLine="560"/>
        <w:spacing w:before="0" w:after="0" w:line="520" w:lineRule="exact"/>
        <w:rPr>
          <w:b w:val="0"/>
          <w:bCs w:val="0"/>
        </w:rPr>
      </w:pPr>
      <w:r/>
      <w:bookmarkStart w:id="77" w:name="_Toc462564071"/>
      <w:r/>
      <w:bookmarkStart w:id="78" w:name="_Toc513029212"/>
      <w:r/>
      <w:bookmarkStart w:id="79" w:name="_Toc16938528"/>
      <w:r/>
      <w:bookmarkStart w:id="80" w:name="_Toc20823284"/>
      <w:r>
        <w:rPr>
          <w:rFonts w:hint="eastAsia"/>
          <w:b w:val="0"/>
          <w:bCs w:val="0"/>
        </w:rPr>
        <w:t xml:space="preserve">8.招标文件的修改</w:t>
      </w:r>
      <w:bookmarkEnd w:id="77"/>
      <w:r/>
      <w:bookmarkEnd w:id="78"/>
      <w:r/>
      <w:bookmarkEnd w:id="79"/>
      <w:r/>
      <w:bookmarkEnd w:id="80"/>
      <w:r/>
      <w:r/>
    </w:p>
    <w:p>
      <w:pPr>
        <w:ind w:firstLine="480"/>
        <w:spacing w:line="52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p>
    <w:p>
      <w:pPr>
        <w:ind w:firstLine="480"/>
        <w:spacing w:line="520" w:lineRule="exact"/>
        <w:rPr>
          <w:rFonts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20" w:lineRule="exact"/>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2"/>
        <w:ind w:firstLine="482"/>
        <w:spacing w:before="0" w:after="0" w:line="520" w:lineRule="exact"/>
      </w:pPr>
      <w:r/>
      <w:bookmarkStart w:id="81" w:name="_Toc16938529"/>
      <w:r/>
      <w:bookmarkStart w:id="82" w:name="_Toc462564072"/>
      <w:r/>
      <w:bookmarkStart w:id="83" w:name="_Toc513029213"/>
      <w:r/>
      <w:bookmarkStart w:id="84" w:name="_Toc120614216"/>
      <w:r/>
      <w:bookmarkStart w:id="85" w:name="_Toc20823285"/>
      <w:r>
        <w:rPr>
          <w:rFonts w:hint="eastAsia"/>
        </w:rPr>
        <w:t xml:space="preserve">三、投标文件的编制</w:t>
      </w:r>
      <w:bookmarkEnd w:id="81"/>
      <w:r/>
      <w:bookmarkEnd w:id="82"/>
      <w:r/>
      <w:bookmarkEnd w:id="83"/>
      <w:r/>
      <w:bookmarkEnd w:id="84"/>
      <w:r/>
      <w:bookmarkEnd w:id="85"/>
      <w:r/>
      <w:r/>
    </w:p>
    <w:p>
      <w:pPr>
        <w:pStyle w:val="863"/>
        <w:ind w:firstLine="560"/>
        <w:spacing w:before="0" w:after="0" w:line="520" w:lineRule="exact"/>
        <w:rPr>
          <w:bCs w:val="0"/>
        </w:rPr>
      </w:pPr>
      <w:r/>
      <w:bookmarkStart w:id="86" w:name="_Toc20823286"/>
      <w:r/>
      <w:bookmarkStart w:id="87" w:name="_Toc513029214"/>
      <w:r/>
      <w:bookmarkStart w:id="88" w:name="_Toc16938530"/>
      <w:r/>
      <w:bookmarkStart w:id="89" w:name="_Toc462564073"/>
      <w:r>
        <w:rPr>
          <w:rFonts w:hint="eastAsia"/>
          <w:b w:val="0"/>
          <w:bCs w:val="0"/>
        </w:rPr>
        <w:t xml:space="preserve">9.投标文件的语言及度量衡单位</w:t>
      </w:r>
      <w:bookmarkEnd w:id="86"/>
      <w:r/>
      <w:bookmarkEnd w:id="87"/>
      <w:r/>
      <w:bookmarkEnd w:id="88"/>
      <w:r/>
      <w:bookmarkEnd w:id="89"/>
      <w:r/>
      <w:r/>
    </w:p>
    <w:p>
      <w:pPr>
        <w:ind w:firstLine="480"/>
        <w:spacing w:line="52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63"/>
        <w:ind w:firstLine="420"/>
        <w:spacing w:before="0" w:after="0" w:line="520" w:lineRule="exact"/>
        <w:rPr>
          <w:b w:val="0"/>
          <w:bCs w:val="0"/>
        </w:rPr>
      </w:pPr>
      <w:r/>
      <w:bookmarkStart w:id="90" w:name="_Toc16938531"/>
      <w:r/>
      <w:bookmarkStart w:id="91" w:name="_Toc20823287"/>
      <w:r/>
      <w:bookmarkStart w:id="92" w:name="_Toc513029215"/>
      <w:r/>
      <w:bookmarkStart w:id="93" w:name="_Toc462564074"/>
      <w:r>
        <w:rPr>
          <w:rFonts w:hint="eastAsia"/>
          <w:b w:val="0"/>
          <w:bCs w:val="0"/>
        </w:rPr>
        <w:t xml:space="preserve">10.投标文件构成</w:t>
      </w:r>
      <w:bookmarkEnd w:id="90"/>
      <w:r/>
      <w:bookmarkEnd w:id="91"/>
      <w:r/>
      <w:bookmarkEnd w:id="92"/>
      <w:r/>
      <w:bookmarkEnd w:id="93"/>
      <w:r/>
      <w:r/>
    </w:p>
    <w:p>
      <w:pPr>
        <w:ind w:firstLine="480"/>
        <w:spacing w:line="52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63"/>
        <w:ind w:firstLine="420"/>
        <w:spacing w:before="0" w:after="0" w:line="520" w:lineRule="exact"/>
        <w:rPr>
          <w:b w:val="0"/>
          <w:bCs w:val="0"/>
        </w:rPr>
      </w:pPr>
      <w:r/>
      <w:bookmarkStart w:id="94" w:name="_Hlt26954838"/>
      <w:r/>
      <w:bookmarkEnd w:id="94"/>
      <w:r/>
      <w:bookmarkStart w:id="95" w:name="_Hlt26668975"/>
      <w:r/>
      <w:bookmarkEnd w:id="95"/>
      <w:r/>
      <w:bookmarkStart w:id="96" w:name="_Hlt26670360"/>
      <w:r/>
      <w:bookmarkEnd w:id="96"/>
      <w:r/>
      <w:bookmarkStart w:id="97" w:name="_Toc14577357"/>
      <w:r/>
      <w:bookmarkStart w:id="98" w:name="_Toc513029219"/>
      <w:r/>
      <w:bookmarkStart w:id="99" w:name="_Toc49090507"/>
      <w:r/>
      <w:bookmarkStart w:id="100" w:name="_Toc513029216"/>
      <w:r/>
      <w:bookmarkStart w:id="101" w:name="_Toc49090509"/>
      <w:r/>
      <w:bookmarkStart w:id="102" w:name="_Toc14577354"/>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52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3"/>
        <w:ind w:firstLine="420"/>
        <w:spacing w:before="0" w:after="0" w:line="520" w:lineRule="exact"/>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2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0"/>
        <w:spacing w:before="0" w:after="0" w:line="520" w:lineRule="exact"/>
        <w:rPr>
          <w:b w:val="0"/>
          <w:bCs w:val="0"/>
        </w:rPr>
      </w:pPr>
      <w:r/>
      <w:bookmarkStart w:id="108" w:name="_Hlt26670486"/>
      <w:r/>
      <w:bookmarkEnd w:id="108"/>
      <w:r/>
      <w:bookmarkStart w:id="109" w:name="_Hlt26954842"/>
      <w:r/>
      <w:bookmarkEnd w:id="109"/>
      <w:r/>
      <w:bookmarkStart w:id="110" w:name="_Hlt26670403"/>
      <w:r/>
      <w:bookmarkEnd w:id="110"/>
      <w:r/>
      <w:bookmarkStart w:id="111" w:name="_Hlt26670425"/>
      <w:r/>
      <w:bookmarkEnd w:id="111"/>
      <w:r/>
      <w:bookmarkStart w:id="112" w:name="_Hlt26954846"/>
      <w:r/>
      <w:bookmarkEnd w:id="112"/>
      <w:r/>
      <w:bookmarkStart w:id="113" w:name="_Hlt26668983"/>
      <w:r/>
      <w:bookmarkEnd w:id="113"/>
      <w:r/>
      <w:bookmarkStart w:id="114" w:name="_Hlt26954844"/>
      <w:r/>
      <w:bookmarkEnd w:id="114"/>
      <w:r/>
      <w:bookmarkStart w:id="115" w:name="_Hlt26954731"/>
      <w:r/>
      <w:bookmarkEnd w:id="115"/>
      <w:r/>
      <w:bookmarkStart w:id="116" w:name="_Hlt26954848"/>
      <w:r/>
      <w:bookmarkEnd w:id="116"/>
      <w:r/>
      <w:bookmarkStart w:id="117" w:name="_Hlt26670482"/>
      <w:r/>
      <w:bookmarkEnd w:id="117"/>
      <w:r>
        <w:rPr>
          <w:rFonts w:hint="eastAsia"/>
          <w:b w:val="0"/>
          <w:bCs w:val="0"/>
        </w:rPr>
        <w:t xml:space="preserve">13.技术要求响应及偏离表、商务要求响应及偏离表</w:t>
      </w:r>
      <w:r/>
    </w:p>
    <w:p>
      <w:pPr>
        <w:ind w:firstLine="480"/>
        <w:spacing w:line="52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63"/>
        <w:ind w:firstLine="420"/>
        <w:spacing w:before="0" w:after="0" w:line="520" w:lineRule="exact"/>
        <w:rPr>
          <w:b w:val="0"/>
          <w:bCs w:val="0"/>
        </w:rPr>
      </w:pPr>
      <w:r/>
      <w:bookmarkStart w:id="118" w:name="_Toc49090510"/>
      <w:r/>
      <w:bookmarkStart w:id="119" w:name="_Toc14577359"/>
      <w:r>
        <w:rPr>
          <w:rFonts w:hint="eastAsia"/>
          <w:b w:val="0"/>
          <w:bCs w:val="0"/>
        </w:rPr>
        <w:t xml:space="preserve">14.投标函和开标一览表</w:t>
      </w:r>
      <w:r/>
    </w:p>
    <w:p>
      <w:pPr>
        <w:ind w:firstLine="480"/>
        <w:spacing w:line="52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2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863"/>
        <w:ind w:firstLine="420"/>
        <w:spacing w:before="0" w:after="0" w:line="520" w:lineRule="exact"/>
        <w:rPr>
          <w:b w:val="0"/>
          <w:bCs w:val="0"/>
        </w:rPr>
      </w:pPr>
      <w:r/>
      <w:bookmarkStart w:id="120" w:name="_Hlt26954850"/>
      <w:r/>
      <w:bookmarkEnd w:id="120"/>
      <w:r/>
      <w:bookmarkStart w:id="121" w:name="_Hlt26954734"/>
      <w:r/>
      <w:bookmarkEnd w:id="121"/>
      <w:r/>
      <w:bookmarkStart w:id="122" w:name="_Hlt26670489"/>
      <w:r/>
      <w:bookmarkEnd w:id="122"/>
      <w:r/>
      <w:bookmarkStart w:id="123" w:name="_Toc49090511"/>
      <w:r/>
      <w:bookmarkStart w:id="124" w:name="_Toc14577360"/>
      <w:r>
        <w:rPr>
          <w:rFonts w:hint="eastAsia"/>
          <w:b w:val="0"/>
          <w:bCs w:val="0"/>
        </w:rPr>
        <w:t xml:space="preserve">15.投标有效期</w:t>
      </w:r>
      <w:bookmarkEnd w:id="123"/>
      <w:r/>
      <w:bookmarkEnd w:id="124"/>
      <w:r/>
      <w:r/>
    </w:p>
    <w:p>
      <w:pPr>
        <w:ind w:firstLine="480"/>
        <w:spacing w:line="52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0"/>
        <w:spacing w:before="0" w:after="0" w:line="520" w:lineRule="exact"/>
        <w:rPr>
          <w:b w:val="0"/>
          <w:bCs w:val="0"/>
          <w:highlight w:val="none"/>
        </w:rPr>
      </w:pPr>
      <w:r>
        <w:rPr>
          <w:rFonts w:hint="eastAsia"/>
          <w:b w:val="0"/>
          <w:bCs w:val="0"/>
        </w:rPr>
        <w:t xml:space="preserve">16.</w:t>
      </w:r>
      <w:r>
        <w:rPr>
          <w:rFonts w:hint="eastAsia"/>
          <w:b w:val="0"/>
          <w:bCs w:val="0"/>
          <w:highlight w:val="none"/>
        </w:rPr>
        <w:t xml:space="preserve">投标有效期的延长</w:t>
      </w:r>
      <w:r/>
    </w:p>
    <w:p>
      <w:pPr>
        <w:ind w:firstLine="480"/>
        <w:spacing w:line="520" w:lineRule="exact"/>
        <w:rPr>
          <w:rFonts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862"/>
        <w:spacing w:before="0" w:after="0" w:line="520" w:lineRule="exact"/>
        <w:rPr>
          <w:highlight w:val="none"/>
        </w:rPr>
      </w:pPr>
      <w:r/>
      <w:bookmarkStart w:id="125" w:name="_Hlt26954852"/>
      <w:r/>
      <w:bookmarkEnd w:id="125"/>
      <w:r/>
      <w:bookmarkStart w:id="126" w:name="_Hlt26954739"/>
      <w:r/>
      <w:bookmarkEnd w:id="126"/>
      <w:r/>
      <w:bookmarkStart w:id="127" w:name="_Toc513029224"/>
      <w:r/>
      <w:bookmarkStart w:id="128" w:name="_Toc16938540"/>
      <w:r/>
      <w:bookmarkStart w:id="129" w:name="_Toc120614217"/>
      <w:r/>
      <w:bookmarkStart w:id="130" w:name="_Toc20823296"/>
      <w:r>
        <w:rPr>
          <w:rFonts w:hint="eastAsia"/>
          <w:highlight w:val="none"/>
        </w:rPr>
        <w:t xml:space="preserve">四、投标文件的递交</w:t>
      </w:r>
      <w:bookmarkEnd w:id="127"/>
      <w:r/>
      <w:bookmarkEnd w:id="128"/>
      <w:r/>
      <w:bookmarkEnd w:id="129"/>
      <w:r/>
      <w:bookmarkEnd w:id="130"/>
      <w:r/>
      <w:r/>
    </w:p>
    <w:p>
      <w:pPr>
        <w:pStyle w:val="863"/>
        <w:ind w:firstLine="560"/>
        <w:spacing w:before="0" w:after="0" w:line="520" w:lineRule="exact"/>
        <w:rPr>
          <w:rFonts w:ascii="黑体"/>
          <w:b w:val="0"/>
          <w:bCs w:val="0"/>
          <w:highlight w:val="none"/>
        </w:rPr>
      </w:pPr>
      <w:r/>
      <w:bookmarkStart w:id="131" w:name="_Toc20823297"/>
      <w:r/>
      <w:bookmarkStart w:id="132" w:name="_Toc462564084"/>
      <w:r/>
      <w:bookmarkStart w:id="133" w:name="_Toc16938541"/>
      <w:r/>
      <w:bookmarkStart w:id="134" w:name="_Toc513029225"/>
      <w:r>
        <w:rPr>
          <w:rFonts w:hint="eastAsia"/>
          <w:b w:val="0"/>
          <w:bCs w:val="0"/>
          <w:highlight w:val="none"/>
        </w:rPr>
        <w:t xml:space="preserve">17.</w:t>
      </w:r>
      <w:r>
        <w:rPr>
          <w:rFonts w:hint="eastAsia" w:ascii="黑体"/>
          <w:b w:val="0"/>
          <w:bCs w:val="0"/>
          <w:highlight w:val="none"/>
        </w:rPr>
        <w:t xml:space="preserve">投标文件</w:t>
      </w:r>
      <w:bookmarkEnd w:id="131"/>
      <w:r/>
      <w:bookmarkEnd w:id="132"/>
      <w:r/>
      <w:bookmarkEnd w:id="133"/>
      <w:r/>
      <w:bookmarkEnd w:id="134"/>
      <w:r>
        <w:rPr>
          <w:rFonts w:hint="eastAsia" w:ascii="黑体"/>
          <w:b w:val="0"/>
          <w:bCs w:val="0"/>
          <w:highlight w:val="none"/>
        </w:rPr>
        <w:t xml:space="preserve">的递交</w:t>
      </w:r>
      <w:r/>
    </w:p>
    <w:p>
      <w:pPr>
        <w:ind w:firstLine="480"/>
        <w:spacing w:line="520" w:lineRule="exact"/>
        <w:rPr>
          <w:rFonts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电子投标文件的递交</w:t>
      </w:r>
      <w:r/>
    </w:p>
    <w:p>
      <w:pPr>
        <w:pStyle w:val="932"/>
        <w:ind w:left="525"/>
        <w:spacing w:line="520" w:lineRule="exact"/>
        <w:rPr>
          <w:rFonts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5" w:name="_Toc513029226"/>
      <w:r/>
      <w:bookmarkStart w:id="136" w:name="_Toc16938542"/>
      <w:r/>
      <w:bookmarkStart w:id="137" w:name="_Toc20823298"/>
      <w:r/>
      <w:r/>
    </w:p>
    <w:p>
      <w:pPr>
        <w:pStyle w:val="863"/>
        <w:ind w:firstLine="420"/>
        <w:spacing w:before="0" w:after="0" w:line="520" w:lineRule="exact"/>
        <w:rPr>
          <w:b w:val="0"/>
          <w:highlight w:val="none"/>
        </w:rPr>
      </w:pPr>
      <w:r>
        <w:rPr>
          <w:rFonts w:hint="eastAsia"/>
          <w:b w:val="0"/>
          <w:highlight w:val="none"/>
        </w:rPr>
        <w:t xml:space="preserve">18.投标截止</w:t>
      </w:r>
      <w:bookmarkEnd w:id="135"/>
      <w:r/>
      <w:bookmarkEnd w:id="136"/>
      <w:r/>
      <w:bookmarkEnd w:id="137"/>
      <w:r>
        <w:rPr>
          <w:rFonts w:hint="eastAsia"/>
          <w:b w:val="0"/>
          <w:highlight w:val="none"/>
        </w:rPr>
        <w:t xml:space="preserve">时间</w:t>
      </w:r>
      <w:r/>
    </w:p>
    <w:p>
      <w:pPr>
        <w:ind w:firstLine="482"/>
        <w:spacing w:line="520" w:lineRule="exact"/>
        <w:rPr>
          <w:rFonts w:ascii="宋体" w:hAnsi="宋体"/>
          <w:b/>
          <w:bCs/>
          <w:sz w:val="24"/>
          <w:highlight w:val="none"/>
          <w:u w:val="single"/>
        </w:rPr>
      </w:pPr>
      <w:r>
        <w:rPr>
          <w:rFonts w:hint="eastAsia" w:ascii="宋体" w:hAnsi="宋体"/>
          <w:b/>
          <w:sz w:val="24"/>
          <w:highlight w:val="none"/>
          <w:u w:val="single"/>
        </w:rPr>
        <w:t xml:space="preserve">18.1</w:t>
      </w:r>
      <w:r>
        <w:rPr>
          <w:rFonts w:hint="eastAsia" w:ascii="宋体" w:hAnsi="宋体"/>
          <w:b/>
          <w:bCs/>
          <w:sz w:val="24"/>
          <w:highlight w:val="none"/>
          <w:u w:val="single"/>
        </w:rPr>
        <w:t xml:space="preserve">投标人上传电子投标文件的时间不得迟于招标公告中规定的投标截止时间。</w:t>
      </w:r>
      <w:r/>
    </w:p>
    <w:p>
      <w:pPr>
        <w:ind w:firstLine="480"/>
        <w:spacing w:line="520" w:lineRule="exact"/>
        <w:rPr>
          <w:rFonts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 采购人可以按照规定，通过修改招标文件酌情延长投标截止时间，在此情况下，投标人的所有权利和义务以及投标人受制的截止时间均应以延长后新的截止时间为准。</w:t>
      </w:r>
      <w:r/>
    </w:p>
    <w:p>
      <w:pPr>
        <w:pStyle w:val="863"/>
        <w:ind w:firstLine="420"/>
        <w:spacing w:before="0" w:after="0" w:line="520" w:lineRule="exact"/>
        <w:rPr>
          <w:b w:val="0"/>
          <w:bCs w:val="0"/>
          <w:highlight w:val="none"/>
        </w:rPr>
      </w:pPr>
      <w:r/>
      <w:bookmarkStart w:id="138" w:name="_Toc16938543"/>
      <w:r/>
      <w:bookmarkStart w:id="139" w:name="_Toc20823299"/>
      <w:r/>
      <w:bookmarkStart w:id="140" w:name="_Toc513029227"/>
      <w:r>
        <w:rPr>
          <w:rFonts w:hint="eastAsia"/>
          <w:b w:val="0"/>
          <w:bCs w:val="0"/>
          <w:highlight w:val="none"/>
        </w:rPr>
        <w:t xml:space="preserve">19.投标文件</w:t>
      </w:r>
      <w:bookmarkEnd w:id="138"/>
      <w:r/>
      <w:bookmarkEnd w:id="139"/>
      <w:r/>
      <w:bookmarkEnd w:id="140"/>
      <w:r>
        <w:rPr>
          <w:rFonts w:hint="eastAsia"/>
          <w:b w:val="0"/>
          <w:bCs w:val="0"/>
          <w:highlight w:val="none"/>
        </w:rPr>
        <w:t xml:space="preserve">的拒收</w:t>
      </w:r>
      <w:r/>
    </w:p>
    <w:p>
      <w:pPr>
        <w:ind w:firstLine="480"/>
        <w:spacing w:line="520" w:lineRule="exact"/>
        <w:rPr>
          <w:rFonts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采购人拒绝接收在其规定的投标截止时间后上传的任何投标文件。</w:t>
      </w:r>
      <w:r/>
    </w:p>
    <w:p>
      <w:pPr>
        <w:pStyle w:val="863"/>
        <w:ind w:firstLine="420"/>
        <w:spacing w:before="0" w:after="0" w:line="520" w:lineRule="exact"/>
        <w:rPr>
          <w:b w:val="0"/>
          <w:bCs w:val="0"/>
          <w:highlight w:val="none"/>
        </w:rPr>
      </w:pPr>
      <w:r/>
      <w:bookmarkStart w:id="141" w:name="_Toc20823300"/>
      <w:r/>
      <w:bookmarkStart w:id="142" w:name="_Toc513029228"/>
      <w:r/>
      <w:bookmarkStart w:id="143" w:name="_Toc16938544"/>
      <w:r>
        <w:rPr>
          <w:rFonts w:hint="eastAsia"/>
          <w:b w:val="0"/>
          <w:bCs w:val="0"/>
          <w:highlight w:val="none"/>
        </w:rPr>
        <w:t xml:space="preserve">20.投标文件的撤回和修改</w:t>
      </w:r>
      <w:bookmarkEnd w:id="141"/>
      <w:r/>
      <w:bookmarkEnd w:id="142"/>
      <w:r/>
      <w:bookmarkEnd w:id="143"/>
      <w:r/>
      <w:r/>
    </w:p>
    <w:p>
      <w:pPr>
        <w:ind w:firstLine="480"/>
        <w:spacing w:line="520" w:lineRule="exact"/>
        <w:rPr>
          <w:rFonts w:ascii="宋体" w:hAnsi="宋体"/>
          <w:sz w:val="24"/>
          <w:highlight w:val="none"/>
        </w:rPr>
      </w:pPr>
      <w:r>
        <w:rPr>
          <w:rFonts w:hint="eastAsia" w:ascii="宋体" w:hAnsi="宋体"/>
          <w:sz w:val="24"/>
          <w:highlight w:val="none"/>
        </w:rPr>
        <w:t xml:space="preserve">20.1 投标文件的撤回</w:t>
      </w:r>
      <w:r/>
    </w:p>
    <w:p>
      <w:pPr>
        <w:ind w:firstLine="480"/>
        <w:spacing w:line="52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p>
    <w:p>
      <w:pPr>
        <w:ind w:firstLine="480"/>
        <w:spacing w:line="520" w:lineRule="exact"/>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20.2 投标文件的修改</w:t>
      </w:r>
      <w:r/>
    </w:p>
    <w:p>
      <w:pPr>
        <w:ind w:firstLine="480"/>
        <w:spacing w:line="520" w:lineRule="exact"/>
        <w:rPr>
          <w:rFonts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20" w:lineRule="exact"/>
        <w:rPr>
          <w:rFonts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 在投标截止时间之后，投标人不得对其电子投标文件作任何修改。</w:t>
      </w:r>
      <w:r/>
    </w:p>
    <w:p>
      <w:pPr>
        <w:ind w:firstLine="480"/>
        <w:spacing w:line="520" w:lineRule="exact"/>
        <w:rPr>
          <w:rFonts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862"/>
        <w:ind w:firstLine="482"/>
        <w:spacing w:before="0" w:after="0" w:line="520" w:lineRule="exact"/>
        <w:rPr>
          <w:highlight w:val="none"/>
        </w:rPr>
      </w:pPr>
      <w:r/>
      <w:bookmarkStart w:id="144" w:name="_Toc20823301"/>
      <w:r/>
      <w:bookmarkStart w:id="145" w:name="_Toc120614218"/>
      <w:r/>
      <w:bookmarkStart w:id="146" w:name="_Toc513029229"/>
      <w:r/>
      <w:bookmarkStart w:id="147" w:name="_Toc16938545"/>
      <w:r>
        <w:rPr>
          <w:rFonts w:hint="eastAsia"/>
          <w:highlight w:val="none"/>
        </w:rPr>
        <w:t xml:space="preserve">五、开标与评标</w:t>
      </w:r>
      <w:bookmarkEnd w:id="144"/>
      <w:r/>
      <w:bookmarkEnd w:id="145"/>
      <w:r/>
      <w:bookmarkEnd w:id="146"/>
      <w:r/>
      <w:bookmarkEnd w:id="147"/>
      <w:r/>
      <w:r/>
    </w:p>
    <w:p>
      <w:pPr>
        <w:pStyle w:val="863"/>
        <w:ind w:firstLine="420"/>
        <w:spacing w:before="0" w:after="0" w:line="520" w:lineRule="exact"/>
        <w:rPr>
          <w:b w:val="0"/>
          <w:bCs w:val="0"/>
          <w:highlight w:val="none"/>
        </w:rPr>
      </w:pPr>
      <w:r/>
      <w:bookmarkStart w:id="148" w:name="_Toc513029230"/>
      <w:r/>
      <w:bookmarkStart w:id="149" w:name="_Toc20823302"/>
      <w:r/>
      <w:bookmarkStart w:id="150" w:name="_Toc16938546"/>
      <w:r>
        <w:rPr>
          <w:rFonts w:hint="eastAsia"/>
          <w:b w:val="0"/>
          <w:bCs w:val="0"/>
          <w:highlight w:val="none"/>
        </w:rPr>
        <w:t xml:space="preserve">21.开标</w:t>
      </w:r>
      <w:bookmarkEnd w:id="148"/>
      <w:r/>
      <w:bookmarkEnd w:id="149"/>
      <w:r/>
      <w:bookmarkEnd w:id="150"/>
      <w:r/>
      <w:r/>
    </w:p>
    <w:p>
      <w:pPr>
        <w:ind w:firstLine="360"/>
        <w:spacing w:line="520" w:lineRule="exact"/>
        <w:rPr>
          <w:highlight w:val="none"/>
        </w:rPr>
      </w:pPr>
      <w:r>
        <w:rPr>
          <w:rFonts w:hint="eastAsia" w:ascii="宋体" w:hAnsi="宋体"/>
          <w:sz w:val="24"/>
          <w:highlight w:val="none"/>
        </w:rPr>
        <w:t xml:space="preserve">21.1</w:t>
      </w:r>
      <w:r>
        <w:rPr>
          <w:rFonts w:hint="eastAsia" w:ascii="宋体" w:hAnsi="宋体"/>
          <w:bCs/>
          <w:sz w:val="24"/>
          <w:highlight w:val="none"/>
        </w:rPr>
        <w:t xml:space="preserve">采购代理机构将在招标公告中规定的时间和地点组织公开开标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520" w:lineRule="exact"/>
        <w:rPr>
          <w:rFonts w:ascii="宋体" w:hAnsi="宋体"/>
          <w:sz w:val="24"/>
          <w:szCs w:val="24"/>
          <w:highlight w:val="none"/>
        </w:rPr>
      </w:pPr>
      <w:r>
        <w:rPr>
          <w:rFonts w:hint="eastAsia" w:ascii="宋体" w:hAnsi="宋体"/>
          <w:bCs/>
          <w:sz w:val="24"/>
          <w:szCs w:val="24"/>
          <w:highlight w:val="none"/>
        </w:rPr>
        <w:t xml:space="preserve">21.2</w:t>
      </w:r>
      <w:r>
        <w:rPr>
          <w:rFonts w:hint="eastAsia" w:ascii="宋体" w:hAnsi="宋体"/>
          <w:sz w:val="24"/>
          <w:szCs w:val="24"/>
          <w:highlight w:val="none"/>
        </w:rPr>
        <w:t xml:space="preserve">开标仪式由</w:t>
      </w:r>
      <w:r>
        <w:rPr>
          <w:rFonts w:hint="eastAsia" w:ascii="宋体" w:hAnsi="宋体"/>
          <w:bCs/>
          <w:sz w:val="24"/>
          <w:highlight w:val="none"/>
        </w:rPr>
        <w:t xml:space="preserve">采购代理机构</w:t>
      </w:r>
      <w:r>
        <w:rPr>
          <w:rFonts w:hint="eastAsia" w:ascii="宋体" w:hAnsi="宋体"/>
          <w:sz w:val="24"/>
          <w:szCs w:val="24"/>
          <w:highlight w:val="none"/>
        </w:rPr>
        <w:t xml:space="preserve">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520" w:lineRule="exact"/>
        <w:rPr>
          <w:rFonts w:ascii="宋体" w:hAnsi="宋体"/>
          <w:sz w:val="24"/>
          <w:szCs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3"/>
        <w:ind w:firstLine="420"/>
        <w:spacing w:before="0" w:after="0" w:line="520" w:lineRule="exact"/>
        <w:rPr>
          <w:b w:val="0"/>
          <w:bCs w:val="0"/>
          <w:highlight w:val="none"/>
        </w:rPr>
      </w:pPr>
      <w:r/>
      <w:bookmarkStart w:id="151" w:name="_Toc513029231"/>
      <w:r/>
      <w:bookmarkStart w:id="152" w:name="_Toc20823303"/>
      <w:r/>
      <w:bookmarkStart w:id="153" w:name="_Toc16938547"/>
      <w:r>
        <w:rPr>
          <w:rFonts w:hint="eastAsia"/>
          <w:b w:val="0"/>
          <w:bCs w:val="0"/>
          <w:highlight w:val="none"/>
        </w:rPr>
        <w:t xml:space="preserve">22.评标委员会</w:t>
      </w:r>
      <w:r/>
    </w:p>
    <w:p>
      <w:pPr>
        <w:spacing w:line="520" w:lineRule="exact"/>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22.1开标后，</w:t>
      </w:r>
      <w:r>
        <w:rPr>
          <w:rFonts w:hint="eastAsia" w:ascii="宋体" w:hAnsi="宋体"/>
          <w:bCs/>
          <w:sz w:val="24"/>
          <w:highlight w:val="none"/>
        </w:rPr>
        <w:t xml:space="preserve">采购代理机构</w:t>
      </w:r>
      <w:r>
        <w:rPr>
          <w:rFonts w:hint="eastAsia" w:ascii="宋体" w:hAnsi="宋体"/>
          <w:sz w:val="24"/>
          <w:szCs w:val="24"/>
          <w:highlight w:val="none"/>
        </w:rPr>
        <w:t xml:space="preserve">将立即组织评标委员会（以下简称评委会）进行评标。</w:t>
      </w:r>
      <w:r/>
    </w:p>
    <w:p>
      <w:pPr>
        <w:spacing w:line="52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22.2评委会由采购人代表和有关技术、经济等方面的专家组成，且人员构成符合政府采购有关规定。</w:t>
      </w:r>
      <w:r/>
    </w:p>
    <w:p>
      <w:pPr>
        <w:spacing w:line="52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22.3评委会独立工作，负责评审所有投标文件并确定中标侯选人。</w:t>
      </w:r>
      <w:r/>
    </w:p>
    <w:p>
      <w:pPr>
        <w:pStyle w:val="863"/>
        <w:ind w:firstLine="420"/>
        <w:spacing w:before="0" w:after="0" w:line="520" w:lineRule="exact"/>
        <w:rPr>
          <w:rFonts w:ascii="黑体"/>
          <w:b w:val="0"/>
          <w:bCs w:val="0"/>
          <w:highlight w:val="none"/>
        </w:rPr>
      </w:pPr>
      <w:r>
        <w:rPr>
          <w:rFonts w:hint="eastAsia" w:ascii="黑体"/>
          <w:b w:val="0"/>
          <w:bCs w:val="0"/>
          <w:highlight w:val="none"/>
        </w:rPr>
        <w:t xml:space="preserve">23.评标过程的保密与公正</w:t>
      </w:r>
      <w:bookmarkEnd w:id="151"/>
      <w:r/>
      <w:bookmarkEnd w:id="152"/>
      <w:r/>
      <w:bookmarkEnd w:id="153"/>
      <w:r/>
      <w:r/>
    </w:p>
    <w:p>
      <w:pPr>
        <w:ind w:firstLine="480"/>
        <w:spacing w:line="520" w:lineRule="exact"/>
        <w:rPr>
          <w:rFonts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凡是与审查、澄清、评价和比较投标的有关资料以及授标建议等，采购人、评委均不得向投标人或与评标无关的其他人员透露。</w:t>
      </w:r>
      <w:r/>
    </w:p>
    <w:p>
      <w:pPr>
        <w:ind w:firstLine="480"/>
        <w:spacing w:line="520" w:lineRule="exact"/>
        <w:rPr>
          <w:rFonts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采购人和评标委员会不向未中标的投标人解释未中标原因，也不公布评标过程中的相关细节。</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采用综合评分法的项目，未中标的投标人可于中标结果公告期限届满之日起通过苏采云系统查看自己的评审得分及排序情况。</w:t>
      </w:r>
      <w:r/>
    </w:p>
    <w:p>
      <w:pPr>
        <w:pStyle w:val="863"/>
        <w:ind w:firstLine="420"/>
        <w:spacing w:before="0" w:after="0" w:line="520" w:lineRule="exact"/>
        <w:rPr>
          <w:b w:val="0"/>
          <w:bCs w:val="0"/>
          <w:highlight w:val="none"/>
        </w:rPr>
      </w:pPr>
      <w:r/>
      <w:bookmarkStart w:id="154" w:name="_Toc20823304"/>
      <w:r/>
      <w:bookmarkStart w:id="155" w:name="_Toc16938548"/>
      <w:r/>
      <w:bookmarkStart w:id="156" w:name="_Toc513029232"/>
      <w:r>
        <w:rPr>
          <w:rFonts w:hint="eastAsia"/>
          <w:b w:val="0"/>
          <w:bCs w:val="0"/>
          <w:highlight w:val="none"/>
        </w:rPr>
        <w:t xml:space="preserve">24.投标文件的澄清</w:t>
      </w:r>
      <w:bookmarkEnd w:id="154"/>
      <w:r/>
      <w:bookmarkEnd w:id="155"/>
      <w:r/>
      <w:bookmarkEnd w:id="156"/>
      <w:r/>
      <w:r/>
    </w:p>
    <w:p>
      <w:pPr>
        <w:ind w:firstLine="48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20" w:lineRule="exact"/>
        <w:rPr>
          <w:rFonts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p>
    <w:p>
      <w:pPr>
        <w:pStyle w:val="863"/>
        <w:ind w:firstLine="420"/>
        <w:spacing w:before="0" w:after="0" w:line="520" w:lineRule="exact"/>
        <w:rPr>
          <w:b w:val="0"/>
          <w:bCs w:val="0"/>
          <w:highlight w:val="none"/>
        </w:rPr>
      </w:pPr>
      <w:r/>
      <w:bookmarkStart w:id="157" w:name="_Toc20823305"/>
      <w:r/>
      <w:bookmarkStart w:id="158" w:name="_Toc16938549"/>
      <w:r/>
      <w:bookmarkStart w:id="159" w:name="_Toc513029233"/>
      <w:r>
        <w:rPr>
          <w:rFonts w:hint="eastAsia"/>
          <w:b w:val="0"/>
          <w:bCs w:val="0"/>
          <w:highlight w:val="none"/>
        </w:rPr>
        <w:t xml:space="preserve">25.对投标文件的初审</w:t>
      </w:r>
      <w:bookmarkEnd w:id="157"/>
      <w:r/>
      <w:bookmarkEnd w:id="158"/>
      <w:r/>
      <w:bookmarkEnd w:id="159"/>
      <w:r/>
      <w:r/>
    </w:p>
    <w:p>
      <w:pPr>
        <w:ind w:firstLine="480"/>
        <w:spacing w:line="520" w:lineRule="exact"/>
        <w:rPr>
          <w:rFonts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20" w:lineRule="exact"/>
        <w:rPr>
          <w:rFonts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w:t>
      </w:r>
      <w:r>
        <w:rPr>
          <w:rFonts w:hint="eastAsia" w:ascii="宋体" w:hAnsi="宋体"/>
          <w:sz w:val="24"/>
          <w:szCs w:val="24"/>
          <w:highlight w:val="none"/>
        </w:rPr>
        <w:t xml:space="preserve">采购代理机构</w:t>
      </w:r>
      <w:r>
        <w:rPr>
          <w:rFonts w:hint="eastAsia" w:ascii="宋体" w:hAnsi="宋体"/>
          <w:bCs/>
          <w:sz w:val="24"/>
          <w:highlight w:val="none"/>
        </w:rPr>
        <w:t xml:space="preserve">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sz w:val="24"/>
          <w:szCs w:val="24"/>
          <w:highlight w:val="none"/>
        </w:rPr>
        <w:t xml:space="preserve">采购代理机构</w:t>
      </w:r>
      <w:r>
        <w:rPr>
          <w:rFonts w:ascii="宋体" w:hAnsi="宋体"/>
          <w:bCs/>
          <w:sz w:val="24"/>
          <w:highlight w:val="none"/>
        </w:rPr>
        <w:t xml:space="preserve">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2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2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2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20" w:lineRule="exact"/>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20" w:lineRule="exact"/>
        <w:rPr>
          <w:rFonts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2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highlight w:val="none"/>
        </w:rPr>
      </w:pPr>
      <w:r/>
      <w:bookmarkStart w:id="160" w:name="_Toc513029234"/>
      <w:r/>
      <w:bookmarkStart w:id="161" w:name="_Toc16938550"/>
      <w:r/>
      <w:bookmarkStart w:id="162" w:name="_Toc20823306"/>
      <w:r>
        <w:rPr>
          <w:rFonts w:hint="eastAsia" w:ascii="宋体" w:hAnsi="宋体"/>
          <w:sz w:val="24"/>
          <w:highlight w:val="none"/>
        </w:rPr>
        <w:t xml:space="preserve">25.6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p>
    <w:p>
      <w:pPr>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2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20" w:lineRule="exact"/>
        <w:rPr>
          <w:rFonts w:ascii="宋体" w:hAnsi="宋体"/>
          <w:sz w:val="24"/>
          <w:highlight w:val="none"/>
        </w:rPr>
      </w:pPr>
      <w:r>
        <w:rPr>
          <w:rFonts w:hint="eastAsia" w:ascii="宋体" w:hAnsi="宋体"/>
          <w:sz w:val="24"/>
          <w:highlight w:val="none"/>
          <w:lang w:val="en-US" w:eastAsia="zh-CN"/>
        </w:rPr>
        <w:t xml:space="preserve">25.7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w:t>
      </w:r>
      <w:r>
        <w:rPr>
          <w:rFonts w:hint="eastAsia" w:ascii="宋体" w:hAnsi="宋体"/>
          <w:sz w:val="24"/>
          <w:szCs w:val="24"/>
          <w:highlight w:val="none"/>
        </w:rPr>
        <w:t xml:space="preserve">采购人或采购代理机构</w:t>
      </w:r>
      <w:r>
        <w:rPr>
          <w:rFonts w:hint="eastAsia" w:ascii="宋体" w:hAnsi="宋体"/>
          <w:sz w:val="24"/>
          <w:highlight w:val="none"/>
        </w:rPr>
        <w:t xml:space="preserve">及评标委员会联系。</w:t>
      </w:r>
      <w:r/>
    </w:p>
    <w:p>
      <w:pPr>
        <w:pStyle w:val="863"/>
        <w:ind w:firstLine="420"/>
        <w:spacing w:before="0" w:after="0" w:line="520" w:lineRule="exact"/>
        <w:rPr>
          <w:b w:val="0"/>
          <w:bCs w:val="0"/>
          <w:highlight w:val="none"/>
        </w:rPr>
      </w:pPr>
      <w:r>
        <w:rPr>
          <w:rFonts w:hint="eastAsia"/>
          <w:b w:val="0"/>
          <w:bCs w:val="0"/>
          <w:highlight w:val="none"/>
        </w:rPr>
        <w:t xml:space="preserve">26</w:t>
      </w:r>
      <w:bookmarkEnd w:id="160"/>
      <w:r/>
      <w:bookmarkEnd w:id="161"/>
      <w:r/>
      <w:bookmarkEnd w:id="162"/>
      <w:r>
        <w:rPr>
          <w:rFonts w:hint="eastAsia"/>
          <w:b w:val="0"/>
          <w:bCs w:val="0"/>
          <w:highlight w:val="none"/>
        </w:rPr>
        <w:t xml:space="preserve">.无效投标条款和废标条款</w:t>
      </w:r>
      <w:r/>
    </w:p>
    <w:p>
      <w:pPr>
        <w:ind w:left="479"/>
        <w:spacing w:line="520" w:lineRule="exact"/>
        <w:rPr>
          <w:rFonts w:ascii="宋体" w:hAnsi="宋体"/>
          <w:bCs/>
          <w:sz w:val="24"/>
          <w:highlight w:val="none"/>
        </w:rPr>
      </w:pPr>
      <w:r/>
      <w:bookmarkStart w:id="163" w:name="_Toc20823307"/>
      <w:r/>
      <w:bookmarkStart w:id="164" w:name="_Toc16938551"/>
      <w:r/>
      <w:bookmarkStart w:id="165" w:name="_Toc513029235"/>
      <w:r>
        <w:rPr>
          <w:rFonts w:hint="eastAsia" w:ascii="宋体" w:hAnsi="宋体"/>
          <w:bCs/>
          <w:sz w:val="24"/>
          <w:highlight w:val="none"/>
        </w:rPr>
        <w:t xml:space="preserve">26.1无效投标条款</w:t>
      </w:r>
      <w:r/>
    </w:p>
    <w:p>
      <w:pPr>
        <w:ind w:firstLine="480"/>
        <w:spacing w:line="520" w:lineRule="exact"/>
        <w:rPr>
          <w:rFonts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p>
    <w:p>
      <w:pPr>
        <w:ind w:firstLine="480"/>
        <w:spacing w:line="520" w:lineRule="exact"/>
        <w:rPr>
          <w:rFonts w:ascii="宋体" w:hAnsi="宋体"/>
          <w:bCs/>
          <w:sz w:val="24"/>
          <w:highlight w:val="none"/>
        </w:rPr>
      </w:pPr>
      <w:r>
        <w:rPr>
          <w:rFonts w:hint="eastAsia" w:ascii="宋体" w:hAnsi="宋体"/>
          <w:bCs/>
          <w:sz w:val="24"/>
          <w:highlight w:val="none"/>
        </w:rPr>
        <w:t xml:space="preserve">26.1.2 投标人未按照招标文件要求上传电子投标文件的。</w:t>
      </w:r>
      <w:r/>
    </w:p>
    <w:p>
      <w:pPr>
        <w:ind w:left="479"/>
        <w:spacing w:line="520" w:lineRule="exact"/>
        <w:rPr>
          <w:rFonts w:ascii="宋体" w:hAnsi="宋体"/>
          <w:bCs/>
          <w:sz w:val="24"/>
          <w:highlight w:val="none"/>
        </w:rPr>
      </w:pPr>
      <w:r>
        <w:rPr>
          <w:rFonts w:hint="eastAsia" w:ascii="宋体" w:hAnsi="宋体"/>
          <w:bCs/>
          <w:sz w:val="24"/>
          <w:highlight w:val="none"/>
        </w:rPr>
        <w:t xml:space="preserve">26.1.3同一投标人提交两个（含两个）以上不同的投标报价的。</w:t>
      </w:r>
      <w:r/>
    </w:p>
    <w:p>
      <w:pPr>
        <w:ind w:left="479"/>
        <w:spacing w:line="520" w:lineRule="exact"/>
        <w:rPr>
          <w:rFonts w:ascii="宋体" w:hAnsi="宋体"/>
          <w:bCs/>
          <w:sz w:val="24"/>
          <w:highlight w:val="none"/>
        </w:rPr>
      </w:pPr>
      <w:r>
        <w:rPr>
          <w:rFonts w:hint="eastAsia" w:ascii="宋体" w:hAnsi="宋体"/>
          <w:bCs/>
          <w:sz w:val="24"/>
          <w:highlight w:val="none"/>
        </w:rPr>
        <w:t xml:space="preserve">26.1.4投标人不具备招标文件中规定资格要求的。</w:t>
      </w:r>
      <w:r/>
    </w:p>
    <w:p>
      <w:pPr>
        <w:ind w:firstLine="480"/>
        <w:spacing w:line="520" w:lineRule="exact"/>
        <w:rPr>
          <w:rFonts w:ascii="宋体" w:hAnsi="宋体"/>
          <w:bCs/>
          <w:sz w:val="24"/>
          <w:highlight w:val="none"/>
        </w:rPr>
      </w:pPr>
      <w:r>
        <w:rPr>
          <w:rFonts w:hint="eastAsia" w:ascii="宋体" w:hAnsi="宋体"/>
          <w:bCs/>
          <w:sz w:val="24"/>
          <w:highlight w:val="none"/>
        </w:rPr>
        <w:t xml:space="preserve">26.1.5投标人的报价超过了采购预算或最高限价的。</w:t>
      </w:r>
      <w:r/>
    </w:p>
    <w:p>
      <w:pPr>
        <w:ind w:firstLine="480"/>
        <w:spacing w:line="520" w:lineRule="exact"/>
        <w:rPr>
          <w:rFonts w:ascii="宋体" w:hAnsi="宋体"/>
          <w:bCs/>
          <w:i/>
          <w:sz w:val="24"/>
          <w:highlight w:val="none"/>
          <w:u w:val="single"/>
        </w:rPr>
      </w:pPr>
      <w:r>
        <w:rPr>
          <w:rFonts w:hint="eastAsia" w:ascii="宋体" w:hAnsi="宋体"/>
          <w:bCs/>
          <w:sz w:val="24"/>
          <w:highlight w:val="none"/>
        </w:rPr>
        <w:t xml:space="preserve">26.1.6未通过符合性审查的。</w:t>
      </w:r>
      <w:r/>
    </w:p>
    <w:p>
      <w:pPr>
        <w:ind w:firstLine="360"/>
        <w:spacing w:line="520" w:lineRule="exact"/>
        <w:rPr>
          <w:rFonts w:ascii="宋体" w:hAnsi="宋体"/>
          <w:bCs/>
          <w:i/>
          <w:sz w:val="24"/>
          <w:highlight w:val="none"/>
          <w:u w:val="single"/>
        </w:rPr>
      </w:pPr>
      <w:r>
        <w:rPr>
          <w:rFonts w:hint="eastAsia" w:ascii="宋体" w:hAnsi="宋体"/>
          <w:bCs/>
          <w:sz w:val="24"/>
          <w:highlight w:val="none"/>
        </w:rPr>
        <w:t xml:space="preserve"> 26.1.7不符合招标文件中规定的实质性要求和条件的。</w:t>
      </w:r>
      <w:r/>
    </w:p>
    <w:p>
      <w:pPr>
        <w:ind w:firstLine="480"/>
        <w:spacing w:line="520" w:lineRule="exact"/>
        <w:rPr>
          <w:rFonts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sz w:val="24"/>
          <w:highlight w:val="none"/>
        </w:rPr>
      </w:pPr>
      <w:r>
        <w:rPr>
          <w:rFonts w:hint="eastAsia" w:ascii="宋体" w:hAnsi="宋体"/>
          <w:bCs/>
          <w:sz w:val="24"/>
          <w:highlight w:val="none"/>
        </w:rPr>
        <w:t xml:space="preserve">26.1.9 投标文件含有采购人不能接受的附加条件的。</w:t>
      </w:r>
      <w:r/>
    </w:p>
    <w:p>
      <w:pPr>
        <w:ind w:firstLine="480"/>
        <w:spacing w:line="520" w:lineRule="exact"/>
        <w:rPr>
          <w:rFonts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bCs/>
          <w:sz w:val="24"/>
          <w:highlight w:val="none"/>
        </w:rPr>
      </w:pPr>
      <w:r>
        <w:rPr>
          <w:rFonts w:hint="eastAsia" w:ascii="宋体" w:hAnsi="宋体"/>
          <w:bCs/>
          <w:sz w:val="24"/>
          <w:highlight w:val="none"/>
        </w:rPr>
        <w:t xml:space="preserve">26.1.11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p>
    <w:p>
      <w:pPr>
        <w:ind w:firstLine="480"/>
        <w:spacing w:line="520" w:lineRule="exact"/>
        <w:rPr>
          <w:rFonts w:ascii="宋体" w:hAnsi="宋体"/>
          <w:bCs/>
          <w:sz w:val="24"/>
          <w:highlight w:val="none"/>
        </w:rPr>
      </w:pPr>
      <w:r>
        <w:rPr>
          <w:rFonts w:hint="eastAsia" w:ascii="宋体" w:hAnsi="宋体"/>
          <w:bCs/>
          <w:sz w:val="24"/>
          <w:highlight w:val="none"/>
        </w:rPr>
        <w:t xml:space="preserve">26.1.12其他法律、法规及本招标文件规定的属无效投标的情形。</w:t>
      </w:r>
      <w:r/>
    </w:p>
    <w:p>
      <w:pPr>
        <w:ind w:left="479"/>
        <w:spacing w:line="520" w:lineRule="exact"/>
        <w:rPr>
          <w:rFonts w:ascii="宋体" w:hAnsi="宋体"/>
          <w:bCs/>
          <w:sz w:val="24"/>
          <w:highlight w:val="none"/>
        </w:rPr>
      </w:pPr>
      <w:r>
        <w:rPr>
          <w:rFonts w:hint="eastAsia" w:ascii="宋体" w:hAnsi="宋体"/>
          <w:bCs/>
          <w:sz w:val="24"/>
          <w:highlight w:val="none"/>
        </w:rPr>
        <w:t xml:space="preserve">26.2废标条款</w:t>
      </w:r>
      <w:r/>
    </w:p>
    <w:p>
      <w:pPr>
        <w:ind w:left="479"/>
        <w:spacing w:line="520" w:lineRule="exact"/>
        <w:rPr>
          <w:rFonts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spacing w:line="520" w:lineRule="exact"/>
        <w:rPr>
          <w:rFonts w:ascii="宋体" w:hAnsi="宋体"/>
          <w:bCs/>
          <w:sz w:val="24"/>
          <w:highlight w:val="none"/>
        </w:rPr>
      </w:pPr>
      <w:r>
        <w:rPr>
          <w:rFonts w:hint="eastAsia" w:ascii="宋体" w:hAnsi="宋体"/>
          <w:bCs/>
          <w:sz w:val="24"/>
          <w:highlight w:val="none"/>
        </w:rPr>
        <w:t xml:space="preserve">26.2.3因重大变故，采购任务取消的。</w:t>
      </w:r>
      <w:r/>
    </w:p>
    <w:p>
      <w:pPr>
        <w:ind w:left="479"/>
        <w:spacing w:line="52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20" w:lineRule="exact"/>
        <w:rPr>
          <w:rFonts w:ascii="宋体" w:hAnsi="宋体"/>
          <w:bCs/>
          <w:sz w:val="24"/>
          <w:highlight w:val="none"/>
        </w:rPr>
      </w:pPr>
      <w:r>
        <w:rPr>
          <w:rFonts w:hint="eastAsia" w:ascii="宋体" w:hAnsi="宋体"/>
          <w:bCs/>
          <w:sz w:val="24"/>
          <w:highlight w:val="none"/>
        </w:rPr>
        <w:t xml:space="preserve">26.2.5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p>
    <w:p>
      <w:pPr>
        <w:ind w:left="479"/>
        <w:spacing w:line="520" w:lineRule="exact"/>
        <w:rPr>
          <w:rFonts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20" w:lineRule="exact"/>
        <w:rPr>
          <w:rFonts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62"/>
        <w:ind w:firstLine="482"/>
        <w:spacing w:before="0" w:after="0" w:line="520" w:lineRule="exact"/>
        <w:rPr>
          <w:highlight w:val="none"/>
        </w:rPr>
      </w:pPr>
      <w:r/>
      <w:bookmarkStart w:id="166" w:name="_Toc120614219"/>
      <w:r>
        <w:rPr>
          <w:rFonts w:hint="eastAsia"/>
          <w:highlight w:val="none"/>
        </w:rPr>
        <w:t xml:space="preserve">六、</w:t>
      </w:r>
      <w:bookmarkEnd w:id="163"/>
      <w:r/>
      <w:bookmarkEnd w:id="164"/>
      <w:r/>
      <w:bookmarkEnd w:id="165"/>
      <w:r>
        <w:rPr>
          <w:rFonts w:hint="eastAsia"/>
          <w:highlight w:val="none"/>
        </w:rPr>
        <w:t xml:space="preserve">定标</w:t>
      </w:r>
      <w:bookmarkEnd w:id="166"/>
      <w:r/>
      <w:r/>
    </w:p>
    <w:p>
      <w:pPr>
        <w:pStyle w:val="863"/>
        <w:ind w:firstLine="600"/>
        <w:spacing w:before="0" w:after="0" w:line="520" w:lineRule="exact"/>
        <w:rPr>
          <w:rFonts w:ascii="黑体" w:hAnsi="宋体"/>
          <w:b w:val="0"/>
          <w:sz w:val="30"/>
          <w:szCs w:val="30"/>
          <w:highlight w:val="none"/>
        </w:rPr>
      </w:pPr>
      <w:r/>
      <w:bookmarkStart w:id="167" w:name="_Toc513029238"/>
      <w:r/>
      <w:bookmarkStart w:id="168" w:name="_Toc20823310"/>
      <w:r/>
      <w:bookmarkStart w:id="169" w:name="_Toc16938554"/>
      <w:r>
        <w:rPr>
          <w:rFonts w:hint="eastAsia" w:ascii="黑体" w:hAnsi="宋体"/>
          <w:b w:val="0"/>
          <w:sz w:val="30"/>
          <w:szCs w:val="30"/>
          <w:highlight w:val="none"/>
        </w:rPr>
        <w:t xml:space="preserve">27</w:t>
      </w:r>
      <w:bookmarkEnd w:id="167"/>
      <w:r>
        <w:rPr>
          <w:rFonts w:hint="eastAsia" w:ascii="黑体" w:hAnsi="宋体"/>
          <w:b w:val="0"/>
          <w:sz w:val="30"/>
          <w:szCs w:val="30"/>
          <w:highlight w:val="none"/>
        </w:rPr>
        <w:t xml:space="preserve">.确定</w:t>
      </w:r>
      <w:bookmarkEnd w:id="168"/>
      <w:r/>
      <w:bookmarkEnd w:id="169"/>
      <w:r>
        <w:rPr>
          <w:rFonts w:hint="eastAsia" w:ascii="黑体" w:hAnsi="宋体"/>
          <w:b w:val="0"/>
          <w:sz w:val="30"/>
          <w:szCs w:val="30"/>
          <w:highlight w:val="none"/>
        </w:rPr>
        <w:t xml:space="preserve">中标单位</w:t>
      </w:r>
      <w:r/>
    </w:p>
    <w:p>
      <w:pPr>
        <w:ind w:firstLine="480"/>
        <w:spacing w:line="520" w:lineRule="exact"/>
        <w:rPr>
          <w:rFonts w:ascii="宋体" w:hAnsi="宋体"/>
          <w:bCs/>
          <w:sz w:val="24"/>
          <w:highlight w:val="none"/>
        </w:rPr>
      </w:pPr>
      <w:r>
        <w:rPr>
          <w:rFonts w:hint="eastAsia" w:ascii="宋体" w:hAnsi="宋体"/>
          <w:bCs/>
          <w:sz w:val="24"/>
          <w:highlight w:val="none"/>
        </w:rPr>
        <w:t xml:space="preserve">27.1中标候选人的选取原则和数量见招标文件第四章规定。 </w:t>
      </w:r>
      <w:r/>
    </w:p>
    <w:p>
      <w:pPr>
        <w:ind w:firstLine="480"/>
        <w:spacing w:line="520" w:lineRule="exact"/>
        <w:rPr>
          <w:rFonts w:ascii="宋体" w:hAnsi="宋体"/>
          <w:bCs/>
          <w:sz w:val="24"/>
          <w:highlight w:val="none"/>
        </w:rPr>
      </w:pPr>
      <w:r>
        <w:rPr>
          <w:rFonts w:hint="eastAsia" w:ascii="宋体" w:hAnsi="宋体"/>
          <w:bCs/>
          <w:sz w:val="24"/>
          <w:highlight w:val="none"/>
        </w:rPr>
        <w:t xml:space="preserve">27.2</w:t>
      </w:r>
      <w:r>
        <w:rPr>
          <w:rFonts w:hint="eastAsia" w:ascii="宋体" w:hAnsi="宋体"/>
          <w:bCs/>
          <w:color w:val="000000"/>
          <w:sz w:val="24"/>
          <w:highlight w:val="none"/>
        </w:rPr>
        <w:t xml:space="preserve">采购人应根据评委会推荐的中标候选人确定中标人</w:t>
      </w:r>
      <w:r>
        <w:rPr>
          <w:rFonts w:ascii="宋体" w:hAnsi="宋体"/>
          <w:bCs/>
          <w:color w:val="000000"/>
          <w:sz w:val="24"/>
          <w:highlight w:val="none"/>
        </w:rPr>
        <w:t xml:space="preserve">。</w:t>
      </w:r>
      <w:r/>
    </w:p>
    <w:p>
      <w:pPr>
        <w:ind w:firstLine="480"/>
        <w:spacing w:line="520" w:lineRule="exact"/>
        <w:rPr>
          <w:rFonts w:ascii="宋体" w:hAnsi="宋体"/>
          <w:sz w:val="24"/>
          <w:szCs w:val="24"/>
          <w:highlight w:val="none"/>
        </w:rPr>
      </w:pPr>
      <w:r>
        <w:rPr>
          <w:rFonts w:hint="eastAsia" w:ascii="宋体" w:hAnsi="宋体"/>
          <w:bCs/>
          <w:sz w:val="24"/>
          <w:szCs w:val="24"/>
          <w:highlight w:val="none"/>
        </w:rPr>
        <w:t xml:space="preserve">27.3 </w:t>
      </w:r>
      <w:r>
        <w:rPr>
          <w:rFonts w:hint="eastAsia" w:ascii="宋体" w:hAnsi="宋体"/>
          <w:bCs/>
          <w:sz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27.4若有充分证据证明，中标人出现下列情况之一的，一经查实，将被取消中标资格：</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27.4.2向采购人、采购代理机构行贿或者提供其他不正当利益的。</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27.4.3属于本文件规定的无效条件，但在评标过程中又未被评委会发现的。</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20" w:lineRule="exact"/>
        <w:rPr>
          <w:rFonts w:ascii="宋体" w:hAnsi="宋体"/>
          <w:sz w:val="24"/>
          <w:szCs w:val="24"/>
          <w:highlight w:val="none"/>
        </w:rPr>
      </w:pPr>
      <w:r/>
      <w:bookmarkStart w:id="170"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27.5.5</w:t>
      </w:r>
      <w:r>
        <w:rPr>
          <w:rFonts w:hint="eastAsia" w:ascii="宋体" w:hAnsi="宋体"/>
          <w:color w:val="000000"/>
          <w:sz w:val="24"/>
          <w:szCs w:val="24"/>
          <w:highlight w:val="none"/>
        </w:rPr>
        <w:t xml:space="preserve">不同投标人的投标文件相互混装。</w:t>
      </w:r>
      <w:r/>
    </w:p>
    <w:p>
      <w:pPr>
        <w:pStyle w:val="863"/>
        <w:ind w:firstLine="600"/>
        <w:spacing w:before="0" w:after="0" w:line="520" w:lineRule="exact"/>
        <w:rPr>
          <w:rFonts w:ascii="黑体" w:hAnsi="宋体"/>
          <w:b w:val="0"/>
          <w:sz w:val="30"/>
          <w:szCs w:val="30"/>
          <w:highlight w:val="none"/>
        </w:rPr>
      </w:pPr>
      <w:r>
        <w:rPr>
          <w:rFonts w:hint="eastAsia" w:ascii="黑体" w:hAnsi="宋体"/>
          <w:b w:val="0"/>
          <w:sz w:val="30"/>
          <w:szCs w:val="30"/>
          <w:highlight w:val="none"/>
        </w:rPr>
        <w:t xml:space="preserve">28.质疑处理</w:t>
      </w:r>
      <w:bookmarkEnd w:id="170"/>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520" w:lineRule="exact"/>
        <w:rPr>
          <w:rFonts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p>
    <w:p>
      <w:pPr>
        <w:ind w:firstLine="480"/>
        <w:spacing w:line="520" w:lineRule="exact"/>
        <w:rPr>
          <w:rFonts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p>
    <w:p>
      <w:pPr>
        <w:ind w:firstLine="480"/>
        <w:spacing w:line="520" w:lineRule="exact"/>
        <w:rPr>
          <w:rFonts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p>
    <w:p>
      <w:pPr>
        <w:ind w:firstLine="480"/>
        <w:spacing w:line="520" w:lineRule="exact"/>
        <w:rPr>
          <w:rFonts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rPr>
        <w:t xml:space="preserve">采购人或采购代理机构</w:t>
      </w:r>
      <w:r>
        <w:rPr>
          <w:rFonts w:hint="eastAsia" w:hAnsi="宋体" w:cs="宋体"/>
          <w:sz w:val="24"/>
          <w:szCs w:val="24"/>
          <w:highlight w:val="none"/>
        </w:rPr>
        <w:t xml:space="preserve">将只对供应商第一次质疑作出答复。</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highlight w:val="none"/>
        </w:rPr>
      </w:pPr>
      <w:r>
        <w:rPr>
          <w:rFonts w:hint="eastAsia" w:ascii="宋体" w:hAnsi="宋体"/>
          <w:sz w:val="24"/>
          <w:szCs w:val="24"/>
          <w:highlight w:val="none"/>
        </w:rPr>
        <w:t xml:space="preserve">28.4</w:t>
      </w:r>
      <w:r>
        <w:rPr>
          <w:rFonts w:hint="eastAsia" w:ascii="宋体" w:hAnsi="宋体"/>
          <w:color w:val="000000"/>
          <w:sz w:val="24"/>
          <w:szCs w:val="24"/>
          <w:highlight w:val="none"/>
        </w:rPr>
        <w:t xml:space="preserve">供应商</w:t>
      </w:r>
      <w:r>
        <w:rPr>
          <w:rFonts w:hint="eastAsia" w:ascii="宋体" w:hAnsi="宋体"/>
          <w:sz w:val="24"/>
          <w:szCs w:val="24"/>
          <w:highlight w:val="none"/>
        </w:rPr>
        <w:t xml:space="preserve">（含潜在</w:t>
      </w:r>
      <w:r>
        <w:rPr>
          <w:rFonts w:ascii="宋体" w:hAnsi="宋体"/>
          <w:sz w:val="24"/>
          <w:szCs w:val="24"/>
          <w:highlight w:val="none"/>
        </w:rPr>
        <w:t xml:space="preserve">供应商</w:t>
      </w:r>
      <w:r>
        <w:rPr>
          <w:rFonts w:hint="eastAsia" w:ascii="宋体" w:hAnsi="宋体"/>
          <w:sz w:val="24"/>
          <w:szCs w:val="24"/>
          <w:highlight w:val="none"/>
        </w:rPr>
        <w:t xml:space="preserve">）</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采购人或采购代理机构</w:t>
      </w:r>
      <w:r>
        <w:rPr>
          <w:rFonts w:hint="eastAsia" w:ascii="宋体" w:hAnsi="宋体"/>
          <w:color w:val="000000"/>
          <w:sz w:val="24"/>
          <w:szCs w:val="24"/>
          <w:highlight w:val="none"/>
        </w:rPr>
        <w:t xml:space="preserve">只接收以纸质原件形式送达的质疑,建议供应商尽量通过邮寄方式提交质疑</w:t>
      </w:r>
      <w:r>
        <w:rPr>
          <w:rFonts w:hint="eastAsia" w:ascii="宋体" w:hAnsi="宋体"/>
          <w:sz w:val="24"/>
          <w:szCs w:val="24"/>
          <w:highlight w:val="none"/>
        </w:rPr>
        <w:t xml:space="preserve">（采购人或采购代理机构不接受未填写快递运单的快件）。</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采购人及采购代理机构质疑接收人及联系方式见本招标文件第一章。</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28.5.4 未参加投标活动的供应商或在投标活动中自身权益未受到损害的供应商所提出的质疑。</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520" w:lineRule="exact"/>
        <w:rPr>
          <w:rFonts w:ascii="宋体" w:hAnsi="宋体"/>
          <w:sz w:val="24"/>
          <w:szCs w:val="24"/>
          <w:highlight w:val="none"/>
        </w:rPr>
      </w:pPr>
      <w:r>
        <w:rPr>
          <w:rFonts w:hint="eastAsia" w:ascii="宋体" w:hAnsi="宋体"/>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3"/>
        <w:ind w:firstLine="600"/>
        <w:spacing w:before="0" w:after="0" w:line="520" w:lineRule="exact"/>
        <w:rPr>
          <w:rFonts w:ascii="黑体" w:hAnsi="宋体"/>
          <w:b w:val="0"/>
          <w:sz w:val="30"/>
          <w:szCs w:val="30"/>
          <w:highlight w:val="none"/>
        </w:rPr>
      </w:pPr>
      <w:r>
        <w:rPr>
          <w:rFonts w:hint="eastAsia" w:ascii="黑体" w:hAnsi="宋体"/>
          <w:b w:val="0"/>
          <w:sz w:val="30"/>
          <w:szCs w:val="30"/>
          <w:highlight w:val="none"/>
        </w:rPr>
        <w:t xml:space="preserve">29.中标通知书</w:t>
      </w:r>
      <w:r/>
    </w:p>
    <w:p>
      <w:pPr>
        <w:ind w:firstLine="600"/>
        <w:spacing w:line="520" w:lineRule="exact"/>
        <w:rPr>
          <w:rFonts w:ascii="宋体" w:hAnsi="宋体"/>
          <w:sz w:val="24"/>
          <w:szCs w:val="24"/>
          <w:highlight w:val="none"/>
        </w:rPr>
      </w:pPr>
      <w:r>
        <w:rPr>
          <w:rFonts w:hint="eastAsia" w:ascii="宋体" w:hAnsi="宋体"/>
          <w:sz w:val="24"/>
          <w:szCs w:val="24"/>
          <w:highlight w:val="none"/>
        </w:rPr>
        <w:t xml:space="preserve">29.l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62"/>
        <w:spacing w:before="0" w:after="0" w:line="520" w:lineRule="exact"/>
        <w:rPr>
          <w:highlight w:val="none"/>
        </w:rPr>
      </w:pPr>
      <w:r/>
      <w:bookmarkStart w:id="171" w:name="_Toc20823308"/>
      <w:r/>
      <w:bookmarkStart w:id="172" w:name="_Toc16938552"/>
      <w:r/>
      <w:bookmarkStart w:id="173" w:name="_Toc120614220"/>
      <w:r/>
      <w:bookmarkStart w:id="174" w:name="_Toc513029236"/>
      <w:r>
        <w:rPr>
          <w:rFonts w:hint="eastAsia"/>
          <w:highlight w:val="none"/>
        </w:rPr>
        <w:t xml:space="preserve">七、授予合同</w:t>
      </w:r>
      <w:bookmarkEnd w:id="171"/>
      <w:r/>
      <w:bookmarkEnd w:id="172"/>
      <w:r/>
      <w:bookmarkEnd w:id="173"/>
      <w:r/>
      <w:bookmarkEnd w:id="174"/>
      <w:r/>
      <w:r/>
    </w:p>
    <w:p>
      <w:pPr>
        <w:pStyle w:val="863"/>
        <w:ind w:firstLine="600"/>
        <w:spacing w:before="0" w:after="0" w:line="520" w:lineRule="exact"/>
        <w:rPr>
          <w:rFonts w:ascii="黑体" w:hAnsi="宋体"/>
          <w:b w:val="0"/>
          <w:sz w:val="30"/>
          <w:szCs w:val="30"/>
          <w:highlight w:val="none"/>
        </w:rPr>
      </w:pPr>
      <w:r/>
      <w:bookmarkStart w:id="175" w:name="_Toc513029237"/>
      <w:r/>
      <w:bookmarkStart w:id="176" w:name="_Toc20823309"/>
      <w:r/>
      <w:bookmarkStart w:id="177" w:name="_Toc16938553"/>
      <w:r>
        <w:rPr>
          <w:rFonts w:hint="eastAsia" w:ascii="黑体" w:hAnsi="宋体"/>
          <w:b w:val="0"/>
          <w:sz w:val="30"/>
          <w:szCs w:val="30"/>
          <w:highlight w:val="none"/>
        </w:rPr>
        <w:t xml:space="preserve">30. 签订合同</w:t>
      </w:r>
      <w:r/>
    </w:p>
    <w:p>
      <w:pPr>
        <w:ind w:firstLine="600"/>
        <w:spacing w:line="520" w:lineRule="exact"/>
        <w:rPr>
          <w:rFonts w:ascii="宋体" w:hAnsi="宋体"/>
          <w:sz w:val="24"/>
          <w:szCs w:val="24"/>
          <w:highlight w:val="none"/>
        </w:rPr>
      </w:pPr>
      <w:r>
        <w:rPr>
          <w:rFonts w:hint="eastAsia" w:ascii="宋体" w:hAnsi="宋体"/>
          <w:bCs/>
          <w:sz w:val="24"/>
          <w:szCs w:val="24"/>
          <w:highlight w:val="none"/>
        </w:rPr>
        <w:t xml:space="preserve">30</w:t>
      </w:r>
      <w:r>
        <w:rPr>
          <w:rFonts w:hint="eastAsia" w:ascii="宋体" w:hAnsi="宋体"/>
          <w:sz w:val="24"/>
          <w:szCs w:val="24"/>
          <w:highlight w:val="none"/>
        </w:rPr>
        <w:t xml:space="preserve">.l中标人应当在中标通知书发出之日起三十日内，按照招标文件确定的事项与采购人签订政府采购合同。</w:t>
      </w:r>
      <w:r/>
    </w:p>
    <w:p>
      <w:pPr>
        <w:ind w:firstLine="600"/>
        <w:spacing w:line="520" w:lineRule="exact"/>
        <w:rPr>
          <w:rFonts w:ascii="宋体" w:hAnsi="宋体"/>
          <w:sz w:val="24"/>
          <w:szCs w:val="24"/>
          <w:highlight w:val="none"/>
        </w:rPr>
      </w:pPr>
      <w:r>
        <w:rPr>
          <w:rFonts w:hint="eastAsia" w:ascii="宋体" w:hAnsi="宋体"/>
          <w:sz w:val="24"/>
          <w:szCs w:val="24"/>
          <w:highlight w:val="none"/>
        </w:rPr>
        <w:t xml:space="preserve">30.2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520" w:lineRule="exact"/>
        <w:rPr>
          <w:rFonts w:ascii="宋体" w:hAnsi="宋体"/>
          <w:color w:val="000000"/>
          <w:sz w:val="24"/>
          <w:szCs w:val="24"/>
          <w:highlight w:val="none"/>
        </w:rPr>
      </w:pPr>
      <w:r>
        <w:rPr>
          <w:rFonts w:hint="eastAsia" w:ascii="宋体" w:hAnsi="宋体"/>
          <w:sz w:val="24"/>
          <w:szCs w:val="24"/>
          <w:highlight w:val="none"/>
        </w:rPr>
        <w:t xml:space="preserve">30.3 签订合同后，</w:t>
      </w:r>
      <w:r>
        <w:rPr>
          <w:rFonts w:hint="eastAsia" w:ascii="宋体" w:hAnsi="宋体"/>
          <w:b/>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3"/>
        <w:ind w:firstLine="600"/>
        <w:spacing w:before="0" w:after="0" w:line="520" w:lineRule="exact"/>
        <w:rPr>
          <w:rFonts w:ascii="黑体" w:hAnsi="宋体"/>
          <w:b w:val="0"/>
          <w:sz w:val="30"/>
          <w:szCs w:val="30"/>
          <w:highlight w:val="none"/>
        </w:rPr>
      </w:pPr>
      <w:r>
        <w:rPr>
          <w:rFonts w:hint="eastAsia" w:ascii="黑体" w:hAnsi="宋体"/>
          <w:b w:val="0"/>
          <w:sz w:val="30"/>
          <w:szCs w:val="30"/>
          <w:highlight w:val="none"/>
        </w:rPr>
        <w:t xml:space="preserve">31.货物（包含与货物相关的服务）的追加</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31.1</w:t>
      </w:r>
      <w:bookmarkEnd w:id="175"/>
      <w:r/>
      <w:bookmarkEnd w:id="176"/>
      <w:r/>
      <w:bookmarkEnd w:id="177"/>
      <w:r>
        <w:rPr>
          <w:rFonts w:hint="eastAsia" w:ascii="宋体" w:hAnsi="宋体"/>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3"/>
        <w:ind w:firstLine="600"/>
        <w:spacing w:before="0" w:after="0" w:line="520" w:lineRule="exact"/>
        <w:rPr>
          <w:rFonts w:ascii="黑体" w:hAnsi="宋体"/>
          <w:b w:val="0"/>
          <w:sz w:val="30"/>
          <w:szCs w:val="30"/>
          <w:highlight w:val="none"/>
        </w:rPr>
      </w:pPr>
      <w:r>
        <w:rPr>
          <w:rFonts w:hint="eastAsia" w:ascii="黑体" w:hAnsi="宋体"/>
          <w:b w:val="0"/>
          <w:sz w:val="30"/>
          <w:szCs w:val="30"/>
          <w:highlight w:val="none"/>
        </w:rPr>
        <w:t xml:space="preserve">32.政府采购履约资金扶持政策</w:t>
      </w:r>
      <w:r/>
    </w:p>
    <w:p>
      <w:pPr>
        <w:pStyle w:val="666"/>
        <w:spacing w:line="520" w:lineRule="exact"/>
        <w:rPr>
          <w:rFonts w:ascii="宋体" w:hAnsi="宋体"/>
          <w:bCs/>
          <w:sz w:val="24"/>
          <w:highlight w:val="none"/>
        </w:rPr>
      </w:pPr>
      <w:r>
        <w:rPr>
          <w:rFonts w:hint="eastAsia" w:ascii="宋体" w:hAnsi="宋体"/>
          <w:bCs/>
          <w:sz w:val="24"/>
          <w:highlight w:val="none"/>
        </w:rPr>
        <w:t xml:space="preserve">中标人可凭政府采购合同办理融资贷款，详情请见江苏政府采购网“政采贷”专栏。</w:t>
      </w:r>
      <w:bookmarkStart w:id="178" w:name="_Hlt16619350"/>
      <w:r/>
      <w:bookmarkStart w:id="179" w:name="_Toc16938590"/>
      <w:r/>
      <w:bookmarkStart w:id="180" w:name="_Toc20823346"/>
      <w:r/>
      <w:bookmarkStart w:id="181" w:name="_Toc120614244"/>
      <w:r/>
      <w:bookmarkStart w:id="182" w:name="_Toc479757211"/>
      <w:r/>
      <w:bookmarkStart w:id="183" w:name="_Toc462564139"/>
      <w:r/>
      <w:r/>
    </w:p>
    <w:p>
      <w:pPr>
        <w:pStyle w:val="666"/>
        <w:spacing w:line="520" w:lineRule="exact"/>
        <w:rPr>
          <w:rFonts w:hint="eastAsia" w:ascii="宋体" w:hAnsi="宋体"/>
          <w:color w:val="000000"/>
          <w:sz w:val="24"/>
          <w:szCs w:val="24"/>
          <w:highlight w:val="none"/>
        </w:rPr>
      </w:pPr>
      <w:r>
        <w:rPr>
          <w:rFonts w:ascii="黑体" w:eastAsia="黑体"/>
          <w:bCs/>
          <w:sz w:val="44"/>
          <w:highlight w:val="none"/>
        </w:rPr>
        <w:br w:type="page" w:clear="all"/>
      </w:r>
      <w:r>
        <w:rPr>
          <w:rFonts w:ascii="黑体" w:eastAsia="黑体"/>
          <w:bCs/>
          <w:sz w:val="44"/>
          <w:highlight w:val="none"/>
        </w:rPr>
        <w:t xml:space="preserve">            </w:t>
      </w:r>
      <w:r>
        <w:rPr>
          <w:rFonts w:hint="eastAsia" w:ascii="黑体" w:eastAsia="黑体"/>
          <w:bCs/>
          <w:sz w:val="44"/>
          <w:highlight w:val="none"/>
        </w:rPr>
        <w:t xml:space="preserve">第</w:t>
      </w:r>
      <w:bookmarkEnd w:id="178"/>
      <w:r>
        <w:rPr>
          <w:rFonts w:hint="eastAsia" w:ascii="黑体" w:eastAsia="黑体"/>
          <w:bCs/>
          <w:sz w:val="44"/>
          <w:highlight w:val="none"/>
        </w:rPr>
        <w:t xml:space="preserve">三章 采购需求</w:t>
      </w:r>
      <w:bookmarkEnd w:id="179"/>
      <w:r/>
      <w:bookmarkEnd w:id="180"/>
      <w:r/>
      <w:bookmarkEnd w:id="181"/>
      <w:r/>
      <w:bookmarkStart w:id="184" w:name="_Toc49090575"/>
      <w:r/>
      <w:bookmarkStart w:id="185" w:name="_Toc26554093"/>
      <w:r/>
      <w:r/>
    </w:p>
    <w:p>
      <w:pPr>
        <w:ind w:firstLine="482"/>
        <w:spacing w:after="145"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一、采购标的清单</w:t>
      </w:r>
      <w:r/>
    </w:p>
    <w:tbl>
      <w:tblPr>
        <w:tblStyle w:val="660"/>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593"/>
        <w:gridCol w:w="4145"/>
      </w:tblGrid>
      <w:tr>
        <w:trPr>
          <w:jc w:val="center"/>
          <w:trHeight w:val="702" w:hRule="exact"/>
        </w:trPr>
        <w:tc>
          <w:tcPr>
            <w:tcW w:w="57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5"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采购标的</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微型水罐消防车</w:t>
            </w:r>
            <w:r/>
          </w:p>
        </w:tc>
        <w:tc>
          <w:tcPr>
            <w:tcW w:w="2371"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bl>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二、技术要求</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建设背景</w:t>
      </w:r>
      <w:r/>
    </w:p>
    <w:p>
      <w:pPr>
        <w:ind w:firstLine="480"/>
        <w:spacing w:line="560" w:lineRule="exact"/>
        <w:rPr>
          <w:rFonts w:hint="eastAsia" w:ascii="宋体" w:hAnsi="宋体" w:eastAsia="宋体" w:cs="Times New Roman"/>
          <w:bCs/>
          <w:color w:val="000000"/>
          <w:sz w:val="24"/>
          <w:szCs w:val="24"/>
          <w:highlight w:val="none"/>
        </w:rPr>
      </w:pPr>
      <w:r>
        <w:rPr>
          <w:rFonts w:hint="eastAsia"/>
          <w:sz w:val="24"/>
          <w:szCs w:val="24"/>
          <w:highlight w:val="none"/>
          <w:lang w:val="en-US" w:eastAsia="zh-CN"/>
        </w:rPr>
        <w:t xml:space="preserve">为深入贯彻习近平总书记关于安全生产和应急管理的重要指示精神，结合全市经济社会发展现状、灾害事故种类特点和“全灾种、大应急”综合救援形式，提升重点区域及村（社区）初期火灾的处置能力，现需购置村（社区）微型水罐消防车20辆（包含</w:t>
      </w:r>
      <w:r>
        <w:rPr>
          <w:rFonts w:hint="eastAsia" w:ascii="宋体" w:hAnsi="宋体" w:eastAsia="宋体" w:cs="宋体"/>
          <w:b w:val="0"/>
          <w:bCs w:val="0"/>
          <w:i w:val="0"/>
          <w:iCs w:val="0"/>
          <w:color w:val="auto"/>
          <w:sz w:val="24"/>
          <w:szCs w:val="24"/>
          <w:highlight w:val="none"/>
          <w:u w:val="none"/>
          <w:lang w:val="en-US" w:eastAsia="zh-CN" w:bidi="ar"/>
        </w:rPr>
        <w:t xml:space="preserve">微型水罐消防车及随车器材装备</w:t>
      </w:r>
      <w:r>
        <w:rPr>
          <w:rFonts w:hint="eastAsia"/>
          <w:sz w:val="24"/>
          <w:szCs w:val="24"/>
          <w:highlight w:val="none"/>
          <w:lang w:val="en-US" w:eastAsia="zh-CN"/>
        </w:rPr>
        <w:t xml:space="preserve">）</w:t>
      </w:r>
      <w:r>
        <w:rPr>
          <w:rFonts w:hint="eastAsia" w:ascii="Times New Roman" w:hAnsi="Times New Roman"/>
          <w:sz w:val="24"/>
          <w:szCs w:val="24"/>
          <w:highlight w:val="none"/>
        </w:rPr>
        <w:t xml:space="preserve">。</w:t>
      </w:r>
      <w:r/>
    </w:p>
    <w:tbl>
      <w:tblPr>
        <w:tblStyle w:val="660"/>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608"/>
        <w:gridCol w:w="2373"/>
        <w:gridCol w:w="1019"/>
        <w:gridCol w:w="768"/>
      </w:tblGrid>
      <w:tr>
        <w:trPr>
          <w:jc w:val="center"/>
          <w:trHeight w:val="702" w:hRule="exact"/>
        </w:trPr>
        <w:tc>
          <w:tcPr>
            <w:tcW w:w="578"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设备名称</w:t>
            </w:r>
            <w:r/>
          </w:p>
        </w:tc>
        <w:tc>
          <w:tcPr>
            <w:tcW w:w="1350"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设备规格要求</w:t>
            </w:r>
            <w:r/>
          </w:p>
        </w:tc>
        <w:tc>
          <w:tcPr>
            <w:tcW w:w="580" w:type="pct"/>
            <w:vAlign w:val="center"/>
            <w:textDirection w:val="lrTb"/>
            <w:noWrap w:val="false"/>
          </w:tcPr>
          <w:p>
            <w:pPr>
              <w:jc w:val="center"/>
              <w:spacing w:line="2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437" w:type="pct"/>
            <w:vAlign w:val="center"/>
            <w:textDirection w:val="lrTb"/>
            <w:noWrap w:val="false"/>
          </w:tcPr>
          <w:p>
            <w:pPr>
              <w:jc w:val="center"/>
              <w:spacing w:line="2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r>
      <w:tr>
        <w:trPr>
          <w:jc w:val="center"/>
          <w:trHeight w:val="510"/>
        </w:trPr>
        <w:tc>
          <w:tcPr>
            <w:shd w:val="clear" w:color="auto" w:fill="auto"/>
            <w:tcW w:w="578"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w:t>
            </w:r>
            <w:r/>
          </w:p>
        </w:tc>
        <w:tc>
          <w:tcPr>
            <w:tcW w:w="205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微型水罐消防车</w:t>
            </w:r>
            <w:r/>
          </w:p>
        </w:tc>
        <w:tc>
          <w:tcPr>
            <w:tcW w:w="1350" w:type="pct"/>
            <w:vAlign w:val="center"/>
            <w:textDirection w:val="lrTb"/>
            <w:noWrap w:val="false"/>
          </w:tcPr>
          <w:p>
            <w:pPr>
              <w:jc w:val="center"/>
              <w:spacing w:line="240" w:lineRule="atLeast"/>
              <w:rPr>
                <w:rFonts w:hint="eastAsia" w:ascii="宋体" w:hAnsi="宋体" w:eastAsia="宋体"/>
                <w:bCs/>
                <w:color w:val="000000"/>
                <w:sz w:val="24"/>
                <w:szCs w:val="24"/>
                <w:highlight w:val="none"/>
              </w:rPr>
            </w:pPr>
            <w:r>
              <w:rPr>
                <w:rFonts w:hint="eastAsia" w:ascii="宋体" w:hAnsi="宋体" w:cs="宋体"/>
                <w:color w:val="000000"/>
                <w:sz w:val="24"/>
                <w:szCs w:val="24"/>
                <w:highlight w:val="none"/>
                <w:lang w:val="en-US" w:eastAsia="zh-CN"/>
              </w:rPr>
              <w:t xml:space="preserve">详见参数要求</w:t>
            </w:r>
            <w:r/>
          </w:p>
        </w:tc>
        <w:tc>
          <w:tcPr>
            <w:tcW w:w="580" w:type="pct"/>
            <w:vAlign w:val="center"/>
            <w:textDirection w:val="lrTb"/>
            <w:noWrap w:val="false"/>
          </w:tcPr>
          <w:p>
            <w:pPr>
              <w:jc w:val="center"/>
              <w:keepLines w:val="0"/>
              <w:keepNext w:val="0"/>
              <w:pageBreakBefore w:val="0"/>
              <w:spacing w:line="240" w:lineRule="exact"/>
              <w:widowControl/>
              <w:rPr>
                <w:rFonts w:hint="eastAsia" w:ascii="宋体" w:hAnsi="宋体"/>
                <w:bCs/>
                <w:color w:val="000000"/>
                <w:sz w:val="24"/>
                <w:szCs w:val="24"/>
                <w:highlight w:val="none"/>
              </w:rPr>
            </w:pPr>
            <w:r>
              <w:rPr>
                <w:rFonts w:hint="eastAsia" w:ascii="宋体" w:hAnsi="宋体" w:cs="宋体"/>
                <w:color w:val="000000"/>
                <w:sz w:val="24"/>
                <w:szCs w:val="24"/>
                <w:highlight w:val="none"/>
                <w:lang w:val="en-US" w:eastAsia="zh-CN"/>
              </w:rPr>
              <w:t xml:space="preserve">辆</w:t>
            </w:r>
            <w:r/>
          </w:p>
        </w:tc>
        <w:tc>
          <w:tcPr>
            <w:tcW w:w="437" w:type="pct"/>
            <w:vAlign w:val="center"/>
            <w:textDirection w:val="lrTb"/>
            <w:noWrap w:val="false"/>
          </w:tcPr>
          <w:p>
            <w:pPr>
              <w:jc w:val="center"/>
              <w:keepLines w:val="0"/>
              <w:keepNext w:val="0"/>
              <w:pageBreakBefore w:val="0"/>
              <w:spacing w:line="240" w:lineRule="exact"/>
              <w:widowControl/>
              <w:rPr>
                <w:rFonts w:hint="default" w:ascii="宋体" w:hAnsi="宋体"/>
                <w:bCs/>
                <w:color w:val="000000"/>
                <w:sz w:val="24"/>
                <w:szCs w:val="24"/>
                <w:highlight w:val="none"/>
              </w:rPr>
            </w:pPr>
            <w:r>
              <w:rPr>
                <w:rFonts w:hint="eastAsia" w:ascii="宋体" w:hAnsi="宋体" w:cs="宋体"/>
                <w:color w:val="000000"/>
                <w:sz w:val="24"/>
                <w:szCs w:val="24"/>
                <w:highlight w:val="none"/>
                <w:lang w:val="en-US" w:eastAsia="zh-CN"/>
              </w:rPr>
              <w:t xml:space="preserve">20</w:t>
            </w:r>
            <w:r/>
          </w:p>
        </w:tc>
      </w:tr>
    </w:tbl>
    <w:p>
      <w:pPr>
        <w:numPr>
          <w:ilvl w:val="0"/>
          <w:numId w:val="5"/>
        </w:numPr>
        <w:ind w:firstLine="480"/>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参数要求</w:t>
      </w:r>
      <w:r/>
    </w:p>
    <w:tbl>
      <w:tblPr>
        <w:tblStyle w:val="660"/>
        <w:tblW w:w="9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2"/>
        <w:gridCol w:w="864"/>
        <w:gridCol w:w="2713"/>
        <w:gridCol w:w="3709"/>
        <w:gridCol w:w="1102"/>
      </w:tblGrid>
      <w:tr>
        <w:trPr>
          <w:jc w:val="center"/>
          <w:trHeight w:val="251"/>
        </w:trPr>
        <w:tc>
          <w:tcPr>
            <w:gridSpan w:val="5"/>
            <w:shd w:val="clear" w:color="auto" w:fill="ffffff"/>
            <w:tcBorders>
              <w:top w:val="single" w:color="000000" w:sz="8" w:space="0"/>
              <w:left w:val="single" w:color="000000" w:sz="8" w:space="0"/>
              <w:bottom w:val="single" w:color="000000" w:sz="8" w:space="0"/>
              <w:right w:val="single" w:color="000000" w:sz="8" w:space="0"/>
            </w:tcBorders>
            <w:tcW w:w="97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微型水罐消防车及随车器材</w:t>
            </w:r>
            <w:r>
              <w:rPr>
                <w:rFonts w:hint="eastAsia" w:ascii="宋体" w:hAnsi="宋体" w:cs="宋体"/>
                <w:b w:val="0"/>
                <w:bCs w:val="0"/>
                <w:i w:val="0"/>
                <w:iCs w:val="0"/>
                <w:color w:val="auto"/>
                <w:sz w:val="24"/>
                <w:szCs w:val="24"/>
                <w:highlight w:val="none"/>
                <w:u w:val="none"/>
                <w:lang w:val="en-US" w:eastAsia="zh-CN" w:bidi="ar"/>
              </w:rPr>
              <w:t xml:space="preserve">（每套）</w:t>
            </w:r>
            <w:r/>
          </w:p>
          <w:p>
            <w:pPr>
              <w:jc w:val="center"/>
              <w:keepLines w:val="0"/>
              <w:keepNext w:val="0"/>
              <w:pageBreakBefore w:val="0"/>
              <w:spacing w:line="32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r>
      <w:tr>
        <w:trPr>
          <w:jc w:val="center"/>
          <w:trHeight w:val="27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基本参数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整车长×宽×高（mm）</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≤5100×1800×2200</w:t>
            </w:r>
            <w:r/>
          </w:p>
        </w:tc>
      </w:tr>
      <w:tr>
        <w:trPr>
          <w:jc w:val="center"/>
          <w:trHeight w:val="26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整备质量（kg)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r>
      <w:tr>
        <w:trPr>
          <w:jc w:val="center"/>
          <w:trHeight w:val="29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额定载质量（kg)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≤3100</w:t>
            </w:r>
            <w:r/>
          </w:p>
        </w:tc>
      </w:tr>
      <w:tr>
        <w:trPr>
          <w:jc w:val="center"/>
          <w:trHeight w:val="28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座位数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驾驶室准乘人数2人</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4"/>
                <w:szCs w:val="24"/>
                <w:highlight w:val="none"/>
                <w:u w:val="none"/>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发动机排量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strike w:val="0"/>
                <w:color w:val="auto"/>
                <w:sz w:val="24"/>
                <w:szCs w:val="24"/>
                <w:highlight w:val="none"/>
                <w:u w:val="none"/>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≥1200</w:t>
            </w:r>
            <w:r/>
          </w:p>
        </w:tc>
      </w:tr>
      <w:tr>
        <w:trPr>
          <w:jc w:val="center"/>
          <w:trHeight w:val="264"/>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发动机/动力</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▲发动机功率（KW)</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r>
      <w:tr>
        <w:trPr>
          <w:jc w:val="center"/>
          <w:trHeight w:val="249"/>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最高车速（km/h）</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r>
      <w:tr>
        <w:trPr>
          <w:jc w:val="center"/>
          <w:trHeight w:val="242"/>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燃料种类</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汽油</w:t>
            </w:r>
            <w:r/>
          </w:p>
        </w:tc>
      </w:tr>
      <w:tr>
        <w:trPr>
          <w:jc w:val="center"/>
          <w:trHeight w:val="242"/>
        </w:trPr>
        <w:tc>
          <w:tcPr>
            <w:shd w:val="clear" w:color="auto" w:fill="ffffff"/>
            <w:tcBorders>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排放标准</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国Ⅵ</w:t>
            </w:r>
            <w:r/>
          </w:p>
        </w:tc>
      </w:tr>
      <w:tr>
        <w:trPr>
          <w:jc w:val="center"/>
          <w:trHeight w:val="28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变速操纵</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▲换挡机构（D/R/N）</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手动/自动</w:t>
            </w:r>
            <w:r/>
          </w:p>
        </w:tc>
      </w:tr>
      <w:tr>
        <w:trPr>
          <w:jc w:val="center"/>
          <w:trHeight w:val="90"/>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车轮/制动配置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盘式</w:t>
            </w:r>
            <w:r/>
          </w:p>
        </w:tc>
      </w:tr>
      <w:tr>
        <w:trPr>
          <w:jc w:val="center"/>
          <w:trHeight w:val="271"/>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鼓式</w:t>
            </w:r>
            <w:r/>
          </w:p>
        </w:tc>
      </w:tr>
      <w:tr>
        <w:trPr>
          <w:jc w:val="center"/>
          <w:trHeight w:val="260"/>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驻车制动类型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手刹</w:t>
            </w:r>
            <w:r/>
          </w:p>
        </w:tc>
      </w:tr>
      <w:tr>
        <w:trPr>
          <w:jc w:val="center"/>
          <w:trHeight w:val="25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轮圈材质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钢轮</w:t>
            </w:r>
            <w:r/>
          </w:p>
        </w:tc>
      </w:tr>
      <w:tr>
        <w:trPr>
          <w:jc w:val="center"/>
          <w:trHeight w:val="260"/>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ABS防抱死</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内部配置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主/副驾遮阳板</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地板革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安全带未系提醒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主驾驶位</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防盗配置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机械钥匙</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二把</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座椅配置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前后可调节</w:t>
            </w:r>
            <w:r/>
          </w:p>
        </w:tc>
      </w:tr>
      <w:tr>
        <w:trPr>
          <w:jc w:val="center"/>
          <w:trHeight w:val="28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靠背前后可调节</w:t>
            </w: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多媒体配置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USB接口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69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警灯警报系统</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驾驶室外顶部设置警灯警报，驾驶室内设有警灯警报系统控制器，具有多媒体或USB外接音频播放功能</w:t>
            </w:r>
            <w:r>
              <w:rPr>
                <w:rFonts w:hint="eastAsia" w:ascii="宋体" w:hAnsi="宋体" w:cs="宋体"/>
                <w:i w:val="0"/>
                <w:iCs w:val="0"/>
                <w:color w:val="auto"/>
                <w:sz w:val="24"/>
                <w:szCs w:val="24"/>
                <w:highlight w:val="none"/>
                <w:u w:val="none"/>
                <w:lang w:val="en-US" w:eastAsia="zh-CN" w:bidi="ar"/>
              </w:rPr>
              <w:t xml:space="preserve">（上牌后安装）</w:t>
            </w:r>
            <w:r/>
          </w:p>
        </w:tc>
      </w:tr>
      <w:tr>
        <w:trPr>
          <w:jc w:val="center"/>
          <w:trHeight w:val="26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12V</w:t>
            </w:r>
            <w:r/>
          </w:p>
        </w:tc>
      </w:tr>
      <w:tr>
        <w:trPr>
          <w:jc w:val="center"/>
          <w:trHeight w:val="29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灯具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前大灯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355"/>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组合后尾灯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Style w:val="941"/>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9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转向灯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Style w:val="941"/>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空调配置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冷暖空调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75"/>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随车常规器材</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拖车牵引钩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53"/>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三角警示牌</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67"/>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反光背心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90"/>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备胎</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全尺寸备胎</w:t>
            </w:r>
            <w:r/>
          </w:p>
        </w:tc>
      </w:tr>
      <w:tr>
        <w:trPr>
          <w:jc w:val="center"/>
          <w:trHeight w:val="278"/>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轮胎扳手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78"/>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千斤顶</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标配</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消防部分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1.设计：模块化设计，由罐体、器材箱、泵室等结构组成；</w:t>
            </w:r>
            <w:r/>
          </w:p>
        </w:tc>
      </w:tr>
      <w:tr>
        <w:trPr>
          <w:jc w:val="center"/>
          <w:trHeight w:val="368"/>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2.器材箱：</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 数量：2~5门</w:t>
            </w:r>
            <w:r>
              <w:rPr>
                <w:rFonts w:hint="eastAsia" w:ascii="宋体" w:hAnsi="宋体" w:eastAsia="宋体" w:cs="宋体"/>
                <w:b/>
                <w:bCs/>
                <w:i w:val="0"/>
                <w:iCs w:val="0"/>
                <w:color w:val="auto"/>
                <w:sz w:val="24"/>
                <w:szCs w:val="24"/>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 参照常规水罐泡沫消防车的卷帘门设计或单开门、对开门</w:t>
            </w:r>
            <w:r>
              <w:rPr>
                <w:rFonts w:hint="eastAsia" w:ascii="宋体" w:hAnsi="宋体" w:eastAsia="宋体" w:cs="宋体"/>
                <w:b/>
                <w:bCs/>
                <w:i w:val="0"/>
                <w:iCs w:val="0"/>
                <w:color w:val="auto"/>
                <w:sz w:val="24"/>
                <w:szCs w:val="24"/>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strike/>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 箱体内合理布置，满足放置移动式手抬机动泵、灭火器、水带、水带固定架等随车消防装备；</w:t>
            </w:r>
            <w:r/>
          </w:p>
        </w:tc>
      </w:tr>
      <w:tr>
        <w:trPr>
          <w:jc w:val="center"/>
          <w:trHeight w:val="71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3.泵室：</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 泵室位于车辆后部；</w:t>
            </w: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auto"/>
                <w:sz w:val="24"/>
                <w:szCs w:val="24"/>
                <w:highlight w:val="none"/>
                <w:u w:val="none"/>
                <w:lang w:val="en-US" w:eastAsia="zh-CN" w:bidi="ar"/>
              </w:rPr>
              <w:t xml:space="preserve">3.2设置一键式操作面板，面板可实现一键启停功能；</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泵室应预留</w:t>
            </w:r>
            <w:r>
              <w:rPr>
                <w:rFonts w:hint="eastAsia" w:ascii="宋体" w:hAnsi="宋体" w:eastAsia="宋体" w:cs="宋体"/>
                <w:i w:val="0"/>
                <w:iCs w:val="0"/>
                <w:color w:val="auto"/>
                <w:sz w:val="24"/>
                <w:szCs w:val="24"/>
                <w:highlight w:val="none"/>
                <w:u w:val="none"/>
                <w:lang w:val="en-US" w:eastAsia="zh-CN" w:bidi="ar"/>
              </w:rPr>
              <w:t xml:space="preserve">不少于150L空间，可扩展固定泡沫灭火装置功能。</w:t>
            </w:r>
            <w:r/>
          </w:p>
        </w:tc>
      </w:tr>
      <w:tr>
        <w:trPr>
          <w:jc w:val="center"/>
          <w:trHeight w:val="331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numPr>
                <w:ilvl w:val="0"/>
                <w:numId w:val="0"/>
              </w:num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4.水泵：</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 类型：手抬机动消防泵（具备电启动功能）；</w:t>
            </w: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rPr>
                <w:rFonts w:hint="eastAsia" w:ascii="宋体" w:hAnsi="宋体" w:cs="宋体"/>
                <w:b w:val="0"/>
                <w:bCs w:val="0"/>
                <w:i w:val="0"/>
                <w:iCs w:val="0"/>
                <w:color w:val="auto"/>
                <w:sz w:val="24"/>
                <w:szCs w:val="24"/>
                <w:highlight w:val="none"/>
                <w:u w:val="none"/>
                <w:lang w:val="en-US" w:eastAsia="zh-CN" w:bidi="ar"/>
              </w:rPr>
              <w:t xml:space="preserve">额定</w:t>
            </w:r>
            <w:r>
              <w:rPr>
                <w:rFonts w:hint="eastAsia" w:ascii="宋体" w:hAnsi="宋体" w:eastAsia="宋体" w:cs="宋体"/>
                <w:b w:val="0"/>
                <w:bCs w:val="0"/>
                <w:i w:val="0"/>
                <w:iCs w:val="0"/>
                <w:color w:val="auto"/>
                <w:sz w:val="24"/>
                <w:szCs w:val="24"/>
                <w:highlight w:val="none"/>
                <w:u w:val="none"/>
                <w:lang w:val="en-US" w:eastAsia="zh-CN" w:bidi="ar"/>
              </w:rPr>
              <w:t xml:space="preserve">流量：≥8L/S（3m吸深</w:t>
            </w:r>
            <w:r>
              <w:rPr>
                <w:rFonts w:hint="eastAsia" w:ascii="宋体" w:hAnsi="宋体" w:cs="宋体"/>
                <w:b w:val="0"/>
                <w:bCs w:val="0"/>
                <w:i w:val="0"/>
                <w:iCs w:val="0"/>
                <w:color w:val="auto"/>
                <w:sz w:val="24"/>
                <w:szCs w:val="24"/>
                <w:highlight w:val="none"/>
                <w:u w:val="none"/>
                <w:lang w:val="en-US" w:eastAsia="zh-CN" w:bidi="ar"/>
              </w:rPr>
              <w:t xml:space="preserve">）</w:t>
            </w: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4.3 消防泵发动机功率：≥6.8kW；</w:t>
            </w: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4.4 消防泵发动机形式：卧式、单缸、强制风冷、四冲程；</w:t>
            </w: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 </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连续运转时间：≥1h；</w:t>
            </w:r>
            <w:r/>
          </w:p>
          <w:p>
            <w:pPr>
              <w:jc w:val="left"/>
              <w:keepLines w:val="0"/>
              <w:keepNext w:val="0"/>
              <w:pageBreakBefore w:val="0"/>
              <w:spacing w:line="32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4.6手抬机动消防泵整机重量：≤55Kg；</w:t>
            </w:r>
            <w:r/>
          </w:p>
          <w:p>
            <w:pPr>
              <w:jc w:val="left"/>
              <w:keepLines w:val="0"/>
              <w:keepNext w:val="0"/>
              <w:pageBreakBefore w:val="0"/>
              <w:spacing w:line="320" w:lineRule="exact"/>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4.7手抬泵机动消防泵使用功能：外吸时，手抬泵进水口直接连接吸水管可直接作业，保证吸收深度≥6m,并配备一根≥7m吸水管，吸水管放置在箱体内并固定牢固；</w:t>
            </w:r>
            <w:r/>
          </w:p>
        </w:tc>
      </w:tr>
      <w:tr>
        <w:trPr>
          <w:jc w:val="center"/>
          <w:trHeight w:val="116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扩展：</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 顶部预留空间配备消防6米拉梯；</w:t>
            </w:r>
            <w:r/>
          </w:p>
          <w:p>
            <w:pPr>
              <w:jc w:val="left"/>
              <w:keepLines w:val="0"/>
              <w:keepNext w:val="0"/>
              <w:pageBreakBefore w:val="0"/>
              <w:spacing w:line="320" w:lineRule="exact"/>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 顶部或尾部安装救生圈卡扣，并安装救生圈</w:t>
            </w:r>
            <w:r>
              <w:rPr>
                <w:rFonts w:hint="eastAsia" w:ascii="宋体" w:hAnsi="宋体" w:cs="宋体"/>
                <w:i w:val="0"/>
                <w:iCs w:val="0"/>
                <w:color w:val="auto"/>
                <w:sz w:val="24"/>
                <w:szCs w:val="24"/>
                <w:highlight w:val="none"/>
                <w:u w:val="none"/>
                <w:lang w:val="en-US" w:eastAsia="zh-CN" w:bidi="ar"/>
              </w:rPr>
              <w:t xml:space="preserve">（符合GB4302-2008）</w:t>
            </w:r>
            <w:r>
              <w:rPr>
                <w:rFonts w:hint="eastAsia" w:ascii="宋体" w:hAnsi="宋体" w:eastAsia="宋体" w:cs="宋体"/>
                <w:i w:val="0"/>
                <w:iCs w:val="0"/>
                <w:color w:val="auto"/>
                <w:sz w:val="24"/>
                <w:szCs w:val="24"/>
                <w:highlight w:val="none"/>
                <w:u w:val="none"/>
                <w:lang w:val="en-US" w:eastAsia="zh-CN" w:bidi="ar"/>
              </w:rPr>
              <w:t xml:space="preserve">1组；</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容罐部分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1.设计：水箱内设有隔板阻浪板；</w:t>
            </w:r>
            <w:r/>
          </w:p>
        </w:tc>
      </w:tr>
      <w:tr>
        <w:trPr>
          <w:jc w:val="center"/>
          <w:trHeight w:val="29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2.材质：≥1.2mm厚</w:t>
            </w:r>
            <w:r>
              <w:rPr>
                <w:rFonts w:hint="eastAsia" w:ascii="宋体" w:hAnsi="宋体" w:cs="宋体"/>
                <w:i w:val="0"/>
                <w:iCs w:val="0"/>
                <w:color w:val="auto"/>
                <w:sz w:val="24"/>
                <w:szCs w:val="24"/>
                <w:highlight w:val="none"/>
                <w:u w:val="none"/>
                <w:lang w:val="en-US" w:eastAsia="zh-CN" w:bidi="ar"/>
              </w:rPr>
              <w:t xml:space="preserve">304</w:t>
            </w:r>
            <w:r>
              <w:rPr>
                <w:rFonts w:hint="eastAsia" w:ascii="宋体" w:hAnsi="宋体" w:eastAsia="宋体" w:cs="宋体"/>
                <w:i w:val="0"/>
                <w:iCs w:val="0"/>
                <w:color w:val="auto"/>
                <w:sz w:val="24"/>
                <w:szCs w:val="24"/>
                <w:highlight w:val="none"/>
                <w:u w:val="none"/>
                <w:lang w:val="en-US" w:eastAsia="zh-CN" w:bidi="ar"/>
              </w:rPr>
              <w:t xml:space="preserve">不锈钢材质；</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941"/>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▲3.水箱容积：≥1000L；</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4.注水口：车身两侧设置DN65消防接口，可通过消防栓注水；车顶设置水罐顶盖；</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5.液位系统：在泵室设有水箱液位显示。</w:t>
            </w:r>
            <w:r/>
          </w:p>
        </w:tc>
      </w:tr>
      <w:tr>
        <w:trPr>
          <w:jc w:val="center"/>
          <w:trHeight w:val="26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车身涂装部分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1.驾驶室和上装外表面：</w:t>
            </w:r>
            <w:r>
              <w:rPr>
                <w:rFonts w:hint="eastAsia" w:ascii="宋体" w:hAnsi="宋体" w:cs="宋体"/>
                <w:i w:val="0"/>
                <w:iCs w:val="0"/>
                <w:strike w:val="0"/>
                <w:color w:val="auto"/>
                <w:sz w:val="24"/>
                <w:szCs w:val="24"/>
                <w:highlight w:val="none"/>
                <w:u w:val="none"/>
                <w:lang w:val="en-US" w:eastAsia="zh-CN" w:bidi="ar"/>
              </w:rPr>
              <w:t xml:space="preserve">红色</w:t>
            </w:r>
            <w:r>
              <w:rPr>
                <w:rFonts w:hint="eastAsia" w:ascii="宋体" w:hAnsi="宋体" w:eastAsia="宋体" w:cs="宋体"/>
                <w:i w:val="0"/>
                <w:iCs w:val="0"/>
                <w:color w:val="auto"/>
                <w:sz w:val="24"/>
                <w:szCs w:val="24"/>
                <w:highlight w:val="none"/>
                <w:u w:val="none"/>
                <w:lang w:val="en-US" w:eastAsia="zh-CN" w:bidi="ar"/>
              </w:rPr>
              <w:t xml:space="preserve">；</w:t>
            </w:r>
            <w:r/>
          </w:p>
        </w:tc>
      </w:tr>
      <w:tr>
        <w:trPr>
          <w:jc w:val="center"/>
          <w:trHeight w:val="33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941"/>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2.器材室、泵室卷帘门：银色/银灰色；</w:t>
            </w:r>
            <w:r/>
          </w:p>
        </w:tc>
      </w:tr>
      <w:tr>
        <w:trPr>
          <w:jc w:val="center"/>
          <w:trHeight w:val="27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3.开关及阀门：所有开关阀门具有中文标识；</w:t>
            </w:r>
            <w:r/>
          </w:p>
        </w:tc>
      </w:tr>
      <w:tr>
        <w:trPr>
          <w:jc w:val="center"/>
          <w:trHeight w:val="25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▲4.车身：反光安全标识；</w:t>
            </w:r>
            <w:r/>
          </w:p>
        </w:tc>
      </w:tr>
      <w:tr>
        <w:trPr>
          <w:jc w:val="center"/>
          <w:trHeight w:val="25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5.整车标识：按用户要求标识。</w:t>
            </w:r>
            <w:r/>
          </w:p>
        </w:tc>
      </w:tr>
      <w:tr>
        <w:trPr>
          <w:jc w:val="center"/>
          <w:trHeight w:val="69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行车记录仪</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必须支持通过通信协议接入到南通市消防救援支队消防物联网预警监测系统，能够在预警监测系统中展示实时坐标、行驶轨迹等。（须提供</w:t>
            </w:r>
            <w:r>
              <w:rPr>
                <w:rFonts w:hint="eastAsia" w:ascii="宋体" w:hAnsi="宋体" w:eastAsia="宋体" w:cs="宋体"/>
                <w:b w:val="0"/>
                <w:bCs w:val="0"/>
                <w:color w:val="auto"/>
                <w:sz w:val="24"/>
                <w:szCs w:val="24"/>
                <w:highlight w:val="none"/>
              </w:rPr>
              <w:t xml:space="preserve">承诺函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格式自拟，不提供视为无效响应。</w:t>
            </w:r>
            <w:r>
              <w:rPr>
                <w:rFonts w:hint="eastAsia" w:ascii="宋体" w:hAnsi="宋体" w:eastAsia="宋体" w:cs="宋体"/>
                <w:b w:val="0"/>
                <w:bCs w:val="0"/>
                <w:i w:val="0"/>
                <w:iCs w:val="0"/>
                <w:color w:val="auto"/>
                <w:sz w:val="24"/>
                <w:szCs w:val="24"/>
                <w:highlight w:val="none"/>
                <w:u w:val="none"/>
                <w:lang w:val="en-US" w:eastAsia="zh-CN" w:bidi="ar"/>
              </w:rPr>
              <w:t xml:space="preserve">）</w:t>
            </w:r>
            <w:r/>
          </w:p>
        </w:tc>
      </w:tr>
      <w:tr>
        <w:trPr>
          <w:jc w:val="center"/>
          <w:trHeight w:val="26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随车资料</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1.车辆合格证；</w:t>
            </w:r>
            <w:r/>
          </w:p>
        </w:tc>
      </w:tr>
      <w:tr>
        <w:trPr>
          <w:jc w:val="center"/>
          <w:trHeight w:val="27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2.车辆环保信息随车清单；</w:t>
            </w:r>
            <w:r/>
          </w:p>
        </w:tc>
      </w:tr>
      <w:tr>
        <w:trPr>
          <w:jc w:val="center"/>
          <w:trHeight w:val="26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3.车辆使用说明书（纸质版或电子版）；</w:t>
            </w:r>
            <w:r/>
          </w:p>
        </w:tc>
      </w:tr>
      <w:tr>
        <w:trPr>
          <w:jc w:val="center"/>
          <w:trHeight w:val="25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4.提供车辆一致性证书；</w:t>
            </w: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941"/>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Style w:val="941"/>
                <w:rFonts w:hint="eastAsia" w:ascii="宋体" w:hAnsi="宋体" w:eastAsia="宋体" w:cs="宋体"/>
                <w:i w:val="0"/>
                <w:iCs w:val="0"/>
                <w:color w:val="auto"/>
                <w:sz w:val="24"/>
                <w:szCs w:val="24"/>
                <w:highlight w:val="none"/>
                <w:lang w:val="en-US" w:eastAsia="zh-CN" w:bidi="ar"/>
              </w:rPr>
              <w:t xml:space="preserve">5.手抬机动消防泵必须提供消防产品</w:t>
            </w:r>
            <w:r>
              <w:rPr>
                <w:rStyle w:val="942"/>
                <w:rFonts w:hint="eastAsia" w:ascii="宋体" w:hAnsi="宋体" w:eastAsia="宋体" w:cs="宋体"/>
                <w:i w:val="0"/>
                <w:iCs w:val="0"/>
                <w:color w:val="auto"/>
                <w:sz w:val="24"/>
                <w:szCs w:val="24"/>
                <w:highlight w:val="none"/>
                <w:lang w:val="en-US" w:eastAsia="zh-CN" w:bidi="ar"/>
              </w:rPr>
              <w:t xml:space="preserve">认证证书</w:t>
            </w:r>
            <w:r>
              <w:rPr>
                <w:rStyle w:val="941"/>
                <w:rFonts w:hint="eastAsia" w:ascii="宋体" w:hAnsi="宋体" w:eastAsia="宋体" w:cs="宋体"/>
                <w:i w:val="0"/>
                <w:iCs w:val="0"/>
                <w:color w:val="auto"/>
                <w:sz w:val="24"/>
                <w:szCs w:val="24"/>
                <w:highlight w:val="none"/>
                <w:lang w:val="en-US" w:eastAsia="zh-CN" w:bidi="ar"/>
              </w:rPr>
              <w:t xml:space="preserve">及检测报告。</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随车器材（水枪、水带、转换接口、吸水管均为快速接口）</w:t>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随车器材名称及参数要求</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40口径直流喷雾水枪（可调节直流与开花喷水）</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2把</w:t>
            </w:r>
            <w:r/>
          </w:p>
        </w:tc>
      </w:tr>
      <w:tr>
        <w:trPr>
          <w:jc w:val="center"/>
          <w:trHeight w:val="278"/>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40水带（13-40-20）</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2盘</w:t>
            </w:r>
            <w:r/>
          </w:p>
        </w:tc>
      </w:tr>
      <w:tr>
        <w:trPr>
          <w:jc w:val="center"/>
          <w:trHeight w:val="26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65水带（13-65-20）</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2盘</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手提充电式照明灯（续航时间不小于10小时，带背带）</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1个</w:t>
            </w:r>
            <w:r/>
          </w:p>
        </w:tc>
      </w:tr>
      <w:tr>
        <w:trPr>
          <w:jc w:val="center"/>
          <w:trHeight w:val="24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干粉灭火器（4kg）</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2个</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消防灭火服（上衣、裤子、头盔、胶靴、手套，面料具有阻燃功能）</w:t>
            </w:r>
            <w:r>
              <w:rPr>
                <w:rFonts w:hint="eastAsia" w:ascii="宋体" w:hAnsi="宋体" w:cs="宋体"/>
                <w:i w:val="0"/>
                <w:iCs w:val="0"/>
                <w:color w:val="auto"/>
                <w:sz w:val="24"/>
                <w:szCs w:val="24"/>
                <w:highlight w:val="none"/>
                <w:u w:val="none"/>
                <w:lang w:val="en-US" w:eastAsia="zh-CN" w:bidi="ar"/>
              </w:rPr>
              <w:t xml:space="preserve">（符合XF10-2014）</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2套</w:t>
            </w:r>
            <w:r/>
          </w:p>
        </w:tc>
      </w:tr>
      <w:tr>
        <w:trPr>
          <w:jc w:val="center"/>
          <w:trHeight w:val="25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定制车辆标识</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r>
      <w:tr>
        <w:trPr>
          <w:jc w:val="center"/>
          <w:trHeight w:val="92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自动/手动车载救生包（充气式，遇水自动充气打开，100N/24小时以上，300D牛津布材料，可承载250斤成年人，带有破窗锤功能，含水域救援抛绳包及卡扣）</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1个</w:t>
            </w:r>
            <w:r/>
          </w:p>
        </w:tc>
      </w:tr>
      <w:tr>
        <w:trPr>
          <w:jc w:val="center"/>
          <w:trHeight w:val="27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DN65内扣转卡式异型</w:t>
            </w:r>
            <w:r>
              <w:rPr>
                <w:rFonts w:hint="eastAsia" w:ascii="宋体" w:hAnsi="宋体" w:cs="宋体"/>
                <w:i w:val="0"/>
                <w:iCs w:val="0"/>
                <w:color w:val="auto"/>
                <w:sz w:val="24"/>
                <w:szCs w:val="24"/>
                <w:highlight w:val="none"/>
                <w:u w:val="none"/>
                <w:lang w:val="en-US" w:eastAsia="zh-CN" w:bidi="ar"/>
              </w:rPr>
              <w:t xml:space="preserve">接口</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2个</w:t>
            </w:r>
            <w:r/>
          </w:p>
        </w:tc>
      </w:tr>
      <w:tr>
        <w:trPr>
          <w:jc w:val="center"/>
          <w:trHeight w:val="34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auto"/>
                <w:sz w:val="24"/>
                <w:szCs w:val="24"/>
                <w:highlight w:val="none"/>
                <w:u w:val="none"/>
                <w:lang w:val="en-US" w:eastAsia="zh-CN" w:bidi="ar"/>
              </w:rPr>
              <w:t xml:space="preserve">漂浮式水泵（汽</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油动力，≥2kw，可漂浮水面吸水供水、或直接出水，出水直径40mm，预留DN40快速接口，带≥</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20米</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系留绳）</w:t>
            </w:r>
            <w:r/>
          </w:p>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▲漂浮式水泵</w:t>
            </w: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流量≥7L/S</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1个</w:t>
            </w:r>
            <w:r/>
          </w:p>
        </w:tc>
      </w:tr>
      <w:tr>
        <w:trPr>
          <w:jc w:val="center"/>
          <w:trHeight w:val="92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过滤式消防自救呼吸器（使用时间≥30min，过滤率≥95%）</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2个</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消火栓扳手、消防斧、铁锹</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各1个</w:t>
            </w:r>
            <w:r/>
          </w:p>
        </w:tc>
      </w:tr>
      <w:tr>
        <w:trPr>
          <w:jc w:val="center"/>
          <w:trHeight w:val="207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注明</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bookmarkStart w:id="192" w:name="_GoBack"/>
            <w:r/>
            <w:bookmarkEnd w:id="192"/>
            <w:r>
              <w:rPr>
                <w:rFonts w:hint="eastAsia" w:ascii="仿宋" w:hAnsi="仿宋" w:eastAsia="仿宋" w:cs="仿宋"/>
                <w:b/>
                <w:bCs/>
                <w:i w:val="0"/>
                <w:iCs w:val="0"/>
                <w:color w:val="auto"/>
                <w:sz w:val="24"/>
                <w:szCs w:val="24"/>
                <w:highlight w:val="none"/>
                <w:u w:val="none"/>
                <w:lang w:val="en-US" w:eastAsia="zh-CN" w:bidi="ar"/>
              </w:rPr>
              <w:t xml:space="preserve">所供车辆必须是未使用过的全新车辆，里程≤50公里（不含送车里程），交付车辆为交付前六个月内生产的车辆（以合格证出厂日期为准），否则视为验收不合格。</w:t>
            </w:r>
            <w:r/>
          </w:p>
          <w:p>
            <w:pPr>
              <w:jc w:val="left"/>
              <w:keepLines w:val="0"/>
              <w:keepNext w:val="0"/>
              <w:pageBreakBefore w:val="0"/>
              <w:spacing w:line="32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所投车辆验收时必须提供工信部公告，必须保证能够在南通市车辆管理所可以上牌。成交人必须协助上牌，无条件提供上牌所需各类证件材料。所需的上牌费、交强险均由成交人负责。若不能上牌，采购人可取消合同，一切损失后果由成交人承担。</w:t>
            </w:r>
            <w:r>
              <w:rPr>
                <w:rFonts w:hint="eastAsia" w:ascii="宋体" w:hAnsi="宋体" w:eastAsia="宋体" w:cs="宋体"/>
                <w:b/>
                <w:bCs/>
                <w:i w:val="0"/>
                <w:iCs w:val="0"/>
                <w:color w:val="auto"/>
                <w:sz w:val="24"/>
                <w:szCs w:val="24"/>
                <w:highlight w:val="none"/>
                <w:u w:val="none"/>
                <w:lang w:val="en-US" w:eastAsia="zh-CN" w:bidi="ar"/>
              </w:rPr>
              <w:t xml:space="preserve">响应供应商须提供承诺函，格式自拟，不提供视为无效响应。</w:t>
            </w:r>
            <w:r/>
          </w:p>
          <w:p>
            <w:pPr>
              <w:numPr>
                <w:ilvl w:val="0"/>
                <w:numId w:val="6"/>
              </w:numPr>
              <w:jc w:val="left"/>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所投车辆必须满足地下</w:t>
            </w:r>
            <w:r>
              <w:rPr>
                <w:rFonts w:hint="eastAsia" w:ascii="宋体" w:hAnsi="宋体" w:cs="宋体"/>
                <w:b w:val="0"/>
                <w:bCs w:val="0"/>
                <w:i w:val="0"/>
                <w:iCs w:val="0"/>
                <w:color w:val="auto"/>
                <w:sz w:val="24"/>
                <w:szCs w:val="24"/>
                <w:highlight w:val="none"/>
                <w:u w:val="none"/>
                <w:lang w:val="en-US" w:eastAsia="zh-CN" w:bidi="ar"/>
              </w:rPr>
              <w:t xml:space="preserve">机动</w:t>
            </w:r>
            <w:r>
              <w:rPr>
                <w:rFonts w:hint="eastAsia" w:ascii="宋体" w:hAnsi="宋体" w:eastAsia="宋体" w:cs="宋体"/>
                <w:b w:val="0"/>
                <w:bCs w:val="0"/>
                <w:i w:val="0"/>
                <w:iCs w:val="0"/>
                <w:color w:val="auto"/>
                <w:sz w:val="24"/>
                <w:szCs w:val="24"/>
                <w:highlight w:val="none"/>
                <w:u w:val="none"/>
                <w:lang w:val="en-US" w:eastAsia="zh-CN" w:bidi="ar"/>
              </w:rPr>
              <w:t xml:space="preserve">车库通行要求，确保小区地下</w:t>
            </w:r>
            <w:r>
              <w:rPr>
                <w:rFonts w:hint="eastAsia" w:ascii="宋体" w:hAnsi="宋体" w:cs="宋体"/>
                <w:b w:val="0"/>
                <w:bCs w:val="0"/>
                <w:i w:val="0"/>
                <w:iCs w:val="0"/>
                <w:color w:val="auto"/>
                <w:sz w:val="24"/>
                <w:szCs w:val="24"/>
                <w:highlight w:val="none"/>
                <w:u w:val="none"/>
                <w:lang w:val="en-US" w:eastAsia="zh-CN" w:bidi="ar"/>
              </w:rPr>
              <w:t xml:space="preserve">机动</w:t>
            </w:r>
            <w:r>
              <w:rPr>
                <w:rFonts w:hint="eastAsia" w:ascii="宋体" w:hAnsi="宋体" w:eastAsia="宋体" w:cs="宋体"/>
                <w:b w:val="0"/>
                <w:bCs w:val="0"/>
                <w:i w:val="0"/>
                <w:iCs w:val="0"/>
                <w:color w:val="auto"/>
                <w:sz w:val="24"/>
                <w:szCs w:val="24"/>
                <w:highlight w:val="none"/>
                <w:u w:val="none"/>
                <w:lang w:val="en-US" w:eastAsia="zh-CN" w:bidi="ar"/>
              </w:rPr>
              <w:t xml:space="preserve">车库能够顺畅进出。</w:t>
            </w:r>
            <w:r/>
          </w:p>
          <w:p>
            <w:pPr>
              <w:numPr>
                <w:ilvl w:val="0"/>
                <w:numId w:val="6"/>
              </w:numPr>
              <w:jc w:val="left"/>
              <w:keepLines w:val="0"/>
              <w:keepNext w:val="0"/>
              <w:pageBreakBefore w:val="0"/>
              <w:spacing w:line="32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所提供消防产品均符合相关行业国家标准</w:t>
            </w:r>
            <w:r/>
          </w:p>
        </w:tc>
      </w:tr>
    </w:tbl>
    <w:p>
      <w:pPr>
        <w:ind w:firstLine="562"/>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说明：</w:t>
      </w:r>
      <w:r/>
    </w:p>
    <w:p>
      <w:pPr>
        <w:numPr>
          <w:ilvl w:val="0"/>
          <w:numId w:val="0"/>
        </w:numPr>
        <w:ind w:firstLine="562"/>
        <w:spacing w:line="500" w:lineRule="exact"/>
        <w:rPr>
          <w:rFonts w:hint="eastAsia" w:ascii="仿宋" w:hAnsi="仿宋" w:eastAsia="仿宋" w:cs="Times New Roman"/>
          <w:b/>
          <w:bCs/>
          <w:color w:val="0000ff"/>
          <w:sz w:val="28"/>
          <w:szCs w:val="28"/>
          <w:highlight w:val="none"/>
          <w:lang w:val="en-US" w:eastAsia="zh-CN"/>
        </w:rPr>
      </w:pPr>
      <w:r>
        <w:rPr>
          <w:rFonts w:hint="eastAsia" w:ascii="仿宋" w:hAnsi="仿宋" w:eastAsia="仿宋"/>
          <w:b/>
          <w:bCs/>
          <w:color w:val="0000ff"/>
          <w:sz w:val="28"/>
          <w:szCs w:val="28"/>
          <w:highlight w:val="none"/>
          <w:lang w:val="en-US" w:eastAsia="zh-CN"/>
        </w:rPr>
        <w:t xml:space="preserve">1.以上参数中未被</w:t>
      </w:r>
      <w:r>
        <w:rPr>
          <w:rFonts w:hint="eastAsia" w:ascii="仿宋" w:hAnsi="仿宋" w:eastAsia="仿宋" w:cs="Times New Roman"/>
          <w:b/>
          <w:bCs/>
          <w:color w:val="0000ff"/>
          <w:sz w:val="28"/>
          <w:szCs w:val="28"/>
          <w:highlight w:val="none"/>
          <w:lang w:val="en-US" w:eastAsia="zh-CN"/>
        </w:rPr>
        <w:t xml:space="preserve">“▲”标注的</w:t>
      </w:r>
      <w:r>
        <w:rPr>
          <w:rFonts w:hint="eastAsia" w:ascii="仿宋" w:hAnsi="仿宋" w:eastAsia="仿宋"/>
          <w:b/>
          <w:bCs/>
          <w:color w:val="0000ff"/>
          <w:sz w:val="28"/>
          <w:szCs w:val="28"/>
          <w:highlight w:val="none"/>
          <w:lang w:val="en-US" w:eastAsia="zh-CN"/>
        </w:rPr>
        <w:t xml:space="preserve">为实质性要求</w:t>
      </w:r>
      <w:r>
        <w:rPr>
          <w:rFonts w:hint="eastAsia" w:ascii="仿宋" w:hAnsi="仿宋" w:eastAsia="仿宋" w:cs="Times New Roman"/>
          <w:b/>
          <w:bCs/>
          <w:color w:val="0000ff"/>
          <w:sz w:val="28"/>
          <w:szCs w:val="28"/>
          <w:highlight w:val="none"/>
          <w:lang w:val="en-US" w:eastAsia="zh-CN"/>
        </w:rPr>
        <w:t xml:space="preserve">，不接受偏离（即不得劣于参数要求），否则视为无效响应。</w:t>
      </w:r>
      <w:r/>
    </w:p>
    <w:p>
      <w:pPr>
        <w:numPr>
          <w:ilvl w:val="0"/>
          <w:numId w:val="0"/>
        </w:numPr>
        <w:ind w:firstLine="562"/>
        <w:spacing w:line="500" w:lineRule="exact"/>
        <w:rPr>
          <w:rFonts w:hint="eastAsia" w:ascii="仿宋" w:hAnsi="仿宋" w:eastAsia="仿宋"/>
          <w:b/>
          <w:color w:val="0000ff"/>
          <w:sz w:val="28"/>
          <w:szCs w:val="28"/>
          <w:highlight w:val="none"/>
        </w:rPr>
      </w:pPr>
      <w:r>
        <w:rPr>
          <w:rFonts w:hint="eastAsia" w:ascii="仿宋" w:hAnsi="仿宋" w:eastAsia="仿宋"/>
          <w:b/>
          <w:color w:val="0000ff"/>
          <w:sz w:val="28"/>
          <w:szCs w:val="28"/>
          <w:highlight w:val="none"/>
          <w:lang w:val="en-US" w:eastAsia="zh-CN"/>
        </w:rPr>
        <w:t xml:space="preserve">2.其他参数</w:t>
      </w:r>
      <w:r>
        <w:rPr>
          <w:rFonts w:hint="eastAsia" w:ascii="仿宋" w:hAnsi="仿宋" w:eastAsia="仿宋"/>
          <w:b/>
          <w:color w:val="0000ff"/>
          <w:sz w:val="28"/>
          <w:szCs w:val="28"/>
          <w:highlight w:val="none"/>
        </w:rPr>
        <w:t xml:space="preserve">须依据对其</w:t>
      </w:r>
      <w:r>
        <w:rPr>
          <w:rFonts w:hint="eastAsia" w:ascii="仿宋" w:hAnsi="仿宋" w:eastAsia="仿宋"/>
          <w:b/>
          <w:color w:val="0000ff"/>
          <w:sz w:val="28"/>
          <w:szCs w:val="28"/>
          <w:highlight w:val="none"/>
          <w:lang w:val="en-US" w:eastAsia="zh-CN"/>
        </w:rPr>
        <w:t xml:space="preserve">响应</w:t>
      </w:r>
      <w:r>
        <w:rPr>
          <w:rFonts w:hint="eastAsia" w:ascii="仿宋" w:hAnsi="仿宋" w:eastAsia="仿宋"/>
          <w:b/>
          <w:color w:val="0000ff"/>
          <w:sz w:val="28"/>
          <w:szCs w:val="28"/>
          <w:highlight w:val="none"/>
        </w:rPr>
        <w:t xml:space="preserve">产品的品牌、型号等信息认真核实，填写技术部分正负偏离表，评审时评委依据技术偏离进行评审。成交后签订合同前须提交每个产品的详细说明书或检测报告，如供货与响应文件不一致，采购人有权拒收货物，成交人需更换符合响应文件的产品供货，如无法满足，采购人可以取消合同。由此引发的一切后果由</w:t>
      </w:r>
      <w:r>
        <w:rPr>
          <w:rFonts w:hint="eastAsia" w:ascii="仿宋" w:hAnsi="仿宋" w:eastAsia="仿宋"/>
          <w:b/>
          <w:color w:val="0000ff"/>
          <w:sz w:val="28"/>
          <w:szCs w:val="28"/>
          <w:highlight w:val="none"/>
          <w:lang w:val="en-US" w:eastAsia="zh-CN"/>
        </w:rPr>
        <w:t xml:space="preserve">成交</w:t>
      </w:r>
      <w:r>
        <w:rPr>
          <w:rFonts w:hint="eastAsia" w:ascii="仿宋" w:hAnsi="仿宋" w:eastAsia="仿宋"/>
          <w:b/>
          <w:color w:val="0000ff"/>
          <w:sz w:val="28"/>
          <w:szCs w:val="28"/>
          <w:highlight w:val="none"/>
        </w:rPr>
        <w:t xml:space="preserve">人承担。</w:t>
      </w:r>
      <w:r/>
    </w:p>
    <w:p>
      <w:pPr>
        <w:numPr>
          <w:ilvl w:val="0"/>
          <w:numId w:val="0"/>
        </w:numPr>
        <w:ind w:firstLine="562"/>
        <w:spacing w:line="500" w:lineRule="exact"/>
        <w:rPr>
          <w:rFonts w:hint="default" w:ascii="仿宋" w:hAnsi="仿宋" w:eastAsia="仿宋"/>
          <w:b/>
          <w:color w:val="0000ff"/>
          <w:sz w:val="28"/>
          <w:szCs w:val="28"/>
          <w:highlight w:val="none"/>
          <w:lang w:val="en-US" w:eastAsia="zh-CN"/>
        </w:rPr>
      </w:pPr>
      <w:r>
        <w:rPr>
          <w:rFonts w:hint="eastAsia" w:ascii="仿宋" w:hAnsi="仿宋" w:eastAsia="仿宋"/>
          <w:b/>
          <w:color w:val="0000ff"/>
          <w:sz w:val="28"/>
          <w:szCs w:val="28"/>
          <w:highlight w:val="none"/>
          <w:lang w:val="en-US" w:eastAsia="zh-CN"/>
        </w:rPr>
        <w:t xml:space="preserve">3.如上述参数为固定值，均为该参数的最低要求，响应供应商可以选择优于该参数的产品进行响应。</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p>
    <w:p>
      <w:pPr>
        <w:ind w:firstLine="480"/>
        <w:spacing w:line="56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1.</w:t>
      </w:r>
      <w:r>
        <w:rPr>
          <w:rFonts w:hint="eastAsia" w:ascii="宋体" w:hAnsi="宋体" w:cs="仿宋_GB2312"/>
          <w:b/>
          <w:color w:val="000000"/>
          <w:sz w:val="28"/>
          <w:szCs w:val="28"/>
          <w:highlight w:val="none"/>
        </w:rPr>
        <w:t xml:space="preserve">采购标的需实现的功能或者目标，以及为落实政府采购政策需满足的要求：</w:t>
      </w:r>
      <w:r/>
    </w:p>
    <w:p>
      <w:pPr>
        <w:ind w:firstLine="480"/>
        <w:spacing w:line="560" w:lineRule="exact"/>
        <w:rPr>
          <w:rFonts w:hint="eastAsia" w:ascii="Times New Roman" w:hAnsi="Times New Roman"/>
          <w:sz w:val="24"/>
          <w:szCs w:val="24"/>
          <w:highlight w:val="none"/>
        </w:rPr>
      </w:pPr>
      <w:r>
        <w:rPr>
          <w:rFonts w:hint="eastAsia"/>
          <w:sz w:val="24"/>
          <w:szCs w:val="24"/>
          <w:highlight w:val="none"/>
          <w:lang w:val="en-US" w:eastAsia="zh-CN"/>
        </w:rPr>
        <w:t xml:space="preserve">为深入贯彻习近平总书记关于安全生产和应急管理的重要指示精神，结合全市经济社会发展现状、灾害事故种类特点和“全灾种、大应急”综合救援形式，提升重点区域及村（社区）初期火灾的处置能力，现需购置村（社区）微型水罐消防车20辆（包含</w:t>
      </w:r>
      <w:r>
        <w:rPr>
          <w:rFonts w:hint="eastAsia" w:ascii="宋体" w:hAnsi="宋体" w:eastAsia="宋体" w:cs="宋体"/>
          <w:b w:val="0"/>
          <w:bCs w:val="0"/>
          <w:i w:val="0"/>
          <w:iCs w:val="0"/>
          <w:color w:val="auto"/>
          <w:sz w:val="24"/>
          <w:szCs w:val="24"/>
          <w:highlight w:val="none"/>
          <w:u w:val="none"/>
          <w:lang w:val="en-US" w:eastAsia="zh-CN" w:bidi="ar"/>
        </w:rPr>
        <w:t xml:space="preserve">微型水罐消防车及随车器材装备</w:t>
      </w:r>
      <w:r>
        <w:rPr>
          <w:rFonts w:hint="eastAsia"/>
          <w:sz w:val="24"/>
          <w:szCs w:val="24"/>
          <w:highlight w:val="none"/>
          <w:lang w:val="en-US" w:eastAsia="zh-CN"/>
        </w:rPr>
        <w:t xml:space="preserve">）</w:t>
      </w:r>
      <w:r>
        <w:rPr>
          <w:rFonts w:hint="eastAsia" w:ascii="Times New Roman" w:hAnsi="Times New Roman"/>
          <w:sz w:val="24"/>
          <w:szCs w:val="24"/>
          <w:highlight w:val="none"/>
        </w:rPr>
        <w:t xml:space="preserve">。</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numPr>
          <w:ilvl w:val="0"/>
          <w:numId w:val="0"/>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lang w:val="en-US" w:eastAsia="zh-CN"/>
        </w:rPr>
        <w:t xml:space="preserve">2.</w:t>
      </w:r>
      <w:r>
        <w:rPr>
          <w:rFonts w:hint="eastAsia" w:ascii="宋体" w:hAnsi="宋体" w:cs="仿宋_GB2312"/>
          <w:b/>
          <w:color w:val="000000"/>
          <w:sz w:val="28"/>
          <w:szCs w:val="28"/>
          <w:highlight w:val="none"/>
        </w:rPr>
        <w:t xml:space="preserve">采购标的需执行的国家相关标准、行业标准、地方标准或者其他标准、规范：</w:t>
      </w:r>
      <w:r/>
    </w:p>
    <w:p>
      <w:pPr>
        <w:ind w:firstLine="480"/>
        <w:spacing w:line="560" w:lineRule="exact"/>
        <w:rPr>
          <w:rFonts w:hint="eastAsia" w:ascii="宋体" w:hAnsi="宋体" w:eastAsia="宋体" w:cs="Times New Roman"/>
          <w:bCs/>
          <w:color w:val="000000"/>
          <w:sz w:val="24"/>
          <w:szCs w:val="24"/>
          <w:highlight w:val="none"/>
        </w:rPr>
      </w:pPr>
      <w:r>
        <w:rPr>
          <w:rFonts w:hint="eastAsia" w:ascii="Times New Roman" w:hAnsi="Times New Roman"/>
          <w:sz w:val="24"/>
          <w:szCs w:val="24"/>
          <w:highlight w:val="none"/>
        </w:rPr>
        <w:t xml:space="preserve">参考国家标准、行业标准，随着标准的修订，根据修订后的最新标准作为依据。除上述规范标准以外，还须遵循国家、行业</w:t>
      </w:r>
      <w:r>
        <w:rPr>
          <w:rFonts w:hint="eastAsia"/>
          <w:sz w:val="24"/>
          <w:szCs w:val="24"/>
          <w:highlight w:val="none"/>
          <w:lang w:eastAsia="zh-CN"/>
        </w:rPr>
        <w:t xml:space="preserve">、</w:t>
      </w:r>
      <w:r>
        <w:rPr>
          <w:rFonts w:hint="eastAsia" w:ascii="Times New Roman" w:hAnsi="Times New Roman"/>
          <w:sz w:val="24"/>
          <w:szCs w:val="24"/>
          <w:highlight w:val="none"/>
        </w:rPr>
        <w:t xml:space="preserve">地方现行的相关规范和标准要求及本招标文件要求。</w:t>
      </w:r>
      <w:r/>
    </w:p>
    <w:p>
      <w:pPr>
        <w:numPr>
          <w:ilvl w:val="0"/>
          <w:numId w:val="0"/>
        </w:numPr>
        <w:spacing w:line="500" w:lineRule="exact"/>
        <w:rPr>
          <w:rFonts w:hint="default" w:ascii="宋体" w:hAnsi="宋体" w:eastAsia="宋体" w:cs="仿宋_GB2312"/>
          <w:b/>
          <w:color w:val="000000"/>
          <w:sz w:val="28"/>
          <w:szCs w:val="28"/>
          <w:highlight w:val="none"/>
        </w:rPr>
      </w:pPr>
      <w:r>
        <w:rPr>
          <w:rFonts w:hint="default" w:ascii="宋体" w:hAnsi="宋体" w:eastAsia="宋体" w:cs="仿宋_GB2312"/>
          <w:b/>
          <w:color w:val="000000"/>
          <w:sz w:val="28"/>
          <w:szCs w:val="28"/>
          <w:highlight w:val="none"/>
          <w:lang w:val="en-US" w:eastAsia="zh-CN" w:bidi="ar-SA"/>
        </w:rPr>
        <w:t xml:space="preserve">3.</w:t>
      </w:r>
      <w:r>
        <w:rPr>
          <w:rFonts w:hint="eastAsia" w:ascii="宋体" w:hAnsi="宋体" w:cs="仿宋_GB2312"/>
          <w:b/>
          <w:color w:val="000000"/>
          <w:sz w:val="28"/>
          <w:szCs w:val="28"/>
          <w:highlight w:val="none"/>
        </w:rPr>
        <w:t xml:space="preserve">采购标的需满足的质量、安全、技术规格、物理特性等要求：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投标供应商必须对产品的质量和售后服务负责，产品必须是全新、未使用过的原装合格正品，完全符合采购文件规定的质量、规格和性能的要求。</w:t>
      </w:r>
      <w:r/>
    </w:p>
    <w:p>
      <w:pPr>
        <w:spacing w:line="500" w:lineRule="exact"/>
        <w:rPr>
          <w:rFonts w:ascii="仿宋" w:hAnsi="仿宋" w:eastAsia="仿宋" w:cs="仿宋"/>
          <w:color w:val="000000"/>
          <w:sz w:val="28"/>
          <w:szCs w:val="28"/>
          <w:highlight w:val="none"/>
        </w:rPr>
      </w:pPr>
      <w:r>
        <w:rPr>
          <w:rFonts w:ascii="宋体" w:hAnsi="宋体" w:cs="仿宋_GB2312"/>
          <w:b/>
          <w:color w:val="000000"/>
          <w:sz w:val="28"/>
          <w:szCs w:val="28"/>
          <w:highlight w:val="none"/>
        </w:rPr>
        <w:t xml:space="preserve">4</w:t>
      </w:r>
      <w:r>
        <w:rPr>
          <w:rFonts w:hint="eastAsia" w:ascii="宋体" w:hAnsi="宋体" w:cs="仿宋_GB2312"/>
          <w:b/>
          <w:color w:val="000000"/>
          <w:sz w:val="28"/>
          <w:szCs w:val="28"/>
          <w:highlight w:val="none"/>
        </w:rPr>
        <w:t xml:space="preserve">．采购标的的数量、采购项目交付或者实施的时间和地点： </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交货</w:t>
      </w:r>
      <w:r>
        <w:rPr>
          <w:rFonts w:hint="eastAsia" w:ascii="宋体" w:hAnsi="宋体" w:eastAsia="宋体" w:cs="Times New Roman"/>
          <w:bCs/>
          <w:color w:val="000000"/>
          <w:sz w:val="24"/>
          <w:szCs w:val="24"/>
          <w:highlight w:val="none"/>
        </w:rPr>
        <w:t xml:space="preserve">周期：接到采购单位书面通知后，成交供应商须在60个</w:t>
      </w:r>
      <w:r>
        <w:rPr>
          <w:rFonts w:hint="eastAsia" w:ascii="宋体" w:hAnsi="宋体" w:cs="Times New Roman"/>
          <w:b w:val="0"/>
          <w:bCs/>
          <w:strike w:val="0"/>
          <w:color w:val="000000" w:themeColor="text1"/>
          <w:sz w:val="24"/>
          <w:szCs w:val="24"/>
          <w:highlight w:val="none"/>
          <w:lang w:val="en-US" w:eastAsia="zh-CN"/>
          <w14:textFill>
            <w14:solidFill>
              <w14:schemeClr w14:val="tx1"/>
            </w14:solidFill>
          </w14:textFill>
        </w:rPr>
        <w:t xml:space="preserve">工作日</w:t>
      </w:r>
      <w:r>
        <w:rPr>
          <w:rFonts w:hint="eastAsia" w:ascii="宋体" w:hAnsi="宋体" w:eastAsia="宋体" w:cs="Times New Roman"/>
          <w:b w:val="0"/>
          <w:bCs/>
          <w:color w:val="000000" w:themeColor="text1"/>
          <w:sz w:val="24"/>
          <w:szCs w:val="24"/>
          <w:highlight w:val="none"/>
          <w14:textFill>
            <w14:solidFill>
              <w14:schemeClr w14:val="tx1"/>
            </w14:solidFill>
          </w14:textFill>
        </w:rPr>
        <w:t xml:space="preserve">内</w:t>
      </w:r>
      <w:r>
        <w:rPr>
          <w:rFonts w:hint="eastAsia" w:ascii="宋体" w:hAnsi="宋体" w:eastAsia="宋体" w:cs="Times New Roman"/>
          <w:bCs/>
          <w:color w:val="000000"/>
          <w:sz w:val="24"/>
          <w:szCs w:val="24"/>
          <w:highlight w:val="none"/>
        </w:rPr>
        <w:t xml:space="preserve">完成全部设备的供货、运输、安装、调试等。</w:t>
      </w:r>
      <w:r/>
    </w:p>
    <w:p>
      <w:pPr>
        <w:ind w:firstLine="480"/>
        <w:spacing w:line="560" w:lineRule="exact"/>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2、交货（服务）地点：</w:t>
      </w:r>
      <w:r>
        <w:rPr>
          <w:rFonts w:hint="eastAsia" w:ascii="宋体" w:hAnsi="宋体" w:cs="Times New Roman"/>
          <w:bCs/>
          <w:color w:val="000000"/>
          <w:sz w:val="24"/>
          <w:szCs w:val="24"/>
          <w:highlight w:val="none"/>
          <w:lang w:val="en-US" w:eastAsia="zh-CN"/>
        </w:rPr>
        <w:t xml:space="preserve">海安市消防救援大队</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5.</w:t>
      </w:r>
      <w:r>
        <w:rPr>
          <w:rFonts w:hint="eastAsia" w:ascii="宋体" w:hAnsi="宋体" w:cs="仿宋_GB2312"/>
          <w:b/>
          <w:color w:val="000000"/>
          <w:sz w:val="28"/>
          <w:szCs w:val="28"/>
          <w:highlight w:val="none"/>
        </w:rPr>
        <w:t xml:space="preserve">采购标的需满足的服务标准、期限、效率等要求：</w:t>
      </w:r>
      <w:r/>
    </w:p>
    <w:p>
      <w:pPr>
        <w:ind w:firstLine="480"/>
        <w:spacing w:line="560" w:lineRule="exact"/>
        <w:rPr>
          <w:rFonts w:hint="eastAsia" w:ascii="宋体" w:hAnsi="宋体" w:eastAsia="宋体" w:cs="Times New Roman"/>
          <w:b/>
          <w:bCs/>
          <w:color w:val="ff0000"/>
          <w:sz w:val="24"/>
          <w:szCs w:val="24"/>
          <w:highlight w:val="none"/>
        </w:rPr>
      </w:pPr>
      <w:r>
        <w:rPr>
          <w:rFonts w:hint="eastAsia" w:ascii="Times New Roman" w:hAnsi="Times New Roman"/>
          <w:sz w:val="24"/>
          <w:szCs w:val="24"/>
          <w:highlight w:val="none"/>
          <w:lang w:val="en-US" w:eastAsia="zh-CN"/>
        </w:rPr>
        <w:t xml:space="preserve">质保</w:t>
      </w:r>
      <w:r>
        <w:rPr>
          <w:rFonts w:hint="eastAsia" w:ascii="Times New Roman" w:hAnsi="Times New Roman"/>
          <w:sz w:val="24"/>
          <w:szCs w:val="24"/>
          <w:highlight w:val="none"/>
        </w:rPr>
        <w:t xml:space="preserve">期限：电池质保：≥</w:t>
      </w:r>
      <w:r>
        <w:rPr>
          <w:rFonts w:hint="eastAsia"/>
          <w:b w:val="0"/>
          <w:bCs w:val="0"/>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b w:val="0"/>
          <w:bCs w:val="0"/>
          <w:color w:val="000000" w:themeColor="text1"/>
          <w:sz w:val="24"/>
          <w:szCs w:val="24"/>
          <w:highlight w:val="none"/>
          <w14:textFill>
            <w14:solidFill>
              <w14:schemeClr w14:val="tx1"/>
            </w14:solidFill>
          </w14:textFill>
        </w:rPr>
        <w:t xml:space="preserve">年</w:t>
      </w:r>
      <w:r>
        <w:rPr>
          <w:rFonts w:hint="eastAsia" w:ascii="Times New Roman" w:hAnsi="Times New Roman"/>
          <w:sz w:val="24"/>
          <w:szCs w:val="24"/>
          <w:highlight w:val="none"/>
        </w:rPr>
        <w:t xml:space="preserve">，整车质保：≥2年。严格按照招标文件及投标服务承诺书向招标人提供免费技术保障与技术支持</w:t>
      </w:r>
      <w:r>
        <w:rPr>
          <w:rFonts w:hint="eastAsia" w:ascii="Times New Roman" w:hAnsi="Times New Roman"/>
          <w:sz w:val="24"/>
          <w:szCs w:val="24"/>
          <w:highlight w:val="none"/>
          <w:lang w:eastAsia="zh-CN"/>
        </w:rPr>
        <w:t xml:space="preserve">。</w:t>
      </w:r>
      <w:r/>
    </w:p>
    <w:p>
      <w:pPr>
        <w:numPr>
          <w:ilvl w:val="0"/>
          <w:numId w:val="7"/>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采购标的的验收标准：</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482"/>
        <w:spacing w:line="560" w:lineRule="exact"/>
        <w:rPr>
          <w:rFonts w:hint="eastAsia"/>
          <w:b/>
          <w:color w:val="000000"/>
          <w:sz w:val="24"/>
          <w:highlight w:val="none"/>
        </w:rPr>
      </w:pPr>
      <w:r>
        <w:rPr>
          <w:rFonts w:hint="eastAsia"/>
          <w:b/>
          <w:color w:val="000000"/>
          <w:sz w:val="24"/>
          <w:highlight w:val="none"/>
          <w:u w:val="single"/>
        </w:rPr>
        <w:t xml:space="preserve">四、采购需求中必须满足的实质性要求</w:t>
      </w:r>
      <w:r>
        <w:rPr>
          <w:rFonts w:hint="eastAsia"/>
          <w:b/>
          <w:color w:val="000000"/>
          <w:sz w:val="24"/>
          <w:highlight w:val="none"/>
        </w:rPr>
        <w:t xml:space="preserve">：</w:t>
      </w:r>
      <w:r/>
    </w:p>
    <w:p>
      <w:pPr>
        <w:ind w:firstLine="482"/>
        <w:spacing w:line="560" w:lineRule="exact"/>
        <w:rPr>
          <w:rFonts w:hint="eastAsia" w:ascii="宋体" w:hAnsi="宋体" w:eastAsia="宋体" w:cs="宋体"/>
          <w:i w:val="0"/>
          <w:iCs w:val="0"/>
          <w:color w:val="000000"/>
          <w:sz w:val="24"/>
          <w:szCs w:val="24"/>
          <w:highlight w:val="none"/>
          <w:u w:val="none"/>
        </w:rPr>
      </w:pPr>
      <w:r>
        <w:rPr>
          <w:rFonts w:hint="eastAsia" w:ascii="宋体" w:hAnsi="宋体" w:eastAsia="宋体" w:cs="Times New Roman"/>
          <w:bCs/>
          <w:color w:val="000000"/>
          <w:sz w:val="24"/>
          <w:szCs w:val="24"/>
          <w:highlight w:val="none"/>
        </w:rPr>
        <w:t xml:space="preserve">项目需求</w:t>
      </w:r>
      <w:r>
        <w:rPr>
          <w:rFonts w:hint="eastAsia" w:ascii="宋体" w:hAnsi="宋体" w:cs="Times New Roman"/>
          <w:bCs/>
          <w:color w:val="000000"/>
          <w:sz w:val="24"/>
          <w:szCs w:val="24"/>
          <w:highlight w:val="none"/>
          <w:lang w:val="en-US" w:eastAsia="zh-CN"/>
        </w:rPr>
        <w:t xml:space="preserve">中未被标注“</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为实质性要求，不接受偏离（即不得劣于参数要求）</w:t>
      </w:r>
      <w:r>
        <w:rPr>
          <w:rFonts w:hint="eastAsia" w:ascii="宋体" w:hAnsi="宋体" w:eastAsia="宋体" w:cs="宋体"/>
          <w:i w:val="0"/>
          <w:iCs w:val="0"/>
          <w:color w:val="000000"/>
          <w:sz w:val="24"/>
          <w:szCs w:val="24"/>
          <w:highlight w:val="none"/>
          <w:u w:val="none"/>
        </w:rPr>
        <w:t xml:space="preserve">，否则视为无效响应。</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、其他要求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1.项目属性：货物类项目。</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2.核心产品：</w:t>
      </w:r>
      <w:r>
        <w:rPr>
          <w:rFonts w:hint="eastAsia" w:ascii="宋体" w:hAnsi="宋体" w:eastAsia="宋体" w:cs="Times New Roman"/>
          <w:bCs/>
          <w:color w:val="000000"/>
          <w:sz w:val="24"/>
          <w:szCs w:val="24"/>
          <w:highlight w:val="none"/>
          <w:lang w:val="en-US" w:eastAsia="zh-CN"/>
        </w:rPr>
        <w:t xml:space="preserve">微型水罐消防车</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3.主要标的：</w:t>
      </w:r>
      <w:r>
        <w:rPr>
          <w:rFonts w:hint="eastAsia" w:ascii="宋体" w:hAnsi="宋体" w:eastAsia="宋体" w:cs="Times New Roman"/>
          <w:bCs/>
          <w:color w:val="000000"/>
          <w:sz w:val="24"/>
          <w:szCs w:val="24"/>
          <w:highlight w:val="none"/>
          <w:lang w:val="en-US" w:eastAsia="zh-CN"/>
        </w:rPr>
        <w:t xml:space="preserve">微型水罐消防车</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4.进口产品投标：本项目不接受进口产品投标。如供应商使用进口产品投标，作无效投标处理。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5.包装要求： </w:t>
      </w:r>
      <w:r/>
    </w:p>
    <w:p>
      <w:pPr>
        <w:ind w:firstLine="480"/>
        <w:spacing w:line="56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5.1</w:t>
      </w:r>
      <w:r>
        <w:rPr>
          <w:rFonts w:hint="eastAsia" w:ascii="Times New Roman" w:hAnsi="Times New Roman"/>
          <w:color w:val="000000"/>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（7）木质商品包装的原料应来源于可持续性森林。</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5.2快递包装环保要求：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（1）快递包装中重金属（铅、汞、镉、六价铬）总量应不大于 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（9）快递包装中不得使用溶剂型胶粘剂；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（11）快递应使用电子面单；</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（13）快递包装产品质量和封装方式应符合相关国家或行业标准技术指标要求。</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6.绿色数据中心</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、付款方式</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签订合同，待项目全部完成、验收合格后付一次性付清。</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、履约保证金：</w:t>
      </w:r>
      <w:r/>
    </w:p>
    <w:p>
      <w:pPr>
        <w:ind w:firstLine="480"/>
        <w:spacing w:line="560" w:lineRule="exact"/>
        <w:rPr>
          <w:rFonts w:hint="eastAsia" w:ascii="宋体" w:hAnsi="宋体"/>
          <w:sz w:val="24"/>
          <w:szCs w:val="24"/>
          <w:highlight w:val="none"/>
        </w:rPr>
      </w:pPr>
      <w:r>
        <w:rPr>
          <w:rFonts w:hint="eastAsia" w:ascii="宋体" w:hAnsi="宋体"/>
          <w:color w:val="000000"/>
          <w:sz w:val="24"/>
          <w:szCs w:val="24"/>
          <w:highlight w:val="none"/>
        </w:rPr>
        <w:t xml:space="preserve">1.</w:t>
      </w:r>
      <w:r>
        <w:rPr>
          <w:rFonts w:hint="eastAsia" w:ascii="宋体" w:hAnsi="宋体"/>
          <w:sz w:val="24"/>
          <w:szCs w:val="24"/>
          <w:highlight w:val="none"/>
        </w:rPr>
        <w:t xml:space="preserve">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000000"/>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60" w:lineRule="exact"/>
        <w:rPr>
          <w:rFonts w:hint="eastAsia" w:ascii="宋体" w:hAnsi="宋体"/>
          <w:color w:val="000000"/>
          <w:sz w:val="24"/>
          <w:szCs w:val="24"/>
          <w:highlight w:val="none"/>
        </w:rPr>
      </w:pPr>
      <w:r>
        <w:rPr>
          <w:rFonts w:hint="eastAsia" w:ascii="宋体" w:hAnsi="宋体"/>
          <w:b/>
          <w:color w:val="000000"/>
          <w:sz w:val="24"/>
          <w:szCs w:val="24"/>
          <w:highlight w:val="none"/>
          <w:lang w:val="en-US" w:eastAsia="zh-CN"/>
        </w:rPr>
        <w:t xml:space="preserve">八</w:t>
      </w:r>
      <w:r>
        <w:rPr>
          <w:rFonts w:hint="eastAsia" w:ascii="宋体" w:hAnsi="宋体"/>
          <w:b/>
          <w:color w:val="000000"/>
          <w:sz w:val="24"/>
          <w:szCs w:val="24"/>
          <w:highlight w:val="none"/>
        </w:rPr>
        <w:t xml:space="preserve">、合同条款（详见附件）</w:t>
      </w:r>
      <w:r/>
    </w:p>
    <w:p>
      <w:pPr>
        <w:ind w:firstLine="482"/>
        <w:spacing w:line="560" w:lineRule="exact"/>
        <w:rPr>
          <w:rFonts w:ascii="宋体" w:hAnsi="宋体"/>
          <w:b/>
          <w:bCs/>
          <w:sz w:val="24"/>
          <w:szCs w:val="24"/>
          <w:highlight w:val="none"/>
        </w:rPr>
      </w:pPr>
      <w:r/>
      <w:bookmarkStart w:id="186" w:name="_Toc120614281"/>
      <w:r>
        <w:rPr>
          <w:rFonts w:hint="eastAsia" w:ascii="宋体" w:hAnsi="宋体"/>
          <w:b/>
          <w:bCs/>
          <w:sz w:val="24"/>
          <w:szCs w:val="24"/>
          <w:highlight w:val="none"/>
          <w:lang w:val="en-US" w:eastAsia="zh-CN"/>
        </w:rPr>
        <w:t xml:space="preserve">九、</w:t>
      </w:r>
      <w:r>
        <w:rPr>
          <w:rFonts w:hint="eastAsia" w:ascii="宋体" w:hAnsi="宋体"/>
          <w:b/>
          <w:bCs/>
          <w:sz w:val="24"/>
          <w:szCs w:val="24"/>
          <w:highlight w:val="none"/>
        </w:rPr>
        <w:t xml:space="preserve">演示要求</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上传视频演示</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1）响应供应商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p>
    <w:p>
      <w:pPr>
        <w:ind w:firstLine="482"/>
        <w:spacing w:line="560" w:lineRule="exact"/>
        <w:rPr>
          <w:rFonts w:hint="eastAsia" w:ascii="宋体" w:hAnsi="宋体"/>
          <w:bCs/>
          <w:sz w:val="24"/>
          <w:szCs w:val="24"/>
          <w:highlight w:val="none"/>
        </w:rPr>
      </w:pPr>
      <w:r>
        <w:rPr>
          <w:rFonts w:hint="eastAsia" w:ascii="宋体" w:hAnsi="宋体"/>
          <w:bCs/>
          <w:sz w:val="24"/>
          <w:szCs w:val="24"/>
          <w:highlight w:val="none"/>
        </w:rPr>
        <w:t xml:space="preserve">（2）演示内容如下：详见评标方法与评标标准</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lang w:val="en-US" w:eastAsia="zh-CN"/>
        </w:rPr>
        <w:t xml:space="preserve">十</w:t>
      </w:r>
      <w:r>
        <w:rPr>
          <w:rFonts w:hint="eastAsia" w:ascii="宋体" w:hAnsi="宋体"/>
          <w:b/>
          <w:sz w:val="24"/>
          <w:szCs w:val="24"/>
          <w:highlight w:val="none"/>
        </w:rPr>
        <w:t xml:space="preserve">、政府采购中实施本国产品标准及相关政策</w:t>
      </w:r>
      <w:r/>
    </w:p>
    <w:p>
      <w:pPr>
        <w:ind w:firstLine="482"/>
        <w:spacing w:line="560" w:lineRule="exact"/>
        <w:rPr>
          <w:rFonts w:hint="eastAsia" w:ascii="宋体" w:hAnsi="宋体"/>
          <w:b/>
          <w:sz w:val="24"/>
          <w:szCs w:val="24"/>
          <w:highlight w:val="none"/>
        </w:rPr>
      </w:pPr>
      <w:r>
        <w:rPr>
          <w:rFonts w:hint="eastAsia" w:ascii="宋体" w:hAnsi="宋体"/>
          <w:b/>
          <w:color w:val="000000"/>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333333"/>
          <w:sz w:val="24"/>
          <w:szCs w:val="24"/>
          <w:highlight w:val="none"/>
        </w:rPr>
      </w:pPr>
      <w:r>
        <w:rPr>
          <w:rFonts w:hint="eastAsia" w:ascii="宋体" w:hAnsi="宋体" w:cs="宋体"/>
          <w:b/>
          <w:color w:val="333333"/>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333333"/>
          <w:spacing w:val="7"/>
          <w:sz w:val="24"/>
          <w:szCs w:val="24"/>
          <w:highlight w:val="none"/>
        </w:rPr>
      </w:pPr>
      <w:r>
        <w:rPr>
          <w:rFonts w:hint="eastAsia" w:ascii="宋体" w:hAnsi="宋体" w:cs="宋体"/>
          <w:color w:val="333333"/>
          <w:spacing w:val="7"/>
          <w:sz w:val="24"/>
          <w:szCs w:val="24"/>
          <w:highlight w:val="non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333333"/>
          <w:spacing w:val="7"/>
          <w:sz w:val="24"/>
          <w:szCs w:val="24"/>
          <w:highlight w:val="none"/>
        </w:rPr>
      </w:pPr>
      <w:r>
        <w:rPr>
          <w:rFonts w:hint="eastAsia" w:ascii="宋体" w:hAnsi="宋体" w:cs="宋体"/>
          <w:b/>
          <w:color w:val="333333"/>
          <w:spacing w:val="7"/>
          <w:sz w:val="24"/>
          <w:szCs w:val="24"/>
          <w:highlight w:val="none"/>
        </w:rPr>
        <w:t xml:space="preserve">5.对于仅有本国产品参与竞争的政府采购项目，本国产品不享受价格扣除评审优惠。</w:t>
      </w:r>
      <w:r/>
    </w:p>
    <w:p>
      <w:pPr>
        <w:pStyle w:val="661"/>
        <w:rPr>
          <w:highlight w:val="none"/>
        </w:rPr>
      </w:pPr>
      <w:r>
        <w:rPr>
          <w:highlight w:val="none"/>
        </w:rPr>
      </w:r>
      <w:bookmarkEnd w:id="182"/>
      <w:bookmarkEnd w:id="183"/>
      <w:bookmarkEnd w:id="184"/>
      <w:bookmarkEnd w:id="185"/>
      <w:bookmarkEnd w:id="186"/>
      <w:r/>
    </w:p>
    <w:p>
      <w:pPr>
        <w:rPr>
          <w:highlight w:val="none"/>
        </w:rPr>
      </w:pPr>
      <w:r>
        <w:rPr>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pStyle w:val="661"/>
        <w:ind w:left="0" w:firstLine="0"/>
        <w:rPr>
          <w:rFonts w:ascii="宋体" w:hAnsi="宋体"/>
          <w:b/>
          <w:bCs/>
          <w:sz w:val="32"/>
          <w:szCs w:val="32"/>
          <w:highlight w:val="none"/>
        </w:rPr>
      </w:pPr>
      <w:r>
        <w:rPr>
          <w:rFonts w:ascii="宋体" w:hAnsi="宋体"/>
          <w:b/>
          <w:bCs/>
          <w:sz w:val="32"/>
          <w:szCs w:val="32"/>
          <w:highlight w:val="none"/>
        </w:rPr>
      </w:r>
      <w:r/>
    </w:p>
    <w:p>
      <w:pPr>
        <w:ind w:firstLine="964"/>
        <w:rPr>
          <w:rFonts w:ascii="宋体" w:hAnsi="宋体"/>
          <w:b/>
          <w:bCs/>
          <w:sz w:val="32"/>
          <w:szCs w:val="32"/>
          <w:highlight w:val="none"/>
        </w:rPr>
      </w:pPr>
      <w:r>
        <w:rPr>
          <w:rFonts w:ascii="宋体" w:hAnsi="宋体"/>
          <w:b/>
          <w:bCs/>
          <w:sz w:val="32"/>
          <w:szCs w:val="32"/>
          <w:highlight w:val="none"/>
        </w:rPr>
      </w:r>
      <w:r/>
    </w:p>
    <w:p>
      <w:pPr>
        <w:pStyle w:val="860"/>
        <w:spacing w:line="560" w:lineRule="exact"/>
        <w:rPr>
          <w:rFonts w:ascii="黑体" w:eastAsia="黑体"/>
          <w:bCs/>
          <w:sz w:val="44"/>
          <w:highlight w:val="none"/>
        </w:rPr>
      </w:pPr>
      <w:r>
        <w:rPr>
          <w:rFonts w:hint="eastAsia" w:ascii="黑体" w:eastAsia="黑体"/>
          <w:bCs/>
          <w:sz w:val="44"/>
          <w:highlight w:val="none"/>
        </w:rPr>
        <w:t xml:space="preserve">第四章  </w:t>
      </w:r>
      <w:r>
        <w:rPr>
          <w:rFonts w:hint="eastAsia" w:ascii="黑体" w:eastAsia="黑体"/>
          <w:b/>
          <w:bCs/>
          <w:sz w:val="44"/>
          <w:highlight w:val="none"/>
        </w:rPr>
        <w:t xml:space="preserve">评标方法与评标标准</w:t>
      </w:r>
      <w:r/>
    </w:p>
    <w:p>
      <w:pPr>
        <w:pStyle w:val="907"/>
        <w:ind w:firstLine="439"/>
        <w:spacing w:before="0" w:after="0" w:line="560" w:lineRule="exact"/>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none"/>
        </w:rPr>
        <w:t xml:space="preserve">排名第一的中标候选人。</w:t>
      </w:r>
      <w:r/>
    </w:p>
    <w:p>
      <w:pPr>
        <w:pStyle w:val="907"/>
        <w:ind w:firstLine="439"/>
        <w:spacing w:before="0" w:after="0" w:line="560" w:lineRule="exact"/>
        <w:rPr>
          <w:rFonts w:cs="Arial"/>
          <w:highlight w:val="none"/>
        </w:rPr>
      </w:pPr>
      <w:r>
        <w:rPr>
          <w:rFonts w:hint="eastAsia" w:cs="Arial"/>
          <w:highlight w:val="none"/>
        </w:rPr>
        <w:t xml:space="preserve">评委在认真审阅投标文件的基础上，根据各投标文件的响应程度独立评判，不得统一打分。</w:t>
      </w:r>
      <w:r/>
    </w:p>
    <w:p>
      <w:pPr>
        <w:pStyle w:val="907"/>
        <w:ind w:firstLine="441"/>
        <w:spacing w:before="0" w:after="0" w:line="560" w:lineRule="exact"/>
        <w:rPr>
          <w:rFonts w:cs="Arial"/>
          <w:b/>
          <w:highlight w:val="none"/>
        </w:rPr>
      </w:pPr>
      <w:r>
        <w:rPr>
          <w:rFonts w:hint="eastAsia" w:cs="Arial"/>
          <w:b/>
          <w:highlight w:val="none"/>
        </w:rPr>
        <w:t xml:space="preserve">（一）采购人（代表）对投标人资格进行审查。</w:t>
      </w:r>
      <w:r/>
    </w:p>
    <w:p>
      <w:pPr>
        <w:pStyle w:val="907"/>
        <w:ind w:firstLine="439"/>
        <w:spacing w:before="0" w:after="0" w:line="560" w:lineRule="exact"/>
        <w:rPr>
          <w:rFonts w:cs="Arial"/>
          <w:highlight w:val="none"/>
        </w:rPr>
      </w:pPr>
      <w:r>
        <w:rPr>
          <w:rFonts w:hint="eastAsia" w:cs="Arial"/>
          <w:highlight w:val="none"/>
        </w:rPr>
        <w:t xml:space="preserve">投标人资格不合格的，其投标文件判定为无效投标文件。</w:t>
      </w:r>
      <w:r/>
    </w:p>
    <w:p>
      <w:pPr>
        <w:pStyle w:val="907"/>
        <w:ind w:firstLine="441"/>
        <w:spacing w:before="0" w:after="0" w:line="560" w:lineRule="exact"/>
        <w:rPr>
          <w:rFonts w:cs="Arial"/>
          <w:b/>
          <w:highlight w:val="none"/>
        </w:rPr>
      </w:pPr>
      <w:r>
        <w:rPr>
          <w:rFonts w:hint="eastAsia" w:cs="Arial"/>
          <w:b/>
          <w:highlight w:val="none"/>
        </w:rPr>
        <w:t xml:space="preserve">（二）评标委员会对符合资格投标人的投标文件进行符合性审查。</w:t>
      </w:r>
      <w:r/>
    </w:p>
    <w:p>
      <w:pPr>
        <w:pStyle w:val="907"/>
        <w:ind w:firstLine="439"/>
        <w:spacing w:before="0" w:after="0" w:line="560" w:lineRule="exact"/>
        <w:rPr>
          <w:rFonts w:cs="Arial"/>
          <w:highlight w:val="none"/>
        </w:rPr>
      </w:pPr>
      <w:r>
        <w:rPr>
          <w:rFonts w:hint="eastAsia" w:cs="Arial"/>
          <w:highlight w:val="none"/>
        </w:rPr>
        <w:t xml:space="preserve">未通过符合性审查的投标文件，将被判为不满足招标文件实质性要求。 </w:t>
      </w:r>
      <w:r/>
    </w:p>
    <w:p>
      <w:pPr>
        <w:pStyle w:val="907"/>
        <w:ind w:firstLine="441"/>
        <w:spacing w:before="0" w:after="0" w:line="560" w:lineRule="exact"/>
        <w:rPr>
          <w:rFonts w:cs="Arial" w:asciiTheme="minorEastAsia" w:hAnsiTheme="minorEastAsia" w:eastAsiaTheme="minorEastAsia"/>
          <w:b/>
          <w:highlight w:val="none"/>
        </w:rPr>
      </w:pPr>
      <w:r>
        <w:rPr>
          <w:rFonts w:hint="eastAsia" w:cs="Arial"/>
          <w:b/>
          <w:highlight w:val="none"/>
        </w:rPr>
        <w:t xml:space="preserve">（三）商务技术分：70分</w:t>
      </w:r>
      <w:r/>
    </w:p>
    <w:p>
      <w:pPr>
        <w:pStyle w:val="907"/>
        <w:ind w:firstLine="439"/>
        <w:spacing w:before="0" w:after="0" w:line="560" w:lineRule="exact"/>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各投标人得分为评委会成员评分的算术平均分，分值保留小数点后两位。</w:t>
      </w:r>
      <w:r/>
    </w:p>
    <w:tbl>
      <w:tblPr>
        <w:tblStyle w:val="660"/>
        <w:tblW w:w="10521" w:type="dxa"/>
        <w:jc w:val="center"/>
        <w:tblLayout w:type="fixed"/>
        <w:tblCellMar>
          <w:left w:w="108" w:type="dxa"/>
          <w:top w:w="0" w:type="dxa"/>
          <w:right w:w="108" w:type="dxa"/>
          <w:bottom w:w="0" w:type="dxa"/>
        </w:tblCellMar>
        <w:tblLook w:val="04A0" w:firstRow="1" w:lastRow="0" w:firstColumn="1" w:lastColumn="0" w:noHBand="0" w:noVBand="1"/>
      </w:tblPr>
      <w:tblGrid>
        <w:gridCol w:w="513"/>
        <w:gridCol w:w="1120"/>
        <w:gridCol w:w="473"/>
        <w:gridCol w:w="8415"/>
      </w:tblGrid>
      <w:tr>
        <w:trPr>
          <w:jc w:val="center"/>
          <w:trHeight w:val="37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序号 </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评分点</w:t>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名称</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分值</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ind w:firstLine="36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评审标准</w:t>
            </w:r>
            <w:r/>
          </w:p>
        </w:tc>
      </w:tr>
      <w:tr>
        <w:trPr>
          <w:jc w:val="center"/>
          <w:trHeight w:val="480"/>
        </w:trPr>
        <w:tc>
          <w:tcPr>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产品性能</w:t>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eastAsia="宋体" w:cs="宋体"/>
                <w:b w:val="0"/>
                <w:bCs w:val="0"/>
                <w:color w:val="auto"/>
                <w:sz w:val="24"/>
                <w:szCs w:val="24"/>
                <w:highlight w:val="none"/>
              </w:rPr>
            </w:pPr>
            <w:r>
              <w:rPr>
                <w:rFonts w:hint="eastAsia" w:ascii="宋体" w:hAnsi="宋体" w:cs="宋体"/>
                <w:bCs/>
                <w:color w:val="000000"/>
                <w:sz w:val="24"/>
                <w:szCs w:val="24"/>
                <w:highlight w:val="none"/>
                <w:lang w:val="en-US" w:eastAsia="zh-CN"/>
              </w:rPr>
              <w:t xml:space="preserve">19</w:t>
            </w:r>
            <w:r/>
          </w:p>
        </w:tc>
        <w:tc>
          <w:tcPr>
            <w:tcBorders>
              <w:top w:val="none" w:color="000000" w:sz="4" w:space="0"/>
              <w:left w:val="none" w:color="000000" w:sz="4" w:space="0"/>
              <w:bottom w:val="single" w:color="000000" w:sz="4" w:space="0"/>
              <w:right w:val="single" w:color="000000" w:sz="4" w:space="0"/>
            </w:tcBorders>
            <w:tcW w:w="8415"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供应商提供所投产品制造商公开发布的印刷资料、技术白皮书、技术规格书、产品使用说明书、产品检验报告、注册证、注册证附件产品技术要求或功能截图等证明材料对产品技术性能参数进行佐证。具体如下：</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1.水罐消防车发动机功率（最大净功率)≥85KW，得4分；85KW＞水罐消防车发动机功率（最大净功率)＞65KW，得2分；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2.换挡机构（D/R/N）：自动挡，</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3.额定流量：9.0L/s＞额定流量＞8L/s，得1分，11L/s＞额定流量≥9.0L/s，得2分；额定流量≥11L/s，得3分；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4.消防泵发动机功率：7.4KW＞消防泵发动机功率＞6.8KW，得1分，消防泵发动机功率≥7.4KW，得2分；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5.水箱容积：</w:t>
            </w:r>
            <w:r>
              <w:rPr>
                <w:rFonts w:hint="eastAsia" w:ascii="宋体" w:hAnsi="宋体" w:cs="宋体"/>
                <w:sz w:val="24"/>
                <w:szCs w:val="24"/>
                <w:highlight w:val="none"/>
                <w:lang w:val="en-US" w:eastAsia="zh-CN"/>
              </w:rPr>
              <w:t xml:space="preserve">1100</w:t>
            </w:r>
            <w:r>
              <w:rPr>
                <w:rFonts w:hint="eastAsia" w:ascii="宋体" w:hAnsi="宋体" w:eastAsia="宋体" w:cs="宋体"/>
                <w:sz w:val="24"/>
                <w:szCs w:val="24"/>
                <w:highlight w:val="none"/>
              </w:rPr>
              <w:t xml:space="preserve">＞水箱容积＞1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00L</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1200L</w:t>
            </w:r>
            <w:r>
              <w:rPr>
                <w:rFonts w:hint="eastAsia" w:ascii="宋体" w:hAnsi="宋体" w:eastAsia="宋体" w:cs="宋体"/>
                <w:sz w:val="24"/>
                <w:szCs w:val="24"/>
                <w:highlight w:val="none"/>
              </w:rPr>
              <w:t xml:space="preserve">＞水箱容积≥1100L得2分；水箱容积≥1200L得3分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提供承诺函，格式自拟，不提供不得分；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6.漂浮式水泵：提供消防产品认证证书的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得2分，不提供不得分。</w:t>
            </w:r>
            <w:r/>
          </w:p>
          <w:p>
            <w:pPr>
              <w:jc w:val="left"/>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漂浮式水泵流量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0m³/h＞漂浮式水泵流量＞</w:t>
            </w:r>
            <w:r>
              <w:rPr>
                <w:rFonts w:hint="eastAsia" w:ascii="宋体" w:hAnsi="宋体" w:cs="宋体"/>
                <w:sz w:val="24"/>
                <w:szCs w:val="24"/>
                <w:highlight w:val="none"/>
                <w:lang w:val="en-US" w:eastAsia="zh-CN"/>
              </w:rPr>
              <w:t xml:space="preserve">7L/s，</w:t>
            </w:r>
            <w:r>
              <w:rPr>
                <w:rFonts w:hint="eastAsia" w:ascii="宋体" w:hAnsi="宋体" w:eastAsia="宋体" w:cs="宋体"/>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40m³/h＞漂浮式水泵流量≥30m³/h得2分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漂浮式水泵流量≥40m³/h</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sz w:val="24"/>
                <w:szCs w:val="24"/>
                <w:highlight w:val="none"/>
              </w:rPr>
              <w:t xml:space="preserve">分。</w:t>
            </w:r>
            <w:r/>
          </w:p>
        </w:tc>
      </w:tr>
      <w:tr>
        <w:trPr>
          <w:jc w:val="center"/>
          <w:trHeight w:val="735"/>
        </w:trPr>
        <w:tc>
          <w:tcPr>
            <w:tcBorders>
              <w:top w:val="non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视频演示</w:t>
            </w:r>
            <w:r/>
          </w:p>
        </w:tc>
        <w:tc>
          <w:tcPr>
            <w:tcBorders>
              <w:top w:val="non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4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4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4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4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420" w:lineRule="exact"/>
              <w:widowControl/>
              <w:rPr>
                <w:rFonts w:hint="default" w:ascii="宋体" w:hAnsi="宋体" w:eastAsia="宋体" w:cs="宋体"/>
                <w:bCs/>
                <w:sz w:val="24"/>
                <w:szCs w:val="24"/>
                <w:highlight w:val="none"/>
              </w:rPr>
            </w:pPr>
            <w:r>
              <w:rPr>
                <w:rFonts w:hint="eastAsia" w:ascii="宋体" w:hAnsi="宋体" w:cs="宋体"/>
                <w:bCs/>
                <w:color w:val="000000"/>
                <w:sz w:val="24"/>
                <w:szCs w:val="24"/>
                <w:highlight w:val="none"/>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供应商需按照采购文件规定的演示内容制作演示视频文件，主要拍摄顺序为整体外观，车箱内饰，车身上下，具体演示内容如下：</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sz w:val="24"/>
                <w:szCs w:val="24"/>
                <w:highlight w:val="none"/>
              </w:rPr>
              <w:t xml:space="preserve">1.罐体工艺：焊接无气孔/夹渣，内壁防腐涂层</w:t>
            </w:r>
            <w:r>
              <w:rPr>
                <w:rFonts w:hint="eastAsia" w:ascii="宋体" w:hAnsi="宋体" w:cs="宋体"/>
                <w:sz w:val="24"/>
                <w:szCs w:val="24"/>
                <w:highlight w:val="none"/>
                <w:lang w:val="en-US" w:eastAsia="zh-CN"/>
              </w:rPr>
              <w:t xml:space="preserve">平滑</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1分；表面毛糙</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不得分；</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2.管路密封性</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将水罐罐体内灌入水，启动消防泵组并加压出水，管路无漏水的得2分，有渗漏的</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不得分。视频应当体现泵组启动、加压过程及出水管路。</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3.标识规范性：车身具有反光标识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得1分；</w:t>
            </w:r>
            <w:r>
              <w:rPr>
                <w:rFonts w:hint="eastAsia" w:ascii="宋体" w:hAnsi="宋体" w:eastAsia="宋体" w:cs="宋体"/>
                <w:b w:val="0"/>
                <w:bCs w:val="0"/>
                <w:color w:val="auto"/>
                <w:sz w:val="24"/>
                <w:szCs w:val="24"/>
                <w:highlight w:val="none"/>
              </w:rPr>
              <w:t xml:space="preserve">标识缺失</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不得分</w:t>
            </w:r>
            <w:r>
              <w:rPr>
                <w:rFonts w:hint="eastAsia" w:ascii="宋体" w:hAnsi="宋体" w:eastAsia="宋体" w:cs="宋体"/>
                <w:b w:val="0"/>
                <w:bCs w:val="0"/>
                <w:color w:val="auto"/>
                <w:sz w:val="24"/>
                <w:szCs w:val="24"/>
                <w:highlight w:val="none"/>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4.结构布局：水带、水枪、扳手、漂浮式水泵等随车器材均做到</w:t>
            </w:r>
            <w:r>
              <w:rPr>
                <w:rFonts w:hint="eastAsia" w:ascii="宋体" w:hAnsi="宋体" w:eastAsia="宋体" w:cs="宋体"/>
                <w:b w:val="0"/>
                <w:bCs w:val="0"/>
                <w:color w:val="auto"/>
                <w:sz w:val="24"/>
                <w:szCs w:val="24"/>
                <w:highlight w:val="none"/>
              </w:rPr>
              <w:t xml:space="preserve">定置定位，采用卡槽、绑带、限位等固定形式</w:t>
            </w:r>
            <w:r>
              <w:rPr>
                <w:rFonts w:hint="eastAsia" w:ascii="宋体" w:hAnsi="宋体" w:eastAsia="宋体" w:cs="宋体"/>
                <w:sz w:val="24"/>
                <w:szCs w:val="24"/>
                <w:highlight w:val="none"/>
              </w:rPr>
              <w:t xml:space="preserve">安装摆放牢固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层高分层适配器材尺寸</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固定点位多于10个的，得4分，固定点位小于等于10个的得2分。</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5.水泵系统操作</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可实现一键启停</w:t>
            </w:r>
            <w:r>
              <w:rPr>
                <w:rFonts w:hint="eastAsia" w:ascii="宋体" w:hAnsi="宋体" w:eastAsia="宋体" w:cs="宋体"/>
                <w:sz w:val="24"/>
                <w:szCs w:val="24"/>
                <w:highlight w:val="none"/>
              </w:rPr>
              <w:t xml:space="preserve">：</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（1）操作面板功能全面，面板上配备压力表、出水开关、加压旋钮等元件，</w:t>
            </w:r>
            <w:r>
              <w:rPr>
                <w:rFonts w:hint="eastAsia" w:ascii="宋体" w:hAnsi="宋体" w:eastAsia="宋体" w:cs="宋体"/>
                <w:sz w:val="24"/>
                <w:szCs w:val="24"/>
                <w:highlight w:val="none"/>
              </w:rPr>
              <w:t xml:space="preserve">出水时间＜15s</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得4分</w:t>
            </w:r>
            <w:r>
              <w:rPr>
                <w:rFonts w:hint="eastAsia" w:ascii="宋体" w:hAnsi="宋体" w:cs="宋体"/>
                <w:sz w:val="24"/>
                <w:szCs w:val="24"/>
                <w:highlight w:val="none"/>
                <w:lang w:eastAsia="zh-CN"/>
              </w:rPr>
              <w:t xml:space="preserve">；</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（2）操作面板包含压力显示、电动开启，一键出水和一键关停</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出水时间＜20s</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得2分</w:t>
            </w:r>
            <w:r>
              <w:rPr>
                <w:rFonts w:hint="eastAsia" w:ascii="宋体" w:hAnsi="宋体" w:cs="宋体"/>
                <w:sz w:val="24"/>
                <w:szCs w:val="24"/>
                <w:highlight w:val="none"/>
                <w:lang w:eastAsia="zh-CN"/>
              </w:rPr>
              <w:t xml:space="preserve">；</w:t>
            </w:r>
            <w:r/>
          </w:p>
          <w:p>
            <w:pPr>
              <w:spacing w:line="40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（3）操作面板</w:t>
            </w:r>
            <w:r>
              <w:rPr>
                <w:rFonts w:hint="eastAsia" w:ascii="宋体" w:hAnsi="宋体" w:cs="宋体"/>
                <w:sz w:val="24"/>
                <w:szCs w:val="24"/>
                <w:highlight w:val="none"/>
                <w:lang w:val="en-US" w:eastAsia="zh-CN"/>
              </w:rPr>
              <w:t xml:space="preserve">只有</w:t>
            </w:r>
            <w:r>
              <w:rPr>
                <w:rFonts w:hint="eastAsia" w:ascii="宋体" w:hAnsi="宋体" w:eastAsia="宋体" w:cs="宋体"/>
                <w:sz w:val="24"/>
                <w:szCs w:val="24"/>
                <w:highlight w:val="none"/>
              </w:rPr>
              <w:t xml:space="preserve">一键出水和一键关停</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出水时间＜30s</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得1分。</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业绩</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420" w:lineRule="exact"/>
              <w:widowControl/>
              <w:rPr>
                <w:rFonts w:hint="eastAsia" w:ascii="宋体" w:hAnsi="宋体" w:eastAsia="宋体" w:cs="宋体"/>
                <w:bCs/>
                <w:color w:val="ff0000"/>
                <w:sz w:val="24"/>
                <w:szCs w:val="24"/>
                <w:highlight w:val="none"/>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供应商在2022年以来有过类似业绩的，每提供1份得2分，最高6分。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须提供完整的合同复印件，甲方须为设备实际使用单位，时间以合同签订日期为准，加盖响应供应商公章。</w:t>
            </w:r>
            <w:r/>
          </w:p>
        </w:tc>
      </w:tr>
      <w:tr>
        <w:trPr>
          <w:jc w:val="center"/>
          <w:trHeight w:val="14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体系认证</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有效的质量管理体系认证证书、职业健康安全管理体系认证证书、环境管理体系认证证书，每提供一项得1分，本项最多得3分。须提供证书原件扫描件及国家认监委平台查询截图加盖公章，否则不得分。</w:t>
            </w:r>
            <w:r/>
          </w:p>
        </w:tc>
      </w:tr>
      <w:tr>
        <w:trPr>
          <w:jc w:val="center"/>
          <w:trHeight w:val="88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default" w:ascii="宋体" w:hAnsi="宋体" w:cs="宋体"/>
                <w:sz w:val="24"/>
                <w:szCs w:val="24"/>
                <w:highlight w:val="none"/>
              </w:rPr>
            </w:pPr>
            <w:r>
              <w:rPr>
                <w:rFonts w:hint="eastAsia" w:ascii="宋体" w:hAnsi="宋体" w:cs="宋体"/>
                <w:bCs/>
                <w:color w:val="000000"/>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售后质量</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供应商在满足本次采购产品免费质保期要求的基础上，每增加6个月整车质保的得1.5分，最多得3分。须提供承诺函，格式自拟。</w:t>
            </w:r>
            <w:r/>
          </w:p>
        </w:tc>
      </w:tr>
      <w:tr>
        <w:trPr>
          <w:jc w:val="center"/>
          <w:trHeight w:val="99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供货方案</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cs="宋体"/>
                <w:bCs/>
                <w:color w:val="000000"/>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供应商提交的供货方案</w:t>
            </w:r>
            <w:r>
              <w:rPr>
                <w:rFonts w:hint="eastAsia" w:ascii="宋体" w:hAnsi="宋体" w:cs="宋体"/>
                <w:color w:val="000000"/>
                <w:sz w:val="24"/>
                <w:szCs w:val="24"/>
                <w:highlight w:val="none"/>
                <w:lang w:eastAsia="zh-CN"/>
              </w:rPr>
              <w:t xml:space="preserve">，</w:t>
            </w:r>
            <w:r>
              <w:rPr>
                <w:rFonts w:hint="eastAsia" w:asciiTheme="minorEastAsia" w:hAnsiTheme="minorEastAsia" w:eastAsiaTheme="minorEastAsia"/>
                <w:sz w:val="24"/>
                <w:szCs w:val="24"/>
                <w:highlight w:val="none"/>
              </w:rPr>
              <w:t xml:space="preserve">内容包括但不限于：</w:t>
            </w:r>
            <w:r>
              <w:rPr>
                <w:rFonts w:hint="eastAsia" w:ascii="宋体" w:hAnsi="宋体" w:eastAsia="宋体" w:cs="宋体"/>
                <w:color w:val="000000"/>
                <w:sz w:val="24"/>
                <w:szCs w:val="24"/>
                <w:highlight w:val="none"/>
              </w:rPr>
              <w:t xml:space="preserve">①供货渠道；②供货时间；③运输方案；④质量保证；⑤对设备的调试进度安排；⑥调试的步骤、措施、问题的解决方案等</w:t>
            </w:r>
            <w:r>
              <w:rPr>
                <w:rFonts w:hint="eastAsia" w:ascii="宋体" w:hAnsi="宋体" w:eastAsia="宋体" w:cs="宋体"/>
                <w:color w:val="000000"/>
                <w:sz w:val="24"/>
                <w:szCs w:val="24"/>
                <w:highlight w:val="none"/>
                <w:lang w:eastAsia="zh-CN"/>
              </w:rPr>
              <w:t xml:space="preserve">内容进行评分。每项得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分，共计</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，每有一项缺项的扣</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分，每有一项内容不完整或有缺陷的扣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分，扣完为止，未提供不得分。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99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spacing w:line="320" w:lineRule="exact"/>
              <w:widowControl/>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20" w:lineRule="exact"/>
              <w:widowControl/>
              <w:rPr>
                <w:rFonts w:hint="eastAsia" w:ascii="宋体" w:hAnsi="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售后服务方案</w:t>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jc w:val="center"/>
              <w:spacing w:line="320" w:lineRule="exact"/>
              <w:widowControl/>
              <w:rPr>
                <w:rFonts w:hint="default" w:ascii="宋体" w:hAnsi="宋体" w:cs="宋体"/>
                <w:b/>
                <w:bCs w:val="0"/>
                <w:color w:val="f79646" w:themeColor="accent6"/>
                <w:sz w:val="24"/>
                <w:szCs w:val="24"/>
                <w:highlight w:val="none"/>
                <w:lang w:val="en-US" w:eastAsia="zh-CN"/>
                <w14:textFill>
                  <w14:solidFill>
                    <w14:schemeClr w14:val="accent6"/>
                  </w14:solidFill>
                </w14:textFill>
              </w:rPr>
            </w:pPr>
            <w:r>
              <w:rPr>
                <w:rFonts w:hint="eastAsia" w:ascii="宋体" w:hAnsi="宋体" w:cs="宋体"/>
                <w:b w:val="0"/>
                <w:bCs/>
                <w:color w:val="auto"/>
                <w:sz w:val="24"/>
                <w:szCs w:val="24"/>
                <w:highlight w:val="none"/>
                <w:lang w:val="en-US" w:eastAsia="zh-CN"/>
              </w:rPr>
              <w:t xml:space="preserve">15</w:t>
            </w:r>
            <w:r/>
          </w:p>
        </w:tc>
        <w:tc>
          <w:tcPr>
            <w:tcBorders>
              <w:top w:val="single" w:color="000000" w:sz="4" w:space="0"/>
              <w:left w:val="none" w:color="000000" w:sz="4" w:space="0"/>
              <w:bottom w:val="single" w:color="000000" w:sz="4" w:space="0"/>
              <w:right w:val="single" w:color="000000" w:sz="4" w:space="0"/>
            </w:tcBorders>
            <w:tcW w:w="8415"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供应商提交的售后服务方案</w:t>
            </w:r>
            <w:r>
              <w:rPr>
                <w:rFonts w:hint="eastAsia" w:ascii="宋体" w:hAnsi="宋体" w:cs="宋体"/>
                <w:color w:val="000000"/>
                <w:sz w:val="24"/>
                <w:szCs w:val="24"/>
                <w:highlight w:val="none"/>
                <w:lang w:eastAsia="zh-CN"/>
              </w:rPr>
              <w:t xml:space="preserve">，</w:t>
            </w:r>
            <w:r>
              <w:rPr>
                <w:rFonts w:hint="eastAsia" w:asciiTheme="minorEastAsia" w:hAnsiTheme="minorEastAsia" w:eastAsiaTheme="minorEastAsia"/>
                <w:sz w:val="24"/>
                <w:szCs w:val="24"/>
                <w:highlight w:val="none"/>
              </w:rPr>
              <w:t xml:space="preserve">内容包括但不限于：</w:t>
            </w:r>
            <w:r>
              <w:rPr>
                <w:rFonts w:hint="eastAsia" w:ascii="宋体" w:hAnsi="宋体" w:eastAsia="宋体" w:cs="宋体"/>
                <w:color w:val="000000"/>
                <w:sz w:val="24"/>
                <w:szCs w:val="24"/>
                <w:highlight w:val="none"/>
              </w:rPr>
              <w:t xml:space="preserve">①售后服务内容；②售后服务站本地站点；③售后服务响应；④故障解决方案；⑤应急故障处理措施；⑥培训方案等</w:t>
            </w:r>
            <w:r>
              <w:rPr>
                <w:rFonts w:hint="eastAsia" w:ascii="宋体" w:hAnsi="宋体" w:eastAsia="宋体" w:cs="宋体"/>
                <w:color w:val="000000"/>
                <w:sz w:val="24"/>
                <w:szCs w:val="24"/>
                <w:highlight w:val="none"/>
                <w:lang w:eastAsia="zh-CN"/>
              </w:rPr>
              <w:t xml:space="preserve">内容进行评分。每项得</w:t>
            </w:r>
            <w:r>
              <w:rPr>
                <w:rFonts w:hint="eastAsia" w:ascii="宋体" w:hAnsi="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lang w:eastAsia="zh-CN"/>
              </w:rPr>
              <w:t xml:space="preserve">分，共计</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，每有一项缺项的扣</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分，每有一项内容不完整或有缺陷的扣</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分，扣完为止，未提供不得分。</w:t>
            </w:r>
            <w:r/>
          </w:p>
          <w:p>
            <w:pP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color w:val="000000"/>
                <w:sz w:val="24"/>
                <w:szCs w:val="24"/>
                <w:highlight w:val="none"/>
                <w:lang w:eastAsia="zh-CN"/>
              </w:rPr>
              <w:t xml:space="preserve">。</w:t>
            </w:r>
            <w:r/>
          </w:p>
        </w:tc>
      </w:tr>
    </w:tbl>
    <w:p>
      <w:pPr>
        <w:pStyle w:val="907"/>
        <w:ind w:firstLine="361"/>
        <w:spacing w:before="0" w:after="0" w:line="560" w:lineRule="exact"/>
        <w:rPr>
          <w:rFonts w:cs="Arial"/>
          <w:b/>
          <w:highlight w:val="none"/>
        </w:rPr>
      </w:pPr>
      <w:r>
        <w:rPr>
          <w:rFonts w:hint="eastAsia" w:cs="Arial"/>
          <w:b/>
          <w:highlight w:val="none"/>
        </w:rPr>
        <w:t xml:space="preserve">（四）价格分：30分</w:t>
      </w:r>
      <w:r/>
    </w:p>
    <w:p>
      <w:pPr>
        <w:pStyle w:val="907"/>
        <w:ind w:firstLine="439"/>
        <w:spacing w:before="0" w:after="0" w:line="560" w:lineRule="exact"/>
        <w:rPr>
          <w:rFonts w:cs="Arial"/>
          <w:highlight w:val="none"/>
        </w:rPr>
      </w:pPr>
      <w:r>
        <w:rPr>
          <w:rFonts w:hint="eastAsia" w:cs="Arial"/>
          <w:highlight w:val="none"/>
        </w:rPr>
        <w:t xml:space="preserve">价格分统一采用低价优先法计算，即满足招标文件要求且投标价格最低的投标报价为评标基准价，其价格分为满分。其他投标人的价格分统一按照下列公式计算：</w:t>
      </w:r>
      <w:r/>
    </w:p>
    <w:p>
      <w:pPr>
        <w:pStyle w:val="907"/>
        <w:ind w:firstLine="439"/>
        <w:spacing w:before="0" w:after="0" w:line="560" w:lineRule="exact"/>
        <w:rPr>
          <w:rFonts w:cs="Arial"/>
          <w:highlight w:val="none"/>
        </w:rPr>
      </w:pPr>
      <w:r>
        <w:rPr>
          <w:rFonts w:hint="eastAsia" w:cs="Arial"/>
          <w:highlight w:val="none"/>
        </w:rPr>
        <w:t xml:space="preserve">投标报价得分=（评标基准价/投标报价）×价格权值×100</w:t>
      </w:r>
      <w:r>
        <w:rPr>
          <w:rFonts w:cs="Arial"/>
          <w:highlight w:val="none"/>
        </w:rPr>
        <w:t xml:space="preserve"> </w:t>
      </w:r>
      <w:r/>
    </w:p>
    <w:p>
      <w:pPr>
        <w:pStyle w:val="907"/>
        <w:ind w:firstLine="441"/>
        <w:spacing w:before="0" w:after="0" w:line="520" w:lineRule="exact"/>
        <w:rPr>
          <w:rFonts w:hint="eastAsia" w:cs="Arial"/>
          <w:b/>
          <w:bCs/>
          <w:highlight w:val="none"/>
        </w:rPr>
      </w:pPr>
      <w:r>
        <w:rPr>
          <w:rFonts w:hint="eastAsia" w:cs="Arial"/>
          <w:b/>
          <w:bCs/>
          <w:highlight w:val="none"/>
        </w:rPr>
        <w:t xml:space="preserve">出现下列情形之一的，评标委员会应当启动异常低价投标审查程序：</w:t>
      </w:r>
      <w:r/>
    </w:p>
    <w:p>
      <w:pPr>
        <w:pStyle w:val="907"/>
        <w:ind w:firstLine="441"/>
        <w:spacing w:before="0" w:after="0" w:line="520" w:lineRule="exact"/>
        <w:rPr>
          <w:rFonts w:hint="eastAsia" w:cs="Arial"/>
          <w:b/>
          <w:bCs/>
          <w:highlight w:val="none"/>
        </w:rPr>
      </w:pPr>
      <w:r>
        <w:rPr>
          <w:rFonts w:hint="eastAsia" w:cs="Arial"/>
          <w:b/>
          <w:bCs/>
          <w:highlight w:val="none"/>
        </w:rPr>
        <w:t xml:space="preserve">1.投标（响应）报价低于全部通过符合性审查供应商投标（响应）报价平均值50%的，即投标（响应）报价&lt;全部通过符合性审查供应商投标（响应）报价平均值×50%；</w:t>
      </w:r>
      <w:r/>
    </w:p>
    <w:p>
      <w:pPr>
        <w:pStyle w:val="907"/>
        <w:ind w:firstLine="441"/>
        <w:spacing w:before="0" w:after="0" w:line="520" w:lineRule="exact"/>
        <w:rPr>
          <w:rFonts w:hint="eastAsia" w:cs="Arial"/>
          <w:b/>
          <w:bCs/>
          <w:highlight w:val="none"/>
        </w:rPr>
      </w:pPr>
      <w:r>
        <w:rPr>
          <w:rFonts w:hint="eastAsia" w:cs="Arial"/>
          <w:b/>
          <w:bCs/>
          <w:highlight w:val="none"/>
        </w:rPr>
        <w:t xml:space="preserve">2.投标（响应）报价低于通过符合性审查的次低报价供应商投标（响应）报价50%的，即投标（响应）报价&lt;通过符合性审查的次低报价供应商投标（响应）报价×50%；</w:t>
      </w:r>
      <w:r/>
    </w:p>
    <w:p>
      <w:pPr>
        <w:pStyle w:val="907"/>
        <w:ind w:firstLine="441"/>
        <w:spacing w:before="0" w:after="0" w:line="520" w:lineRule="exact"/>
        <w:rPr>
          <w:rFonts w:hint="eastAsia" w:cs="Arial"/>
          <w:b/>
          <w:bCs/>
          <w:highlight w:val="none"/>
        </w:rPr>
      </w:pPr>
      <w:r>
        <w:rPr>
          <w:rFonts w:hint="eastAsia" w:cs="Arial"/>
          <w:b/>
          <w:bCs/>
          <w:highlight w:val="none"/>
        </w:rPr>
        <w:t xml:space="preserve">3.投标（响应）报价低于采购项目最高限价45%的，即投标（响应）报价&lt;采购项目最高限价×45%；</w:t>
      </w:r>
      <w:r/>
    </w:p>
    <w:p>
      <w:pPr>
        <w:pStyle w:val="907"/>
        <w:ind w:firstLine="441"/>
        <w:spacing w:before="0" w:after="0" w:line="520" w:lineRule="exact"/>
        <w:rPr>
          <w:rFonts w:hint="eastAsia" w:cs="Arial"/>
          <w:b/>
          <w:bCs/>
          <w:highlight w:val="none"/>
        </w:rPr>
      </w:pPr>
      <w:r>
        <w:rPr>
          <w:rFonts w:hint="eastAsia" w:cs="Arial"/>
          <w:b/>
          <w:bCs/>
          <w:highlight w:val="none"/>
        </w:rPr>
        <w:t xml:space="preserve">4.评审委员会基于专业判断，认为供应商报价过低，有可能影响产品质量或者不能诚信履约的其他情形。</w:t>
      </w:r>
      <w:r/>
    </w:p>
    <w:p>
      <w:pPr>
        <w:pStyle w:val="907"/>
        <w:ind w:firstLine="441"/>
        <w:spacing w:before="0" w:after="0" w:line="520" w:lineRule="exact"/>
        <w:rPr>
          <w:rFonts w:hint="eastAsia" w:cs="Arial"/>
        </w:rPr>
      </w:pPr>
      <w:r>
        <w:rPr>
          <w:rFonts w:hint="eastAsia" w:cs="Arial"/>
          <w:b/>
          <w:bCs/>
          <w:highlight w:val="none"/>
        </w:rPr>
        <w:t xml:space="preserve">启动异常低价投标审查后，评标委员会将通过苏采云系统要求相关供应商</w:t>
      </w:r>
      <w:r>
        <w:rPr>
          <w:rFonts w:hint="eastAsia" w:cs="Arial"/>
          <w:b/>
          <w:bCs/>
        </w:rPr>
        <w:t xml:space="preserve">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07"/>
        <w:ind w:firstLine="439"/>
        <w:spacing w:before="0" w:after="0" w:line="520" w:lineRule="exact"/>
        <w:rPr>
          <w:rFonts w:cs="Arial"/>
        </w:rPr>
      </w:pPr>
      <w:r>
        <w:rPr>
          <w:rFonts w:hint="eastAsia" w:cs="Arial"/>
        </w:rPr>
        <w:t xml:space="preserve">投标供应商不提供书面说明、证明材料，或者提供的书面说明、证明材料不能证明其报价合理性的，评标委员会应当将其作为无效投标处理。审查相关情况应当在评审报告中进行记录。</w:t>
      </w:r>
      <w:r/>
    </w:p>
    <w:p>
      <w:pPr>
        <w:ind w:firstLine="386"/>
        <w:jc w:val="left"/>
        <w:spacing w:line="560" w:lineRule="exact"/>
        <w:rPr>
          <w:rFonts w:ascii="Arial" w:hAnsi="Arial" w:cs="Arial"/>
          <w:color w:val="ff0000"/>
          <w:sz w:val="24"/>
          <w:szCs w:val="24"/>
        </w:rPr>
      </w:pPr>
      <w:r>
        <w:rPr>
          <w:rFonts w:hint="eastAsia" w:cs="Arial"/>
          <w:b/>
        </w:rPr>
        <w:t xml:space="preserve">（五）</w:t>
      </w:r>
      <w:r>
        <w:rPr>
          <w:rFonts w:hint="eastAsia" w:ascii="宋体" w:hAnsi="宋体"/>
          <w:b/>
        </w:rPr>
        <w:t xml:space="preserve">政府采购政策功能落实</w:t>
      </w:r>
      <w:r/>
    </w:p>
    <w:p>
      <w:pPr>
        <w:ind w:firstLine="480"/>
        <w:jc w:val="left"/>
        <w:spacing w:line="560" w:lineRule="exact"/>
        <w:rPr>
          <w:rFonts w:ascii="宋体" w:hAnsi="宋体"/>
          <w:sz w:val="24"/>
          <w:szCs w:val="24"/>
        </w:rPr>
      </w:pPr>
      <w:r>
        <w:rPr>
          <w:rFonts w:hint="eastAsia" w:ascii="宋体" w:hAnsi="宋体"/>
          <w:sz w:val="24"/>
          <w:szCs w:val="24"/>
        </w:rPr>
        <w:t xml:space="preserve">1.供应商需按照《政府采购促进中小企业发展管理办法》（财库﹝2020﹞46 号）的规定提供相应的《中小企业声明函》。</w:t>
      </w:r>
      <w:r/>
    </w:p>
    <w:p>
      <w:pPr>
        <w:ind w:firstLine="480"/>
        <w:jc w:val="left"/>
        <w:spacing w:line="560" w:lineRule="exact"/>
        <w:rPr>
          <w:rFonts w:ascii="宋体" w:hAnsi="宋体"/>
          <w:sz w:val="24"/>
          <w:szCs w:val="24"/>
        </w:rPr>
      </w:pPr>
      <w:r>
        <w:rPr>
          <w:rFonts w:hint="eastAsia" w:ascii="宋体" w:hAnsi="宋体"/>
          <w:sz w:val="24"/>
          <w:szCs w:val="24"/>
        </w:rPr>
        <w:t xml:space="preserve">2.企业标准请参照《关于印发中小企业划型标准规定的通知》（工信部联企业[2011]300号）文件规定自行填写。</w:t>
      </w:r>
      <w:r/>
    </w:p>
    <w:p>
      <w:pPr>
        <w:ind w:firstLine="480"/>
        <w:jc w:val="left"/>
        <w:spacing w:line="560" w:lineRule="exact"/>
        <w:rPr>
          <w:rFonts w:ascii="宋体" w:hAnsi="宋体"/>
          <w:sz w:val="24"/>
          <w:szCs w:val="24"/>
        </w:rPr>
      </w:pPr>
      <w:r>
        <w:rPr>
          <w:rFonts w:hint="eastAsia" w:ascii="宋体" w:hAnsi="宋体"/>
          <w:sz w:val="24"/>
          <w:szCs w:val="24"/>
        </w:rPr>
        <w:t xml:space="preserve">3.专门面向中小微企业采购的项目或者采购包，不再执行价格评审优惠的扶持政策。</w:t>
      </w:r>
      <w:r/>
    </w:p>
    <w:p>
      <w:pPr>
        <w:ind w:firstLine="480"/>
        <w:jc w:val="left"/>
        <w:spacing w:before="120" w:after="120" w:line="360" w:lineRule="auto"/>
        <w:rPr>
          <w:rFonts w:ascii="宋体" w:hAnsi="宋体"/>
          <w:b/>
          <w:sz w:val="36"/>
          <w:szCs w:val="36"/>
        </w:rPr>
      </w:pPr>
      <w:r>
        <w:rPr>
          <w:rFonts w:hint="eastAsia" w:ascii="宋体" w:hAnsi="宋体"/>
          <w:sz w:val="24"/>
          <w:szCs w:val="24"/>
        </w:rPr>
        <w:t xml:space="preserve">4.在政府采购活动中残疾人福利性单位、监狱企业视同小型、微型企业。</w:t>
      </w:r>
      <w:r/>
    </w:p>
    <w:p>
      <w:pPr>
        <w:pStyle w:val="907"/>
        <w:ind w:firstLine="472"/>
        <w:spacing w:line="400" w:lineRule="exact"/>
      </w:pPr>
      <w:r/>
      <w:r/>
    </w:p>
    <w:p>
      <w:pPr>
        <w:pStyle w:val="907"/>
        <w:ind w:left="0" w:firstLine="0"/>
        <w:spacing w:line="400" w:lineRule="exact"/>
      </w:pPr>
      <w:r/>
      <w:r/>
    </w:p>
    <w:p>
      <w:pPr>
        <w:pStyle w:val="907"/>
        <w:ind w:firstLine="472"/>
        <w:spacing w:line="400" w:lineRule="exact"/>
      </w:pPr>
      <w:r/>
      <w:r/>
    </w:p>
    <w:p>
      <w:pPr>
        <w:pStyle w:val="907"/>
        <w:ind w:firstLine="472"/>
        <w:spacing w:line="400" w:lineRule="exact"/>
      </w:pPr>
      <w:r/>
      <w:r/>
    </w:p>
    <w:p>
      <w:pPr>
        <w:pStyle w:val="907"/>
        <w:ind w:firstLine="472"/>
        <w:spacing w:line="400" w:lineRule="exact"/>
      </w:pPr>
      <w:r/>
      <w:r/>
    </w:p>
    <w:p>
      <w:pPr>
        <w:pStyle w:val="907"/>
        <w:ind w:firstLine="472"/>
        <w:spacing w:line="400" w:lineRule="exact"/>
      </w:pPr>
      <w:r/>
      <w:r/>
    </w:p>
    <w:p>
      <w:pPr>
        <w:pStyle w:val="907"/>
        <w:ind w:firstLine="472"/>
        <w:spacing w:line="400" w:lineRule="exact"/>
      </w:pPr>
      <w:r/>
      <w:r/>
    </w:p>
    <w:p>
      <w:pPr>
        <w:pStyle w:val="907"/>
        <w:ind w:firstLine="472"/>
        <w:spacing w:line="400" w:lineRule="exact"/>
      </w:pPr>
      <w:r/>
      <w:r/>
    </w:p>
    <w:p>
      <w:pPr>
        <w:pStyle w:val="907"/>
        <w:ind w:firstLine="0"/>
        <w:spacing w:line="400" w:lineRule="exact"/>
      </w:pPr>
      <w:r/>
      <w:r/>
    </w:p>
    <w:p>
      <w:pPr>
        <w:pStyle w:val="860"/>
        <w:rPr>
          <w:rFonts w:ascii="黑体" w:eastAsia="黑体"/>
          <w:bCs/>
          <w:sz w:val="44"/>
        </w:rPr>
      </w:pPr>
      <w:r>
        <w:rPr>
          <w:rFonts w:hint="eastAsia" w:ascii="黑体" w:eastAsia="黑体"/>
          <w:bCs/>
          <w:sz w:val="44"/>
        </w:rPr>
        <w:t xml:space="preserve">第五章  投标文件格式 </w:t>
      </w:r>
      <w:r/>
    </w:p>
    <w:p>
      <w:pPr>
        <w:jc w:val="center"/>
        <w:rPr>
          <w:rFonts w:ascii="宋体" w:hAnsi="宋体"/>
          <w:b/>
          <w:sz w:val="72"/>
        </w:rPr>
      </w:pPr>
      <w:r/>
      <w:bookmarkStart w:id="187" w:name="_Hlt26671244"/>
      <w:r/>
      <w:bookmarkEnd w:id="187"/>
      <w:r/>
      <w:bookmarkStart w:id="188" w:name="_Hlt26955039"/>
      <w:r/>
      <w:bookmarkEnd w:id="188"/>
      <w:r/>
      <w:bookmarkStart w:id="189" w:name="_Toc120614282"/>
      <w:r/>
      <w:bookmarkStart w:id="190" w:name="_Toc49090576"/>
      <w:r/>
      <w:bookmarkStart w:id="191"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60" w:lineRule="exact"/>
        <w:rPr>
          <w:rFonts w:ascii="黑体" w:hAnsi="黑体" w:eastAsia="黑体"/>
          <w:color w:val="000000"/>
          <w:sz w:val="32"/>
          <w:szCs w:val="32"/>
        </w:rPr>
      </w:pPr>
      <w:r>
        <w:rPr>
          <w:rFonts w:ascii="黑体" w:hAnsi="黑体" w:eastAsia="黑体"/>
          <w:color w:val="000000"/>
          <w:sz w:val="32"/>
          <w:szCs w:val="32"/>
        </w:rPr>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6.法定代表人身份证明书（格式见附件3）；</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8.承诺函（格式见附件</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8.投标函（格式见附件</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10.其它需要提交的资格审查证明材料。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1.商务部分正负偏离表；（格式见附件</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2.技术部分正负偏离表；（格式见附件</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1.开标一览表（格式见附件</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2.分项报价明细表（格式见附件</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3.中小企业声明函（如有）（格式见附件1</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p>
    <w:p>
      <w:pPr>
        <w:ind w:firstLine="480"/>
        <w:spacing w:line="380" w:lineRule="exact"/>
        <w:rPr>
          <w:rFonts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pStyle w:val="712"/>
      </w:pPr>
      <w:r/>
      <w:r/>
    </w:p>
    <w:p>
      <w:pPr>
        <w:contextualSpacing/>
        <w:spacing w:line="400" w:lineRule="exact"/>
        <w:rPr>
          <w:rFonts w:eastAsia="方正黑体_GBK"/>
          <w:sz w:val="32"/>
          <w:szCs w:val="32"/>
          <w:lang w:val="zh-CN"/>
        </w:rPr>
      </w:pPr>
      <w:r>
        <w:rPr>
          <w:rFonts w:eastAsia="方正黑体_GBK"/>
          <w:sz w:val="32"/>
          <w:szCs w:val="32"/>
          <w:lang w:val="zh-CN"/>
        </w:rPr>
        <w:t xml:space="preserve">附件1</w:t>
      </w:r>
      <w:r/>
    </w:p>
    <w:p>
      <w:pPr>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sz w:val="24"/>
          <w:szCs w:val="24"/>
        </w:rPr>
      </w:pPr>
      <w:r>
        <w:rPr>
          <w:rFonts w:ascii="宋体"/>
          <w:sz w:val="24"/>
          <w:szCs w:val="24"/>
        </w:rPr>
      </w:r>
      <w:r/>
    </w:p>
    <w:p>
      <w:pPr>
        <w:jc w:val="left"/>
        <w:spacing w:line="360" w:lineRule="auto"/>
        <w:widowControl/>
        <w:rPr>
          <w:rFonts w:ascii="宋体" w:cs="宋体"/>
          <w:color w:val="000000"/>
          <w:sz w:val="24"/>
          <w:szCs w:val="24"/>
        </w:rPr>
      </w:pPr>
      <w:r>
        <w:rPr>
          <w:rFonts w:ascii="宋体" w:cs="宋体"/>
          <w:color w:val="000000"/>
          <w:sz w:val="24"/>
          <w:szCs w:val="24"/>
        </w:rPr>
      </w:r>
      <w:r/>
    </w:p>
    <w:p>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p>
    <w:p>
      <w:pPr>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cs="宋体"/>
          <w:color w:val="000000"/>
          <w:sz w:val="24"/>
          <w:szCs w:val="24"/>
        </w:rPr>
      </w:pPr>
      <w:r>
        <w:rPr>
          <w:rFonts w:ascii="宋体" w:cs="宋体"/>
          <w:color w:val="000000"/>
          <w:sz w:val="24"/>
          <w:szCs w:val="24"/>
        </w:rPr>
      </w:r>
      <w:r/>
    </w:p>
    <w:p>
      <w:pPr>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u w:val="single"/>
        </w:rPr>
        <w:t xml:space="preserve">______</w:t>
      </w:r>
      <w:r>
        <w:rPr>
          <w:rFonts w:hint="eastAsia" w:ascii="宋体" w:hAnsi="宋体" w:cs="宋体"/>
          <w:color w:val="000000"/>
          <w:sz w:val="24"/>
          <w:szCs w:val="24"/>
        </w:rPr>
        <w:t xml:space="preserve">年</w:t>
      </w:r>
      <w:r>
        <w:rPr>
          <w:rFonts w:ascii="宋体" w:hAnsi="宋体"/>
          <w:bCs/>
          <w:u w:val="single"/>
        </w:rPr>
        <w:t xml:space="preserve">______</w:t>
      </w:r>
      <w:r>
        <w:rPr>
          <w:rFonts w:hint="eastAsia" w:ascii="宋体" w:hAnsi="宋体" w:cs="宋体"/>
          <w:color w:val="000000"/>
          <w:sz w:val="24"/>
          <w:szCs w:val="24"/>
        </w:rPr>
        <w:t xml:space="preserve">月</w:t>
      </w:r>
      <w:r>
        <w:rPr>
          <w:rFonts w:ascii="宋体" w:hAnsi="宋体"/>
          <w:bCs/>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b/>
          <w:sz w:val="32"/>
          <w:szCs w:val="32"/>
        </w:rPr>
      </w:pPr>
      <w:r>
        <w:rPr>
          <w:rFonts w:ascii="宋体"/>
          <w:b/>
          <w:sz w:val="32"/>
          <w:szCs w:val="32"/>
        </w:rPr>
      </w:r>
      <w:r/>
    </w:p>
    <w:p>
      <w:pPr>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b/>
          <w:bCs/>
          <w:sz w:val="44"/>
          <w:szCs w:val="44"/>
        </w:rPr>
      </w:pPr>
      <w:r>
        <w:rPr>
          <w:rFonts w:ascii="宋体"/>
          <w:b/>
          <w:bCs/>
          <w:sz w:val="44"/>
          <w:szCs w:val="44"/>
        </w:rPr>
      </w:r>
      <w:r/>
    </w:p>
    <w:p>
      <w:pPr>
        <w:ind w:firstLine="881"/>
        <w:jc w:val="center"/>
        <w:spacing w:line="460" w:lineRule="exact"/>
        <w:rPr>
          <w:rFonts w:ascii="宋体"/>
          <w:b/>
          <w:bCs/>
          <w:sz w:val="44"/>
          <w:szCs w:val="44"/>
        </w:rPr>
      </w:pPr>
      <w:r>
        <w:rPr>
          <w:rFonts w:ascii="宋体"/>
          <w:b/>
          <w:bCs/>
          <w:sz w:val="44"/>
          <w:szCs w:val="44"/>
        </w:rPr>
      </w:r>
      <w:r/>
    </w:p>
    <w:p>
      <w:pPr>
        <w:ind w:firstLine="482"/>
        <w:spacing w:line="500" w:lineRule="exact"/>
        <w:rPr>
          <w:rFonts w:ascii="宋体"/>
          <w:bCs/>
        </w:rPr>
      </w:pPr>
      <w:r>
        <w:rPr>
          <w:rFonts w:hint="eastAsia" w:ascii="宋体" w:hAnsi="宋体"/>
          <w:bCs/>
        </w:rPr>
        <w:t xml:space="preserve">我公司（本人）郑重声明：参加本次政府采购活动前</w:t>
      </w:r>
      <w:r>
        <w:rPr>
          <w:rFonts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spacing w:line="500" w:lineRule="exact"/>
        <w:rPr>
          <w:rFonts w:ascii="宋体"/>
          <w:bCs/>
          <w:sz w:val="24"/>
        </w:rPr>
      </w:pPr>
      <w:r>
        <w:rPr>
          <w:rFonts w:ascii="宋体"/>
          <w:bCs/>
          <w:sz w:val="24"/>
        </w:rPr>
      </w:r>
      <w:r/>
    </w:p>
    <w:p>
      <w:pPr>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供应商名称（公章）：</w:t>
      </w:r>
      <w:r/>
    </w:p>
    <w:p>
      <w:pPr>
        <w:spacing w:line="460" w:lineRule="exact"/>
        <w:rPr>
          <w:rFonts w:ascii="宋体"/>
          <w:bCs/>
        </w:rPr>
      </w:pPr>
      <w:r>
        <w:rPr>
          <w:rFonts w:ascii="宋体" w:hAnsi="宋体"/>
          <w:bCs/>
        </w:rPr>
        <w:t xml:space="preserve">                                 </w:t>
      </w:r>
      <w:r>
        <w:rPr>
          <w:rFonts w:hint="eastAsia" w:ascii="宋体" w:hAnsi="宋体"/>
          <w:bCs/>
        </w:rPr>
        <w:t xml:space="preserve">授权代表签字：</w:t>
      </w:r>
      <w:r>
        <w:rPr>
          <w:rFonts w:ascii="宋体" w:hAnsi="宋体"/>
          <w:bCs/>
          <w:u w:val="single"/>
        </w:rPr>
        <w:t xml:space="preserve">_______________________</w:t>
      </w:r>
      <w:r/>
    </w:p>
    <w:p>
      <w:pPr>
        <w:spacing w:line="460" w:lineRule="exact"/>
        <w:rPr>
          <w:rFonts w:ascii="宋体"/>
          <w:bCs/>
        </w:rPr>
      </w:pPr>
      <w:r>
        <w:rPr>
          <w:rFonts w:ascii="宋体" w:hAnsi="宋体"/>
          <w:bCs/>
        </w:rPr>
        <w:t xml:space="preserve">                                 </w:t>
      </w:r>
      <w:r>
        <w:rPr>
          <w:rFonts w:hint="eastAsia" w:ascii="宋体" w:hAnsi="宋体"/>
          <w:bCs/>
        </w:rPr>
        <w:t xml:space="preserve">日期：</w:t>
      </w:r>
      <w:r>
        <w:rPr>
          <w:rFonts w:ascii="宋体" w:hAnsi="宋体"/>
          <w:bCs/>
          <w:u w:val="single"/>
        </w:rPr>
        <w:t xml:space="preserve">______</w:t>
      </w:r>
      <w:r>
        <w:rPr>
          <w:rFonts w:hint="eastAsia" w:ascii="宋体" w:hAnsi="宋体"/>
          <w:bCs/>
        </w:rPr>
        <w:t xml:space="preserve">年</w:t>
      </w:r>
      <w:r>
        <w:rPr>
          <w:rFonts w:ascii="宋体" w:hAnsi="宋体"/>
          <w:bCs/>
          <w:u w:val="single"/>
        </w:rPr>
        <w:t xml:space="preserve">______</w:t>
      </w:r>
      <w:r>
        <w:rPr>
          <w:rFonts w:hint="eastAsia" w:ascii="宋体" w:hAnsi="宋体"/>
          <w:bCs/>
        </w:rPr>
        <w:t xml:space="preserve">月</w:t>
      </w:r>
      <w:r>
        <w:rPr>
          <w:rFonts w:ascii="宋体" w:hAnsi="宋体"/>
          <w:bCs/>
          <w:u w:val="single"/>
        </w:rPr>
        <w:t xml:space="preserve">______</w:t>
      </w:r>
      <w:r>
        <w:rPr>
          <w:rFonts w:hint="eastAsia" w:ascii="宋体" w:hAnsi="宋体"/>
          <w:bCs/>
        </w:rPr>
        <w:t xml:space="preserve">日</w:t>
      </w:r>
      <w:r/>
    </w:p>
    <w:p>
      <w:pPr>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eastAsia="仿宋_GB2312"/>
          <w:sz w:val="24"/>
          <w:szCs w:val="24"/>
        </w:rPr>
      </w:pPr>
      <w:r>
        <w:rPr>
          <w:rFonts w:eastAsia="仿宋_GB2312"/>
          <w:sz w:val="24"/>
          <w:szCs w:val="24"/>
        </w:rPr>
      </w:r>
      <w:r/>
    </w:p>
    <w:p>
      <w:pPr>
        <w:rPr>
          <w:szCs w:val="24"/>
        </w:rPr>
      </w:pPr>
      <w:r>
        <w:rPr>
          <w:rFonts w:hint="eastAsia"/>
          <w:szCs w:val="24"/>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hint="eastAsia" w:eastAsia="方正黑体_GBK"/>
          <w:sz w:val="32"/>
          <w:szCs w:val="32"/>
          <w:lang w:val="zh-CN"/>
        </w:rPr>
        <w:t xml:space="preserve">4</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ascii="宋体" w:hAnsi="宋体"/>
          <w:b/>
          <w:bCs/>
          <w:sz w:val="32"/>
        </w:rPr>
      </w:pPr>
      <w:r>
        <w:rPr>
          <w:rFonts w:hint="eastAsia" w:ascii="宋体" w:hAnsi="宋体"/>
          <w:b/>
          <w:bCs/>
          <w:sz w:val="32"/>
        </w:rPr>
        <w:t xml:space="preserve">附件5</w:t>
      </w:r>
      <w:r/>
    </w:p>
    <w:p>
      <w:pPr>
        <w:jc w:val="center"/>
        <w:rPr>
          <w:rFonts w:ascii="宋体" w:hAnsi="宋体" w:cs="宋体"/>
          <w:b/>
          <w:bCs/>
          <w:sz w:val="32"/>
          <w:szCs w:val="32"/>
        </w:rPr>
      </w:pPr>
      <w:r>
        <w:rPr>
          <w:rFonts w:hint="eastAsia" w:ascii="宋体" w:hAnsi="宋体" w:cs="宋体"/>
          <w:b/>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ind w:firstLine="420"/>
        <w:rPr>
          <w:rFonts w:eastAsia="方正黑体_GBK"/>
          <w:sz w:val="32"/>
          <w:szCs w:val="32"/>
        </w:rPr>
      </w:pPr>
      <w:r>
        <w:rPr>
          <w:rFonts w:ascii="宋体" w:hAnsi="宋体"/>
          <w:sz w:val="32"/>
          <w:szCs w:val="32"/>
          <w:lang w:val="zh-CN"/>
        </w:rPr>
        <w:br w:type="page" w:clear="all"/>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6</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致：采购人</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w:t>
      </w:r>
      <w:r>
        <w:rPr>
          <w:rFonts w:hint="eastAsia"/>
          <w:color w:val="000000"/>
          <w:sz w:val="24"/>
          <w:szCs w:val="24"/>
        </w:rPr>
        <w:t xml:space="preserve">项目编号：</w:t>
      </w:r>
      <w:r>
        <w:rPr>
          <w:rFonts w:hint="eastAsia"/>
          <w:color w:val="000000"/>
          <w:sz w:val="24"/>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投标供应商全称(盖公章)：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712"/>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12"/>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8</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12"/>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9</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66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投标货物名称</w:t>
            </w:r>
            <w:r/>
          </w:p>
        </w:tc>
        <w:tc>
          <w:tcPr>
            <w:tcW w:w="4607"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投标总报价</w:t>
            </w:r>
            <w:r/>
          </w:p>
        </w:tc>
      </w:tr>
      <w:tr>
        <w:trPr>
          <w:trHeight w:val="1091"/>
        </w:trPr>
        <w:tc>
          <w:tcPr>
            <w:tcW w:w="4148" w:type="dxa"/>
            <w:textDirection w:val="lrTb"/>
            <w:noWrap/>
          </w:tcPr>
          <w:p>
            <w:pPr>
              <w:spacing w:line="560" w:lineRule="exact"/>
              <w:rPr>
                <w:rFonts w:ascii="等线" w:hAnsi="等线" w:eastAsia="等线"/>
                <w:szCs w:val="22"/>
              </w:rPr>
            </w:pPr>
            <w:r>
              <w:rPr>
                <w:rFonts w:ascii="等线" w:hAnsi="等线" w:eastAsia="等线"/>
                <w:szCs w:val="22"/>
              </w:rPr>
            </w:r>
            <w:r/>
          </w:p>
        </w:tc>
        <w:tc>
          <w:tcPr>
            <w:tcW w:w="4607" w:type="dxa"/>
            <w:vAlign w:val="center"/>
            <w:textDirection w:val="lrTb"/>
            <w:noWrap/>
          </w:tcPr>
          <w:p>
            <w:pPr>
              <w:spacing w:line="560" w:lineRule="exact"/>
              <w:rPr>
                <w:rFonts w:ascii="等线" w:hAnsi="等线"/>
                <w:szCs w:val="22"/>
                <w:u w:val="single"/>
              </w:rPr>
            </w:pPr>
            <w:r>
              <w:rPr>
                <w:rFonts w:ascii="等线" w:hAnsi="等线"/>
                <w:szCs w:val="22"/>
                <w:u w:val="single"/>
              </w:rPr>
            </w:r>
            <w:r/>
          </w:p>
        </w:tc>
      </w:tr>
      <w:tr>
        <w:trPr/>
        <w:tc>
          <w:tcPr>
            <w:tcW w:w="4148" w:type="dxa"/>
            <w:textDirection w:val="lrTb"/>
            <w:noWrap/>
          </w:tcPr>
          <w:p>
            <w:pPr>
              <w:spacing w:line="560" w:lineRule="exact"/>
              <w:rPr>
                <w:rFonts w:ascii="等线" w:hAnsi="等线" w:eastAsia="等线"/>
                <w:szCs w:val="22"/>
              </w:rPr>
            </w:pPr>
            <w:r>
              <w:rPr>
                <w:rFonts w:ascii="宋体" w:hAnsi="宋体" w:cs="宋体"/>
                <w:sz w:val="28"/>
                <w:szCs w:val="28"/>
              </w:rPr>
              <w:t xml:space="preserve">主要货物、服务制造商及产地</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r>
        <w:trPr>
          <w:trHeight w:val="481"/>
        </w:trPr>
        <w:tc>
          <w:tcPr>
            <w:tcW w:w="4148" w:type="dxa"/>
            <w:textDirection w:val="lrTb"/>
            <w:noWrap/>
          </w:tcPr>
          <w:p>
            <w:pPr>
              <w:spacing w:line="560" w:lineRule="exact"/>
              <w:rPr>
                <w:rFonts w:ascii="等线" w:hAnsi="等线" w:eastAsia="等线"/>
                <w:szCs w:val="22"/>
              </w:rPr>
            </w:pPr>
            <w:r>
              <w:rPr>
                <w:rFonts w:hint="eastAsia" w:ascii="宋体" w:hAnsi="宋体" w:cs="宋体"/>
                <w:sz w:val="28"/>
                <w:szCs w:val="28"/>
              </w:rPr>
              <w:t xml:space="preserve">核心产品品牌（如有）</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p>
    <w:p>
      <w:pPr>
        <w:spacing w:line="520" w:lineRule="exact"/>
        <w:rPr>
          <w:rFonts w:hint="default" w:eastAsia="方正黑体_GBK"/>
          <w:sz w:val="32"/>
          <w:szCs w:val="32"/>
          <w:lang w:val="en-US" w:eastAsia="zh-CN"/>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10</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60"/>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4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21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规格型号</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品牌</w:t>
            </w:r>
            <w:r/>
          </w:p>
        </w:tc>
        <w:tc>
          <w:tcPr>
            <w:tcW w:w="99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单位</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数量</w:t>
            </w:r>
            <w:r/>
          </w:p>
        </w:tc>
        <w:tc>
          <w:tcPr>
            <w:tcW w:w="8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单价</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sz w:val="28"/>
          <w:szCs w:val="28"/>
          <w:lang w:val="zh-CN"/>
        </w:rPr>
        <w:outlineLvl w:val="0"/>
      </w:pPr>
      <w:r>
        <w:rPr>
          <w:rFonts w:ascii="宋体" w:hAnsi="宋体" w:eastAsia="幼圆" w:cs="Arial"/>
          <w:b/>
          <w:sz w:val="24"/>
          <w:szCs w:val="44"/>
        </w:rPr>
        <w:br w:type="page" w:clear="all"/>
      </w:r>
      <w:r/>
    </w:p>
    <w:p>
      <w:pPr>
        <w:spacing w:line="300" w:lineRule="auto"/>
        <w:rPr>
          <w:rFonts w:hint="eastAsia" w:eastAsia="方正黑体_GBK"/>
          <w:sz w:val="32"/>
          <w:szCs w:val="32"/>
          <w:lang w:eastAsia="zh-CN"/>
        </w:rPr>
        <w:outlineLvl w:val="0"/>
      </w:pP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1</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rPr>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ascii="宋体" w:hAnsi="宋体" w:cs="宋体"/>
          <w:lang w:bidi="zh-CN"/>
        </w:rPr>
        <w:outlineLvl w:val="0"/>
      </w:pPr>
      <w:r>
        <w:rPr>
          <w:rFonts w:hint="eastAsia" w:ascii="宋体" w:hAnsi="宋体" w:cs="宋体"/>
          <w:lang w:bidi="zh-CN"/>
        </w:rPr>
        <w:t xml:space="preserve">注：1.如项目属性为“货物”，请按本表填写。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spacing w:line="300" w:lineRule="auto"/>
        <w:rPr>
          <w:rFonts w:ascii="宋体" w:hAnsi="宋体" w:cs="宋体"/>
          <w:lang w:bidi="zh-CN"/>
        </w:rPr>
        <w:outlineLvl w:val="0"/>
      </w:pPr>
      <w:r>
        <w:rPr>
          <w:rFonts w:hint="eastAsia" w:ascii="宋体" w:hAnsi="宋体" w:cs="宋体"/>
          <w:lang w:bidi="zh-CN"/>
        </w:rPr>
        <w:t xml:space="preserve">    3.投标供应商须根据上述要求，详细列明货物清单中所有产品制造商的具体情况，否则不能享受中小企业扶持政策。</w:t>
      </w:r>
      <w:r/>
    </w:p>
    <w:p>
      <w:pPr>
        <w:ind w:firstLine="420"/>
        <w:spacing w:line="300" w:lineRule="auto"/>
        <w:rPr>
          <w:sz w:val="28"/>
          <w:szCs w:val="28"/>
          <w:lang w:bidi="zh-CN"/>
        </w:rPr>
        <w:outlineLvl w:val="0"/>
      </w:pPr>
      <w:r>
        <w:rPr>
          <w:rFonts w:hint="eastAsia" w:ascii="宋体" w:hAnsi="宋体" w:cs="宋体"/>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rPr>
      </w:pPr>
      <w:r>
        <w:rPr>
          <w:rFonts w:hint="eastAsia" w:ascii="宋体" w:hAnsi="宋体" w:cs="宋体"/>
        </w:rPr>
        <w:t xml:space="preserve">《中小企业划型标准规定》（工信部联企业〔2011〕300号）</w:t>
      </w:r>
      <w:r/>
    </w:p>
    <w:tbl>
      <w:tblPr>
        <w:tblStyle w:val="6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543"/>
        <w:gridCol w:w="750"/>
        <w:gridCol w:w="2037"/>
        <w:gridCol w:w="1770"/>
        <w:gridCol w:w="1154"/>
      </w:tblGrid>
      <w:tr>
        <w:trPr>
          <w:cantSplit/>
          <w:jc w:val="center"/>
          <w:tblHeader/>
        </w:trPr>
        <w:tc>
          <w:tcPr>
            <w:tcW w:w="1917" w:type="dxa"/>
            <w:vAlign w:val="center"/>
            <w:textDirection w:val="lrTb"/>
            <w:noWrap w:val="false"/>
          </w:tcPr>
          <w:p>
            <w:pPr>
              <w:jc w:val="center"/>
              <w:rPr>
                <w:rFonts w:ascii="宋体" w:hAnsi="宋体" w:cs="宋体"/>
                <w:b/>
              </w:rPr>
            </w:pPr>
            <w:r>
              <w:rPr>
                <w:rFonts w:hint="eastAsia" w:ascii="宋体" w:hAnsi="宋体" w:cs="宋体"/>
                <w:b/>
              </w:rPr>
              <w:t xml:space="preserve">行业名称</w:t>
            </w:r>
            <w:r/>
          </w:p>
        </w:tc>
        <w:tc>
          <w:tcPr>
            <w:tcW w:w="1544" w:type="dxa"/>
            <w:vAlign w:val="center"/>
            <w:textDirection w:val="lrTb"/>
            <w:noWrap w:val="false"/>
          </w:tcPr>
          <w:p>
            <w:pPr>
              <w:jc w:val="center"/>
              <w:rPr>
                <w:rFonts w:ascii="宋体" w:hAnsi="宋体" w:cs="宋体"/>
                <w:b/>
              </w:rPr>
            </w:pPr>
            <w:r>
              <w:rPr>
                <w:rFonts w:hint="eastAsia" w:ascii="宋体" w:hAnsi="宋体" w:cs="宋体"/>
                <w:b/>
              </w:rPr>
              <w:t xml:space="preserve">指标名称</w:t>
            </w:r>
            <w:r/>
          </w:p>
        </w:tc>
        <w:tc>
          <w:tcPr>
            <w:tcW w:w="750" w:type="dxa"/>
            <w:vAlign w:val="center"/>
            <w:textDirection w:val="lrTb"/>
            <w:noWrap w:val="false"/>
          </w:tcPr>
          <w:p>
            <w:pPr>
              <w:jc w:val="center"/>
              <w:rPr>
                <w:rFonts w:ascii="宋体" w:hAnsi="宋体" w:cs="宋体"/>
                <w:b/>
              </w:rPr>
            </w:pPr>
            <w:r>
              <w:rPr>
                <w:rFonts w:hint="eastAsia" w:ascii="宋体" w:hAnsi="宋体" w:cs="宋体"/>
                <w:b/>
              </w:rPr>
              <w:t xml:space="preserve">计量</w:t>
            </w:r>
            <w:r/>
          </w:p>
          <w:p>
            <w:pPr>
              <w:jc w:val="center"/>
              <w:rPr>
                <w:rFonts w:ascii="宋体" w:hAnsi="宋体" w:cs="宋体"/>
                <w:b/>
              </w:rPr>
            </w:pPr>
            <w:r>
              <w:rPr>
                <w:rFonts w:hint="eastAsia" w:ascii="宋体" w:hAnsi="宋体" w:cs="宋体"/>
                <w:b/>
              </w:rPr>
              <w:t xml:space="preserve">单位</w:t>
            </w:r>
            <w:r/>
          </w:p>
        </w:tc>
        <w:tc>
          <w:tcPr>
            <w:tcW w:w="2038" w:type="dxa"/>
            <w:vAlign w:val="center"/>
            <w:textDirection w:val="lrTb"/>
            <w:noWrap w:val="false"/>
          </w:tcPr>
          <w:p>
            <w:pPr>
              <w:jc w:val="center"/>
              <w:rPr>
                <w:rFonts w:ascii="宋体" w:hAnsi="宋体" w:cs="宋体"/>
                <w:b/>
              </w:rPr>
            </w:pPr>
            <w:r>
              <w:rPr>
                <w:rFonts w:hint="eastAsia" w:ascii="宋体" w:hAnsi="宋体" w:cs="宋体"/>
                <w:b/>
              </w:rPr>
              <w:t xml:space="preserve">中型</w:t>
            </w:r>
            <w:r/>
          </w:p>
        </w:tc>
        <w:tc>
          <w:tcPr>
            <w:tcW w:w="1771" w:type="dxa"/>
            <w:vAlign w:val="center"/>
            <w:textDirection w:val="lrTb"/>
            <w:noWrap w:val="false"/>
          </w:tcPr>
          <w:p>
            <w:pPr>
              <w:jc w:val="center"/>
              <w:rPr>
                <w:rFonts w:ascii="宋体" w:hAnsi="宋体" w:cs="宋体"/>
                <w:b/>
              </w:rPr>
            </w:pPr>
            <w:r>
              <w:rPr>
                <w:rFonts w:hint="eastAsia" w:ascii="宋体" w:hAnsi="宋体" w:cs="宋体"/>
                <w:b/>
              </w:rPr>
              <w:t xml:space="preserve">小型</w:t>
            </w:r>
            <w:r/>
          </w:p>
        </w:tc>
        <w:tc>
          <w:tcPr>
            <w:tcW w:w="1154" w:type="dxa"/>
            <w:vAlign w:val="center"/>
            <w:textDirection w:val="lrTb"/>
            <w:noWrap w:val="false"/>
          </w:tcPr>
          <w:p>
            <w:pPr>
              <w:jc w:val="center"/>
              <w:rPr>
                <w:rFonts w:ascii="宋体" w:hAnsi="宋体" w:cs="宋体"/>
                <w:b/>
              </w:rPr>
            </w:pPr>
            <w:r>
              <w:rPr>
                <w:rFonts w:hint="eastAsia" w:ascii="宋体" w:hAnsi="宋体" w:cs="宋体"/>
                <w:b/>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rPr>
            </w:pPr>
            <w:r>
              <w:rPr>
                <w:rFonts w:hint="eastAsia" w:ascii="宋体" w:hAnsi="宋体" w:cs="宋体"/>
              </w:rPr>
              <w:t xml:space="preserve">工业</w:t>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从业人员（X）</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人</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300≤X&lt;1000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20≤X&lt;300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X&lt;20</w:t>
            </w:r>
            <w:r/>
          </w:p>
        </w:tc>
      </w:tr>
      <w:tr>
        <w:trPr>
          <w:cantSplit/>
          <w:jc w:val="center"/>
        </w:trPr>
        <w:tc>
          <w:tcPr>
            <w:tcW w:w="1917" w:type="dxa"/>
            <w:vAlign w:val="center"/>
            <w:vMerge w:val="continue"/>
            <w:textDirection w:val="lrTb"/>
            <w:noWrap w:val="false"/>
          </w:tcPr>
          <w:p>
            <w:pPr>
              <w:jc w:val="center"/>
              <w:rPr>
                <w:rFonts w:ascii="宋体" w:hAnsi="宋体" w:cs="宋体"/>
              </w:rPr>
            </w:pPr>
            <w:r>
              <w:rPr>
                <w:rFonts w:ascii="宋体" w:hAnsi="宋体" w:cs="宋体"/>
              </w:rPr>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营业收入（Y）</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万元</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2000≤Y&lt;40000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300≤Y&lt;2000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Y&lt;300</w:t>
            </w:r>
            <w:r/>
          </w:p>
        </w:tc>
      </w:tr>
    </w:tbl>
    <w:p>
      <w:pPr>
        <w:spacing w:line="300" w:lineRule="auto"/>
        <w:rPr>
          <w:sz w:val="28"/>
          <w:szCs w:val="28"/>
          <w:lang w:bidi="zh-CN"/>
        </w:rPr>
        <w:outlineLvl w:val="0"/>
      </w:pPr>
      <w:r>
        <w:rPr>
          <w:rFonts w:hint="eastAsia" w:ascii="宋体" w:hAnsi="宋体" w:cs="宋体"/>
        </w:rPr>
        <w:t xml:space="preserve">说明：大型、中型和小型企业须同时满足所列指标的下限，否则下划一档；微型企业只须满足所列指标中的一项即可。</w:t>
      </w:r>
      <w:r/>
    </w:p>
    <w:p>
      <w:pPr>
        <w:jc w:val="center"/>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hint="eastAsia" w:eastAsia="方正黑体_GBK"/>
          <w:sz w:val="32"/>
          <w:szCs w:val="32"/>
          <w:lang w:eastAsia="zh-CN"/>
        </w:rPr>
        <w:outlineLvl w:val="0"/>
      </w:pPr>
      <w:r>
        <w:rPr>
          <w:sz w:val="28"/>
          <w:szCs w:val="28"/>
        </w:rPr>
        <w:br w:type="page" w:clear="all"/>
      </w:r>
      <w:r>
        <w:rPr>
          <w:rFonts w:eastAsia="方正黑体_GBK"/>
          <w:sz w:val="32"/>
          <w:szCs w:val="32"/>
        </w:rPr>
        <w:t xml:space="preserve">附件1</w:t>
      </w:r>
      <w:r>
        <w:rPr>
          <w:rFonts w:hint="eastAsia" w:eastAsia="方正黑体_GBK"/>
          <w:sz w:val="32"/>
          <w:szCs w:val="32"/>
          <w:lang w:val="en-US" w:eastAsia="zh-CN"/>
        </w:rPr>
        <w:t xml:space="preserve">3</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rFonts w:hint="eastAsia"/>
          <w:sz w:val="28"/>
          <w:szCs w:val="28"/>
        </w:rPr>
        <w:t xml:space="preserve">注：1、供应商如不提供此声明函，价格将不做相应扣除。</w:t>
      </w:r>
      <w:r/>
    </w:p>
    <w:p>
      <w:pPr>
        <w:ind w:firstLine="560"/>
        <w:spacing w:line="300" w:lineRule="auto"/>
        <w:rPr>
          <w:sz w:val="28"/>
          <w:szCs w:val="28"/>
        </w:rPr>
        <w:outlineLvl w:val="0"/>
      </w:pPr>
      <w:r>
        <w:rPr>
          <w:rFonts w:hint="eastAsia"/>
          <w:sz w:val="28"/>
          <w:szCs w:val="28"/>
        </w:rPr>
        <w:t xml:space="preserve">2、中标供应商为监狱企业的，此声明函将随中标结果同时公告，</w:t>
      </w:r>
      <w:r/>
    </w:p>
    <w:p>
      <w:pPr>
        <w:spacing w:line="300" w:lineRule="auto"/>
        <w:rPr>
          <w:sz w:val="28"/>
          <w:szCs w:val="28"/>
        </w:rPr>
        <w:outlineLvl w:val="0"/>
      </w:pPr>
      <w:r>
        <w:rPr>
          <w:rFonts w:hint="eastAsia"/>
          <w:sz w:val="28"/>
          <w:szCs w:val="28"/>
        </w:rPr>
        <w:t xml:space="preserve">接受社会监督。供应商按照本办法规定提供声明函内容不实的，属于</w:t>
      </w:r>
      <w:r/>
    </w:p>
    <w:p>
      <w:pPr>
        <w:spacing w:line="300" w:lineRule="auto"/>
        <w:rPr>
          <w:sz w:val="28"/>
          <w:szCs w:val="28"/>
        </w:rPr>
        <w:outlineLvl w:val="0"/>
      </w:pPr>
      <w:r>
        <w:rPr>
          <w:rFonts w:hint="eastAsia"/>
          <w:sz w:val="28"/>
          <w:szCs w:val="28"/>
        </w:rPr>
        <w:t xml:space="preserve">提供虚假材料谋取中标、成交，依照《中华人民共和国政府采购法》</w:t>
      </w:r>
      <w:r/>
    </w:p>
    <w:p>
      <w:pPr>
        <w:spacing w:line="300" w:lineRule="auto"/>
        <w:rPr>
          <w:sz w:val="28"/>
          <w:szCs w:val="28"/>
        </w:rPr>
        <w:outlineLvl w:val="0"/>
      </w:pPr>
      <w:r>
        <w:rPr>
          <w:rFonts w:hint="eastAsia"/>
          <w:sz w:val="28"/>
          <w:szCs w:val="28"/>
        </w:rPr>
        <w:t xml:space="preserve">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eastAsia="zh-CN"/>
        </w:rPr>
      </w:pPr>
      <w:r>
        <w:rPr>
          <w:rFonts w:eastAsia="方正黑体_GBK"/>
          <w:bCs/>
          <w:sz w:val="32"/>
          <w:szCs w:val="32"/>
        </w:rPr>
        <w:br w:type="page" w:clear="all"/>
      </w:r>
      <w:r>
        <w:rPr>
          <w:rFonts w:eastAsia="方正黑体_GBK"/>
          <w:bCs/>
          <w:sz w:val="32"/>
          <w:szCs w:val="32"/>
        </w:rPr>
        <w:t xml:space="preserve">附件1</w:t>
      </w:r>
      <w:r>
        <w:rPr>
          <w:rFonts w:hint="eastAsia" w:eastAsia="方正黑体_GBK"/>
          <w:bCs/>
          <w:sz w:val="32"/>
          <w:szCs w:val="32"/>
          <w:lang w:val="en-US" w:eastAsia="zh-CN"/>
        </w:rPr>
        <w:t xml:space="preserve">4</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color w:val="000000"/>
          <w:sz w:val="24"/>
        </w:rPr>
      </w:pPr>
      <w:r>
        <w:rPr>
          <w:rFonts w:ascii="宋体" w:hAnsi="宋体"/>
          <w:color w:val="000000"/>
          <w:sz w:val="24"/>
        </w:rPr>
      </w:r>
      <w:r/>
    </w:p>
    <w:p>
      <w:pPr>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560" w:lineRule="exact"/>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ind w:firstLine="480"/>
        <w:jc w:val="left"/>
        <w:spacing w:line="560" w:lineRule="exact"/>
        <w:widowControl/>
        <w:rPr>
          <w:rFonts w:ascii="宋体" w:hAnsi="宋体"/>
          <w:color w:val="000000"/>
          <w:sz w:val="24"/>
          <w:szCs w:val="24"/>
        </w:rPr>
      </w:pPr>
      <w:r>
        <w:rPr>
          <w:rFonts w:ascii="宋体" w:hAnsi="宋体"/>
          <w:color w:val="000000"/>
          <w:sz w:val="24"/>
          <w:szCs w:val="24"/>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5</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hAnsi="Calibri" w:eastAsia="方正黑体_GBK"/>
          <w:b/>
          <w:sz w:val="32"/>
          <w:szCs w:val="32"/>
          <w:lang w:eastAsia="zh-CN"/>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6</w:t>
      </w:r>
      <w:r/>
    </w:p>
    <w:p>
      <w:pPr>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rPr>
          <w:rFonts w:eastAsia="仿宋_GB2312"/>
          <w:sz w:val="32"/>
          <w:szCs w:val="22"/>
        </w:rPr>
      </w:pPr>
      <w:r>
        <w:rPr>
          <w:rFonts w:eastAsia="仿宋_GB2312"/>
          <w:sz w:val="32"/>
          <w:szCs w:val="22"/>
        </w:rPr>
      </w:r>
      <w:r/>
    </w:p>
    <w:p>
      <w:pPr>
        <w:rPr>
          <w:rFonts w:eastAsia="仿宋_GB2312"/>
          <w:sz w:val="32"/>
          <w:szCs w:val="22"/>
        </w:rPr>
      </w:pPr>
      <w:r>
        <w:rPr>
          <w:rFonts w:hint="eastAsia" w:eastAsia="仿宋_GB2312"/>
          <w:sz w:val="32"/>
          <w:szCs w:val="22"/>
        </w:rPr>
        <w:t xml:space="preserve">各政府采购供应商：</w:t>
      </w:r>
      <w:r/>
    </w:p>
    <w:p>
      <w:pPr>
        <w:ind w:firstLine="640"/>
        <w:rPr>
          <w:rFonts w:eastAsia="仿宋_GB2312"/>
          <w:sz w:val="32"/>
          <w:szCs w:val="22"/>
        </w:rPr>
      </w:pPr>
      <w:r>
        <w:rPr>
          <w:rFonts w:hint="eastAsia" w:eastAsia="仿宋_GB2312"/>
          <w:sz w:val="32"/>
          <w:szCs w:val="22"/>
        </w:rPr>
        <w:t xml:space="preserve">欢迎贵公司参与南通市政府采购活动！</w:t>
      </w:r>
      <w:r/>
    </w:p>
    <w:p>
      <w:pPr>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189"/>
      <w:bookmarkEnd w:id="190"/>
      <w:bookmarkEnd w:id="191"/>
      <w:r/>
    </w:p>
    <w:p>
      <w:pPr>
        <w:ind w:firstLine="560"/>
        <w:jc w:val="left"/>
        <w:widowControl/>
        <w:rPr>
          <w:sz w:val="28"/>
          <w:szCs w:val="28"/>
        </w:rPr>
      </w:pPr>
      <w:r>
        <w:rPr>
          <w:sz w:val="28"/>
          <w:szCs w:val="28"/>
        </w:rPr>
      </w:r>
      <w:r/>
    </w:p>
    <w:p>
      <w:pPr>
        <w:spacing w:line="300" w:lineRule="auto"/>
        <w:rPr>
          <w:rFonts w:ascii="宋体" w:hAnsi="宋体"/>
          <w:bCs/>
          <w:color w:val="000000"/>
          <w:sz w:val="24"/>
        </w:rPr>
        <w:outlineLvl w:val="0"/>
      </w:pPr>
      <w:r>
        <w:rPr>
          <w:rFonts w:ascii="宋体" w:hAnsi="宋体"/>
          <w:bCs/>
          <w:color w:val="000000"/>
          <w:sz w:val="24"/>
        </w:rPr>
      </w:r>
      <w:r/>
    </w:p>
    <w:p>
      <w:pPr>
        <w:ind w:firstLine="964"/>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howcard Gothic">
    <w:panose1 w:val="04020904020102020604"/>
  </w:font>
  <w:font w:name="Symbol">
    <w:panose1 w:val="05050102010706020507"/>
  </w:font>
  <w:font w:name="Wingdings">
    <w:panose1 w:val="05000000000000000000"/>
  </w:font>
  <w:font w:name="方正仿宋_GB2312">
    <w:panose1 w:val="020B0503020202020204"/>
  </w:font>
  <w:font w:name="Cambria">
    <w:panose1 w:val="02040503050406030204"/>
  </w:font>
  <w:font w:name="仿宋">
    <w:panose1 w:val="02010609060101010101"/>
  </w:font>
  <w:font w:name="等线">
    <w:panose1 w:val="02010600030101010101"/>
  </w:font>
  <w:font w:name="方正黑体_GBK">
    <w:panose1 w:val="020B0503020202020204"/>
  </w:font>
  <w:font w:name="Noto Sans CJK SC">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700"/>
        <w:rFonts w:ascii="宋体" w:hAnsi="宋体"/>
      </w:rPr>
      <w:framePr w:wrap="around" w:vAnchor="text" w:hAnchor="margin" w:xAlign="center" w:y="1"/>
    </w:pPr>
    <w:r>
      <w:rPr>
        <w:rFonts w:ascii="宋体" w:hAnsi="宋体"/>
      </w:rPr>
      <w:fldChar w:fldCharType="begin"/>
    </w:r>
    <w:r>
      <w:rPr>
        <w:rStyle w:val="700"/>
        <w:rFonts w:ascii="宋体" w:hAnsi="宋体"/>
      </w:rPr>
      <w:instrText xml:space="preserve">PAGE  </w:instrText>
    </w:r>
    <w:r>
      <w:rPr>
        <w:rFonts w:ascii="宋体" w:hAnsi="宋体"/>
      </w:rPr>
      <w:fldChar w:fldCharType="separate"/>
    </w:r>
    <w:r>
      <w:rPr>
        <w:rStyle w:val="700"/>
        <w:rFonts w:ascii="宋体" w:hAnsi="宋体"/>
      </w:rPr>
      <w:t xml:space="preserve">2</w:t>
    </w:r>
    <w:r>
      <w:rPr>
        <w:rFonts w:ascii="宋体" w:hAnsi="宋体"/>
      </w:rPr>
      <w:fldChar w:fldCharType="end"/>
    </w:r>
    <w:r/>
  </w:p>
  <w:p>
    <w:pPr>
      <w:pStyle w:val="86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700"/>
      </w:rPr>
      <w:framePr w:wrap="around" w:vAnchor="text" w:hAnchor="margin" w:xAlign="center" w:y="1"/>
    </w:pPr>
    <w:r>
      <w:fldChar w:fldCharType="begin"/>
    </w:r>
    <w:r>
      <w:rPr>
        <w:rStyle w:val="700"/>
      </w:rPr>
      <w:instrText xml:space="preserve">PAGE  </w:instrText>
    </w:r>
    <w:r>
      <w:fldChar w:fldCharType="separate"/>
    </w:r>
    <w:r>
      <w:rPr>
        <w:rStyle w:val="700"/>
      </w:rPr>
      <w:t xml:space="preserve">1</w:t>
    </w:r>
    <w: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16"/>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6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customStyle="1">
    <w:name w:val="标准正文"/>
    <w:basedOn w:val="662"/>
    <w:uiPriority w:val="0"/>
    <w:qFormat/>
    <w:pPr>
      <w:ind w:firstLine="560"/>
      <w:spacing w:line="360" w:lineRule="auto"/>
    </w:pPr>
    <w:rPr>
      <w:sz w:val="24"/>
    </w:rPr>
  </w:style>
  <w:style w:type="paragraph" w:styleId="662">
    <w:name w:val="Body Text Indent"/>
    <w:basedOn w:val="658"/>
    <w:next w:val="663"/>
    <w:link w:val="885"/>
    <w:uiPriority w:val="0"/>
    <w:qFormat/>
    <w:pPr>
      <w:ind w:firstLine="645"/>
    </w:pPr>
    <w:rPr>
      <w:rFonts w:ascii="楷体_GB2312" w:eastAsia="楷体_GB2312"/>
      <w:sz w:val="32"/>
      <w:szCs w:val="32"/>
    </w:rPr>
  </w:style>
  <w:style w:type="paragraph" w:styleId="663">
    <w:name w:val="envelope return"/>
    <w:basedOn w:val="658"/>
    <w:uiPriority w:val="99"/>
    <w:unhideWhenUsed/>
    <w:qFormat/>
    <w:rPr>
      <w:rFonts w:ascii="Arial" w:hAnsi="Arial"/>
    </w:rPr>
  </w:style>
  <w:style w:type="paragraph" w:styleId="664">
    <w:name w:val="List 3"/>
    <w:basedOn w:val="658"/>
    <w:uiPriority w:val="0"/>
    <w:qFormat/>
    <w:pPr>
      <w:ind w:left="100" w:hanging="200"/>
    </w:pPr>
  </w:style>
  <w:style w:type="paragraph" w:styleId="665">
    <w:name w:val="toc 7"/>
    <w:basedOn w:val="658"/>
    <w:next w:val="658"/>
    <w:uiPriority w:val="0"/>
    <w:semiHidden/>
    <w:qFormat/>
    <w:pPr>
      <w:ind w:left="1260"/>
      <w:jc w:val="left"/>
    </w:pPr>
  </w:style>
  <w:style w:type="paragraph" w:styleId="666">
    <w:name w:val="Normal Indent"/>
    <w:basedOn w:val="658"/>
    <w:link w:val="873"/>
    <w:uiPriority w:val="0"/>
    <w:qFormat/>
    <w:pPr>
      <w:ind w:firstLine="420"/>
    </w:pPr>
    <w:rPr>
      <w:sz w:val="20"/>
    </w:rPr>
  </w:style>
  <w:style w:type="paragraph" w:styleId="667">
    <w:name w:val="Document Map"/>
    <w:basedOn w:val="658"/>
    <w:link w:val="881"/>
    <w:uiPriority w:val="0"/>
    <w:semiHidden/>
    <w:qFormat/>
    <w:pPr>
      <w:shd w:val="clear" w:color="auto" w:fill="000080"/>
    </w:pPr>
    <w:rPr>
      <w:sz w:val="20"/>
    </w:rPr>
  </w:style>
  <w:style w:type="paragraph" w:styleId="668">
    <w:name w:val="annotation text"/>
    <w:basedOn w:val="658"/>
    <w:link w:val="882"/>
    <w:uiPriority w:val="0"/>
    <w:semiHidden/>
    <w:qFormat/>
    <w:pPr>
      <w:jc w:val="left"/>
    </w:pPr>
    <w:rPr>
      <w:sz w:val="20"/>
    </w:rPr>
  </w:style>
  <w:style w:type="paragraph" w:styleId="669">
    <w:name w:val="Body Text 3"/>
    <w:basedOn w:val="658"/>
    <w:link w:val="883"/>
    <w:uiPriority w:val="0"/>
    <w:qFormat/>
    <w:rPr>
      <w:rFonts w:ascii="仿宋_GB2312" w:hAnsi="Arial" w:eastAsia="仿宋_GB2312"/>
      <w:sz w:val="32"/>
      <w:szCs w:val="32"/>
    </w:rPr>
  </w:style>
  <w:style w:type="paragraph" w:styleId="670">
    <w:name w:val="Body Text"/>
    <w:basedOn w:val="658"/>
    <w:link w:val="884"/>
    <w:uiPriority w:val="0"/>
    <w:qFormat/>
    <w:rPr>
      <w:rFonts w:ascii="楷体_GB2312" w:hAnsi="Arial" w:eastAsia="楷体_GB2312"/>
      <w:sz w:val="28"/>
      <w:szCs w:val="28"/>
    </w:rPr>
  </w:style>
  <w:style w:type="paragraph" w:styleId="671">
    <w:name w:val="List 2"/>
    <w:basedOn w:val="658"/>
    <w:uiPriority w:val="0"/>
    <w:qFormat/>
    <w:pPr>
      <w:ind w:left="100" w:hanging="200"/>
    </w:pPr>
  </w:style>
  <w:style w:type="paragraph" w:styleId="672">
    <w:name w:val="toc 5"/>
    <w:basedOn w:val="658"/>
    <w:next w:val="658"/>
    <w:uiPriority w:val="0"/>
    <w:semiHidden/>
    <w:qFormat/>
    <w:pPr>
      <w:ind w:left="840"/>
      <w:jc w:val="left"/>
    </w:pPr>
  </w:style>
  <w:style w:type="paragraph" w:styleId="673">
    <w:name w:val="toc 3"/>
    <w:basedOn w:val="658"/>
    <w:next w:val="658"/>
    <w:uiPriority w:val="0"/>
    <w:semiHidden/>
    <w:qFormat/>
    <w:pPr>
      <w:ind w:left="420"/>
      <w:jc w:val="left"/>
    </w:pPr>
    <w:rPr>
      <w:i/>
      <w:iCs/>
      <w:szCs w:val="24"/>
    </w:rPr>
  </w:style>
  <w:style w:type="paragraph" w:styleId="674">
    <w:name w:val="Plain Text"/>
    <w:basedOn w:val="658"/>
    <w:link w:val="886"/>
    <w:uiPriority w:val="0"/>
    <w:qFormat/>
    <w:rPr>
      <w:rFonts w:ascii="宋体" w:hAnsi="Courier New"/>
      <w:sz w:val="20"/>
    </w:rPr>
  </w:style>
  <w:style w:type="paragraph" w:styleId="675">
    <w:name w:val="toc 8"/>
    <w:basedOn w:val="658"/>
    <w:next w:val="658"/>
    <w:uiPriority w:val="0"/>
    <w:semiHidden/>
    <w:qFormat/>
    <w:pPr>
      <w:ind w:left="1470"/>
      <w:jc w:val="left"/>
    </w:pPr>
  </w:style>
  <w:style w:type="paragraph" w:styleId="676">
    <w:name w:val="Date"/>
    <w:basedOn w:val="658"/>
    <w:next w:val="658"/>
    <w:link w:val="887"/>
    <w:uiPriority w:val="0"/>
    <w:qFormat/>
    <w:rPr>
      <w:sz w:val="24"/>
      <w:szCs w:val="24"/>
    </w:rPr>
  </w:style>
  <w:style w:type="paragraph" w:styleId="677">
    <w:name w:val="Body Text Indent 2"/>
    <w:basedOn w:val="658"/>
    <w:link w:val="888"/>
    <w:uiPriority w:val="0"/>
    <w:qFormat/>
    <w:pPr>
      <w:ind w:left="630" w:firstLine="645"/>
    </w:pPr>
    <w:rPr>
      <w:rFonts w:ascii="Arial" w:hAnsi="Arial" w:eastAsia="仿宋_GB2312"/>
      <w:sz w:val="32"/>
      <w:szCs w:val="32"/>
    </w:rPr>
  </w:style>
  <w:style w:type="paragraph" w:styleId="678">
    <w:name w:val="endnote text"/>
    <w:basedOn w:val="658"/>
    <w:link w:val="858"/>
    <w:uiPriority w:val="99"/>
    <w:semiHidden/>
    <w:unhideWhenUsed/>
    <w:qFormat/>
    <w:rPr>
      <w:sz w:val="20"/>
    </w:rPr>
  </w:style>
  <w:style w:type="paragraph" w:styleId="679">
    <w:name w:val="Balloon Text"/>
    <w:basedOn w:val="658"/>
    <w:link w:val="889"/>
    <w:uiPriority w:val="0"/>
    <w:semiHidden/>
    <w:qFormat/>
    <w:rPr>
      <w:sz w:val="18"/>
      <w:szCs w:val="18"/>
    </w:rPr>
  </w:style>
  <w:style w:type="paragraph" w:styleId="680">
    <w:name w:val="toc 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681">
    <w:name w:val="toc 4"/>
    <w:basedOn w:val="658"/>
    <w:next w:val="658"/>
    <w:uiPriority w:val="0"/>
    <w:semiHidden/>
    <w:qFormat/>
    <w:pPr>
      <w:ind w:left="630"/>
      <w:jc w:val="left"/>
    </w:pPr>
  </w:style>
  <w:style w:type="paragraph" w:styleId="682">
    <w:name w:val="Subtitle"/>
    <w:basedOn w:val="658"/>
    <w:next w:val="658"/>
    <w:link w:val="723"/>
    <w:uiPriority w:val="11"/>
    <w:qFormat/>
    <w:pPr>
      <w:spacing w:before="200" w:after="200"/>
    </w:pPr>
    <w:rPr>
      <w:sz w:val="24"/>
      <w:szCs w:val="24"/>
    </w:rPr>
  </w:style>
  <w:style w:type="paragraph" w:styleId="683">
    <w:name w:val="List"/>
    <w:basedOn w:val="658"/>
    <w:uiPriority w:val="0"/>
    <w:qFormat/>
    <w:pPr>
      <w:ind w:left="200" w:hanging="200"/>
    </w:pPr>
  </w:style>
  <w:style w:type="paragraph" w:styleId="684">
    <w:name w:val="footnote text"/>
    <w:basedOn w:val="658"/>
    <w:link w:val="857"/>
    <w:uiPriority w:val="99"/>
    <w:semiHidden/>
    <w:unhideWhenUsed/>
    <w:qFormat/>
    <w:pPr>
      <w:spacing w:after="40"/>
    </w:pPr>
    <w:rPr>
      <w:sz w:val="18"/>
    </w:rPr>
  </w:style>
  <w:style w:type="paragraph" w:styleId="685">
    <w:name w:val="toc 6"/>
    <w:basedOn w:val="658"/>
    <w:next w:val="658"/>
    <w:uiPriority w:val="0"/>
    <w:semiHidden/>
    <w:qFormat/>
    <w:pPr>
      <w:ind w:left="1050"/>
      <w:jc w:val="left"/>
    </w:pPr>
  </w:style>
  <w:style w:type="paragraph" w:styleId="686">
    <w:name w:val="Body Text Indent 3"/>
    <w:basedOn w:val="658"/>
    <w:link w:val="892"/>
    <w:uiPriority w:val="0"/>
    <w:qFormat/>
    <w:pPr>
      <w:ind w:left="645" w:firstLine="645"/>
    </w:pPr>
    <w:rPr>
      <w:rFonts w:ascii="Arial" w:hAnsi="Arial" w:eastAsia="仿宋_GB2312"/>
      <w:color w:val="ffff00"/>
      <w:sz w:val="32"/>
      <w:szCs w:val="32"/>
    </w:rPr>
  </w:style>
  <w:style w:type="paragraph" w:styleId="687">
    <w:name w:val="table of figures"/>
    <w:basedOn w:val="658"/>
    <w:next w:val="658"/>
    <w:uiPriority w:val="0"/>
    <w:semiHidden/>
    <w:qFormat/>
    <w:pPr>
      <w:ind w:left="840" w:hanging="420"/>
    </w:pPr>
  </w:style>
  <w:style w:type="paragraph" w:styleId="688">
    <w:name w:val="toc 2"/>
    <w:basedOn w:val="658"/>
    <w:next w:val="658"/>
    <w:uiPriority w:val="0"/>
    <w:semiHidden/>
    <w:qFormat/>
    <w:pPr>
      <w:ind w:left="210"/>
      <w:jc w:val="left"/>
    </w:pPr>
    <w:rPr>
      <w:smallCaps/>
      <w:szCs w:val="24"/>
    </w:rPr>
  </w:style>
  <w:style w:type="paragraph" w:styleId="689">
    <w:name w:val="toc 9"/>
    <w:basedOn w:val="658"/>
    <w:next w:val="658"/>
    <w:uiPriority w:val="0"/>
    <w:semiHidden/>
    <w:qFormat/>
    <w:pPr>
      <w:ind w:left="1680"/>
      <w:jc w:val="left"/>
    </w:pPr>
  </w:style>
  <w:style w:type="paragraph" w:styleId="690">
    <w:name w:val="Body Text 2"/>
    <w:basedOn w:val="658"/>
    <w:link w:val="893"/>
    <w:uiPriority w:val="0"/>
    <w:qFormat/>
    <w:pPr>
      <w:jc w:val="center"/>
      <w:widowControl/>
    </w:pPr>
    <w:rPr>
      <w:rFonts w:ascii="楷体_GB2312" w:eastAsia="楷体_GB2312"/>
      <w:sz w:val="28"/>
      <w:szCs w:val="28"/>
    </w:rPr>
  </w:style>
  <w:style w:type="paragraph" w:styleId="691">
    <w:name w:val="Normal (Web)"/>
    <w:basedOn w:val="658"/>
    <w:uiPriority w:val="99"/>
    <w:qFormat/>
    <w:pPr>
      <w:jc w:val="left"/>
      <w:spacing w:before="100" w:beforeAutospacing="1" w:after="100" w:afterAutospacing="1"/>
      <w:widowControl/>
    </w:pPr>
    <w:rPr>
      <w:rFonts w:ascii="宋体" w:hAnsi="宋体" w:cs="宋体"/>
      <w:sz w:val="24"/>
      <w:szCs w:val="24"/>
    </w:rPr>
  </w:style>
  <w:style w:type="paragraph" w:styleId="692">
    <w:name w:val="index 1"/>
    <w:basedOn w:val="658"/>
    <w:next w:val="658"/>
    <w:uiPriority w:val="0"/>
    <w:semiHidden/>
    <w:qFormat/>
    <w:pPr>
      <w:spacing w:line="240" w:lineRule="atLeast"/>
    </w:pPr>
    <w:rPr>
      <w:b/>
      <w:bCs/>
    </w:rPr>
  </w:style>
  <w:style w:type="paragraph" w:styleId="693">
    <w:name w:val="Title"/>
    <w:basedOn w:val="658"/>
    <w:next w:val="658"/>
    <w:link w:val="722"/>
    <w:uiPriority w:val="10"/>
    <w:qFormat/>
    <w:pPr>
      <w:contextualSpacing/>
      <w:spacing w:before="300" w:after="200"/>
    </w:pPr>
    <w:rPr>
      <w:sz w:val="48"/>
      <w:szCs w:val="48"/>
    </w:rPr>
  </w:style>
  <w:style w:type="paragraph" w:styleId="694">
    <w:name w:val="annotation subject"/>
    <w:basedOn w:val="668"/>
    <w:next w:val="668"/>
    <w:link w:val="894"/>
    <w:uiPriority w:val="0"/>
    <w:semiHidden/>
    <w:qFormat/>
    <w:rPr>
      <w:b/>
      <w:bCs/>
    </w:rPr>
  </w:style>
  <w:style w:type="paragraph" w:styleId="695">
    <w:name w:val="Body Text First Indent"/>
    <w:basedOn w:val="658"/>
    <w:link w:val="895"/>
    <w:uiPriority w:val="0"/>
    <w:qFormat/>
    <w:pPr>
      <w:ind w:firstLine="200"/>
      <w:spacing w:line="360" w:lineRule="auto"/>
    </w:pPr>
    <w:rPr>
      <w:rFonts w:ascii="仿宋_GB2312" w:eastAsia="仿宋_GB2312"/>
      <w:sz w:val="30"/>
      <w:szCs w:val="30"/>
    </w:rPr>
  </w:style>
  <w:style w:type="paragraph" w:styleId="696">
    <w:name w:val="Body Text First Indent 2"/>
    <w:basedOn w:val="662"/>
    <w:link w:val="896"/>
    <w:uiPriority w:val="0"/>
    <w:qFormat/>
    <w:pPr>
      <w:ind w:firstLine="420"/>
      <w:spacing w:line="360" w:lineRule="auto"/>
    </w:pPr>
    <w:rPr>
      <w:rFonts w:ascii="宋体" w:hAnsi="宋体" w:eastAsia="宋体"/>
      <w:szCs w:val="20"/>
    </w:rPr>
  </w:style>
  <w:style w:type="table" w:styleId="697">
    <w:name w:val="Table Grid"/>
    <w:basedOn w:val="6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uiPriority w:val="0"/>
    <w:qFormat/>
    <w:rPr>
      <w:b/>
      <w:bCs/>
    </w:rPr>
  </w:style>
  <w:style w:type="character" w:styleId="699">
    <w:name w:val="endnote reference"/>
    <w:basedOn w:val="659"/>
    <w:uiPriority w:val="99"/>
    <w:semiHidden/>
    <w:unhideWhenUsed/>
    <w:qFormat/>
    <w:rPr>
      <w:vertAlign w:val="superscript"/>
    </w:rPr>
  </w:style>
  <w:style w:type="character" w:styleId="700">
    <w:name w:val="page number"/>
    <w:uiPriority w:val="0"/>
    <w:qFormat/>
  </w:style>
  <w:style w:type="character" w:styleId="701">
    <w:name w:val="FollowedHyperlink"/>
    <w:uiPriority w:val="0"/>
    <w:qFormat/>
    <w:rPr>
      <w:color w:val="800080"/>
      <w:u w:val="single"/>
    </w:rPr>
  </w:style>
  <w:style w:type="character" w:styleId="702">
    <w:name w:val="Hyperlink"/>
    <w:uiPriority w:val="0"/>
    <w:qFormat/>
    <w:rPr>
      <w:color w:val="0000ff"/>
      <w:u w:val="single"/>
    </w:rPr>
  </w:style>
  <w:style w:type="character" w:styleId="703">
    <w:name w:val="annotation reference"/>
    <w:uiPriority w:val="0"/>
    <w:semiHidden/>
    <w:qFormat/>
    <w:rPr>
      <w:sz w:val="21"/>
      <w:szCs w:val="21"/>
    </w:rPr>
  </w:style>
  <w:style w:type="character" w:styleId="704">
    <w:name w:val="footnote reference"/>
    <w:basedOn w:val="659"/>
    <w:uiPriority w:val="99"/>
    <w:unhideWhenUsed/>
    <w:qFormat/>
    <w:rPr>
      <w:vertAlign w:val="superscript"/>
    </w:rPr>
  </w:style>
  <w:style w:type="character" w:styleId="705" w:customStyle="1">
    <w:name w:val="Title Char"/>
    <w:basedOn w:val="659"/>
    <w:uiPriority w:val="10"/>
    <w:qFormat/>
    <w:rPr>
      <w:sz w:val="48"/>
      <w:szCs w:val="48"/>
    </w:rPr>
  </w:style>
  <w:style w:type="character" w:styleId="706" w:customStyle="1">
    <w:name w:val="Subtitle Char"/>
    <w:basedOn w:val="659"/>
    <w:uiPriority w:val="11"/>
    <w:qFormat/>
    <w:rPr>
      <w:sz w:val="24"/>
      <w:szCs w:val="24"/>
    </w:rPr>
  </w:style>
  <w:style w:type="character" w:styleId="707" w:customStyle="1">
    <w:name w:val="Quote Char"/>
    <w:uiPriority w:val="29"/>
    <w:qFormat/>
    <w:rPr>
      <w:i/>
    </w:rPr>
  </w:style>
  <w:style w:type="character" w:styleId="708" w:customStyle="1">
    <w:name w:val="Intense Quote Char"/>
    <w:uiPriority w:val="30"/>
    <w:qFormat/>
    <w:rPr>
      <w:i/>
    </w:rPr>
  </w:style>
  <w:style w:type="character" w:styleId="709" w:customStyle="1">
    <w:name w:val="Footnote Text Char"/>
    <w:uiPriority w:val="99"/>
    <w:qFormat/>
    <w:rPr>
      <w:sz w:val="18"/>
    </w:rPr>
  </w:style>
  <w:style w:type="character" w:styleId="710" w:customStyle="1">
    <w:name w:val="Endnote Text Char"/>
    <w:uiPriority w:val="99"/>
    <w:qFormat/>
    <w:rPr>
      <w:sz w:val="20"/>
    </w:rPr>
  </w:style>
  <w:style w:type="paragraph" w:styleId="711" w:customStyle="1">
    <w:name w:val="TOC Heading"/>
    <w:uiPriority w:val="39"/>
    <w:unhideWhenUsed/>
    <w:qFormat/>
    <w:rPr>
      <w:rFonts w:hint="default" w:ascii="Times New Roman" w:hAnsi="Times New Roman" w:eastAsia="宋体" w:cs="Times New Roman"/>
    </w:rPr>
  </w:style>
  <w:style w:type="paragraph" w:styleId="712" w:customStyle="1">
    <w:name w:val="BodyText"/>
    <w:uiPriority w:val="0"/>
    <w:qFormat/>
    <w:pPr>
      <w:spacing w:after="120"/>
      <w:widowControl w:val="off"/>
    </w:pPr>
    <w:rPr>
      <w:rFonts w:hint="default" w:ascii="Calibri" w:hAnsi="宋体" w:eastAsia="宋体" w:cs="宋体"/>
      <w:szCs w:val="22"/>
      <w:lang w:val="en-US" w:eastAsia="zh-CN" w:bidi="ar-SA"/>
    </w:rPr>
  </w:style>
  <w:style w:type="character" w:styleId="713" w:customStyle="1">
    <w:name w:val="Heading 1 Char"/>
    <w:basedOn w:val="659"/>
    <w:uiPriority w:val="9"/>
    <w:qFormat/>
    <w:rPr>
      <w:rFonts w:ascii="Arial" w:hAnsi="Arial" w:eastAsia="Arial" w:cs="Arial"/>
      <w:sz w:val="40"/>
      <w:szCs w:val="40"/>
    </w:rPr>
  </w:style>
  <w:style w:type="character" w:styleId="714" w:customStyle="1">
    <w:name w:val="Heading 2 Char"/>
    <w:basedOn w:val="659"/>
    <w:uiPriority w:val="9"/>
    <w:qFormat/>
    <w:rPr>
      <w:rFonts w:ascii="Arial" w:hAnsi="Arial" w:eastAsia="Arial" w:cs="Arial"/>
      <w:sz w:val="34"/>
    </w:rPr>
  </w:style>
  <w:style w:type="character" w:styleId="715" w:customStyle="1">
    <w:name w:val="Heading 3 Char"/>
    <w:basedOn w:val="659"/>
    <w:uiPriority w:val="9"/>
    <w:qFormat/>
    <w:rPr>
      <w:rFonts w:ascii="Arial" w:hAnsi="Arial" w:eastAsia="Arial" w:cs="Arial"/>
      <w:sz w:val="30"/>
      <w:szCs w:val="30"/>
    </w:rPr>
  </w:style>
  <w:style w:type="character" w:styleId="716" w:customStyle="1">
    <w:name w:val="Heading 4 Char"/>
    <w:basedOn w:val="659"/>
    <w:uiPriority w:val="9"/>
    <w:qFormat/>
    <w:rPr>
      <w:rFonts w:ascii="Arial" w:hAnsi="Arial" w:eastAsia="Arial" w:cs="Arial"/>
      <w:b/>
      <w:bCs/>
      <w:sz w:val="26"/>
      <w:szCs w:val="26"/>
    </w:rPr>
  </w:style>
  <w:style w:type="character" w:styleId="717" w:customStyle="1">
    <w:name w:val="Heading 5 Char"/>
    <w:basedOn w:val="659"/>
    <w:uiPriority w:val="9"/>
    <w:qFormat/>
    <w:rPr>
      <w:rFonts w:ascii="Arial" w:hAnsi="Arial" w:eastAsia="Arial" w:cs="Arial"/>
      <w:b/>
      <w:bCs/>
      <w:sz w:val="24"/>
      <w:szCs w:val="24"/>
    </w:rPr>
  </w:style>
  <w:style w:type="character" w:styleId="718" w:customStyle="1">
    <w:name w:val="Heading 6 Char"/>
    <w:basedOn w:val="659"/>
    <w:uiPriority w:val="9"/>
    <w:qFormat/>
    <w:rPr>
      <w:rFonts w:ascii="Arial" w:hAnsi="Arial" w:eastAsia="Arial" w:cs="Arial"/>
      <w:b/>
      <w:bCs/>
      <w:sz w:val="22"/>
      <w:szCs w:val="22"/>
    </w:rPr>
  </w:style>
  <w:style w:type="character" w:styleId="719" w:customStyle="1">
    <w:name w:val="Heading 7 Char"/>
    <w:basedOn w:val="659"/>
    <w:uiPriority w:val="9"/>
    <w:qFormat/>
    <w:rPr>
      <w:rFonts w:ascii="Arial" w:hAnsi="Arial" w:eastAsia="Arial" w:cs="Arial"/>
      <w:b/>
      <w:bCs/>
      <w:i/>
      <w:iCs/>
      <w:sz w:val="22"/>
      <w:szCs w:val="22"/>
    </w:rPr>
  </w:style>
  <w:style w:type="character" w:styleId="720" w:customStyle="1">
    <w:name w:val="Heading 8 Char"/>
    <w:basedOn w:val="659"/>
    <w:uiPriority w:val="9"/>
    <w:qFormat/>
    <w:rPr>
      <w:rFonts w:ascii="Arial" w:hAnsi="Arial" w:eastAsia="Arial" w:cs="Arial"/>
      <w:i/>
      <w:iCs/>
      <w:sz w:val="22"/>
      <w:szCs w:val="22"/>
    </w:rPr>
  </w:style>
  <w:style w:type="character" w:styleId="721" w:customStyle="1">
    <w:name w:val="Heading 9 Char"/>
    <w:basedOn w:val="659"/>
    <w:uiPriority w:val="9"/>
    <w:qFormat/>
    <w:rPr>
      <w:rFonts w:ascii="Arial" w:hAnsi="Arial" w:eastAsia="Arial" w:cs="Arial"/>
      <w:i/>
      <w:iCs/>
      <w:sz w:val="21"/>
      <w:szCs w:val="21"/>
    </w:rPr>
  </w:style>
  <w:style w:type="character" w:styleId="722" w:customStyle="1">
    <w:name w:val="标题 Char"/>
    <w:basedOn w:val="659"/>
    <w:link w:val="693"/>
    <w:uiPriority w:val="10"/>
    <w:qFormat/>
    <w:rPr>
      <w:sz w:val="48"/>
      <w:szCs w:val="48"/>
    </w:rPr>
  </w:style>
  <w:style w:type="character" w:styleId="723" w:customStyle="1">
    <w:name w:val="副标题 Char"/>
    <w:basedOn w:val="659"/>
    <w:link w:val="682"/>
    <w:uiPriority w:val="11"/>
    <w:qFormat/>
    <w:rPr>
      <w:sz w:val="24"/>
      <w:szCs w:val="24"/>
    </w:rPr>
  </w:style>
  <w:style w:type="paragraph" w:styleId="724">
    <w:name w:val="Quote"/>
    <w:basedOn w:val="658"/>
    <w:next w:val="658"/>
    <w:link w:val="725"/>
    <w:uiPriority w:val="29"/>
    <w:qFormat/>
    <w:pPr>
      <w:ind w:left="720" w:right="720"/>
    </w:pPr>
    <w:rPr>
      <w:i/>
    </w:rPr>
  </w:style>
  <w:style w:type="character" w:styleId="725" w:customStyle="1">
    <w:name w:val="引用 Char"/>
    <w:link w:val="724"/>
    <w:uiPriority w:val="29"/>
    <w:qFormat/>
    <w:rPr>
      <w:i/>
    </w:rPr>
  </w:style>
  <w:style w:type="paragraph" w:styleId="726">
    <w:name w:val="Intense Quote"/>
    <w:basedOn w:val="658"/>
    <w:next w:val="658"/>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明显引用 Char"/>
    <w:link w:val="726"/>
    <w:uiPriority w:val="30"/>
    <w:qFormat/>
    <w:rPr>
      <w:i/>
    </w:rPr>
  </w:style>
  <w:style w:type="character" w:styleId="728" w:customStyle="1">
    <w:name w:val="Header Char"/>
    <w:basedOn w:val="659"/>
    <w:uiPriority w:val="99"/>
    <w:qFormat/>
  </w:style>
  <w:style w:type="character" w:styleId="729" w:customStyle="1">
    <w:name w:val="Footer Char"/>
    <w:basedOn w:val="659"/>
    <w:uiPriority w:val="99"/>
    <w:qFormat/>
  </w:style>
  <w:style w:type="paragraph" w:styleId="730" w:customStyle="1">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31" w:customStyle="1">
    <w:name w:val="Caption Char"/>
    <w:uiPriority w:val="99"/>
    <w:qFormat/>
  </w:style>
  <w:style w:type="table" w:styleId="732" w:customStyle="1">
    <w:name w:val="Table Grid Light"/>
    <w:basedOn w:val="6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basedOn w:val="6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6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6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6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6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6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6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6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6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6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6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6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6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basedOn w:val="6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6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6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6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6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6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6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6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66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basedOn w:val="66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basedOn w:val="66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basedOn w:val="66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basedOn w:val="66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basedOn w:val="66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basedOn w:val="6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basedOn w:val="66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basedOn w:val="6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basedOn w:val="66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basedOn w:val="6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basedOn w:val="66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basedOn w:val="66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basedOn w:val="6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66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66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66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66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66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66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basedOn w:val="66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66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66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66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66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66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66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basedOn w:val="6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basedOn w:val="66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basedOn w:val="66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basedOn w:val="66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basedOn w:val="66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basedOn w:val="66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basedOn w:val="66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basedOn w:val="6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66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basedOn w:val="6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66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6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66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66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basedOn w:val="6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66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basedOn w:val="66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basedOn w:val="66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basedOn w:val="66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basedOn w:val="66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basedOn w:val="66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basedOn w:val="6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basedOn w:val="66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basedOn w:val="66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basedOn w:val="66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basedOn w:val="66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basedOn w:val="66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basedOn w:val="66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66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basedOn w:val="66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basedOn w:val="66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basedOn w:val="66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basedOn w:val="66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basedOn w:val="66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basedOn w:val="66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basedOn w:val="66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66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66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66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66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66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66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basedOn w:val="6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basedOn w:val="66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basedOn w:val="66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basedOn w:val="66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basedOn w:val="66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basedOn w:val="66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basedOn w:val="66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basedOn w:val="6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basedOn w:val="6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basedOn w:val="6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basedOn w:val="6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basedOn w:val="6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basedOn w:val="6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basedOn w:val="6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脚注文本 Char"/>
    <w:link w:val="684"/>
    <w:uiPriority w:val="99"/>
    <w:qFormat/>
    <w:rPr>
      <w:sz w:val="18"/>
    </w:rPr>
  </w:style>
  <w:style w:type="character" w:styleId="858" w:customStyle="1">
    <w:name w:val="尾注文本 Char"/>
    <w:link w:val="678"/>
    <w:uiPriority w:val="99"/>
    <w:qFormat/>
    <w:rPr>
      <w:sz w:val="20"/>
    </w:rPr>
  </w:style>
  <w:style w:type="paragraph" w:styleId="859" w:customStyle="1">
    <w:name w:val="TOC 标题1"/>
    <w:uiPriority w:val="39"/>
    <w:unhideWhenUsed/>
    <w:qFormat/>
    <w:rPr>
      <w:rFonts w:hint="default" w:ascii="Times New Roman" w:hAnsi="Times New Roman" w:eastAsia="宋体" w:cs="Times New Roman"/>
      <w:lang w:val="en-US" w:eastAsia="zh-CN" w:bidi="ar-SA"/>
    </w:rPr>
  </w:style>
  <w:style w:type="paragraph" w:styleId="860" w:customStyle="1">
    <w:name w:val="Heading 1"/>
    <w:basedOn w:val="658"/>
    <w:next w:val="658"/>
    <w:link w:val="871"/>
    <w:uiPriority w:val="0"/>
    <w:qFormat/>
    <w:pPr>
      <w:jc w:val="center"/>
      <w:keepNext/>
      <w:outlineLvl w:val="0"/>
    </w:pPr>
    <w:rPr>
      <w:rFonts w:ascii="楷体_GB2312" w:eastAsia="楷体_GB2312"/>
      <w:sz w:val="28"/>
      <w:szCs w:val="28"/>
    </w:rPr>
  </w:style>
  <w:style w:type="paragraph" w:styleId="861" w:customStyle="1">
    <w:name w:val="Heading 2"/>
    <w:basedOn w:val="658"/>
    <w:next w:val="666"/>
    <w:link w:val="872"/>
    <w:uiPriority w:val="0"/>
    <w:qFormat/>
    <w:pPr>
      <w:jc w:val="center"/>
      <w:keepLines/>
      <w:keepNext/>
      <w:spacing w:before="260" w:after="260" w:line="416" w:lineRule="auto"/>
      <w:outlineLvl w:val="1"/>
    </w:pPr>
    <w:rPr>
      <w:rFonts w:ascii="Arial" w:hAnsi="Arial" w:eastAsia="幼圆"/>
      <w:b/>
      <w:bCs/>
      <w:sz w:val="44"/>
      <w:szCs w:val="44"/>
    </w:rPr>
  </w:style>
  <w:style w:type="paragraph" w:styleId="862" w:customStyle="1">
    <w:name w:val="Heading 3"/>
    <w:basedOn w:val="658"/>
    <w:next w:val="666"/>
    <w:link w:val="874"/>
    <w:uiPriority w:val="0"/>
    <w:qFormat/>
    <w:pPr>
      <w:keepLines/>
      <w:keepNext/>
      <w:spacing w:before="260" w:after="260" w:line="416" w:lineRule="auto"/>
      <w:outlineLvl w:val="2"/>
    </w:pPr>
    <w:rPr>
      <w:b/>
      <w:bCs/>
      <w:sz w:val="32"/>
      <w:szCs w:val="32"/>
    </w:rPr>
  </w:style>
  <w:style w:type="paragraph" w:styleId="863" w:customStyle="1">
    <w:name w:val="Heading 4"/>
    <w:basedOn w:val="658"/>
    <w:next w:val="666"/>
    <w:link w:val="875"/>
    <w:uiPriority w:val="0"/>
    <w:qFormat/>
    <w:pPr>
      <w:keepLines/>
      <w:keepNext/>
      <w:spacing w:before="280" w:after="290" w:line="376" w:lineRule="auto"/>
      <w:outlineLvl w:val="3"/>
    </w:pPr>
    <w:rPr>
      <w:rFonts w:ascii="Arial" w:hAnsi="Arial" w:eastAsia="黑体"/>
      <w:b/>
      <w:bCs/>
      <w:sz w:val="28"/>
      <w:szCs w:val="28"/>
    </w:rPr>
  </w:style>
  <w:style w:type="paragraph" w:styleId="864" w:customStyle="1">
    <w:name w:val="Heading 5"/>
    <w:basedOn w:val="658"/>
    <w:next w:val="666"/>
    <w:link w:val="876"/>
    <w:uiPriority w:val="0"/>
    <w:qFormat/>
    <w:pPr>
      <w:keepNext/>
      <w:outlineLvl w:val="4"/>
    </w:pPr>
    <w:rPr>
      <w:rFonts w:ascii="宋体"/>
      <w:color w:val="000000"/>
      <w:sz w:val="28"/>
      <w:szCs w:val="28"/>
    </w:rPr>
  </w:style>
  <w:style w:type="paragraph" w:styleId="865" w:customStyle="1">
    <w:name w:val="Heading 6"/>
    <w:basedOn w:val="658"/>
    <w:next w:val="658"/>
    <w:link w:val="8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customStyle="1">
    <w:name w:val="Heading 7"/>
    <w:basedOn w:val="658"/>
    <w:next w:val="658"/>
    <w:link w:val="878"/>
    <w:uiPriority w:val="0"/>
    <w:qFormat/>
    <w:pPr>
      <w:numPr>
        <w:ilvl w:val="6"/>
        <w:numId w:val="1"/>
      </w:numPr>
      <w:keepLines/>
      <w:keepNext/>
      <w:spacing w:before="240" w:after="64" w:line="320" w:lineRule="auto"/>
      <w:outlineLvl w:val="6"/>
    </w:pPr>
    <w:rPr>
      <w:b/>
      <w:bCs/>
      <w:sz w:val="24"/>
      <w:szCs w:val="24"/>
    </w:rPr>
  </w:style>
  <w:style w:type="paragraph" w:styleId="867" w:customStyle="1">
    <w:name w:val="Heading 8"/>
    <w:basedOn w:val="658"/>
    <w:next w:val="658"/>
    <w:link w:val="8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customStyle="1">
    <w:name w:val="Heading 9"/>
    <w:basedOn w:val="658"/>
    <w:next w:val="658"/>
    <w:link w:val="880"/>
    <w:uiPriority w:val="0"/>
    <w:qFormat/>
    <w:pPr>
      <w:numPr>
        <w:ilvl w:val="8"/>
        <w:numId w:val="1"/>
      </w:numPr>
      <w:keepLines/>
      <w:keepNext/>
      <w:spacing w:before="240" w:after="64" w:line="320" w:lineRule="auto"/>
      <w:outlineLvl w:val="8"/>
    </w:pPr>
    <w:rPr>
      <w:rFonts w:ascii="Arial" w:hAnsi="Arial" w:eastAsia="黑体"/>
      <w:sz w:val="20"/>
    </w:rPr>
  </w:style>
  <w:style w:type="paragraph" w:styleId="869" w:customStyle="1">
    <w:name w:val="Footer"/>
    <w:basedOn w:val="658"/>
    <w:link w:val="890"/>
    <w:uiPriority w:val="0"/>
    <w:qFormat/>
    <w:pPr>
      <w:jc w:val="left"/>
      <w:tabs>
        <w:tab w:val="center" w:pos="4153" w:leader="none"/>
        <w:tab w:val="right" w:pos="8306" w:leader="none"/>
      </w:tabs>
    </w:pPr>
    <w:rPr>
      <w:sz w:val="18"/>
      <w:szCs w:val="18"/>
    </w:rPr>
  </w:style>
  <w:style w:type="paragraph" w:styleId="870" w:customStyle="1">
    <w:name w:val="Header"/>
    <w:basedOn w:val="658"/>
    <w:link w:val="891"/>
    <w:uiPriority w:val="0"/>
    <w:qFormat/>
    <w:pPr>
      <w:jc w:val="center"/>
      <w:tabs>
        <w:tab w:val="center" w:pos="4153" w:leader="none"/>
        <w:tab w:val="right" w:pos="8306" w:leader="none"/>
      </w:tabs>
      <w:pBdr>
        <w:bottom w:val="single" w:color="auto" w:sz="6" w:space="1"/>
      </w:pBdr>
    </w:pPr>
    <w:rPr>
      <w:sz w:val="18"/>
      <w:szCs w:val="18"/>
    </w:rPr>
  </w:style>
  <w:style w:type="character" w:styleId="871" w:customStyle="1">
    <w:name w:val="标题 1 字符"/>
    <w:link w:val="860"/>
    <w:uiPriority w:val="0"/>
    <w:qFormat/>
    <w:rPr>
      <w:rFonts w:ascii="楷体_GB2312" w:hAnsi="Times New Roman" w:eastAsia="楷体_GB2312" w:cs="Times New Roman"/>
      <w:sz w:val="28"/>
      <w:szCs w:val="28"/>
    </w:rPr>
  </w:style>
  <w:style w:type="character" w:styleId="872" w:customStyle="1">
    <w:name w:val="标题 2 字符"/>
    <w:link w:val="861"/>
    <w:uiPriority w:val="0"/>
    <w:qFormat/>
    <w:rPr>
      <w:rFonts w:ascii="Arial" w:hAnsi="Arial" w:eastAsia="幼圆" w:cs="Arial"/>
      <w:b/>
      <w:bCs/>
      <w:sz w:val="44"/>
      <w:szCs w:val="44"/>
    </w:rPr>
  </w:style>
  <w:style w:type="character" w:styleId="873" w:customStyle="1">
    <w:name w:val="正文缩进 Char"/>
    <w:link w:val="666"/>
    <w:uiPriority w:val="0"/>
    <w:qFormat/>
    <w:rPr>
      <w:rFonts w:ascii="Times New Roman" w:hAnsi="Times New Roman" w:eastAsia="宋体" w:cs="Times New Roman"/>
      <w:szCs w:val="21"/>
    </w:rPr>
  </w:style>
  <w:style w:type="character" w:styleId="874" w:customStyle="1">
    <w:name w:val="标题 3 字符"/>
    <w:link w:val="862"/>
    <w:uiPriority w:val="0"/>
    <w:qFormat/>
    <w:rPr>
      <w:rFonts w:ascii="Times New Roman" w:hAnsi="Times New Roman" w:eastAsia="宋体" w:cs="Times New Roman"/>
      <w:b/>
      <w:bCs/>
      <w:sz w:val="32"/>
      <w:szCs w:val="32"/>
    </w:rPr>
  </w:style>
  <w:style w:type="character" w:styleId="875" w:customStyle="1">
    <w:name w:val="标题 4 字符"/>
    <w:link w:val="863"/>
    <w:uiPriority w:val="0"/>
    <w:qFormat/>
    <w:rPr>
      <w:rFonts w:ascii="Arial" w:hAnsi="Arial" w:eastAsia="黑体" w:cs="Arial"/>
      <w:b/>
      <w:bCs/>
      <w:sz w:val="28"/>
      <w:szCs w:val="28"/>
    </w:rPr>
  </w:style>
  <w:style w:type="character" w:styleId="876" w:customStyle="1">
    <w:name w:val="标题 5 字符"/>
    <w:link w:val="864"/>
    <w:uiPriority w:val="0"/>
    <w:qFormat/>
    <w:rPr>
      <w:rFonts w:ascii="宋体" w:hAnsi="Times New Roman" w:eastAsia="宋体" w:cs="Times New Roman"/>
      <w:color w:val="000000"/>
      <w:sz w:val="28"/>
      <w:szCs w:val="28"/>
    </w:rPr>
  </w:style>
  <w:style w:type="character" w:styleId="877" w:customStyle="1">
    <w:name w:val="标题 6 字符"/>
    <w:link w:val="865"/>
    <w:uiPriority w:val="0"/>
    <w:qFormat/>
    <w:rPr>
      <w:rFonts w:ascii="Arial" w:hAnsi="Arial" w:eastAsia="黑体" w:cs="Times New Roman"/>
      <w:b/>
      <w:bCs/>
      <w:sz w:val="24"/>
      <w:szCs w:val="24"/>
    </w:rPr>
  </w:style>
  <w:style w:type="character" w:styleId="878" w:customStyle="1">
    <w:name w:val="标题 7 字符"/>
    <w:link w:val="866"/>
    <w:uiPriority w:val="0"/>
    <w:qFormat/>
    <w:rPr>
      <w:rFonts w:ascii="Times New Roman" w:hAnsi="Times New Roman" w:eastAsia="宋体" w:cs="Times New Roman"/>
      <w:b/>
      <w:bCs/>
      <w:sz w:val="24"/>
      <w:szCs w:val="24"/>
    </w:rPr>
  </w:style>
  <w:style w:type="character" w:styleId="879" w:customStyle="1">
    <w:name w:val="标题 8 字符"/>
    <w:link w:val="867"/>
    <w:uiPriority w:val="0"/>
    <w:qFormat/>
    <w:rPr>
      <w:rFonts w:ascii="Arial" w:hAnsi="Arial" w:eastAsia="黑体" w:cs="Times New Roman"/>
      <w:sz w:val="24"/>
      <w:szCs w:val="24"/>
    </w:rPr>
  </w:style>
  <w:style w:type="character" w:styleId="880" w:customStyle="1">
    <w:name w:val="标题 9 字符"/>
    <w:link w:val="868"/>
    <w:uiPriority w:val="0"/>
    <w:qFormat/>
    <w:rPr>
      <w:rFonts w:ascii="Arial" w:hAnsi="Arial" w:eastAsia="黑体" w:cs="Times New Roman"/>
      <w:szCs w:val="21"/>
    </w:rPr>
  </w:style>
  <w:style w:type="character" w:styleId="881" w:customStyle="1">
    <w:name w:val="文档结构图 Char"/>
    <w:link w:val="667"/>
    <w:uiPriority w:val="0"/>
    <w:semiHidden/>
    <w:qFormat/>
    <w:rPr>
      <w:rFonts w:ascii="Times New Roman" w:hAnsi="Times New Roman" w:eastAsia="宋体" w:cs="Times New Roman"/>
      <w:szCs w:val="21"/>
      <w:shd w:val="clear" w:color="auto" w:fill="000080"/>
    </w:rPr>
  </w:style>
  <w:style w:type="character" w:styleId="882" w:customStyle="1">
    <w:name w:val="批注文字 Char"/>
    <w:link w:val="668"/>
    <w:uiPriority w:val="0"/>
    <w:semiHidden/>
    <w:qFormat/>
    <w:rPr>
      <w:rFonts w:ascii="Times New Roman" w:hAnsi="Times New Roman" w:eastAsia="宋体" w:cs="Times New Roman"/>
      <w:szCs w:val="21"/>
    </w:rPr>
  </w:style>
  <w:style w:type="character" w:styleId="883" w:customStyle="1">
    <w:name w:val="正文文本 3 Char"/>
    <w:link w:val="669"/>
    <w:uiPriority w:val="0"/>
    <w:qFormat/>
    <w:rPr>
      <w:rFonts w:ascii="仿宋_GB2312" w:hAnsi="Arial" w:eastAsia="仿宋_GB2312" w:cs="Times New Roman"/>
      <w:sz w:val="32"/>
      <w:szCs w:val="32"/>
    </w:rPr>
  </w:style>
  <w:style w:type="character" w:styleId="884" w:customStyle="1">
    <w:name w:val="正文文本 Char"/>
    <w:link w:val="670"/>
    <w:uiPriority w:val="0"/>
    <w:qFormat/>
    <w:rPr>
      <w:rFonts w:ascii="楷体_GB2312" w:hAnsi="Arial" w:eastAsia="楷体_GB2312" w:cs="Times New Roman"/>
      <w:sz w:val="28"/>
      <w:szCs w:val="28"/>
    </w:rPr>
  </w:style>
  <w:style w:type="character" w:styleId="885" w:customStyle="1">
    <w:name w:val="正文文本缩进 Char"/>
    <w:link w:val="662"/>
    <w:uiPriority w:val="0"/>
    <w:qFormat/>
    <w:rPr>
      <w:rFonts w:ascii="楷体_GB2312" w:hAnsi="Times New Roman" w:eastAsia="楷体_GB2312" w:cs="Times New Roman"/>
      <w:sz w:val="32"/>
      <w:szCs w:val="32"/>
    </w:rPr>
  </w:style>
  <w:style w:type="character" w:styleId="886" w:customStyle="1">
    <w:name w:val="纯文本 Char"/>
    <w:link w:val="674"/>
    <w:uiPriority w:val="0"/>
    <w:qFormat/>
    <w:rPr>
      <w:rFonts w:ascii="宋体" w:hAnsi="Courier New" w:eastAsia="宋体" w:cs="Courier New"/>
      <w:szCs w:val="21"/>
    </w:rPr>
  </w:style>
  <w:style w:type="character" w:styleId="887" w:customStyle="1">
    <w:name w:val="日期 Char"/>
    <w:link w:val="676"/>
    <w:uiPriority w:val="0"/>
    <w:qFormat/>
    <w:rPr>
      <w:rFonts w:ascii="Times New Roman" w:hAnsi="Times New Roman" w:eastAsia="宋体" w:cs="Times New Roman"/>
      <w:sz w:val="24"/>
      <w:szCs w:val="24"/>
    </w:rPr>
  </w:style>
  <w:style w:type="character" w:styleId="888" w:customStyle="1">
    <w:name w:val="正文文本缩进 2 Char"/>
    <w:link w:val="677"/>
    <w:uiPriority w:val="0"/>
    <w:qFormat/>
    <w:rPr>
      <w:rFonts w:ascii="Arial" w:hAnsi="Arial" w:eastAsia="仿宋_GB2312" w:cs="Arial"/>
      <w:sz w:val="32"/>
      <w:szCs w:val="32"/>
    </w:rPr>
  </w:style>
  <w:style w:type="character" w:styleId="889" w:customStyle="1">
    <w:name w:val="批注框文本 Char"/>
    <w:link w:val="679"/>
    <w:uiPriority w:val="0"/>
    <w:semiHidden/>
    <w:qFormat/>
    <w:rPr>
      <w:rFonts w:ascii="Times New Roman" w:hAnsi="Times New Roman" w:eastAsia="宋体" w:cs="Times New Roman"/>
      <w:sz w:val="18"/>
      <w:szCs w:val="18"/>
    </w:rPr>
  </w:style>
  <w:style w:type="character" w:styleId="890" w:customStyle="1">
    <w:name w:val="页脚 字符"/>
    <w:link w:val="869"/>
    <w:uiPriority w:val="0"/>
    <w:qFormat/>
    <w:rPr>
      <w:rFonts w:ascii="Times New Roman" w:hAnsi="Times New Roman" w:eastAsia="宋体" w:cs="Times New Roman"/>
      <w:sz w:val="18"/>
      <w:szCs w:val="18"/>
    </w:rPr>
  </w:style>
  <w:style w:type="character" w:styleId="891" w:customStyle="1">
    <w:name w:val="页眉 字符"/>
    <w:link w:val="870"/>
    <w:uiPriority w:val="0"/>
    <w:qFormat/>
    <w:rPr>
      <w:rFonts w:ascii="Times New Roman" w:hAnsi="Times New Roman" w:eastAsia="宋体" w:cs="Times New Roman"/>
      <w:sz w:val="18"/>
      <w:szCs w:val="18"/>
    </w:rPr>
  </w:style>
  <w:style w:type="character" w:styleId="892" w:customStyle="1">
    <w:name w:val="正文文本缩进 3 Char"/>
    <w:link w:val="686"/>
    <w:uiPriority w:val="0"/>
    <w:qFormat/>
    <w:rPr>
      <w:rFonts w:ascii="Arial" w:hAnsi="Arial" w:eastAsia="仿宋_GB2312" w:cs="Arial"/>
      <w:color w:val="ffff00"/>
      <w:sz w:val="32"/>
      <w:szCs w:val="32"/>
    </w:rPr>
  </w:style>
  <w:style w:type="character" w:styleId="893" w:customStyle="1">
    <w:name w:val="正文文本 2 Char"/>
    <w:link w:val="690"/>
    <w:uiPriority w:val="0"/>
    <w:qFormat/>
    <w:rPr>
      <w:rFonts w:ascii="楷体_GB2312" w:hAnsi="Times New Roman" w:eastAsia="楷体_GB2312" w:cs="Times New Roman"/>
      <w:sz w:val="28"/>
      <w:szCs w:val="28"/>
    </w:rPr>
  </w:style>
  <w:style w:type="character" w:styleId="894" w:customStyle="1">
    <w:name w:val="批注主题 Char"/>
    <w:link w:val="694"/>
    <w:uiPriority w:val="0"/>
    <w:semiHidden/>
    <w:qFormat/>
    <w:rPr>
      <w:rFonts w:ascii="Times New Roman" w:hAnsi="Times New Roman" w:eastAsia="宋体" w:cs="Times New Roman"/>
      <w:b/>
      <w:bCs/>
      <w:szCs w:val="21"/>
    </w:rPr>
  </w:style>
  <w:style w:type="character" w:styleId="895" w:customStyle="1">
    <w:name w:val="正文首行缩进 Char"/>
    <w:link w:val="695"/>
    <w:uiPriority w:val="0"/>
    <w:qFormat/>
    <w:rPr>
      <w:rFonts w:ascii="仿宋_GB2312" w:hAnsi="Times New Roman" w:eastAsia="仿宋_GB2312" w:cs="Times New Roman"/>
      <w:sz w:val="30"/>
      <w:szCs w:val="30"/>
    </w:rPr>
  </w:style>
  <w:style w:type="character" w:styleId="896" w:customStyle="1">
    <w:name w:val="正文首行缩进 2 Char"/>
    <w:link w:val="696"/>
    <w:uiPriority w:val="0"/>
    <w:qFormat/>
    <w:rPr>
      <w:rFonts w:ascii="宋体" w:hAnsi="宋体" w:eastAsia="宋体" w:cs="Times New Roman"/>
      <w:sz w:val="32"/>
      <w:szCs w:val="20"/>
    </w:rPr>
  </w:style>
  <w:style w:type="character" w:styleId="897" w:customStyle="1">
    <w:name w:val="font5 Char"/>
    <w:uiPriority w:val="0"/>
    <w:qFormat/>
    <w:rPr>
      <w:rFonts w:ascii="宋体" w:hAnsi="宋体" w:eastAsia="宋体"/>
      <w:sz w:val="28"/>
      <w:szCs w:val="28"/>
      <w:lang w:val="en-US" w:eastAsia="zh-CN" w:bidi="ar-SA"/>
    </w:rPr>
  </w:style>
  <w:style w:type="character" w:styleId="898" w:customStyle="1">
    <w:name w:val="二级目录 Char"/>
    <w:link w:val="899"/>
    <w:uiPriority w:val="0"/>
    <w:qFormat/>
    <w:rPr>
      <w:b/>
      <w:sz w:val="30"/>
      <w:szCs w:val="28"/>
    </w:rPr>
  </w:style>
  <w:style w:type="paragraph" w:styleId="899" w:customStyle="1">
    <w:name w:val="二级目录"/>
    <w:next w:val="658"/>
    <w:link w:val="89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00" w:customStyle="1">
    <w:name w:val="列出段落 Char"/>
    <w:link w:val="901"/>
    <w:uiPriority w:val="0"/>
    <w:qFormat/>
    <w:rPr>
      <w:rFonts w:ascii="Calibri" w:hAnsi="Calibri"/>
      <w:sz w:val="24"/>
      <w:szCs w:val="24"/>
      <w:lang w:eastAsia="en-US" w:bidi="en-US"/>
    </w:rPr>
  </w:style>
  <w:style w:type="paragraph" w:styleId="901" w:customStyle="1">
    <w:name w:val="列出段落1"/>
    <w:basedOn w:val="658"/>
    <w:link w:val="900"/>
    <w:uiPriority w:val="0"/>
    <w:qFormat/>
    <w:pPr>
      <w:contextualSpacing/>
      <w:ind w:left="720"/>
      <w:jc w:val="left"/>
      <w:widowControl/>
    </w:pPr>
    <w:rPr>
      <w:rFonts w:ascii="Calibri" w:hAnsi="Calibri"/>
      <w:sz w:val="24"/>
      <w:szCs w:val="24"/>
      <w:lang w:eastAsia="en-US" w:bidi="en-US"/>
    </w:rPr>
  </w:style>
  <w:style w:type="paragraph" w:styleId="902" w:customStyle="1">
    <w:name w:val="Body Text(ch)"/>
    <w:basedOn w:val="658"/>
    <w:next w:val="670"/>
    <w:uiPriority w:val="0"/>
    <w:qFormat/>
    <w:pPr>
      <w:spacing w:after="120"/>
    </w:pPr>
    <w:rPr>
      <w:rFonts w:ascii="宋体" w:hAnsi="Arial"/>
      <w:bCs/>
      <w:iCs/>
      <w:szCs w:val="24"/>
    </w:rPr>
  </w:style>
  <w:style w:type="paragraph" w:styleId="903" w:customStyle="1">
    <w:name w:val="xl27"/>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4" w:customStyle="1">
    <w:name w:val="xl26"/>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5" w:customStyle="1">
    <w:name w:val="Char"/>
    <w:basedOn w:val="658"/>
    <w:uiPriority w:val="0"/>
    <w:qFormat/>
    <w:pPr>
      <w:ind w:firstLine="200"/>
      <w:tabs>
        <w:tab w:val="left" w:pos="360" w:leader="none"/>
      </w:tabs>
    </w:pPr>
    <w:rPr>
      <w:sz w:val="28"/>
      <w:szCs w:val="30"/>
    </w:rPr>
  </w:style>
  <w:style w:type="paragraph" w:styleId="906" w:customStyle="1">
    <w:name w:val="Char1"/>
    <w:basedOn w:val="667"/>
    <w:uiPriority w:val="0"/>
    <w:qFormat/>
    <w:rPr>
      <w:rFonts w:ascii="Tahoma" w:hAnsi="Tahoma"/>
      <w:sz w:val="24"/>
      <w:szCs w:val="24"/>
    </w:rPr>
  </w:style>
  <w:style w:type="paragraph" w:styleId="907"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08" w:customStyle="1">
    <w:name w:val="table_lines"/>
    <w:basedOn w:val="658"/>
    <w:uiPriority w:val="0"/>
    <w:qFormat/>
    <w:pPr>
      <w:jc w:val="left"/>
      <w:widowControl/>
    </w:pPr>
    <w:rPr>
      <w:sz w:val="20"/>
      <w:szCs w:val="20"/>
      <w:lang w:val="de-DE" w:eastAsia="de-DE"/>
    </w:rPr>
  </w:style>
  <w:style w:type="paragraph" w:styleId="90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10"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11" w:customStyle="1">
    <w:name w:val="Char Char Char Char"/>
    <w:basedOn w:val="667"/>
    <w:uiPriority w:val="0"/>
    <w:qFormat/>
    <w:pPr>
      <w:spacing w:line="360" w:lineRule="auto"/>
    </w:pPr>
    <w:rPr>
      <w:rFonts w:ascii="Tahoma" w:hAnsi="Tahoma"/>
      <w:sz w:val="24"/>
      <w:szCs w:val="24"/>
    </w:rPr>
  </w:style>
  <w:style w:type="paragraph" w:styleId="912">
    <w:name w:val="List Paragraph"/>
    <w:basedOn w:val="658"/>
    <w:uiPriority w:val="0"/>
    <w:qFormat/>
    <w:pPr>
      <w:contextualSpacing/>
      <w:ind w:left="720"/>
      <w:jc w:val="left"/>
      <w:widowControl/>
    </w:pPr>
    <w:rPr>
      <w:rFonts w:ascii="Calibri" w:hAnsi="Calibri"/>
      <w:sz w:val="24"/>
      <w:szCs w:val="24"/>
      <w:lang w:eastAsia="en-US" w:bidi="en-US"/>
    </w:rPr>
  </w:style>
  <w:style w:type="paragraph" w:styleId="913" w:customStyle="1">
    <w:name w:val="4"/>
    <w:basedOn w:val="658"/>
    <w:next w:val="686"/>
    <w:uiPriority w:val="0"/>
    <w:qFormat/>
    <w:pPr>
      <w:ind w:firstLine="420"/>
      <w:spacing w:line="360" w:lineRule="auto"/>
    </w:pPr>
    <w:rPr>
      <w:color w:val="ff0000"/>
      <w:sz w:val="24"/>
      <w:szCs w:val="24"/>
    </w:rPr>
  </w:style>
  <w:style w:type="paragraph" w:styleId="914"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15" w:customStyle="1">
    <w:name w:val="Char Char Char Char Char Char Char Char Char Char"/>
    <w:basedOn w:val="658"/>
    <w:uiPriority w:val="0"/>
    <w:qFormat/>
    <w:pPr>
      <w:spacing w:line="360" w:lineRule="auto"/>
    </w:pPr>
    <w:rPr>
      <w:sz w:val="24"/>
      <w:szCs w:val="20"/>
    </w:rPr>
  </w:style>
  <w:style w:type="paragraph" w:styleId="916" w:customStyle="1">
    <w:name w:val="样式1"/>
    <w:basedOn w:val="658"/>
    <w:uiPriority w:val="0"/>
    <w:qFormat/>
    <w:pPr>
      <w:numPr>
        <w:ilvl w:val="0"/>
        <w:numId w:val="3"/>
      </w:numPr>
    </w:pPr>
    <w:rPr>
      <w:rFonts w:ascii="宋体" w:hAnsi="宋体"/>
    </w:rPr>
  </w:style>
  <w:style w:type="paragraph" w:styleId="917"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18"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9"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0"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21" w:customStyle="1">
    <w:name w:val="xl24"/>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2" w:customStyle="1">
    <w:name w:val="xl29"/>
    <w:basedOn w:val="65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3"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24" w:customStyle="1">
    <w:name w:val="xl28"/>
    <w:basedOn w:val="6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5"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26"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27" w:customStyle="1">
    <w:name w:val="Char Char Char Char1"/>
    <w:basedOn w:val="667"/>
    <w:uiPriority w:val="0"/>
    <w:qFormat/>
    <w:pPr>
      <w:spacing w:line="360" w:lineRule="auto"/>
    </w:pPr>
    <w:rPr>
      <w:rFonts w:ascii="Tahoma" w:hAnsi="Tahoma"/>
      <w:sz w:val="24"/>
      <w:szCs w:val="24"/>
    </w:rPr>
  </w:style>
  <w:style w:type="paragraph" w:styleId="928" w:customStyle="1">
    <w:name w:val="table_1stline"/>
    <w:basedOn w:val="658"/>
    <w:uiPriority w:val="0"/>
    <w:qFormat/>
    <w:pPr>
      <w:jc w:val="left"/>
      <w:spacing w:before="120"/>
      <w:widowControl/>
    </w:pPr>
    <w:rPr>
      <w:bCs/>
      <w:sz w:val="20"/>
      <w:szCs w:val="20"/>
      <w:lang w:val="de-DE" w:eastAsia="de-DE"/>
    </w:rPr>
  </w:style>
  <w:style w:type="paragraph" w:styleId="929"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30"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93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33" w:customStyle="1">
    <w:name w:val="BodyText1I2"/>
    <w:basedOn w:val="934"/>
    <w:uiPriority w:val="0"/>
    <w:qFormat/>
    <w:pPr>
      <w:ind w:firstLine="200"/>
    </w:pPr>
  </w:style>
  <w:style w:type="paragraph" w:styleId="934" w:customStyle="1">
    <w:name w:val="BodyTextIndent"/>
    <w:basedOn w:val="658"/>
    <w:uiPriority w:val="0"/>
    <w:qFormat/>
    <w:pPr>
      <w:ind w:left="420"/>
      <w:spacing w:after="120"/>
    </w:pPr>
  </w:style>
  <w:style w:type="character" w:styleId="935" w:customStyle="1">
    <w:name w:val="font01"/>
    <w:basedOn w:val="659"/>
    <w:uiPriority w:val="0"/>
    <w:qFormat/>
    <w:rPr>
      <w:rFonts w:hint="default" w:ascii="等线" w:hAnsi="等线" w:eastAsia="等线" w:cs="等线"/>
      <w:color w:val="000000"/>
      <w:sz w:val="22"/>
      <w:szCs w:val="22"/>
      <w:u w:val="none"/>
    </w:rPr>
  </w:style>
  <w:style w:type="character" w:styleId="936" w:customStyle="1">
    <w:name w:val="font41"/>
    <w:basedOn w:val="659"/>
    <w:uiPriority w:val="0"/>
    <w:qFormat/>
    <w:rPr>
      <w:rFonts w:hint="default" w:ascii="Noto Sans CJK SC" w:hAnsi="Noto Sans CJK SC" w:eastAsia="Noto Sans CJK SC" w:cs="Noto Sans CJK SC"/>
      <w:color w:val="000000"/>
      <w:sz w:val="18"/>
      <w:szCs w:val="18"/>
      <w:u w:val="none"/>
    </w:rPr>
  </w:style>
  <w:style w:type="character" w:styleId="937" w:customStyle="1">
    <w:name w:val="font31"/>
    <w:basedOn w:val="659"/>
    <w:uiPriority w:val="0"/>
    <w:qFormat/>
    <w:rPr>
      <w:rFonts w:hint="default" w:ascii="Cambria" w:hAnsi="Cambria" w:eastAsia="Cambria" w:cs="Cambria"/>
      <w:color w:val="000000"/>
      <w:sz w:val="18"/>
      <w:szCs w:val="18"/>
      <w:u w:val="none"/>
    </w:rPr>
  </w:style>
  <w:style w:type="character" w:styleId="938" w:customStyle="1">
    <w:name w:val="font21"/>
    <w:basedOn w:val="659"/>
    <w:uiPriority w:val="0"/>
    <w:qFormat/>
    <w:rPr>
      <w:rFonts w:hint="default" w:ascii="Cambria" w:hAnsi="Cambria" w:eastAsia="Cambria" w:cs="Cambria"/>
      <w:b/>
      <w:bCs/>
      <w:color w:val="000000"/>
      <w:sz w:val="20"/>
      <w:szCs w:val="20"/>
      <w:u w:val="none"/>
    </w:rPr>
  </w:style>
  <w:style w:type="character" w:styleId="939" w:customStyle="1">
    <w:name w:val="font51"/>
    <w:basedOn w:val="659"/>
    <w:uiPriority w:val="0"/>
    <w:qFormat/>
    <w:rPr>
      <w:rFonts w:hint="default" w:ascii="Noto Sans CJK SC" w:hAnsi="Noto Sans CJK SC" w:eastAsia="Noto Sans CJK SC" w:cs="Noto Sans CJK SC"/>
      <w:color w:val="000000"/>
      <w:sz w:val="18"/>
      <w:szCs w:val="18"/>
      <w:u w:val="none"/>
    </w:rPr>
  </w:style>
  <w:style w:type="paragraph" w:styleId="940" w:customStyle="1">
    <w:name w:val="正文文本缩进 21"/>
    <w:basedOn w:val="658"/>
    <w:uiPriority w:val="0"/>
    <w:qFormat/>
    <w:pPr>
      <w:ind w:left="630" w:firstLine="645"/>
    </w:pPr>
    <w:rPr>
      <w:rFonts w:ascii="Arial" w:hAnsi="Arial" w:eastAsia="仿宋_GB2312"/>
      <w:sz w:val="32"/>
      <w:szCs w:val="32"/>
    </w:rPr>
  </w:style>
  <w:style w:type="character" w:styleId="941" w:customStyle="1">
    <w:name w:val="font11"/>
    <w:basedOn w:val="659"/>
    <w:uiPriority w:val="0"/>
    <w:qFormat/>
    <w:rPr>
      <w:rFonts w:hint="eastAsia" w:ascii="方正仿宋_GB2312" w:hAnsi="方正仿宋_GB2312" w:eastAsia="方正仿宋_GB2312" w:cs="方正仿宋_GB2312"/>
      <w:color w:val="000000"/>
      <w:sz w:val="20"/>
      <w:szCs w:val="20"/>
      <w:u w:val="none"/>
    </w:rPr>
  </w:style>
  <w:style w:type="character" w:styleId="942" w:customStyle="1">
    <w:name w:val="font81"/>
    <w:basedOn w:val="659"/>
    <w:uiPriority w:val="0"/>
    <w:qFormat/>
    <w:rPr>
      <w:rFonts w:hint="eastAsia" w:ascii="宋体" w:hAnsi="宋体" w:eastAsia="宋体" w:cs="宋体"/>
      <w:color w:val="ff0000"/>
      <w:sz w:val="28"/>
      <w:szCs w:val="28"/>
      <w:u w:val="none"/>
    </w:rPr>
  </w:style>
  <w:style w:type="numbering" w:styleId="9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6</cp:revision>
  <dcterms:created xsi:type="dcterms:W3CDTF">2025-01-17T18:46:00Z</dcterms:created>
  <dcterms:modified xsi:type="dcterms:W3CDTF">2026-10-20T08:54:42Z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51CA6EB60271B16A48E3CE6ADCC15762</vt:lpwstr>
  </property>
  <property fmtid="{D5CDD505-2E9C-101B-9397-08002B2CF9AE}" pid="4" name="KSOTemplateDocerSaveRecord">
    <vt:lpwstr>eyJoZGlkIjoiNzhhZDA3ODQ4ZDYxOTc2ZjA0YWE3YjExMjJiNTgxOWIiLCJ1c2VySWQiOiIxMTE2NjgwNiJ9</vt:lpwstr>
  </property>
</Properties>
</file>