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2623" w:hanging="1901"/>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西太湖2026年-2029年沿湖片区芦苇收割(湖区垃圾清理服务)项目</w:t>
      </w:r>
      <w:r/>
    </w:p>
    <w:p>
      <w:pPr>
        <w:ind w:left="2623" w:hanging="1901"/>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lang w:val="en-GB"/>
        </w:rPr>
        <w:t xml:space="preserve">JSZC-3204</w:t>
      </w:r>
      <w:r>
        <w:rPr>
          <w:rFonts w:hint="eastAsia"/>
          <w:bCs/>
          <w:sz w:val="36"/>
          <w:szCs w:val="36"/>
        </w:rPr>
        <w:t xml:space="preserve">12</w:t>
      </w:r>
      <w:r>
        <w:rPr>
          <w:rFonts w:hint="eastAsia"/>
          <w:bCs/>
          <w:sz w:val="36"/>
          <w:szCs w:val="36"/>
          <w:lang w:val="en-GB"/>
        </w:rPr>
        <w:t xml:space="preserve">-ZPZX-</w:t>
      </w:r>
      <w:r>
        <w:rPr>
          <w:rFonts w:hint="eastAsia"/>
          <w:bCs/>
          <w:sz w:val="36"/>
          <w:szCs w:val="36"/>
        </w:rPr>
        <w:t xml:space="preserve">G</w:t>
      </w:r>
      <w:r>
        <w:rPr>
          <w:rFonts w:hint="eastAsia"/>
          <w:bCs/>
          <w:sz w:val="36"/>
          <w:szCs w:val="36"/>
          <w:lang w:val="en-GB"/>
        </w:rPr>
        <w:t xml:space="preserve">20</w:t>
      </w:r>
      <w:r>
        <w:rPr>
          <w:rFonts w:hint="eastAsia"/>
          <w:bCs/>
          <w:sz w:val="36"/>
          <w:szCs w:val="36"/>
        </w:rPr>
        <w:t xml:space="preserve">26</w:t>
      </w:r>
      <w:r>
        <w:rPr>
          <w:rFonts w:hint="eastAsia"/>
          <w:bCs/>
          <w:sz w:val="36"/>
          <w:szCs w:val="36"/>
          <w:lang w:val="en-GB"/>
        </w:rPr>
        <w:t xml:space="preserve">-000</w:t>
      </w:r>
      <w:r>
        <w:rPr>
          <w:rFonts w:hint="eastAsia"/>
          <w:bCs/>
          <w:sz w:val="36"/>
          <w:szCs w:val="36"/>
        </w:rPr>
        <w:t xml:space="preserve">2</w:t>
      </w:r>
      <w:r/>
    </w:p>
    <w:p>
      <w:pPr>
        <w:ind w:left="2623" w:hanging="1901"/>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常州市武进区西湖街道办事处</w:t>
      </w:r>
      <w:r/>
    </w:p>
    <w:p>
      <w:pPr>
        <w:ind w:left="262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常州中平招投标咨询服务有限公司</w:t>
      </w:r>
      <w:r/>
    </w:p>
    <w:p>
      <w:pPr>
        <w:jc w:val="center"/>
        <w:widowControl/>
        <w:rPr>
          <w:b/>
          <w:sz w:val="36"/>
          <w:szCs w:val="36"/>
        </w:rPr>
        <w:outlineLvl w:val="0"/>
      </w:pPr>
      <w:r>
        <w:rPr>
          <w:b/>
          <w:bCs/>
          <w:sz w:val="44"/>
        </w:rPr>
        <w:br w:type="page" w:clear="all"/>
      </w:r>
      <w:bookmarkStart w:id="0" w:name="_Toc99301418"/>
      <w:r>
        <w:rPr>
          <w:b/>
          <w:sz w:val="36"/>
          <w:szCs w:val="36"/>
        </w:rPr>
        <w:t xml:space="preserve">目      录</w:t>
      </w:r>
      <w:bookmarkEnd w:id="0"/>
      <w:r/>
      <w:r/>
    </w:p>
    <w:p>
      <w:r/>
      <w:r/>
    </w:p>
    <w:p>
      <w:r/>
      <w:r/>
    </w:p>
    <w:p>
      <w:r/>
      <w:r/>
    </w:p>
    <w:p>
      <w:pPr>
        <w:pStyle w:val="985"/>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85"/>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08"/>
          <w:rFonts w:ascii="Times New Roman" w:hAnsi="Times New Roman"/>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08"/>
          <w:rFonts w:ascii="Times New Roman" w:hAnsi="Times New Roman"/>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08"/>
          <w:rFonts w:ascii="Times New Roman" w:hAnsi="Times New Roman"/>
          <w:color w:val="000000"/>
        </w:rPr>
        <w:t xml:space="preserve">第三章   资</w:t>
      </w:r>
      <w:bookmarkStart w:id="1" w:name="_Hlt100754117"/>
      <w:r>
        <w:rPr>
          <w:rStyle w:val="1008"/>
          <w:rFonts w:ascii="Times New Roman" w:hAnsi="Times New Roman"/>
          <w:color w:val="000000"/>
        </w:rPr>
        <w:t xml:space="preserve">格</w:t>
      </w:r>
      <w:bookmarkEnd w:id="1"/>
      <w:r>
        <w:rPr>
          <w:rStyle w:val="1008"/>
          <w:rFonts w:ascii="Times New Roman" w:hAnsi="Times New Roman"/>
          <w:color w:val="000000"/>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08"/>
          <w:rFonts w:ascii="Times New Roman" w:hAnsi="Times New Roman"/>
          <w:color w:val="000000"/>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08"/>
          <w:rFonts w:ascii="Times New Roman" w:hAnsi="Times New Roman"/>
          <w:color w:val="000000"/>
        </w:rPr>
        <w:t xml:space="preserve">第五章   采购</w:t>
      </w:r>
      <w:bookmarkStart w:id="2" w:name="_Hlt100754102"/>
      <w:r/>
      <w:bookmarkStart w:id="3" w:name="_Hlt100754103"/>
      <w:r>
        <w:rPr>
          <w:rStyle w:val="1008"/>
          <w:rFonts w:ascii="Times New Roman" w:hAnsi="Times New Roman"/>
          <w:color w:val="000000"/>
        </w:rPr>
        <w:t xml:space="preserve">需</w:t>
      </w:r>
      <w:bookmarkEnd w:id="2"/>
      <w:r/>
      <w:bookmarkEnd w:id="3"/>
      <w:r>
        <w:rPr>
          <w:rStyle w:val="1008"/>
          <w:rFonts w:ascii="Times New Roman" w:hAnsi="Times New Roman"/>
          <w:color w:val="000000"/>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08"/>
          <w:rFonts w:ascii="Times New Roman" w:hAnsi="Times New Roman"/>
          <w:color w:val="000000"/>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008"/>
          <w:rFonts w:ascii="Times New Roman" w:hAnsi="Times New Roman"/>
          <w:color w:val="000000"/>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Fonts w:ascii="Times New Roman" w:hAnsi="Times New Roman"/>
        </w:rPr>
        <w:fldChar w:fldCharType="end"/>
      </w:r>
      <w:r/>
    </w:p>
    <w:p>
      <w:pPr>
        <w:pStyle w:val="985"/>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4" w:name="_Toc99301419"/>
      <w:r>
        <w:rPr>
          <w:b/>
          <w:sz w:val="36"/>
          <w:szCs w:val="36"/>
        </w:rPr>
        <w:t xml:space="preserve">第一章   投标邀请</w:t>
      </w:r>
      <w:bookmarkEnd w:id="4"/>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6"/>
      </w:tblGrid>
      <w:tr>
        <w:trPr>
          <w:trHeight w:val="1235"/>
        </w:trPr>
        <w:tc>
          <w:tcPr>
            <w:tcW w:w="9206" w:type="dxa"/>
            <w:vAlign w:val="center"/>
            <w:textDirection w:val="lrTb"/>
            <w:noWrap w:val="false"/>
          </w:tcPr>
          <w:p>
            <w:pPr>
              <w:ind w:firstLine="480"/>
              <w:spacing w:before="120" w:line="360" w:lineRule="auto"/>
              <w:rPr>
                <w:rFonts w:ascii="宋体" w:hAnsi="宋体"/>
                <w:sz w:val="24"/>
              </w:rPr>
            </w:pPr>
            <w:r/>
            <w:bookmarkStart w:id="5" w:name="_Toc28359002"/>
            <w:r/>
            <w:bookmarkStart w:id="6" w:name="_Toc35393790"/>
            <w:r/>
            <w:bookmarkStart w:id="7" w:name="_Toc35393621"/>
            <w:r/>
            <w:bookmarkStart w:id="8" w:name="_Toc28359079"/>
            <w:r/>
            <w:bookmarkStart w:id="9" w:name="_Hlk24379207"/>
            <w:r>
              <w:rPr>
                <w:rFonts w:hint="eastAsia" w:ascii="宋体" w:hAnsi="宋体"/>
                <w:sz w:val="24"/>
              </w:rPr>
              <w:t xml:space="preserve">项目</w:t>
            </w:r>
            <w:r>
              <w:rPr>
                <w:rFonts w:ascii="宋体" w:hAnsi="宋体"/>
                <w:sz w:val="24"/>
              </w:rPr>
              <w:t xml:space="preserve">概况</w:t>
            </w:r>
            <w:r/>
          </w:p>
          <w:p>
            <w:pPr>
              <w:spacing w:line="360" w:lineRule="auto"/>
              <w:rPr>
                <w:rFonts w:ascii="宋体" w:hAnsi="宋体"/>
                <w:szCs w:val="21"/>
                <w:u w:val="single"/>
              </w:rPr>
            </w:pPr>
            <w:r>
              <w:rPr>
                <w:rFonts w:hint="eastAsia" w:ascii="宋体" w:hAnsi="宋体"/>
                <w:szCs w:val="21"/>
              </w:rPr>
              <w:t xml:space="preserve">   </w:t>
            </w:r>
            <w:r>
              <w:rPr>
                <w:rFonts w:hint="eastAsia" w:ascii="宋体" w:hAnsi="宋体"/>
                <w:sz w:val="24"/>
              </w:rPr>
              <w:t xml:space="preserve"> </w:t>
            </w:r>
            <w:r>
              <w:rPr>
                <w:rFonts w:hint="eastAsia" w:ascii="宋体" w:hAnsi="宋体"/>
                <w:sz w:val="24"/>
                <w:u w:val="single"/>
              </w:rPr>
              <w:t xml:space="preserve">西太湖2026年-2029年沿湖片区芦苇收割(湖区垃圾清理服务)项目JSZC-320412-ZPZX-G2026-0002（项目名称、项目编号）</w:t>
            </w:r>
            <w:r>
              <w:rPr>
                <w:rFonts w:hint="eastAsia" w:ascii="宋体" w:hAnsi="宋体"/>
                <w:sz w:val="24"/>
              </w:rPr>
              <w:t xml:space="preserve">招标项目</w:t>
            </w:r>
            <w:r>
              <w:rPr>
                <w:rFonts w:ascii="宋体" w:hAnsi="宋体"/>
                <w:sz w:val="24"/>
              </w:rPr>
              <w:t xml:space="preserve">的潜在投标人应在</w:t>
            </w:r>
            <w:r>
              <w:rPr>
                <w:rFonts w:hint="eastAsia" w:ascii="宋体" w:hAnsi="宋体"/>
                <w:sz w:val="24"/>
                <w:u w:val="single"/>
              </w:rPr>
              <w:t xml:space="preserve">“苏采云”政府采购一体化平台 </w:t>
            </w:r>
            <w:r>
              <w:rPr>
                <w:rFonts w:hint="eastAsia" w:ascii="宋体" w:hAnsi="宋体"/>
                <w:sz w:val="24"/>
              </w:rPr>
              <w:t xml:space="preserve">获取招标</w:t>
            </w:r>
            <w:r>
              <w:rPr>
                <w:rFonts w:ascii="宋体" w:hAnsi="宋体"/>
                <w:sz w:val="24"/>
              </w:rPr>
              <w:t xml:space="preserve">文件，并于</w:t>
            </w:r>
            <w:r>
              <w:rPr>
                <w:rFonts w:hint="eastAsia" w:ascii="宋体" w:hAnsi="宋体"/>
                <w:b/>
                <w:sz w:val="24"/>
                <w:u w:val="single"/>
              </w:rPr>
              <w:t xml:space="preserve">2026年10月20日14点00</w:t>
            </w:r>
            <w:r>
              <w:rPr>
                <w:rFonts w:ascii="宋体" w:hAnsi="宋体"/>
                <w:b/>
                <w:sz w:val="24"/>
                <w:u w:val="single"/>
              </w:rPr>
              <w:t xml:space="preserve">分</w:t>
            </w:r>
            <w:r>
              <w:rPr>
                <w:rFonts w:ascii="宋体" w:hAnsi="宋体"/>
                <w:b/>
                <w:sz w:val="24"/>
              </w:rPr>
              <w:t xml:space="preserve">（</w:t>
            </w:r>
            <w:r>
              <w:rPr>
                <w:rFonts w:hint="eastAsia" w:ascii="宋体" w:hAnsi="宋体"/>
                <w:b/>
                <w:sz w:val="24"/>
              </w:rPr>
              <w:t xml:space="preserve">北京</w:t>
            </w:r>
            <w:r>
              <w:rPr>
                <w:rFonts w:ascii="宋体" w:hAnsi="宋体"/>
                <w:b/>
                <w:sz w:val="24"/>
              </w:rPr>
              <w:t xml:space="preserve">时间）</w:t>
            </w:r>
            <w:r>
              <w:rPr>
                <w:rFonts w:hint="eastAsia" w:ascii="宋体" w:hAnsi="宋体"/>
                <w:sz w:val="24"/>
              </w:rPr>
              <w:t xml:space="preserve">前</w:t>
            </w:r>
            <w:r>
              <w:rPr>
                <w:rFonts w:ascii="宋体" w:hAnsi="宋体"/>
                <w:sz w:val="24"/>
              </w:rPr>
              <w:t xml:space="preserve">递交投标文件。</w:t>
            </w:r>
            <w:r/>
          </w:p>
        </w:tc>
      </w:tr>
    </w:tbl>
    <w:p>
      <w:pPr>
        <w:pStyle w:val="935"/>
        <w:jc w:val="left"/>
        <w:spacing w:before="24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项目编号：</w:t>
      </w:r>
      <w:r>
        <w:rPr>
          <w:rFonts w:hint="eastAsia"/>
          <w:sz w:val="24"/>
          <w:u w:val="single"/>
        </w:rPr>
        <w:t xml:space="preserve"> JSZC-320412-ZPZX-G2026-0002 </w:t>
      </w:r>
      <w:r/>
    </w:p>
    <w:p>
      <w:pPr>
        <w:ind w:firstLine="480"/>
        <w:spacing w:line="360" w:lineRule="auto"/>
        <w:rPr>
          <w:rFonts w:hint="eastAsia"/>
          <w:sz w:val="24"/>
        </w:rPr>
      </w:pPr>
      <w:r>
        <w:rPr>
          <w:sz w:val="24"/>
        </w:rPr>
        <w:t xml:space="preserve">项目名称：</w:t>
      </w:r>
      <w:r>
        <w:rPr>
          <w:rFonts w:hint="eastAsia"/>
          <w:sz w:val="24"/>
          <w:u w:val="single"/>
        </w:rPr>
        <w:t xml:space="preserve">西太湖2026年-2029年沿湖片区芦苇收割(湖区垃圾清理服务)项目</w:t>
      </w:r>
      <w:bookmarkEnd w:id="9"/>
      <w:r/>
    </w:p>
    <w:p>
      <w:pPr>
        <w:ind w:firstLine="480"/>
        <w:spacing w:line="360" w:lineRule="auto"/>
        <w:rPr>
          <w:sz w:val="24"/>
        </w:rPr>
      </w:pPr>
      <w:r>
        <w:rPr>
          <w:sz w:val="24"/>
        </w:rPr>
        <w:t xml:space="preserve">项目预算金额：</w:t>
      </w:r>
      <w:r>
        <w:rPr>
          <w:rFonts w:hint="eastAsia"/>
          <w:sz w:val="24"/>
        </w:rPr>
        <w:t xml:space="preserve">207.64</w:t>
      </w:r>
      <w:r>
        <w:rPr>
          <w:sz w:val="24"/>
        </w:rPr>
        <w:t xml:space="preserve">万元</w:t>
      </w:r>
      <w:r>
        <w:rPr>
          <w:rFonts w:hint="eastAsia"/>
          <w:sz w:val="24"/>
        </w:rPr>
        <w:t xml:space="preserve">/3年</w:t>
      </w:r>
      <w:r>
        <w:rPr>
          <w:sz w:val="24"/>
        </w:rPr>
        <w:t xml:space="preserve">、项目最高限价：</w:t>
      </w:r>
      <w:r>
        <w:rPr>
          <w:rFonts w:hint="eastAsia"/>
          <w:sz w:val="24"/>
        </w:rPr>
        <w:t xml:space="preserve">207.6</w:t>
      </w:r>
      <w:r>
        <w:rPr>
          <w:sz w:val="24"/>
        </w:rPr>
        <w:t xml:space="preserve">399万元</w:t>
      </w:r>
      <w:r>
        <w:rPr>
          <w:rFonts w:hint="eastAsia"/>
          <w:sz w:val="24"/>
        </w:rPr>
        <w:t xml:space="preserve">/3年</w:t>
      </w:r>
      <w:r/>
    </w:p>
    <w:p>
      <w:pPr>
        <w:ind w:firstLine="480"/>
        <w:spacing w:line="360" w:lineRule="auto"/>
        <w:rPr>
          <w:sz w:val="24"/>
        </w:rPr>
      </w:pPr>
      <w:r>
        <w:rPr>
          <w:sz w:val="24"/>
        </w:rPr>
        <w:t xml:space="preserve">采购需求：</w:t>
      </w:r>
      <w:r>
        <w:rPr>
          <w:rFonts w:hint="eastAsia"/>
          <w:sz w:val="24"/>
        </w:rPr>
        <w:t xml:space="preserve">主要负责湖区、揽月路沿线相关地块芦苇定期收割、清运；西太湖湖面及沿湖岸线垃圾漂浮物（水葫芦、浮萍等）打捞清理及现场环境常态化保洁养护工作，保障湖面水域干净整洁、沿岸环境规范有序，满足日常市容及水域生态管理要求。</w:t>
      </w:r>
      <w:r/>
    </w:p>
    <w:p>
      <w:pPr>
        <w:ind w:firstLine="480"/>
        <w:spacing w:line="360" w:lineRule="auto"/>
        <w:rPr>
          <w:sz w:val="24"/>
          <w:u w:val="single"/>
          <w:lang w:val="en-GB"/>
        </w:rPr>
      </w:pPr>
      <w:r>
        <w:rPr>
          <w:sz w:val="24"/>
        </w:rPr>
        <w:t xml:space="preserve">合同履行期限：</w:t>
      </w:r>
      <w:r>
        <w:rPr>
          <w:rFonts w:hint="eastAsia" w:ascii="宋体" w:hAnsi="宋体"/>
          <w:sz w:val="24"/>
          <w:u w:val="single"/>
        </w:rPr>
        <w:t xml:space="preserve">三年</w:t>
      </w:r>
      <w:r>
        <w:rPr>
          <w:rFonts w:hint="eastAsia" w:ascii="宋体" w:hAnsi="宋体" w:cs="宋体"/>
          <w:sz w:val="24"/>
          <w:u w:val="single"/>
        </w:rPr>
        <w:t xml:space="preserve">，合同一年一签，考核合格后续签下一年合同</w:t>
      </w:r>
      <w:r>
        <w:rPr>
          <w:rFonts w:hint="eastAsia" w:ascii="宋体" w:hAnsi="宋体"/>
          <w:sz w:val="24"/>
          <w:u w:val="single"/>
        </w:rPr>
        <w:t xml:space="preserve">。</w:t>
      </w:r>
      <w:r/>
    </w:p>
    <w:p>
      <w:pPr>
        <w:ind w:firstLine="480"/>
        <w:spacing w:line="360" w:lineRule="auto"/>
        <w:rPr>
          <w:rFonts w:hint="eastAsia"/>
          <w:sz w:val="24"/>
        </w:rPr>
      </w:pPr>
      <w:r>
        <w:rPr>
          <w:sz w:val="24"/>
        </w:rPr>
        <w:t xml:space="preserve">本项目</w:t>
      </w:r>
      <w:r>
        <w:rPr>
          <w:rFonts w:hint="eastAsia"/>
          <w:sz w:val="24"/>
        </w:rPr>
        <w:t xml:space="preserve">（</w:t>
      </w:r>
      <w:r>
        <w:rPr>
          <w:sz w:val="24"/>
        </w:rPr>
        <w:t xml:space="preserve">是</w:t>
      </w:r>
      <w:r>
        <w:rPr>
          <w:rFonts w:hint="eastAsia"/>
          <w:sz w:val="24"/>
        </w:rPr>
        <w:t xml:space="preserve">/</w:t>
      </w:r>
      <w:r>
        <w:rPr>
          <w:sz w:val="24"/>
        </w:rPr>
        <w:t xml:space="preserve">否</w:t>
      </w:r>
      <w:r>
        <w:rPr>
          <w:rFonts w:hint="eastAsia"/>
          <w:sz w:val="24"/>
        </w:rPr>
        <w:t xml:space="preserve">）</w:t>
      </w:r>
      <w:r>
        <w:rPr>
          <w:sz w:val="24"/>
        </w:rPr>
        <w:t xml:space="preserve">接受联合体投标：</w:t>
      </w:r>
      <w:r>
        <w:rPr>
          <w:rFonts w:hint="eastAsia"/>
          <w:sz w:val="24"/>
        </w:rPr>
        <w:t xml:space="preserve">不接受联合体</w:t>
      </w:r>
      <w:r/>
    </w:p>
    <w:p>
      <w:pPr>
        <w:ind w:firstLine="480"/>
        <w:spacing w:line="360" w:lineRule="auto"/>
        <w:rPr>
          <w:sz w:val="24"/>
        </w:rPr>
      </w:pPr>
      <w:r>
        <w:rPr>
          <w:sz w:val="24"/>
        </w:rPr>
        <w:t xml:space="preserve">本项目是否接受</w:t>
      </w:r>
      <w:r>
        <w:rPr>
          <w:rFonts w:hint="eastAsia"/>
          <w:sz w:val="24"/>
        </w:rPr>
        <w:t xml:space="preserve">进口产品</w:t>
      </w:r>
      <w:r>
        <w:rPr>
          <w:sz w:val="24"/>
        </w:rPr>
        <w:t xml:space="preserve">投标：否。</w:t>
      </w:r>
      <w:r/>
    </w:p>
    <w:p>
      <w:pPr>
        <w:pStyle w:val="935"/>
        <w:jc w:val="left"/>
        <w:spacing w:before="0" w:line="360" w:lineRule="auto"/>
        <w:rPr>
          <w:rFonts w:ascii="Times New Roman" w:hAnsi="Times New Roman" w:eastAsia="宋体"/>
          <w:sz w:val="24"/>
          <w:szCs w:val="24"/>
        </w:rPr>
      </w:pPr>
      <w:r/>
      <w:bookmarkStart w:id="10" w:name="_Toc35393791"/>
      <w:r/>
      <w:bookmarkStart w:id="11" w:name="_Toc28359080"/>
      <w:r/>
      <w:bookmarkStart w:id="12" w:name="_Toc35393622"/>
      <w:r/>
      <w:bookmarkStart w:id="13" w:name="_Toc28359003"/>
      <w:r>
        <w:rPr>
          <w:rFonts w:ascii="Times New Roman" w:hAnsi="Times New Roman" w:eastAsia="宋体"/>
          <w:sz w:val="24"/>
          <w:szCs w:val="24"/>
        </w:rPr>
        <w:t xml:space="preserve">二、申请人的资格要求</w:t>
      </w:r>
      <w:bookmarkEnd w:id="10"/>
      <w:r/>
      <w:bookmarkEnd w:id="11"/>
      <w:r/>
      <w:bookmarkEnd w:id="12"/>
      <w:r/>
      <w:bookmarkEnd w:id="13"/>
      <w:r/>
      <w:r/>
    </w:p>
    <w:p>
      <w:pPr>
        <w:ind w:firstLine="480"/>
        <w:spacing w:line="360" w:lineRule="auto"/>
        <w:rPr>
          <w:rFonts w:hint="eastAsia"/>
          <w:sz w:val="24"/>
        </w:rPr>
      </w:pPr>
      <w:r>
        <w:rPr>
          <w:rFonts w:hint="eastAsia"/>
          <w:sz w:val="24"/>
        </w:rPr>
        <w:t xml:space="preserve">（一）</w:t>
      </w:r>
      <w:r>
        <w:rPr>
          <w:sz w:val="24"/>
        </w:rPr>
        <w:t xml:space="preserve">满足《中华人民共和国政府采购法》第二十二条规定</w:t>
      </w:r>
      <w:r>
        <w:rPr>
          <w:rFonts w:hint="eastAsia"/>
          <w:sz w:val="24"/>
        </w:rPr>
        <w:t xml:space="preserve">：</w:t>
      </w:r>
      <w:r/>
    </w:p>
    <w:p>
      <w:pPr>
        <w:ind w:firstLine="480"/>
        <w:spacing w:line="360" w:lineRule="auto"/>
        <w:rPr>
          <w:rFonts w:hint="eastAsia"/>
          <w:sz w:val="24"/>
        </w:rPr>
      </w:pPr>
      <w:r>
        <w:rPr>
          <w:rFonts w:hint="eastAsia"/>
          <w:sz w:val="24"/>
        </w:rPr>
        <w:t xml:space="preserve">1.法人或者其他组织的营业执照等证明文件，自然人的身份证明。 </w:t>
      </w:r>
      <w:r/>
    </w:p>
    <w:p>
      <w:pPr>
        <w:ind w:firstLine="480"/>
        <w:spacing w:line="360" w:lineRule="auto"/>
        <w:rPr>
          <w:rFonts w:hint="eastAsia"/>
          <w:sz w:val="24"/>
        </w:rPr>
      </w:pPr>
      <w:r>
        <w:rPr>
          <w:rFonts w:hint="eastAsia"/>
          <w:sz w:val="24"/>
        </w:rPr>
        <w:t xml:space="preserve">2.投标人资格声明函：提供符合采购文件要求的《投标人资格声明函》。</w:t>
      </w:r>
      <w:r/>
    </w:p>
    <w:p>
      <w:pPr>
        <w:ind w:firstLine="480"/>
        <w:spacing w:line="360" w:lineRule="auto"/>
        <w:rPr>
          <w:rFonts w:hint="eastAsia"/>
          <w:sz w:val="24"/>
        </w:rPr>
      </w:pPr>
      <w:r>
        <w:rPr>
          <w:rFonts w:hint="eastAsia"/>
          <w:sz w:val="24"/>
        </w:rPr>
        <w:t xml:space="preserve">3.投标人信用记录：未被“信用中国”网站（WWW.creditchina.gov.cn）或“中国政府采购网”网站（www.ccgp.gov.cn）列入失信被执行人、重大税收违法案件当事人名单、政府采购严重失信行为记录名单。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（二）</w:t>
      </w:r>
      <w:r>
        <w:rPr>
          <w:sz w:val="24"/>
        </w:rPr>
        <w:t xml:space="preserve">落实政府采购政策需满足的资格要求</w:t>
      </w:r>
      <w:r/>
    </w:p>
    <w:p>
      <w:pPr>
        <w:ind w:firstLine="480"/>
        <w:spacing w:line="360" w:lineRule="auto"/>
        <w:rPr>
          <w:sz w:val="24"/>
        </w:rPr>
      </w:pPr>
      <w:r>
        <w:rPr>
          <w:rFonts w:hint="eastAsia"/>
          <w:sz w:val="24"/>
        </w:rPr>
        <w:t xml:space="preserve">2.1</w:t>
      </w:r>
      <w:r>
        <w:rPr>
          <w:sz w:val="24"/>
        </w:rPr>
        <w:t xml:space="preserve">中小企业政策</w:t>
      </w:r>
      <w:r/>
    </w:p>
    <w:p>
      <w:pPr>
        <w:ind w:firstLine="480"/>
        <w:spacing w:line="360" w:lineRule="auto"/>
        <w:rPr>
          <w:sz w:val="24"/>
        </w:rPr>
      </w:pPr>
      <w:r>
        <w:rPr>
          <w:sz w:val="24"/>
        </w:rPr>
        <w:t xml:space="preserve">本项目专门面向中小企业采购。即：提供的货物全部由符合政策要求的中小/小微企业制造、服务全部由符合政策要求的中小/小微企业承接。</w:t>
      </w:r>
      <w:r/>
    </w:p>
    <w:p>
      <w:pPr>
        <w:ind w:firstLine="480"/>
        <w:spacing w:line="360" w:lineRule="auto"/>
        <w:rPr>
          <w:rFonts w:hint="eastAsia"/>
          <w:sz w:val="24"/>
        </w:rPr>
      </w:pPr>
      <w:r>
        <w:rPr>
          <w:rFonts w:hint="eastAsia"/>
          <w:sz w:val="24"/>
        </w:rPr>
        <w:t xml:space="preserve">2.2.其它落实政府采购政策的资格要求（如有）：</w:t>
      </w:r>
      <w:r>
        <w:rPr>
          <w:rFonts w:hint="eastAsia"/>
          <w:sz w:val="24"/>
          <w:u w:val="single"/>
          <w:lang w:val="en-GB"/>
        </w:rPr>
        <w:t xml:space="preserve"> </w:t>
      </w:r>
      <w:r>
        <w:rPr>
          <w:rFonts w:hint="eastAsia"/>
          <w:sz w:val="24"/>
          <w:u w:val="single"/>
        </w:rPr>
        <w:t xml:space="preserve"> </w:t>
      </w:r>
      <w:r>
        <w:rPr>
          <w:rFonts w:hint="eastAsia"/>
          <w:sz w:val="24"/>
          <w:u w:val="single"/>
          <w:lang w:val="en-GB"/>
        </w:rPr>
        <w:t xml:space="preserve">/ </w:t>
      </w:r>
      <w:r>
        <w:rPr>
          <w:rFonts w:hint="eastAsia"/>
          <w:sz w:val="24"/>
          <w:u w:val="single"/>
        </w:rPr>
        <w:t xml:space="preserve"> </w:t>
      </w:r>
      <w:r>
        <w:rPr>
          <w:rFonts w:hint="eastAsia"/>
          <w:sz w:val="24"/>
        </w:rPr>
        <w:t xml:space="preserve">。</w:t>
      </w:r>
      <w:r/>
    </w:p>
    <w:p>
      <w:pPr>
        <w:ind w:firstLine="480"/>
        <w:spacing w:line="360" w:lineRule="auto"/>
        <w:rPr>
          <w:rFonts w:hint="eastAsia"/>
          <w:sz w:val="24"/>
        </w:rPr>
      </w:pPr>
      <w:r>
        <w:rPr>
          <w:rFonts w:hint="eastAsia"/>
          <w:sz w:val="24"/>
        </w:rPr>
        <w:t xml:space="preserve">（三）本项目的特定资格要求：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ascii="Wingdings 2" w:hAnsi="Wingdings 2" w:eastAsia="Wingdings 2" w:cs="Wingdings 2"/>
          <w:sz w:val="24"/>
        </w:rPr>
        <w:t xml:space="preserve">R</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3.3其他特定资格要求：</w:t>
      </w:r>
      <w:r>
        <w:rPr>
          <w:rFonts w:hint="eastAsia"/>
          <w:sz w:val="24"/>
        </w:rPr>
        <w:t xml:space="preserve">无</w:t>
      </w:r>
      <w:r/>
    </w:p>
    <w:p>
      <w:pPr>
        <w:pStyle w:val="935"/>
        <w:jc w:val="left"/>
        <w:spacing w:before="0" w:line="360" w:lineRule="auto"/>
        <w:widowControl/>
        <w:rPr>
          <w:rFonts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三、获取招标文件</w:t>
      </w:r>
      <w:bookmarkEnd w:id="14"/>
      <w:r/>
      <w:bookmarkEnd w:id="15"/>
      <w:r/>
      <w:r/>
    </w:p>
    <w:p>
      <w:pPr>
        <w:ind w:firstLine="480"/>
        <w:spacing w:line="360" w:lineRule="auto"/>
        <w:rPr>
          <w:rFonts w:hint="eastAsia"/>
          <w:sz w:val="24"/>
          <w:lang w:bidi="ar"/>
        </w:rPr>
      </w:pPr>
      <w:r/>
      <w:bookmarkStart w:id="16" w:name="_Toc35393794"/>
      <w:r/>
      <w:bookmarkStart w:id="17" w:name="_Toc28359007"/>
      <w:r/>
      <w:bookmarkStart w:id="18" w:name="_Toc28359084"/>
      <w:r/>
      <w:bookmarkStart w:id="19" w:name="_Toc35393625"/>
      <w:r>
        <w:rPr>
          <w:sz w:val="24"/>
          <w:lang w:bidi="ar"/>
        </w:rPr>
        <w:t xml:space="preserve">1.时间：</w:t>
      </w:r>
      <w:r>
        <w:rPr>
          <w:rFonts w:hint="eastAsia"/>
          <w:sz w:val="24"/>
          <w:lang w:bidi="ar"/>
        </w:rPr>
        <w:t xml:space="preserve">自招标文件公告发布之日起5个工作日。</w:t>
      </w:r>
      <w:r/>
    </w:p>
    <w:p>
      <w:pPr>
        <w:ind w:firstLine="480"/>
        <w:spacing w:line="360" w:lineRule="auto"/>
        <w:rPr>
          <w:rFonts w:hint="eastAsia"/>
          <w:sz w:val="24"/>
        </w:rPr>
      </w:pPr>
      <w:r>
        <w:rPr>
          <w:sz w:val="24"/>
          <w:lang w:bidi="ar"/>
        </w:rPr>
        <w:t xml:space="preserve">2.地点：</w:t>
      </w:r>
      <w:r>
        <w:rPr>
          <w:rFonts w:hint="eastAsia" w:cs="宋体"/>
          <w:sz w:val="24"/>
          <w:lang w:bidi="ar"/>
        </w:rPr>
        <w:t xml:space="preserve">“苏采云”政府采购一体化平台 。</w:t>
      </w:r>
      <w:r/>
    </w:p>
    <w:p>
      <w:pPr>
        <w:ind w:left="479"/>
        <w:jc w:val="left"/>
        <w:spacing w:line="360" w:lineRule="auto"/>
        <w:widowControl/>
        <w:rPr>
          <w:sz w:val="24"/>
          <w:lang w:bidi="ar"/>
        </w:rPr>
      </w:pPr>
      <w:r>
        <w:rPr>
          <w:sz w:val="24"/>
          <w:lang w:bidi="ar"/>
        </w:rPr>
        <w:t xml:space="preserve">3.</w:t>
      </w:r>
      <w:r>
        <w:rPr>
          <w:rFonts w:hint="eastAsia" w:cs="宋体"/>
          <w:sz w:val="24"/>
          <w:lang w:bidi="ar"/>
        </w:rPr>
        <w:t xml:space="preserve">方式：投标人持CA数字认证证书登录“苏采云”政府采购一体化平台（https://jszfcg.jsczt.cn/jszc/login）获取电子版招标文件。</w:t>
      </w:r>
      <w:r/>
    </w:p>
    <w:p>
      <w:pPr>
        <w:ind w:firstLine="480"/>
        <w:jc w:val="left"/>
        <w:spacing w:line="360" w:lineRule="auto"/>
        <w:widowControl/>
        <w:rPr>
          <w:rFonts w:hint="eastAsia"/>
          <w:sz w:val="24"/>
          <w:lang w:bidi="ar"/>
        </w:rPr>
      </w:pPr>
      <w:r>
        <w:rPr>
          <w:sz w:val="24"/>
          <w:lang w:bidi="ar"/>
        </w:rPr>
        <w:t xml:space="preserve">4.</w:t>
      </w:r>
      <w:r>
        <w:rPr>
          <w:rFonts w:hint="eastAsia"/>
          <w:sz w:val="24"/>
          <w:lang w:bidi="ar"/>
        </w:rPr>
        <w:t xml:space="preserve">售价：</w:t>
      </w:r>
      <w:r>
        <w:rPr>
          <w:sz w:val="24"/>
          <w:u w:val="single"/>
          <w:lang w:bidi="ar"/>
        </w:rPr>
        <w:t xml:space="preserve"> 0 </w:t>
      </w:r>
      <w:r>
        <w:rPr>
          <w:rFonts w:hint="eastAsia"/>
          <w:sz w:val="24"/>
          <w:lang w:bidi="ar"/>
        </w:rPr>
        <w:t xml:space="preserve">元。</w:t>
      </w:r>
      <w:r/>
    </w:p>
    <w:p>
      <w:pPr>
        <w:pStyle w:val="935"/>
        <w:jc w:val="left"/>
        <w:spacing w:before="0" w:line="360" w:lineRule="auto"/>
        <w:widowControl/>
        <w:rPr>
          <w:rFonts w:ascii="Times New Roman" w:hAnsi="Times New Roman" w:eastAsia="宋体"/>
          <w:sz w:val="24"/>
          <w:szCs w:val="24"/>
        </w:rPr>
      </w:pPr>
      <w:r/>
      <w:bookmarkStart w:id="20" w:name="_Toc28359005"/>
      <w:r/>
      <w:bookmarkStart w:id="21" w:name="_Toc28359082"/>
      <w:r/>
      <w:bookmarkStart w:id="22" w:name="_Toc35393624"/>
      <w:r/>
      <w:bookmarkStart w:id="23" w:name="_Toc35393793"/>
      <w:r>
        <w:rPr>
          <w:rFonts w:ascii="Times New Roman" w:hAnsi="Times New Roman" w:eastAsia="宋体"/>
          <w:sz w:val="24"/>
          <w:szCs w:val="24"/>
        </w:rPr>
        <w:t xml:space="preserve">四、提交投标文件</w:t>
      </w:r>
      <w:bookmarkEnd w:id="20"/>
      <w:r/>
      <w:bookmarkEnd w:id="21"/>
      <w:r>
        <w:rPr>
          <w:rFonts w:ascii="Times New Roman" w:hAnsi="Times New Roman" w:eastAsia="宋体"/>
          <w:sz w:val="24"/>
          <w:szCs w:val="24"/>
        </w:rPr>
        <w:t xml:space="preserve">截止时间、开标时间和地点</w:t>
      </w:r>
      <w:bookmarkEnd w:id="22"/>
      <w:r/>
      <w:bookmarkEnd w:id="23"/>
      <w:r/>
      <w:r/>
    </w:p>
    <w:p>
      <w:pPr>
        <w:ind w:firstLine="480"/>
        <w:spacing w:line="360" w:lineRule="auto"/>
        <w:rPr>
          <w:bCs/>
          <w:sz w:val="24"/>
          <w:u w:val="single"/>
        </w:rPr>
      </w:pPr>
      <w:r>
        <w:rPr>
          <w:sz w:val="24"/>
          <w:lang w:bidi="ar"/>
        </w:rPr>
        <w:t xml:space="preserve">投标截止时间、开标时间：</w:t>
      </w:r>
      <w:r>
        <w:rPr>
          <w:rFonts w:hint="eastAsia"/>
          <w:sz w:val="24"/>
          <w:lang w:bidi="ar"/>
        </w:rPr>
        <w:t xml:space="preserve">2026-10-20 14:00</w:t>
      </w:r>
      <w:r>
        <w:rPr>
          <w:bCs/>
          <w:sz w:val="24"/>
          <w:lang w:bidi="ar"/>
        </w:rPr>
        <w:t xml:space="preserve">（北京时间）</w:t>
      </w:r>
      <w:r>
        <w:rPr>
          <w:iCs/>
          <w:sz w:val="24"/>
          <w:lang w:bidi="ar"/>
        </w:rPr>
        <w:t xml:space="preserve">。</w:t>
      </w:r>
      <w:r/>
    </w:p>
    <w:p>
      <w:pPr>
        <w:ind w:firstLine="480"/>
        <w:spacing w:line="360" w:lineRule="auto"/>
        <w:rPr>
          <w:rFonts w:hint="eastAsia"/>
          <w:sz w:val="24"/>
          <w:lang w:bidi="ar"/>
        </w:rPr>
      </w:pPr>
      <w:r>
        <w:rPr>
          <w:sz w:val="24"/>
          <w:lang w:bidi="ar"/>
        </w:rPr>
        <w:t xml:space="preserve">地点：</w:t>
      </w:r>
      <w:r>
        <w:rPr>
          <w:rFonts w:hint="eastAsia" w:ascii="宋体" w:hAnsi="宋体"/>
          <w:sz w:val="24"/>
          <w:u w:val="single"/>
        </w:rPr>
        <w:t xml:space="preserve">“苏采云”政府采购交易系统网上开标大厅。</w:t>
      </w:r>
      <w:r/>
    </w:p>
    <w:p>
      <w:pPr>
        <w:pStyle w:val="93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16"/>
      <w:r/>
      <w:bookmarkEnd w:id="17"/>
      <w:r/>
      <w:bookmarkEnd w:id="18"/>
      <w:r/>
      <w:bookmarkEnd w:id="19"/>
      <w:r/>
      <w:r/>
    </w:p>
    <w:p>
      <w:pPr>
        <w:ind w:firstLine="480"/>
        <w:spacing w:line="360" w:lineRule="auto"/>
        <w:rPr>
          <w:sz w:val="24"/>
        </w:rPr>
      </w:pPr>
      <w:r>
        <w:rPr>
          <w:sz w:val="24"/>
        </w:rPr>
        <w:t xml:space="preserve">自本公告发布之日起5个工作日。</w:t>
      </w:r>
      <w:r/>
    </w:p>
    <w:p>
      <w:pPr>
        <w:pStyle w:val="935"/>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六、其他补充事宜</w:t>
      </w:r>
      <w:bookmarkEnd w:id="24"/>
      <w:r/>
      <w:bookmarkEnd w:id="25"/>
      <w:r/>
      <w:r/>
    </w:p>
    <w:p>
      <w:pPr>
        <w:numPr>
          <w:ilvl w:val="0"/>
          <w:numId w:val="8"/>
        </w:numPr>
        <w:ind w:left="850"/>
        <w:spacing w:line="360" w:lineRule="auto"/>
        <w:tabs>
          <w:tab w:val="left" w:pos="0" w:leader="none"/>
        </w:tabs>
        <w:rPr>
          <w:sz w:val="24"/>
        </w:rPr>
      </w:pPr>
      <w:r>
        <w:rPr>
          <w:sz w:val="24"/>
        </w:rPr>
        <w:t xml:space="preserve">本项目需要落实的政府采购政策：</w:t>
      </w:r>
      <w:r>
        <w:rPr>
          <w:sz w:val="24"/>
          <w:u w:val="single"/>
          <w:lang w:val="en-GB"/>
        </w:rPr>
        <w:t xml:space="preserve">  /  </w:t>
      </w:r>
      <w:r>
        <w:rPr>
          <w:sz w:val="24"/>
        </w:rPr>
        <w:t xml:space="preserve">。 </w:t>
      </w:r>
      <w:r/>
    </w:p>
    <w:p>
      <w:pPr>
        <w:numPr>
          <w:ilvl w:val="0"/>
          <w:numId w:val="8"/>
        </w:numPr>
        <w:ind w:left="0" w:firstLine="425"/>
        <w:spacing w:line="360" w:lineRule="auto"/>
        <w:tabs>
          <w:tab w:val="left" w:pos="0" w:leader="none"/>
        </w:tabs>
        <w:rPr>
          <w:sz w:val="24"/>
        </w:rPr>
      </w:pPr>
      <w:r>
        <w:rPr>
          <w:sz w:val="24"/>
        </w:rPr>
        <w:t xml:space="preserve">本项目的采购年限为</w:t>
      </w:r>
      <w:r>
        <w:rPr>
          <w:rFonts w:hint="eastAsia"/>
          <w:sz w:val="24"/>
          <w:u w:val="single"/>
        </w:rPr>
        <w:t xml:space="preserve">3</w:t>
      </w:r>
      <w:r>
        <w:rPr>
          <w:sz w:val="24"/>
          <w:u w:val="single"/>
        </w:rPr>
        <w:t xml:space="preserve">年</w:t>
      </w:r>
      <w:r>
        <w:rPr>
          <w:sz w:val="24"/>
        </w:rPr>
        <w:t xml:space="preserve">、</w:t>
      </w:r>
      <w:r>
        <w:rPr>
          <w:rFonts w:hint="eastAsia"/>
          <w:sz w:val="24"/>
        </w:rPr>
        <w:t xml:space="preserve">预算</w:t>
      </w:r>
      <w:r>
        <w:rPr>
          <w:sz w:val="24"/>
        </w:rPr>
        <w:t xml:space="preserve">金额为</w:t>
      </w:r>
      <w:r>
        <w:rPr>
          <w:rFonts w:hint="eastAsia"/>
          <w:sz w:val="24"/>
          <w:u w:val="single"/>
        </w:rPr>
        <w:t xml:space="preserve">207.64</w:t>
      </w:r>
      <w:r>
        <w:rPr>
          <w:sz w:val="24"/>
          <w:u w:val="single"/>
        </w:rPr>
        <w:t xml:space="preserve">万元</w:t>
      </w:r>
      <w:r>
        <w:rPr>
          <w:sz w:val="24"/>
        </w:rPr>
        <w:t xml:space="preserve">、当年安排数为</w:t>
      </w:r>
      <w:r>
        <w:rPr>
          <w:rFonts w:hint="eastAsia"/>
          <w:sz w:val="24"/>
          <w:u w:val="single"/>
        </w:rPr>
        <w:t xml:space="preserve">69.213</w:t>
      </w:r>
      <w:r>
        <w:rPr>
          <w:sz w:val="24"/>
          <w:u w:val="single"/>
        </w:rPr>
        <w:t xml:space="preserve">3万元</w:t>
      </w:r>
      <w:r>
        <w:rPr>
          <w:sz w:val="24"/>
        </w:rPr>
        <w:t xml:space="preserve">。</w:t>
      </w:r>
      <w:r/>
    </w:p>
    <w:p>
      <w:pPr>
        <w:numPr>
          <w:ilvl w:val="0"/>
          <w:numId w:val="8"/>
        </w:numPr>
        <w:ind w:left="0" w:firstLine="425"/>
        <w:spacing w:line="360" w:lineRule="auto"/>
        <w:tabs>
          <w:tab w:val="left" w:pos="0" w:leader="none"/>
        </w:tabs>
        <w:rPr>
          <w:sz w:val="24"/>
        </w:rPr>
      </w:pPr>
      <w:r>
        <w:rPr>
          <w:sz w:val="24"/>
        </w:rPr>
        <w:t xml:space="preserve">本项目采用</w:t>
      </w:r>
      <w:r>
        <w:rPr>
          <w:rFonts w:hint="eastAsia"/>
          <w:sz w:val="24"/>
        </w:rPr>
        <w:t xml:space="preserve">不见面交易</w:t>
      </w:r>
      <w:r>
        <w:rPr>
          <w:sz w:val="24"/>
        </w:rPr>
        <w:t xml:space="preserve">方式，请供应商认真学习常州市政府采购</w:t>
      </w:r>
      <w:r>
        <w:rPr>
          <w:rFonts w:hint="eastAsia"/>
          <w:sz w:val="24"/>
        </w:rPr>
        <w:t xml:space="preserve">网</w:t>
      </w:r>
      <w:r>
        <w:rPr>
          <w:sz w:val="24"/>
        </w:rPr>
        <w:t xml:space="preserve">发布的相关操作手册，办理CA认证证书、进行</w:t>
      </w:r>
      <w:r>
        <w:rPr>
          <w:rFonts w:hint="eastAsia"/>
          <w:sz w:val="24"/>
        </w:rPr>
        <w:t xml:space="preserve">“苏采云”政府采购一体化平台</w:t>
      </w:r>
      <w:r>
        <w:rPr>
          <w:sz w:val="24"/>
        </w:rPr>
        <w:t xml:space="preserve">注册绑定，并认真核实数字认证证书情况确认是否符合本项目电子化采购流程要求。</w:t>
      </w:r>
      <w:r/>
    </w:p>
    <w:p>
      <w:pPr>
        <w:ind w:firstLine="480"/>
        <w:spacing w:line="360" w:lineRule="auto"/>
        <w:rPr>
          <w:sz w:val="24"/>
        </w:rPr>
      </w:pPr>
      <w:r>
        <w:rPr>
          <w:sz w:val="24"/>
          <w:lang w:bidi="ar"/>
        </w:rPr>
        <w:t xml:space="preserve">技术支持服务热线    </w:t>
      </w:r>
      <w:r>
        <w:rPr>
          <w:rFonts w:hint="eastAsia"/>
          <w:sz w:val="24"/>
          <w:lang w:bidi="ar"/>
        </w:rPr>
        <w:t xml:space="preserve">0519-85588210</w:t>
      </w:r>
      <w:r/>
    </w:p>
    <w:p>
      <w:pPr>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w:t>
      </w:r>
      <w:r>
        <w:rPr>
          <w:rFonts w:hint="eastAsia"/>
          <w:sz w:val="24"/>
          <w:lang w:bidi="ar"/>
        </w:rPr>
        <w:t xml:space="preserve">-</w:t>
      </w:r>
      <w:r>
        <w:rPr>
          <w:sz w:val="24"/>
          <w:lang w:bidi="ar"/>
        </w:rPr>
        <w:t xml:space="preserve">85588120</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办理CA认证证书</w:t>
      </w:r>
      <w:r/>
    </w:p>
    <w:p>
      <w:pPr>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rFonts w:hint="eastAsia"/>
          <w:sz w:val="24"/>
          <w:lang w:val="zh-TW" w:bidi="ar"/>
        </w:rPr>
        <w:t xml:space="preserve">“江苏省政府采购数字证书CA及电子签章办理指南”，</w:t>
      </w:r>
      <w:r>
        <w:rPr>
          <w:sz w:val="24"/>
          <w:lang w:bidi="ar"/>
        </w:rPr>
        <w:t xml:space="preserve">按照程序要求办理。</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注册</w:t>
      </w:r>
      <w:r/>
    </w:p>
    <w:p>
      <w:pPr>
        <w:ind w:firstLine="480"/>
        <w:spacing w:line="360" w:lineRule="auto"/>
        <w:rPr>
          <w:sz w:val="24"/>
        </w:rPr>
      </w:pPr>
      <w:r>
        <w:rPr>
          <w:sz w:val="24"/>
          <w:lang w:bidi="ar"/>
        </w:rPr>
        <w:t xml:space="preserve">供应商登录常州市政府采购</w:t>
      </w:r>
      <w:r>
        <w:rPr>
          <w:rFonts w:hint="eastAsia"/>
          <w:sz w:val="24"/>
          <w:lang w:bidi="ar"/>
        </w:rPr>
        <w:t xml:space="preserve">网“下载中心”-“苏采云”政府采购一体化平台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控件、客户端下载</w:t>
      </w:r>
      <w:r/>
    </w:p>
    <w:p>
      <w:pPr>
        <w:pStyle w:val="964"/>
        <w:ind w:firstLine="480"/>
        <w:spacing w:before="0" w:line="360" w:lineRule="auto"/>
        <w:rPr>
          <w:rFonts w:hint="eastAsia"/>
          <w:lang w:val="zh-TW"/>
        </w:rPr>
      </w:pPr>
      <w:r>
        <w:rPr>
          <w:lang w:bidi="ar"/>
        </w:rPr>
        <w:t xml:space="preserve">供应商登录常州市政府采购</w:t>
      </w:r>
      <w:r>
        <w:rPr>
          <w:rFonts w:hint="eastAsia"/>
          <w:lang w:bidi="ar"/>
        </w:rPr>
        <w:t xml:space="preserve">网“下载中心”-</w:t>
      </w:r>
      <w:r>
        <w:rPr>
          <w:rFonts w:hint="eastAsia"/>
          <w:lang w:val="zh-TW"/>
        </w:rPr>
        <w:t xml:space="preserve">政府采购管理交易系统（苏采云）CA及签章控件驱动下载相关控件及客户端。</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获取电子招标文件</w:t>
      </w:r>
      <w:r/>
    </w:p>
    <w:p>
      <w:pPr>
        <w:ind w:firstLine="480"/>
        <w:spacing w:line="360" w:lineRule="auto"/>
        <w:rPr>
          <w:sz w:val="24"/>
          <w:lang w:bidi="ar"/>
        </w:rPr>
      </w:pPr>
      <w:r>
        <w:rPr>
          <w:sz w:val="24"/>
          <w:lang w:bidi="ar"/>
        </w:rPr>
        <w:t xml:space="preserve">供应商持CA数字认证证书登录</w:t>
      </w:r>
      <w:r>
        <w:rPr>
          <w:rFonts w:hint="eastAsia"/>
          <w:sz w:val="24"/>
          <w:lang w:bidi="ar"/>
        </w:rPr>
        <w:t xml:space="preserve">“苏采云”政府采购一体化平台</w:t>
      </w:r>
      <w:r>
        <w:rPr>
          <w:sz w:val="24"/>
          <w:lang w:bidi="ar"/>
        </w:rPr>
        <w:t xml:space="preserve">获取电子招标文件。未在规定期限内通过</w:t>
      </w:r>
      <w:r>
        <w:rPr>
          <w:rFonts w:hint="eastAsia"/>
          <w:sz w:val="24"/>
          <w:lang w:bidi="ar"/>
        </w:rPr>
        <w:t xml:space="preserve">“苏采云”政府采购一体化平台</w:t>
      </w:r>
      <w:r>
        <w:rPr>
          <w:sz w:val="24"/>
          <w:lang w:bidi="ar"/>
        </w:rPr>
        <w:t xml:space="preserve">获取招标文件的</w:t>
      </w:r>
      <w:r>
        <w:rPr>
          <w:b/>
          <w:sz w:val="24"/>
          <w:lang w:bidi="ar"/>
        </w:rPr>
        <w:t xml:space="preserve">投标无效</w:t>
      </w:r>
      <w:r>
        <w:rPr>
          <w:sz w:val="24"/>
          <w:lang w:bidi="ar"/>
        </w:rPr>
        <w:t xml:space="preserve">。</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编制电子投标文件</w:t>
      </w:r>
      <w:r/>
    </w:p>
    <w:p>
      <w:pPr>
        <w:ind w:firstLine="480"/>
        <w:spacing w:line="360" w:lineRule="auto"/>
        <w:rPr>
          <w:sz w:val="24"/>
          <w:lang w:bidi="ar"/>
        </w:rPr>
      </w:pPr>
      <w:r>
        <w:rPr>
          <w:rFonts w:hint="eastAsia"/>
          <w:sz w:val="24"/>
          <w:lang w:val="zh-TW" w:bidi="ar"/>
        </w:rPr>
        <w:t xml:space="preserve">按照“苏采云”政府采购一体化平台 （供应商）操作手册制作</w:t>
      </w:r>
      <w:r>
        <w:rPr>
          <w:sz w:val="24"/>
          <w:lang w:bidi="ar"/>
        </w:rPr>
        <w:t xml:space="preserve">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提交电子投标文件</w:t>
      </w:r>
      <w:r/>
    </w:p>
    <w:p>
      <w:pPr>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“苏采云”政府采购一体化平台</w:t>
      </w:r>
      <w:r>
        <w:rPr>
          <w:sz w:val="24"/>
          <w:lang w:bidi="ar"/>
        </w:rPr>
        <w:t xml:space="preserve">提交电子投标文件，上传电子投标文件过程中请保持与互联网的连接畅通。</w:t>
      </w:r>
      <w:r/>
    </w:p>
    <w:p>
      <w:pPr>
        <w:numPr>
          <w:ilvl w:val="1"/>
          <w:numId w:val="8"/>
        </w:numPr>
        <w:ind w:left="933"/>
        <w:spacing w:line="360" w:lineRule="auto"/>
        <w:tabs>
          <w:tab w:val="left" w:pos="0" w:leader="none"/>
        </w:tabs>
        <w:rPr>
          <w:rFonts w:hint="eastAsia"/>
          <w:sz w:val="24"/>
          <w:lang w:val="zh-TW" w:eastAsia="zh-TW" w:bidi="ar"/>
        </w:rPr>
      </w:pPr>
      <w:r>
        <w:rPr>
          <w:rFonts w:hint="eastAsia"/>
          <w:sz w:val="24"/>
          <w:lang w:val="zh-TW" w:bidi="ar"/>
        </w:rPr>
        <w:t xml:space="preserve">电子开标</w:t>
      </w:r>
      <w:r/>
    </w:p>
    <w:p>
      <w:pPr>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“苏采云”政府采购一体化平台</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p>
    <w:p>
      <w:pPr>
        <w:numPr>
          <w:ilvl w:val="1"/>
          <w:numId w:val="8"/>
        </w:numPr>
        <w:ind w:left="933"/>
        <w:spacing w:line="360" w:lineRule="auto"/>
        <w:tabs>
          <w:tab w:val="left" w:pos="0" w:leader="none"/>
        </w:tabs>
        <w:rPr>
          <w:rFonts w:hint="eastAsia"/>
          <w:sz w:val="24"/>
          <w:lang w:val="zh-TW" w:bidi="ar"/>
        </w:rPr>
      </w:pPr>
      <w:r>
        <w:rPr>
          <w:rFonts w:hint="eastAsia"/>
          <w:sz w:val="24"/>
          <w:lang w:val="zh-TW" w:bidi="ar"/>
        </w:rPr>
        <w:t xml:space="preserve">注意事项</w:t>
      </w:r>
      <w:r/>
    </w:p>
    <w:p>
      <w:pPr>
        <w:ind w:firstLine="480"/>
        <w:spacing w:line="360" w:lineRule="auto"/>
        <w:rPr>
          <w:rFonts w:ascii="宋体" w:hAnsi="宋体"/>
          <w:sz w:val="24"/>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numPr>
          <w:ilvl w:val="0"/>
          <w:numId w:val="8"/>
        </w:numPr>
        <w:ind w:left="850"/>
        <w:spacing w:line="360" w:lineRule="auto"/>
        <w:tabs>
          <w:tab w:val="left" w:pos="0" w:leader="none"/>
        </w:tabs>
        <w:rPr>
          <w:sz w:val="24"/>
          <w:lang w:val="zh-TW"/>
        </w:rPr>
      </w:pPr>
      <w:r>
        <w:rPr>
          <w:rFonts w:hint="eastAsia"/>
          <w:sz w:val="24"/>
          <w:lang w:val="zh-TW"/>
        </w:rPr>
        <w:t xml:space="preserve">关于常州市中小企业政府采购信用融资：</w:t>
      </w:r>
      <w:r/>
    </w:p>
    <w:p>
      <w:pPr>
        <w:ind w:firstLine="480"/>
        <w:spacing w:line="360" w:lineRule="auto"/>
        <w:rPr>
          <w:rFonts w:hint="eastAsia"/>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lang w:bidi="ar"/>
        </w:rPr>
        <w:t xml:space="preserve">。</w:t>
      </w:r>
      <w:r/>
    </w:p>
    <w:p>
      <w:pPr>
        <w:pStyle w:val="935"/>
        <w:jc w:val="left"/>
        <w:spacing w:before="0" w:line="360" w:lineRule="auto"/>
        <w:rPr>
          <w:rFonts w:ascii="Times New Roman" w:hAnsi="Times New Roman" w:eastAsia="宋体"/>
          <w:sz w:val="24"/>
          <w:szCs w:val="24"/>
        </w:rPr>
      </w:pPr>
      <w:r/>
      <w:bookmarkStart w:id="26" w:name="_Toc35393627"/>
      <w:r/>
      <w:bookmarkStart w:id="27" w:name="_Toc28359008"/>
      <w:r/>
      <w:bookmarkStart w:id="28" w:name="_Toc28359085"/>
      <w:r/>
      <w:bookmarkStart w:id="29" w:name="_Toc35393796"/>
      <w:r>
        <w:rPr>
          <w:rFonts w:ascii="Times New Roman" w:hAnsi="Times New Roman" w:eastAsia="宋体"/>
          <w:sz w:val="24"/>
          <w:szCs w:val="24"/>
        </w:rPr>
        <w:t xml:space="preserve">七、对本次招标提出询问，请按以下方式联系。</w:t>
      </w:r>
      <w:bookmarkEnd w:id="26"/>
      <w:r/>
      <w:bookmarkEnd w:id="27"/>
      <w:r/>
      <w:bookmarkEnd w:id="28"/>
      <w:r/>
      <w:bookmarkEnd w:id="29"/>
      <w:r/>
      <w:r/>
    </w:p>
    <w:p>
      <w:pPr>
        <w:ind w:left="1080" w:hanging="301"/>
        <w:jc w:val="left"/>
        <w:spacing w:line="360" w:lineRule="auto"/>
        <w:rPr>
          <w:b/>
          <w:sz w:val="24"/>
        </w:rPr>
      </w:pPr>
      <w:r>
        <w:rPr>
          <w:b/>
          <w:sz w:val="24"/>
        </w:rPr>
        <w:t xml:space="preserve">1.采购人信息</w:t>
      </w:r>
      <w:r/>
    </w:p>
    <w:p>
      <w:pPr>
        <w:ind w:left="1079" w:hanging="300"/>
        <w:jc w:val="left"/>
        <w:spacing w:line="360" w:lineRule="auto"/>
        <w:rPr>
          <w:sz w:val="24"/>
        </w:rPr>
      </w:pPr>
      <w:r/>
      <w:bookmarkStart w:id="30" w:name="_Toc28359086"/>
      <w:r/>
      <w:bookmarkStart w:id="31" w:name="_Toc28359009"/>
      <w:r>
        <w:rPr>
          <w:rFonts w:hint="eastAsia"/>
          <w:sz w:val="24"/>
        </w:rPr>
        <w:t xml:space="preserve">单位</w:t>
      </w:r>
      <w:r>
        <w:rPr>
          <w:sz w:val="24"/>
        </w:rPr>
        <w:t xml:space="preserve">名称：</w:t>
      </w:r>
      <w:r>
        <w:rPr>
          <w:rFonts w:hint="eastAsia"/>
          <w:sz w:val="24"/>
          <w:u w:val="single"/>
        </w:rPr>
        <w:t xml:space="preserve">常州市武进区西湖街道办事处</w:t>
      </w:r>
      <w:r>
        <w:rPr>
          <w:sz w:val="24"/>
        </w:rPr>
        <w:t xml:space="preserve"> </w:t>
      </w:r>
      <w:r/>
    </w:p>
    <w:p>
      <w:pPr>
        <w:ind w:left="1079" w:hanging="300"/>
        <w:jc w:val="left"/>
        <w:spacing w:line="360" w:lineRule="auto"/>
        <w:rPr>
          <w:sz w:val="24"/>
        </w:rPr>
      </w:pPr>
      <w:r>
        <w:rPr>
          <w:rFonts w:hint="eastAsia"/>
          <w:sz w:val="24"/>
        </w:rPr>
        <w:t xml:space="preserve">单位</w:t>
      </w:r>
      <w:r>
        <w:rPr>
          <w:sz w:val="24"/>
        </w:rPr>
        <w:t xml:space="preserve">地址：</w:t>
      </w:r>
      <w:r>
        <w:rPr>
          <w:rFonts w:hint="eastAsia"/>
          <w:sz w:val="24"/>
          <w:u w:val="single"/>
        </w:rPr>
        <w:t xml:space="preserve">常州市武进区经发区稻香路2号</w:t>
      </w:r>
      <w:r/>
    </w:p>
    <w:p>
      <w:pPr>
        <w:ind w:left="1079" w:hanging="300"/>
        <w:jc w:val="left"/>
        <w:spacing w:line="360" w:lineRule="auto"/>
        <w:rPr>
          <w:rFonts w:hint="eastAsia"/>
          <w:sz w:val="24"/>
          <w:u w:val="single"/>
        </w:rPr>
      </w:pPr>
      <w:r>
        <w:rPr>
          <w:sz w:val="24"/>
        </w:rPr>
        <w:t xml:space="preserve">联系</w:t>
      </w:r>
      <w:r>
        <w:rPr>
          <w:rFonts w:hint="eastAsia"/>
          <w:sz w:val="24"/>
        </w:rPr>
        <w:t xml:space="preserve">人</w:t>
      </w:r>
      <w:r>
        <w:rPr>
          <w:sz w:val="24"/>
        </w:rPr>
        <w:t xml:space="preserve">：</w:t>
      </w:r>
      <w:r>
        <w:rPr>
          <w:rFonts w:hint="eastAsia"/>
          <w:sz w:val="24"/>
          <w:u w:val="single"/>
        </w:rPr>
        <w:t xml:space="preserve">王工 </w:t>
      </w:r>
      <w:r/>
    </w:p>
    <w:p>
      <w:pPr>
        <w:ind w:left="1079" w:hanging="300"/>
        <w:jc w:val="left"/>
        <w:spacing w:line="360" w:lineRule="auto"/>
        <w:rPr>
          <w:sz w:val="24"/>
          <w:u w:val="single"/>
        </w:rPr>
      </w:pPr>
      <w:r>
        <w:rPr>
          <w:rFonts w:hint="eastAsia"/>
          <w:sz w:val="24"/>
        </w:rPr>
        <w:t xml:space="preserve">联系电话：</w:t>
      </w:r>
      <w:r>
        <w:rPr>
          <w:rFonts w:hint="eastAsia"/>
          <w:sz w:val="24"/>
          <w:u w:val="single"/>
        </w:rPr>
        <w:t xml:space="preserve">0519-86361025</w:t>
      </w:r>
      <w:r/>
    </w:p>
    <w:p>
      <w:pPr>
        <w:ind w:left="1078" w:hanging="299"/>
        <w:jc w:val="left"/>
        <w:spacing w:line="360" w:lineRule="auto"/>
        <w:rPr>
          <w:b/>
          <w:sz w:val="24"/>
        </w:rPr>
      </w:pPr>
      <w:r>
        <w:rPr>
          <w:b/>
          <w:sz w:val="24"/>
        </w:rPr>
        <w:t xml:space="preserve">2.采购代理机构信息</w:t>
      </w:r>
      <w:bookmarkEnd w:id="30"/>
      <w:r/>
      <w:bookmarkEnd w:id="31"/>
      <w:r/>
      <w:r/>
    </w:p>
    <w:p>
      <w:pPr>
        <w:ind w:left="1077" w:hanging="298"/>
        <w:jc w:val="left"/>
        <w:spacing w:line="360" w:lineRule="auto"/>
        <w:rPr>
          <w:sz w:val="24"/>
        </w:rPr>
      </w:pPr>
      <w:r/>
      <w:bookmarkStart w:id="32" w:name="_Toc28359087"/>
      <w:r/>
      <w:bookmarkStart w:id="33" w:name="_Toc28359010"/>
      <w:r>
        <w:rPr>
          <w:rFonts w:hint="eastAsia"/>
          <w:sz w:val="24"/>
        </w:rPr>
        <w:t xml:space="preserve">单位</w:t>
      </w:r>
      <w:r>
        <w:rPr>
          <w:sz w:val="24"/>
        </w:rPr>
        <w:t xml:space="preserve">名称：</w:t>
      </w:r>
      <w:r>
        <w:rPr>
          <w:rFonts w:hint="eastAsia"/>
          <w:sz w:val="24"/>
          <w:u w:val="single"/>
        </w:rPr>
        <w:t xml:space="preserve">常州中平招投标咨询服务有限公司</w:t>
      </w:r>
      <w:r/>
    </w:p>
    <w:p>
      <w:pPr>
        <w:ind w:left="1077" w:hanging="298"/>
        <w:jc w:val="left"/>
        <w:spacing w:line="360" w:lineRule="auto"/>
        <w:rPr>
          <w:sz w:val="24"/>
        </w:rPr>
      </w:pPr>
      <w:r>
        <w:rPr>
          <w:rFonts w:hint="eastAsia"/>
          <w:sz w:val="24"/>
        </w:rPr>
        <w:t xml:space="preserve">单位</w:t>
      </w:r>
      <w:r>
        <w:rPr>
          <w:sz w:val="24"/>
        </w:rPr>
        <w:t xml:space="preserve">地址：</w:t>
      </w:r>
      <w:r>
        <w:rPr>
          <w:rFonts w:hint="eastAsia"/>
          <w:sz w:val="24"/>
          <w:u w:val="single"/>
        </w:rPr>
        <w:t xml:space="preserve">常州市武进区紫廷名苑商铺1号二楼</w:t>
      </w:r>
      <w:r/>
    </w:p>
    <w:p>
      <w:pPr>
        <w:ind w:left="1077" w:hanging="298"/>
        <w:jc w:val="left"/>
        <w:spacing w:line="360" w:lineRule="auto"/>
        <w:rPr>
          <w:sz w:val="24"/>
        </w:rPr>
      </w:pPr>
      <w:r>
        <w:rPr>
          <w:sz w:val="24"/>
        </w:rPr>
        <w:t xml:space="preserve">联系</w:t>
      </w:r>
      <w:r>
        <w:rPr>
          <w:rFonts w:hint="eastAsia"/>
          <w:sz w:val="24"/>
        </w:rPr>
        <w:t xml:space="preserve">人</w:t>
      </w:r>
      <w:r>
        <w:rPr>
          <w:sz w:val="24"/>
        </w:rPr>
        <w:t xml:space="preserve">：</w:t>
      </w:r>
      <w:r>
        <w:rPr>
          <w:rFonts w:hint="eastAsia"/>
          <w:sz w:val="24"/>
          <w:u w:val="single"/>
        </w:rPr>
        <w:t xml:space="preserve">李工</w:t>
      </w:r>
      <w:r/>
    </w:p>
    <w:p>
      <w:pPr>
        <w:ind w:left="1077" w:hanging="298"/>
        <w:jc w:val="left"/>
        <w:spacing w:line="360" w:lineRule="auto"/>
        <w:rPr>
          <w:sz w:val="24"/>
          <w:u w:val="single"/>
        </w:rPr>
      </w:pPr>
      <w:r>
        <w:rPr>
          <w:rFonts w:hint="eastAsia"/>
          <w:sz w:val="24"/>
        </w:rPr>
        <w:t xml:space="preserve">联系电话：</w:t>
      </w:r>
      <w:r>
        <w:rPr>
          <w:rFonts w:hint="eastAsia"/>
          <w:sz w:val="24"/>
          <w:u w:val="single"/>
        </w:rPr>
        <w:t xml:space="preserve">0519-83868385转814</w:t>
      </w:r>
      <w:r/>
    </w:p>
    <w:p>
      <w:pPr>
        <w:ind w:left="1078" w:hanging="299"/>
        <w:spacing w:line="360" w:lineRule="auto"/>
        <w:rPr>
          <w:b/>
          <w:sz w:val="24"/>
          <w:u w:val="single"/>
        </w:rPr>
      </w:pPr>
      <w:r>
        <w:rPr>
          <w:b/>
          <w:sz w:val="24"/>
        </w:rPr>
        <w:t xml:space="preserve">3.项目联系方式</w:t>
      </w:r>
      <w:bookmarkEnd w:id="32"/>
      <w:r/>
      <w:bookmarkEnd w:id="33"/>
      <w:r/>
      <w:r/>
    </w:p>
    <w:p>
      <w:pPr>
        <w:ind w:left="1077" w:hanging="298"/>
        <w:spacing w:line="360" w:lineRule="auto"/>
        <w:rPr>
          <w:rFonts w:hint="eastAsia"/>
          <w:sz w:val="24"/>
          <w:u w:val="single"/>
        </w:rPr>
      </w:pPr>
      <w:r>
        <w:rPr>
          <w:sz w:val="24"/>
        </w:rPr>
        <w:t xml:space="preserve">项目联系人：</w:t>
      </w:r>
      <w:r>
        <w:rPr>
          <w:rFonts w:hint="eastAsia"/>
          <w:sz w:val="24"/>
          <w:u w:val="single"/>
        </w:rPr>
        <w:t xml:space="preserve">李</w:t>
      </w:r>
      <w:r>
        <w:rPr>
          <w:sz w:val="24"/>
          <w:u w:val="single"/>
        </w:rPr>
        <w:t xml:space="preserve">工</w:t>
      </w:r>
      <w:r>
        <w:rPr>
          <w:rFonts w:hint="eastAsia"/>
          <w:sz w:val="24"/>
          <w:u w:val="single"/>
        </w:rPr>
        <w:t xml:space="preserve"> </w:t>
      </w:r>
      <w:r/>
    </w:p>
    <w:p>
      <w:pPr>
        <w:ind w:firstLine="720"/>
        <w:spacing w:line="360" w:lineRule="auto"/>
        <w:rPr>
          <w:rFonts w:hint="eastAsia"/>
          <w:sz w:val="24"/>
          <w:u w:val="single"/>
        </w:rPr>
      </w:pPr>
      <w:r>
        <w:rPr>
          <w:sz w:val="24"/>
          <w:szCs w:val="20"/>
        </w:rPr>
        <w:t xml:space="preserve">电      话：</w:t>
      </w:r>
      <w:r>
        <w:rPr>
          <w:rFonts w:hint="eastAsia"/>
          <w:sz w:val="24"/>
          <w:u w:val="single"/>
        </w:rPr>
        <w:t xml:space="preserve">0519-83868385转814</w:t>
      </w:r>
      <w:r/>
    </w:p>
    <w:p>
      <w:pPr>
        <w:spacing w:line="360" w:lineRule="auto"/>
        <w:rPr>
          <w:b/>
          <w:sz w:val="32"/>
          <w:szCs w:val="32"/>
        </w:rPr>
        <w:outlineLvl w:val="0"/>
      </w:pPr>
      <w:r>
        <w:rPr>
          <w:sz w:val="24"/>
        </w:rPr>
        <w:br w:type="page" w:clear="all"/>
      </w:r>
      <w:bookmarkStart w:id="34" w:name="_Toc265228423"/>
      <w:r/>
      <w:bookmarkStart w:id="35" w:name="_Toc99301420"/>
      <w:r/>
      <w:bookmarkStart w:id="36" w:name="_Toc512937850"/>
      <w:r/>
      <w:bookmarkStart w:id="37" w:name="_Toc305158854"/>
      <w:r/>
      <w:bookmarkStart w:id="38" w:name="_Toc195842950"/>
      <w:r/>
      <w:bookmarkStart w:id="39" w:name="_Toc264969275"/>
      <w:r/>
      <w:bookmarkStart w:id="40" w:name="_Toc150774783"/>
      <w:r/>
      <w:bookmarkStart w:id="41" w:name="_Toc353825548"/>
      <w:r/>
      <w:bookmarkStart w:id="42" w:name="_Toc353873938"/>
      <w:r/>
      <w:bookmarkStart w:id="43" w:name="_Toc305158928"/>
      <w:r/>
      <w:bookmarkStart w:id="44" w:name="_Toc127151777"/>
      <w:r/>
      <w:bookmarkStart w:id="45" w:name="_Toc226965856"/>
      <w:r/>
      <w:bookmarkStart w:id="46" w:name="_Toc127161488"/>
      <w:r>
        <w:rPr>
          <w:b/>
          <w:sz w:val="36"/>
          <w:szCs w:val="36"/>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935"/>
        <w:spacing w:before="0" w:line="360" w:lineRule="auto"/>
        <w:tabs>
          <w:tab w:val="center" w:pos="4592" w:leader="none"/>
          <w:tab w:val="left" w:pos="7860" w:leader="none"/>
        </w:tabs>
        <w:rPr>
          <w:rFonts w:ascii="Times New Roman" w:hAnsi="Times New Roman" w:eastAsia="宋体"/>
          <w:sz w:val="28"/>
        </w:rPr>
      </w:pPr>
      <w:r/>
      <w:bookmarkStart w:id="47" w:name="_Toc151193689"/>
      <w:r/>
      <w:bookmarkStart w:id="48" w:name="_Toc164229214"/>
      <w:r/>
      <w:bookmarkStart w:id="49" w:name="_Toc520356144"/>
      <w:r/>
      <w:bookmarkStart w:id="50" w:name="_Toc151193617"/>
      <w:r/>
      <w:bookmarkStart w:id="51" w:name="_Toc150774619"/>
      <w:r/>
      <w:bookmarkStart w:id="52" w:name="_Toc127161433"/>
      <w:r/>
      <w:bookmarkStart w:id="53" w:name="_Toc164608788"/>
      <w:r/>
      <w:bookmarkStart w:id="54" w:name="_Toc150774724"/>
      <w:r/>
      <w:bookmarkStart w:id="55" w:name="_Toc195842884"/>
      <w:r/>
      <w:bookmarkStart w:id="56" w:name="_Toc164608633"/>
      <w:r/>
      <w:bookmarkStart w:id="57" w:name="_Toc151193907"/>
      <w:r/>
      <w:bookmarkStart w:id="58" w:name="_Toc127151720"/>
      <w:r/>
      <w:bookmarkStart w:id="59" w:name="_Toc127151519"/>
      <w:r/>
      <w:bookmarkStart w:id="60" w:name="_Toc142311021"/>
      <w:r/>
      <w:bookmarkStart w:id="61" w:name="_Toc164351613"/>
      <w:r/>
      <w:bookmarkStart w:id="62" w:name="_Toc150480757"/>
      <w:r/>
      <w:bookmarkStart w:id="63" w:name="_Toc226309763"/>
      <w:r/>
      <w:bookmarkStart w:id="64" w:name="_Toc151193833"/>
      <w:r/>
      <w:bookmarkStart w:id="65" w:name="_Toc149720812"/>
      <w:r/>
      <w:bookmarkStart w:id="66" w:name="_Toc151193761"/>
      <w:r/>
      <w:bookmarkStart w:id="67" w:name="_Toc164229360"/>
      <w:r/>
      <w:bookmarkStart w:id="68" w:name="_Toc226965792"/>
      <w:r/>
      <w:bookmarkStart w:id="69" w:name="_Toc151190146"/>
      <w:r/>
      <w:bookmarkStart w:id="70" w:name="_Toc150509270"/>
      <w:r/>
      <w:bookmarkStart w:id="71" w:name="_Toc226337215"/>
      <w:r/>
      <w:bookmarkStart w:id="72" w:name="_Toc226965709"/>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rFonts w:hint="eastAsia"/>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rFonts w:ascii="Wingdings 2" w:hAnsi="Wingdings 2" w:eastAsia="Wingdings 2" w:cs="Wingdings 2"/>
          <w:sz w:val="24"/>
        </w:rPr>
        <w:t xml:space="preserve">R</w:t>
      </w:r>
      <w:r>
        <w:rPr>
          <w:sz w:val="24"/>
        </w:rPr>
        <w:t xml:space="preserve">”的选项意为适用于本项目，标记“</w:t>
      </w:r>
      <w:r>
        <w:rPr>
          <w:rFonts w:ascii="Wingdings 2" w:hAnsi="Wingdings 2" w:eastAsia="Wingdings 2" w:cs="Wingdings 2"/>
          <w:sz w:val="24"/>
        </w:rPr>
        <w:t xml:space="preserve">£</w:t>
      </w:r>
      <w:r>
        <w:rPr>
          <w:sz w:val="24"/>
        </w:rPr>
        <w:t xml:space="preserve">”的选项意为不适用于本项目。</w:t>
      </w:r>
      <w:r/>
    </w:p>
    <w:tbl>
      <w:tblPr>
        <w:tblStyle w:val="76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240" w:lineRule="auto"/>
              <w:rPr>
                <w:b/>
                <w:bCs/>
                <w:sz w:val="24"/>
              </w:rPr>
            </w:pPr>
            <w:r>
              <w:rPr>
                <w:b/>
                <w:sz w:val="24"/>
              </w:rPr>
              <w:t xml:space="preserve">条款号</w:t>
            </w:r>
            <w:r/>
          </w:p>
        </w:tc>
        <w:tc>
          <w:tcPr>
            <w:tcW w:w="1701" w:type="dxa"/>
            <w:vAlign w:val="center"/>
            <w:textDirection w:val="lrTb"/>
            <w:noWrap w:val="false"/>
          </w:tcPr>
          <w:p>
            <w:pPr>
              <w:jc w:val="center"/>
              <w:spacing w:line="240" w:lineRule="auto"/>
              <w:rPr>
                <w:b/>
                <w:bCs/>
                <w:sz w:val="24"/>
              </w:rPr>
            </w:pPr>
            <w:r>
              <w:rPr>
                <w:b/>
                <w:bCs/>
                <w:sz w:val="24"/>
              </w:rPr>
              <w:t xml:space="preserve">条目</w:t>
            </w:r>
            <w:r/>
          </w:p>
        </w:tc>
        <w:tc>
          <w:tcPr>
            <w:tcW w:w="7540" w:type="dxa"/>
            <w:vAlign w:val="center"/>
            <w:textDirection w:val="lrTb"/>
            <w:noWrap w:val="false"/>
          </w:tcPr>
          <w:p>
            <w:pPr>
              <w:jc w:val="center"/>
              <w:spacing w:line="240" w:lineRule="auto"/>
              <w:rPr>
                <w:b/>
                <w:bCs/>
                <w:sz w:val="24"/>
              </w:rPr>
            </w:pPr>
            <w:r>
              <w:rPr>
                <w:b/>
                <w:bCs/>
                <w:sz w:val="24"/>
              </w:rPr>
              <w:t xml:space="preserve">内容</w:t>
            </w:r>
            <w:r/>
          </w:p>
        </w:tc>
      </w:tr>
      <w:tr>
        <w:trPr>
          <w:jc w:val="center"/>
          <w:trHeight w:val="1275"/>
        </w:trPr>
        <w:tc>
          <w:tcPr>
            <w:tcW w:w="988" w:type="dxa"/>
            <w:vAlign w:val="center"/>
            <w:textDirection w:val="lrTb"/>
            <w:noWrap w:val="false"/>
          </w:tcPr>
          <w:p>
            <w:pPr>
              <w:jc w:val="center"/>
              <w:rPr>
                <w:sz w:val="24"/>
              </w:rPr>
            </w:pPr>
            <w:r>
              <w:rPr>
                <w:sz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rPr>
                <w:sz w:val="24"/>
              </w:rPr>
            </w:pPr>
            <w:r>
              <w:rPr>
                <w:sz w:val="24"/>
              </w:rPr>
              <w:t xml:space="preserve">项目属性：</w:t>
            </w:r>
            <w:r/>
          </w:p>
          <w:p>
            <w:pPr>
              <w:rPr>
                <w:sz w:val="24"/>
              </w:rPr>
            </w:pPr>
            <w:r>
              <w:rPr>
                <w:rFonts w:ascii="Wingdings 2" w:hAnsi="Wingdings 2" w:eastAsia="Wingdings 2" w:cs="Wingdings 2"/>
                <w:sz w:val="24"/>
              </w:rPr>
              <w:t xml:space="preserve">R</w:t>
            </w:r>
            <w:r>
              <w:rPr>
                <w:sz w:val="24"/>
              </w:rPr>
              <w:t xml:space="preserve">服务</w:t>
            </w:r>
            <w:r/>
          </w:p>
          <w:p>
            <w:pPr>
              <w:rPr>
                <w:sz w:val="24"/>
              </w:rPr>
            </w:pPr>
            <w:r>
              <w:rPr>
                <w:rFonts w:ascii="Wingdings 2" w:hAnsi="Wingdings 2" w:eastAsia="Wingdings 2" w:cs="Wingdings 2"/>
                <w:sz w:val="24"/>
              </w:rPr>
              <w:t xml:space="preserve">£</w:t>
            </w:r>
            <w:r>
              <w:rPr>
                <w:sz w:val="24"/>
              </w:rPr>
              <w:t xml:space="preserve">货物</w:t>
            </w:r>
            <w:r/>
          </w:p>
        </w:tc>
      </w:tr>
      <w:tr>
        <w:trPr>
          <w:cantSplit/>
          <w:jc w:val="center"/>
          <w:trHeight w:val="20"/>
        </w:trPr>
        <w:tc>
          <w:tcPr>
            <w:tcW w:w="988" w:type="dxa"/>
            <w:vAlign w:val="center"/>
            <w:vMerge w:val="restart"/>
            <w:textDirection w:val="lrTb"/>
            <w:noWrap w:val="false"/>
          </w:tcPr>
          <w:p>
            <w:pPr>
              <w:pStyle w:val="972"/>
              <w:jc w:val="center"/>
              <w:spacing w:line="240" w:lineRule="auto"/>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spacing w:line="240" w:lineRule="auto"/>
              <w:rPr>
                <w:sz w:val="24"/>
              </w:rPr>
            </w:pPr>
            <w:r>
              <w:rPr>
                <w:sz w:val="24"/>
              </w:rPr>
              <w:t xml:space="preserve">现场考察</w:t>
            </w:r>
            <w:r/>
          </w:p>
        </w:tc>
        <w:tc>
          <w:tcPr>
            <w:tcW w:w="7540" w:type="dxa"/>
            <w:vAlign w:val="center"/>
            <w:textDirection w:val="lrTb"/>
            <w:noWrap w:val="false"/>
          </w:tcPr>
          <w:p>
            <w:pPr>
              <w:jc w:val="left"/>
              <w:spacing w:line="240" w:lineRule="auto"/>
              <w:rPr>
                <w:sz w:val="24"/>
              </w:rPr>
            </w:pPr>
            <w:r>
              <w:rPr>
                <w:rFonts w:ascii="Wingdings 2" w:hAnsi="Wingdings 2" w:eastAsia="Wingdings 2" w:cs="Wingdings 2"/>
                <w:sz w:val="24"/>
              </w:rPr>
              <w:t xml:space="preserve">R</w:t>
            </w:r>
            <w:r>
              <w:rPr>
                <w:sz w:val="24"/>
              </w:rPr>
              <w:t xml:space="preserve">不组织</w:t>
            </w:r>
            <w:r/>
          </w:p>
          <w:p>
            <w:pPr>
              <w:jc w:val="left"/>
              <w:spacing w:line="240" w:lineRule="auto"/>
              <w:rPr>
                <w:bCs/>
                <w:sz w:val="24"/>
              </w:rPr>
            </w:pPr>
            <w:r>
              <w:rPr>
                <w:rFonts w:ascii="Wingdings 2" w:hAnsi="Wingdings 2" w:eastAsia="Wingdings 2" w:cs="Wingdings 2"/>
                <w:sz w:val="24"/>
              </w:rPr>
              <w:t xml:space="preserve">£</w:t>
            </w:r>
            <w:r>
              <w:rPr>
                <w:sz w:val="24"/>
              </w:rPr>
              <w:t xml:space="preserve">组织，考察时间：</w:t>
            </w:r>
            <w:r>
              <w:rPr>
                <w:sz w:val="24"/>
                <w:u w:val="single"/>
                <w:lang w:val="en-GB"/>
              </w:rPr>
              <w:t xml:space="preserve"> / </w:t>
            </w:r>
            <w:r>
              <w:rPr>
                <w:sz w:val="24"/>
              </w:rPr>
              <w:t xml:space="preserve">年</w:t>
            </w:r>
            <w:r>
              <w:rPr>
                <w:sz w:val="24"/>
                <w:u w:val="single"/>
                <w:lang w:val="en-GB"/>
              </w:rPr>
              <w:t xml:space="preserve"> / </w:t>
            </w:r>
            <w:r>
              <w:rPr>
                <w:sz w:val="24"/>
              </w:rPr>
              <w:t xml:space="preserve">月</w:t>
            </w:r>
            <w:r>
              <w:rPr>
                <w:sz w:val="24"/>
                <w:u w:val="single"/>
                <w:lang w:val="en-GB"/>
              </w:rPr>
              <w:t xml:space="preserve"> / </w:t>
            </w:r>
            <w:r>
              <w:rPr>
                <w:sz w:val="24"/>
              </w:rPr>
              <w:t xml:space="preserve">日</w:t>
            </w:r>
            <w:r>
              <w:rPr>
                <w:sz w:val="24"/>
                <w:u w:val="single"/>
                <w:lang w:val="en-GB"/>
              </w:rPr>
              <w:t xml:space="preserve"> / </w:t>
            </w:r>
            <w:r>
              <w:rPr>
                <w:bCs/>
                <w:sz w:val="24"/>
              </w:rPr>
              <w:t xml:space="preserve">点</w:t>
            </w:r>
            <w:r>
              <w:rPr>
                <w:sz w:val="24"/>
                <w:u w:val="single"/>
                <w:lang w:val="en-GB"/>
              </w:rPr>
              <w:t xml:space="preserve"> / </w:t>
            </w:r>
            <w:r>
              <w:rPr>
                <w:bCs/>
                <w:sz w:val="24"/>
              </w:rPr>
              <w:t xml:space="preserve">分</w:t>
            </w:r>
            <w:r/>
          </w:p>
          <w:p>
            <w:pPr>
              <w:pStyle w:val="972"/>
              <w:spacing w:line="240" w:lineRule="auto"/>
              <w:rPr>
                <w:rFonts w:ascii="Times New Roman" w:hAnsi="Times New Roman"/>
                <w:sz w:val="24"/>
                <w:szCs w:val="24"/>
              </w:rPr>
            </w:pPr>
            <w:r>
              <w:rPr>
                <w:rFonts w:ascii="Times New Roman" w:hAnsi="Times New Roman"/>
                <w:sz w:val="24"/>
              </w:rPr>
              <w:t xml:space="preserve">考察地点：</w:t>
            </w:r>
            <w:r>
              <w:rPr>
                <w:sz w:val="24"/>
                <w:u w:val="single"/>
                <w:lang w:val="en-GB"/>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972"/>
              <w:jc w:val="center"/>
              <w:spacing w:line="240" w:lineRule="auto"/>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spacing w:line="240" w:lineRule="auto"/>
              <w:rPr>
                <w:sz w:val="24"/>
              </w:rPr>
            </w:pPr>
            <w:r>
              <w:rPr>
                <w:sz w:val="24"/>
              </w:rPr>
              <w:t xml:space="preserve">开标前答疑会</w:t>
            </w:r>
            <w:r/>
          </w:p>
        </w:tc>
        <w:tc>
          <w:tcPr>
            <w:tcW w:w="7540" w:type="dxa"/>
            <w:vAlign w:val="center"/>
            <w:textDirection w:val="lrTb"/>
            <w:noWrap w:val="false"/>
          </w:tcPr>
          <w:p>
            <w:pPr>
              <w:jc w:val="left"/>
              <w:spacing w:line="240" w:lineRule="auto"/>
              <w:rPr>
                <w:sz w:val="24"/>
              </w:rPr>
            </w:pPr>
            <w:r>
              <w:rPr>
                <w:rFonts w:ascii="Wingdings 2" w:hAnsi="Wingdings 2" w:eastAsia="Wingdings 2" w:cs="Wingdings 2"/>
                <w:sz w:val="24"/>
              </w:rPr>
              <w:t xml:space="preserve">R</w:t>
            </w:r>
            <w:r>
              <w:rPr>
                <w:sz w:val="24"/>
              </w:rPr>
              <w:t xml:space="preserve">不召开</w:t>
            </w:r>
            <w:r/>
          </w:p>
          <w:p>
            <w:pPr>
              <w:jc w:val="left"/>
              <w:spacing w:line="240" w:lineRule="auto"/>
              <w:rPr>
                <w:sz w:val="24"/>
              </w:rPr>
            </w:pPr>
            <w:r>
              <w:rPr>
                <w:rFonts w:ascii="Wingdings 2" w:hAnsi="Wingdings 2" w:eastAsia="Wingdings 2" w:cs="Wingdings 2"/>
                <w:sz w:val="24"/>
              </w:rPr>
              <w:t xml:space="preserve">£</w:t>
            </w:r>
            <w:r>
              <w:rPr>
                <w:sz w:val="24"/>
              </w:rPr>
              <w:t xml:space="preserve">召开，召开时间：</w:t>
            </w:r>
            <w:r>
              <w:rPr>
                <w:sz w:val="24"/>
                <w:u w:val="single"/>
                <w:lang w:val="en-GB"/>
              </w:rPr>
              <w:t xml:space="preserve"> / </w:t>
            </w:r>
            <w:r>
              <w:rPr>
                <w:sz w:val="24"/>
              </w:rPr>
              <w:t xml:space="preserve">年</w:t>
            </w:r>
            <w:r>
              <w:rPr>
                <w:sz w:val="24"/>
                <w:u w:val="single"/>
                <w:lang w:val="en-GB"/>
              </w:rPr>
              <w:t xml:space="preserve"> / </w:t>
            </w:r>
            <w:r>
              <w:rPr>
                <w:sz w:val="24"/>
              </w:rPr>
              <w:t xml:space="preserve">月</w:t>
            </w:r>
            <w:r>
              <w:rPr>
                <w:sz w:val="24"/>
                <w:u w:val="single"/>
                <w:lang w:val="en-GB"/>
              </w:rPr>
              <w:t xml:space="preserve"> / </w:t>
            </w:r>
            <w:r>
              <w:rPr>
                <w:sz w:val="24"/>
              </w:rPr>
              <w:t xml:space="preserve">日</w:t>
            </w:r>
            <w:r>
              <w:rPr>
                <w:sz w:val="24"/>
                <w:u w:val="single"/>
                <w:lang w:val="en-GB"/>
              </w:rPr>
              <w:t xml:space="preserve"> / </w:t>
            </w:r>
            <w:r>
              <w:rPr>
                <w:bCs/>
                <w:sz w:val="24"/>
              </w:rPr>
              <w:t xml:space="preserve">点</w:t>
            </w:r>
            <w:r>
              <w:rPr>
                <w:sz w:val="24"/>
                <w:u w:val="single"/>
                <w:lang w:val="en-GB"/>
              </w:rPr>
              <w:t xml:space="preserve"> / </w:t>
            </w:r>
            <w:r>
              <w:rPr>
                <w:bCs/>
                <w:sz w:val="24"/>
              </w:rPr>
              <w:t xml:space="preserve">分</w:t>
            </w:r>
            <w:r/>
          </w:p>
          <w:p>
            <w:pPr>
              <w:jc w:val="left"/>
              <w:spacing w:line="240" w:lineRule="auto"/>
              <w:rPr>
                <w:sz w:val="24"/>
              </w:rPr>
            </w:pPr>
            <w:r>
              <w:rPr>
                <w:sz w:val="24"/>
              </w:rPr>
              <w:t xml:space="preserve">召开地点：</w:t>
            </w:r>
            <w:r>
              <w:rPr>
                <w:sz w:val="24"/>
                <w:u w:val="single"/>
                <w:lang w:val="en-GB"/>
              </w:rPr>
              <w:t xml:space="preserve">  /  </w:t>
            </w:r>
            <w:r>
              <w:rPr>
                <w:rFonts w:hint="eastAsia"/>
                <w:sz w:val="24"/>
              </w:rPr>
              <w:t xml:space="preserve">。</w:t>
            </w:r>
            <w:r/>
          </w:p>
        </w:tc>
      </w:tr>
      <w:tr>
        <w:trPr>
          <w:jc w:val="center"/>
          <w:trHeight w:val="760"/>
        </w:trPr>
        <w:tc>
          <w:tcPr>
            <w:tcW w:w="988" w:type="dxa"/>
            <w:vAlign w:val="center"/>
            <w:textDirection w:val="lrTb"/>
            <w:noWrap w:val="false"/>
          </w:tcPr>
          <w:p>
            <w:pPr>
              <w:pStyle w:val="972"/>
              <w:jc w:val="center"/>
              <w:spacing w:line="240" w:lineRule="auto"/>
              <w:rPr>
                <w:rFonts w:ascii="Times New Roman" w:hAnsi="Times New Roman"/>
                <w:sz w:val="24"/>
                <w:szCs w:val="24"/>
              </w:rPr>
            </w:pPr>
            <w:r>
              <w:rPr>
                <w:rFonts w:ascii="Times New Roman" w:hAnsi="Times New Roman"/>
                <w:sz w:val="24"/>
                <w:szCs w:val="24"/>
              </w:rPr>
              <w:t xml:space="preserve">4.1.5</w:t>
            </w:r>
            <w:r/>
          </w:p>
        </w:tc>
        <w:tc>
          <w:tcPr>
            <w:tcW w:w="1701" w:type="dxa"/>
            <w:vAlign w:val="center"/>
            <w:textDirection w:val="lrTb"/>
            <w:noWrap w:val="false"/>
          </w:tcPr>
          <w:p>
            <w:pPr>
              <w:jc w:val="center"/>
              <w:spacing w:line="240" w:lineRule="auto"/>
              <w:rPr>
                <w:sz w:val="24"/>
              </w:rPr>
            </w:pPr>
            <w:r>
              <w:rPr>
                <w:sz w:val="24"/>
              </w:rPr>
              <w:t xml:space="preserve">标的所属行业</w:t>
            </w:r>
            <w:r/>
          </w:p>
        </w:tc>
        <w:tc>
          <w:tcPr>
            <w:tcW w:w="7540" w:type="dxa"/>
            <w:vAlign w:val="center"/>
            <w:textDirection w:val="lrTb"/>
            <w:noWrap w:val="false"/>
          </w:tcPr>
          <w:p>
            <w:pPr>
              <w:jc w:val="left"/>
              <w:spacing w:line="240" w:lineRule="auto"/>
              <w:rPr>
                <w:rFonts w:hint="eastAsia"/>
                <w:sz w:val="24"/>
              </w:rPr>
            </w:pPr>
            <w:r>
              <w:rPr>
                <w:sz w:val="24"/>
              </w:rPr>
              <w:t xml:space="preserve">本项目采购标的对应的中小企业划分标准所属行业：</w:t>
            </w:r>
            <w:r>
              <w:rPr>
                <w:rFonts w:hint="eastAsia"/>
                <w:b/>
                <w:bCs/>
                <w:sz w:val="24"/>
                <w:u w:val="single"/>
              </w:rPr>
              <w:t xml:space="preserve">其他未列明行业</w:t>
            </w:r>
            <w:r/>
          </w:p>
        </w:tc>
      </w:tr>
      <w:tr>
        <w:trPr>
          <w:jc w:val="center"/>
          <w:trHeight w:val="1267"/>
        </w:trPr>
        <w:tc>
          <w:tcPr>
            <w:tcW w:w="988" w:type="dxa"/>
            <w:vAlign w:val="center"/>
            <w:textDirection w:val="lrTb"/>
            <w:noWrap w:val="false"/>
          </w:tcPr>
          <w:p>
            <w:pPr>
              <w:pStyle w:val="972"/>
              <w:jc w:val="center"/>
              <w:spacing w:line="240" w:lineRule="auto"/>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spacing w:line="240" w:lineRule="auto"/>
              <w:rPr>
                <w:sz w:val="24"/>
              </w:rPr>
            </w:pPr>
            <w:r>
              <w:rPr>
                <w:rFonts w:hint="eastAsia"/>
                <w:sz w:val="24"/>
              </w:rPr>
              <w:t xml:space="preserve">投标报价</w:t>
            </w:r>
            <w:r/>
          </w:p>
        </w:tc>
        <w:tc>
          <w:tcPr>
            <w:tcW w:w="7540" w:type="dxa"/>
            <w:vAlign w:val="center"/>
            <w:textDirection w:val="lrTb"/>
            <w:noWrap w:val="false"/>
          </w:tcPr>
          <w:p>
            <w:pPr>
              <w:jc w:val="left"/>
              <w:spacing w:line="240" w:lineRule="auto"/>
              <w:rPr>
                <w:sz w:val="24"/>
              </w:rPr>
            </w:pPr>
            <w:r>
              <w:rPr>
                <w:rFonts w:hint="eastAsia"/>
                <w:sz w:val="24"/>
              </w:rPr>
              <w:t xml:space="preserve">投标报价的特殊规定：</w:t>
            </w:r>
            <w:r/>
          </w:p>
          <w:p>
            <w:pPr>
              <w:jc w:val="left"/>
              <w:spacing w:line="240" w:lineRule="auto"/>
              <w:rPr>
                <w:sz w:val="24"/>
              </w:rPr>
            </w:pPr>
            <w:r>
              <w:rPr>
                <w:rFonts w:ascii="Wingdings 2" w:hAnsi="Wingdings 2" w:eastAsia="Wingdings 2" w:cs="Wingdings 2"/>
                <w:sz w:val="24"/>
              </w:rPr>
              <w:t xml:space="preserve">R</w:t>
            </w:r>
            <w:r>
              <w:rPr>
                <w:sz w:val="24"/>
              </w:rPr>
              <w:t xml:space="preserve">无</w:t>
            </w:r>
            <w:r/>
          </w:p>
          <w:p>
            <w:pPr>
              <w:jc w:val="left"/>
              <w:spacing w:line="240" w:lineRule="auto"/>
              <w:rPr>
                <w:sz w:val="24"/>
              </w:rPr>
            </w:pPr>
            <w:r>
              <w:rPr>
                <w:rFonts w:ascii="Wingdings 2" w:hAnsi="Wingdings 2" w:eastAsia="Wingdings 2" w:cs="Wingdings 2"/>
                <w:sz w:val="24"/>
              </w:rPr>
              <w:t xml:space="preserve">£</w:t>
            </w:r>
            <w:r>
              <w:rPr>
                <w:sz w:val="24"/>
              </w:rPr>
              <w:t xml:space="preserve">有，具体情形：</w:t>
            </w:r>
            <w:r>
              <w:rPr>
                <w:sz w:val="24"/>
                <w:u w:val="single"/>
                <w:lang w:val="en-GB"/>
              </w:rPr>
              <w:t xml:space="preserve">  /  </w:t>
            </w:r>
            <w:r>
              <w:rPr>
                <w:sz w:val="24"/>
              </w:rPr>
              <w:t xml:space="preserve">。</w:t>
            </w:r>
            <w:r/>
          </w:p>
        </w:tc>
      </w:tr>
      <w:tr>
        <w:trPr>
          <w:jc w:val="center"/>
          <w:trHeight w:val="723"/>
        </w:trPr>
        <w:tc>
          <w:tcPr>
            <w:tcW w:w="988" w:type="dxa"/>
            <w:vAlign w:val="center"/>
            <w:textDirection w:val="lrTb"/>
            <w:noWrap w:val="false"/>
          </w:tcPr>
          <w:p>
            <w:pPr>
              <w:pStyle w:val="972"/>
              <w:jc w:val="center"/>
              <w:spacing w:line="240" w:lineRule="auto"/>
            </w:pPr>
            <w:r>
              <w:rPr>
                <w:rFonts w:ascii="Times New Roman" w:hAnsi="Times New Roman"/>
                <w:sz w:val="24"/>
                <w:szCs w:val="24"/>
              </w:rPr>
              <w:t xml:space="preserve">11</w:t>
            </w:r>
            <w:r/>
          </w:p>
        </w:tc>
        <w:tc>
          <w:tcPr>
            <w:tcW w:w="1701" w:type="dxa"/>
            <w:vAlign w:val="center"/>
            <w:textDirection w:val="lrTb"/>
            <w:noWrap w:val="false"/>
          </w:tcPr>
          <w:p>
            <w:pPr>
              <w:jc w:val="center"/>
              <w:spacing w:line="240" w:lineRule="auto"/>
              <w:rPr>
                <w:sz w:val="24"/>
              </w:rPr>
            </w:pPr>
            <w:r>
              <w:rPr>
                <w:rFonts w:hint="eastAsia"/>
                <w:sz w:val="24"/>
              </w:rPr>
              <w:t xml:space="preserve">投标保证金</w:t>
            </w:r>
            <w:r/>
          </w:p>
        </w:tc>
        <w:tc>
          <w:tcPr>
            <w:tcW w:w="7540" w:type="dxa"/>
            <w:vAlign w:val="center"/>
            <w:textDirection w:val="lrTb"/>
            <w:noWrap w:val="false"/>
          </w:tcPr>
          <w:p>
            <w:pPr>
              <w:jc w:val="left"/>
              <w:spacing w:line="240" w:lineRule="auto"/>
              <w:rPr>
                <w:sz w:val="24"/>
              </w:rPr>
            </w:pPr>
            <w:r>
              <w:rPr>
                <w:rFonts w:hint="eastAsia"/>
                <w:sz w:val="24"/>
              </w:rPr>
              <w:t xml:space="preserve">免收</w:t>
            </w:r>
            <w:r/>
          </w:p>
        </w:tc>
      </w:tr>
      <w:tr>
        <w:trPr>
          <w:jc w:val="center"/>
          <w:trHeight w:val="834"/>
        </w:trPr>
        <w:tc>
          <w:tcPr>
            <w:tcW w:w="988" w:type="dxa"/>
            <w:vAlign w:val="center"/>
            <w:textDirection w:val="lrTb"/>
            <w:noWrap w:val="false"/>
          </w:tcPr>
          <w:p>
            <w:pPr>
              <w:pStyle w:val="972"/>
              <w:jc w:val="center"/>
              <w:spacing w:line="240" w:lineRule="auto"/>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spacing w:line="240" w:lineRule="auto"/>
              <w:rPr>
                <w:sz w:val="24"/>
              </w:rPr>
            </w:pPr>
            <w:r>
              <w:rPr>
                <w:sz w:val="24"/>
              </w:rPr>
              <w:t xml:space="preserve">投标有效期</w:t>
            </w:r>
            <w:r/>
          </w:p>
        </w:tc>
        <w:tc>
          <w:tcPr>
            <w:tcW w:w="7540" w:type="dxa"/>
            <w:vAlign w:val="center"/>
            <w:textDirection w:val="lrTb"/>
            <w:noWrap w:val="false"/>
          </w:tcPr>
          <w:p>
            <w:pPr>
              <w:jc w:val="left"/>
              <w:spacing w:line="240" w:lineRule="auto"/>
              <w:rPr>
                <w:sz w:val="24"/>
              </w:rPr>
            </w:pPr>
            <w:r>
              <w:rPr>
                <w:sz w:val="24"/>
              </w:rPr>
              <w:t xml:space="preserve">自提交投标文件的截止之日起算</w:t>
            </w:r>
            <w:r>
              <w:rPr>
                <w:rFonts w:hint="eastAsia"/>
                <w:sz w:val="24"/>
                <w:u w:val="single"/>
              </w:rPr>
              <w:t xml:space="preserve">60</w:t>
            </w:r>
            <w:r>
              <w:rPr>
                <w:sz w:val="24"/>
              </w:rPr>
              <w:t xml:space="preserve">日历天。</w:t>
            </w:r>
            <w:r/>
          </w:p>
        </w:tc>
      </w:tr>
      <w:tr>
        <w:trPr>
          <w:jc w:val="center"/>
          <w:trHeight w:val="20"/>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24.5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rPr>
            </w:pPr>
            <w:r>
              <w:rPr>
                <w:rFonts w:ascii="Wingdings 2" w:hAnsi="Wingdings 2" w:eastAsia="Wingdings 2" w:cs="Wingdings 2"/>
                <w:sz w:val="24"/>
              </w:rPr>
              <w:t xml:space="preserve">R</w:t>
            </w:r>
            <w:r>
              <w:rPr>
                <w:sz w:val="24"/>
              </w:rPr>
              <w:t xml:space="preserve">不允许</w:t>
            </w:r>
            <w:r/>
          </w:p>
          <w:p>
            <w:pPr>
              <w:jc w:val="left"/>
              <w:rPr>
                <w:sz w:val="24"/>
              </w:rPr>
            </w:pPr>
            <w:r>
              <w:rPr>
                <w:rFonts w:ascii="Wingdings 2" w:hAnsi="Wingdings 2" w:eastAsia="Wingdings 2" w:cs="Wingdings 2"/>
                <w:sz w:val="24"/>
              </w:rPr>
              <w:t xml:space="preserve">£</w:t>
            </w:r>
            <w:r>
              <w:rPr>
                <w:sz w:val="24"/>
              </w:rPr>
              <w:t xml:space="preserve">允许，具体要求：</w:t>
            </w:r>
            <w:r/>
          </w:p>
          <w:p>
            <w:pPr>
              <w:jc w:val="left"/>
              <w:rPr>
                <w:sz w:val="24"/>
              </w:rPr>
            </w:pPr>
            <w:r>
              <w:rPr>
                <w:sz w:val="24"/>
              </w:rPr>
              <w:t xml:space="preserve">（1）可以分包履行的具体内容：</w:t>
            </w:r>
            <w:r>
              <w:rPr>
                <w:sz w:val="24"/>
                <w:u w:val="single"/>
                <w:lang w:val="en-GB"/>
              </w:rPr>
              <w:t xml:space="preserve">  /  </w:t>
            </w:r>
            <w:r>
              <w:rPr>
                <w:sz w:val="24"/>
              </w:rPr>
              <w:t xml:space="preserve">；</w:t>
            </w:r>
            <w:r/>
          </w:p>
          <w:p>
            <w:pPr>
              <w:jc w:val="left"/>
              <w:rPr>
                <w:sz w:val="24"/>
              </w:rPr>
            </w:pPr>
            <w:r>
              <w:rPr>
                <w:sz w:val="24"/>
              </w:rPr>
              <w:t xml:space="preserve">（2）允许分包的金额或者比例：</w:t>
            </w:r>
            <w:r>
              <w:rPr>
                <w:sz w:val="24"/>
                <w:u w:val="single"/>
                <w:lang w:val="en-GB"/>
              </w:rPr>
              <w:t xml:space="preserve">  /  </w:t>
            </w:r>
            <w:r>
              <w:rPr>
                <w:sz w:val="24"/>
              </w:rPr>
              <w:t xml:space="preserve">；</w:t>
            </w:r>
            <w:r/>
          </w:p>
          <w:p>
            <w:pPr>
              <w:jc w:val="left"/>
              <w:rPr>
                <w:sz w:val="24"/>
                <w:u w:val="single"/>
              </w:rPr>
            </w:pPr>
            <w:r>
              <w:rPr>
                <w:sz w:val="24"/>
              </w:rPr>
              <w:t xml:space="preserve">（3）其他要求：</w:t>
            </w:r>
            <w:r>
              <w:rPr>
                <w:sz w:val="24"/>
                <w:u w:val="single"/>
                <w:lang w:val="en-GB"/>
              </w:rPr>
              <w:t xml:space="preserve">  /  </w:t>
            </w:r>
            <w:r>
              <w:rPr>
                <w:sz w:val="24"/>
              </w:rPr>
              <w:t xml:space="preserve">。</w:t>
            </w:r>
            <w:r/>
          </w:p>
        </w:tc>
      </w:tr>
      <w:tr>
        <w:trPr>
          <w:jc w:val="center"/>
          <w:trHeight w:val="20"/>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25.1.1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投标人对招标文件及相关附件资料等如有疑问，请将疑问于2026年10月13日17:00前以书面形式递交、或发送扫描件至常州中平招投标咨询服务有限公司邮箱（zpzxcgb@163.com），并请电话告知。投标人发送扫描件的，须在开标前将原件递交或邮寄至代理机构。</w:t>
            </w:r>
            <w:r>
              <w:rPr>
                <w:sz w:val="24"/>
                <w:u w:val="single"/>
                <w:lang w:val="en-GB"/>
              </w:rPr>
              <w:t xml:space="preserve"> </w:t>
            </w:r>
            <w:r/>
          </w:p>
        </w:tc>
      </w:tr>
      <w:tr>
        <w:trPr>
          <w:jc w:val="center"/>
          <w:trHeight w:val="20"/>
        </w:trPr>
        <w:tc>
          <w:tcPr>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25.3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spacing w:after="0"/>
              <w:rPr>
                <w:sz w:val="24"/>
              </w:rPr>
            </w:pPr>
            <w:r>
              <w:rPr>
                <w:rFonts w:hint="eastAsia" w:ascii="Times New Roman" w:hAnsi="Times New Roman" w:cs="宋体"/>
                <w:sz w:val="24"/>
                <w:lang w:bidi="ar"/>
              </w:rPr>
              <w:t xml:space="preserve">联系部门：</w:t>
            </w:r>
            <w:r>
              <w:rPr>
                <w:rFonts w:hint="eastAsia" w:ascii="Times New Roman" w:hAnsi="Times New Roman" w:cs="宋体"/>
                <w:sz w:val="24"/>
                <w:u w:val="single"/>
                <w:lang w:bidi="ar"/>
              </w:rPr>
              <w:t xml:space="preserve">常州中平招投标咨询服务有限公司采购代理部</w:t>
            </w:r>
            <w:r>
              <w:rPr>
                <w:rFonts w:hint="eastAsia" w:ascii="Times New Roman" w:hAnsi="Times New Roman" w:cs="宋体"/>
                <w:sz w:val="24"/>
                <w:lang w:bidi="ar"/>
              </w:rPr>
              <w:t xml:space="preserve">；</w:t>
            </w:r>
            <w:r/>
          </w:p>
          <w:p>
            <w:pPr>
              <w:jc w:val="left"/>
              <w:spacing w:after="0"/>
              <w:rPr>
                <w:sz w:val="24"/>
              </w:rPr>
            </w:pPr>
            <w:r>
              <w:rPr>
                <w:rFonts w:hint="eastAsia" w:ascii="Times New Roman" w:hAnsi="Times New Roman" w:cs="宋体"/>
                <w:sz w:val="24"/>
                <w:lang w:bidi="ar"/>
              </w:rPr>
              <w:t xml:space="preserve">联系电话：</w:t>
            </w:r>
            <w:r>
              <w:rPr>
                <w:rFonts w:ascii="Times New Roman" w:hAnsi="Times New Roman" w:cs="Times New Roman"/>
                <w:sz w:val="24"/>
                <w:u w:val="single"/>
                <w:lang w:bidi="ar"/>
              </w:rPr>
              <w:t xml:space="preserve">0519-83868385</w:t>
            </w:r>
            <w:r>
              <w:rPr>
                <w:rFonts w:hint="eastAsia" w:ascii="Times New Roman" w:hAnsi="Times New Roman" w:cs="宋体"/>
                <w:sz w:val="24"/>
                <w:u w:val="single"/>
                <w:lang w:bidi="ar"/>
              </w:rPr>
              <w:t xml:space="preserve">转</w:t>
            </w:r>
            <w:r>
              <w:rPr>
                <w:rFonts w:ascii="Times New Roman" w:hAnsi="Times New Roman" w:cs="Times New Roman"/>
                <w:sz w:val="24"/>
                <w:u w:val="single"/>
                <w:lang w:bidi="ar"/>
              </w:rPr>
              <w:t xml:space="preserve">814</w:t>
            </w:r>
            <w:r>
              <w:rPr>
                <w:rFonts w:hint="eastAsia" w:ascii="Times New Roman" w:hAnsi="Times New Roman" w:cs="宋体"/>
                <w:sz w:val="24"/>
                <w:lang w:bidi="ar"/>
              </w:rPr>
              <w:t xml:space="preserve">；</w:t>
            </w:r>
            <w:r/>
          </w:p>
          <w:p>
            <w:pPr>
              <w:jc w:val="left"/>
              <w:widowControl/>
              <w:rPr>
                <w:sz w:val="24"/>
              </w:rPr>
            </w:pPr>
            <w:r>
              <w:rPr>
                <w:rFonts w:hint="eastAsia" w:ascii="Times New Roman" w:hAnsi="Times New Roman" w:cs="Times New Roman"/>
                <w:sz w:val="24"/>
                <w:lang w:bidi="ar"/>
              </w:rPr>
              <w:t xml:space="preserve">通讯地址：</w:t>
            </w:r>
            <w:r>
              <w:rPr>
                <w:rFonts w:hint="eastAsia" w:ascii="Times New Roman" w:hAnsi="Times New Roman" w:cs="Times New Roman"/>
                <w:sz w:val="24"/>
                <w:u w:val="single"/>
                <w:lang w:bidi="ar"/>
              </w:rPr>
              <w:t xml:space="preserve">常州市武进区紫廷名苑商铺</w:t>
            </w:r>
            <w:r>
              <w:rPr>
                <w:rFonts w:ascii="Times New Roman" w:hAnsi="Times New Roman" w:cs="Times New Roman"/>
                <w:sz w:val="24"/>
                <w:u w:val="single"/>
                <w:lang w:bidi="ar"/>
              </w:rPr>
              <w:t xml:space="preserve">1</w:t>
            </w:r>
            <w:r>
              <w:rPr>
                <w:rFonts w:hint="eastAsia" w:ascii="Times New Roman" w:hAnsi="Times New Roman" w:cs="Times New Roman"/>
                <w:sz w:val="24"/>
                <w:u w:val="single"/>
                <w:lang w:bidi="ar"/>
              </w:rPr>
              <w:t xml:space="preserve">号二楼</w:t>
            </w:r>
            <w:r>
              <w:rPr>
                <w:rFonts w:hint="eastAsia" w:ascii="Times New Roman" w:hAnsi="Times New Roman" w:cs="Times New Roman"/>
                <w:sz w:val="24"/>
                <w:lang w:bidi="ar"/>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t xml:space="preserve">26.1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rPr>
            </w:pPr>
            <w:r>
              <w:rPr>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sz w:val="24"/>
              </w:rPr>
            </w:pPr>
            <w:r>
              <w:rPr>
                <w:sz w:val="24"/>
              </w:rPr>
              <w:t xml:space="preserve">收费对象：</w:t>
            </w:r>
            <w:r/>
          </w:p>
          <w:p>
            <w:pPr>
              <w:jc w:val="left"/>
              <w:rPr>
                <w:sz w:val="24"/>
              </w:rPr>
            </w:pPr>
            <w:r>
              <w:rPr>
                <w:rFonts w:ascii="Wingdings 2" w:hAnsi="Wingdings 2" w:eastAsia="Wingdings 2" w:cs="Wingdings 2"/>
              </w:rPr>
              <w:t xml:space="preserve">R</w:t>
            </w:r>
            <w:r>
              <w:rPr>
                <w:sz w:val="24"/>
              </w:rPr>
              <w:t xml:space="preserve">采购人</w:t>
            </w:r>
            <w:r/>
          </w:p>
          <w:p>
            <w:pPr>
              <w:jc w:val="left"/>
              <w:rPr>
                <w:rFonts w:hint="eastAsia"/>
                <w:sz w:val="24"/>
              </w:rPr>
            </w:pPr>
            <w:r>
              <w:rPr>
                <w:rFonts w:ascii="Wingdings 2" w:hAnsi="Wingdings 2" w:eastAsia="Wingdings 2" w:cs="Wingdings 2"/>
              </w:rPr>
              <w:t xml:space="preserve">£</w:t>
            </w:r>
            <w:r>
              <w:rPr>
                <w:rFonts w:hint="eastAsia"/>
                <w:sz w:val="24"/>
              </w:rPr>
              <w:t xml:space="preserve">中标人</w:t>
            </w:r>
            <w:r/>
          </w:p>
          <w:p>
            <w:pPr>
              <w:jc w:val="left"/>
              <w:rPr>
                <w:rFonts w:hint="eastAsia"/>
                <w:sz w:val="24"/>
                <w:u w:val="single"/>
              </w:rPr>
            </w:pPr>
            <w:r>
              <w:rPr>
                <w:sz w:val="24"/>
              </w:rPr>
              <w:t xml:space="preserve">收费标准：</w:t>
            </w:r>
            <w:r>
              <w:rPr>
                <w:rFonts w:hint="eastAsia" w:cs="宋体"/>
                <w:sz w:val="24"/>
                <w:u w:val="single"/>
                <w:lang w:bidi="ar"/>
              </w:rPr>
              <w:t xml:space="preserve">按发改价格【2011】534号文的标准的70%计取。以中标（成交）金额为基数，100万（含）以内1.5%计算，100万-500万（含）0.8%计算，按照70%计取，按上述计算方法不足人民币 3000 元的，按人民币 3000 元收取。</w:t>
            </w:r>
            <w:r/>
          </w:p>
          <w:p>
            <w:pPr>
              <w:jc w:val="left"/>
              <w:rPr>
                <w:rFonts w:hint="eastAsia" w:cs="宋体"/>
                <w:sz w:val="24"/>
                <w:u w:val="single"/>
                <w:lang w:bidi="ar"/>
              </w:rPr>
            </w:pPr>
            <w:r>
              <w:rPr>
                <w:rFonts w:hint="eastAsia" w:cs="宋体"/>
                <w:sz w:val="24"/>
                <w:lang w:bidi="ar"/>
              </w:rPr>
              <w:t xml:space="preserve">缴纳时间：</w:t>
            </w:r>
            <w:r>
              <w:rPr>
                <w:rFonts w:hint="eastAsia" w:cs="宋体"/>
                <w:sz w:val="24"/>
                <w:u w:val="single"/>
                <w:lang w:bidi="ar"/>
              </w:rPr>
              <w:t xml:space="preserve">自代理服务履约完毕之日起30个工作内将代理服务费付至代理机构账户。</w:t>
            </w:r>
            <w:r/>
          </w:p>
          <w:p>
            <w:pPr>
              <w:jc w:val="left"/>
              <w:rPr>
                <w:rFonts w:hint="eastAsia" w:ascii="Times New Roman" w:hAnsi="Times New Roman" w:cs="Times New Roman"/>
                <w:sz w:val="24"/>
              </w:rPr>
            </w:pPr>
            <w:r>
              <w:rPr>
                <w:rFonts w:hint="eastAsia" w:ascii="Times New Roman" w:hAnsi="Times New Roman" w:cs="Times New Roman"/>
                <w:sz w:val="24"/>
              </w:rPr>
              <w:t xml:space="preserve">收款单位：常州中平招投标咨询服务有限公司</w:t>
            </w:r>
            <w:r/>
          </w:p>
          <w:p>
            <w:pPr>
              <w:jc w:val="left"/>
              <w:rPr>
                <w:rFonts w:hint="eastAsia" w:ascii="Times New Roman" w:hAnsi="Times New Roman" w:cs="Times New Roman"/>
                <w:sz w:val="24"/>
              </w:rPr>
            </w:pPr>
            <w:r>
              <w:rPr>
                <w:rFonts w:hint="eastAsia" w:ascii="Times New Roman" w:hAnsi="Times New Roman" w:cs="Times New Roman"/>
                <w:sz w:val="24"/>
              </w:rPr>
              <w:t xml:space="preserve">开户银行：中国银行常州天宁支行</w:t>
            </w:r>
            <w:r/>
          </w:p>
          <w:p>
            <w:pPr>
              <w:jc w:val="left"/>
              <w:widowControl/>
              <w:rPr>
                <w:sz w:val="24"/>
              </w:rPr>
            </w:pPr>
            <w:r>
              <w:rPr>
                <w:rFonts w:hint="eastAsia" w:ascii="Times New Roman" w:hAnsi="Times New Roman" w:cs="Times New Roman"/>
                <w:sz w:val="24"/>
              </w:rPr>
              <w:t xml:space="preserve">银行账号：530069883283</w:t>
            </w:r>
            <w:r/>
          </w:p>
        </w:tc>
      </w:tr>
      <w:tr>
        <w:trPr>
          <w:jc w:val="center"/>
          <w:trHeight w:val="786"/>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72"/>
              <w:jc w:val="center"/>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sz w:val="24"/>
              </w:rPr>
            </w:pPr>
            <w:r>
              <w:rPr>
                <w:rFonts w:hint="eastAsia"/>
                <w:sz w:val="24"/>
              </w:rPr>
              <w:t xml:space="preserve">需要补充的其他内容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85"/>
              <w:ind w:firstLine="0"/>
              <w:jc w:val="left"/>
              <w:rPr>
                <w:sz w:val="24"/>
              </w:rPr>
            </w:pPr>
            <w:r>
              <w:rPr>
                <w:rFonts w:hint="eastAsia" w:ascii="Times New Roman" w:hAnsi="Times New Roman" w:cs="Times New Roman"/>
                <w:sz w:val="24"/>
              </w:rPr>
              <w:t xml:space="preserve">中标（成交）单位在签订合同前需递交与电子投标文件内容一致的纸质投标文件叁份（需打印清晰、标注目录及页码），作为项目归档使用。（递交方式可采用邮寄或现场送达，送达地点：常州市武进区紫廷名苑商铺1号二楼（常州中平招投标咨询服务有限公司），联系方式见《第一章 采购邀请》。</w:t>
            </w:r>
            <w:r/>
          </w:p>
        </w:tc>
      </w:tr>
    </w:tbl>
    <w:p>
      <w:pPr>
        <w:jc w:val="both"/>
        <w:spacing w:line="360" w:lineRule="auto"/>
        <w:tabs>
          <w:tab w:val="left" w:pos="5580" w:leader="none"/>
        </w:tabs>
        <w:rPr>
          <w:sz w:val="24"/>
        </w:rPr>
        <w:sectPr>
          <w:headerReference w:type="default" r:id="rId9"/>
          <w:headerReference w:type="first" r:id="rId10"/>
          <w:footerReference w:type="default" r:id="rId13"/>
          <w:footnotePr/>
          <w:endnotePr/>
          <w:type w:val="nextColumn"/>
          <w:pgSz w:w="11907" w:h="16840" w:orient="portrait"/>
          <w:pgMar w:top="1418" w:right="1134" w:bottom="1418" w:left="1701" w:header="851" w:footer="851" w:gutter="0"/>
          <w:cols w:num="1" w:sep="0" w:space="720" w:equalWidth="1"/>
          <w:docGrid w:linePitch="360"/>
          <w:titlePg/>
        </w:sectPr>
      </w:pPr>
      <w:r>
        <w:rPr>
          <w:sz w:val="24"/>
        </w:rPr>
        <w:br w:type="page" w:clear="all"/>
      </w:r>
      <w:r/>
    </w:p>
    <w:p>
      <w:pPr>
        <w:jc w:val="center"/>
        <w:spacing w:before="240" w:after="240"/>
        <w:rPr>
          <w:b/>
          <w:sz w:val="28"/>
          <w:szCs w:val="28"/>
        </w:rPr>
        <w:outlineLvl w:val="1"/>
      </w:pPr>
      <w:r/>
      <w:bookmarkStart w:id="73" w:name="_Toc305158859"/>
      <w:r/>
      <w:bookmarkStart w:id="74" w:name="_Toc150774722"/>
      <w:r/>
      <w:bookmarkStart w:id="75" w:name="_Toc226965790"/>
      <w:r/>
      <w:bookmarkStart w:id="76" w:name="_Toc142311019"/>
      <w:r/>
      <w:bookmarkStart w:id="77" w:name="_Toc353873932"/>
      <w:r/>
      <w:bookmarkStart w:id="78" w:name="_Toc264969207"/>
      <w:r/>
      <w:bookmarkStart w:id="79" w:name="_Toc265228355"/>
      <w:r/>
      <w:bookmarkStart w:id="80" w:name="_Toc353873662"/>
      <w:r/>
      <w:bookmarkStart w:id="81" w:name="_Toc150480755"/>
      <w:r/>
      <w:bookmarkStart w:id="82" w:name="_Toc305158785"/>
      <w:r/>
      <w:bookmarkStart w:id="83" w:name="_Toc195842882"/>
      <w:r/>
      <w:bookmarkStart w:id="84" w:name="_Toc353825542"/>
      <w:r/>
      <w:bookmarkStart w:id="85" w:name="_Toc226337213"/>
      <w:r/>
      <w:bookmarkStart w:id="86" w:name="_Toc127151517"/>
      <w:r>
        <w:rPr>
          <w:b/>
          <w:sz w:val="28"/>
          <w:szCs w:val="28"/>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935"/>
        <w:jc w:val="left"/>
        <w:spacing w:before="0" w:line="360" w:lineRule="auto"/>
        <w:tabs>
          <w:tab w:val="center" w:pos="4592" w:leader="none"/>
          <w:tab w:val="left" w:pos="7860" w:leader="none"/>
        </w:tabs>
        <w:rPr>
          <w:rFonts w:ascii="Times New Roman" w:hAnsi="Times New Roman" w:eastAsia="宋体"/>
          <w:sz w:val="28"/>
        </w:rPr>
      </w:pPr>
      <w:r/>
      <w:bookmarkStart w:id="87" w:name="_Toc520356143"/>
      <w:r/>
      <w:bookmarkStart w:id="88" w:name="_Toc127151518"/>
      <w:r>
        <w:rPr>
          <w:rFonts w:ascii="Times New Roman" w:hAnsi="Times New Roman" w:eastAsia="宋体"/>
          <w:sz w:val="28"/>
        </w:rPr>
        <w:tab/>
      </w:r>
      <w:bookmarkStart w:id="89" w:name="_Toc305158860"/>
      <w:r/>
      <w:bookmarkStart w:id="90" w:name="_Toc195842883"/>
      <w:r/>
      <w:bookmarkStart w:id="91" w:name="_Toc305158786"/>
      <w:r/>
      <w:bookmarkStart w:id="92" w:name="_Toc151193760"/>
      <w:r/>
      <w:bookmarkStart w:id="93" w:name="_Toc151193906"/>
      <w:r/>
      <w:bookmarkStart w:id="94" w:name="_Toc226309762"/>
      <w:r/>
      <w:bookmarkStart w:id="95" w:name="_Toc226337214"/>
      <w:r/>
      <w:bookmarkStart w:id="96" w:name="_Toc151193616"/>
      <w:r/>
      <w:bookmarkStart w:id="97" w:name="_Toc265228356"/>
      <w:r/>
      <w:bookmarkStart w:id="98" w:name="_Toc150774618"/>
      <w:r/>
      <w:bookmarkStart w:id="99" w:name="_Toc151193688"/>
      <w:r/>
      <w:bookmarkStart w:id="100" w:name="_Toc226965791"/>
      <w:r/>
      <w:bookmarkStart w:id="101" w:name="_Toc150509269"/>
      <w:r/>
      <w:bookmarkStart w:id="102" w:name="_Toc151190145"/>
      <w:r/>
      <w:bookmarkStart w:id="103" w:name="_Toc142311020"/>
      <w:r/>
      <w:bookmarkStart w:id="104" w:name="_Toc150774723"/>
      <w:r/>
      <w:bookmarkStart w:id="105" w:name="_Toc151193832"/>
      <w:r/>
      <w:bookmarkStart w:id="106" w:name="_Toc150480756"/>
      <w:r/>
      <w:bookmarkStart w:id="107" w:name="_Toc226965708"/>
      <w:r/>
      <w:bookmarkStart w:id="108" w:name="_Toc264969208"/>
      <w:r>
        <w:rPr>
          <w:rFonts w:ascii="Times New Roman" w:hAnsi="Times New Roman" w:eastAsia="宋体"/>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rPr>
        <w:tab/>
      </w:r>
      <w:r/>
    </w:p>
    <w:p>
      <w:pPr>
        <w:numPr>
          <w:ilvl w:val="0"/>
          <w:numId w:val="9"/>
        </w:numPr>
        <w:spacing w:line="360" w:lineRule="auto"/>
        <w:tabs>
          <w:tab w:val="left" w:pos="360" w:leader="none"/>
        </w:tabs>
        <w:rPr>
          <w:sz w:val="24"/>
        </w:rPr>
        <w:outlineLvl w:val="2"/>
      </w:pPr>
      <w:r/>
      <w:bookmarkStart w:id="109" w:name="_Toc265228357"/>
      <w:r/>
      <w:bookmarkStart w:id="110" w:name="_Toc305158787"/>
      <w:r/>
      <w:bookmarkStart w:id="111" w:name="_Toc264969209"/>
      <w:r/>
      <w:bookmarkStart w:id="112" w:name="_Toc305158861"/>
      <w:r>
        <w:rPr>
          <w:sz w:val="24"/>
        </w:rPr>
        <w:t xml:space="preserve">采购人、采购代理机构、投标人</w:t>
      </w:r>
      <w:bookmarkEnd w:id="109"/>
      <w:r/>
      <w:bookmarkEnd w:id="110"/>
      <w:r/>
      <w:bookmarkEnd w:id="111"/>
      <w:r/>
      <w:bookmarkEnd w:id="112"/>
      <w:r>
        <w:rPr>
          <w:rFonts w:hint="eastAsia"/>
          <w:sz w:val="24"/>
        </w:rPr>
        <w:t xml:space="preserve">、联合体</w:t>
      </w:r>
      <w:r/>
    </w:p>
    <w:p>
      <w:pPr>
        <w:numPr>
          <w:ilvl w:val="1"/>
          <w:numId w:val="9"/>
        </w:numPr>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spacing w:line="360" w:lineRule="auto"/>
        <w:tabs>
          <w:tab w:val="left" w:pos="360" w:leader="none"/>
        </w:tabs>
        <w:rPr>
          <w:sz w:val="24"/>
        </w:rPr>
        <w:outlineLvl w:val="2"/>
      </w:pPr>
      <w:r/>
      <w:bookmarkStart w:id="113" w:name="_Toc151193690"/>
      <w:r/>
      <w:bookmarkStart w:id="114" w:name="_Toc264969210"/>
      <w:r/>
      <w:bookmarkStart w:id="115" w:name="_Toc150480758"/>
      <w:r/>
      <w:bookmarkStart w:id="116" w:name="_Toc226337216"/>
      <w:r/>
      <w:bookmarkStart w:id="117" w:name="_Toc142311022"/>
      <w:r/>
      <w:bookmarkStart w:id="118" w:name="_Toc164351614"/>
      <w:r/>
      <w:bookmarkStart w:id="119" w:name="_Toc195842885"/>
      <w:r/>
      <w:bookmarkStart w:id="120" w:name="_Toc265228358"/>
      <w:r/>
      <w:bookmarkStart w:id="121" w:name="_Toc305158862"/>
      <w:r/>
      <w:bookmarkStart w:id="122" w:name="_Toc151193908"/>
      <w:r/>
      <w:bookmarkStart w:id="123" w:name="_Toc151193618"/>
      <w:r/>
      <w:bookmarkStart w:id="124" w:name="_Toc151193834"/>
      <w:r/>
      <w:bookmarkStart w:id="125" w:name="_Toc150774725"/>
      <w:r/>
      <w:bookmarkStart w:id="126" w:name="_Toc164229215"/>
      <w:r/>
      <w:bookmarkStart w:id="127" w:name="_Toc127151721"/>
      <w:r/>
      <w:bookmarkStart w:id="128" w:name="_Toc226965793"/>
      <w:r/>
      <w:bookmarkStart w:id="129" w:name="_Toc305158788"/>
      <w:r/>
      <w:bookmarkStart w:id="130" w:name="_Toc226309764"/>
      <w:r/>
      <w:bookmarkStart w:id="131" w:name="_Toc150774620"/>
      <w:r/>
      <w:bookmarkStart w:id="132" w:name="_Toc226965710"/>
      <w:r/>
      <w:bookmarkStart w:id="133" w:name="_Toc151190147"/>
      <w:r/>
      <w:bookmarkStart w:id="134" w:name="_Toc127151520"/>
      <w:r/>
      <w:bookmarkStart w:id="135" w:name="_Toc151193762"/>
      <w:r/>
      <w:bookmarkStart w:id="136" w:name="_Toc164229361"/>
      <w:r/>
      <w:bookmarkStart w:id="137" w:name="_Toc164608634"/>
      <w:r/>
      <w:bookmarkStart w:id="138" w:name="_Toc127161434"/>
      <w:r/>
      <w:bookmarkStart w:id="139" w:name="_Toc149720813"/>
      <w:r/>
      <w:bookmarkStart w:id="140" w:name="_Toc164608789"/>
      <w:r/>
      <w:bookmarkStart w:id="141" w:name="_Toc150509271"/>
      <w:r>
        <w:rPr>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sz w:val="24"/>
        </w:rPr>
        <w:t xml:space="preserve">、项目属性</w:t>
      </w:r>
      <w:r/>
    </w:p>
    <w:p>
      <w:pPr>
        <w:numPr>
          <w:ilvl w:val="1"/>
          <w:numId w:val="9"/>
        </w:numPr>
        <w:spacing w:line="360" w:lineRule="auto"/>
        <w:tabs>
          <w:tab w:val="left" w:pos="1080" w:leader="none"/>
          <w:tab w:val="left" w:pos="2014" w:leader="none"/>
        </w:tabs>
        <w:rPr>
          <w:sz w:val="24"/>
        </w:rPr>
      </w:pPr>
      <w:r>
        <w:rPr>
          <w:sz w:val="24"/>
        </w:rPr>
        <w:t xml:space="preserve">资金来源为财政性资金。</w:t>
      </w:r>
      <w:r/>
    </w:p>
    <w:p>
      <w:pPr>
        <w:numPr>
          <w:ilvl w:val="1"/>
          <w:numId w:val="9"/>
        </w:numPr>
        <w:spacing w:line="360" w:lineRule="auto"/>
        <w:tabs>
          <w:tab w:val="left" w:pos="1080" w:leader="none"/>
          <w:tab w:val="left" w:pos="2014" w:leader="none"/>
        </w:tabs>
        <w:rPr>
          <w:sz w:val="24"/>
        </w:rPr>
      </w:pPr>
      <w:r>
        <w:rPr>
          <w:sz w:val="24"/>
        </w:rPr>
        <w:t xml:space="preserve">项目属性见《投标人须知资料表》。</w:t>
      </w:r>
      <w:r/>
    </w:p>
    <w:p>
      <w:pPr>
        <w:numPr>
          <w:ilvl w:val="0"/>
          <w:numId w:val="9"/>
        </w:numPr>
        <w:spacing w:line="360" w:lineRule="auto"/>
        <w:tabs>
          <w:tab w:val="left" w:pos="360" w:leader="none"/>
        </w:tabs>
        <w:rPr>
          <w:sz w:val="24"/>
        </w:rPr>
        <w:outlineLvl w:val="2"/>
      </w:pPr>
      <w:r>
        <w:rPr>
          <w:sz w:val="24"/>
        </w:rPr>
        <w:t xml:space="preserve">现场考察、开标前答疑会</w:t>
      </w:r>
      <w:r/>
    </w:p>
    <w:p>
      <w:pPr>
        <w:numPr>
          <w:ilvl w:val="1"/>
          <w:numId w:val="9"/>
        </w:numPr>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2" w:name="_Toc151193764"/>
      <w:r/>
      <w:bookmarkStart w:id="143" w:name="_Toc195842887"/>
      <w:r/>
      <w:bookmarkStart w:id="144" w:name="_Toc520356146"/>
      <w:r/>
      <w:bookmarkStart w:id="145" w:name="_Toc305158790"/>
      <w:r/>
      <w:bookmarkStart w:id="146" w:name="_Toc226965795"/>
      <w:r/>
      <w:bookmarkStart w:id="147" w:name="_Toc226965712"/>
      <w:r/>
      <w:bookmarkStart w:id="148" w:name="_Toc151193620"/>
      <w:r/>
      <w:bookmarkStart w:id="149" w:name="_Toc151193910"/>
      <w:r/>
      <w:bookmarkStart w:id="150" w:name="_Toc150509273"/>
      <w:r/>
      <w:bookmarkStart w:id="151" w:name="_Toc150774622"/>
      <w:r/>
      <w:bookmarkStart w:id="152" w:name="_Toc127151522"/>
      <w:r/>
      <w:bookmarkStart w:id="153" w:name="_Toc151193836"/>
      <w:r/>
      <w:bookmarkStart w:id="154" w:name="_Toc305158864"/>
      <w:r/>
      <w:bookmarkStart w:id="155" w:name="_Toc151190149"/>
      <w:r/>
      <w:bookmarkStart w:id="156" w:name="_Toc265228360"/>
      <w:r/>
      <w:bookmarkStart w:id="157" w:name="_Toc150774727"/>
      <w:r/>
      <w:bookmarkStart w:id="158" w:name="_Toc226309766"/>
      <w:r/>
      <w:bookmarkStart w:id="159" w:name="_Toc226337218"/>
      <w:r/>
      <w:bookmarkStart w:id="160" w:name="_Toc142311024"/>
      <w:r/>
      <w:bookmarkStart w:id="161" w:name="_Toc151193692"/>
      <w:r/>
      <w:bookmarkStart w:id="162" w:name="_Toc150480760"/>
      <w:r/>
      <w:bookmarkStart w:id="163" w:name="_Toc264969212"/>
      <w:r/>
      <w:r/>
    </w:p>
    <w:p>
      <w:pPr>
        <w:numPr>
          <w:ilvl w:val="1"/>
          <w:numId w:val="9"/>
        </w:numPr>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spacing w:line="360" w:lineRule="auto"/>
        <w:tabs>
          <w:tab w:val="left" w:pos="360" w:leader="none"/>
        </w:tabs>
        <w:rPr>
          <w:sz w:val="24"/>
        </w:rPr>
        <w:outlineLvl w:val="2"/>
      </w:pPr>
      <w:r>
        <w:rPr>
          <w:rFonts w:hint="eastAsia"/>
          <w:sz w:val="24"/>
        </w:rPr>
        <w:t xml:space="preserve">政府采购政策</w:t>
      </w:r>
      <w:r>
        <w:rPr>
          <w:sz w:val="24"/>
        </w:rPr>
        <w:t xml:space="preserve">（包括但不限于下列具体政策要求）</w:t>
      </w:r>
      <w:r/>
    </w:p>
    <w:p>
      <w:pPr>
        <w:numPr>
          <w:ilvl w:val="1"/>
          <w:numId w:val="9"/>
        </w:numPr>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rPr>
          <w:sz w:val="24"/>
        </w:rPr>
      </w:pPr>
      <w:r>
        <w:rPr>
          <w:sz w:val="24"/>
        </w:rPr>
        <w:t xml:space="preserve">中小企业定义：</w:t>
      </w:r>
      <w:r/>
    </w:p>
    <w:p>
      <w:pPr>
        <w:numPr>
          <w:ilvl w:val="3"/>
          <w:numId w:val="9"/>
        </w:numPr>
        <w:spacing w:line="360" w:lineRule="auto"/>
        <w:tabs>
          <w:tab w:val="clear" w:pos="0" w:leader="none"/>
          <w:tab w:val="left" w:pos="900" w:leader="none"/>
          <w:tab w:val="left" w:pos="1980"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spacing w:line="360" w:lineRule="auto"/>
        <w:tabs>
          <w:tab w:val="clear" w:pos="0" w:leader="none"/>
          <w:tab w:val="left" w:pos="900" w:leader="none"/>
          <w:tab w:val="left" w:pos="1980" w:leader="none"/>
        </w:tabs>
        <w:rPr>
          <w:sz w:val="24"/>
        </w:rPr>
      </w:pPr>
      <w:r>
        <w:rPr>
          <w:sz w:val="24"/>
        </w:rPr>
        <w:t xml:space="preserve">供应商提供的货物、工程或者服务符合下列情形的，享受中小企业扶持政策：</w:t>
      </w:r>
      <w:r/>
    </w:p>
    <w:p>
      <w:pPr>
        <w:ind w:left="220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205"/>
        <w:spacing w:line="360" w:lineRule="auto"/>
        <w:tabs>
          <w:tab w:val="left" w:pos="1980" w:leader="none"/>
        </w:tabs>
        <w:rPr>
          <w:sz w:val="24"/>
        </w:rPr>
      </w:pPr>
      <w:r>
        <w:rPr>
          <w:sz w:val="24"/>
        </w:rPr>
        <w:t xml:space="preserve">（2）在工程采购项目中，工程由中小企业承建，即工程施工单位为中小企业；</w:t>
      </w:r>
      <w:r/>
    </w:p>
    <w:p>
      <w:pPr>
        <w:ind w:left="220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9"/>
        </w:numPr>
        <w:spacing w:line="360" w:lineRule="auto"/>
        <w:tabs>
          <w:tab w:val="clear" w:pos="0" w:leader="none"/>
          <w:tab w:val="left" w:pos="900" w:leader="none"/>
          <w:tab w:val="left" w:pos="1980"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spacing w:line="360" w:lineRule="auto"/>
        <w:tabs>
          <w:tab w:val="clear" w:pos="0" w:leader="none"/>
          <w:tab w:val="left" w:pos="900" w:leader="none"/>
          <w:tab w:val="left" w:pos="1980"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9"/>
        </w:numPr>
        <w:ind w:left="1653" w:hanging="573"/>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ind w:left="1653" w:hanging="573"/>
        <w:spacing w:line="360" w:lineRule="auto"/>
        <w:rPr>
          <w:sz w:val="24"/>
        </w:rPr>
      </w:pPr>
      <w:r>
        <w:rPr>
          <w:sz w:val="24"/>
        </w:rPr>
        <w:t xml:space="preserve">残疾人福利单位定义：享受政府采购支持政策的残疾人福利性单位应当同时满足以下条件：</w:t>
      </w:r>
      <w:r/>
    </w:p>
    <w:p>
      <w:pPr>
        <w:numPr>
          <w:ilvl w:val="3"/>
          <w:numId w:val="9"/>
        </w:numPr>
        <w:spacing w:line="360" w:lineRule="auto"/>
        <w:tabs>
          <w:tab w:val="clear" w:pos="0" w:leader="none"/>
          <w:tab w:val="left" w:pos="1701" w:leader="none"/>
        </w:tabs>
        <w:rPr>
          <w:sz w:val="24"/>
        </w:rPr>
      </w:pPr>
      <w:r>
        <w:rPr>
          <w:sz w:val="24"/>
        </w:rPr>
        <w:t xml:space="preserve">安置的残疾人占本单位在职职工人数的比例不低于25%（含25%），并且安置的残疾人人数不少于10 人（含10 人）；</w:t>
      </w:r>
      <w:r/>
    </w:p>
    <w:p>
      <w:pPr>
        <w:numPr>
          <w:ilvl w:val="3"/>
          <w:numId w:val="9"/>
        </w:numPr>
        <w:spacing w:line="360" w:lineRule="auto"/>
        <w:tabs>
          <w:tab w:val="clear" w:pos="0" w:leader="none"/>
          <w:tab w:val="left" w:pos="1701" w:leader="none"/>
        </w:tabs>
        <w:rPr>
          <w:sz w:val="24"/>
        </w:rPr>
      </w:pPr>
      <w:r>
        <w:rPr>
          <w:sz w:val="24"/>
        </w:rPr>
        <w:t xml:space="preserve">依法与安置的每位残疾人签订了一年以上（含一年）的劳动合同或服务协议；</w:t>
      </w:r>
      <w:r/>
    </w:p>
    <w:p>
      <w:pPr>
        <w:numPr>
          <w:ilvl w:val="3"/>
          <w:numId w:val="9"/>
        </w:numPr>
        <w:spacing w:line="360" w:lineRule="auto"/>
        <w:tabs>
          <w:tab w:val="clear" w:pos="0" w:leader="none"/>
          <w:tab w:val="left" w:pos="1701"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spacing w:line="360" w:lineRule="auto"/>
        <w:tabs>
          <w:tab w:val="clear" w:pos="0" w:leader="none"/>
          <w:tab w:val="left" w:pos="1701"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spacing w:line="360" w:lineRule="auto"/>
        <w:tabs>
          <w:tab w:val="clear" w:pos="0" w:leader="none"/>
          <w:tab w:val="left" w:pos="1701"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spacing w:line="360" w:lineRule="auto"/>
        <w:tabs>
          <w:tab w:val="clear" w:pos="0" w:leader="none"/>
          <w:tab w:val="left" w:pos="1701"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本项目是否专门面向中小企业预留采购份额见第一章《投标邀请》。</w:t>
      </w:r>
      <w:r/>
    </w:p>
    <w:p>
      <w:pPr>
        <w:numPr>
          <w:ilvl w:val="2"/>
          <w:numId w:val="9"/>
        </w:numPr>
        <w:spacing w:line="360" w:lineRule="auto"/>
        <w:rPr>
          <w:sz w:val="24"/>
        </w:rPr>
      </w:pPr>
      <w:r>
        <w:rPr>
          <w:sz w:val="24"/>
        </w:rPr>
        <w:t xml:space="preserve">采购标的对应的中小企业划分标准所属行业见《投标人须知资料表》。</w:t>
      </w:r>
      <w:r/>
    </w:p>
    <w:p>
      <w:pPr>
        <w:numPr>
          <w:ilvl w:val="2"/>
          <w:numId w:val="9"/>
        </w:numPr>
        <w:spacing w:line="360" w:lineRule="auto"/>
        <w:rPr>
          <w:sz w:val="24"/>
        </w:rPr>
      </w:pPr>
      <w:r>
        <w:rPr>
          <w:sz w:val="24"/>
        </w:rPr>
        <w:t xml:space="preserve">小微企业价格评审优惠的政策调整：见第四章《评标方法和评标标准》。</w:t>
      </w:r>
      <w:r/>
    </w:p>
    <w:p>
      <w:pPr>
        <w:numPr>
          <w:ilvl w:val="1"/>
          <w:numId w:val="9"/>
        </w:numPr>
        <w:spacing w:line="360" w:lineRule="auto"/>
        <w:tabs>
          <w:tab w:val="left" w:pos="1080" w:leader="none"/>
          <w:tab w:val="left" w:pos="2014" w:leader="none"/>
        </w:tabs>
        <w:rPr>
          <w:sz w:val="24"/>
        </w:rPr>
      </w:pPr>
      <w:r>
        <w:rPr>
          <w:sz w:val="24"/>
        </w:rPr>
        <w:t xml:space="preserve">支持乡村产业振兴管理</w:t>
      </w:r>
      <w:r/>
    </w:p>
    <w:p>
      <w:pPr>
        <w:numPr>
          <w:ilvl w:val="2"/>
          <w:numId w:val="9"/>
        </w:numPr>
        <w:ind w:left="1698" w:hanging="618"/>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0"/>
          <w:numId w:val="9"/>
        </w:numPr>
        <w:spacing w:line="360" w:lineRule="auto"/>
        <w:tabs>
          <w:tab w:val="left" w:pos="360" w:leader="none"/>
        </w:tabs>
        <w:rPr>
          <w:sz w:val="24"/>
        </w:rPr>
        <w:outlineLvl w:val="2"/>
      </w:pPr>
      <w:r>
        <w:rPr>
          <w:sz w:val="24"/>
        </w:rPr>
        <w:t xml:space="preserve">投标费用</w:t>
      </w:r>
      <w:r/>
    </w:p>
    <w:p>
      <w:pPr>
        <w:numPr>
          <w:ilvl w:val="1"/>
          <w:numId w:val="9"/>
        </w:numPr>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4" w:name="_1.8_计量单位"/>
      <w:r/>
      <w:bookmarkEnd w:id="164"/>
      <w:r/>
      <w:r/>
    </w:p>
    <w:p>
      <w:pPr>
        <w:pStyle w:val="935"/>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9"/>
        </w:numPr>
        <w:spacing w:line="360" w:lineRule="auto"/>
        <w:tabs>
          <w:tab w:val="left" w:pos="360" w:leader="none"/>
        </w:tabs>
        <w:rPr>
          <w:sz w:val="24"/>
        </w:rPr>
        <w:outlineLvl w:val="2"/>
      </w:pPr>
      <w:r/>
      <w:bookmarkStart w:id="165" w:name="_Toc149720816"/>
      <w:r/>
      <w:bookmarkStart w:id="166" w:name="_Toc127151523"/>
      <w:r/>
      <w:bookmarkStart w:id="167" w:name="_Toc151190150"/>
      <w:r/>
      <w:bookmarkStart w:id="168" w:name="_Toc520356147"/>
      <w:r/>
      <w:bookmarkStart w:id="169" w:name="_Toc151193621"/>
      <w:r/>
      <w:bookmarkStart w:id="170" w:name="_Toc151193693"/>
      <w:r/>
      <w:bookmarkStart w:id="171" w:name="_Toc127151724"/>
      <w:r/>
      <w:bookmarkStart w:id="172" w:name="_Toc151193765"/>
      <w:r/>
      <w:bookmarkStart w:id="173" w:name="_Toc151193837"/>
      <w:r/>
      <w:bookmarkStart w:id="174" w:name="_Toc305158865"/>
      <w:r/>
      <w:bookmarkStart w:id="175" w:name="_Toc164351617"/>
      <w:r/>
      <w:bookmarkStart w:id="176" w:name="_Toc226965713"/>
      <w:r/>
      <w:bookmarkStart w:id="177" w:name="_Toc164608637"/>
      <w:r/>
      <w:bookmarkStart w:id="178" w:name="_Toc305158791"/>
      <w:r/>
      <w:bookmarkStart w:id="179" w:name="_Toc127161437"/>
      <w:r/>
      <w:bookmarkStart w:id="180" w:name="_Toc226309767"/>
      <w:r/>
      <w:bookmarkStart w:id="181" w:name="_Toc150774728"/>
      <w:r/>
      <w:bookmarkStart w:id="182" w:name="_Toc226965796"/>
      <w:r/>
      <w:bookmarkStart w:id="183" w:name="_Toc195842888"/>
      <w:r/>
      <w:bookmarkStart w:id="184" w:name="_Toc150774623"/>
      <w:r/>
      <w:bookmarkStart w:id="185" w:name="_Toc150509274"/>
      <w:r/>
      <w:bookmarkStart w:id="186" w:name="_Toc164608792"/>
      <w:r/>
      <w:bookmarkStart w:id="187" w:name="_Toc226337219"/>
      <w:r/>
      <w:bookmarkStart w:id="188" w:name="_Toc265228361"/>
      <w:r/>
      <w:bookmarkStart w:id="189" w:name="_Toc264969213"/>
      <w:r/>
      <w:bookmarkStart w:id="190" w:name="_Toc164229218"/>
      <w:r/>
      <w:bookmarkStart w:id="191" w:name="_Toc151193911"/>
      <w:r/>
      <w:bookmarkStart w:id="192" w:name="_Toc150480761"/>
      <w:r/>
      <w:bookmarkStart w:id="193" w:name="_Toc142311025"/>
      <w:r/>
      <w:bookmarkStart w:id="194" w:name="_Toc164229364"/>
      <w:r>
        <w:rPr>
          <w:sz w:val="24"/>
        </w:rPr>
        <w:t xml:space="preserve">招标文件构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sz w:val="24"/>
        </w:rPr>
        <w:t xml:space="preserve">成</w:t>
      </w:r>
      <w:r/>
    </w:p>
    <w:p>
      <w:pPr>
        <w:numPr>
          <w:ilvl w:val="1"/>
          <w:numId w:val="9"/>
        </w:numPr>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rPr>
      </w:pPr>
      <w:r>
        <w:rPr>
          <w:sz w:val="24"/>
        </w:rPr>
        <w:t xml:space="preserve">投标文件格式</w:t>
      </w:r>
      <w:r/>
    </w:p>
    <w:p>
      <w:pPr>
        <w:numPr>
          <w:ilvl w:val="1"/>
          <w:numId w:val="9"/>
        </w:numPr>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spacing w:line="360" w:lineRule="auto"/>
        <w:tabs>
          <w:tab w:val="left" w:pos="360" w:leader="none"/>
        </w:tabs>
        <w:rPr>
          <w:sz w:val="24"/>
        </w:rPr>
        <w:outlineLvl w:val="2"/>
      </w:pPr>
      <w:r>
        <w:rPr>
          <w:sz w:val="24"/>
        </w:rPr>
        <w:t xml:space="preserve">对招标文件的澄清或修改</w:t>
      </w:r>
      <w:r/>
    </w:p>
    <w:p>
      <w:pPr>
        <w:numPr>
          <w:ilvl w:val="1"/>
          <w:numId w:val="9"/>
        </w:numPr>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5" w:name="_Toc516367020"/>
      <w:r/>
      <w:bookmarkStart w:id="196" w:name="_Toc226337222"/>
      <w:r/>
      <w:bookmarkStart w:id="197" w:name="_Toc151193840"/>
      <w:r/>
      <w:bookmarkStart w:id="198" w:name="_Toc226965716"/>
      <w:r/>
      <w:bookmarkStart w:id="199" w:name="_Toc150774731"/>
      <w:r/>
      <w:bookmarkStart w:id="200" w:name="_Toc226309770"/>
      <w:r/>
      <w:bookmarkStart w:id="201" w:name="_Toc305158794"/>
      <w:r/>
      <w:bookmarkStart w:id="202" w:name="_Toc151190153"/>
      <w:r/>
      <w:bookmarkStart w:id="203" w:name="_Toc520356150"/>
      <w:r/>
      <w:bookmarkStart w:id="204" w:name="_Toc151193914"/>
      <w:r/>
      <w:bookmarkStart w:id="205" w:name="_Toc151193624"/>
      <w:r/>
      <w:bookmarkStart w:id="206" w:name="_Toc265228364"/>
      <w:r/>
      <w:bookmarkStart w:id="207" w:name="_Toc150480764"/>
      <w:r/>
      <w:bookmarkStart w:id="208" w:name="_Toc127151526"/>
      <w:r/>
      <w:bookmarkStart w:id="209" w:name="_Toc151193768"/>
      <w:r/>
      <w:bookmarkStart w:id="210" w:name="_Toc305158868"/>
      <w:r/>
      <w:bookmarkStart w:id="211" w:name="_Toc142311028"/>
      <w:r/>
      <w:bookmarkStart w:id="212" w:name="_Toc150774626"/>
      <w:r/>
      <w:bookmarkStart w:id="213" w:name="_Toc151193696"/>
      <w:r/>
      <w:bookmarkStart w:id="214" w:name="_Toc195842891"/>
      <w:r/>
      <w:bookmarkStart w:id="215" w:name="_Toc150509277"/>
      <w:r/>
      <w:bookmarkStart w:id="216" w:name="_Toc264969216"/>
      <w:r/>
      <w:bookmarkStart w:id="217" w:name="_Toc226965799"/>
      <w:r/>
      <w:r/>
    </w:p>
    <w:p>
      <w:pPr>
        <w:pStyle w:val="935"/>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5"/>
      <w:r>
        <w:rPr>
          <w:rFonts w:ascii="Times New Roman" w:hAnsi="Times New Roman" w:eastAsia="宋体"/>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numPr>
          <w:ilvl w:val="0"/>
          <w:numId w:val="9"/>
        </w:numPr>
        <w:spacing w:line="360" w:lineRule="auto"/>
        <w:tabs>
          <w:tab w:val="left" w:pos="360" w:leader="none"/>
        </w:tabs>
        <w:rPr>
          <w:sz w:val="24"/>
        </w:rPr>
        <w:outlineLvl w:val="2"/>
      </w:pPr>
      <w:r/>
      <w:bookmarkStart w:id="218" w:name="_Toc226965800"/>
      <w:r/>
      <w:bookmarkStart w:id="219" w:name="_Toc226337223"/>
      <w:r/>
      <w:bookmarkStart w:id="220" w:name="_Toc151193915"/>
      <w:r/>
      <w:bookmarkStart w:id="221" w:name="_Toc305158795"/>
      <w:r/>
      <w:bookmarkStart w:id="222" w:name="_Toc164229368"/>
      <w:r/>
      <w:bookmarkStart w:id="223" w:name="_Toc305158869"/>
      <w:r/>
      <w:bookmarkStart w:id="224" w:name="_Toc151193769"/>
      <w:r/>
      <w:bookmarkStart w:id="225" w:name="_Toc265228365"/>
      <w:r/>
      <w:bookmarkStart w:id="226" w:name="_Toc226965717"/>
      <w:r/>
      <w:bookmarkStart w:id="227" w:name="_Toc150480765"/>
      <w:r/>
      <w:bookmarkStart w:id="228" w:name="_Toc195842892"/>
      <w:r/>
      <w:bookmarkStart w:id="229" w:name="_Toc164351621"/>
      <w:r/>
      <w:bookmarkStart w:id="230" w:name="_Toc164608796"/>
      <w:r/>
      <w:bookmarkStart w:id="231" w:name="_Toc151193697"/>
      <w:r/>
      <w:bookmarkStart w:id="232" w:name="_Toc151193625"/>
      <w:r/>
      <w:bookmarkStart w:id="233" w:name="_Toc150774627"/>
      <w:r/>
      <w:bookmarkStart w:id="234" w:name="_Toc127161441"/>
      <w:r/>
      <w:bookmarkStart w:id="235" w:name="_Toc226309771"/>
      <w:r/>
      <w:bookmarkStart w:id="236" w:name="_Toc516367021"/>
      <w:r/>
      <w:bookmarkStart w:id="237" w:name="_Toc164608641"/>
      <w:r/>
      <w:bookmarkStart w:id="238" w:name="_Toc150509278"/>
      <w:r/>
      <w:bookmarkStart w:id="239" w:name="_Toc164229222"/>
      <w:r/>
      <w:bookmarkStart w:id="240" w:name="_Toc520356151"/>
      <w:r/>
      <w:bookmarkStart w:id="241" w:name="_Toc151190154"/>
      <w:r/>
      <w:bookmarkStart w:id="242" w:name="_Toc142311029"/>
      <w:r/>
      <w:bookmarkStart w:id="243" w:name="_Toc150774732"/>
      <w:r/>
      <w:bookmarkStart w:id="244" w:name="_Toc127151728"/>
      <w:r/>
      <w:bookmarkStart w:id="245" w:name="_Toc149720820"/>
      <w:r/>
      <w:bookmarkStart w:id="246" w:name="_Toc151193841"/>
      <w:r/>
      <w:bookmarkStart w:id="247" w:name="_Toc127151527"/>
      <w:r/>
      <w:bookmarkStart w:id="248" w:name="_Toc264969217"/>
      <w:r>
        <w:rPr>
          <w:sz w:val="24"/>
        </w:rPr>
        <w:t xml:space="preserve">投标范围、投标文件中计量单位的使用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sz w:val="24"/>
        </w:rPr>
        <w:t xml:space="preserve">及投标语言</w:t>
      </w:r>
      <w:r/>
    </w:p>
    <w:p>
      <w:pPr>
        <w:numPr>
          <w:ilvl w:val="1"/>
          <w:numId w:val="9"/>
        </w:numPr>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spacing w:line="360" w:lineRule="auto"/>
        <w:tabs>
          <w:tab w:val="left" w:pos="360" w:leader="none"/>
        </w:tabs>
        <w:rPr>
          <w:sz w:val="24"/>
        </w:rPr>
        <w:outlineLvl w:val="2"/>
      </w:pPr>
      <w:r/>
      <w:bookmarkStart w:id="249" w:name="_Ref467306195"/>
      <w:r/>
      <w:bookmarkStart w:id="250" w:name="_Toc516367022"/>
      <w:r/>
      <w:bookmarkStart w:id="251" w:name="_Ref467306676"/>
      <w:r/>
      <w:bookmarkStart w:id="252" w:name="_Toc151193770"/>
      <w:r/>
      <w:bookmarkStart w:id="253" w:name="_Toc164229369"/>
      <w:r/>
      <w:bookmarkStart w:id="254" w:name="_Toc151193626"/>
      <w:r/>
      <w:bookmarkStart w:id="255" w:name="_Toc226965801"/>
      <w:r/>
      <w:bookmarkStart w:id="256" w:name="_Toc127151729"/>
      <w:r/>
      <w:bookmarkStart w:id="257" w:name="_Toc142311030"/>
      <w:r/>
      <w:bookmarkStart w:id="258" w:name="_Toc305158870"/>
      <w:r/>
      <w:bookmarkStart w:id="259" w:name="_Toc164229223"/>
      <w:r/>
      <w:bookmarkStart w:id="260" w:name="_Toc265228366"/>
      <w:r/>
      <w:bookmarkStart w:id="261" w:name="_Toc305158796"/>
      <w:r/>
      <w:bookmarkStart w:id="262" w:name="_Toc226337224"/>
      <w:r/>
      <w:bookmarkStart w:id="263" w:name="_Toc151193916"/>
      <w:r/>
      <w:bookmarkStart w:id="264" w:name="_Toc150509279"/>
      <w:r/>
      <w:bookmarkStart w:id="265" w:name="_Toc164351622"/>
      <w:r/>
      <w:bookmarkStart w:id="266" w:name="_Toc520356152"/>
      <w:r/>
      <w:bookmarkStart w:id="267" w:name="_Toc195842893"/>
      <w:r/>
      <w:bookmarkStart w:id="268" w:name="_Toc127151528"/>
      <w:r/>
      <w:bookmarkStart w:id="269" w:name="_Toc164608642"/>
      <w:r/>
      <w:bookmarkStart w:id="270" w:name="_Toc151193698"/>
      <w:r/>
      <w:bookmarkStart w:id="271" w:name="_Toc151193842"/>
      <w:r/>
      <w:bookmarkStart w:id="272" w:name="_Toc149720821"/>
      <w:r/>
      <w:bookmarkStart w:id="273" w:name="_Toc164608797"/>
      <w:r/>
      <w:bookmarkStart w:id="274" w:name="_Toc151190155"/>
      <w:r/>
      <w:bookmarkStart w:id="275" w:name="_Toc264969218"/>
      <w:r/>
      <w:bookmarkStart w:id="276" w:name="_Toc150774733"/>
      <w:r/>
      <w:bookmarkStart w:id="277" w:name="_Toc150774628"/>
      <w:r/>
      <w:bookmarkStart w:id="278" w:name="_Toc127161442"/>
      <w:r/>
      <w:bookmarkStart w:id="279" w:name="_Toc226965718"/>
      <w:r/>
      <w:bookmarkStart w:id="280" w:name="_Toc226309772"/>
      <w:r/>
      <w:bookmarkStart w:id="281" w:name="_Toc150480766"/>
      <w:r>
        <w:rPr>
          <w:sz w:val="24"/>
        </w:rPr>
        <w:t xml:space="preserve">投标文件</w:t>
      </w:r>
      <w:bookmarkEnd w:id="249"/>
      <w:r/>
      <w:bookmarkEnd w:id="250"/>
      <w:r/>
      <w:bookmarkEnd w:id="251"/>
      <w:r>
        <w:rPr>
          <w:sz w:val="24"/>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numPr>
          <w:ilvl w:val="1"/>
          <w:numId w:val="9"/>
        </w:numPr>
        <w:spacing w:line="360" w:lineRule="auto"/>
        <w:tabs>
          <w:tab w:val="left" w:pos="1080" w:leader="none"/>
          <w:tab w:val="left" w:pos="2014" w:leader="none"/>
        </w:tabs>
        <w:rPr>
          <w:sz w:val="24"/>
        </w:rPr>
      </w:pPr>
      <w:r/>
      <w:bookmarkStart w:id="282"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spacing w:line="360" w:lineRule="auto"/>
        <w:tabs>
          <w:tab w:val="left" w:pos="1080" w:leader="none"/>
          <w:tab w:val="left" w:pos="2014" w:leader="none"/>
        </w:tabs>
        <w:rPr>
          <w:sz w:val="24"/>
        </w:rPr>
      </w:pPr>
      <w:r>
        <w:rPr>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numPr>
          <w:ilvl w:val="1"/>
          <w:numId w:val="9"/>
        </w:numPr>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spacing w:line="360" w:lineRule="auto"/>
        <w:tabs>
          <w:tab w:val="left" w:pos="1080" w:leader="none"/>
          <w:tab w:val="left" w:pos="2014" w:leader="none"/>
        </w:tabs>
        <w:rPr>
          <w:sz w:val="24"/>
        </w:rPr>
      </w:pPr>
      <w:r>
        <w:rPr>
          <w:sz w:val="24"/>
        </w:rPr>
        <w:t xml:space="preserve">投标人认为应附的其他材料。</w:t>
      </w:r>
      <w:bookmarkEnd w:id="282"/>
      <w:r/>
      <w:r/>
    </w:p>
    <w:p>
      <w:pPr>
        <w:numPr>
          <w:ilvl w:val="0"/>
          <w:numId w:val="9"/>
        </w:numPr>
        <w:spacing w:line="360" w:lineRule="auto"/>
        <w:tabs>
          <w:tab w:val="left" w:pos="360" w:leader="none"/>
        </w:tabs>
        <w:rPr>
          <w:sz w:val="24"/>
        </w:rPr>
        <w:outlineLvl w:val="2"/>
      </w:pPr>
      <w:r/>
      <w:bookmarkStart w:id="283" w:name="_Toc142311032"/>
      <w:r/>
      <w:bookmarkStart w:id="284" w:name="_Toc150509281"/>
      <w:r/>
      <w:bookmarkStart w:id="285" w:name="_Toc164229225"/>
      <w:r/>
      <w:bookmarkStart w:id="286" w:name="_Toc127161444"/>
      <w:r/>
      <w:bookmarkStart w:id="287" w:name="_Toc164351624"/>
      <w:r/>
      <w:bookmarkStart w:id="288" w:name="_Toc150480768"/>
      <w:r/>
      <w:bookmarkStart w:id="289" w:name="_Toc151190157"/>
      <w:r/>
      <w:bookmarkStart w:id="290" w:name="_Toc164229371"/>
      <w:r/>
      <w:bookmarkStart w:id="291" w:name="_Toc520356155"/>
      <w:r/>
      <w:bookmarkStart w:id="292" w:name="_Toc151193700"/>
      <w:r/>
      <w:bookmarkStart w:id="293" w:name="_Toc150774630"/>
      <w:r/>
      <w:bookmarkStart w:id="294" w:name="_Toc150774735"/>
      <w:r/>
      <w:bookmarkStart w:id="295" w:name="_Toc164608644"/>
      <w:r/>
      <w:bookmarkStart w:id="296" w:name="_Toc195842895"/>
      <w:r/>
      <w:bookmarkStart w:id="297" w:name="_Toc151193772"/>
      <w:r/>
      <w:bookmarkStart w:id="298" w:name="_Toc127151530"/>
      <w:r/>
      <w:bookmarkStart w:id="299" w:name="_Toc149720823"/>
      <w:r/>
      <w:bookmarkStart w:id="300" w:name="_Toc151193628"/>
      <w:r/>
      <w:bookmarkStart w:id="301" w:name="_Toc151193918"/>
      <w:r/>
      <w:bookmarkStart w:id="302" w:name="_Toc151193844"/>
      <w:r/>
      <w:bookmarkStart w:id="303" w:name="_Toc164608799"/>
      <w:r/>
      <w:bookmarkStart w:id="304" w:name="_Toc127151731"/>
      <w:r>
        <w:rPr>
          <w:sz w:val="24"/>
        </w:rPr>
        <w:t xml:space="preserve">投标报价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numPr>
          <w:ilvl w:val="1"/>
          <w:numId w:val="9"/>
        </w:numPr>
        <w:spacing w:line="360" w:lineRule="auto"/>
        <w:tabs>
          <w:tab w:val="left" w:pos="1080" w:leader="none"/>
          <w:tab w:val="left" w:pos="2014" w:leader="none"/>
        </w:tabs>
        <w:rPr>
          <w:sz w:val="24"/>
        </w:rPr>
      </w:pPr>
      <w:r>
        <w:rPr>
          <w:sz w:val="24"/>
        </w:rPr>
        <w:t xml:space="preserve">所有投标均以人民币报价。</w:t>
      </w:r>
      <w:r/>
    </w:p>
    <w:p>
      <w:pPr>
        <w:numPr>
          <w:ilvl w:val="1"/>
          <w:numId w:val="9"/>
        </w:numPr>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spacing w:line="360" w:lineRule="auto"/>
        <w:rPr>
          <w:sz w:val="24"/>
        </w:rPr>
      </w:pPr>
      <w:r>
        <w:rPr>
          <w:sz w:val="24"/>
        </w:rPr>
        <w:t xml:space="preserve">按照招标文件要求完成本项目的全部相关服务费用。 </w:t>
      </w:r>
      <w:r/>
    </w:p>
    <w:p>
      <w:pPr>
        <w:numPr>
          <w:ilvl w:val="1"/>
          <w:numId w:val="9"/>
        </w:numPr>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9"/>
        </w:numPr>
        <w:spacing w:line="360" w:lineRule="auto"/>
        <w:tabs>
          <w:tab w:val="left" w:pos="360" w:leader="none"/>
        </w:tabs>
        <w:rPr>
          <w:rFonts w:hint="eastAsia"/>
          <w:sz w:val="24"/>
        </w:rPr>
        <w:outlineLvl w:val="2"/>
      </w:pPr>
      <w:r/>
      <w:bookmarkStart w:id="305" w:name="_Toc150774736"/>
      <w:r/>
      <w:bookmarkStart w:id="306" w:name="_Toc164608800"/>
      <w:r/>
      <w:bookmarkStart w:id="307" w:name="_Toc164351625"/>
      <w:r/>
      <w:bookmarkStart w:id="308" w:name="_Toc226965804"/>
      <w:r/>
      <w:bookmarkStart w:id="309" w:name="_Toc265228369"/>
      <w:r/>
      <w:bookmarkStart w:id="310" w:name="_Toc151193845"/>
      <w:r/>
      <w:bookmarkStart w:id="311" w:name="_Toc151193701"/>
      <w:r/>
      <w:bookmarkStart w:id="312" w:name="_Toc164608645"/>
      <w:r/>
      <w:bookmarkStart w:id="313" w:name="_Toc305158799"/>
      <w:r/>
      <w:bookmarkStart w:id="314" w:name="_Toc149720824"/>
      <w:r/>
      <w:bookmarkStart w:id="315" w:name="_Toc150774631"/>
      <w:r/>
      <w:bookmarkStart w:id="316" w:name="_Toc164229226"/>
      <w:r/>
      <w:bookmarkStart w:id="317" w:name="_Toc226337227"/>
      <w:r/>
      <w:bookmarkStart w:id="318" w:name="_Toc127151531"/>
      <w:r/>
      <w:bookmarkStart w:id="319" w:name="_Toc127151732"/>
      <w:r/>
      <w:bookmarkStart w:id="320" w:name="_Toc151190158"/>
      <w:r/>
      <w:bookmarkStart w:id="321" w:name="_Toc226309775"/>
      <w:r/>
      <w:bookmarkStart w:id="322" w:name="_Toc305158873"/>
      <w:r/>
      <w:bookmarkStart w:id="323" w:name="_Toc127161445"/>
      <w:r/>
      <w:bookmarkStart w:id="324" w:name="_Toc151193629"/>
      <w:r/>
      <w:bookmarkStart w:id="325" w:name="_Toc195842896"/>
      <w:r/>
      <w:bookmarkStart w:id="326" w:name="_Toc150480769"/>
      <w:r/>
      <w:bookmarkStart w:id="327" w:name="_Toc520356156"/>
      <w:r/>
      <w:bookmarkStart w:id="328" w:name="_Toc264969221"/>
      <w:r/>
      <w:bookmarkStart w:id="329" w:name="_Toc151193773"/>
      <w:r/>
      <w:bookmarkStart w:id="330" w:name="_Toc142311033"/>
      <w:r/>
      <w:bookmarkStart w:id="331" w:name="_Ref467306513"/>
      <w:r/>
      <w:bookmarkStart w:id="332" w:name="_Toc151193919"/>
      <w:r/>
      <w:bookmarkStart w:id="333" w:name="_Toc164229372"/>
      <w:r/>
      <w:bookmarkStart w:id="334" w:name="_Toc150509282"/>
      <w:r/>
      <w:bookmarkStart w:id="335" w:name="_Toc226965721"/>
      <w:r>
        <w:rPr>
          <w:sz w:val="24"/>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9"/>
        </w:numPr>
        <w:spacing w:line="360" w:lineRule="auto"/>
        <w:tabs>
          <w:tab w:val="left" w:pos="360" w:leader="none"/>
        </w:tabs>
        <w:rPr>
          <w:sz w:val="24"/>
        </w:rPr>
        <w:outlineLvl w:val="2"/>
      </w:pPr>
      <w:r/>
      <w:bookmarkStart w:id="336" w:name="_Toc150509283"/>
      <w:r/>
      <w:bookmarkStart w:id="337" w:name="_Toc226309776"/>
      <w:r/>
      <w:bookmarkStart w:id="338" w:name="_Toc149720825"/>
      <w:r/>
      <w:bookmarkStart w:id="339" w:name="_Toc305158800"/>
      <w:r/>
      <w:bookmarkStart w:id="340" w:name="_Toc226337228"/>
      <w:r/>
      <w:bookmarkStart w:id="341" w:name="_Toc150480770"/>
      <w:r/>
      <w:bookmarkStart w:id="342" w:name="_Toc195842897"/>
      <w:r/>
      <w:bookmarkStart w:id="343" w:name="_Toc164608801"/>
      <w:r/>
      <w:bookmarkStart w:id="344" w:name="_Toc265228370"/>
      <w:r/>
      <w:bookmarkStart w:id="345" w:name="_Toc151193702"/>
      <w:r/>
      <w:bookmarkStart w:id="346" w:name="_Toc127161446"/>
      <w:r/>
      <w:bookmarkStart w:id="347" w:name="_Toc150774632"/>
      <w:r/>
      <w:bookmarkStart w:id="348" w:name="_Toc164229227"/>
      <w:r/>
      <w:bookmarkStart w:id="349" w:name="_Toc164229373"/>
      <w:r/>
      <w:bookmarkStart w:id="350" w:name="_Toc150774737"/>
      <w:r/>
      <w:bookmarkStart w:id="351" w:name="_Toc151193630"/>
      <w:r/>
      <w:bookmarkStart w:id="352" w:name="_Toc164608646"/>
      <w:r/>
      <w:bookmarkStart w:id="353" w:name="_Toc151193920"/>
      <w:r/>
      <w:bookmarkStart w:id="354" w:name="_Toc142311034"/>
      <w:r/>
      <w:bookmarkStart w:id="355" w:name="_Toc151190159"/>
      <w:r/>
      <w:bookmarkStart w:id="356" w:name="_Toc127151532"/>
      <w:r/>
      <w:bookmarkStart w:id="357" w:name="_Toc520356157"/>
      <w:r/>
      <w:bookmarkStart w:id="358" w:name="_Toc305158874"/>
      <w:r/>
      <w:bookmarkStart w:id="359" w:name="_Toc164351626"/>
      <w:r/>
      <w:bookmarkStart w:id="360" w:name="_Toc264969222"/>
      <w:r/>
      <w:bookmarkStart w:id="361" w:name="_Toc151193846"/>
      <w:r/>
      <w:bookmarkStart w:id="362" w:name="_Toc151193774"/>
      <w:r/>
      <w:bookmarkStart w:id="363" w:name="_Toc226965805"/>
      <w:r/>
      <w:bookmarkStart w:id="364" w:name="_Toc127151733"/>
      <w:r/>
      <w:bookmarkStart w:id="365" w:name="_Toc226965722"/>
      <w:r>
        <w:rPr>
          <w:sz w:val="24"/>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numPr>
          <w:ilvl w:val="1"/>
          <w:numId w:val="9"/>
        </w:numPr>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spacing w:line="360" w:lineRule="auto"/>
        <w:tabs>
          <w:tab w:val="left" w:pos="360" w:leader="none"/>
        </w:tabs>
        <w:rPr>
          <w:sz w:val="24"/>
        </w:rPr>
        <w:outlineLvl w:val="2"/>
      </w:pPr>
      <w:r/>
      <w:bookmarkStart w:id="366" w:name="_Toc520356158"/>
      <w:r/>
      <w:bookmarkStart w:id="367" w:name="_Toc264969223"/>
      <w:r/>
      <w:bookmarkStart w:id="368" w:name="_Toc305158801"/>
      <w:r/>
      <w:bookmarkStart w:id="369" w:name="_Toc226309777"/>
      <w:r/>
      <w:bookmarkStart w:id="370" w:name="_Toc164229374"/>
      <w:r/>
      <w:bookmarkStart w:id="371" w:name="_Toc151193631"/>
      <w:r/>
      <w:bookmarkStart w:id="372" w:name="_Toc226965806"/>
      <w:r/>
      <w:bookmarkStart w:id="373" w:name="_Toc127151533"/>
      <w:r/>
      <w:bookmarkStart w:id="374" w:name="_Toc265228371"/>
      <w:r/>
      <w:bookmarkStart w:id="375" w:name="_Toc150774633"/>
      <w:r/>
      <w:bookmarkStart w:id="376" w:name="_Toc164229228"/>
      <w:r/>
      <w:bookmarkStart w:id="377" w:name="_Toc127151734"/>
      <w:r/>
      <w:bookmarkStart w:id="378" w:name="_Toc150480771"/>
      <w:r/>
      <w:bookmarkStart w:id="379" w:name="_Toc195842898"/>
      <w:r/>
      <w:bookmarkStart w:id="380" w:name="_Toc164351627"/>
      <w:r/>
      <w:bookmarkStart w:id="381" w:name="_Toc127161447"/>
      <w:r/>
      <w:bookmarkStart w:id="382" w:name="_Toc164608802"/>
      <w:r/>
      <w:bookmarkStart w:id="383" w:name="_Toc226965723"/>
      <w:r/>
      <w:bookmarkStart w:id="384" w:name="_Toc151193775"/>
      <w:r/>
      <w:bookmarkStart w:id="385" w:name="_Toc151193847"/>
      <w:r/>
      <w:bookmarkStart w:id="386" w:name="_Toc151193921"/>
      <w:r/>
      <w:bookmarkStart w:id="387" w:name="_Toc142311035"/>
      <w:r/>
      <w:bookmarkStart w:id="388" w:name="_Toc305158875"/>
      <w:r/>
      <w:bookmarkStart w:id="389" w:name="_Toc164608647"/>
      <w:r/>
      <w:bookmarkStart w:id="390" w:name="_Toc149720826"/>
      <w:r/>
      <w:bookmarkStart w:id="391" w:name="_Toc150774738"/>
      <w:r/>
      <w:bookmarkStart w:id="392" w:name="_Toc151190160"/>
      <w:r/>
      <w:bookmarkStart w:id="393" w:name="_Toc150509284"/>
      <w:r/>
      <w:bookmarkStart w:id="394" w:name="_Toc226337229"/>
      <w:r/>
      <w:bookmarkStart w:id="395" w:name="_Toc151193703"/>
      <w:r/>
      <w:bookmarkStart w:id="396" w:name="_Toc226309778"/>
      <w:r/>
      <w:bookmarkStart w:id="397" w:name="_Toc150774739"/>
      <w:r/>
      <w:bookmarkStart w:id="398" w:name="_Toc150480772"/>
      <w:r/>
      <w:bookmarkStart w:id="399" w:name="_Toc150509285"/>
      <w:r/>
      <w:bookmarkStart w:id="400" w:name="_Toc265228372"/>
      <w:r/>
      <w:bookmarkStart w:id="401" w:name="_Toc151193776"/>
      <w:r/>
      <w:bookmarkStart w:id="402" w:name="_Toc151193922"/>
      <w:r/>
      <w:bookmarkStart w:id="403" w:name="_Toc264969224"/>
      <w:r/>
      <w:bookmarkStart w:id="404" w:name="_Toc142311036"/>
      <w:r/>
      <w:bookmarkStart w:id="405" w:name="_Toc520356159"/>
      <w:r/>
      <w:bookmarkStart w:id="406" w:name="_Toc226965807"/>
      <w:r/>
      <w:bookmarkStart w:id="407" w:name="_Toc151193848"/>
      <w:r/>
      <w:bookmarkStart w:id="408" w:name="_Toc150774634"/>
      <w:r/>
      <w:bookmarkStart w:id="409" w:name="_Toc151190161"/>
      <w:r/>
      <w:bookmarkStart w:id="410" w:name="_Toc195842899"/>
      <w:r/>
      <w:bookmarkStart w:id="411" w:name="_Toc226337230"/>
      <w:r/>
      <w:bookmarkStart w:id="412" w:name="_Toc151193632"/>
      <w:r/>
      <w:bookmarkStart w:id="413" w:name="_Toc305158802"/>
      <w:r/>
      <w:bookmarkStart w:id="414" w:name="_Toc151193704"/>
      <w:r/>
      <w:bookmarkStart w:id="415" w:name="_Toc127151534"/>
      <w:r/>
      <w:bookmarkStart w:id="416" w:name="_Toc226965724"/>
      <w:r/>
      <w:bookmarkStart w:id="417" w:name="_Toc305158876"/>
      <w:r>
        <w:rPr>
          <w:sz w:val="24"/>
        </w:rPr>
        <w:t xml:space="preserve">投标文件的签署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rPr>
        <w:t xml:space="preserve">、加盖公章</w:t>
      </w:r>
      <w:r/>
    </w:p>
    <w:p>
      <w:pPr>
        <w:numPr>
          <w:ilvl w:val="1"/>
          <w:numId w:val="9"/>
        </w:numPr>
        <w:spacing w:line="360" w:lineRule="auto"/>
        <w:tabs>
          <w:tab w:val="left" w:pos="1080" w:leader="none"/>
          <w:tab w:val="left" w:pos="2014" w:leader="none"/>
        </w:tabs>
        <w:rPr>
          <w:sz w:val="24"/>
        </w:rPr>
      </w:pPr>
      <w:r>
        <w:rPr>
          <w:rFonts w:hint="eastAsia"/>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sz w:val="24"/>
        </w:rPr>
        <w:t xml:space="preserve">。</w:t>
      </w:r>
      <w:r/>
    </w:p>
    <w:p>
      <w:pPr>
        <w:numPr>
          <w:ilvl w:val="1"/>
          <w:numId w:val="9"/>
        </w:numPr>
        <w:spacing w:line="360" w:lineRule="auto"/>
        <w:tabs>
          <w:tab w:val="left" w:pos="1080" w:leader="none"/>
          <w:tab w:val="left" w:pos="2014" w:leader="none"/>
        </w:tabs>
        <w:rPr>
          <w:sz w:val="24"/>
        </w:rPr>
      </w:pPr>
      <w:r>
        <w:rPr>
          <w:rFonts w:hint="eastAsia"/>
          <w:sz w:val="24"/>
        </w:rPr>
        <w:t xml:space="preserve">招标文件要求加盖公章的内容，一般通过投标文件编制工具加盖电子签章</w:t>
      </w:r>
      <w:r>
        <w:rPr>
          <w:sz w:val="24"/>
        </w:rPr>
        <w:t xml:space="preserve">。</w:t>
      </w:r>
      <w:r/>
    </w:p>
    <w:p>
      <w:pPr>
        <w:ind w:left="357"/>
        <w:spacing w:line="360" w:lineRule="auto"/>
        <w:tabs>
          <w:tab w:val="left" w:pos="900" w:leader="none"/>
          <w:tab w:val="left" w:pos="1080" w:leader="none"/>
        </w:tabs>
      </w:pPr>
      <w:r/>
      <w:r/>
    </w:p>
    <w:p>
      <w:pPr>
        <w:pStyle w:val="935"/>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numPr>
          <w:ilvl w:val="0"/>
          <w:numId w:val="9"/>
        </w:numPr>
        <w:spacing w:line="360" w:lineRule="auto"/>
        <w:tabs>
          <w:tab w:val="left" w:pos="360" w:leader="none"/>
        </w:tabs>
        <w:rPr>
          <w:sz w:val="24"/>
        </w:rPr>
        <w:outlineLvl w:val="2"/>
      </w:pPr>
      <w:r/>
      <w:bookmarkStart w:id="418" w:name="_Toc142311037"/>
      <w:r/>
      <w:bookmarkStart w:id="419" w:name="_Toc150480773"/>
      <w:r/>
      <w:bookmarkStart w:id="420" w:name="_Toc151193849"/>
      <w:r/>
      <w:bookmarkStart w:id="421" w:name="_Toc164608649"/>
      <w:r/>
      <w:bookmarkStart w:id="422" w:name="_Toc127151535"/>
      <w:r/>
      <w:bookmarkStart w:id="423" w:name="_Toc226309779"/>
      <w:r/>
      <w:bookmarkStart w:id="424" w:name="_Toc151193633"/>
      <w:r/>
      <w:bookmarkStart w:id="425" w:name="_Toc151193923"/>
      <w:r/>
      <w:bookmarkStart w:id="426" w:name="_Toc150774635"/>
      <w:r/>
      <w:bookmarkStart w:id="427" w:name="_Toc264969225"/>
      <w:r/>
      <w:bookmarkStart w:id="428" w:name="_Toc127161449"/>
      <w:r/>
      <w:bookmarkStart w:id="429" w:name="_Toc226337231"/>
      <w:r/>
      <w:bookmarkStart w:id="430" w:name="_Toc164229230"/>
      <w:r/>
      <w:bookmarkStart w:id="431" w:name="_Toc265228373"/>
      <w:r/>
      <w:bookmarkStart w:id="432" w:name="_Toc164351629"/>
      <w:r/>
      <w:bookmarkStart w:id="433" w:name="_Toc127151736"/>
      <w:r/>
      <w:bookmarkStart w:id="434" w:name="_Toc305158877"/>
      <w:r/>
      <w:bookmarkStart w:id="435" w:name="_Toc149720828"/>
      <w:r/>
      <w:bookmarkStart w:id="436" w:name="_Toc305158803"/>
      <w:r/>
      <w:bookmarkStart w:id="437" w:name="_Toc226965725"/>
      <w:r/>
      <w:bookmarkStart w:id="438" w:name="_Toc150774740"/>
      <w:r/>
      <w:bookmarkStart w:id="439" w:name="_Toc150509286"/>
      <w:r/>
      <w:bookmarkStart w:id="440" w:name="_Toc195842900"/>
      <w:r/>
      <w:bookmarkStart w:id="441" w:name="_Toc151193705"/>
      <w:r/>
      <w:bookmarkStart w:id="442" w:name="_Toc520356160"/>
      <w:r/>
      <w:bookmarkStart w:id="443" w:name="_Toc151193777"/>
      <w:r/>
      <w:bookmarkStart w:id="444" w:name="_Toc226965808"/>
      <w:r/>
      <w:bookmarkStart w:id="445" w:name="_Toc164229376"/>
      <w:r/>
      <w:bookmarkStart w:id="446" w:name="_Toc164608804"/>
      <w:r/>
      <w:bookmarkStart w:id="447" w:name="_Toc151190162"/>
      <w:r>
        <w:rPr>
          <w:rFonts w:hint="eastAsia"/>
          <w:sz w:val="24"/>
        </w:rPr>
        <w:t xml:space="preserve">投标</w:t>
      </w:r>
      <w:r>
        <w:rPr>
          <w:sz w:val="24"/>
        </w:rPr>
        <w:t xml:space="preserve">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sz w:val="24"/>
        </w:rPr>
        <w:t xml:space="preserve">提交</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本项目使用“苏采云”政府采购一体化平台。投标人根据招标文件及“苏采云”政府采购一体化平台供应商操作手册要求编制、生成并提交电子投标文件。</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采购人及采购代理机构拒绝接受通过“苏采云”政府采购一体化平台以外任何形式提交的投标文件。</w:t>
      </w:r>
      <w:r/>
    </w:p>
    <w:p>
      <w:pPr>
        <w:numPr>
          <w:ilvl w:val="0"/>
          <w:numId w:val="9"/>
        </w:numPr>
        <w:spacing w:line="360" w:lineRule="auto"/>
        <w:tabs>
          <w:tab w:val="left" w:pos="360" w:leader="none"/>
        </w:tabs>
        <w:rPr>
          <w:rFonts w:hint="eastAsia"/>
          <w:sz w:val="24"/>
        </w:rPr>
        <w:outlineLvl w:val="2"/>
      </w:pPr>
      <w:r/>
      <w:bookmarkStart w:id="448" w:name="_Toc226965809"/>
      <w:r/>
      <w:bookmarkStart w:id="449" w:name="_Toc226337232"/>
      <w:r/>
      <w:bookmarkStart w:id="450" w:name="_Toc520356161"/>
      <w:r/>
      <w:bookmarkStart w:id="451" w:name="_Toc142311038"/>
      <w:r/>
      <w:bookmarkStart w:id="452" w:name="_Toc265228374"/>
      <w:r/>
      <w:bookmarkStart w:id="453" w:name="_Toc151193850"/>
      <w:r/>
      <w:bookmarkStart w:id="454" w:name="_Toc127161450"/>
      <w:r/>
      <w:bookmarkStart w:id="455" w:name="_Toc164608650"/>
      <w:r/>
      <w:bookmarkStart w:id="456" w:name="_Toc150774741"/>
      <w:r/>
      <w:bookmarkStart w:id="457" w:name="_Toc164351630"/>
      <w:r/>
      <w:bookmarkStart w:id="458" w:name="_Toc149720829"/>
      <w:r/>
      <w:bookmarkStart w:id="459" w:name="_Toc305158878"/>
      <w:r/>
      <w:bookmarkStart w:id="460" w:name="_Toc151193924"/>
      <w:r/>
      <w:bookmarkStart w:id="461" w:name="_Toc151193778"/>
      <w:r/>
      <w:bookmarkStart w:id="462" w:name="_Toc226965726"/>
      <w:r/>
      <w:bookmarkStart w:id="463" w:name="_Toc150774636"/>
      <w:r/>
      <w:bookmarkStart w:id="464" w:name="_Toc164608805"/>
      <w:r/>
      <w:bookmarkStart w:id="465" w:name="_Toc150509287"/>
      <w:r/>
      <w:bookmarkStart w:id="466" w:name="_Toc151190163"/>
      <w:r/>
      <w:bookmarkStart w:id="467" w:name="_Toc151193634"/>
      <w:r/>
      <w:bookmarkStart w:id="468" w:name="_Toc305158804"/>
      <w:r/>
      <w:bookmarkStart w:id="469" w:name="_Toc264969226"/>
      <w:r/>
      <w:bookmarkStart w:id="470" w:name="_Toc151193706"/>
      <w:r/>
      <w:bookmarkStart w:id="471" w:name="_Toc127151737"/>
      <w:r/>
      <w:bookmarkStart w:id="472" w:name="_Toc226309780"/>
      <w:r/>
      <w:bookmarkStart w:id="473" w:name="_Toc164229231"/>
      <w:r/>
      <w:bookmarkStart w:id="474" w:name="_Toc150480774"/>
      <w:r/>
      <w:bookmarkStart w:id="475" w:name="_Toc164229377"/>
      <w:r/>
      <w:bookmarkStart w:id="476" w:name="_Toc127151536"/>
      <w:r/>
      <w:bookmarkStart w:id="477" w:name="_Toc195842901"/>
      <w:r>
        <w:rPr>
          <w:rFonts w:hint="eastAsia"/>
          <w:sz w:val="24"/>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sz w:val="24"/>
        </w:rPr>
        <w:t xml:space="preserve">时间</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投标人应在招标文件要求提交投标文件截止时间前，将电子投标文件提交至“苏采云”政府采购一体化平台。</w:t>
      </w:r>
      <w:r/>
    </w:p>
    <w:p>
      <w:pPr>
        <w:numPr>
          <w:ilvl w:val="0"/>
          <w:numId w:val="9"/>
        </w:numPr>
        <w:spacing w:line="360" w:lineRule="auto"/>
        <w:tabs>
          <w:tab w:val="left" w:pos="360" w:leader="none"/>
        </w:tabs>
        <w:rPr>
          <w:rFonts w:hint="eastAsia"/>
          <w:sz w:val="24"/>
        </w:rPr>
        <w:outlineLvl w:val="2"/>
      </w:pPr>
      <w:r/>
      <w:bookmarkStart w:id="478" w:name="_Toc195842902"/>
      <w:r/>
      <w:bookmarkStart w:id="479" w:name="_Toc142311039"/>
      <w:r/>
      <w:bookmarkStart w:id="480" w:name="_Toc305158879"/>
      <w:r/>
      <w:bookmarkStart w:id="481" w:name="_Toc164229232"/>
      <w:r/>
      <w:bookmarkStart w:id="482" w:name="_Toc127151537"/>
      <w:r/>
      <w:bookmarkStart w:id="483" w:name="_Toc164351631"/>
      <w:r/>
      <w:bookmarkStart w:id="484" w:name="_Toc305158805"/>
      <w:r/>
      <w:bookmarkStart w:id="485" w:name="_Toc127161451"/>
      <w:r/>
      <w:bookmarkStart w:id="486" w:name="_Toc151193925"/>
      <w:r/>
      <w:bookmarkStart w:id="487" w:name="_Toc127151738"/>
      <w:r/>
      <w:bookmarkStart w:id="488" w:name="_Toc150774742"/>
      <w:r/>
      <w:bookmarkStart w:id="489" w:name="_Toc151190164"/>
      <w:r/>
      <w:bookmarkStart w:id="490" w:name="_Toc226965727"/>
      <w:r/>
      <w:bookmarkStart w:id="491" w:name="_Toc226337233"/>
      <w:r/>
      <w:bookmarkStart w:id="492" w:name="_Toc151193707"/>
      <w:r/>
      <w:bookmarkStart w:id="493" w:name="_Toc520356162"/>
      <w:r/>
      <w:bookmarkStart w:id="494" w:name="_Toc150774637"/>
      <w:r/>
      <w:bookmarkStart w:id="495" w:name="_Toc264969227"/>
      <w:r/>
      <w:bookmarkStart w:id="496" w:name="_Toc150480775"/>
      <w:r/>
      <w:bookmarkStart w:id="497" w:name="_Toc164608651"/>
      <w:r/>
      <w:bookmarkStart w:id="498" w:name="_Toc164608806"/>
      <w:r/>
      <w:bookmarkStart w:id="499" w:name="_Toc151193851"/>
      <w:r/>
      <w:bookmarkStart w:id="500" w:name="_Toc151193779"/>
      <w:r/>
      <w:bookmarkStart w:id="501" w:name="_Toc226965810"/>
      <w:r/>
      <w:bookmarkStart w:id="502" w:name="_Toc151193635"/>
      <w:r/>
      <w:bookmarkStart w:id="503" w:name="_Toc149720830"/>
      <w:r/>
      <w:bookmarkStart w:id="504" w:name="_Toc150509288"/>
      <w:r/>
      <w:bookmarkStart w:id="505" w:name="_Toc265228375"/>
      <w:r/>
      <w:bookmarkStart w:id="506" w:name="_Toc164229378"/>
      <w:r/>
      <w:bookmarkStart w:id="507" w:name="_Toc226309781"/>
      <w:r>
        <w:rPr>
          <w:rFonts w:hint="eastAsia"/>
          <w:sz w:val="24"/>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投标截止时间前，投标人可以通过“苏采云”政府采购一体化平台对所提交的投标文件进行补充、修改或者撤回。投标保证金的补充、修改或者撤回无需通过“苏采云”政府采购一体化平台，但应就其补充、修改或者撤回通知采购人或采购代理机构</w:t>
      </w:r>
      <w:r>
        <w:rPr>
          <w:sz w:val="24"/>
        </w:rPr>
        <w:t xml:space="preserve">。</w:t>
      </w:r>
      <w:r/>
    </w:p>
    <w:p>
      <w:pPr>
        <w:numPr>
          <w:ilvl w:val="1"/>
          <w:numId w:val="9"/>
        </w:numPr>
        <w:spacing w:line="360" w:lineRule="auto"/>
        <w:tabs>
          <w:tab w:val="left" w:pos="1080" w:leader="none"/>
          <w:tab w:val="left" w:pos="2014" w:leader="none"/>
        </w:tabs>
        <w:rPr>
          <w:sz w:val="24"/>
        </w:rPr>
      </w:pPr>
      <w:r>
        <w:rPr>
          <w:rFonts w:hint="eastAsia"/>
          <w:sz w:val="24"/>
        </w:rPr>
        <w:t xml:space="preserve">投标人对投标文件的补充、修改的内容应当按照招标文件要求签署、加盖公章，作为投标文件的组成部分。补充、修改的内容与投标文件不一致的，以补充、修改的内容为准。</w:t>
      </w:r>
      <w:r/>
    </w:p>
    <w:p>
      <w:pPr>
        <w:spacing w:line="360" w:lineRule="auto"/>
        <w:tabs>
          <w:tab w:val="left" w:pos="1080" w:leader="none"/>
          <w:tab w:val="left" w:pos="2014" w:leader="none"/>
        </w:tabs>
        <w:rPr>
          <w:sz w:val="24"/>
        </w:rPr>
      </w:pPr>
      <w:r>
        <w:rPr>
          <w:sz w:val="24"/>
        </w:rPr>
      </w:r>
      <w:r/>
    </w:p>
    <w:p>
      <w:pPr>
        <w:spacing w:line="360" w:lineRule="auto"/>
        <w:rPr>
          <w:sz w:val="24"/>
        </w:rPr>
      </w:pPr>
      <w:r>
        <w:rPr>
          <w:sz w:val="24"/>
        </w:rPr>
      </w:r>
      <w:r/>
    </w:p>
    <w:p>
      <w:pPr>
        <w:pStyle w:val="935"/>
        <w:spacing w:before="0" w:line="360" w:lineRule="auto"/>
        <w:rPr>
          <w:rFonts w:ascii="Times New Roman" w:hAnsi="Times New Roman" w:eastAsia="宋体"/>
          <w:sz w:val="28"/>
        </w:rPr>
      </w:pPr>
      <w:r/>
      <w:bookmarkStart w:id="508" w:name="_Toc151193926"/>
      <w:r/>
      <w:bookmarkStart w:id="509" w:name="_Toc226965811"/>
      <w:r/>
      <w:bookmarkStart w:id="510" w:name="_Toc127151538"/>
      <w:r/>
      <w:bookmarkStart w:id="511" w:name="_Toc151193636"/>
      <w:r/>
      <w:bookmarkStart w:id="512" w:name="_Toc150509289"/>
      <w:r/>
      <w:bookmarkStart w:id="513" w:name="_Toc226337234"/>
      <w:r/>
      <w:bookmarkStart w:id="514" w:name="_Toc265228376"/>
      <w:r/>
      <w:bookmarkStart w:id="515" w:name="_Toc305158806"/>
      <w:r/>
      <w:bookmarkStart w:id="516" w:name="_Toc264969228"/>
      <w:r/>
      <w:bookmarkStart w:id="517" w:name="_Toc151193708"/>
      <w:r/>
      <w:bookmarkStart w:id="518" w:name="_Toc151190165"/>
      <w:r/>
      <w:bookmarkStart w:id="519" w:name="_Toc150774638"/>
      <w:r/>
      <w:bookmarkStart w:id="520" w:name="_Toc195842903"/>
      <w:r/>
      <w:bookmarkStart w:id="521" w:name="_Toc151193852"/>
      <w:r/>
      <w:bookmarkStart w:id="522" w:name="_Toc150480776"/>
      <w:r/>
      <w:bookmarkStart w:id="523" w:name="_Toc150774743"/>
      <w:r/>
      <w:bookmarkStart w:id="524" w:name="_Toc305158880"/>
      <w:r/>
      <w:bookmarkStart w:id="525" w:name="_Toc142311040"/>
      <w:r/>
      <w:bookmarkStart w:id="526" w:name="_Toc520356163"/>
      <w:r/>
      <w:bookmarkStart w:id="527" w:name="_Toc151193780"/>
      <w:r/>
      <w:bookmarkStart w:id="528" w:name="_Toc226309782"/>
      <w:r/>
      <w:bookmarkStart w:id="529" w:name="_Toc226965728"/>
      <w:r>
        <w:rPr>
          <w:rFonts w:ascii="Times New Roman" w:hAnsi="Times New Roman" w:eastAsia="宋体"/>
          <w:sz w:val="28"/>
        </w:rPr>
        <w:t xml:space="preserve">五   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numPr>
          <w:ilvl w:val="0"/>
          <w:numId w:val="9"/>
        </w:numPr>
        <w:spacing w:line="360" w:lineRule="auto"/>
        <w:tabs>
          <w:tab w:val="left" w:pos="360" w:leader="none"/>
        </w:tabs>
        <w:rPr>
          <w:sz w:val="24"/>
        </w:rPr>
        <w:outlineLvl w:val="2"/>
      </w:pPr>
      <w:r/>
      <w:bookmarkStart w:id="530" w:name="_Toc127151539"/>
      <w:r/>
      <w:bookmarkStart w:id="531" w:name="_Toc164229380"/>
      <w:r/>
      <w:bookmarkStart w:id="532" w:name="_Toc520356164"/>
      <w:r/>
      <w:bookmarkStart w:id="533" w:name="_Toc151193709"/>
      <w:r/>
      <w:bookmarkStart w:id="534" w:name="_Toc150774639"/>
      <w:r/>
      <w:bookmarkStart w:id="535" w:name="_Toc164608808"/>
      <w:r/>
      <w:bookmarkStart w:id="536" w:name="_Toc150480777"/>
      <w:r/>
      <w:bookmarkStart w:id="537" w:name="_Toc305158881"/>
      <w:r/>
      <w:bookmarkStart w:id="538" w:name="_Toc164608653"/>
      <w:r/>
      <w:bookmarkStart w:id="539" w:name="_Toc164229234"/>
      <w:r/>
      <w:bookmarkStart w:id="540" w:name="_Toc264969229"/>
      <w:r/>
      <w:bookmarkStart w:id="541" w:name="_Toc151190166"/>
      <w:r/>
      <w:bookmarkStart w:id="542" w:name="_Toc151193853"/>
      <w:r/>
      <w:bookmarkStart w:id="543" w:name="_Toc226965812"/>
      <w:r/>
      <w:bookmarkStart w:id="544" w:name="_Toc151193927"/>
      <w:r/>
      <w:bookmarkStart w:id="545" w:name="_Toc151193781"/>
      <w:r/>
      <w:bookmarkStart w:id="546" w:name="_Toc127161453"/>
      <w:r/>
      <w:bookmarkStart w:id="547" w:name="_Toc150509290"/>
      <w:r/>
      <w:bookmarkStart w:id="548" w:name="_Toc151193637"/>
      <w:r/>
      <w:bookmarkStart w:id="549" w:name="_Toc226309783"/>
      <w:r/>
      <w:bookmarkStart w:id="550" w:name="_Toc127151740"/>
      <w:r/>
      <w:bookmarkStart w:id="551" w:name="_Toc164351633"/>
      <w:r/>
      <w:bookmarkStart w:id="552" w:name="_Toc226337235"/>
      <w:r/>
      <w:bookmarkStart w:id="553" w:name="_Toc142311041"/>
      <w:r/>
      <w:bookmarkStart w:id="554" w:name="_Toc149720832"/>
      <w:r/>
      <w:bookmarkStart w:id="555" w:name="_Toc195842904"/>
      <w:r/>
      <w:bookmarkStart w:id="556" w:name="_Toc265228377"/>
      <w:r/>
      <w:bookmarkStart w:id="557" w:name="_Toc305158807"/>
      <w:r/>
      <w:bookmarkStart w:id="558" w:name="_Toc226965729"/>
      <w:r/>
      <w:bookmarkStart w:id="559" w:name="_Toc150774744"/>
      <w:r>
        <w:rPr>
          <w:sz w:val="24"/>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numPr>
          <w:ilvl w:val="1"/>
          <w:numId w:val="9"/>
        </w:numPr>
        <w:spacing w:line="360" w:lineRule="auto"/>
        <w:tabs>
          <w:tab w:val="left" w:pos="1080" w:leader="none"/>
          <w:tab w:val="left" w:pos="2014" w:leader="none"/>
        </w:tabs>
        <w:rPr>
          <w:rFonts w:hint="eastAsia"/>
          <w:sz w:val="24"/>
        </w:rPr>
      </w:pPr>
      <w:r/>
      <w:bookmarkStart w:id="560" w:name="_Toc520356165"/>
      <w:r>
        <w:rPr>
          <w:rFonts w:hint="eastAsia"/>
          <w:sz w:val="24"/>
        </w:rPr>
        <w:t xml:space="preserve">采购人或采购代理机构将按招标文件的规定，在投标截止时间的同一时间和招标文件预先确定的地点组织开标。</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本项目开标采用不见面招投标模式，使用“苏采云”政府采购一体化平台在线进行开标。投标人应在规定的时间内对投标文件进行解密，因非系统原因导致的解密失败，视为</w:t>
      </w:r>
      <w:r>
        <w:rPr>
          <w:rFonts w:hint="eastAsia"/>
          <w:b/>
          <w:bCs/>
          <w:sz w:val="24"/>
        </w:rPr>
        <w:t xml:space="preserve">投标无效</w:t>
      </w:r>
      <w:r>
        <w:rPr>
          <w:rFonts w:hint="eastAsia"/>
          <w:sz w:val="24"/>
        </w:rPr>
        <w:t xml:space="preserve">。</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投标人不足3家的，不予开标。</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因本项目采用不见面交易的方式，在开标、评标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9"/>
        </w:numPr>
        <w:spacing w:line="360" w:lineRule="auto"/>
        <w:tabs>
          <w:tab w:val="left" w:pos="1080" w:leader="none"/>
          <w:tab w:val="left" w:pos="2014" w:leader="none"/>
        </w:tabs>
        <w:rPr>
          <w:rFonts w:hint="eastAsia"/>
          <w:sz w:val="24"/>
        </w:rPr>
      </w:pPr>
      <w:r>
        <w:rPr>
          <w:rFonts w:hint="eastAsia"/>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rFonts w:hint="eastAsia"/>
          <w:sz w:val="24"/>
        </w:rPr>
        <w:br w:type="textWrapping" w:clear="all"/>
      </w:r>
      <w:r>
        <w:rPr>
          <w:rFonts w:hint="eastAsia"/>
          <w:sz w:val="24"/>
        </w:rPr>
        <w:t xml:space="preserve"> 1)平台系统发生故障而无法登录访问的；</w:t>
      </w:r>
      <w:r/>
    </w:p>
    <w:p>
      <w:pPr>
        <w:ind w:left="567" w:firstLine="631"/>
        <w:spacing w:line="360" w:lineRule="auto"/>
        <w:tabs>
          <w:tab w:val="left" w:pos="1080" w:leader="none"/>
          <w:tab w:val="left" w:pos="2014" w:leader="none"/>
        </w:tabs>
        <w:rPr>
          <w:rFonts w:hint="eastAsia"/>
          <w:sz w:val="24"/>
        </w:rPr>
      </w:pPr>
      <w:r>
        <w:rPr>
          <w:rFonts w:hint="eastAsia"/>
          <w:sz w:val="24"/>
        </w:rPr>
        <w:t xml:space="preserve">2)平台系统应用或数据库出现错误，不能进行正常操作的；</w:t>
      </w:r>
      <w:r/>
    </w:p>
    <w:p>
      <w:pPr>
        <w:ind w:left="567" w:firstLine="631"/>
        <w:spacing w:line="360" w:lineRule="auto"/>
        <w:tabs>
          <w:tab w:val="left" w:pos="1080" w:leader="none"/>
          <w:tab w:val="left" w:pos="2014" w:leader="none"/>
        </w:tabs>
        <w:rPr>
          <w:rFonts w:hint="eastAsia"/>
          <w:sz w:val="24"/>
        </w:rPr>
      </w:pPr>
      <w:r>
        <w:rPr>
          <w:rFonts w:hint="eastAsia"/>
          <w:sz w:val="24"/>
        </w:rPr>
        <w:t xml:space="preserve">3)平台系统发现严重安全漏洞，有潜在泄密危险的；</w:t>
      </w:r>
      <w:r/>
    </w:p>
    <w:p>
      <w:pPr>
        <w:ind w:left="567" w:firstLine="631"/>
        <w:spacing w:line="360" w:lineRule="auto"/>
        <w:tabs>
          <w:tab w:val="left" w:pos="1080" w:leader="none"/>
          <w:tab w:val="left" w:pos="2014" w:leader="none"/>
        </w:tabs>
        <w:rPr>
          <w:rFonts w:hint="eastAsia"/>
          <w:sz w:val="24"/>
        </w:rPr>
      </w:pPr>
      <w:r>
        <w:rPr>
          <w:rFonts w:hint="eastAsia"/>
          <w:sz w:val="24"/>
        </w:rPr>
        <w:t xml:space="preserve">4)病毒发作导致平台系统不能进行正常操作的；</w:t>
      </w:r>
      <w:r/>
    </w:p>
    <w:p>
      <w:pPr>
        <w:ind w:left="567" w:firstLine="631"/>
        <w:spacing w:line="360" w:lineRule="auto"/>
        <w:tabs>
          <w:tab w:val="left" w:pos="1080" w:leader="none"/>
          <w:tab w:val="left" w:pos="2014" w:leader="none"/>
        </w:tabs>
        <w:rPr>
          <w:rFonts w:hint="eastAsia"/>
          <w:sz w:val="24"/>
        </w:rPr>
      </w:pPr>
      <w:r>
        <w:rPr>
          <w:rFonts w:hint="eastAsia"/>
          <w:sz w:val="24"/>
        </w:rPr>
        <w:t xml:space="preserve">5)其他无法保证本次采购活动的公平、公正和安全的情况。</w:t>
      </w:r>
      <w:r/>
    </w:p>
    <w:p>
      <w:pPr>
        <w:ind w:left="1050"/>
        <w:spacing w:line="360" w:lineRule="auto"/>
        <w:tabs>
          <w:tab w:val="left" w:pos="360" w:leader="none"/>
        </w:tabs>
        <w:rPr>
          <w:sz w:val="24"/>
        </w:rPr>
        <w:outlineLvl w:val="2"/>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9"/>
        </w:numPr>
        <w:spacing w:line="360" w:lineRule="auto"/>
        <w:tabs>
          <w:tab w:val="left" w:pos="360" w:leader="none"/>
        </w:tabs>
        <w:rPr>
          <w:sz w:val="24"/>
        </w:rPr>
        <w:outlineLvl w:val="2"/>
      </w:pPr>
      <w:r>
        <w:rPr>
          <w:sz w:val="24"/>
        </w:rPr>
        <w:t xml:space="preserve">资格审查</w:t>
      </w:r>
      <w:r/>
    </w:p>
    <w:p>
      <w:pPr>
        <w:numPr>
          <w:ilvl w:val="1"/>
          <w:numId w:val="9"/>
        </w:numPr>
        <w:spacing w:line="360" w:lineRule="auto"/>
        <w:tabs>
          <w:tab w:val="left" w:pos="1080" w:leader="none"/>
          <w:tab w:val="left" w:pos="2014" w:leader="none"/>
        </w:tabs>
        <w:rPr>
          <w:sz w:val="24"/>
        </w:rPr>
      </w:pPr>
      <w:r>
        <w:rPr>
          <w:sz w:val="24"/>
        </w:rPr>
        <w:t xml:space="preserve">见第三章《资格审查》。</w:t>
      </w:r>
      <w:bookmarkEnd w:id="560"/>
      <w:r/>
    </w:p>
    <w:p>
      <w:pPr>
        <w:numPr>
          <w:ilvl w:val="0"/>
          <w:numId w:val="9"/>
        </w:numPr>
        <w:spacing w:line="360" w:lineRule="auto"/>
        <w:tabs>
          <w:tab w:val="left" w:pos="360" w:leader="none"/>
        </w:tabs>
        <w:rPr>
          <w:sz w:val="24"/>
        </w:rPr>
        <w:outlineLvl w:val="2"/>
      </w:pPr>
      <w:r/>
      <w:bookmarkStart w:id="561" w:name="_Toc226965730"/>
      <w:r/>
      <w:bookmarkStart w:id="562" w:name="_Toc151190167"/>
      <w:r/>
      <w:bookmarkStart w:id="563" w:name="_Toc127151741"/>
      <w:r/>
      <w:bookmarkStart w:id="564" w:name="_Toc195842905"/>
      <w:r/>
      <w:bookmarkStart w:id="565" w:name="_Toc226337236"/>
      <w:r/>
      <w:bookmarkStart w:id="566" w:name="_Toc226965813"/>
      <w:r/>
      <w:bookmarkStart w:id="567" w:name="_Toc164608654"/>
      <w:r/>
      <w:bookmarkStart w:id="568" w:name="_Toc164608809"/>
      <w:r/>
      <w:bookmarkStart w:id="569" w:name="_Toc226309784"/>
      <w:r/>
      <w:bookmarkStart w:id="570" w:name="_Toc265228378"/>
      <w:r/>
      <w:bookmarkStart w:id="571" w:name="_Toc164229381"/>
      <w:r/>
      <w:bookmarkStart w:id="572" w:name="_Toc150774745"/>
      <w:r/>
      <w:bookmarkStart w:id="573" w:name="_Toc142311042"/>
      <w:r/>
      <w:bookmarkStart w:id="574" w:name="_Toc151193782"/>
      <w:r/>
      <w:bookmarkStart w:id="575" w:name="_Toc151193710"/>
      <w:r/>
      <w:bookmarkStart w:id="576" w:name="_Toc150774640"/>
      <w:r/>
      <w:bookmarkStart w:id="577" w:name="_Toc305158808"/>
      <w:r/>
      <w:bookmarkStart w:id="578" w:name="_Toc164351634"/>
      <w:r/>
      <w:bookmarkStart w:id="579" w:name="_Toc151193854"/>
      <w:r/>
      <w:bookmarkStart w:id="580" w:name="_Toc149720833"/>
      <w:r/>
      <w:bookmarkStart w:id="581" w:name="_Toc127151540"/>
      <w:r/>
      <w:bookmarkStart w:id="582" w:name="_Toc150509291"/>
      <w:r/>
      <w:bookmarkStart w:id="583" w:name="_Toc127161454"/>
      <w:r/>
      <w:bookmarkStart w:id="584" w:name="_Toc305158882"/>
      <w:r/>
      <w:bookmarkStart w:id="585" w:name="_Toc164229235"/>
      <w:r/>
      <w:bookmarkStart w:id="586" w:name="_Toc151193928"/>
      <w:r/>
      <w:bookmarkStart w:id="587" w:name="_Toc151193638"/>
      <w:r/>
      <w:bookmarkStart w:id="588" w:name="_Toc150480778"/>
      <w:r/>
      <w:bookmarkStart w:id="589" w:name="_Toc264969230"/>
      <w:r>
        <w:rPr>
          <w:sz w:val="24"/>
        </w:rPr>
        <w:t xml:space="preserve">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numPr>
          <w:ilvl w:val="1"/>
          <w:numId w:val="9"/>
        </w:numPr>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0" w:name="_Toc520356166"/>
      <w:r/>
      <w:r/>
    </w:p>
    <w:p>
      <w:pPr>
        <w:numPr>
          <w:ilvl w:val="1"/>
          <w:numId w:val="9"/>
        </w:numPr>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0"/>
      <w:r/>
      <w:bookmarkStart w:id="591" w:name="_Toc520356169"/>
      <w:r/>
      <w:r/>
    </w:p>
    <w:p>
      <w:pPr>
        <w:numPr>
          <w:ilvl w:val="0"/>
          <w:numId w:val="9"/>
        </w:numPr>
        <w:spacing w:line="360" w:lineRule="auto"/>
        <w:tabs>
          <w:tab w:val="left" w:pos="360" w:leader="none"/>
        </w:tabs>
        <w:rPr>
          <w:sz w:val="24"/>
        </w:rPr>
        <w:outlineLvl w:val="2"/>
      </w:pPr>
      <w:r>
        <w:rPr>
          <w:sz w:val="24"/>
        </w:rPr>
        <w:t xml:space="preserve">评标程序、评标方法和评标标准</w:t>
      </w:r>
      <w:r/>
    </w:p>
    <w:p>
      <w:pPr>
        <w:numPr>
          <w:ilvl w:val="1"/>
          <w:numId w:val="9"/>
        </w:numPr>
        <w:spacing w:line="360" w:lineRule="auto"/>
        <w:tabs>
          <w:tab w:val="left" w:pos="1080" w:leader="none"/>
          <w:tab w:val="left" w:pos="2014" w:leader="none"/>
        </w:tabs>
        <w:rPr>
          <w:sz w:val="24"/>
        </w:rPr>
      </w:pPr>
      <w:r>
        <w:rPr>
          <w:sz w:val="24"/>
        </w:rPr>
        <w:t xml:space="preserve">见第四章《评标程序、评标方法和评标标准》。</w:t>
      </w:r>
      <w:r/>
    </w:p>
    <w:p>
      <w:pPr>
        <w:pStyle w:val="935"/>
        <w:spacing w:before="0" w:line="360" w:lineRule="auto"/>
        <w:rPr>
          <w:rFonts w:ascii="Times New Roman" w:hAnsi="Times New Roman" w:eastAsia="宋体"/>
          <w:sz w:val="28"/>
        </w:rPr>
      </w:pPr>
      <w:r/>
      <w:bookmarkStart w:id="592" w:name="_Toc151193643"/>
      <w:r/>
      <w:bookmarkStart w:id="593" w:name="_Toc151190172"/>
      <w:r/>
      <w:bookmarkStart w:id="594" w:name="_Toc151193859"/>
      <w:r/>
      <w:bookmarkStart w:id="595" w:name="_Toc150509296"/>
      <w:r/>
      <w:bookmarkStart w:id="596" w:name="_Toc264969235"/>
      <w:r/>
      <w:bookmarkStart w:id="597" w:name="_Toc305158887"/>
      <w:r/>
      <w:bookmarkStart w:id="598" w:name="_Toc150480783"/>
      <w:r/>
      <w:bookmarkStart w:id="599" w:name="_Toc195842910"/>
      <w:r/>
      <w:bookmarkStart w:id="600" w:name="_Toc151193715"/>
      <w:r/>
      <w:bookmarkStart w:id="601" w:name="_Toc226965818"/>
      <w:r/>
      <w:bookmarkStart w:id="602" w:name="_Toc142311047"/>
      <w:r/>
      <w:bookmarkStart w:id="603" w:name="_Toc127151545"/>
      <w:r/>
      <w:bookmarkStart w:id="604" w:name="_Toc151193933"/>
      <w:r/>
      <w:bookmarkStart w:id="605" w:name="_Toc226965735"/>
      <w:r/>
      <w:bookmarkStart w:id="606" w:name="_Toc151193787"/>
      <w:r/>
      <w:bookmarkStart w:id="607" w:name="_Toc226337241"/>
      <w:r/>
      <w:bookmarkStart w:id="608" w:name="_Toc265228383"/>
      <w:r/>
      <w:bookmarkStart w:id="609" w:name="_Toc150774645"/>
      <w:r/>
      <w:bookmarkStart w:id="610" w:name="_Toc226309789"/>
      <w:r/>
      <w:bookmarkStart w:id="611" w:name="_Toc150774750"/>
      <w:r/>
      <w:bookmarkStart w:id="612" w:name="_Toc305158813"/>
      <w:r>
        <w:rPr>
          <w:rFonts w:ascii="Times New Roman" w:hAnsi="Times New Roman" w:eastAsia="宋体"/>
          <w:sz w:val="28"/>
        </w:rPr>
        <w:t xml:space="preserve">六   </w:t>
      </w:r>
      <w:bookmarkEnd w:id="591"/>
      <w:r>
        <w:rPr>
          <w:rFonts w:ascii="Times New Roman" w:hAnsi="Times New Roman" w:eastAsia="宋体"/>
          <w:sz w:val="28"/>
        </w:rPr>
        <w:t xml:space="preserve">确定中标</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150480785"/>
      <w:r/>
      <w:bookmarkStart w:id="614" w:name="_Toc150774752"/>
      <w:r/>
      <w:bookmarkStart w:id="615" w:name="_Toc164351641"/>
      <w:r/>
      <w:bookmarkStart w:id="616" w:name="_Toc150774647"/>
      <w:r/>
      <w:bookmarkStart w:id="617" w:name="_Toc226965737"/>
      <w:r/>
      <w:bookmarkStart w:id="618" w:name="_Toc142311049"/>
      <w:r/>
      <w:bookmarkStart w:id="619" w:name="_Toc127151547"/>
      <w:r/>
      <w:bookmarkStart w:id="620" w:name="_Toc151193717"/>
      <w:r/>
      <w:bookmarkStart w:id="621" w:name="_Toc164229242"/>
      <w:r/>
      <w:bookmarkStart w:id="622" w:name="_Toc226309791"/>
      <w:r/>
      <w:bookmarkStart w:id="623" w:name="_Toc151193789"/>
      <w:r/>
      <w:bookmarkStart w:id="624" w:name="_Toc226965820"/>
      <w:r/>
      <w:bookmarkStart w:id="625" w:name="_Toc149720840"/>
      <w:r/>
      <w:bookmarkStart w:id="626" w:name="_Toc151193935"/>
      <w:r/>
      <w:bookmarkStart w:id="627" w:name="_Toc305158889"/>
      <w:r/>
      <w:bookmarkStart w:id="628" w:name="_Toc195842912"/>
      <w:r/>
      <w:bookmarkStart w:id="629" w:name="_Toc264969237"/>
      <w:r/>
      <w:bookmarkStart w:id="630" w:name="_Toc127151748"/>
      <w:r/>
      <w:bookmarkStart w:id="631" w:name="_Toc164608661"/>
      <w:r/>
      <w:bookmarkStart w:id="632" w:name="_Toc164608816"/>
      <w:r/>
      <w:bookmarkStart w:id="633" w:name="_Toc150509298"/>
      <w:r/>
      <w:bookmarkStart w:id="634" w:name="_Toc127161461"/>
      <w:r/>
      <w:bookmarkStart w:id="635" w:name="_Toc164229388"/>
      <w:r/>
      <w:bookmarkStart w:id="636" w:name="_Toc305158815"/>
      <w:r/>
      <w:bookmarkStart w:id="637" w:name="_Toc151193645"/>
      <w:r/>
      <w:bookmarkStart w:id="638" w:name="_Toc265228385"/>
      <w:r/>
      <w:bookmarkStart w:id="639" w:name="_Toc151190174"/>
      <w:r/>
      <w:bookmarkStart w:id="640" w:name="_Toc226337243"/>
      <w:r/>
      <w:bookmarkStart w:id="641" w:name="_Toc151193861"/>
      <w:r/>
      <w:r/>
    </w:p>
    <w:p>
      <w:pPr>
        <w:numPr>
          <w:ilvl w:val="0"/>
          <w:numId w:val="9"/>
        </w:numPr>
        <w:spacing w:line="360" w:lineRule="auto"/>
        <w:tabs>
          <w:tab w:val="left" w:pos="360" w:leader="none"/>
        </w:tabs>
        <w:rPr>
          <w:sz w:val="24"/>
        </w:rPr>
        <w:outlineLvl w:val="2"/>
      </w:pPr>
      <w:r>
        <w:rPr>
          <w:sz w:val="24"/>
        </w:rPr>
        <w:t xml:space="preserve">确定中标人</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numPr>
          <w:ilvl w:val="1"/>
          <w:numId w:val="9"/>
        </w:numPr>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spacing w:line="360" w:lineRule="auto"/>
        <w:tabs>
          <w:tab w:val="left" w:pos="360" w:leader="none"/>
        </w:tabs>
        <w:rPr>
          <w:sz w:val="24"/>
        </w:rPr>
        <w:outlineLvl w:val="2"/>
      </w:pPr>
      <w:r/>
      <w:bookmarkStart w:id="642" w:name="_Toc305158891"/>
      <w:r/>
      <w:bookmarkStart w:id="643" w:name="_Toc305158817"/>
      <w:r/>
      <w:bookmarkStart w:id="644" w:name="_Toc164229244"/>
      <w:r/>
      <w:bookmarkStart w:id="645" w:name="_Toc151193791"/>
      <w:r/>
      <w:bookmarkStart w:id="646" w:name="_Toc142311051"/>
      <w:r/>
      <w:bookmarkStart w:id="647" w:name="_Toc150480787"/>
      <w:r/>
      <w:bookmarkStart w:id="648" w:name="_Toc127151549"/>
      <w:r/>
      <w:bookmarkStart w:id="649" w:name="_Toc151193719"/>
      <w:r/>
      <w:bookmarkStart w:id="650" w:name="_Toc195842914"/>
      <w:r/>
      <w:bookmarkStart w:id="651" w:name="_Toc226337245"/>
      <w:r/>
      <w:bookmarkStart w:id="652" w:name="_Toc164229390"/>
      <w:r/>
      <w:bookmarkStart w:id="653" w:name="_Toc226309793"/>
      <w:r/>
      <w:bookmarkStart w:id="654" w:name="_Toc164608818"/>
      <w:r/>
      <w:bookmarkStart w:id="655" w:name="_Toc150774649"/>
      <w:r/>
      <w:bookmarkStart w:id="656" w:name="_Toc151193647"/>
      <w:r/>
      <w:bookmarkStart w:id="657" w:name="_Toc164608663"/>
      <w:r/>
      <w:bookmarkStart w:id="658" w:name="_Toc149720842"/>
      <w:r/>
      <w:bookmarkStart w:id="659" w:name="_Toc151190176"/>
      <w:r/>
      <w:bookmarkStart w:id="660" w:name="_Toc265228387"/>
      <w:r/>
      <w:bookmarkStart w:id="661" w:name="_Toc164351643"/>
      <w:r/>
      <w:bookmarkStart w:id="662" w:name="_Toc226965822"/>
      <w:r/>
      <w:bookmarkStart w:id="663" w:name="_Toc150774754"/>
      <w:r/>
      <w:bookmarkStart w:id="664" w:name="_Toc151193937"/>
      <w:r/>
      <w:bookmarkStart w:id="665" w:name="_Toc264969239"/>
      <w:r/>
      <w:bookmarkStart w:id="666" w:name="_Toc150509300"/>
      <w:r/>
      <w:bookmarkStart w:id="667" w:name="_Toc151193863"/>
      <w:r/>
      <w:bookmarkStart w:id="668" w:name="_Toc127161463"/>
      <w:r/>
      <w:bookmarkStart w:id="669" w:name="_Toc226965739"/>
      <w:r/>
      <w:bookmarkStart w:id="670" w:name="_Toc127151750"/>
      <w:r/>
      <w:bookmarkStart w:id="671" w:name="_Ref467306425"/>
      <w:r/>
      <w:bookmarkStart w:id="672" w:name="_Ref467307090"/>
      <w:r/>
      <w:bookmarkStart w:id="673" w:name="_Toc520356176"/>
      <w:r>
        <w:rPr>
          <w:sz w:val="24"/>
        </w:rPr>
        <w:t xml:space="preserve">中标公告与中标通知书</w:t>
      </w:r>
      <w:bookmarkEnd w:id="642"/>
      <w:r/>
      <w:bookmarkEnd w:id="643"/>
      <w:r/>
      <w:r/>
    </w:p>
    <w:p>
      <w:pPr>
        <w:numPr>
          <w:ilvl w:val="1"/>
          <w:numId w:val="9"/>
        </w:numPr>
        <w:spacing w:line="360" w:lineRule="auto"/>
        <w:tabs>
          <w:tab w:val="left" w:pos="1080" w:leader="none"/>
          <w:tab w:val="left" w:pos="2014" w:leader="none"/>
        </w:tabs>
        <w:rPr>
          <w:sz w:val="24"/>
        </w:rPr>
      </w:pPr>
      <w:r>
        <w:rPr>
          <w:sz w:val="24"/>
        </w:rPr>
        <w:t xml:space="preserve">采购人或采购代理机构自中标人确定之日起2个工作日内，在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9"/>
        </w:numPr>
        <w:spacing w:line="360" w:lineRule="auto"/>
        <w:tabs>
          <w:tab w:val="left" w:pos="1080" w:leader="none"/>
          <w:tab w:val="left" w:pos="2014" w:leader="none"/>
        </w:tabs>
        <w:rPr>
          <w:sz w:val="24"/>
        </w:rPr>
      </w:pPr>
      <w:r>
        <w:rPr>
          <w:sz w:val="24"/>
        </w:rPr>
        <w:t xml:space="preserve">中标通知书对采购人和中标</w:t>
      </w:r>
      <w:r>
        <w:rPr>
          <w:rFonts w:hint="eastAsia"/>
          <w:sz w:val="24"/>
        </w:rPr>
        <w:t xml:space="preserve">人</w:t>
      </w:r>
      <w:r>
        <w:rPr>
          <w:sz w:val="24"/>
        </w:rPr>
        <w:t xml:space="preserve">均具有法律效力。中标通知书发出后，采购人改变中标结果的，或者中标</w:t>
      </w:r>
      <w:r>
        <w:rPr>
          <w:rFonts w:hint="eastAsia"/>
          <w:sz w:val="24"/>
        </w:rPr>
        <w:t xml:space="preserve">人</w:t>
      </w:r>
      <w:r>
        <w:rPr>
          <w:sz w:val="24"/>
        </w:rPr>
        <w:t xml:space="preserve">放弃中标项目的，应当依法承担法律责任。</w:t>
      </w:r>
      <w:r/>
    </w:p>
    <w:p>
      <w:pPr>
        <w:numPr>
          <w:ilvl w:val="0"/>
          <w:numId w:val="9"/>
        </w:numPr>
        <w:spacing w:line="360" w:lineRule="auto"/>
        <w:tabs>
          <w:tab w:val="left" w:pos="360" w:leader="none"/>
        </w:tabs>
        <w:rPr>
          <w:sz w:val="24"/>
        </w:rPr>
        <w:outlineLvl w:val="2"/>
      </w:pPr>
      <w:r>
        <w:rPr>
          <w:sz w:val="24"/>
        </w:rPr>
        <w:t xml:space="preserve">废标</w:t>
      </w:r>
      <w:r/>
    </w:p>
    <w:p>
      <w:pPr>
        <w:numPr>
          <w:ilvl w:val="1"/>
          <w:numId w:val="9"/>
        </w:numPr>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9"/>
        </w:numPr>
        <w:spacing w:line="360" w:lineRule="auto"/>
        <w:rPr>
          <w:sz w:val="24"/>
        </w:rPr>
      </w:pPr>
      <w:r>
        <w:rPr>
          <w:sz w:val="24"/>
        </w:rPr>
        <w:t xml:space="preserve">符合专业条件的供应商或者对招标文件作实质响应的供应商不足三家的；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rPr>
        <w:t xml:space="preserve">投标人的报价均超过了采购预算，采购人不能支付的；</w:t>
      </w:r>
      <w:r/>
    </w:p>
    <w:p>
      <w:pPr>
        <w:numPr>
          <w:ilvl w:val="2"/>
          <w:numId w:val="9"/>
        </w:numPr>
        <w:spacing w:line="360" w:lineRule="auto"/>
        <w:rPr>
          <w:rFonts w:hint="eastAsia"/>
          <w:sz w:val="24"/>
        </w:rPr>
      </w:pPr>
      <w:r>
        <w:rPr>
          <w:sz w:val="24"/>
        </w:rPr>
        <w:t xml:space="preserve">因重大变故，采购任务取消的。</w:t>
      </w:r>
      <w:r/>
    </w:p>
    <w:p>
      <w:pPr>
        <w:numPr>
          <w:ilvl w:val="2"/>
          <w:numId w:val="9"/>
        </w:numPr>
        <w:ind w:left="1799" w:hanging="720"/>
        <w:spacing w:line="360" w:lineRule="auto"/>
        <w:rPr>
          <w:rFonts w:hint="eastAsia"/>
          <w:sz w:val="24"/>
        </w:rPr>
      </w:pPr>
      <w:r>
        <w:rPr>
          <w:rFonts w:hint="eastAsia"/>
          <w:sz w:val="24"/>
        </w:rPr>
        <w:t xml:space="preserve">平台系统出现序号17.8的所述情形，情况严重且影响采购活动公平、公正性的。</w:t>
      </w:r>
      <w:r/>
    </w:p>
    <w:p>
      <w:pPr>
        <w:numPr>
          <w:ilvl w:val="2"/>
          <w:numId w:val="9"/>
        </w:numPr>
        <w:ind w:left="1799" w:hanging="720"/>
        <w:spacing w:line="360" w:lineRule="auto"/>
        <w:rPr>
          <w:rFonts w:hint="eastAsia"/>
          <w:sz w:val="24"/>
        </w:rPr>
      </w:pPr>
      <w:r>
        <w:rPr>
          <w:rFonts w:hint="eastAsia"/>
          <w:sz w:val="24"/>
        </w:rPr>
        <w:t xml:space="preserve">投标（响应）供应商出现财政部《关于推动解决政府采购异常低价问题的通知》（财库[2026]2号文件）规定的异常低价情形的，</w:t>
      </w:r>
      <w:r>
        <w:rPr>
          <w:rFonts w:hint="eastAsia" w:ascii="宋体" w:hAnsi="宋体" w:cs="宋体"/>
          <w:sz w:val="24"/>
          <w:shd w:val="clear" w:color="auto" w:fill="ffffff"/>
        </w:rPr>
        <w:t xml:space="preserve">评审委员会应当启动异常低价投标（响应）审查程序，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投标（响应）供应商不能提供书面说明、证明材料，或者提供的书面说明、证明材料不能证明其报价合理性的，评审委员会应当将其作为无效投标（响应）处理。</w:t>
      </w:r>
      <w:r/>
    </w:p>
    <w:p>
      <w:pPr>
        <w:numPr>
          <w:ilvl w:val="1"/>
          <w:numId w:val="9"/>
        </w:numPr>
        <w:spacing w:line="360" w:lineRule="auto"/>
        <w:tabs>
          <w:tab w:val="left" w:pos="1080" w:leader="none"/>
          <w:tab w:val="left" w:pos="2014" w:leader="none"/>
        </w:tabs>
        <w:rPr>
          <w:sz w:val="24"/>
        </w:rPr>
      </w:pPr>
      <w:r>
        <w:rPr>
          <w:sz w:val="24"/>
        </w:rPr>
        <w:t xml:space="preserve">废标后，采购人将废标理由通知所有投标人。</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p>
    <w:p>
      <w:pPr>
        <w:numPr>
          <w:ilvl w:val="0"/>
          <w:numId w:val="9"/>
        </w:numPr>
        <w:spacing w:line="360" w:lineRule="auto"/>
        <w:tabs>
          <w:tab w:val="left" w:pos="360" w:leader="none"/>
        </w:tabs>
        <w:rPr>
          <w:sz w:val="24"/>
        </w:rPr>
        <w:outlineLvl w:val="2"/>
      </w:pPr>
      <w:r/>
      <w:bookmarkStart w:id="674" w:name="_Toc127151751"/>
      <w:r/>
      <w:bookmarkStart w:id="675" w:name="_Toc127161464"/>
      <w:r/>
      <w:bookmarkStart w:id="676" w:name="_Toc226965823"/>
      <w:r/>
      <w:bookmarkStart w:id="677" w:name="_Toc195842915"/>
      <w:r/>
      <w:bookmarkStart w:id="678" w:name="_Toc151193792"/>
      <w:r/>
      <w:bookmarkStart w:id="679" w:name="_Ref467306377"/>
      <w:r/>
      <w:bookmarkStart w:id="680" w:name="_Toc164608819"/>
      <w:r/>
      <w:bookmarkStart w:id="681" w:name="_Toc305158818"/>
      <w:r/>
      <w:bookmarkStart w:id="682" w:name="_Toc164229245"/>
      <w:r/>
      <w:bookmarkStart w:id="683" w:name="_Toc150509301"/>
      <w:r/>
      <w:bookmarkStart w:id="684" w:name="_Toc264969240"/>
      <w:r/>
      <w:bookmarkStart w:id="685" w:name="_Toc164608664"/>
      <w:r/>
      <w:bookmarkStart w:id="686" w:name="_Toc150774755"/>
      <w:r/>
      <w:bookmarkStart w:id="687" w:name="_Ref467306978"/>
      <w:r/>
      <w:bookmarkStart w:id="688" w:name="_Toc151193938"/>
      <w:r/>
      <w:bookmarkStart w:id="689" w:name="_Toc151190177"/>
      <w:r/>
      <w:bookmarkStart w:id="690" w:name="_Toc151193648"/>
      <w:r/>
      <w:bookmarkStart w:id="691" w:name="_Toc520356175"/>
      <w:r/>
      <w:bookmarkStart w:id="692" w:name="_Toc150774650"/>
      <w:r/>
      <w:bookmarkStart w:id="693" w:name="_Toc151193864"/>
      <w:r/>
      <w:bookmarkStart w:id="694" w:name="_Ref467307062"/>
      <w:r/>
      <w:bookmarkStart w:id="695" w:name="_Toc150480788"/>
      <w:r/>
      <w:bookmarkStart w:id="696" w:name="_Ref467307204"/>
      <w:r/>
      <w:bookmarkStart w:id="697" w:name="_Toc127151550"/>
      <w:r/>
      <w:bookmarkStart w:id="698" w:name="_Toc164351644"/>
      <w:r/>
      <w:bookmarkStart w:id="699" w:name="_Toc164229391"/>
      <w:r/>
      <w:bookmarkStart w:id="700" w:name="_Toc226337246"/>
      <w:r/>
      <w:bookmarkStart w:id="701" w:name="_Toc265228388"/>
      <w:r/>
      <w:bookmarkStart w:id="702" w:name="_Toc226309794"/>
      <w:r/>
      <w:bookmarkStart w:id="703" w:name="_Toc226965740"/>
      <w:r/>
      <w:bookmarkStart w:id="704" w:name="_Toc142311052"/>
      <w:r/>
      <w:bookmarkStart w:id="705" w:name="_Toc151193720"/>
      <w:r/>
      <w:bookmarkStart w:id="706" w:name="_Toc305158892"/>
      <w:r/>
      <w:bookmarkStart w:id="707" w:name="_Toc149720843"/>
      <w:r>
        <w:rPr>
          <w:sz w:val="24"/>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numPr>
          <w:ilvl w:val="1"/>
          <w:numId w:val="9"/>
        </w:numPr>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spacing w:line="360" w:lineRule="auto"/>
        <w:tabs>
          <w:tab w:val="left" w:pos="1080" w:leader="none"/>
          <w:tab w:val="left" w:pos="2014" w:leader="none"/>
        </w:tabs>
        <w:rPr>
          <w:sz w:val="24"/>
        </w:rPr>
      </w:pPr>
      <w:r>
        <w:rPr>
          <w:sz w:val="24"/>
        </w:rPr>
        <w:t xml:space="preserve">政府采购合同不能转包。</w:t>
      </w:r>
      <w:r/>
    </w:p>
    <w:p>
      <w:pPr>
        <w:numPr>
          <w:ilvl w:val="1"/>
          <w:numId w:val="9"/>
        </w:numPr>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1"/>
      <w:bookmarkEnd w:id="672"/>
      <w:bookmarkEnd w:id="673"/>
      <w:r/>
    </w:p>
    <w:p>
      <w:pPr>
        <w:numPr>
          <w:ilvl w:val="0"/>
          <w:numId w:val="9"/>
        </w:numPr>
        <w:spacing w:line="360" w:lineRule="auto"/>
        <w:tabs>
          <w:tab w:val="left" w:pos="360" w:leader="none"/>
        </w:tabs>
        <w:rPr>
          <w:sz w:val="24"/>
        </w:rPr>
        <w:outlineLvl w:val="2"/>
      </w:pPr>
      <w:r>
        <w:rPr>
          <w:sz w:val="24"/>
        </w:rPr>
        <w:t xml:space="preserve">询问与质疑</w:t>
      </w:r>
      <w:r/>
    </w:p>
    <w:p>
      <w:pPr>
        <w:numPr>
          <w:ilvl w:val="1"/>
          <w:numId w:val="9"/>
        </w:numPr>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rPr>
          <w:sz w:val="22"/>
          <w:szCs w:val="28"/>
        </w:rPr>
        <w:t xml:space="preserve">http://gk</w:t>
      </w:r>
      <w:bookmarkStart w:id="708" w:name="_Hlt100654014"/>
      <w:r>
        <w:rPr>
          <w:sz w:val="22"/>
          <w:szCs w:val="28"/>
        </w:rPr>
        <w:t xml:space="preserve">s</w:t>
      </w:r>
      <w:bookmarkEnd w:id="708"/>
      <w:r>
        <w:rPr>
          <w:sz w:val="22"/>
          <w:szCs w:val="28"/>
        </w:rPr>
        <w:t xml:space="preserve">.m</w:t>
      </w:r>
      <w:bookmarkStart w:id="709" w:name="_Hlt100653993"/>
      <w:r/>
      <w:bookmarkStart w:id="710" w:name="_Hlt100653994"/>
      <w:r>
        <w:rPr>
          <w:sz w:val="22"/>
          <w:szCs w:val="28"/>
        </w:rPr>
        <w:t xml:space="preserve">o</w:t>
      </w:r>
      <w:bookmarkEnd w:id="709"/>
      <w:r/>
      <w:bookmarkEnd w:id="710"/>
      <w:r>
        <w:rPr>
          <w:sz w:val="22"/>
          <w:szCs w:val="28"/>
        </w:rPr>
        <w:t xml:space="preserve">f.gov.cn/ztztz/zhengfucaigouguanli/201802/t20180201_2804589.htm</w:t>
      </w:r>
      <w:r>
        <w:rPr>
          <w:rFonts w:hint="eastAsia"/>
          <w:sz w:val="22"/>
          <w:szCs w:val="28"/>
        </w:rPr>
        <w:t xml:space="preserve">）</w:t>
      </w:r>
      <w:r/>
    </w:p>
    <w:p>
      <w:pPr>
        <w:numPr>
          <w:ilvl w:val="2"/>
          <w:numId w:val="9"/>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spacing w:line="360" w:lineRule="auto"/>
        <w:tabs>
          <w:tab w:val="left" w:pos="360" w:leader="none"/>
        </w:tabs>
        <w:rPr>
          <w:sz w:val="24"/>
        </w:rPr>
        <w:outlineLvl w:val="2"/>
      </w:pPr>
      <w:r>
        <w:rPr>
          <w:sz w:val="24"/>
        </w:rPr>
        <w:t xml:space="preserve">代理费</w:t>
      </w:r>
      <w:r/>
    </w:p>
    <w:p>
      <w:pPr>
        <w:numPr>
          <w:ilvl w:val="1"/>
          <w:numId w:val="9"/>
        </w:numPr>
        <w:spacing w:line="360" w:lineRule="auto"/>
        <w:tabs>
          <w:tab w:val="left" w:pos="1080" w:leader="none"/>
          <w:tab w:val="left" w:pos="2014" w:leader="none"/>
        </w:tabs>
        <w:rPr>
          <w:sz w:val="24"/>
        </w:rPr>
      </w:pPr>
      <w:r>
        <w:rPr>
          <w:sz w:val="24"/>
        </w:rPr>
        <w:t xml:space="preserve">收费对象、收费标准及缴纳时间见《投标人须知资料表》。</w:t>
      </w:r>
      <w:r>
        <w:rPr>
          <w:rFonts w:hint="eastAsia"/>
          <w:sz w:val="24"/>
        </w:rPr>
        <w:t xml:space="preserve">采购人</w:t>
      </w:r>
      <w:r>
        <w:rPr>
          <w:sz w:val="24"/>
        </w:rPr>
        <w:t xml:space="preserve">一次性向采购代理机构缴纳代理费。</w:t>
      </w:r>
      <w:r/>
    </w:p>
    <w:p>
      <w:pPr>
        <w:jc w:val="center"/>
        <w:spacing w:line="360" w:lineRule="auto"/>
        <w:tabs>
          <w:tab w:val="left" w:pos="900" w:leader="none"/>
          <w:tab w:val="left" w:pos="1080" w:leader="none"/>
          <w:tab w:val="left" w:pos="1589" w:leader="none"/>
        </w:tabs>
        <w:rPr>
          <w:b/>
          <w:sz w:val="36"/>
          <w:szCs w:val="36"/>
        </w:rPr>
        <w:outlineLvl w:val="0"/>
      </w:pPr>
      <w:r/>
      <w:bookmarkStart w:id="711" w:name="_Toc127151554"/>
      <w:r/>
      <w:bookmarkStart w:id="712" w:name="_Toc150774759"/>
      <w:r/>
      <w:bookmarkStart w:id="713" w:name="_Toc226337250"/>
      <w:r/>
      <w:bookmarkStart w:id="714" w:name="_Toc226965827"/>
      <w:r/>
      <w:bookmarkStart w:id="715" w:name="_Toc353825544"/>
      <w:r/>
      <w:bookmarkStart w:id="716" w:name="_Toc150480792"/>
      <w:r/>
      <w:bookmarkStart w:id="717" w:name="_Toc305158822"/>
      <w:r/>
      <w:bookmarkStart w:id="718" w:name="_Toc264969244"/>
      <w:r/>
      <w:bookmarkStart w:id="719" w:name="_Toc353873664"/>
      <w:r/>
      <w:bookmarkStart w:id="720" w:name="_Toc265228392"/>
      <w:r/>
      <w:bookmarkStart w:id="721" w:name="_Toc305158896"/>
      <w:r/>
      <w:bookmarkStart w:id="722" w:name="_Toc353873934"/>
      <w:r/>
      <w:bookmarkStart w:id="723" w:name="_Toc142311056"/>
      <w:r/>
      <w:bookmarkStart w:id="724" w:name="_Toc99301421"/>
      <w:r>
        <w:rPr>
          <w:b/>
          <w:sz w:val="36"/>
          <w:szCs w:val="36"/>
        </w:rPr>
        <w:br w:type="page" w:clear="all"/>
      </w:r>
      <w:r>
        <w:rPr>
          <w:b/>
          <w:sz w:val="36"/>
          <w:szCs w:val="36"/>
        </w:rPr>
        <w:t xml:space="preserve">第三章   </w:t>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b/>
          <w:sz w:val="36"/>
          <w:szCs w:val="36"/>
        </w:rPr>
        <w:t xml:space="preserve">资格审查</w:t>
      </w:r>
      <w:bookmarkEnd w:id="724"/>
      <w:r/>
      <w:bookmarkStart w:id="725" w:name="_Toc487900382"/>
      <w:r/>
      <w:r/>
    </w:p>
    <w:p>
      <w:pPr>
        <w:jc w:val="center"/>
        <w:spacing w:line="360" w:lineRule="auto"/>
        <w:tabs>
          <w:tab w:val="left" w:pos="360" w:leader="none"/>
          <w:tab w:val="left" w:pos="900" w:leader="none"/>
        </w:tabs>
        <w:rPr>
          <w:b/>
          <w:sz w:val="24"/>
        </w:rPr>
        <w:outlineLvl w:val="1"/>
      </w:pPr>
      <w:r/>
      <w:bookmarkStart w:id="726" w:name="_Toc99301422"/>
      <w:r>
        <w:rPr>
          <w:b/>
          <w:sz w:val="24"/>
        </w:rPr>
        <w:t xml:space="preserve">一、资格审查程序</w:t>
      </w:r>
      <w:bookmarkEnd w:id="726"/>
      <w:r/>
      <w:r/>
    </w:p>
    <w:p>
      <w:pPr>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2"/>
        <w:gridCol w:w="4826"/>
        <w:gridCol w:w="1638"/>
      </w:tblGrid>
      <w:tr>
        <w:trPr>
          <w:cantSplit/>
          <w:trHeight w:val="468"/>
          <w:tblHeader/>
        </w:trPr>
        <w:tc>
          <w:tcPr>
            <w:tcW w:w="454" w:type="pct"/>
            <w:vAlign w:val="center"/>
            <w:textDirection w:val="lrTb"/>
            <w:noWrap w:val="false"/>
          </w:tcPr>
          <w:p>
            <w:pPr>
              <w:jc w:val="center"/>
              <w:tabs>
                <w:tab w:val="left" w:pos="1080" w:leader="none"/>
              </w:tabs>
              <w:rPr>
                <w:b/>
                <w:sz w:val="24"/>
              </w:rPr>
            </w:pPr>
            <w:r/>
            <w:bookmarkStart w:id="727" w:name="_Hlt487972895"/>
            <w:r/>
            <w:bookmarkEnd w:id="727"/>
            <w:r>
              <w:rPr>
                <w:b/>
                <w:sz w:val="24"/>
              </w:rPr>
              <w:t xml:space="preserve">序号</w:t>
            </w:r>
            <w:r/>
          </w:p>
        </w:tc>
        <w:tc>
          <w:tcPr>
            <w:tcW w:w="1066"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1"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sz w:val="24"/>
              </w:rPr>
            </w:pPr>
            <w:r>
              <w:rPr>
                <w:sz w:val="24"/>
              </w:rPr>
              <w:t xml:space="preserve">1</w:t>
            </w:r>
            <w:r/>
          </w:p>
        </w:tc>
        <w:tc>
          <w:tcPr>
            <w:tcW w:w="1066"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p>
            <w:pPr>
              <w:tabs>
                <w:tab w:val="left" w:pos="1080" w:leader="none"/>
              </w:tabs>
              <w:rPr>
                <w:sz w:val="24"/>
              </w:rPr>
            </w:pPr>
            <w:r>
              <w:rPr>
                <w:sz w:val="24"/>
              </w:rPr>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4"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1066"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sz w:val="24"/>
              </w:rPr>
            </w:pPr>
            <w:r>
              <w:rPr>
                <w:rFonts w:hint="eastAsia"/>
                <w:sz w:val="24"/>
              </w:rPr>
              <w:t xml:space="preserve">1-2</w:t>
            </w:r>
            <w:r/>
          </w:p>
        </w:tc>
        <w:tc>
          <w:tcPr>
            <w:tcW w:w="1066"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4" w:type="pct"/>
            <w:vAlign w:val="center"/>
            <w:textDirection w:val="lrTb"/>
            <w:noWrap w:val="false"/>
          </w:tcPr>
          <w:p>
            <w:pPr>
              <w:jc w:val="center"/>
              <w:tabs>
                <w:tab w:val="left" w:pos="1080" w:leader="none"/>
              </w:tabs>
              <w:rPr>
                <w:sz w:val="24"/>
              </w:rPr>
            </w:pPr>
            <w:r>
              <w:rPr>
                <w:rFonts w:hint="eastAsia"/>
                <w:sz w:val="24"/>
              </w:rPr>
              <w:t xml:space="preserve">1-3</w:t>
            </w:r>
            <w:r/>
          </w:p>
        </w:tc>
        <w:tc>
          <w:tcPr>
            <w:tcW w:w="1066" w:type="pct"/>
            <w:vAlign w:val="center"/>
            <w:textDirection w:val="lrTb"/>
            <w:noWrap w:val="false"/>
          </w:tcPr>
          <w:p>
            <w:pPr>
              <w:tabs>
                <w:tab w:val="left" w:pos="1080" w:leader="none"/>
              </w:tabs>
              <w:rPr>
                <w:sz w:val="24"/>
              </w:rPr>
            </w:pPr>
            <w:r>
              <w:rPr>
                <w:rFonts w:hint="eastAsia"/>
                <w:sz w:val="24"/>
              </w:rPr>
              <w:t xml:space="preserve">法人或者其他组织的营业执照等证明文件，自然人的身份证明</w:t>
            </w:r>
            <w:r/>
          </w:p>
        </w:tc>
        <w:tc>
          <w:tcPr>
            <w:tcW w:w="2596" w:type="pct"/>
            <w:vAlign w:val="center"/>
            <w:textDirection w:val="lrTb"/>
            <w:noWrap w:val="false"/>
          </w:tcPr>
          <w:p>
            <w:pPr>
              <w:tabs>
                <w:tab w:val="left" w:pos="1080" w:leader="none"/>
              </w:tabs>
              <w:rPr>
                <w:sz w:val="24"/>
              </w:rPr>
            </w:pPr>
            <w:r>
              <w:rPr>
                <w:rFonts w:hint="eastAsia"/>
                <w:sz w:val="24"/>
              </w:rPr>
              <w:t xml:space="preserve">满足《中华人民共和国政府采购法》第二十二条规定及法律法规的其他规定</w:t>
            </w:r>
            <w:r/>
          </w:p>
        </w:tc>
        <w:tc>
          <w:tcPr>
            <w:tcW w:w="881" w:type="pct"/>
            <w:vAlign w:val="center"/>
            <w:textDirection w:val="lrTb"/>
            <w:noWrap w:val="false"/>
          </w:tcPr>
          <w:p>
            <w:pPr>
              <w:tabs>
                <w:tab w:val="left" w:pos="1080" w:leader="none"/>
              </w:tabs>
              <w:rPr>
                <w:sz w:val="24"/>
              </w:rPr>
            </w:pPr>
            <w:r>
              <w:rPr>
                <w:rFonts w:hint="eastAsia"/>
                <w:sz w:val="24"/>
              </w:rPr>
              <w:t xml:space="preserve">营业执照副本或事业单位法人证书、身份证、护照原件的电子件加盖公章</w:t>
            </w:r>
            <w:r/>
          </w:p>
        </w:tc>
      </w:tr>
      <w:tr>
        <w:trPr>
          <w:cantSplit/>
          <w:trHeight w:val="468"/>
        </w:trPr>
        <w:tc>
          <w:tcPr>
            <w:tcW w:w="454" w:type="pct"/>
            <w:vAlign w:val="center"/>
            <w:textDirection w:val="lrTb"/>
            <w:noWrap w:val="false"/>
          </w:tcPr>
          <w:p>
            <w:pPr>
              <w:jc w:val="center"/>
              <w:tabs>
                <w:tab w:val="left" w:pos="1080" w:leader="none"/>
              </w:tabs>
              <w:rPr>
                <w:sz w:val="24"/>
              </w:rPr>
            </w:pPr>
            <w:r>
              <w:rPr>
                <w:sz w:val="24"/>
              </w:rPr>
              <w:t xml:space="preserve">2</w:t>
            </w:r>
            <w:r/>
          </w:p>
        </w:tc>
        <w:tc>
          <w:tcPr>
            <w:tcW w:w="1066"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4" w:type="pct"/>
            <w:vAlign w:val="center"/>
            <w:textDirection w:val="lrTb"/>
            <w:noWrap w:val="false"/>
          </w:tcPr>
          <w:p>
            <w:pPr>
              <w:jc w:val="center"/>
              <w:tabs>
                <w:tab w:val="left" w:pos="1080" w:leader="none"/>
              </w:tabs>
              <w:rPr>
                <w:sz w:val="24"/>
              </w:rPr>
            </w:pPr>
            <w:r>
              <w:rPr>
                <w:sz w:val="24"/>
              </w:rPr>
              <w:t xml:space="preserve">2-1</w:t>
            </w:r>
            <w:r/>
          </w:p>
        </w:tc>
        <w:tc>
          <w:tcPr>
            <w:tcW w:w="1066" w:type="pct"/>
            <w:vAlign w:val="center"/>
            <w:textDirection w:val="lrTb"/>
            <w:noWrap w:val="false"/>
          </w:tcPr>
          <w:p>
            <w:pPr>
              <w:tabs>
                <w:tab w:val="left" w:pos="1080" w:leader="none"/>
              </w:tabs>
              <w:rPr>
                <w:sz w:val="24"/>
              </w:rPr>
            </w:pPr>
            <w:r>
              <w:rPr>
                <w:sz w:val="24"/>
              </w:rPr>
              <w:t xml:space="preserve">中小企业声明函</w:t>
            </w:r>
            <w:r/>
          </w:p>
        </w:tc>
        <w:tc>
          <w:tcPr>
            <w:tcW w:w="2596" w:type="pct"/>
            <w:vAlign w:val="center"/>
            <w:textDirection w:val="lrTb"/>
            <w:noWrap w:val="false"/>
          </w:tcPr>
          <w:p>
            <w:pPr>
              <w:tabs>
                <w:tab w:val="left" w:pos="1080" w:leader="none"/>
              </w:tabs>
              <w:rPr>
                <w:sz w:val="24"/>
              </w:rPr>
            </w:pPr>
            <w:r>
              <w:rPr>
                <w:rFonts w:hint="eastAsia"/>
                <w:sz w:val="24"/>
              </w:rPr>
              <w:t xml:space="preserve">投标人应提供中小企业声明函；如为监狱企业或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b/>
                <w:bCs/>
              </w:rPr>
            </w:pPr>
            <w:r>
              <w:rPr>
                <w:rFonts w:hint="eastAsia"/>
                <w:sz w:val="24"/>
              </w:rPr>
              <w:t xml:space="preserve">注2：</w:t>
            </w:r>
            <w:r>
              <w:rPr>
                <w:sz w:val="24"/>
              </w:rPr>
              <w:t xml:space="preserve">残疾人福利性单位须按招标文件要求提供《残疾人福利性单位声明函》。</w:t>
            </w:r>
            <w:r/>
          </w:p>
        </w:tc>
        <w:tc>
          <w:tcPr>
            <w:tcW w:w="881" w:type="pct"/>
            <w:vAlign w:val="center"/>
            <w:textDirection w:val="lrTb"/>
            <w:noWrap w:val="false"/>
          </w:tcPr>
          <w:p>
            <w:pPr>
              <w:tabs>
                <w:tab w:val="left" w:pos="1080" w:leader="none"/>
              </w:tabs>
              <w:rPr>
                <w:rFonts w:hint="eastAsia"/>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sz w:val="24"/>
              </w:rPr>
            </w:pPr>
            <w:r>
              <w:rPr>
                <w:sz w:val="24"/>
              </w:rPr>
              <w:t xml:space="preserve">3</w:t>
            </w:r>
            <w:r/>
          </w:p>
        </w:tc>
        <w:tc>
          <w:tcPr>
            <w:tcW w:w="1066" w:type="pct"/>
            <w:vAlign w:val="center"/>
            <w:textDirection w:val="lrTb"/>
            <w:noWrap w:val="false"/>
          </w:tcPr>
          <w:p>
            <w:pPr>
              <w:tabs>
                <w:tab w:val="left" w:pos="1080" w:leader="none"/>
              </w:tabs>
              <w:rPr>
                <w:sz w:val="24"/>
                <w:highlight w:val="yellow"/>
              </w:rPr>
            </w:pPr>
            <w:r>
              <w:rPr>
                <w:sz w:val="24"/>
              </w:rPr>
              <w:t xml:space="preserve">本项目的特定资格要求</w:t>
            </w:r>
            <w:r/>
          </w:p>
        </w:tc>
        <w:tc>
          <w:tcPr>
            <w:tcW w:w="2596" w:type="pct"/>
            <w:vAlign w:val="center"/>
            <w:textDirection w:val="lrTb"/>
            <w:noWrap w:val="false"/>
          </w:tcPr>
          <w:p>
            <w:pPr>
              <w:tabs>
                <w:tab w:val="left" w:pos="1080" w:leader="none"/>
              </w:tabs>
              <w:rPr>
                <w:sz w:val="24"/>
                <w:highlight w:val="yellow"/>
              </w:rPr>
            </w:pPr>
            <w:r>
              <w:rPr>
                <w:sz w:val="24"/>
                <w:highlight w:val="yellow"/>
              </w:rPr>
            </w:r>
            <w:r/>
          </w:p>
        </w:tc>
        <w:tc>
          <w:tcPr>
            <w:tcW w:w="881" w:type="pct"/>
            <w:vAlign w:val="center"/>
            <w:textDirection w:val="lrTb"/>
            <w:noWrap w:val="false"/>
          </w:tcPr>
          <w:p>
            <w:pPr>
              <w:tabs>
                <w:tab w:val="left" w:pos="1080" w:leader="none"/>
              </w:tabs>
              <w:rPr>
                <w:sz w:val="24"/>
              </w:rPr>
            </w:pPr>
            <w:r>
              <w:rPr>
                <w:sz w:val="24"/>
              </w:rPr>
            </w:r>
            <w:r/>
          </w:p>
        </w:tc>
      </w:tr>
      <w:tr>
        <w:trPr>
          <w:cantSplit/>
          <w:trHeight w:val="778"/>
        </w:trPr>
        <w:tc>
          <w:tcPr>
            <w:tcW w:w="454" w:type="pct"/>
            <w:vAlign w:val="center"/>
            <w:textDirection w:val="lrTb"/>
            <w:noWrap w:val="false"/>
          </w:tcPr>
          <w:p>
            <w:pPr>
              <w:jc w:val="center"/>
              <w:tabs>
                <w:tab w:val="left" w:pos="1080" w:leader="none"/>
              </w:tabs>
              <w:rPr>
                <w:sz w:val="24"/>
              </w:rPr>
            </w:pPr>
            <w:r>
              <w:rPr>
                <w:sz w:val="24"/>
              </w:rPr>
              <w:t xml:space="preserve">3-1</w:t>
            </w:r>
            <w:r/>
          </w:p>
        </w:tc>
        <w:tc>
          <w:tcPr>
            <w:tcW w:w="1066" w:type="pct"/>
            <w:vAlign w:val="center"/>
            <w:textDirection w:val="lrTb"/>
            <w:noWrap w:val="false"/>
          </w:tcPr>
          <w:p>
            <w:pPr>
              <w:tabs>
                <w:tab w:val="left" w:pos="1080" w:leader="none"/>
              </w:tabs>
              <w:rPr>
                <w:sz w:val="24"/>
              </w:rPr>
            </w:pPr>
            <w:r>
              <w:rPr>
                <w:sz w:val="24"/>
              </w:rPr>
              <w:t xml:space="preserve">是否接受联合体投标</w:t>
            </w:r>
            <w:r/>
          </w:p>
        </w:tc>
        <w:tc>
          <w:tcPr>
            <w:tcW w:w="2596" w:type="pct"/>
            <w:vAlign w:val="center"/>
            <w:textDirection w:val="lrTb"/>
            <w:noWrap w:val="false"/>
          </w:tcPr>
          <w:p>
            <w:pPr>
              <w:tabs>
                <w:tab w:val="left" w:pos="1080" w:leader="none"/>
              </w:tabs>
              <w:rPr>
                <w:strike/>
                <w:sz w:val="24"/>
              </w:rPr>
            </w:pPr>
            <w:r>
              <w:rPr>
                <w:sz w:val="24"/>
              </w:rPr>
              <w:t xml:space="preserve">本项目不接受联合体投标，</w:t>
            </w:r>
            <w:r>
              <w:rPr>
                <w:rFonts w:hint="eastAsia"/>
                <w:sz w:val="24"/>
              </w:rPr>
              <w:t xml:space="preserve">投标人不得为联合体</w:t>
            </w:r>
            <w:r>
              <w:rPr>
                <w:sz w:val="24"/>
              </w:rPr>
              <w:t xml:space="preserve">。</w:t>
            </w:r>
            <w:r/>
          </w:p>
        </w:tc>
        <w:tc>
          <w:tcPr>
            <w:tcW w:w="881" w:type="pct"/>
            <w:vAlign w:val="center"/>
            <w:textDirection w:val="lrTb"/>
            <w:noWrap w:val="false"/>
          </w:tcPr>
          <w:p>
            <w:pPr>
              <w:tabs>
                <w:tab w:val="left" w:pos="1080" w:leader="none"/>
              </w:tabs>
              <w:rPr>
                <w:strike/>
                <w:sz w:val="24"/>
              </w:rPr>
            </w:pPr>
            <w:r>
              <w:rPr>
                <w:strike/>
                <w:sz w:val="24"/>
              </w:rPr>
            </w:r>
            <w:r/>
          </w:p>
        </w:tc>
      </w:tr>
      <w:tr>
        <w:trPr>
          <w:cantSplit/>
          <w:trHeight w:val="460"/>
        </w:trPr>
        <w:tc>
          <w:tcPr>
            <w:tcW w:w="454" w:type="pct"/>
            <w:vAlign w:val="center"/>
            <w:textDirection w:val="lrTb"/>
            <w:noWrap w:val="false"/>
          </w:tcPr>
          <w:p>
            <w:pPr>
              <w:jc w:val="center"/>
              <w:tabs>
                <w:tab w:val="left" w:pos="1080" w:leader="none"/>
              </w:tabs>
              <w:rPr>
                <w:sz w:val="24"/>
              </w:rPr>
            </w:pPr>
            <w:r>
              <w:rPr>
                <w:sz w:val="24"/>
              </w:rPr>
              <w:t xml:space="preserve">3-2</w:t>
            </w:r>
            <w:r/>
          </w:p>
        </w:tc>
        <w:tc>
          <w:tcPr>
            <w:tcW w:w="1066"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rFonts w:hint="eastAsia"/>
                <w:sz w:val="24"/>
              </w:rPr>
            </w:pPr>
            <w:r>
              <w:rPr>
                <w:rFonts w:hint="eastAsia"/>
                <w:sz w:val="24"/>
              </w:rPr>
              <w:t xml:space="preserve">无</w:t>
            </w:r>
            <w:r/>
          </w:p>
        </w:tc>
        <w:tc>
          <w:tcPr>
            <w:tcW w:w="881" w:type="pct"/>
            <w:vAlign w:val="center"/>
            <w:textDirection w:val="lrTb"/>
            <w:noWrap w:val="false"/>
          </w:tcPr>
          <w:p>
            <w:pPr>
              <w:tabs>
                <w:tab w:val="left" w:pos="1080" w:leader="none"/>
              </w:tabs>
              <w:rPr>
                <w:rFonts w:hint="eastAsia"/>
                <w:sz w:val="24"/>
              </w:rPr>
            </w:pPr>
            <w:r>
              <w:rPr>
                <w:rFonts w:hint="eastAsia"/>
                <w:sz w:val="24"/>
              </w:rPr>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5"/>
            <w:r/>
          </w:p>
        </w:tc>
      </w:tr>
    </w:tbl>
    <w:p>
      <w:pPr>
        <w:jc w:val="center"/>
        <w:widowControl/>
        <w:rPr>
          <w:b/>
          <w:sz w:val="36"/>
          <w:szCs w:val="36"/>
        </w:rPr>
        <w:outlineLvl w:val="0"/>
      </w:pPr>
      <w:r/>
      <w:bookmarkStart w:id="728" w:name="_Toc353825550"/>
      <w:r/>
      <w:bookmarkStart w:id="729" w:name="_Toc353873940"/>
      <w:r/>
      <w:bookmarkStart w:id="730" w:name="_Toc226965858"/>
      <w:r/>
      <w:bookmarkStart w:id="731" w:name="_Toc127151779"/>
      <w:r/>
      <w:bookmarkStart w:id="732" w:name="_Toc127161490"/>
      <w:r>
        <w:rPr>
          <w:sz w:val="24"/>
        </w:rPr>
        <w:br w:type="page" w:clear="all"/>
      </w:r>
      <w:bookmarkStart w:id="733" w:name="_Toc99301423"/>
      <w:r>
        <w:rPr>
          <w:b/>
          <w:sz w:val="36"/>
          <w:szCs w:val="36"/>
        </w:rPr>
        <w:t xml:space="preserve">第四章   </w:t>
      </w:r>
      <w:bookmarkEnd w:id="728"/>
      <w:r/>
      <w:bookmarkEnd w:id="729"/>
      <w:r/>
      <w:bookmarkEnd w:id="730"/>
      <w:r/>
      <w:bookmarkEnd w:id="731"/>
      <w:r/>
      <w:bookmarkEnd w:id="732"/>
      <w:r/>
      <w:bookmarkStart w:id="734" w:name="_Hlt164229061"/>
      <w:r/>
      <w:bookmarkEnd w:id="734"/>
      <w:r>
        <w:rPr>
          <w:b/>
          <w:sz w:val="36"/>
          <w:szCs w:val="36"/>
        </w:rPr>
        <w:t xml:space="preserve">评标程序、评标方法和评标标准</w:t>
      </w:r>
      <w:bookmarkEnd w:id="733"/>
      <w:r/>
      <w:r/>
    </w:p>
    <w:p>
      <w:pPr>
        <w:jc w:val="center"/>
        <w:spacing w:before="120"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2"/>
        </w:numPr>
        <w:spacing w:line="360" w:lineRule="auto"/>
        <w:tabs>
          <w:tab w:val="left" w:pos="360" w:leader="none"/>
        </w:tabs>
        <w:rPr>
          <w:sz w:val="24"/>
        </w:rPr>
        <w:outlineLvl w:val="2"/>
      </w:pPr>
      <w:r/>
      <w:bookmarkStart w:id="735" w:name="_Toc226965731"/>
      <w:r/>
      <w:bookmarkStart w:id="736" w:name="_Toc151193711"/>
      <w:r/>
      <w:bookmarkStart w:id="737" w:name="_Toc305158809"/>
      <w:r/>
      <w:bookmarkStart w:id="738" w:name="_Toc150774746"/>
      <w:r/>
      <w:bookmarkStart w:id="739" w:name="_Toc164608655"/>
      <w:r/>
      <w:bookmarkStart w:id="740" w:name="_Toc195842906"/>
      <w:r/>
      <w:bookmarkStart w:id="741" w:name="_Toc151190168"/>
      <w:r/>
      <w:bookmarkStart w:id="742" w:name="_Toc142311043"/>
      <w:r/>
      <w:bookmarkStart w:id="743" w:name="_Toc149720834"/>
      <w:r/>
      <w:bookmarkStart w:id="744" w:name="_Toc265228379"/>
      <w:r/>
      <w:bookmarkStart w:id="745" w:name="_Toc151193639"/>
      <w:r/>
      <w:bookmarkStart w:id="746" w:name="_Toc264969231"/>
      <w:r/>
      <w:bookmarkStart w:id="747" w:name="_Toc150509292"/>
      <w:r/>
      <w:bookmarkStart w:id="748" w:name="_Toc164351635"/>
      <w:r/>
      <w:bookmarkStart w:id="749" w:name="_Toc150480779"/>
      <w:r/>
      <w:bookmarkStart w:id="750" w:name="_Toc164229382"/>
      <w:r/>
      <w:bookmarkStart w:id="751" w:name="_Toc226337237"/>
      <w:r/>
      <w:bookmarkStart w:id="752" w:name="_Toc151193929"/>
      <w:r/>
      <w:bookmarkStart w:id="753" w:name="_Toc127161455"/>
      <w:r/>
      <w:bookmarkStart w:id="754" w:name="_Toc164608810"/>
      <w:r/>
      <w:bookmarkStart w:id="755" w:name="_Toc305158883"/>
      <w:r/>
      <w:bookmarkStart w:id="756" w:name="_Toc226309785"/>
      <w:r/>
      <w:bookmarkStart w:id="757" w:name="_Toc127151541"/>
      <w:r/>
      <w:bookmarkStart w:id="758" w:name="_Toc151193855"/>
      <w:r/>
      <w:bookmarkStart w:id="759" w:name="_Toc151193783"/>
      <w:r/>
      <w:bookmarkStart w:id="760" w:name="_Toc226965814"/>
      <w:r/>
      <w:bookmarkStart w:id="761" w:name="_Toc150774641"/>
      <w:r/>
      <w:bookmarkStart w:id="762" w:name="_Toc164229236"/>
      <w:r/>
      <w:bookmarkStart w:id="763" w:name="_Toc127151742"/>
      <w:r/>
      <w:bookmarkStart w:id="764" w:name="_Toc353873941"/>
      <w:r/>
      <w:bookmarkStart w:id="765" w:name="_Toc353825551"/>
      <w:r/>
      <w:bookmarkStart w:id="766" w:name="_Toc195842920"/>
      <w:r/>
      <w:bookmarkStart w:id="767" w:name="_Toc150774760"/>
      <w:r/>
      <w:bookmarkStart w:id="768" w:name="_Toc264969245"/>
      <w:r/>
      <w:bookmarkStart w:id="769" w:name="_Toc353825545"/>
      <w:r/>
      <w:bookmarkStart w:id="770" w:name="_Toc353873665"/>
      <w:r/>
      <w:bookmarkStart w:id="771" w:name="_Toc305158897"/>
      <w:r/>
      <w:bookmarkStart w:id="772" w:name="_Toc226337251"/>
      <w:r/>
      <w:bookmarkStart w:id="773" w:name="_Toc142311057"/>
      <w:r/>
      <w:bookmarkStart w:id="774" w:name="_Toc226965828"/>
      <w:r/>
      <w:bookmarkStart w:id="775" w:name="_Toc127151555"/>
      <w:r/>
      <w:bookmarkStart w:id="776" w:name="_Toc305158823"/>
      <w:r/>
      <w:bookmarkStart w:id="777" w:name="_Toc265228393"/>
      <w:r/>
      <w:bookmarkStart w:id="778" w:name="_Toc353873935"/>
      <w:r/>
      <w:bookmarkStart w:id="779" w:name="_Toc150480793"/>
      <w:r>
        <w:rPr>
          <w:sz w:val="24"/>
        </w:rPr>
        <w:t xml:space="preserve">投标文件的符合性审查</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0" w:name="_Toc520356167"/>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0"/>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outlineLvl w:val="1"/>
      </w:pPr>
      <w:r>
        <w:rPr>
          <w:b/>
          <w:sz w:val="24"/>
        </w:rPr>
        <w:t xml:space="preserve">符合性审查</w:t>
      </w:r>
      <w:r>
        <w:rPr>
          <w:rFonts w:hint="eastAsia"/>
          <w:b/>
          <w:sz w:val="24"/>
        </w:rPr>
        <w:t xml:space="preserve">要求</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jc w:val="center"/>
          <w:trHeight w:val="567"/>
        </w:trPr>
        <w:tc>
          <w:tcPr>
            <w:tcW w:w="403" w:type="pct"/>
            <w:vAlign w:val="center"/>
            <w:textDirection w:val="lrTb"/>
            <w:noWrap w:val="false"/>
          </w:tcPr>
          <w:p>
            <w:pPr>
              <w:jc w:val="center"/>
              <w:widowControl/>
              <w:rPr>
                <w:b/>
                <w:sz w:val="24"/>
              </w:rPr>
            </w:pPr>
            <w:r>
              <w:rPr>
                <w:b/>
                <w:sz w:val="24"/>
              </w:rPr>
              <w:t xml:space="preserve">序号</w:t>
            </w:r>
            <w:r/>
          </w:p>
        </w:tc>
        <w:tc>
          <w:tcPr>
            <w:tcW w:w="975"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3" w:type="pct"/>
            <w:vAlign w:val="center"/>
            <w:textDirection w:val="lrTb"/>
            <w:noWrap w:val="false"/>
          </w:tcPr>
          <w:p>
            <w:pPr>
              <w:jc w:val="center"/>
              <w:widowControl/>
              <w:rPr>
                <w:sz w:val="24"/>
              </w:rPr>
            </w:pPr>
            <w:r>
              <w:rPr>
                <w:sz w:val="24"/>
              </w:rPr>
              <w:t xml:space="preserve">1</w:t>
            </w:r>
            <w:r/>
          </w:p>
        </w:tc>
        <w:tc>
          <w:tcPr>
            <w:tcW w:w="975" w:type="pct"/>
            <w:vAlign w:val="center"/>
            <w:textDirection w:val="lrTb"/>
            <w:noWrap w:val="false"/>
          </w:tcPr>
          <w:p>
            <w:pPr>
              <w:jc w:val="left"/>
              <w:widowControl/>
              <w:rPr>
                <w:sz w:val="24"/>
              </w:rPr>
            </w:pPr>
            <w:r>
              <w:rPr>
                <w:rFonts w:hint="eastAsia"/>
                <w:sz w:val="24"/>
              </w:rPr>
              <w:t xml:space="preserve">投标函、法定代表人资格证明书（或授权委托书）和政府采购供应商信用承诺书</w:t>
            </w:r>
            <w:r/>
          </w:p>
        </w:tc>
        <w:tc>
          <w:tcPr>
            <w:tcW w:w="3620" w:type="pct"/>
            <w:vAlign w:val="center"/>
            <w:textDirection w:val="lrTb"/>
            <w:noWrap w:val="false"/>
          </w:tcPr>
          <w:p>
            <w:pPr>
              <w:jc w:val="left"/>
              <w:widowControl/>
              <w:rPr>
                <w:rFonts w:hint="eastAsia"/>
                <w:sz w:val="24"/>
              </w:rPr>
            </w:pPr>
            <w:r>
              <w:rPr>
                <w:sz w:val="24"/>
              </w:rPr>
              <w:t xml:space="preserve">按招标文件要求提供</w:t>
            </w:r>
            <w:r>
              <w:rPr>
                <w:rFonts w:hint="eastAsia"/>
                <w:sz w:val="24"/>
              </w:rPr>
              <w:t xml:space="preserve">投标函、法定代表人资格证明书（或授权委托书）和政府采购供应商信用承诺书</w:t>
            </w:r>
            <w:r>
              <w:rPr>
                <w:sz w:val="24"/>
              </w:rPr>
              <w:t xml:space="preserve">；</w:t>
            </w:r>
            <w:r/>
          </w:p>
        </w:tc>
      </w:tr>
      <w:tr>
        <w:trPr>
          <w:jc w:val="center"/>
          <w:trHeight w:val="685"/>
        </w:trPr>
        <w:tc>
          <w:tcPr>
            <w:tcW w:w="403" w:type="pct"/>
            <w:vAlign w:val="center"/>
            <w:textDirection w:val="lrTb"/>
            <w:noWrap w:val="false"/>
          </w:tcPr>
          <w:p>
            <w:pPr>
              <w:jc w:val="center"/>
              <w:widowControl/>
              <w:rPr>
                <w:sz w:val="24"/>
              </w:rPr>
            </w:pPr>
            <w:r>
              <w:rPr>
                <w:sz w:val="24"/>
              </w:rPr>
              <w:t xml:space="preserve">2</w:t>
            </w:r>
            <w:r/>
          </w:p>
        </w:tc>
        <w:tc>
          <w:tcPr>
            <w:tcW w:w="975"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3" w:type="pct"/>
            <w:vAlign w:val="center"/>
            <w:textDirection w:val="lrTb"/>
            <w:noWrap w:val="false"/>
          </w:tcPr>
          <w:p>
            <w:pPr>
              <w:jc w:val="center"/>
              <w:widowControl/>
              <w:rPr>
                <w:sz w:val="24"/>
              </w:rPr>
            </w:pPr>
            <w:r>
              <w:rPr>
                <w:sz w:val="24"/>
              </w:rPr>
              <w:t xml:space="preserve">3</w:t>
            </w:r>
            <w:r/>
          </w:p>
        </w:tc>
        <w:tc>
          <w:tcPr>
            <w:tcW w:w="975"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p>
        </w:tc>
      </w:tr>
      <w:tr>
        <w:trPr>
          <w:jc w:val="center"/>
          <w:trHeight w:val="685"/>
        </w:trPr>
        <w:tc>
          <w:tcPr>
            <w:tcW w:w="403" w:type="pct"/>
            <w:vAlign w:val="center"/>
            <w:textDirection w:val="lrTb"/>
            <w:noWrap w:val="false"/>
          </w:tcPr>
          <w:p>
            <w:pPr>
              <w:jc w:val="center"/>
              <w:widowControl/>
              <w:rPr>
                <w:sz w:val="24"/>
              </w:rPr>
            </w:pPr>
            <w:r>
              <w:rPr>
                <w:sz w:val="24"/>
              </w:rPr>
              <w:t xml:space="preserve">4</w:t>
            </w:r>
            <w:r/>
          </w:p>
        </w:tc>
        <w:tc>
          <w:tcPr>
            <w:tcW w:w="975"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3" w:type="pct"/>
            <w:vAlign w:val="center"/>
            <w:textDirection w:val="lrTb"/>
            <w:noWrap w:val="false"/>
          </w:tcPr>
          <w:p>
            <w:pPr>
              <w:jc w:val="center"/>
              <w:widowControl/>
              <w:rPr>
                <w:sz w:val="24"/>
              </w:rPr>
            </w:pPr>
            <w:r>
              <w:rPr>
                <w:sz w:val="24"/>
              </w:rPr>
              <w:t xml:space="preserve">5</w:t>
            </w:r>
            <w:r/>
          </w:p>
        </w:tc>
        <w:tc>
          <w:tcPr>
            <w:tcW w:w="975"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3" w:type="pct"/>
            <w:vAlign w:val="center"/>
            <w:textDirection w:val="lrTb"/>
            <w:noWrap w:val="false"/>
          </w:tcPr>
          <w:p>
            <w:pPr>
              <w:jc w:val="center"/>
              <w:widowControl/>
              <w:rPr>
                <w:sz w:val="24"/>
              </w:rPr>
            </w:pPr>
            <w:r>
              <w:rPr>
                <w:sz w:val="24"/>
              </w:rPr>
              <w:t xml:space="preserve">6</w:t>
            </w:r>
            <w:r/>
          </w:p>
        </w:tc>
        <w:tc>
          <w:tcPr>
            <w:tcW w:w="975"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7</w:t>
            </w:r>
            <w:r/>
          </w:p>
        </w:tc>
        <w:tc>
          <w:tcPr>
            <w:tcW w:w="975"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3" w:type="pct"/>
            <w:vAlign w:val="center"/>
            <w:textDirection w:val="lrTb"/>
            <w:noWrap w:val="false"/>
          </w:tcPr>
          <w:p>
            <w:pPr>
              <w:jc w:val="center"/>
              <w:widowControl/>
              <w:rPr>
                <w:sz w:val="24"/>
              </w:rPr>
            </w:pPr>
            <w:r>
              <w:rPr>
                <w:sz w:val="24"/>
              </w:rPr>
              <w:t xml:space="preserve">8</w:t>
            </w:r>
            <w:r/>
          </w:p>
        </w:tc>
        <w:tc>
          <w:tcPr>
            <w:tcW w:w="975"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3" w:type="pct"/>
            <w:vAlign w:val="center"/>
            <w:textDirection w:val="lrTb"/>
            <w:noWrap w:val="false"/>
          </w:tcPr>
          <w:p>
            <w:pPr>
              <w:jc w:val="center"/>
              <w:widowControl/>
              <w:rPr>
                <w:sz w:val="24"/>
              </w:rPr>
            </w:pPr>
            <w:r>
              <w:rPr>
                <w:sz w:val="24"/>
              </w:rPr>
              <w:t xml:space="preserve">9</w:t>
            </w:r>
            <w:r/>
          </w:p>
        </w:tc>
        <w:tc>
          <w:tcPr>
            <w:tcW w:w="975"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w:t>
            </w:r>
            <w:r>
              <w:rPr>
                <w:rFonts w:hint="eastAsia"/>
                <w:sz w:val="24"/>
              </w:rPr>
              <w:t xml:space="preserve">的电子件（如有）</w:t>
            </w:r>
            <w:r>
              <w:rPr>
                <w:sz w:val="24"/>
              </w:rPr>
              <w:t xml:space="preserve">；</w:t>
            </w:r>
            <w:r/>
          </w:p>
        </w:tc>
      </w:tr>
      <w:tr>
        <w:trPr>
          <w:jc w:val="center"/>
          <w:trHeight w:val="685"/>
        </w:trPr>
        <w:tc>
          <w:tcPr>
            <w:tcW w:w="403" w:type="pct"/>
            <w:vAlign w:val="center"/>
            <w:textDirection w:val="lrTb"/>
            <w:noWrap w:val="false"/>
          </w:tcPr>
          <w:p>
            <w:pPr>
              <w:jc w:val="center"/>
              <w:widowControl/>
              <w:rPr>
                <w:sz w:val="24"/>
              </w:rPr>
            </w:pPr>
            <w:r>
              <w:rPr>
                <w:sz w:val="24"/>
              </w:rPr>
              <w:t xml:space="preserve">10</w:t>
            </w:r>
            <w:r/>
          </w:p>
        </w:tc>
        <w:tc>
          <w:tcPr>
            <w:tcW w:w="975"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w:t>
            </w:r>
            <w:r>
              <w:rPr>
                <w:rFonts w:hint="eastAsia"/>
                <w:sz w:val="24"/>
              </w:rPr>
              <w:t xml:space="preserve">的电子件</w:t>
            </w:r>
            <w:r>
              <w:rPr>
                <w:sz w:val="24"/>
              </w:rPr>
              <w:t xml:space="preserve">；</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11</w:t>
            </w:r>
            <w:r/>
          </w:p>
        </w:tc>
        <w:tc>
          <w:tcPr>
            <w:tcW w:w="975"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3" w:type="pct"/>
            <w:vAlign w:val="center"/>
            <w:textDirection w:val="lrTb"/>
            <w:noWrap w:val="false"/>
          </w:tcPr>
          <w:p>
            <w:pPr>
              <w:jc w:val="center"/>
              <w:widowControl/>
              <w:rPr>
                <w:rFonts w:hint="eastAsia"/>
                <w:sz w:val="24"/>
              </w:rPr>
            </w:pPr>
            <w:r>
              <w:rPr>
                <w:sz w:val="24"/>
              </w:rPr>
              <w:t xml:space="preserve">1</w:t>
            </w:r>
            <w:r>
              <w:rPr>
                <w:rFonts w:hint="eastAsia"/>
                <w:sz w:val="24"/>
              </w:rPr>
              <w:t xml:space="preserve">2</w:t>
            </w:r>
            <w:r/>
          </w:p>
        </w:tc>
        <w:tc>
          <w:tcPr>
            <w:tcW w:w="975"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rFonts w:hint="eastAsia" w:ascii="Times New Roman" w:hAnsi="Times New Roman" w:cs="Times New Roman"/>
                <w:sz w:val="24"/>
              </w:rPr>
            </w:pPr>
            <w:r>
              <w:rPr>
                <w:rFonts w:hint="eastAsia" w:ascii="Times New Roman" w:hAnsi="Times New Roman" w:cs="Times New Roman"/>
                <w:sz w:val="24"/>
              </w:rPr>
              <w:t xml:space="preserve">依据财政部《关于推动解决政府采购异常低价问题的通知》（财库[2026]2号）文件规定：评审中出现下列情形之一的，评审委员会应当启动异常低价投标（响应）审查程序：</w:t>
            </w:r>
            <w:r/>
          </w:p>
          <w:p>
            <w:pPr>
              <w:pStyle w:val="1011"/>
              <w:rPr>
                <w:rFonts w:hint="eastAsia" w:cs="Times New Roman"/>
              </w:rPr>
            </w:pPr>
            <w:r>
              <w:rPr>
                <w:rFonts w:hint="eastAsia" w:cs="Times New Roman"/>
              </w:rPr>
              <w:t xml:space="preserve">1.投标（响应）报价低于全部通过符合性审查供应商投标（响应）报价平均值65%的，即投标（响应）报价&lt;全部通过符合性审查供应商投标（响应）报价平均值×65%；</w:t>
            </w:r>
            <w:r/>
          </w:p>
          <w:p>
            <w:pPr>
              <w:pStyle w:val="1011"/>
              <w:rPr>
                <w:rFonts w:hint="eastAsia" w:cs="Times New Roman"/>
              </w:rPr>
            </w:pPr>
            <w:r>
              <w:rPr>
                <w:rFonts w:hint="eastAsia" w:cs="Times New Roman"/>
              </w:rPr>
              <w:t xml:space="preserve">2.投标（响应）报价低于通过符合性审查的次低报价供应商投标（响应）报价65%的，即投标（响应）报价&lt;通过符合性审查的次低报价供应商投标（响应）报价×65%；</w:t>
            </w:r>
            <w:r/>
          </w:p>
          <w:p>
            <w:pPr>
              <w:pStyle w:val="1011"/>
              <w:rPr>
                <w:rFonts w:hint="eastAsia" w:cs="Times New Roman"/>
              </w:rPr>
            </w:pPr>
            <w:r>
              <w:rPr>
                <w:rFonts w:hint="eastAsia" w:cs="Times New Roman"/>
              </w:rPr>
              <w:t xml:space="preserve">3.投标（响应）报价低于采购项目最高限价65%的，即投标（响应）报价&lt;采购项目最高限价×65%；</w:t>
            </w:r>
            <w:r/>
          </w:p>
          <w:p>
            <w:pPr>
              <w:pStyle w:val="1011"/>
              <w:rPr>
                <w:rFonts w:hint="eastAsia" w:cs="Times New Roman"/>
              </w:rPr>
            </w:pPr>
            <w:r>
              <w:rPr>
                <w:rFonts w:hint="eastAsia" w:cs="Times New Roman"/>
              </w:rPr>
              <w:t xml:space="preserve">4.评审委员会基于专业判断，认为供应商报价过低，有可能影响产品质量或者不能诚信履约的其他情形。</w:t>
            </w:r>
            <w:r/>
          </w:p>
          <w:p>
            <w:pPr>
              <w:rPr>
                <w:rFonts w:hint="eastAsia" w:ascii="宋体" w:hAnsi="宋体" w:cs="宋体"/>
                <w:sz w:val="24"/>
                <w:shd w:val="clear" w:color="auto" w:fill="ffffff"/>
              </w:rPr>
            </w:pPr>
            <w:r>
              <w:rPr>
                <w:rFonts w:hint="eastAsia" w:ascii="宋体" w:hAnsi="宋体" w:cs="宋体"/>
                <w:sz w:val="24"/>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pStyle w:val="1011"/>
              <w:rPr>
                <w:rFonts w:cs="Times New Roman"/>
              </w:rPr>
            </w:pPr>
            <w:r>
              <w:rPr>
                <w:rFonts w:hint="eastAsia" w:cs="宋体"/>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3" w:type="pct"/>
            <w:vAlign w:val="center"/>
            <w:textDirection w:val="lrTb"/>
            <w:noWrap w:val="false"/>
          </w:tcPr>
          <w:p>
            <w:pPr>
              <w:jc w:val="center"/>
              <w:widowControl/>
              <w:rPr>
                <w:rFonts w:hint="eastAsia"/>
                <w:sz w:val="24"/>
              </w:rPr>
            </w:pPr>
            <w:r>
              <w:rPr>
                <w:sz w:val="24"/>
              </w:rPr>
              <w:t xml:space="preserve">1</w:t>
            </w:r>
            <w:r>
              <w:rPr>
                <w:rFonts w:hint="eastAsia"/>
                <w:sz w:val="24"/>
              </w:rPr>
              <w:t xml:space="preserve">3</w:t>
            </w:r>
            <w:r/>
          </w:p>
        </w:tc>
        <w:tc>
          <w:tcPr>
            <w:tcW w:w="975"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pct"/>
            <w:vAlign w:val="center"/>
            <w:textDirection w:val="lrTb"/>
            <w:noWrap w:val="false"/>
          </w:tcPr>
          <w:p>
            <w:pPr>
              <w:jc w:val="center"/>
              <w:widowControl/>
              <w:rPr>
                <w:rFonts w:hint="eastAsia"/>
                <w:sz w:val="24"/>
              </w:rPr>
            </w:pPr>
            <w:r>
              <w:rPr>
                <w:sz w:val="24"/>
              </w:rPr>
              <w:t xml:space="preserve">1</w:t>
            </w:r>
            <w:r>
              <w:rPr>
                <w:rFonts w:hint="eastAsia"/>
                <w:sz w:val="24"/>
              </w:rPr>
              <w:t xml:space="preserve">4</w:t>
            </w:r>
            <w:r/>
          </w:p>
        </w:tc>
        <w:tc>
          <w:tcPr>
            <w:tcW w:w="975"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p>
        </w:tc>
      </w:tr>
      <w:tr>
        <w:trPr>
          <w:jc w:val="center"/>
          <w:trHeight w:val="685"/>
        </w:trPr>
        <w:tc>
          <w:tcPr>
            <w:tcW w:w="403" w:type="pct"/>
            <w:vAlign w:val="center"/>
            <w:textDirection w:val="lrTb"/>
            <w:noWrap w:val="false"/>
          </w:tcPr>
          <w:p>
            <w:pPr>
              <w:jc w:val="center"/>
              <w:widowControl/>
              <w:rPr>
                <w:rFonts w:hint="eastAsia"/>
                <w:sz w:val="24"/>
              </w:rPr>
            </w:pPr>
            <w:r>
              <w:rPr>
                <w:sz w:val="24"/>
              </w:rPr>
              <w:t xml:space="preserve">1</w:t>
            </w:r>
            <w:r>
              <w:rPr>
                <w:rFonts w:hint="eastAsia"/>
                <w:sz w:val="24"/>
              </w:rPr>
              <w:t xml:space="preserve">5</w:t>
            </w:r>
            <w:r/>
          </w:p>
        </w:tc>
        <w:tc>
          <w:tcPr>
            <w:tcW w:w="975"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3" w:type="pct"/>
            <w:vAlign w:val="center"/>
            <w:textDirection w:val="lrTb"/>
            <w:noWrap w:val="false"/>
          </w:tcPr>
          <w:p>
            <w:pPr>
              <w:jc w:val="center"/>
              <w:widowControl/>
              <w:rPr>
                <w:sz w:val="24"/>
              </w:rPr>
            </w:pPr>
            <w:r>
              <w:rPr>
                <w:rFonts w:hint="eastAsia"/>
                <w:sz w:val="24"/>
              </w:rPr>
              <w:t xml:space="preserve">16</w:t>
            </w:r>
            <w:r/>
          </w:p>
        </w:tc>
        <w:tc>
          <w:tcPr>
            <w:tcW w:w="975"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2"/>
        </w:numPr>
        <w:spacing w:before="194" w:line="360" w:lineRule="auto"/>
        <w:tabs>
          <w:tab w:val="left" w:pos="360" w:leader="none"/>
        </w:tabs>
        <w:rPr>
          <w:sz w:val="24"/>
        </w:rPr>
        <w:outlineLvl w:val="2"/>
      </w:pPr>
      <w:r>
        <w:rPr>
          <w:sz w:val="24"/>
        </w:rPr>
        <w:t xml:space="preserve">投标文件有关事项的澄清或者说明</w:t>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numPr>
          <w:ilvl w:val="1"/>
          <w:numId w:val="12"/>
        </w:numPr>
        <w:spacing w:line="360" w:lineRule="auto"/>
        <w:tabs>
          <w:tab w:val="clear" w:pos="0" w:leader="none"/>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2"/>
        </w:numPr>
        <w:spacing w:line="360" w:lineRule="auto"/>
        <w:tabs>
          <w:tab w:val="clear" w:pos="0" w:leader="none"/>
          <w:tab w:val="left" w:pos="1080" w:leader="none"/>
          <w:tab w:val="left" w:pos="1589" w:leader="none"/>
        </w:tabs>
        <w:rPr>
          <w:sz w:val="24"/>
        </w:rPr>
      </w:pPr>
      <w:r>
        <w:rPr>
          <w:sz w:val="24"/>
        </w:rPr>
        <w:t xml:space="preserve">投标文件报价出现前后不一致的，按照下列规定修正：</w:t>
      </w:r>
      <w:r/>
    </w:p>
    <w:p>
      <w:pPr>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16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w:t>
      </w:r>
      <w:r>
        <w:rPr>
          <w:sz w:val="24"/>
          <w:u w:val="single"/>
          <w:lang w:val="en-GB"/>
        </w:rPr>
        <w:t xml:space="preserve">  /  </w:t>
      </w:r>
      <w:r/>
    </w:p>
    <w:p>
      <w:pPr>
        <w:ind w:left="1680"/>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sz w:val="24"/>
        </w:rPr>
      </w:pPr>
      <w:r>
        <w:rPr>
          <w:sz w:val="24"/>
        </w:rPr>
        <w:t xml:space="preserve">单独递交的开标一览表（报价表）与投标文件中开标一览表（报价表</w:t>
      </w:r>
      <w:r>
        <w:rPr>
          <w:rFonts w:hint="eastAsia"/>
          <w:sz w:val="24"/>
        </w:rPr>
        <w:t xml:space="preserve">）</w:t>
      </w:r>
      <w:r>
        <w:rPr>
          <w:sz w:val="24"/>
        </w:rPr>
        <w:t xml:space="preserve">内容不一致的，以单独递交的开标一览表（报价表）为准；</w:t>
      </w:r>
      <w:r/>
    </w:p>
    <w:p>
      <w:pPr>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2"/>
        </w:numPr>
        <w:spacing w:line="360" w:lineRule="auto"/>
        <w:tabs>
          <w:tab w:val="clear" w:pos="0" w:leader="none"/>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2"/>
        </w:numPr>
        <w:spacing w:line="360" w:lineRule="auto"/>
        <w:tabs>
          <w:tab w:val="clear" w:pos="0" w:leader="none"/>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2"/>
        </w:numPr>
        <w:spacing w:line="360" w:lineRule="auto"/>
        <w:tabs>
          <w:tab w:val="clear" w:pos="0" w:leader="none"/>
          <w:tab w:val="left" w:pos="1080" w:leader="none"/>
          <w:tab w:val="left" w:pos="1589" w:leader="none"/>
        </w:tabs>
        <w:rPr>
          <w:sz w:val="24"/>
        </w:rPr>
      </w:pPr>
      <w:r>
        <w:rPr>
          <w:sz w:val="24"/>
        </w:rPr>
        <w:t xml:space="preserve">落实政府采购政策的价格调整：只有符合第二章《投标人须知》</w:t>
      </w:r>
      <w:r>
        <w:rPr>
          <w:rFonts w:hint="eastAsia"/>
          <w:sz w:val="24"/>
        </w:rPr>
        <w:t xml:space="preserve">4.1</w:t>
      </w:r>
      <w:r>
        <w:rPr>
          <w:sz w:val="24"/>
        </w:rPr>
        <w:t xml:space="preserve">条规定情形的，可以享受中小企业扶持政策，用扣除后的价格参加评审；否则，评标时价格不予扣除。</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2"/>
        </w:numPr>
        <w:spacing w:line="360" w:lineRule="auto"/>
        <w:tabs>
          <w:tab w:val="clear" w:pos="0" w:leader="none"/>
          <w:tab w:val="left" w:pos="1080" w:leader="none"/>
          <w:tab w:val="left" w:pos="1589" w:leader="none"/>
          <w:tab w:val="left"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rPr>
        <w:outlineLvl w:val="2"/>
      </w:pPr>
      <w:r>
        <w:rPr>
          <w:sz w:val="24"/>
        </w:rPr>
        <w:t xml:space="preserve">投标文件的比较和评价</w:t>
      </w:r>
      <w:bookmarkEnd w:id="764"/>
      <w:r/>
      <w:bookmarkEnd w:id="765"/>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评标方法和评标标准   </w:t>
      </w:r>
      <w:r/>
    </w:p>
    <w:p>
      <w:pPr>
        <w:numPr>
          <w:ilvl w:val="2"/>
          <w:numId w:val="12"/>
        </w:numPr>
        <w:spacing w:line="360" w:lineRule="auto"/>
        <w:tabs>
          <w:tab w:val="clear" w:pos="0" w:leader="none"/>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20" w:hanging="240"/>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20" w:hanging="240"/>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w:t>
      </w:r>
      <w:r>
        <w:rPr>
          <w:sz w:val="24"/>
        </w:rPr>
        <w:t xml:space="preserve">最低评标价法，指投标文件满足招标文件全部实质性要求，且投标报价最低的投标人为中标候选人的评标方法。</w:t>
      </w:r>
      <w:r/>
    </w:p>
    <w:p>
      <w:pPr>
        <w:numPr>
          <w:ilvl w:val="0"/>
          <w:numId w:val="12"/>
        </w:numPr>
        <w:spacing w:line="360" w:lineRule="auto"/>
        <w:tabs>
          <w:tab w:val="left" w:pos="360" w:leader="none"/>
        </w:tabs>
        <w:rPr>
          <w:sz w:val="24"/>
        </w:rPr>
        <w:outlineLvl w:val="2"/>
      </w:pPr>
      <w:r>
        <w:rPr>
          <w:sz w:val="24"/>
        </w:rPr>
        <w:t xml:space="preserve">确定</w:t>
      </w:r>
      <w:bookmarkStart w:id="781" w:name="_Toc520356170"/>
      <w:r/>
      <w:bookmarkStart w:id="782" w:name="_Toc164608660"/>
      <w:r/>
      <w:bookmarkStart w:id="783" w:name="_Toc151193860"/>
      <w:r/>
      <w:bookmarkStart w:id="784" w:name="_Toc151190173"/>
      <w:r/>
      <w:bookmarkStart w:id="785" w:name="_Toc142311048"/>
      <w:r/>
      <w:bookmarkStart w:id="786" w:name="_Toc195842911"/>
      <w:r/>
      <w:bookmarkStart w:id="787" w:name="_Toc226337242"/>
      <w:r/>
      <w:bookmarkStart w:id="788" w:name="_Toc226965736"/>
      <w:r/>
      <w:bookmarkStart w:id="789" w:name="_Toc305158888"/>
      <w:r/>
      <w:bookmarkStart w:id="790" w:name="_Toc149720839"/>
      <w:r/>
      <w:bookmarkStart w:id="791" w:name="_Toc164229241"/>
      <w:r/>
      <w:bookmarkStart w:id="792" w:name="_Toc150774751"/>
      <w:r/>
      <w:bookmarkStart w:id="793" w:name="_Toc150509297"/>
      <w:r/>
      <w:bookmarkStart w:id="794" w:name="_Toc127161460"/>
      <w:r/>
      <w:bookmarkStart w:id="795" w:name="_Toc150480784"/>
      <w:r/>
      <w:bookmarkStart w:id="796" w:name="_Toc151193934"/>
      <w:r/>
      <w:bookmarkStart w:id="797" w:name="_Toc127151546"/>
      <w:r/>
      <w:bookmarkStart w:id="798" w:name="_Toc151193788"/>
      <w:r/>
      <w:bookmarkStart w:id="799" w:name="_Toc264969236"/>
      <w:r/>
      <w:bookmarkStart w:id="800" w:name="_Toc265228384"/>
      <w:r/>
      <w:bookmarkStart w:id="801" w:name="_Toc226965819"/>
      <w:r/>
      <w:bookmarkStart w:id="802" w:name="_Toc127151747"/>
      <w:r/>
      <w:bookmarkStart w:id="803" w:name="_Toc164608815"/>
      <w:r/>
      <w:bookmarkStart w:id="804" w:name="_Toc226309790"/>
      <w:r/>
      <w:bookmarkStart w:id="805" w:name="_Toc305158814"/>
      <w:r/>
      <w:bookmarkStart w:id="806" w:name="_Toc151193644"/>
      <w:r/>
      <w:bookmarkStart w:id="807" w:name="_Toc151193716"/>
      <w:r/>
      <w:bookmarkStart w:id="808" w:name="_Toc150774646"/>
      <w:r/>
      <w:bookmarkStart w:id="809" w:name="_Toc164229387"/>
      <w:r/>
      <w:bookmarkStart w:id="810" w:name="_Toc164351640"/>
      <w:r/>
      <w:bookmarkStart w:id="811" w:name="_Ref467307010"/>
      <w:r>
        <w:rPr>
          <w:sz w:val="24"/>
        </w:rPr>
        <w:t xml:space="preserve">中标候选人名单</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
    </w:p>
    <w:p>
      <w:pPr>
        <w:numPr>
          <w:ilvl w:val="1"/>
          <w:numId w:val="12"/>
        </w:numPr>
        <w:spacing w:line="360" w:lineRule="auto"/>
        <w:tabs>
          <w:tab w:val="clear" w:pos="0" w:leader="none"/>
          <w:tab w:val="left" w:pos="1080" w:leader="none"/>
          <w:tab w:val="left" w:pos="1589" w:leader="none"/>
        </w:tabs>
        <w:rPr>
          <w:sz w:val="24"/>
          <w:highlight w:val="none"/>
        </w:rPr>
      </w:pPr>
      <w:r>
        <w:rPr>
          <w:rFonts w:hint="eastAsia"/>
          <w:sz w:val="24"/>
          <w:highlight w:val="none"/>
        </w:rPr>
        <w:t xml:space="preserve">采用综合评分法时，评标结果按评审后得分由高到低顺序排列。得分最高者为第一中标候选人，采购人确认为中标人。若得分相同，按投标报价由低到高顺序排列，采购人确认投标报价低的为中标人；得分且投标报价相同的，采购人确认主观分得分高的为中标人；如主观分得分及客观得分（技术及商务得分）均相同，则由采购人代表在评标现场（线下）对并列排名第一的中标候选人进行随机抽签，抽到的中标候选人即确定为中标人。</w:t>
      </w:r>
      <w:bookmarkStart w:id="909" w:name="_GoBack"/>
      <w:r/>
      <w:bookmarkEnd w:id="909"/>
      <w:r/>
      <w:r/>
    </w:p>
    <w:p>
      <w:pPr>
        <w:numPr>
          <w:ilvl w:val="1"/>
          <w:numId w:val="12"/>
        </w:numPr>
        <w:spacing w:line="360" w:lineRule="auto"/>
        <w:tabs>
          <w:tab w:val="clear" w:pos="0" w:leader="none"/>
          <w:tab w:val="left" w:pos="1080" w:leader="none"/>
          <w:tab w:val="left" w:pos="1589" w:leader="none"/>
        </w:tabs>
        <w:rPr>
          <w:sz w:val="24"/>
        </w:rPr>
      </w:pPr>
      <w:r>
        <w:rPr>
          <w:sz w:val="24"/>
        </w:rPr>
        <w:t xml:space="preserve">采用最低评标价法时，评标结果按本章2.4、2.5调整后的投标报价由低到高顺序排列。投标报价相同的</w:t>
      </w:r>
      <w:r>
        <w:rPr>
          <w:rFonts w:hint="eastAsia"/>
          <w:sz w:val="24"/>
        </w:rPr>
        <w:t xml:space="preserve">由采购人现场抽签决定</w:t>
      </w:r>
      <w:r>
        <w:rPr>
          <w:sz w:val="24"/>
        </w:rPr>
        <w:t xml:space="preserve">。投标文件满足招标文件全部实质性要求且投标报价最低的投标人为排名第一的中标候选人。</w:t>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2"/>
        </w:numPr>
        <w:spacing w:line="360" w:lineRule="auto"/>
        <w:tabs>
          <w:tab w:val="left" w:pos="360" w:leader="none"/>
        </w:tabs>
        <w:rPr>
          <w:sz w:val="24"/>
        </w:rPr>
        <w:outlineLvl w:val="2"/>
      </w:pPr>
      <w:r>
        <w:rPr>
          <w:sz w:val="24"/>
        </w:rPr>
        <w:t xml:space="preserve">报告违法行为</w:t>
      </w:r>
      <w:r/>
    </w:p>
    <w:p>
      <w:pPr>
        <w:numPr>
          <w:ilvl w:val="1"/>
          <w:numId w:val="12"/>
        </w:numPr>
        <w:spacing w:line="360" w:lineRule="auto"/>
        <w:tabs>
          <w:tab w:val="clear" w:pos="0" w:leader="none"/>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left"/>
        <w:widowControl/>
        <w:rPr>
          <w:b/>
          <w:sz w:val="24"/>
        </w:rPr>
      </w:pPr>
      <w:r>
        <w:rPr>
          <w:b/>
          <w:sz w:val="24"/>
        </w:rPr>
      </w:r>
      <w:r/>
    </w:p>
    <w:p>
      <w:pPr>
        <w:jc w:val="center"/>
        <w:spacing w:line="360" w:lineRule="auto"/>
        <w:tabs>
          <w:tab w:val="left" w:pos="360" w:leader="none"/>
          <w:tab w:val="left" w:pos="900" w:leader="none"/>
        </w:tabs>
        <w:rPr>
          <w:rFonts w:hint="eastAsia"/>
          <w:b/>
        </w:rPr>
        <w:outlineLvl w:val="1"/>
      </w:pPr>
      <w:r>
        <w:rPr>
          <w:b/>
          <w:sz w:val="24"/>
        </w:rPr>
        <w:br w:type="page" w:clear="all"/>
      </w:r>
      <w:r>
        <w:rPr>
          <w:b/>
          <w:sz w:val="24"/>
        </w:rPr>
        <w:t xml:space="preserve">二、评标标准</w:t>
      </w:r>
      <w:r/>
    </w:p>
    <w:tbl>
      <w:tblPr>
        <w:tblStyle w:val="765"/>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217"/>
        <w:gridCol w:w="933"/>
        <w:gridCol w:w="4034"/>
        <w:gridCol w:w="2539"/>
      </w:tblGrid>
      <w:tr>
        <w:trPr>
          <w:jc w:val="center"/>
          <w:trHeight w:val="568"/>
        </w:trPr>
        <w:tc>
          <w:tcPr>
            <w:tcW w:w="905" w:type="dxa"/>
            <w:vAlign w:val="center"/>
            <w:textDirection w:val="lrTb"/>
            <w:noWrap w:val="false"/>
          </w:tcPr>
          <w:p>
            <w:pPr>
              <w:ind w:firstLine="28"/>
              <w:jc w:val="center"/>
              <w:rPr>
                <w:b/>
                <w:sz w:val="24"/>
              </w:rPr>
            </w:pPr>
            <w:r>
              <w:rPr>
                <w:b/>
                <w:sz w:val="24"/>
              </w:rPr>
              <w:t xml:space="preserve">序号</w:t>
            </w:r>
            <w:r/>
          </w:p>
        </w:tc>
        <w:tc>
          <w:tcPr>
            <w:tcW w:w="1217" w:type="dxa"/>
            <w:vAlign w:val="center"/>
            <w:textDirection w:val="lrTb"/>
            <w:noWrap w:val="false"/>
          </w:tcPr>
          <w:p>
            <w:pPr>
              <w:ind w:firstLine="28"/>
              <w:jc w:val="center"/>
              <w:rPr>
                <w:b/>
                <w:sz w:val="24"/>
              </w:rPr>
            </w:pPr>
            <w:r>
              <w:rPr>
                <w:b/>
                <w:sz w:val="24"/>
              </w:rPr>
              <w:t xml:space="preserve">评分因素</w:t>
            </w:r>
            <w:r/>
          </w:p>
        </w:tc>
        <w:tc>
          <w:tcPr>
            <w:tcW w:w="933" w:type="dxa"/>
            <w:vAlign w:val="center"/>
            <w:textDirection w:val="lrTb"/>
            <w:noWrap w:val="false"/>
          </w:tcPr>
          <w:p>
            <w:pPr>
              <w:ind w:firstLine="28"/>
              <w:jc w:val="center"/>
              <w:rPr>
                <w:b/>
                <w:sz w:val="24"/>
              </w:rPr>
            </w:pPr>
            <w:r>
              <w:rPr>
                <w:b/>
                <w:sz w:val="24"/>
              </w:rPr>
              <w:t xml:space="preserve">分值</w:t>
            </w:r>
            <w:r/>
          </w:p>
        </w:tc>
        <w:tc>
          <w:tcPr>
            <w:tcW w:w="4034" w:type="dxa"/>
            <w:vAlign w:val="center"/>
            <w:textDirection w:val="lrTb"/>
            <w:noWrap w:val="false"/>
          </w:tcPr>
          <w:p>
            <w:pPr>
              <w:ind w:firstLine="28"/>
              <w:jc w:val="center"/>
              <w:rPr>
                <w:b/>
                <w:sz w:val="24"/>
              </w:rPr>
            </w:pPr>
            <w:r>
              <w:rPr>
                <w:b/>
                <w:sz w:val="24"/>
              </w:rPr>
              <w:t xml:space="preserve">评分标准</w:t>
            </w:r>
            <w:r/>
          </w:p>
        </w:tc>
        <w:tc>
          <w:tcPr>
            <w:tcW w:w="2539" w:type="dxa"/>
            <w:vAlign w:val="center"/>
            <w:textDirection w:val="lrTb"/>
            <w:noWrap w:val="false"/>
          </w:tcPr>
          <w:p>
            <w:pPr>
              <w:pStyle w:val="1129"/>
              <w:spacing w:before="0" w:after="0" w:line="240" w:lineRule="auto"/>
              <w:rPr>
                <w:rFonts w:eastAsia="宋体"/>
                <w:szCs w:val="24"/>
              </w:rPr>
            </w:pPr>
            <w:r>
              <w:rPr>
                <w:rFonts w:eastAsia="宋体"/>
                <w:szCs w:val="24"/>
              </w:rPr>
              <w:t xml:space="preserve">说明</w:t>
            </w:r>
            <w:r/>
          </w:p>
        </w:tc>
      </w:tr>
      <w:tr>
        <w:trPr>
          <w:jc w:val="center"/>
          <w:trHeight w:val="631"/>
        </w:trPr>
        <w:tc>
          <w:tcPr>
            <w:tcW w:w="905" w:type="dxa"/>
            <w:vAlign w:val="center"/>
            <w:textDirection w:val="lrTb"/>
            <w:noWrap w:val="false"/>
          </w:tcPr>
          <w:p>
            <w:pPr>
              <w:ind w:firstLine="28"/>
              <w:jc w:val="center"/>
              <w:rPr>
                <w:b/>
                <w:sz w:val="24"/>
              </w:rPr>
            </w:pPr>
            <w:r>
              <w:rPr>
                <w:rFonts w:hint="eastAsia"/>
                <w:b/>
                <w:sz w:val="24"/>
              </w:rPr>
              <w:t xml:space="preserve">1</w:t>
            </w:r>
            <w:r/>
          </w:p>
        </w:tc>
        <w:tc>
          <w:tcPr>
            <w:tcW w:w="1217" w:type="dxa"/>
            <w:vAlign w:val="center"/>
            <w:textDirection w:val="lrTb"/>
            <w:noWrap w:val="false"/>
          </w:tcPr>
          <w:p>
            <w:pPr>
              <w:ind w:firstLine="28"/>
              <w:jc w:val="center"/>
              <w:rPr>
                <w:sz w:val="24"/>
              </w:rPr>
            </w:pPr>
            <w:r>
              <w:rPr>
                <w:rFonts w:hint="eastAsia"/>
                <w:sz w:val="24"/>
              </w:rPr>
              <w:t xml:space="preserve">价格分</w:t>
            </w:r>
            <w:r/>
          </w:p>
        </w:tc>
        <w:tc>
          <w:tcPr>
            <w:tcW w:w="933" w:type="dxa"/>
            <w:vAlign w:val="center"/>
            <w:textDirection w:val="lrTb"/>
            <w:noWrap w:val="false"/>
          </w:tcPr>
          <w:p>
            <w:pPr>
              <w:ind w:firstLine="28"/>
              <w:jc w:val="center"/>
              <w:rPr>
                <w:sz w:val="24"/>
              </w:rPr>
            </w:pPr>
            <w:r>
              <w:rPr>
                <w:rFonts w:hint="eastAsia"/>
                <w:sz w:val="24"/>
              </w:rPr>
              <w:t xml:space="preserve">20</w:t>
            </w:r>
            <w:r/>
          </w:p>
        </w:tc>
        <w:tc>
          <w:tcPr>
            <w:tcW w:w="4034" w:type="dxa"/>
            <w:vAlign w:val="center"/>
            <w:textDirection w:val="lrTb"/>
            <w:noWrap w:val="false"/>
          </w:tcPr>
          <w:p>
            <w:pPr>
              <w:rPr>
                <w:sz w:val="24"/>
              </w:rPr>
            </w:pPr>
            <w:r>
              <w:rPr>
                <w:sz w:val="24"/>
              </w:rPr>
              <w:t xml:space="preserve">满足招标文件要求且投标价格最低的投标报价为评标基准价，其价格分为满分。其他投标人的价格分统一按照下列公式计算：</w:t>
            </w:r>
            <w:r/>
          </w:p>
          <w:p>
            <w:pPr>
              <w:rPr>
                <w:sz w:val="24"/>
              </w:rPr>
            </w:pPr>
            <w:r>
              <w:rPr>
                <w:sz w:val="24"/>
              </w:rPr>
              <w:t xml:space="preserve">投标报价得分＝（评标基准价/投标报价）×</w:t>
            </w:r>
            <w:r>
              <w:rPr>
                <w:rFonts w:hint="eastAsia"/>
                <w:sz w:val="24"/>
              </w:rPr>
              <w:t xml:space="preserve">20分</w:t>
            </w:r>
            <w:r>
              <w:rPr>
                <w:sz w:val="24"/>
              </w:rPr>
              <w:t xml:space="preserve">。</w:t>
            </w:r>
            <w:r/>
          </w:p>
        </w:tc>
        <w:tc>
          <w:tcPr>
            <w:tcW w:w="2539" w:type="dxa"/>
            <w:vAlign w:val="center"/>
            <w:textDirection w:val="lrTb"/>
            <w:noWrap w:val="false"/>
          </w:tcPr>
          <w:p>
            <w:pPr>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p>
        </w:tc>
      </w:tr>
      <w:tr>
        <w:trPr>
          <w:jc w:val="center"/>
          <w:trHeight w:val="568"/>
        </w:trPr>
        <w:tc>
          <w:tcPr>
            <w:tcW w:w="905" w:type="dxa"/>
            <w:vAlign w:val="center"/>
            <w:textDirection w:val="lrTb"/>
            <w:noWrap w:val="false"/>
          </w:tcPr>
          <w:p>
            <w:pPr>
              <w:ind w:firstLine="28"/>
              <w:jc w:val="center"/>
              <w:rPr>
                <w:sz w:val="24"/>
              </w:rPr>
            </w:pPr>
            <w:r>
              <w:rPr>
                <w:rFonts w:hint="eastAsia"/>
                <w:sz w:val="24"/>
              </w:rPr>
              <w:t xml:space="preserve">2</w:t>
            </w:r>
            <w:r/>
          </w:p>
        </w:tc>
        <w:tc>
          <w:tcPr>
            <w:tcW w:w="1217" w:type="dxa"/>
            <w:vAlign w:val="center"/>
            <w:textDirection w:val="lrTb"/>
            <w:noWrap w:val="false"/>
          </w:tcPr>
          <w:p>
            <w:pPr>
              <w:ind w:firstLine="28"/>
              <w:jc w:val="center"/>
              <w:rPr>
                <w:sz w:val="24"/>
              </w:rPr>
            </w:pPr>
            <w:r>
              <w:rPr>
                <w:rFonts w:hint="eastAsia"/>
                <w:sz w:val="24"/>
              </w:rPr>
              <w:t xml:space="preserve">主观分</w:t>
            </w:r>
            <w:r/>
          </w:p>
        </w:tc>
        <w:tc>
          <w:tcPr>
            <w:tcW w:w="933" w:type="dxa"/>
            <w:vAlign w:val="center"/>
            <w:textDirection w:val="lrTb"/>
            <w:noWrap w:val="false"/>
          </w:tcPr>
          <w:p>
            <w:pPr>
              <w:ind w:firstLine="28"/>
              <w:jc w:val="center"/>
              <w:rPr>
                <w:sz w:val="24"/>
              </w:rPr>
            </w:pPr>
            <w:r>
              <w:rPr>
                <w:rFonts w:hint="eastAsia"/>
                <w:sz w:val="24"/>
              </w:rPr>
              <w:t xml:space="preserve">45</w:t>
            </w:r>
            <w:r/>
          </w:p>
        </w:tc>
        <w:tc>
          <w:tcPr>
            <w:tcW w:w="4034" w:type="dxa"/>
            <w:vAlign w:val="center"/>
            <w:textDirection w:val="lrTb"/>
            <w:noWrap w:val="false"/>
          </w:tcPr>
          <w:p>
            <w:pPr>
              <w:rPr>
                <w:sz w:val="24"/>
              </w:rPr>
            </w:pPr>
            <w:r>
              <w:rPr>
                <w:sz w:val="24"/>
              </w:rPr>
            </w:r>
            <w:r/>
          </w:p>
        </w:tc>
        <w:tc>
          <w:tcPr>
            <w:tcW w:w="2539" w:type="dxa"/>
            <w:vAlign w:val="center"/>
            <w:textDirection w:val="lrTb"/>
            <w:noWrap w:val="false"/>
          </w:tcPr>
          <w:p>
            <w:pPr>
              <w:ind w:left="-38"/>
              <w:rPr>
                <w:sz w:val="24"/>
              </w:rPr>
            </w:pPr>
            <w:r>
              <w:rPr>
                <w:sz w:val="24"/>
              </w:rPr>
            </w:r>
            <w:r/>
          </w:p>
        </w:tc>
      </w:tr>
      <w:tr>
        <w:trPr>
          <w:jc w:val="center"/>
        </w:trPr>
        <w:tc>
          <w:tcPr>
            <w:tcW w:w="905" w:type="dxa"/>
            <w:vAlign w:val="center"/>
            <w:textDirection w:val="lrTb"/>
            <w:noWrap w:val="false"/>
          </w:tcPr>
          <w:p>
            <w:pPr>
              <w:ind w:firstLine="28"/>
              <w:jc w:val="center"/>
              <w:rPr>
                <w:sz w:val="24"/>
              </w:rPr>
            </w:pPr>
            <w:r>
              <w:rPr>
                <w:rFonts w:hint="eastAsia"/>
                <w:sz w:val="24"/>
              </w:rPr>
              <w:t xml:space="preserve">2.1</w:t>
            </w:r>
            <w:r/>
          </w:p>
        </w:tc>
        <w:tc>
          <w:tcPr>
            <w:tcW w:w="1217" w:type="dxa"/>
            <w:vAlign w:val="center"/>
            <w:textDirection w:val="lrTb"/>
            <w:noWrap w:val="false"/>
          </w:tcPr>
          <w:p>
            <w:pPr>
              <w:ind w:firstLine="28"/>
              <w:jc w:val="center"/>
              <w:rPr>
                <w:rFonts w:ascii="宋体" w:hAnsi="宋体"/>
                <w:sz w:val="24"/>
              </w:rPr>
            </w:pPr>
            <w:r>
              <w:rPr>
                <w:rFonts w:hint="eastAsia"/>
                <w:sz w:val="24"/>
              </w:rPr>
              <w:t xml:space="preserve">作业</w:t>
            </w:r>
            <w:r>
              <w:rPr>
                <w:sz w:val="24"/>
              </w:rPr>
              <w:t xml:space="preserve">方案及主要技术措施</w:t>
            </w:r>
            <w:r/>
          </w:p>
        </w:tc>
        <w:tc>
          <w:tcPr>
            <w:tcW w:w="933" w:type="dxa"/>
            <w:vAlign w:val="center"/>
            <w:textDirection w:val="lrTb"/>
            <w:noWrap w:val="false"/>
          </w:tcPr>
          <w:p>
            <w:pPr>
              <w:ind w:firstLine="28"/>
              <w:jc w:val="center"/>
              <w:rPr>
                <w:rFonts w:ascii="宋体" w:hAnsi="宋体"/>
                <w:sz w:val="24"/>
              </w:rPr>
            </w:pPr>
            <w:r>
              <w:rPr>
                <w:rFonts w:hint="eastAsia"/>
                <w:sz w:val="24"/>
              </w:rPr>
              <w:t xml:space="preserve">16</w:t>
            </w:r>
            <w:r/>
          </w:p>
        </w:tc>
        <w:tc>
          <w:tcPr>
            <w:tcW w:w="4034" w:type="dxa"/>
            <w:vAlign w:val="center"/>
            <w:textDirection w:val="lrTb"/>
            <w:noWrap w:val="false"/>
          </w:tcPr>
          <w:p>
            <w:pPr>
              <w:jc w:val="left"/>
              <w:rPr>
                <w:rFonts w:hint="eastAsia"/>
                <w:sz w:val="24"/>
              </w:rPr>
            </w:pPr>
            <w:r>
              <w:rPr>
                <w:rFonts w:hint="eastAsia"/>
                <w:sz w:val="24"/>
              </w:rPr>
              <w:t xml:space="preserve">投标人</w:t>
            </w:r>
            <w:r>
              <w:rPr>
                <w:sz w:val="24"/>
              </w:rPr>
              <w:t xml:space="preserve">对项目总体认识深刻，</w:t>
            </w:r>
            <w:r>
              <w:rPr>
                <w:rFonts w:hint="eastAsia"/>
                <w:sz w:val="24"/>
              </w:rPr>
              <w:t xml:space="preserve">对</w:t>
            </w:r>
            <w:r>
              <w:rPr>
                <w:sz w:val="24"/>
              </w:rPr>
              <w:t xml:space="preserve">收割要求、收割标准</w:t>
            </w:r>
            <w:r>
              <w:rPr>
                <w:rFonts w:hint="eastAsia"/>
                <w:sz w:val="24"/>
              </w:rPr>
              <w:t xml:space="preserve">及湖面清理</w:t>
            </w:r>
            <w:r>
              <w:rPr>
                <w:sz w:val="24"/>
              </w:rPr>
              <w:t xml:space="preserve">等</w:t>
            </w:r>
            <w:r>
              <w:rPr>
                <w:rFonts w:hint="eastAsia"/>
                <w:sz w:val="24"/>
              </w:rPr>
              <w:t xml:space="preserve">方面的</w:t>
            </w:r>
            <w:r>
              <w:rPr>
                <w:sz w:val="24"/>
              </w:rPr>
              <w:t xml:space="preserve">管护方案</w:t>
            </w:r>
            <w:r>
              <w:rPr>
                <w:rFonts w:hint="eastAsia"/>
                <w:sz w:val="24"/>
              </w:rPr>
              <w:t xml:space="preserve">有较为全面的论述，整体方案内容丰富，可行性高的，得16分；</w:t>
            </w:r>
            <w:r>
              <w:rPr>
                <w:sz w:val="24"/>
              </w:rPr>
              <w:t xml:space="preserve">项目总体认识</w:t>
            </w:r>
            <w:r>
              <w:rPr>
                <w:rFonts w:hint="eastAsia"/>
                <w:sz w:val="24"/>
              </w:rPr>
              <w:t xml:space="preserve">较为</w:t>
            </w:r>
            <w:r>
              <w:rPr>
                <w:sz w:val="24"/>
              </w:rPr>
              <w:t xml:space="preserve">深刻，</w:t>
            </w:r>
            <w:r>
              <w:rPr>
                <w:rFonts w:hint="eastAsia"/>
                <w:sz w:val="24"/>
              </w:rPr>
              <w:t xml:space="preserve">对</w:t>
            </w:r>
            <w:r>
              <w:rPr>
                <w:sz w:val="24"/>
              </w:rPr>
              <w:t xml:space="preserve">收割要求、收割标准</w:t>
            </w:r>
            <w:r>
              <w:rPr>
                <w:rFonts w:hint="eastAsia"/>
                <w:sz w:val="24"/>
              </w:rPr>
              <w:t xml:space="preserve">及湖面清理</w:t>
            </w:r>
            <w:r>
              <w:rPr>
                <w:sz w:val="24"/>
              </w:rPr>
              <w:t xml:space="preserve">等管护方案</w:t>
            </w:r>
            <w:r>
              <w:rPr>
                <w:rFonts w:hint="eastAsia"/>
                <w:sz w:val="24"/>
              </w:rPr>
              <w:t xml:space="preserve">有一定的阐述，整体方案内容较丰富，方案有一定可行性的，得10分；</w:t>
            </w:r>
            <w:r>
              <w:rPr>
                <w:sz w:val="24"/>
              </w:rPr>
              <w:t xml:space="preserve">对项目总体认识</w:t>
            </w:r>
            <w:r>
              <w:rPr>
                <w:rFonts w:hint="eastAsia"/>
                <w:sz w:val="24"/>
              </w:rPr>
              <w:t xml:space="preserve">不够全面</w:t>
            </w:r>
            <w:r>
              <w:rPr>
                <w:sz w:val="24"/>
              </w:rPr>
              <w:t xml:space="preserve">，就收割要求、收割标准</w:t>
            </w:r>
            <w:r>
              <w:rPr>
                <w:rFonts w:hint="eastAsia"/>
                <w:sz w:val="24"/>
              </w:rPr>
              <w:t xml:space="preserve">及湖面清理</w:t>
            </w:r>
            <w:r>
              <w:rPr>
                <w:sz w:val="24"/>
              </w:rPr>
              <w:t xml:space="preserve">等管护方案</w:t>
            </w:r>
            <w:r>
              <w:rPr>
                <w:rFonts w:hint="eastAsia"/>
                <w:sz w:val="24"/>
              </w:rPr>
              <w:t xml:space="preserve">论述较为简单的，可行性较低的，得5分；未提供的不得分。</w:t>
            </w:r>
            <w:r/>
          </w:p>
        </w:tc>
        <w:tc>
          <w:tcPr>
            <w:tcW w:w="2539" w:type="dxa"/>
            <w:vAlign w:val="center"/>
            <w:textDirection w:val="lrTb"/>
            <w:noWrap w:val="false"/>
          </w:tcPr>
          <w:p>
            <w:pPr>
              <w:jc w:val="center"/>
              <w:rPr>
                <w:rFonts w:ascii="宋体" w:hAnsi="宋体"/>
                <w:sz w:val="24"/>
              </w:rPr>
            </w:pPr>
            <w:r>
              <w:rPr>
                <w:rFonts w:ascii="宋体" w:hAnsi="宋体"/>
                <w:sz w:val="24"/>
              </w:rPr>
            </w:r>
            <w:r/>
          </w:p>
        </w:tc>
      </w:tr>
      <w:tr>
        <w:trPr>
          <w:jc w:val="center"/>
        </w:trPr>
        <w:tc>
          <w:tcPr>
            <w:tcW w:w="905" w:type="dxa"/>
            <w:vAlign w:val="center"/>
            <w:textDirection w:val="lrTb"/>
            <w:noWrap w:val="false"/>
          </w:tcPr>
          <w:p>
            <w:pPr>
              <w:ind w:firstLine="28"/>
              <w:jc w:val="center"/>
              <w:rPr>
                <w:sz w:val="24"/>
              </w:rPr>
            </w:pPr>
            <w:r>
              <w:rPr>
                <w:sz w:val="24"/>
              </w:rPr>
              <w:t xml:space="preserve">2.2</w:t>
            </w:r>
            <w:r/>
          </w:p>
        </w:tc>
        <w:tc>
          <w:tcPr>
            <w:tcW w:w="1217" w:type="dxa"/>
            <w:vAlign w:val="center"/>
            <w:textDirection w:val="lrTb"/>
            <w:noWrap w:val="false"/>
          </w:tcPr>
          <w:p>
            <w:pPr>
              <w:ind w:firstLine="28"/>
              <w:jc w:val="center"/>
              <w:rPr>
                <w:sz w:val="24"/>
              </w:rPr>
            </w:pPr>
            <w:r>
              <w:rPr>
                <w:sz w:val="24"/>
              </w:rPr>
              <w:t xml:space="preserve">清运措施及环境保护措施</w:t>
            </w:r>
            <w:r/>
          </w:p>
        </w:tc>
        <w:tc>
          <w:tcPr>
            <w:tcW w:w="933" w:type="dxa"/>
            <w:vAlign w:val="center"/>
            <w:textDirection w:val="lrTb"/>
            <w:noWrap w:val="false"/>
          </w:tcPr>
          <w:p>
            <w:pPr>
              <w:ind w:firstLine="28"/>
              <w:jc w:val="center"/>
              <w:rPr>
                <w:sz w:val="24"/>
              </w:rPr>
            </w:pPr>
            <w:r>
              <w:rPr>
                <w:rFonts w:hint="eastAsia"/>
                <w:sz w:val="24"/>
              </w:rPr>
              <w:t xml:space="preserve">9</w:t>
            </w:r>
            <w:r/>
          </w:p>
        </w:tc>
        <w:tc>
          <w:tcPr>
            <w:tcW w:w="4034" w:type="dxa"/>
            <w:vAlign w:val="center"/>
            <w:textDirection w:val="lrTb"/>
            <w:noWrap w:val="false"/>
          </w:tcPr>
          <w:p>
            <w:pPr>
              <w:jc w:val="left"/>
              <w:rPr>
                <w:rFonts w:hint="eastAsia"/>
                <w:sz w:val="24"/>
              </w:rPr>
            </w:pPr>
            <w:r>
              <w:rPr>
                <w:rFonts w:hint="eastAsia"/>
                <w:sz w:val="24"/>
              </w:rPr>
              <w:t xml:space="preserve">投标人</w:t>
            </w:r>
            <w:r>
              <w:rPr>
                <w:sz w:val="24"/>
              </w:rPr>
              <w:t xml:space="preserve">收割后的清运</w:t>
            </w:r>
            <w:r>
              <w:rPr>
                <w:rFonts w:hint="eastAsia"/>
                <w:sz w:val="24"/>
              </w:rPr>
              <w:t xml:space="preserve">及湖面的清理</w:t>
            </w:r>
            <w:r>
              <w:rPr>
                <w:sz w:val="24"/>
              </w:rPr>
              <w:t xml:space="preserve">、后期处理措施及环境保护措施方案</w:t>
            </w:r>
            <w:r>
              <w:rPr>
                <w:rFonts w:hint="eastAsia"/>
                <w:sz w:val="24"/>
              </w:rPr>
              <w:t xml:space="preserve">科学、全面、可行的，得9分；</w:t>
            </w:r>
            <w:r>
              <w:rPr>
                <w:sz w:val="24"/>
              </w:rPr>
              <w:t xml:space="preserve">收割后的清运</w:t>
            </w:r>
            <w:r>
              <w:rPr>
                <w:rFonts w:hint="eastAsia"/>
                <w:sz w:val="24"/>
              </w:rPr>
              <w:t xml:space="preserve">及湖面的清理</w:t>
            </w:r>
            <w:r>
              <w:rPr>
                <w:sz w:val="24"/>
              </w:rPr>
              <w:t xml:space="preserve">、后期处理措施及环境保护措施方案</w:t>
            </w:r>
            <w:r>
              <w:rPr>
                <w:rFonts w:hint="eastAsia"/>
                <w:sz w:val="24"/>
              </w:rPr>
              <w:t xml:space="preserve">较全面、较具体可行的，得5分；</w:t>
            </w:r>
            <w:r>
              <w:rPr>
                <w:sz w:val="24"/>
              </w:rPr>
              <w:t xml:space="preserve">收割后的清运</w:t>
            </w:r>
            <w:r>
              <w:rPr>
                <w:rFonts w:hint="eastAsia"/>
                <w:sz w:val="24"/>
              </w:rPr>
              <w:t xml:space="preserve">及湖面的清理</w:t>
            </w:r>
            <w:r>
              <w:rPr>
                <w:sz w:val="24"/>
              </w:rPr>
              <w:t xml:space="preserve">、后期处理措施及环境保护措施方案</w:t>
            </w:r>
            <w:r>
              <w:rPr>
                <w:rFonts w:hint="eastAsia"/>
                <w:sz w:val="24"/>
              </w:rPr>
              <w:t xml:space="preserve">一般，可行性较低的，得3分；未提供的不得分。</w:t>
            </w:r>
            <w:r/>
          </w:p>
        </w:tc>
        <w:tc>
          <w:tcPr>
            <w:tcW w:w="2539" w:type="dxa"/>
            <w:vAlign w:val="center"/>
            <w:textDirection w:val="lrTb"/>
            <w:noWrap w:val="false"/>
          </w:tcPr>
          <w:p>
            <w:pPr>
              <w:jc w:val="center"/>
              <w:rPr>
                <w:rFonts w:ascii="宋体" w:hAnsi="宋体"/>
                <w:sz w:val="24"/>
              </w:rPr>
            </w:pPr>
            <w:r>
              <w:rPr>
                <w:rFonts w:ascii="宋体" w:hAnsi="宋体"/>
                <w:sz w:val="24"/>
              </w:rPr>
            </w:r>
            <w:r/>
          </w:p>
        </w:tc>
      </w:tr>
      <w:tr>
        <w:trPr>
          <w:jc w:val="center"/>
        </w:trPr>
        <w:tc>
          <w:tcPr>
            <w:tcW w:w="905" w:type="dxa"/>
            <w:vAlign w:val="center"/>
            <w:textDirection w:val="lrTb"/>
            <w:noWrap w:val="false"/>
          </w:tcPr>
          <w:p>
            <w:pPr>
              <w:ind w:firstLine="28"/>
              <w:jc w:val="center"/>
              <w:rPr>
                <w:sz w:val="24"/>
              </w:rPr>
            </w:pPr>
            <w:r>
              <w:rPr>
                <w:rFonts w:hint="eastAsia"/>
                <w:sz w:val="24"/>
              </w:rPr>
              <w:t xml:space="preserve">2.3</w:t>
            </w:r>
            <w:r/>
          </w:p>
        </w:tc>
        <w:tc>
          <w:tcPr>
            <w:tcW w:w="1217" w:type="dxa"/>
            <w:vAlign w:val="center"/>
            <w:textDirection w:val="lrTb"/>
            <w:noWrap w:val="false"/>
          </w:tcPr>
          <w:p>
            <w:pPr>
              <w:ind w:firstLine="28"/>
              <w:jc w:val="center"/>
              <w:rPr>
                <w:rFonts w:ascii="宋体" w:hAnsi="宋体"/>
                <w:sz w:val="24"/>
              </w:rPr>
            </w:pPr>
            <w:r>
              <w:rPr>
                <w:sz w:val="24"/>
              </w:rPr>
              <w:t xml:space="preserve">安全保障及文明施工措施</w:t>
            </w:r>
            <w:r/>
          </w:p>
        </w:tc>
        <w:tc>
          <w:tcPr>
            <w:tcW w:w="933" w:type="dxa"/>
            <w:vAlign w:val="center"/>
            <w:textDirection w:val="lrTb"/>
            <w:noWrap w:val="false"/>
          </w:tcPr>
          <w:p>
            <w:pPr>
              <w:ind w:firstLine="28"/>
              <w:jc w:val="center"/>
              <w:rPr>
                <w:rFonts w:ascii="宋体" w:hAnsi="宋体"/>
                <w:sz w:val="24"/>
              </w:rPr>
            </w:pPr>
            <w:r>
              <w:rPr>
                <w:rFonts w:hint="eastAsia"/>
                <w:sz w:val="24"/>
              </w:rPr>
              <w:t xml:space="preserve">7</w:t>
            </w:r>
            <w:r/>
          </w:p>
        </w:tc>
        <w:tc>
          <w:tcPr>
            <w:tcW w:w="4034" w:type="dxa"/>
            <w:vAlign w:val="center"/>
            <w:textDirection w:val="lrTb"/>
            <w:noWrap w:val="false"/>
          </w:tcPr>
          <w:p>
            <w:pPr>
              <w:jc w:val="left"/>
              <w:rPr>
                <w:rFonts w:ascii="宋体" w:hAnsi="宋体"/>
                <w:sz w:val="24"/>
              </w:rPr>
            </w:pPr>
            <w:r>
              <w:rPr>
                <w:rFonts w:hint="eastAsia"/>
                <w:sz w:val="24"/>
              </w:rPr>
              <w:t xml:space="preserve">投标人提供的</w:t>
            </w:r>
            <w:r>
              <w:rPr>
                <w:sz w:val="24"/>
              </w:rPr>
              <w:t xml:space="preserve">安全保障及文明施工措施</w:t>
            </w:r>
            <w:r>
              <w:rPr>
                <w:rFonts w:hint="eastAsia"/>
                <w:sz w:val="24"/>
              </w:rPr>
              <w:t xml:space="preserve">方案内容具体且丰富，针对性较高，可行性较高的，得7分；</w:t>
            </w:r>
            <w:r>
              <w:rPr>
                <w:sz w:val="24"/>
              </w:rPr>
              <w:t xml:space="preserve">安全保障及文明施工措施</w:t>
            </w:r>
            <w:r>
              <w:rPr>
                <w:rFonts w:hint="eastAsia"/>
                <w:sz w:val="24"/>
              </w:rPr>
              <w:t xml:space="preserve">论述内容整体较丰富的，有一定的针对性和可行性的，得4分；</w:t>
            </w:r>
            <w:r>
              <w:rPr>
                <w:sz w:val="24"/>
              </w:rPr>
              <w:t xml:space="preserve">安全保障及文明施工措施</w:t>
            </w:r>
            <w:r>
              <w:rPr>
                <w:rFonts w:hint="eastAsia"/>
                <w:sz w:val="24"/>
              </w:rPr>
              <w:t xml:space="preserve">论述较简单的，整体可行性较低的，得2分。未提供的不得分。</w:t>
            </w:r>
            <w:r/>
          </w:p>
        </w:tc>
        <w:tc>
          <w:tcPr>
            <w:tcW w:w="2539"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W w:w="905" w:type="dxa"/>
            <w:vAlign w:val="center"/>
            <w:textDirection w:val="lrTb"/>
            <w:noWrap w:val="false"/>
          </w:tcPr>
          <w:p>
            <w:pPr>
              <w:ind w:firstLine="28"/>
              <w:jc w:val="center"/>
              <w:rPr>
                <w:sz w:val="24"/>
              </w:rPr>
            </w:pPr>
            <w:r>
              <w:rPr>
                <w:rFonts w:hint="eastAsia"/>
                <w:sz w:val="24"/>
              </w:rPr>
              <w:t xml:space="preserve">2.4</w:t>
            </w:r>
            <w:r/>
          </w:p>
        </w:tc>
        <w:tc>
          <w:tcPr>
            <w:tcW w:w="1217" w:type="dxa"/>
            <w:vAlign w:val="center"/>
            <w:textDirection w:val="lrTb"/>
            <w:noWrap w:val="false"/>
          </w:tcPr>
          <w:p>
            <w:pPr>
              <w:jc w:val="center"/>
              <w:widowControl/>
              <w:rPr>
                <w:rFonts w:hint="eastAsia" w:ascii="宋体" w:hAnsi="宋体" w:cs="宋体"/>
                <w:sz w:val="24"/>
                <w:szCs w:val="32"/>
              </w:rPr>
            </w:pPr>
            <w:r>
              <w:rPr>
                <w:rFonts w:hint="eastAsia" w:ascii="宋体" w:hAnsi="宋体" w:cs="宋体"/>
                <w:sz w:val="24"/>
                <w:szCs w:val="32"/>
              </w:rPr>
              <w:t xml:space="preserve">迎接重大活动和检查评比的保障措施</w:t>
            </w:r>
            <w:r/>
          </w:p>
        </w:tc>
        <w:tc>
          <w:tcPr>
            <w:tcW w:w="933" w:type="dxa"/>
            <w:vAlign w:val="center"/>
            <w:textDirection w:val="lrTb"/>
            <w:noWrap w:val="false"/>
          </w:tcPr>
          <w:p>
            <w:pPr>
              <w:jc w:val="center"/>
              <w:widowControl/>
              <w:rPr>
                <w:rFonts w:ascii="宋体" w:hAnsi="宋体" w:cs="宋体"/>
                <w:sz w:val="24"/>
                <w:szCs w:val="32"/>
              </w:rPr>
            </w:pPr>
            <w:r>
              <w:rPr>
                <w:rFonts w:hint="eastAsia" w:ascii="宋体" w:hAnsi="宋体" w:cs="宋体"/>
                <w:sz w:val="24"/>
                <w:szCs w:val="32"/>
              </w:rPr>
              <w:t xml:space="preserve">7</w:t>
            </w:r>
            <w:r/>
          </w:p>
        </w:tc>
        <w:tc>
          <w:tcPr>
            <w:tcW w:w="4034" w:type="dxa"/>
            <w:vAlign w:val="top"/>
            <w:textDirection w:val="lrTb"/>
            <w:noWrap w:val="false"/>
          </w:tcPr>
          <w:p>
            <w:pPr>
              <w:rPr>
                <w:rFonts w:ascii="宋体" w:hAnsi="宋体" w:cs="宋体"/>
                <w:sz w:val="24"/>
                <w:szCs w:val="32"/>
              </w:rPr>
            </w:pPr>
            <w:r>
              <w:rPr>
                <w:rFonts w:hint="eastAsia" w:ascii="宋体" w:hAnsi="宋体" w:cs="宋体"/>
                <w:sz w:val="24"/>
                <w:szCs w:val="32"/>
              </w:rPr>
              <w:t xml:space="preserve">根据投标人针对迎接重大活动和检查评比的保障措施等进行综合评分：</w:t>
            </w:r>
            <w:r/>
          </w:p>
          <w:p>
            <w:pPr>
              <w:rPr>
                <w:rFonts w:ascii="宋体" w:hAnsi="宋体" w:cs="宋体"/>
                <w:sz w:val="24"/>
                <w:szCs w:val="32"/>
              </w:rPr>
            </w:pPr>
            <w:r>
              <w:rPr>
                <w:rFonts w:hint="eastAsia" w:ascii="宋体" w:hAnsi="宋体" w:cs="宋体"/>
                <w:sz w:val="24"/>
                <w:szCs w:val="32"/>
              </w:rPr>
              <w:t xml:space="preserve">迎接重大活动和检查评比的保障措施等内容完整且具有较高可操作性的，得7分；</w:t>
            </w:r>
            <w:r/>
          </w:p>
          <w:p>
            <w:pPr>
              <w:rPr>
                <w:rFonts w:ascii="宋体" w:hAnsi="宋体" w:cs="宋体"/>
                <w:sz w:val="24"/>
                <w:szCs w:val="32"/>
              </w:rPr>
            </w:pPr>
            <w:r>
              <w:rPr>
                <w:rFonts w:hint="eastAsia" w:ascii="宋体" w:hAnsi="宋体" w:cs="宋体"/>
                <w:sz w:val="24"/>
                <w:szCs w:val="32"/>
              </w:rPr>
              <w:t xml:space="preserve">迎接重大活动和检查评比的保障措施等内容基本完整且基本可行的，得4分；</w:t>
            </w:r>
            <w:r/>
          </w:p>
          <w:p>
            <w:pPr>
              <w:rPr>
                <w:rFonts w:hint="eastAsia" w:ascii="宋体" w:hAnsi="宋体" w:cs="宋体"/>
                <w:sz w:val="24"/>
                <w:szCs w:val="32"/>
              </w:rPr>
            </w:pPr>
            <w:r>
              <w:rPr>
                <w:rFonts w:hint="eastAsia" w:ascii="宋体" w:hAnsi="宋体" w:cs="宋体"/>
                <w:sz w:val="24"/>
                <w:szCs w:val="32"/>
              </w:rPr>
              <w:t xml:space="preserve">迎接重大活动和检查评比的保障措施等内容不完整或可行性不高的，得2分；未提供的，不得分。</w:t>
            </w:r>
            <w:r/>
          </w:p>
        </w:tc>
        <w:tc>
          <w:tcPr>
            <w:tcW w:w="2539"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W w:w="905" w:type="dxa"/>
            <w:vAlign w:val="center"/>
            <w:textDirection w:val="lrTb"/>
            <w:noWrap w:val="false"/>
          </w:tcPr>
          <w:p>
            <w:pPr>
              <w:ind w:firstLine="28"/>
              <w:jc w:val="center"/>
              <w:rPr>
                <w:sz w:val="24"/>
              </w:rPr>
            </w:pPr>
            <w:r>
              <w:rPr>
                <w:rFonts w:hint="eastAsia"/>
                <w:sz w:val="24"/>
              </w:rPr>
              <w:t xml:space="preserve">2.5</w:t>
            </w:r>
            <w:r/>
          </w:p>
        </w:tc>
        <w:tc>
          <w:tcPr>
            <w:tcW w:w="1217" w:type="dxa"/>
            <w:vAlign w:val="center"/>
            <w:textDirection w:val="lrTb"/>
            <w:noWrap w:val="false"/>
          </w:tcPr>
          <w:p>
            <w:pPr>
              <w:ind w:firstLine="28"/>
              <w:jc w:val="center"/>
              <w:rPr>
                <w:rFonts w:hint="eastAsia" w:ascii="宋体" w:hAnsi="宋体"/>
                <w:sz w:val="24"/>
              </w:rPr>
            </w:pPr>
            <w:r>
              <w:rPr>
                <w:sz w:val="24"/>
              </w:rPr>
              <w:t xml:space="preserve">质量目标及保证措施</w:t>
            </w:r>
            <w:r/>
          </w:p>
        </w:tc>
        <w:tc>
          <w:tcPr>
            <w:tcW w:w="933" w:type="dxa"/>
            <w:vAlign w:val="center"/>
            <w:textDirection w:val="lrTb"/>
            <w:noWrap w:val="false"/>
          </w:tcPr>
          <w:p>
            <w:pPr>
              <w:ind w:firstLine="28"/>
              <w:jc w:val="center"/>
              <w:rPr>
                <w:rFonts w:hint="eastAsia" w:ascii="宋体" w:hAnsi="宋体"/>
                <w:sz w:val="24"/>
              </w:rPr>
            </w:pPr>
            <w:r>
              <w:rPr>
                <w:rFonts w:hint="eastAsia"/>
                <w:sz w:val="24"/>
              </w:rPr>
              <w:t xml:space="preserve">6</w:t>
            </w:r>
            <w:r/>
          </w:p>
        </w:tc>
        <w:tc>
          <w:tcPr>
            <w:tcW w:w="4034" w:type="dxa"/>
            <w:vAlign w:val="center"/>
            <w:textDirection w:val="lrTb"/>
            <w:noWrap w:val="false"/>
          </w:tcPr>
          <w:p>
            <w:pPr>
              <w:jc w:val="left"/>
              <w:rPr>
                <w:rFonts w:hint="eastAsia" w:ascii="宋体" w:hAnsi="宋体"/>
                <w:sz w:val="24"/>
              </w:rPr>
            </w:pPr>
            <w:r>
              <w:rPr>
                <w:rFonts w:hint="eastAsia"/>
                <w:sz w:val="24"/>
              </w:rPr>
              <w:t xml:space="preserve">投标人针</w:t>
            </w:r>
            <w:r>
              <w:rPr>
                <w:sz w:val="24"/>
              </w:rPr>
              <w:t xml:space="preserve">对</w:t>
            </w:r>
            <w:r>
              <w:rPr>
                <w:rFonts w:hint="eastAsia"/>
                <w:sz w:val="24"/>
              </w:rPr>
              <w:t xml:space="preserve">本项目提供的方案内容丰富，质量目标明确，保证措施可行性较高的，得6分；</w:t>
            </w:r>
            <w:r>
              <w:rPr>
                <w:sz w:val="24"/>
              </w:rPr>
              <w:t xml:space="preserve">对</w:t>
            </w:r>
            <w:r>
              <w:rPr>
                <w:rFonts w:hint="eastAsia"/>
                <w:sz w:val="24"/>
              </w:rPr>
              <w:t xml:space="preserve">本项目</w:t>
            </w:r>
            <w:r>
              <w:rPr>
                <w:sz w:val="24"/>
              </w:rPr>
              <w:t xml:space="preserve">质量目标</w:t>
            </w:r>
            <w:r>
              <w:rPr>
                <w:rFonts w:hint="eastAsia"/>
                <w:sz w:val="24"/>
              </w:rPr>
              <w:t xml:space="preserve">及保障措施论述较全面，质量目标明确，措施具有一定的可行性的，得3分；</w:t>
            </w:r>
            <w:r>
              <w:rPr>
                <w:sz w:val="24"/>
              </w:rPr>
              <w:t xml:space="preserve">对</w:t>
            </w:r>
            <w:r>
              <w:rPr>
                <w:rFonts w:hint="eastAsia"/>
                <w:sz w:val="24"/>
              </w:rPr>
              <w:t xml:space="preserve">本项目</w:t>
            </w:r>
            <w:r>
              <w:rPr>
                <w:sz w:val="24"/>
              </w:rPr>
              <w:t xml:space="preserve">质量目标</w:t>
            </w:r>
            <w:r>
              <w:rPr>
                <w:rFonts w:hint="eastAsia"/>
                <w:sz w:val="24"/>
              </w:rPr>
              <w:t xml:space="preserve">及保障措施论述较为简单的，无具体目标或目标不明确，整体措施可行性较低的，得1分；未提供的不得分。</w:t>
            </w:r>
            <w:r/>
          </w:p>
        </w:tc>
        <w:tc>
          <w:tcPr>
            <w:tcW w:w="2539" w:type="dxa"/>
            <w:vAlign w:val="center"/>
            <w:textDirection w:val="lrTb"/>
            <w:noWrap w:val="false"/>
          </w:tcPr>
          <w:p>
            <w:pPr>
              <w:jc w:val="center"/>
              <w:rPr>
                <w:rFonts w:ascii="宋体" w:hAnsi="宋体"/>
                <w:sz w:val="24"/>
              </w:rPr>
            </w:pPr>
            <w:r>
              <w:rPr>
                <w:rFonts w:ascii="宋体" w:hAnsi="宋体"/>
                <w:sz w:val="24"/>
              </w:rPr>
            </w:r>
            <w:r/>
          </w:p>
        </w:tc>
      </w:tr>
      <w:tr>
        <w:trPr>
          <w:jc w:val="center"/>
          <w:trHeight w:val="485"/>
        </w:trPr>
        <w:tc>
          <w:tcPr>
            <w:tcW w:w="905" w:type="dxa"/>
            <w:vAlign w:val="center"/>
            <w:textDirection w:val="lrTb"/>
            <w:noWrap w:val="false"/>
          </w:tcPr>
          <w:p>
            <w:pPr>
              <w:ind w:firstLine="28"/>
              <w:jc w:val="center"/>
              <w:rPr>
                <w:sz w:val="24"/>
              </w:rPr>
            </w:pPr>
            <w:r>
              <w:rPr>
                <w:rFonts w:hint="eastAsia"/>
                <w:sz w:val="24"/>
              </w:rPr>
              <w:t xml:space="preserve">3</w:t>
            </w:r>
            <w:r/>
          </w:p>
        </w:tc>
        <w:tc>
          <w:tcPr>
            <w:tcW w:w="1217" w:type="dxa"/>
            <w:vAlign w:val="center"/>
            <w:textDirection w:val="lrTb"/>
            <w:noWrap w:val="false"/>
          </w:tcPr>
          <w:p>
            <w:pPr>
              <w:ind w:firstLine="28"/>
              <w:jc w:val="center"/>
              <w:rPr>
                <w:sz w:val="24"/>
              </w:rPr>
            </w:pPr>
            <w:r>
              <w:rPr>
                <w:rFonts w:hint="eastAsia"/>
                <w:sz w:val="24"/>
              </w:rPr>
              <w:t xml:space="preserve">客观分</w:t>
            </w:r>
            <w:r/>
          </w:p>
        </w:tc>
        <w:tc>
          <w:tcPr>
            <w:tcW w:w="933" w:type="dxa"/>
            <w:vAlign w:val="center"/>
            <w:textDirection w:val="lrTb"/>
            <w:noWrap w:val="false"/>
          </w:tcPr>
          <w:p>
            <w:pPr>
              <w:ind w:firstLine="28"/>
              <w:jc w:val="center"/>
              <w:rPr>
                <w:sz w:val="24"/>
              </w:rPr>
            </w:pPr>
            <w:r>
              <w:rPr>
                <w:rFonts w:hint="eastAsia"/>
                <w:sz w:val="24"/>
              </w:rPr>
              <w:t xml:space="preserve">35</w:t>
            </w:r>
            <w:r/>
          </w:p>
        </w:tc>
        <w:tc>
          <w:tcPr>
            <w:tcW w:w="4034" w:type="dxa"/>
            <w:vAlign w:val="center"/>
            <w:textDirection w:val="lrTb"/>
            <w:noWrap w:val="false"/>
          </w:tcPr>
          <w:p>
            <w:pPr>
              <w:rPr>
                <w:sz w:val="24"/>
              </w:rPr>
            </w:pPr>
            <w:r>
              <w:rPr>
                <w:sz w:val="24"/>
              </w:rPr>
            </w:r>
            <w:r/>
          </w:p>
        </w:tc>
        <w:tc>
          <w:tcPr>
            <w:tcW w:w="2539" w:type="dxa"/>
            <w:vAlign w:val="center"/>
            <w:textDirection w:val="lrTb"/>
            <w:noWrap w:val="false"/>
          </w:tcPr>
          <w:p>
            <w:pPr>
              <w:ind w:left="-38"/>
              <w:rPr>
                <w:sz w:val="24"/>
              </w:rPr>
            </w:pPr>
            <w:r>
              <w:rPr>
                <w:sz w:val="24"/>
              </w:rPr>
            </w:r>
            <w:r/>
          </w:p>
        </w:tc>
      </w:tr>
      <w:tr>
        <w:trPr>
          <w:jc w:val="center"/>
        </w:trPr>
        <w:tc>
          <w:tcPr>
            <w:tcW w:w="905" w:type="dxa"/>
            <w:vAlign w:val="center"/>
            <w:textDirection w:val="lrTb"/>
            <w:noWrap w:val="false"/>
          </w:tcPr>
          <w:p>
            <w:pPr>
              <w:ind w:firstLine="28"/>
              <w:jc w:val="center"/>
              <w:rPr>
                <w:sz w:val="24"/>
              </w:rPr>
            </w:pPr>
            <w:r>
              <w:rPr>
                <w:rFonts w:hint="eastAsia"/>
                <w:sz w:val="24"/>
              </w:rPr>
              <w:t xml:space="preserve">3.1</w:t>
            </w:r>
            <w:r/>
          </w:p>
        </w:tc>
        <w:tc>
          <w:tcPr>
            <w:tcW w:w="1217" w:type="dxa"/>
            <w:vAlign w:val="center"/>
            <w:textDirection w:val="lrTb"/>
            <w:noWrap w:val="false"/>
          </w:tcPr>
          <w:p>
            <w:pPr>
              <w:jc w:val="center"/>
              <w:rPr>
                <w:rFonts w:ascii="宋体" w:hAnsi="宋体"/>
                <w:sz w:val="24"/>
              </w:rPr>
            </w:pPr>
            <w:r>
              <w:rPr>
                <w:rFonts w:ascii="宋体" w:hAnsi="宋体"/>
                <w:sz w:val="24"/>
              </w:rPr>
              <w:t xml:space="preserve">业绩</w:t>
            </w:r>
            <w:r/>
          </w:p>
        </w:tc>
        <w:tc>
          <w:tcPr>
            <w:tcW w:w="933" w:type="dxa"/>
            <w:vAlign w:val="center"/>
            <w:textDirection w:val="lrTb"/>
            <w:noWrap w:val="false"/>
          </w:tcPr>
          <w:p>
            <w:pPr>
              <w:jc w:val="center"/>
              <w:rPr>
                <w:rFonts w:ascii="宋体" w:hAnsi="宋体"/>
                <w:sz w:val="24"/>
              </w:rPr>
            </w:pPr>
            <w:r>
              <w:rPr>
                <w:rFonts w:hint="eastAsia" w:ascii="宋体" w:hAnsi="宋体"/>
                <w:sz w:val="24"/>
              </w:rPr>
              <w:t xml:space="preserve">15</w:t>
            </w:r>
            <w:r/>
          </w:p>
        </w:tc>
        <w:tc>
          <w:tcPr>
            <w:tcW w:w="4034" w:type="dxa"/>
            <w:vAlign w:val="center"/>
            <w:textDirection w:val="lrTb"/>
            <w:noWrap w:val="false"/>
          </w:tcPr>
          <w:p>
            <w:pPr>
              <w:jc w:val="left"/>
              <w:rPr>
                <w:rFonts w:ascii="宋体" w:hAnsi="宋体"/>
                <w:sz w:val="24"/>
              </w:rPr>
            </w:pPr>
            <w:r>
              <w:rPr>
                <w:rFonts w:hint="eastAsia" w:ascii="宋体" w:hAnsi="宋体"/>
                <w:bCs/>
                <w:sz w:val="24"/>
              </w:rPr>
              <w:t xml:space="preserve">投标人自20</w:t>
            </w:r>
            <w:r>
              <w:rPr>
                <w:rFonts w:ascii="宋体" w:hAnsi="宋体"/>
                <w:bCs/>
                <w:sz w:val="24"/>
              </w:rPr>
              <w:t xml:space="preserve">2</w:t>
            </w:r>
            <w:r>
              <w:rPr>
                <w:rFonts w:hint="eastAsia" w:ascii="宋体" w:hAnsi="宋体"/>
                <w:bCs/>
                <w:sz w:val="24"/>
              </w:rPr>
              <w:t xml:space="preserve">3年9月1日以来承接芦苇收割、湖面水生植物清理、河湖保洁管护等类似业绩的，每有一个得5分，本项最高得15分。</w:t>
            </w:r>
            <w:r/>
          </w:p>
        </w:tc>
        <w:tc>
          <w:tcPr>
            <w:tcW w:w="2539" w:type="dxa"/>
            <w:vAlign w:val="center"/>
            <w:textDirection w:val="lrTb"/>
            <w:noWrap w:val="false"/>
          </w:tcPr>
          <w:p>
            <w:pPr>
              <w:numPr>
                <w:ilvl w:val="0"/>
                <w:numId w:val="13"/>
              </w:numPr>
              <w:jc w:val="left"/>
              <w:rPr>
                <w:rFonts w:hint="eastAsia" w:ascii="宋体" w:hAnsi="宋体"/>
                <w:sz w:val="24"/>
              </w:rPr>
            </w:pPr>
            <w:r>
              <w:rPr>
                <w:rFonts w:hint="eastAsia" w:ascii="宋体" w:hAnsi="宋体"/>
                <w:sz w:val="24"/>
              </w:rPr>
              <w:t xml:space="preserve">提供合同原件的电子件加盖公章，否则不得分。</w:t>
            </w:r>
            <w:r/>
          </w:p>
          <w:p>
            <w:pPr>
              <w:numPr>
                <w:ilvl w:val="0"/>
                <w:numId w:val="13"/>
              </w:numPr>
              <w:jc w:val="left"/>
              <w:rPr>
                <w:rFonts w:hint="eastAsia" w:ascii="宋体" w:hAnsi="宋体"/>
                <w:sz w:val="24"/>
              </w:rPr>
            </w:pPr>
            <w:r>
              <w:rPr>
                <w:rFonts w:hint="eastAsia" w:ascii="宋体" w:hAnsi="宋体"/>
                <w:sz w:val="24"/>
              </w:rPr>
              <w:t xml:space="preserve">时间以合同签订日期为准。</w:t>
            </w:r>
            <w:r/>
          </w:p>
        </w:tc>
      </w:tr>
      <w:tr>
        <w:trPr>
          <w:jc w:val="center"/>
        </w:trPr>
        <w:tc>
          <w:tcPr>
            <w:tcW w:w="905" w:type="dxa"/>
            <w:vAlign w:val="center"/>
            <w:textDirection w:val="lrTb"/>
            <w:noWrap w:val="false"/>
          </w:tcPr>
          <w:p>
            <w:pPr>
              <w:ind w:firstLine="28"/>
              <w:jc w:val="center"/>
              <w:rPr>
                <w:sz w:val="24"/>
              </w:rPr>
            </w:pPr>
            <w:r>
              <w:rPr>
                <w:sz w:val="24"/>
              </w:rPr>
              <w:t xml:space="preserve">3.2</w:t>
            </w:r>
            <w:r/>
          </w:p>
        </w:tc>
        <w:tc>
          <w:tcPr>
            <w:tcW w:w="1217" w:type="dxa"/>
            <w:vAlign w:val="center"/>
            <w:textDirection w:val="lrTb"/>
            <w:noWrap w:val="false"/>
          </w:tcPr>
          <w:p>
            <w:pPr>
              <w:jc w:val="center"/>
              <w:rPr>
                <w:rFonts w:ascii="宋体" w:hAnsi="宋体"/>
                <w:sz w:val="24"/>
              </w:rPr>
            </w:pPr>
            <w:r>
              <w:rPr>
                <w:rFonts w:ascii="宋体" w:hAnsi="宋体"/>
                <w:sz w:val="24"/>
              </w:rPr>
              <w:t xml:space="preserve">项目负责人</w:t>
            </w:r>
            <w:r/>
          </w:p>
        </w:tc>
        <w:tc>
          <w:tcPr>
            <w:tcW w:w="93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4034" w:type="dxa"/>
            <w:vAlign w:val="center"/>
            <w:textDirection w:val="lrTb"/>
            <w:noWrap w:val="false"/>
          </w:tcPr>
          <w:p>
            <w:pPr>
              <w:rPr>
                <w:rFonts w:hint="eastAsia" w:ascii="宋体" w:hAnsi="宋体"/>
                <w:bCs/>
                <w:sz w:val="24"/>
              </w:rPr>
            </w:pPr>
            <w:r>
              <w:rPr>
                <w:rFonts w:hint="eastAsia" w:ascii="宋体" w:hAnsi="宋体"/>
                <w:bCs/>
                <w:sz w:val="24"/>
              </w:rPr>
              <w:t xml:space="preserve">投标人为本项目配备的管理人员（项目负责人）：</w:t>
            </w:r>
            <w:r/>
          </w:p>
          <w:p>
            <w:pPr>
              <w:rPr>
                <w:rFonts w:ascii="宋体" w:hAnsi="宋体" w:cs="Times New Roman"/>
                <w:bCs/>
                <w:sz w:val="24"/>
              </w:rPr>
            </w:pPr>
            <w:r>
              <w:rPr>
                <w:rFonts w:hint="eastAsia" w:ascii="宋体" w:hAnsi="宋体" w:cs="Times New Roman"/>
                <w:bCs/>
                <w:sz w:val="24"/>
              </w:rPr>
              <w:t xml:space="preserve">具有相关主管部门颁发的内河船舶船员适任证书得5分；</w:t>
            </w:r>
            <w:r/>
          </w:p>
          <w:p>
            <w:pPr>
              <w:rPr>
                <w:rFonts w:ascii="宋体" w:hAnsi="宋体" w:cs="Mongolian Baiti"/>
                <w:sz w:val="24"/>
              </w:rPr>
            </w:pPr>
            <w:r>
              <w:rPr>
                <w:rFonts w:hint="eastAsia" w:ascii="宋体" w:hAnsi="宋体"/>
                <w:bCs/>
                <w:sz w:val="24"/>
              </w:rPr>
              <w:t xml:space="preserve">本项最高得5分。</w:t>
            </w:r>
            <w:r/>
          </w:p>
        </w:tc>
        <w:tc>
          <w:tcPr>
            <w:tcW w:w="2539" w:type="dxa"/>
            <w:vAlign w:val="center"/>
            <w:textDirection w:val="lrTb"/>
            <w:noWrap w:val="false"/>
          </w:tcPr>
          <w:p>
            <w:pPr>
              <w:jc w:val="left"/>
              <w:rPr>
                <w:rFonts w:ascii="宋体" w:hAnsi="宋体" w:cs="Times New Roman"/>
                <w:sz w:val="24"/>
              </w:rPr>
            </w:pPr>
            <w:r>
              <w:rPr>
                <w:rFonts w:hint="eastAsia" w:ascii="宋体" w:hAnsi="宋体" w:cs="Times New Roman"/>
                <w:sz w:val="24"/>
              </w:rPr>
              <w:t xml:space="preserve">1.提供</w:t>
            </w:r>
            <w:r>
              <w:rPr>
                <w:rFonts w:hint="eastAsia" w:ascii="宋体" w:hAnsi="宋体" w:cs="Times New Roman"/>
                <w:bCs/>
                <w:sz w:val="24"/>
              </w:rPr>
              <w:t xml:space="preserve">内河船舶船员适任证书原件的电子件并加盖公章。</w:t>
            </w:r>
            <w:r/>
          </w:p>
          <w:p>
            <w:pPr>
              <w:jc w:val="left"/>
              <w:rPr>
                <w:rFonts w:ascii="宋体" w:hAnsi="宋体"/>
                <w:sz w:val="24"/>
              </w:rPr>
            </w:pPr>
            <w:r>
              <w:rPr>
                <w:rFonts w:hint="eastAsia" w:ascii="宋体" w:hAnsi="宋体" w:cs="Times New Roman"/>
                <w:sz w:val="24"/>
              </w:rPr>
              <w:t xml:space="preserve">2.需提供投标人</w:t>
            </w:r>
            <w:r>
              <w:rPr>
                <w:rFonts w:hint="eastAsia" w:ascii="宋体" w:hAnsi="宋体"/>
                <w:sz w:val="24"/>
              </w:rPr>
              <w:t xml:space="preserve">近三个月</w:t>
            </w:r>
            <w:r>
              <w:rPr>
                <w:rFonts w:hint="eastAsia" w:ascii="宋体" w:hAnsi="宋体" w:cs="Times New Roman"/>
                <w:sz w:val="24"/>
              </w:rPr>
              <w:t xml:space="preserve">为其缴纳社保的证明材料</w:t>
            </w:r>
            <w:r>
              <w:rPr>
                <w:rFonts w:hint="eastAsia" w:ascii="宋体" w:hAnsi="宋体"/>
                <w:sz w:val="24"/>
              </w:rPr>
              <w:t xml:space="preserve">加盖公章，</w:t>
            </w:r>
            <w:r>
              <w:rPr>
                <w:rFonts w:hint="eastAsia" w:ascii="宋体" w:hAnsi="宋体" w:cs="Times New Roman"/>
                <w:sz w:val="24"/>
              </w:rPr>
              <w:t xml:space="preserve">须有社保部门印章，否则不得分。</w:t>
            </w:r>
            <w:r/>
          </w:p>
        </w:tc>
      </w:tr>
      <w:tr>
        <w:trPr>
          <w:jc w:val="center"/>
        </w:trPr>
        <w:tc>
          <w:tcPr>
            <w:tcW w:w="905" w:type="dxa"/>
            <w:vAlign w:val="center"/>
            <w:textDirection w:val="lrTb"/>
            <w:noWrap w:val="false"/>
          </w:tcPr>
          <w:p>
            <w:pPr>
              <w:ind w:firstLine="28"/>
              <w:jc w:val="center"/>
              <w:rPr>
                <w:sz w:val="24"/>
              </w:rPr>
            </w:pPr>
            <w:r>
              <w:rPr>
                <w:rFonts w:hint="eastAsia"/>
                <w:sz w:val="24"/>
              </w:rPr>
              <w:t xml:space="preserve">3.3</w:t>
            </w:r>
            <w:r/>
          </w:p>
        </w:tc>
        <w:tc>
          <w:tcPr>
            <w:tcW w:w="1217" w:type="dxa"/>
            <w:vAlign w:val="center"/>
            <w:textDirection w:val="lrTb"/>
            <w:noWrap w:val="false"/>
          </w:tcPr>
          <w:p>
            <w:pPr>
              <w:ind w:firstLine="28"/>
              <w:jc w:val="center"/>
              <w:rPr>
                <w:rFonts w:hint="eastAsia"/>
                <w:sz w:val="24"/>
              </w:rPr>
            </w:pPr>
            <w:r>
              <w:rPr>
                <w:rFonts w:hint="eastAsia"/>
                <w:sz w:val="24"/>
              </w:rPr>
              <w:t xml:space="preserve">拟投入设备</w:t>
            </w:r>
            <w:r/>
          </w:p>
        </w:tc>
        <w:tc>
          <w:tcPr>
            <w:tcW w:w="933" w:type="dxa"/>
            <w:vAlign w:val="center"/>
            <w:textDirection w:val="lrTb"/>
            <w:noWrap w:val="false"/>
          </w:tcPr>
          <w:p>
            <w:pPr>
              <w:ind w:firstLine="28"/>
              <w:jc w:val="center"/>
              <w:rPr>
                <w:rFonts w:hint="eastAsia"/>
                <w:sz w:val="24"/>
              </w:rPr>
            </w:pPr>
            <w:r>
              <w:rPr>
                <w:rFonts w:hint="eastAsia"/>
                <w:sz w:val="24"/>
              </w:rPr>
              <w:t xml:space="preserve">6</w:t>
            </w:r>
            <w:r/>
          </w:p>
        </w:tc>
        <w:tc>
          <w:tcPr>
            <w:tcW w:w="403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投标人具有</w:t>
            </w:r>
            <w:r>
              <w:rPr>
                <w:rFonts w:ascii="宋体" w:hAnsi="宋体" w:cs="宋体"/>
                <w:sz w:val="24"/>
              </w:rPr>
              <w:t xml:space="preserve">水上作业</w:t>
            </w:r>
            <w:r>
              <w:rPr>
                <w:rFonts w:hint="eastAsia" w:ascii="宋体" w:hAnsi="宋体" w:cs="宋体"/>
                <w:sz w:val="24"/>
              </w:rPr>
              <w:t xml:space="preserve">转运船</w:t>
            </w:r>
            <w:r>
              <w:rPr>
                <w:rFonts w:ascii="宋体" w:hAnsi="宋体" w:cs="宋体"/>
                <w:sz w:val="24"/>
              </w:rPr>
              <w:t xml:space="preserve">的，</w:t>
            </w:r>
            <w:r>
              <w:rPr>
                <w:rFonts w:hint="eastAsia" w:ascii="宋体" w:hAnsi="宋体" w:cs="宋体"/>
                <w:sz w:val="24"/>
              </w:rPr>
              <w:t xml:space="preserve">有1艘</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，最高得3分；</w:t>
            </w:r>
            <w:r/>
          </w:p>
          <w:p>
            <w:pPr>
              <w:rPr>
                <w:rFonts w:hint="eastAsia" w:ascii="宋体" w:hAnsi="宋体" w:cs="宋体"/>
                <w:sz w:val="24"/>
              </w:rPr>
            </w:pPr>
            <w:r>
              <w:rPr>
                <w:rFonts w:hint="eastAsia" w:ascii="宋体" w:hAnsi="宋体" w:cs="宋体"/>
                <w:sz w:val="24"/>
              </w:rPr>
              <w:t xml:space="preserve">投标人具有水上作业接驳船，有1艘</w:t>
            </w:r>
            <w:r>
              <w:rPr>
                <w:rFonts w:ascii="宋体" w:hAnsi="宋体" w:cs="宋体"/>
                <w:sz w:val="24"/>
              </w:rPr>
              <w:t xml:space="preserve">得</w:t>
            </w:r>
            <w:r>
              <w:rPr>
                <w:rFonts w:hint="eastAsia" w:ascii="宋体" w:hAnsi="宋体" w:cs="宋体"/>
                <w:sz w:val="24"/>
              </w:rPr>
              <w:t xml:space="preserve">3</w:t>
            </w:r>
            <w:r>
              <w:rPr>
                <w:rFonts w:ascii="宋体" w:hAnsi="宋体" w:cs="宋体"/>
                <w:sz w:val="24"/>
              </w:rPr>
              <w:t xml:space="preserve">分</w:t>
            </w:r>
            <w:r>
              <w:rPr>
                <w:rFonts w:hint="eastAsia" w:ascii="宋体" w:hAnsi="宋体" w:cs="宋体"/>
                <w:sz w:val="24"/>
              </w:rPr>
              <w:t xml:space="preserve">，最高得3分；</w:t>
            </w:r>
            <w:r/>
          </w:p>
          <w:p>
            <w:pPr>
              <w:rPr>
                <w:rFonts w:hint="eastAsia"/>
                <w:sz w:val="24"/>
              </w:rPr>
            </w:pPr>
            <w:r>
              <w:rPr>
                <w:rFonts w:hint="eastAsia"/>
                <w:sz w:val="24"/>
              </w:rPr>
              <w:t xml:space="preserve">本项最高得6分。</w:t>
            </w:r>
            <w:r/>
          </w:p>
        </w:tc>
        <w:tc>
          <w:tcPr>
            <w:tcW w:w="2539" w:type="dxa"/>
            <w:vAlign w:val="center"/>
            <w:textDirection w:val="lrTb"/>
            <w:noWrap w:val="false"/>
          </w:tcPr>
          <w:p>
            <w:pPr>
              <w:ind w:left="-38"/>
              <w:rPr>
                <w:rFonts w:hint="eastAsia"/>
                <w:bCs/>
                <w:sz w:val="24"/>
              </w:rPr>
            </w:pPr>
            <w:r>
              <w:rPr>
                <w:rFonts w:hint="eastAsia"/>
                <w:bCs/>
                <w:sz w:val="24"/>
              </w:rPr>
              <w:t xml:space="preserve">1.船只为投标人自有的，提供船只的购买发票的电子件并加盖公章。</w:t>
            </w:r>
            <w:r/>
          </w:p>
          <w:p>
            <w:pPr>
              <w:ind w:left="-38"/>
              <w:rPr>
                <w:rFonts w:hint="eastAsia"/>
                <w:sz w:val="24"/>
              </w:rPr>
            </w:pPr>
            <w:r>
              <w:rPr>
                <w:rFonts w:hint="eastAsia"/>
                <w:bCs/>
                <w:sz w:val="24"/>
              </w:rPr>
              <w:t xml:space="preserve">2..船只为投标人租赁的，提供租赁合同的原件电子件并加盖公章。</w:t>
            </w:r>
            <w:r/>
          </w:p>
        </w:tc>
      </w:tr>
      <w:tr>
        <w:trPr>
          <w:jc w:val="center"/>
        </w:trPr>
        <w:tc>
          <w:tcPr>
            <w:tcW w:w="905" w:type="dxa"/>
            <w:vAlign w:val="center"/>
            <w:textDirection w:val="lrTb"/>
            <w:noWrap w:val="false"/>
          </w:tcPr>
          <w:p>
            <w:pPr>
              <w:ind w:firstLine="28"/>
              <w:jc w:val="center"/>
              <w:rPr>
                <w:sz w:val="24"/>
              </w:rPr>
            </w:pPr>
            <w:r>
              <w:rPr>
                <w:rFonts w:hint="eastAsia"/>
                <w:sz w:val="24"/>
              </w:rPr>
              <w:t xml:space="preserve">3.4</w:t>
            </w:r>
            <w:r/>
          </w:p>
        </w:tc>
        <w:tc>
          <w:tcPr>
            <w:tcW w:w="1217" w:type="dxa"/>
            <w:vAlign w:val="center"/>
            <w:textDirection w:val="lrTb"/>
            <w:noWrap w:val="false"/>
          </w:tcPr>
          <w:p>
            <w:pPr>
              <w:jc w:val="center"/>
              <w:rPr>
                <w:rFonts w:ascii="宋体" w:hAnsi="宋体"/>
                <w:sz w:val="24"/>
              </w:rPr>
            </w:pPr>
            <w:r>
              <w:rPr>
                <w:rFonts w:hint="eastAsia" w:ascii="宋体" w:hAnsi="宋体"/>
                <w:sz w:val="24"/>
              </w:rPr>
              <w:t xml:space="preserve">认证体系</w:t>
            </w:r>
            <w:r/>
          </w:p>
        </w:tc>
        <w:tc>
          <w:tcPr>
            <w:tcW w:w="933"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W w:w="4034" w:type="dxa"/>
            <w:vAlign w:val="center"/>
            <w:textDirection w:val="lrTb"/>
            <w:noWrap w:val="false"/>
          </w:tcPr>
          <w:p>
            <w:pPr>
              <w:rPr>
                <w:rFonts w:ascii="宋体" w:hAnsi="宋体"/>
                <w:sz w:val="24"/>
              </w:rPr>
            </w:pPr>
            <w:r>
              <w:rPr>
                <w:rFonts w:hint="eastAsia" w:ascii="宋体" w:hAnsi="宋体"/>
                <w:sz w:val="24"/>
              </w:rPr>
              <w:t xml:space="preserve">投标人具有有效的质量管理体系认证证书、环境管理体系认证证书、职业健康安全管理体系认证证书，有1个得3分，本项最高得9分。</w:t>
            </w:r>
            <w:r/>
          </w:p>
        </w:tc>
        <w:tc>
          <w:tcPr>
            <w:tcW w:w="2539" w:type="dxa"/>
            <w:vAlign w:val="center"/>
            <w:textDirection w:val="lrTb"/>
            <w:noWrap w:val="false"/>
          </w:tcPr>
          <w:p>
            <w:pPr>
              <w:jc w:val="left"/>
              <w:rPr>
                <w:rFonts w:ascii="宋体" w:hAnsi="宋体"/>
                <w:sz w:val="24"/>
              </w:rPr>
            </w:pPr>
            <w:r>
              <w:rPr>
                <w:rFonts w:hint="eastAsia" w:ascii="宋体" w:hAnsi="宋体" w:cs="Times New Roman"/>
                <w:sz w:val="24"/>
              </w:rPr>
              <w:t xml:space="preserve">提供证书及在国家市场监督管理总局官网查询状态为“有效”的截图并加盖公章，否则不得分。</w:t>
            </w:r>
            <w:r/>
          </w:p>
        </w:tc>
      </w:tr>
      <w:tr>
        <w:trPr>
          <w:jc w:val="center"/>
          <w:trHeight w:val="527"/>
        </w:trPr>
        <w:tc>
          <w:tcPr>
            <w:gridSpan w:val="2"/>
            <w:tcW w:w="2122" w:type="dxa"/>
            <w:vAlign w:val="center"/>
            <w:textDirection w:val="lrTb"/>
            <w:noWrap w:val="false"/>
          </w:tcPr>
          <w:p>
            <w:pPr>
              <w:ind w:firstLine="28"/>
              <w:jc w:val="center"/>
              <w:rPr>
                <w:sz w:val="24"/>
              </w:rPr>
            </w:pPr>
            <w:r>
              <w:rPr>
                <w:sz w:val="24"/>
              </w:rPr>
              <w:t xml:space="preserve">合计</w:t>
            </w:r>
            <w:r/>
          </w:p>
        </w:tc>
        <w:tc>
          <w:tcPr>
            <w:tcW w:w="933" w:type="dxa"/>
            <w:vAlign w:val="center"/>
            <w:textDirection w:val="lrTb"/>
            <w:noWrap w:val="false"/>
          </w:tcPr>
          <w:p>
            <w:pPr>
              <w:ind w:firstLine="28"/>
              <w:jc w:val="center"/>
              <w:rPr>
                <w:sz w:val="24"/>
              </w:rPr>
            </w:pPr>
            <w:r>
              <w:rPr>
                <w:sz w:val="24"/>
              </w:rPr>
              <w:t xml:space="preserve">100</w:t>
            </w:r>
            <w:r/>
          </w:p>
        </w:tc>
        <w:tc>
          <w:tcPr>
            <w:gridSpan w:val="2"/>
            <w:tcW w:w="6573" w:type="dxa"/>
            <w:vAlign w:val="center"/>
            <w:textDirection w:val="lrTb"/>
            <w:noWrap w:val="false"/>
          </w:tcPr>
          <w:p>
            <w:pPr>
              <w:rPr>
                <w:sz w:val="24"/>
              </w:rPr>
            </w:pPr>
            <w:r>
              <w:rPr>
                <w:sz w:val="24"/>
              </w:rPr>
            </w:r>
            <w:r/>
          </w:p>
        </w:tc>
      </w:tr>
    </w:tbl>
    <w:p>
      <w:pPr>
        <w:jc w:val="center"/>
        <w:spacing w:line="360" w:lineRule="auto"/>
        <w:rPr>
          <w:b/>
          <w:sz w:val="36"/>
          <w:szCs w:val="36"/>
        </w:rPr>
        <w:outlineLvl w:val="0"/>
      </w:pPr>
      <w:r>
        <w:rPr>
          <w:b/>
          <w:sz w:val="36"/>
          <w:szCs w:val="36"/>
        </w:rPr>
        <w:br w:type="page" w:clear="all"/>
      </w:r>
      <w:bookmarkStart w:id="812" w:name="_Toc99301424"/>
      <w:r>
        <w:rPr>
          <w:b/>
          <w:sz w:val="36"/>
          <w:szCs w:val="36"/>
        </w:rPr>
        <w:t xml:space="preserve">第五章   采购需求</w:t>
      </w:r>
      <w:bookmarkEnd w:id="812"/>
      <w:r/>
      <w:r/>
    </w:p>
    <w:p>
      <w:pPr>
        <w:pStyle w:val="1015"/>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p>
    <w:p>
      <w:pPr>
        <w:numPr>
          <w:ilvl w:val="0"/>
          <w:numId w:val="15"/>
        </w:numPr>
        <w:contextualSpacing/>
        <w:spacing w:line="360" w:lineRule="auto"/>
        <w:rPr>
          <w:bCs/>
          <w:sz w:val="24"/>
        </w:rPr>
      </w:pPr>
      <w:r>
        <w:rPr>
          <w:rFonts w:hint="eastAsia"/>
          <w:bCs/>
          <w:sz w:val="24"/>
        </w:rPr>
        <w:t xml:space="preserve">项目名称：西太湖2026年-2029年沿湖片区芦苇收割(湖区垃圾清理服务)项目</w:t>
      </w:r>
      <w:r/>
    </w:p>
    <w:p>
      <w:pPr>
        <w:numPr>
          <w:ilvl w:val="0"/>
          <w:numId w:val="15"/>
        </w:numPr>
        <w:contextualSpacing/>
        <w:spacing w:line="360" w:lineRule="auto"/>
        <w:rPr>
          <w:bCs/>
          <w:sz w:val="24"/>
        </w:rPr>
      </w:pPr>
      <w:r>
        <w:rPr>
          <w:rFonts w:hint="eastAsia"/>
          <w:bCs/>
          <w:sz w:val="24"/>
        </w:rPr>
        <w:t xml:space="preserve">预算金额：207.64万元/3年</w:t>
      </w:r>
      <w:r/>
    </w:p>
    <w:p>
      <w:pPr>
        <w:numPr>
          <w:ilvl w:val="0"/>
          <w:numId w:val="15"/>
        </w:numPr>
        <w:contextualSpacing/>
        <w:spacing w:line="360" w:lineRule="auto"/>
        <w:rPr>
          <w:bCs/>
          <w:sz w:val="24"/>
        </w:rPr>
      </w:pPr>
      <w:r>
        <w:rPr>
          <w:rFonts w:hint="eastAsia"/>
          <w:bCs/>
          <w:sz w:val="24"/>
        </w:rPr>
        <w:t xml:space="preserve">最高限价：207.64万元/3年</w:t>
      </w:r>
      <w:r/>
    </w:p>
    <w:p>
      <w:pPr>
        <w:pStyle w:val="1000"/>
        <w:numPr>
          <w:ilvl w:val="0"/>
          <w:numId w:val="16"/>
        </w:numPr>
        <w:rPr>
          <w:rFonts w:hint="eastAsia"/>
        </w:rPr>
      </w:pPr>
      <w:r>
        <w:rPr>
          <w:rFonts w:hint="eastAsia"/>
          <w:bCs/>
        </w:rPr>
        <w:t xml:space="preserve">项目概况：主要负责湖区、揽月路沿线相关地块芦苇定期收割、清运；西太湖湖面及沿湖岸线垃圾漂浮物（水葫芦、浮萍等）打捞清理及现场环境常态化保洁养护工作，保障湖面水域干净整洁、沿岸环境规范有序，满足日常市容及水域生态管理要求。暂估芦苇收割面积约703亩，水葫芦、漂浮垃圾等打捞收运作业工作量约为300亩。</w:t>
      </w:r>
      <w:r>
        <w:rPr>
          <w:rFonts w:hint="eastAsia"/>
        </w:rPr>
        <w:t xml:space="preserve">芦苇作业周期：当年度 11 月中旬至次年 1 月中旬；湖区垃圾清理服务周期：当年度 11 月中旬至次年 11 月上旬。</w:t>
      </w:r>
      <w:r/>
    </w:p>
    <w:p>
      <w:pPr>
        <w:numPr>
          <w:ilvl w:val="0"/>
          <w:numId w:val="15"/>
        </w:numPr>
        <w:contextualSpacing/>
        <w:spacing w:line="360" w:lineRule="auto"/>
        <w:rPr>
          <w:bCs/>
          <w:sz w:val="24"/>
        </w:rPr>
      </w:pPr>
      <w:r>
        <w:rPr>
          <w:rFonts w:hint="eastAsia"/>
          <w:bCs/>
          <w:sz w:val="24"/>
        </w:rPr>
        <w:t xml:space="preserve">合同履行期限：三年，合同一年一签，考核合格后续签下一年合同。</w:t>
      </w:r>
      <w:r/>
    </w:p>
    <w:p>
      <w:pPr>
        <w:numPr>
          <w:ilvl w:val="0"/>
          <w:numId w:val="15"/>
        </w:numPr>
        <w:contextualSpacing/>
        <w:spacing w:line="360" w:lineRule="auto"/>
        <w:rPr>
          <w:rFonts w:hint="eastAsia"/>
          <w:bCs/>
          <w:sz w:val="24"/>
        </w:rPr>
      </w:pPr>
      <w:r>
        <w:rPr>
          <w:rFonts w:hint="eastAsia"/>
          <w:bCs/>
          <w:sz w:val="24"/>
        </w:rPr>
        <w:t xml:space="preserve">是/否接受联合体投标：否</w:t>
      </w:r>
      <w:r/>
    </w:p>
    <w:p>
      <w:pPr>
        <w:numPr>
          <w:ilvl w:val="0"/>
          <w:numId w:val="15"/>
        </w:numPr>
        <w:contextualSpacing/>
        <w:spacing w:line="360" w:lineRule="auto"/>
        <w:rPr>
          <w:rFonts w:hint="eastAsia"/>
          <w:bCs/>
          <w:sz w:val="24"/>
        </w:rPr>
      </w:pPr>
      <w:r>
        <w:rPr>
          <w:rFonts w:hint="eastAsia"/>
          <w:bCs/>
          <w:sz w:val="24"/>
        </w:rPr>
        <w:t xml:space="preserve">是/否接受分支机构参与响应：否</w:t>
      </w:r>
      <w:r/>
    </w:p>
    <w:p>
      <w:pPr>
        <w:numPr>
          <w:ilvl w:val="0"/>
          <w:numId w:val="15"/>
        </w:numPr>
        <w:contextualSpacing/>
        <w:spacing w:line="360" w:lineRule="auto"/>
        <w:rPr>
          <w:rFonts w:hint="eastAsia"/>
          <w:bCs/>
          <w:sz w:val="24"/>
        </w:rPr>
      </w:pPr>
      <w:r>
        <w:rPr>
          <w:rFonts w:hint="eastAsia"/>
          <w:bCs/>
          <w:sz w:val="24"/>
        </w:rPr>
        <w:t xml:space="preserve">是/否属于政府购买服务：是</w:t>
      </w:r>
      <w:r/>
    </w:p>
    <w:p>
      <w:pPr>
        <w:numPr>
          <w:ilvl w:val="0"/>
          <w:numId w:val="15"/>
        </w:numPr>
        <w:contextualSpacing/>
        <w:spacing w:line="360" w:lineRule="auto"/>
        <w:rPr>
          <w:rFonts w:hint="eastAsia"/>
          <w:bCs/>
          <w:sz w:val="24"/>
        </w:rPr>
      </w:pPr>
      <w:r>
        <w:rPr>
          <w:rFonts w:hint="eastAsia"/>
          <w:bCs/>
          <w:sz w:val="24"/>
        </w:rPr>
        <w:t xml:space="preserve">是/否接受进口产品投标：否</w:t>
      </w:r>
      <w:r/>
    </w:p>
    <w:p>
      <w:pPr>
        <w:numPr>
          <w:ilvl w:val="0"/>
          <w:numId w:val="15"/>
        </w:numPr>
        <w:contextualSpacing/>
        <w:spacing w:line="360" w:lineRule="auto"/>
        <w:rPr>
          <w:rFonts w:hint="eastAsia"/>
          <w:bCs/>
          <w:sz w:val="24"/>
        </w:rPr>
      </w:pPr>
      <w:r>
        <w:rPr>
          <w:rFonts w:hint="eastAsia"/>
          <w:bCs/>
          <w:sz w:val="24"/>
        </w:rPr>
        <w:t xml:space="preserve">是/否专门面向中小企业预留采购份额：本项目专门面向中小企业采购，在评审时不再对中小企业执行价格评审优惠政策。</w:t>
      </w:r>
      <w:r/>
    </w:p>
    <w:p>
      <w:pPr>
        <w:numPr>
          <w:ilvl w:val="0"/>
          <w:numId w:val="15"/>
        </w:numPr>
        <w:contextualSpacing/>
        <w:spacing w:line="360" w:lineRule="auto"/>
        <w:rPr>
          <w:rFonts w:hint="eastAsia"/>
          <w:bCs/>
          <w:sz w:val="24"/>
        </w:rPr>
      </w:pPr>
      <w:r>
        <w:rPr>
          <w:rFonts w:hint="eastAsia"/>
          <w:bCs/>
          <w:sz w:val="24"/>
        </w:rPr>
        <w:t xml:space="preserve">本项目的特定资格要求：无</w:t>
      </w:r>
      <w:r/>
    </w:p>
    <w:p>
      <w:pPr>
        <w:numPr>
          <w:ilvl w:val="0"/>
          <w:numId w:val="15"/>
        </w:numPr>
        <w:contextualSpacing/>
        <w:spacing w:line="360" w:lineRule="auto"/>
        <w:rPr>
          <w:rFonts w:hint="eastAsia"/>
          <w:bCs/>
          <w:sz w:val="24"/>
        </w:rPr>
      </w:pPr>
      <w:r>
        <w:rPr>
          <w:rFonts w:hint="eastAsia"/>
          <w:bCs/>
          <w:sz w:val="24"/>
        </w:rPr>
        <w:t xml:space="preserve">项目类别：服务类</w:t>
      </w:r>
      <w:r/>
    </w:p>
    <w:p>
      <w:pPr>
        <w:pStyle w:val="1015"/>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p>
    <w:p>
      <w:pPr>
        <w:numPr>
          <w:ilvl w:val="0"/>
          <w:numId w:val="17"/>
        </w:numPr>
        <w:contextualSpacing/>
        <w:spacing w:line="360" w:lineRule="auto"/>
        <w:rPr>
          <w:sz w:val="24"/>
        </w:rPr>
      </w:pPr>
      <w:r>
        <w:rPr>
          <w:sz w:val="24"/>
        </w:rPr>
        <w:t xml:space="preserve">交付的时间和地点</w:t>
      </w:r>
      <w:r/>
    </w:p>
    <w:p>
      <w:pPr>
        <w:contextualSpacing/>
        <w:spacing w:line="360" w:lineRule="auto"/>
        <w:rPr>
          <w:rFonts w:hint="eastAsia"/>
          <w:bCs/>
          <w:sz w:val="24"/>
        </w:rPr>
      </w:pPr>
      <w:r>
        <w:rPr>
          <w:rFonts w:hint="eastAsia"/>
          <w:sz w:val="24"/>
        </w:rPr>
        <w:t xml:space="preserve">合同履约期限：</w:t>
      </w:r>
      <w:r>
        <w:rPr>
          <w:rFonts w:hint="eastAsia"/>
          <w:bCs/>
          <w:sz w:val="24"/>
        </w:rPr>
        <w:t xml:space="preserve">三年，合同一年一签，考核合格后续签下一年合同。</w:t>
      </w:r>
      <w:r/>
    </w:p>
    <w:p>
      <w:pPr>
        <w:contextualSpacing/>
        <w:spacing w:line="360" w:lineRule="auto"/>
        <w:rPr>
          <w:rFonts w:hint="eastAsia"/>
          <w:i/>
          <w:sz w:val="24"/>
        </w:rPr>
      </w:pPr>
      <w:r>
        <w:rPr>
          <w:rFonts w:hint="eastAsia"/>
          <w:sz w:val="24"/>
        </w:rPr>
        <w:t xml:space="preserve">合同履约地址：常州市武进区</w:t>
      </w:r>
      <w:r/>
    </w:p>
    <w:p>
      <w:pPr>
        <w:numPr>
          <w:ilvl w:val="0"/>
          <w:numId w:val="17"/>
        </w:numPr>
        <w:contextualSpacing/>
        <w:spacing w:line="360" w:lineRule="auto"/>
        <w:rPr>
          <w:sz w:val="24"/>
        </w:rPr>
      </w:pPr>
      <w:r>
        <w:rPr>
          <w:sz w:val="24"/>
        </w:rPr>
        <w:t xml:space="preserve">付款</w:t>
      </w:r>
      <w:r>
        <w:rPr>
          <w:rFonts w:hint="eastAsia"/>
          <w:sz w:val="24"/>
        </w:rPr>
        <w:t xml:space="preserve">及结算方式</w:t>
      </w:r>
      <w:r/>
    </w:p>
    <w:p>
      <w:pPr>
        <w:pStyle w:val="1000"/>
        <w:ind w:left="425" w:hanging="425"/>
        <w:rPr>
          <w:rFonts w:hint="eastAsia"/>
        </w:rPr>
      </w:pPr>
      <w:r>
        <w:t xml:space="preserve">(1)</w:t>
      </w:r>
      <w:r>
        <w:rPr>
          <w:rFonts w:hint="eastAsia"/>
        </w:rPr>
        <w:t xml:space="preserve">本项目采用</w:t>
      </w:r>
      <w:r>
        <w:rPr>
          <w:rFonts w:hint="eastAsia"/>
          <w:b/>
          <w:bCs/>
        </w:rPr>
        <w:t xml:space="preserve">固定综合单价含税</w:t>
      </w:r>
      <w:r>
        <w:rPr>
          <w:rFonts w:hint="eastAsia"/>
        </w:rPr>
        <w:t xml:space="preserve">计价方式，数量</w:t>
      </w:r>
      <w:r>
        <w:rPr>
          <w:rFonts w:hint="eastAsia"/>
          <w:b/>
          <w:bCs/>
        </w:rPr>
        <w:t xml:space="preserve">按实结算</w:t>
      </w:r>
      <w:r>
        <w:rPr>
          <w:rFonts w:hint="eastAsia"/>
        </w:rPr>
        <w:t xml:space="preserve">。价格中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投标人应考虑合同期内的物价、政策等所有风险因素，在报价时自行预测并纳入投标总价中。履约期内若涉及本地区最低工资、社保缴费基数等上调，涉及工资差额、固定岗位工资差额、假日工资差额、社保差额部分等均由中标人承担。</w:t>
      </w:r>
      <w:r/>
    </w:p>
    <w:p>
      <w:pPr>
        <w:pStyle w:val="1000"/>
        <w:ind w:left="425" w:hanging="425"/>
        <w:rPr>
          <w:rFonts w:hint="eastAsia"/>
        </w:rPr>
      </w:pPr>
      <w:r>
        <w:t xml:space="preserve">(2)</w:t>
      </w:r>
      <w:r>
        <w:rPr>
          <w:rFonts w:hint="eastAsia"/>
        </w:rPr>
        <w:t xml:space="preserve">芦苇收割暂估面积约 703 亩，水葫芦、漂浮垃圾打捞收运暂估工作量 300 亩（</w:t>
      </w:r>
      <w:r>
        <w:rPr>
          <w:rFonts w:hint="eastAsia"/>
          <w:bCs/>
        </w:rPr>
        <w:t xml:space="preserve">超出300亩部分不予结算</w:t>
      </w:r>
      <w:r>
        <w:rPr>
          <w:rFonts w:hint="eastAsia"/>
        </w:rPr>
        <w:t xml:space="preserve">）。</w:t>
      </w:r>
      <w:r/>
    </w:p>
    <w:p>
      <w:pPr>
        <w:pStyle w:val="1000"/>
        <w:ind w:left="0" w:firstLine="480"/>
        <w:rPr>
          <w:rFonts w:hint="eastAsia"/>
        </w:rPr>
      </w:pPr>
      <w:r>
        <w:rPr>
          <w:rFonts w:hint="eastAsia" w:ascii="宋体" w:hAnsi="宋体" w:cs="宋体"/>
          <w:szCs w:val="24"/>
        </w:rPr>
        <w:t xml:space="preserve">单价：</w:t>
      </w:r>
      <w:r>
        <w:rPr>
          <w:rFonts w:ascii="宋体" w:hAnsi="宋体" w:cs="宋体"/>
          <w:szCs w:val="24"/>
        </w:rPr>
        <w:t xml:space="preserve">结算单价按中标人投标的含税综合单价执行</w:t>
      </w:r>
      <w:r>
        <w:rPr>
          <w:rFonts w:hint="eastAsia"/>
        </w:rPr>
        <w:t xml:space="preserve">；</w:t>
      </w:r>
      <w:r/>
    </w:p>
    <w:p>
      <w:pPr>
        <w:pStyle w:val="1000"/>
        <w:ind w:left="0" w:firstLine="480"/>
        <w:rPr>
          <w:rFonts w:hint="eastAsia"/>
        </w:rPr>
      </w:pPr>
      <w:r>
        <w:rPr>
          <w:rFonts w:hint="eastAsia" w:ascii="宋体" w:hAnsi="宋体" w:cs="宋体"/>
          <w:szCs w:val="24"/>
        </w:rPr>
        <w:t xml:space="preserve">数量：</w:t>
      </w:r>
      <w:r>
        <w:rPr>
          <w:rFonts w:ascii="宋体" w:hAnsi="宋体" w:cs="宋体"/>
          <w:szCs w:val="24"/>
        </w:rPr>
        <w:t xml:space="preserve">每一合同周期届满，结算数量由采购人结合履约考核结果，报送审计单位审定，以审计审定实际作业数量作为结算依据。</w:t>
      </w:r>
      <w:r/>
    </w:p>
    <w:p>
      <w:pPr>
        <w:pStyle w:val="1000"/>
        <w:ind w:left="0" w:firstLine="480"/>
        <w:rPr>
          <w:rFonts w:hint="eastAsia" w:ascii="微软雅黑" w:hAnsi="微软雅黑" w:eastAsia="微软雅黑"/>
          <w:sz w:val="27"/>
          <w:szCs w:val="24"/>
          <w:lang w:val="zh-CN"/>
        </w:rPr>
      </w:pPr>
      <w:r>
        <w:rPr>
          <w:rFonts w:ascii="宋体" w:hAnsi="宋体" w:cs="宋体"/>
          <w:szCs w:val="24"/>
        </w:rPr>
        <w:t xml:space="preserve">项目最终结算价款，须经采购人履约考核、审计单位对履约状况、各类扣款事项审核确认后方可办理支付。</w:t>
      </w:r>
      <w:r/>
    </w:p>
    <w:p>
      <w:pPr>
        <w:pStyle w:val="1000"/>
        <w:ind w:left="0" w:firstLine="480"/>
        <w:rPr>
          <w:rFonts w:hint="eastAsia" w:ascii="宋体" w:hAnsi="宋体" w:cs="宋体"/>
          <w:szCs w:val="24"/>
          <w:lang w:val="zh-CN"/>
        </w:rPr>
      </w:pPr>
      <w:r>
        <w:rPr>
          <w:rFonts w:hint="eastAsia" w:ascii="宋体" w:hAnsi="宋体" w:cs="宋体"/>
          <w:szCs w:val="24"/>
          <w:lang w:val="zh-CN"/>
        </w:rPr>
        <w:t xml:space="preserve">经审计</w:t>
      </w:r>
      <w:r>
        <w:rPr>
          <w:rFonts w:hint="eastAsia" w:ascii="宋体" w:hAnsi="宋体" w:cs="宋体"/>
          <w:szCs w:val="24"/>
        </w:rPr>
        <w:t xml:space="preserve">本项目</w:t>
      </w:r>
      <w:r>
        <w:rPr>
          <w:rFonts w:hint="eastAsia" w:ascii="宋体" w:hAnsi="宋体" w:cs="宋体"/>
          <w:szCs w:val="24"/>
          <w:lang w:val="zh-CN"/>
        </w:rPr>
        <w:t xml:space="preserve">核减率达</w:t>
      </w:r>
      <w:r>
        <w:rPr>
          <w:rFonts w:hint="eastAsia" w:ascii="宋体" w:hAnsi="宋体" w:cs="宋体"/>
          <w:szCs w:val="24"/>
        </w:rPr>
        <w:t xml:space="preserve">10</w:t>
      </w:r>
      <w:r>
        <w:rPr>
          <w:rFonts w:hint="eastAsia" w:ascii="宋体" w:hAnsi="宋体" w:cs="宋体"/>
          <w:szCs w:val="24"/>
          <w:lang w:val="zh-CN"/>
        </w:rPr>
        <w:t xml:space="preserve">%以上的审计费：</w:t>
      </w:r>
      <w:r>
        <w:rPr>
          <w:rFonts w:hint="eastAsia" w:ascii="宋体" w:hAnsi="宋体" w:cs="宋体"/>
          <w:szCs w:val="24"/>
        </w:rPr>
        <w:t xml:space="preserve">10</w:t>
      </w:r>
      <w:r>
        <w:rPr>
          <w:rFonts w:hint="eastAsia" w:ascii="宋体" w:hAnsi="宋体" w:cs="宋体"/>
          <w:szCs w:val="24"/>
          <w:lang w:val="zh-CN"/>
        </w:rPr>
        <w:t xml:space="preserve">%以内（含</w:t>
      </w:r>
      <w:r>
        <w:rPr>
          <w:rFonts w:hint="eastAsia" w:ascii="宋体" w:hAnsi="宋体" w:cs="宋体"/>
          <w:szCs w:val="24"/>
        </w:rPr>
        <w:t xml:space="preserve">10</w:t>
      </w:r>
      <w:r>
        <w:rPr>
          <w:rFonts w:hint="eastAsia" w:ascii="宋体" w:hAnsi="宋体" w:cs="宋体"/>
          <w:szCs w:val="24"/>
          <w:lang w:val="zh-CN"/>
        </w:rPr>
        <w:t xml:space="preserve">%）的审计费由</w:t>
      </w:r>
      <w:r>
        <w:rPr>
          <w:rFonts w:hint="eastAsia" w:ascii="宋体" w:hAnsi="宋体" w:cs="宋体"/>
          <w:szCs w:val="24"/>
        </w:rPr>
        <w:t xml:space="preserve">采购人</w:t>
      </w:r>
      <w:r>
        <w:rPr>
          <w:rFonts w:hint="eastAsia" w:ascii="宋体" w:hAnsi="宋体" w:cs="宋体"/>
          <w:szCs w:val="24"/>
          <w:lang w:val="zh-CN"/>
        </w:rPr>
        <w:t xml:space="preserve">承担，超出</w:t>
      </w:r>
      <w:r>
        <w:rPr>
          <w:rFonts w:hint="eastAsia" w:ascii="宋体" w:hAnsi="宋体" w:cs="宋体"/>
          <w:szCs w:val="24"/>
        </w:rPr>
        <w:t xml:space="preserve">10</w:t>
      </w:r>
      <w:r>
        <w:rPr>
          <w:rFonts w:hint="eastAsia" w:ascii="宋体" w:hAnsi="宋体" w:cs="宋体"/>
          <w:szCs w:val="24"/>
          <w:lang w:val="zh-CN"/>
        </w:rPr>
        <w:t xml:space="preserve">%的审计费由</w:t>
      </w:r>
      <w:r>
        <w:rPr>
          <w:rFonts w:hint="eastAsia" w:ascii="宋体" w:hAnsi="宋体" w:cs="宋体"/>
          <w:szCs w:val="24"/>
        </w:rPr>
        <w:t xml:space="preserve">中标人</w:t>
      </w:r>
      <w:r>
        <w:rPr>
          <w:rFonts w:hint="eastAsia" w:ascii="宋体" w:hAnsi="宋体" w:cs="宋体"/>
          <w:szCs w:val="24"/>
          <w:lang w:val="zh-CN"/>
        </w:rPr>
        <w:t xml:space="preserve">承担并由</w:t>
      </w:r>
      <w:r>
        <w:rPr>
          <w:rFonts w:hint="eastAsia" w:ascii="宋体" w:hAnsi="宋体" w:cs="宋体"/>
          <w:szCs w:val="24"/>
        </w:rPr>
        <w:t xml:space="preserve">采购人</w:t>
      </w:r>
      <w:r>
        <w:rPr>
          <w:rFonts w:hint="eastAsia" w:ascii="宋体" w:hAnsi="宋体" w:cs="宋体"/>
          <w:szCs w:val="24"/>
          <w:lang w:val="zh-CN"/>
        </w:rPr>
        <w:t xml:space="preserve">从</w:t>
      </w:r>
      <w:r>
        <w:rPr>
          <w:rFonts w:hint="eastAsia" w:ascii="宋体" w:hAnsi="宋体" w:cs="宋体"/>
          <w:szCs w:val="24"/>
        </w:rPr>
        <w:t xml:space="preserve">中标人</w:t>
      </w:r>
      <w:r>
        <w:rPr>
          <w:rFonts w:hint="eastAsia" w:ascii="宋体" w:hAnsi="宋体" w:cs="宋体"/>
          <w:szCs w:val="24"/>
          <w:lang w:val="zh-CN"/>
        </w:rPr>
        <w:t xml:space="preserve">的</w:t>
      </w:r>
      <w:r>
        <w:rPr>
          <w:rFonts w:hint="eastAsia" w:ascii="宋体" w:hAnsi="宋体" w:cs="宋体"/>
          <w:szCs w:val="24"/>
        </w:rPr>
        <w:t xml:space="preserve">合同款</w:t>
      </w:r>
      <w:r>
        <w:rPr>
          <w:rFonts w:hint="eastAsia" w:ascii="宋体" w:hAnsi="宋体" w:cs="宋体"/>
          <w:szCs w:val="24"/>
          <w:lang w:val="zh-CN"/>
        </w:rPr>
        <w:t xml:space="preserve">中扣除。</w:t>
      </w:r>
      <w:r/>
    </w:p>
    <w:p>
      <w:pPr>
        <w:pStyle w:val="1000"/>
        <w:ind w:left="0" w:firstLine="482"/>
        <w:rPr>
          <w:rStyle w:val="1004"/>
          <w:rFonts w:ascii="宋体" w:hAnsi="宋体" w:cs="宋体"/>
          <w:szCs w:val="24"/>
        </w:rPr>
      </w:pPr>
      <w:r>
        <w:rPr>
          <w:rStyle w:val="1004"/>
          <w:rFonts w:hint="eastAsia" w:ascii="宋体" w:hAnsi="宋体" w:cs="宋体"/>
          <w:szCs w:val="24"/>
        </w:rPr>
        <w:t xml:space="preserve">每一年度采购人实际支付款项不超过该年度财政正式批复的项目预算安排金额。</w:t>
      </w:r>
      <w:r/>
    </w:p>
    <w:p>
      <w:pPr>
        <w:pStyle w:val="1000"/>
        <w:ind w:left="0" w:firstLine="0"/>
        <w:rPr>
          <w:rFonts w:hint="eastAsia"/>
        </w:rPr>
      </w:pPr>
      <w:r>
        <w:rPr>
          <w:rFonts w:hint="eastAsia"/>
          <w:b/>
          <w:bCs/>
        </w:rPr>
        <w:t xml:space="preserve">考核方式</w:t>
      </w:r>
      <w:r>
        <w:rPr>
          <w:rFonts w:hint="eastAsia"/>
        </w:rPr>
        <w:t xml:space="preserve">：实行平时现场监督管理与收割清运完毕验收相结合的方式进行考核。平时的现场监督管理与质量验收由常州市武进区西湖街道办事处进行，最终的面积确认以区农林局与财政局的验收小组的核算数据为准。</w:t>
      </w:r>
      <w:r/>
    </w:p>
    <w:p>
      <w:pPr>
        <w:pStyle w:val="1000"/>
        <w:ind w:left="0" w:firstLine="0"/>
        <w:rPr>
          <w:rFonts w:hint="eastAsia"/>
        </w:rPr>
      </w:pPr>
      <w:r>
        <w:rPr>
          <w:rFonts w:hint="eastAsia"/>
          <w:b/>
          <w:bCs/>
        </w:rPr>
        <w:t xml:space="preserve">考核结果：</w:t>
      </w:r>
      <w:r>
        <w:rPr>
          <w:rFonts w:hint="eastAsia"/>
        </w:rPr>
        <w:t xml:space="preserve">考核总分为 100 分，项目实施全过程考核结果在项目完成后汇总核算，最终得分按如下标准执行费用支付：</w:t>
      </w:r>
      <w:r/>
    </w:p>
    <w:p>
      <w:pPr>
        <w:pStyle w:val="1000"/>
        <w:ind w:left="0" w:firstLine="0"/>
        <w:rPr>
          <w:rFonts w:hint="eastAsia"/>
        </w:rPr>
      </w:pPr>
      <w:r>
        <w:rPr>
          <w:rFonts w:hint="eastAsia"/>
          <w:b/>
          <w:bCs/>
        </w:rPr>
        <w:t xml:space="preserve">优秀</w:t>
      </w:r>
      <w:r>
        <w:rPr>
          <w:rFonts w:hint="eastAsia"/>
        </w:rPr>
        <w:t xml:space="preserve">：96分≤得分≤100分，全额支付服务费；</w:t>
      </w:r>
      <w:r/>
    </w:p>
    <w:p>
      <w:pPr>
        <w:pStyle w:val="1000"/>
        <w:ind w:left="0" w:firstLine="0"/>
        <w:rPr>
          <w:rFonts w:hint="eastAsia"/>
        </w:rPr>
      </w:pPr>
      <w:r>
        <w:rPr>
          <w:rFonts w:hint="eastAsia"/>
          <w:b/>
          <w:bCs/>
        </w:rPr>
        <w:t xml:space="preserve">合格</w:t>
      </w:r>
      <w:r>
        <w:rPr>
          <w:rFonts w:hint="eastAsia"/>
        </w:rPr>
        <w:t xml:space="preserve">：91分≤得分≤95分，每低于95分1分，扣减服务费的1%（如95分扣1%、94分扣2%、93分扣3%、92分扣4%、91分扣5%）；</w:t>
      </w:r>
      <w:r/>
    </w:p>
    <w:p>
      <w:pPr>
        <w:pStyle w:val="1000"/>
        <w:ind w:left="0" w:firstLine="0"/>
        <w:rPr>
          <w:rFonts w:hint="eastAsia"/>
        </w:rPr>
      </w:pPr>
      <w:r>
        <w:rPr>
          <w:rFonts w:hint="eastAsia"/>
          <w:b/>
          <w:bCs/>
        </w:rPr>
        <w:t xml:space="preserve">基本合格</w:t>
      </w:r>
      <w:r>
        <w:rPr>
          <w:rFonts w:hint="eastAsia"/>
        </w:rPr>
        <w:t xml:space="preserve">：86分≤得分≤90分，扣减服务费的10%；</w:t>
      </w:r>
      <w:r/>
    </w:p>
    <w:p>
      <w:pPr>
        <w:pStyle w:val="1000"/>
        <w:ind w:left="0" w:firstLine="0"/>
        <w:rPr>
          <w:b/>
          <w:szCs w:val="24"/>
        </w:rPr>
      </w:pPr>
      <w:r>
        <w:rPr>
          <w:rFonts w:hint="eastAsia"/>
          <w:b/>
          <w:bCs/>
        </w:rPr>
        <w:t xml:space="preserve">不合格</w:t>
      </w:r>
      <w:r>
        <w:rPr>
          <w:rFonts w:hint="eastAsia"/>
        </w:rPr>
        <w:t xml:space="preserve">：得分≤85 分，扣减服务费的20%。</w:t>
      </w:r>
      <w:r/>
    </w:p>
    <w:p>
      <w:pPr>
        <w:pStyle w:val="1000"/>
        <w:ind w:left="425" w:hanging="425"/>
        <w:rPr>
          <w:rFonts w:hint="eastAsia"/>
        </w:rPr>
      </w:pPr>
      <w:r>
        <w:t xml:space="preserve">(3)</w:t>
      </w:r>
      <w:r>
        <w:rPr>
          <w:rFonts w:hint="eastAsia"/>
        </w:rPr>
        <w:t xml:space="preserve">本项目下所有款项均以人民币支付，中标人向采购人开具符合采购人要求的发票。</w:t>
      </w:r>
      <w:r/>
    </w:p>
    <w:p>
      <w:pPr>
        <w:pStyle w:val="1000"/>
        <w:ind w:left="425" w:hanging="425"/>
        <w:rPr>
          <w:szCs w:val="24"/>
        </w:rPr>
      </w:pPr>
      <w:r>
        <w:rPr>
          <w:szCs w:val="24"/>
        </w:rPr>
        <w:t xml:space="preserve">(4)</w:t>
      </w:r>
      <w:r>
        <w:rPr>
          <w:rFonts w:hint="eastAsia" w:ascii="宋体" w:hAnsi="宋体" w:cs="等线"/>
        </w:rPr>
        <w:t xml:space="preserve">付款方式：以转账方式直接转入中标人银行账户。</w:t>
      </w:r>
      <w:r/>
    </w:p>
    <w:p>
      <w:pPr>
        <w:numPr>
          <w:ilvl w:val="0"/>
          <w:numId w:val="17"/>
        </w:numPr>
        <w:contextualSpacing/>
        <w:spacing w:line="360" w:lineRule="auto"/>
        <w:rPr>
          <w:sz w:val="24"/>
        </w:rPr>
      </w:pPr>
      <w:r>
        <w:rPr>
          <w:rFonts w:hint="eastAsia"/>
          <w:sz w:val="24"/>
        </w:rPr>
        <w:t xml:space="preserve">履约保证金：</w:t>
      </w:r>
      <w:r/>
    </w:p>
    <w:p>
      <w:pPr>
        <w:ind w:firstLine="480"/>
        <w:spacing w:line="360" w:lineRule="auto"/>
        <w:rPr>
          <w:rFonts w:ascii="宋体" w:hAnsi="宋体" w:cs="宋体"/>
          <w:bCs/>
          <w:sz w:val="24"/>
        </w:rPr>
      </w:pPr>
      <w:r>
        <w:rPr>
          <w:rFonts w:ascii="宋体" w:hAnsi="宋体" w:cs="宋体"/>
          <w:bCs/>
          <w:sz w:val="24"/>
        </w:rPr>
        <w:t xml:space="preserve">（1）履约保证金应当以担保机构出具的保函</w:t>
      </w:r>
      <w:r>
        <w:rPr>
          <w:rFonts w:hint="eastAsia" w:ascii="宋体" w:hAnsi="宋体" w:cs="宋体"/>
          <w:bCs/>
          <w:sz w:val="24"/>
        </w:rPr>
        <w:t xml:space="preserve">（</w:t>
      </w:r>
      <w:r>
        <w:rPr>
          <w:rFonts w:ascii="宋体" w:hAnsi="宋体" w:cs="宋体"/>
          <w:bCs/>
          <w:sz w:val="24"/>
        </w:rPr>
        <w:t xml:space="preserve">非现金形式</w:t>
      </w:r>
      <w:r>
        <w:rPr>
          <w:rFonts w:hint="eastAsia" w:ascii="宋体" w:hAnsi="宋体" w:cs="宋体"/>
          <w:bCs/>
          <w:sz w:val="24"/>
        </w:rPr>
        <w:t xml:space="preserve">）</w:t>
      </w:r>
      <w:r>
        <w:rPr>
          <w:rFonts w:ascii="宋体" w:hAnsi="宋体" w:cs="宋体"/>
          <w:bCs/>
          <w:sz w:val="24"/>
        </w:rPr>
        <w:t xml:space="preserve">提交</w:t>
      </w:r>
      <w:r>
        <w:rPr>
          <w:rFonts w:hint="eastAsia" w:ascii="宋体" w:hAnsi="宋体" w:cs="宋体"/>
          <w:bCs/>
          <w:sz w:val="24"/>
        </w:rPr>
        <w:t xml:space="preserve">，保函有效期须覆盖本合同服务周期、履约考核及项目结算审计周期。</w:t>
      </w:r>
      <w:r/>
    </w:p>
    <w:p>
      <w:pPr>
        <w:ind w:firstLine="480"/>
        <w:spacing w:line="360" w:lineRule="auto"/>
        <w:rPr>
          <w:rFonts w:ascii="宋体" w:hAnsi="宋体" w:cs="宋体"/>
          <w:bCs/>
          <w:sz w:val="24"/>
        </w:rPr>
      </w:pPr>
      <w:r>
        <w:rPr>
          <w:rFonts w:ascii="宋体" w:hAnsi="宋体" w:cs="宋体"/>
          <w:bCs/>
          <w:sz w:val="24"/>
        </w:rPr>
        <w:t xml:space="preserve">（2）履约保证金为</w:t>
      </w:r>
      <w:r>
        <w:rPr>
          <w:rFonts w:hint="eastAsia" w:ascii="宋体" w:hAnsi="宋体" w:cs="宋体"/>
          <w:bCs/>
          <w:sz w:val="24"/>
        </w:rPr>
        <w:t xml:space="preserve">本</w:t>
      </w:r>
      <w:r>
        <w:rPr>
          <w:rFonts w:ascii="宋体" w:hAnsi="宋体" w:cs="宋体"/>
          <w:bCs/>
          <w:sz w:val="24"/>
        </w:rPr>
        <w:t xml:space="preserve">合同价的 </w:t>
      </w:r>
      <w:r>
        <w:rPr>
          <w:rFonts w:hint="eastAsia" w:ascii="宋体" w:hAnsi="宋体" w:cs="宋体"/>
          <w:bCs/>
          <w:sz w:val="24"/>
        </w:rPr>
        <w:t xml:space="preserve">10</w:t>
      </w:r>
      <w:r>
        <w:rPr>
          <w:rFonts w:ascii="宋体" w:hAnsi="宋体" w:cs="宋体"/>
          <w:bCs/>
          <w:sz w:val="24"/>
        </w:rPr>
        <w:t xml:space="preserve">% 。</w:t>
      </w:r>
      <w:r>
        <w:rPr>
          <w:rFonts w:hint="eastAsia" w:ascii="宋体" w:hAnsi="宋体" w:cs="宋体"/>
          <w:bCs/>
          <w:sz w:val="24"/>
        </w:rPr>
        <w:t xml:space="preserve">中标人</w:t>
      </w:r>
      <w:r>
        <w:rPr>
          <w:rFonts w:ascii="宋体" w:hAnsi="宋体" w:cs="宋体"/>
          <w:bCs/>
          <w:sz w:val="24"/>
        </w:rPr>
        <w:t xml:space="preserve">应在合同签订前向</w:t>
      </w:r>
      <w:r>
        <w:rPr>
          <w:rFonts w:hint="eastAsia" w:ascii="宋体" w:hAnsi="宋体" w:cs="宋体"/>
          <w:bCs/>
          <w:sz w:val="24"/>
        </w:rPr>
        <w:t xml:space="preserve">采购人</w:t>
      </w:r>
      <w:r>
        <w:rPr>
          <w:rFonts w:ascii="宋体" w:hAnsi="宋体" w:cs="宋体"/>
          <w:bCs/>
          <w:sz w:val="24"/>
        </w:rPr>
        <w:t xml:space="preserve">提供履约保证金</w:t>
      </w:r>
      <w:r>
        <w:rPr>
          <w:rFonts w:hint="eastAsia" w:ascii="宋体" w:hAnsi="宋体" w:cs="宋体"/>
          <w:bCs/>
          <w:sz w:val="24"/>
        </w:rPr>
        <w:t xml:space="preserve">，</w:t>
      </w:r>
      <w:r>
        <w:rPr>
          <w:rFonts w:ascii="宋体" w:hAnsi="宋体" w:cs="宋体"/>
          <w:bCs/>
          <w:sz w:val="24"/>
        </w:rPr>
        <w:t xml:space="preserve">逾期未提供的，</w:t>
      </w:r>
      <w:r>
        <w:rPr>
          <w:rFonts w:hint="eastAsia" w:ascii="宋体" w:hAnsi="宋体" w:cs="宋体"/>
          <w:bCs/>
          <w:sz w:val="24"/>
        </w:rPr>
        <w:t xml:space="preserve">采购人</w:t>
      </w:r>
      <w:r>
        <w:rPr>
          <w:rFonts w:ascii="宋体" w:hAnsi="宋体" w:cs="宋体"/>
          <w:bCs/>
          <w:sz w:val="24"/>
        </w:rPr>
        <w:t xml:space="preserve">有权不签订合同，视为</w:t>
      </w:r>
      <w:r>
        <w:rPr>
          <w:rFonts w:hint="eastAsia" w:ascii="宋体" w:hAnsi="宋体" w:cs="宋体"/>
          <w:bCs/>
          <w:sz w:val="24"/>
        </w:rPr>
        <w:t xml:space="preserve">中标人</w:t>
      </w:r>
      <w:r>
        <w:rPr>
          <w:rFonts w:ascii="宋体" w:hAnsi="宋体" w:cs="宋体"/>
          <w:bCs/>
          <w:sz w:val="24"/>
        </w:rPr>
        <w:t xml:space="preserve">放弃中标。</w:t>
      </w:r>
      <w:r/>
    </w:p>
    <w:p>
      <w:pPr>
        <w:ind w:firstLine="480"/>
        <w:spacing w:line="360" w:lineRule="auto"/>
        <w:rPr>
          <w:rFonts w:ascii="宋体" w:hAnsi="宋体" w:cs="宋体"/>
          <w:bCs/>
          <w:sz w:val="24"/>
        </w:rPr>
      </w:pPr>
      <w:r>
        <w:rPr>
          <w:rFonts w:ascii="宋体" w:hAnsi="宋体" w:cs="宋体"/>
          <w:bCs/>
          <w:sz w:val="24"/>
        </w:rPr>
        <w:t xml:space="preserve">（3）合同履约期间，</w:t>
      </w:r>
      <w:r>
        <w:rPr>
          <w:rFonts w:hint="eastAsia" w:ascii="宋体" w:hAnsi="宋体" w:cs="宋体"/>
          <w:bCs/>
          <w:sz w:val="24"/>
        </w:rPr>
        <w:t xml:space="preserve">中标人</w:t>
      </w:r>
      <w:r>
        <w:rPr>
          <w:rFonts w:ascii="宋体" w:hAnsi="宋体" w:cs="宋体"/>
          <w:bCs/>
          <w:sz w:val="24"/>
        </w:rPr>
        <w:t xml:space="preserve">未能按照合同履行相关义务，造成</w:t>
      </w:r>
      <w:r>
        <w:rPr>
          <w:rFonts w:hint="eastAsia" w:ascii="宋体" w:hAnsi="宋体" w:cs="宋体"/>
          <w:bCs/>
          <w:sz w:val="24"/>
        </w:rPr>
        <w:t xml:space="preserve">采购人</w:t>
      </w:r>
      <w:r>
        <w:rPr>
          <w:rFonts w:ascii="宋体" w:hAnsi="宋体" w:cs="宋体"/>
          <w:bCs/>
          <w:sz w:val="24"/>
        </w:rPr>
        <w:t xml:space="preserve">经济损失的，</w:t>
      </w:r>
      <w:r>
        <w:rPr>
          <w:rFonts w:hint="eastAsia" w:ascii="宋体" w:hAnsi="宋体" w:cs="宋体"/>
          <w:sz w:val="24"/>
        </w:rPr>
        <w:t xml:space="preserve">采购人</w:t>
      </w:r>
      <w:r>
        <w:rPr>
          <w:rFonts w:ascii="宋体" w:hAnsi="宋体" w:cs="宋体"/>
          <w:sz w:val="24"/>
        </w:rPr>
        <w:t xml:space="preserve">有权依据保函约定进行索赔，在保函担保限额内弥补</w:t>
      </w:r>
      <w:r>
        <w:rPr>
          <w:rFonts w:hint="eastAsia" w:ascii="宋体" w:hAnsi="宋体" w:cs="宋体"/>
          <w:sz w:val="24"/>
        </w:rPr>
        <w:t xml:space="preserve">采购人</w:t>
      </w:r>
      <w:r>
        <w:rPr>
          <w:rFonts w:ascii="宋体" w:hAnsi="宋体" w:cs="宋体"/>
          <w:sz w:val="24"/>
        </w:rPr>
        <w:t xml:space="preserve">损失；担保限额不足的，由</w:t>
      </w:r>
      <w:r>
        <w:rPr>
          <w:rFonts w:hint="eastAsia" w:ascii="宋体" w:hAnsi="宋体" w:cs="宋体"/>
          <w:sz w:val="24"/>
        </w:rPr>
        <w:t xml:space="preserve">中标人</w:t>
      </w:r>
      <w:r>
        <w:rPr>
          <w:rFonts w:ascii="宋体" w:hAnsi="宋体" w:cs="宋体"/>
          <w:sz w:val="24"/>
        </w:rPr>
        <w:t xml:space="preserve">另行补足。</w:t>
      </w:r>
      <w:r/>
    </w:p>
    <w:p>
      <w:pPr>
        <w:ind w:firstLine="480"/>
        <w:spacing w:line="360" w:lineRule="auto"/>
        <w:rPr>
          <w:rFonts w:ascii="宋体" w:hAnsi="宋体" w:cs="宋体"/>
          <w:bCs/>
          <w:sz w:val="24"/>
        </w:rPr>
      </w:pPr>
      <w:r>
        <w:rPr>
          <w:rFonts w:ascii="宋体" w:hAnsi="宋体" w:cs="宋体"/>
          <w:bCs/>
          <w:sz w:val="24"/>
        </w:rPr>
        <w:t xml:space="preserve">（4）合同履约期满、考核合格，完成项目结算审计且无遗留纠纷的，履约保函担保责任自动解除，</w:t>
      </w:r>
      <w:r>
        <w:rPr>
          <w:rFonts w:hint="eastAsia" w:ascii="宋体" w:hAnsi="宋体" w:cs="宋体"/>
          <w:bCs/>
          <w:sz w:val="24"/>
        </w:rPr>
        <w:t xml:space="preserve">采购人</w:t>
      </w:r>
      <w:r>
        <w:rPr>
          <w:rFonts w:ascii="宋体" w:hAnsi="宋体" w:cs="宋体"/>
          <w:bCs/>
          <w:sz w:val="24"/>
        </w:rPr>
        <w:t xml:space="preserve">可按</w:t>
      </w:r>
      <w:r>
        <w:rPr>
          <w:rFonts w:hint="eastAsia" w:ascii="宋体" w:hAnsi="宋体" w:cs="宋体"/>
          <w:bCs/>
          <w:sz w:val="24"/>
        </w:rPr>
        <w:t xml:space="preserve">中标人</w:t>
      </w:r>
      <w:r>
        <w:rPr>
          <w:rFonts w:ascii="宋体" w:hAnsi="宋体" w:cs="宋体"/>
          <w:bCs/>
          <w:sz w:val="24"/>
        </w:rPr>
        <w:t xml:space="preserve">申请返还保函原件，保函不计利息。</w:t>
      </w:r>
      <w:r/>
    </w:p>
    <w:p>
      <w:pPr>
        <w:pStyle w:val="1015"/>
        <w:numPr>
          <w:ilvl w:val="0"/>
          <w:numId w:val="14"/>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p>
    <w:p>
      <w:pPr>
        <w:pStyle w:val="1015"/>
        <w:numPr>
          <w:ilvl w:val="0"/>
          <w:numId w:val="18"/>
        </w:numPr>
        <w:spacing w:line="360" w:lineRule="auto"/>
        <w:tabs>
          <w:tab w:val="left" w:pos="900" w:leader="none"/>
        </w:tabs>
        <w:rPr>
          <w:rFonts w:hint="eastAsia"/>
          <w:b/>
          <w:bCs/>
          <w:sz w:val="24"/>
        </w:rPr>
      </w:pPr>
      <w:r>
        <w:rPr>
          <w:rFonts w:hint="eastAsia"/>
          <w:b/>
          <w:bCs/>
          <w:sz w:val="24"/>
        </w:rPr>
        <w:t xml:space="preserve">服务内容：</w:t>
      </w:r>
      <w:r/>
    </w:p>
    <w:p>
      <w:pPr>
        <w:pStyle w:val="1015"/>
        <w:ind w:firstLine="480"/>
        <w:spacing w:line="360" w:lineRule="auto"/>
        <w:tabs>
          <w:tab w:val="left" w:pos="900" w:leader="none"/>
        </w:tabs>
        <w:rPr>
          <w:b/>
          <w:bCs/>
          <w:sz w:val="24"/>
        </w:rPr>
      </w:pPr>
      <w:r>
        <w:rPr>
          <w:rFonts w:hint="eastAsia"/>
          <w:bCs/>
          <w:sz w:val="24"/>
        </w:rPr>
        <w:t xml:space="preserve">主要负责湖区、揽月路沿线相关地块芦苇定期收割、清运；西太湖湖面及沿湖岸线垃圾漂浮物（水葫芦、浮萍）打捞清理及现场环境常态化保洁养护工作，保障湖面水域干净整洁、沿岸环境规范有序，满足日常市容及水域生态管理要求。暂估芦苇收割面积约703亩，水葫芦、漂浮垃圾等打捞收运作业工作量约为300亩。包括岸坡、荷花周边的垃圾清运。</w:t>
      </w:r>
      <w:r/>
    </w:p>
    <w:p>
      <w:pPr>
        <w:pStyle w:val="1015"/>
        <w:numPr>
          <w:ilvl w:val="0"/>
          <w:numId w:val="18"/>
        </w:numPr>
        <w:spacing w:line="360" w:lineRule="auto"/>
        <w:tabs>
          <w:tab w:val="left" w:pos="900" w:leader="none"/>
        </w:tabs>
        <w:rPr>
          <w:rFonts w:hint="eastAsia"/>
          <w:b/>
          <w:bCs/>
          <w:sz w:val="24"/>
        </w:rPr>
      </w:pPr>
      <w:r>
        <w:rPr>
          <w:rFonts w:hint="eastAsia"/>
          <w:b/>
          <w:bCs/>
          <w:sz w:val="24"/>
        </w:rPr>
        <w:t xml:space="preserve">服务要求：</w:t>
      </w:r>
      <w:r/>
    </w:p>
    <w:p>
      <w:pPr>
        <w:numPr>
          <w:ilvl w:val="0"/>
          <w:numId w:val="19"/>
        </w:numPr>
        <w:spacing w:line="500" w:lineRule="exact"/>
        <w:rPr>
          <w:rFonts w:hint="eastAsia" w:ascii="宋体" w:hAnsi="宋体"/>
          <w:sz w:val="24"/>
        </w:rPr>
      </w:pPr>
      <w:r>
        <w:rPr>
          <w:rFonts w:hint="eastAsia" w:ascii="宋体" w:hAnsi="宋体"/>
          <w:sz w:val="24"/>
        </w:rPr>
        <w:t xml:space="preserve">芦苇收割标准</w:t>
      </w:r>
      <w:r/>
    </w:p>
    <w:p>
      <w:pPr>
        <w:ind w:firstLine="480"/>
        <w:spacing w:line="500" w:lineRule="exact"/>
        <w:rPr>
          <w:rFonts w:hint="eastAsia" w:ascii="宋体" w:hAnsi="宋体"/>
          <w:sz w:val="24"/>
        </w:rPr>
      </w:pPr>
      <w:r>
        <w:rPr>
          <w:rFonts w:hint="eastAsia" w:ascii="宋体" w:hAnsi="宋体"/>
          <w:sz w:val="24"/>
        </w:rPr>
        <w:t xml:space="preserve">芦苇收割根部留茬高度≤10cm；水面区域芦苇尽量低位收割，不得形成高茬阻碍水体流通。</w:t>
      </w:r>
      <w:r/>
    </w:p>
    <w:p>
      <w:pPr>
        <w:numPr>
          <w:ilvl w:val="0"/>
          <w:numId w:val="19"/>
        </w:numPr>
        <w:spacing w:line="500" w:lineRule="exact"/>
        <w:rPr>
          <w:rFonts w:hint="eastAsia" w:ascii="宋体" w:hAnsi="宋体"/>
          <w:sz w:val="24"/>
        </w:rPr>
      </w:pPr>
      <w:r>
        <w:rPr>
          <w:rFonts w:hint="eastAsia" w:ascii="宋体" w:hAnsi="宋体"/>
          <w:sz w:val="24"/>
        </w:rPr>
        <w:t xml:space="preserve">茭草、水葫芦清理</w:t>
      </w:r>
      <w:r/>
    </w:p>
    <w:p>
      <w:pPr>
        <w:ind w:firstLine="480"/>
        <w:spacing w:line="500" w:lineRule="exact"/>
        <w:rPr>
          <w:rFonts w:hint="eastAsia" w:ascii="宋体" w:hAnsi="宋体"/>
          <w:sz w:val="24"/>
        </w:rPr>
      </w:pPr>
      <w:r>
        <w:rPr>
          <w:rFonts w:hint="eastAsia" w:ascii="宋体" w:hAnsi="宋体"/>
          <w:sz w:val="24"/>
        </w:rPr>
        <w:t xml:space="preserve">茭草地上部分全部割除；水葫芦全面打捞，不得成片残留。</w:t>
      </w:r>
      <w:r/>
    </w:p>
    <w:p>
      <w:pPr>
        <w:numPr>
          <w:ilvl w:val="0"/>
          <w:numId w:val="19"/>
        </w:numPr>
        <w:spacing w:line="500" w:lineRule="exact"/>
        <w:rPr>
          <w:rFonts w:hint="eastAsia" w:ascii="宋体" w:hAnsi="宋体"/>
          <w:sz w:val="24"/>
        </w:rPr>
      </w:pPr>
      <w:r>
        <w:rPr>
          <w:rFonts w:hint="eastAsia" w:ascii="宋体" w:hAnsi="宋体"/>
          <w:sz w:val="24"/>
        </w:rPr>
        <w:t xml:space="preserve">清运处置硬性要求</w:t>
      </w:r>
      <w:r/>
    </w:p>
    <w:p>
      <w:pPr>
        <w:ind w:firstLine="480"/>
        <w:spacing w:line="500" w:lineRule="exact"/>
        <w:rPr>
          <w:rFonts w:hint="eastAsia" w:ascii="宋体" w:hAnsi="宋体"/>
          <w:b/>
          <w:bCs/>
          <w:sz w:val="24"/>
        </w:rPr>
      </w:pPr>
      <w:r>
        <w:rPr>
          <w:rFonts w:hint="eastAsia" w:ascii="宋体" w:hAnsi="宋体"/>
          <w:sz w:val="24"/>
        </w:rPr>
        <w:t xml:space="preserve">所有芦苇、茭草、水葫芦等收割打捞物全部清运出场，严禁就地堆放、抛入湖中、岸边暗藏遗留；处置责任由中标方全权承担，处置产生一切费用、环保责任由中标人负责。</w:t>
      </w:r>
      <w:r>
        <w:rPr>
          <w:rFonts w:ascii="宋体" w:hAnsi="宋体" w:cs="宋体"/>
          <w:b/>
          <w:bCs/>
          <w:sz w:val="24"/>
        </w:rPr>
        <w:t xml:space="preserve">蓝藻打捞季期间，蓝藻打捞指定区域范围内产生的水面漂浮物（芦苇、茭草、水葫芦、漂浮垃圾等），</w:t>
      </w:r>
      <w:r>
        <w:rPr>
          <w:rFonts w:hint="eastAsia" w:ascii="宋体" w:hAnsi="宋体" w:cs="宋体"/>
          <w:b/>
          <w:bCs/>
          <w:sz w:val="24"/>
        </w:rPr>
        <w:t xml:space="preserve">已</w:t>
      </w:r>
      <w:r>
        <w:rPr>
          <w:rFonts w:ascii="宋体" w:hAnsi="宋体" w:cs="宋体"/>
          <w:b/>
          <w:bCs/>
          <w:sz w:val="24"/>
        </w:rPr>
        <w:t xml:space="preserve">由蓝藻打捞服务单位打捞</w:t>
      </w:r>
      <w:r>
        <w:rPr>
          <w:rFonts w:hint="eastAsia" w:ascii="宋体" w:hAnsi="宋体" w:cs="宋体"/>
          <w:b/>
          <w:bCs/>
          <w:sz w:val="24"/>
        </w:rPr>
        <w:t xml:space="preserve">完成的，</w:t>
      </w:r>
      <w:r>
        <w:rPr>
          <w:rFonts w:ascii="宋体" w:hAnsi="宋体" w:cs="宋体"/>
          <w:b/>
          <w:bCs/>
          <w:sz w:val="24"/>
        </w:rPr>
        <w:t xml:space="preserve">该部分已完成的作业内容，本项目中标人无需重复实施作业。在本合同履约服务范围内</w:t>
      </w:r>
      <w:r>
        <w:rPr>
          <w:rFonts w:hint="eastAsia" w:ascii="宋体" w:hAnsi="宋体" w:cs="宋体"/>
          <w:b/>
          <w:bCs/>
          <w:sz w:val="24"/>
        </w:rPr>
        <w:t xml:space="preserve">（除</w:t>
      </w:r>
      <w:r>
        <w:rPr>
          <w:rFonts w:ascii="宋体" w:hAnsi="宋体" w:cs="宋体"/>
          <w:b/>
          <w:bCs/>
          <w:sz w:val="24"/>
        </w:rPr>
        <w:t xml:space="preserve">蓝藻打捞指定区域以外</w:t>
      </w:r>
      <w:r>
        <w:rPr>
          <w:rFonts w:hint="eastAsia" w:ascii="宋体" w:hAnsi="宋体" w:cs="宋体"/>
          <w:b/>
          <w:bCs/>
          <w:sz w:val="24"/>
        </w:rPr>
        <w:t xml:space="preserve">）</w:t>
      </w:r>
      <w:r>
        <w:rPr>
          <w:rFonts w:ascii="宋体" w:hAnsi="宋体" w:cs="宋体"/>
          <w:b/>
          <w:bCs/>
          <w:sz w:val="24"/>
        </w:rPr>
        <w:t xml:space="preserve">，</w:t>
      </w:r>
      <w:r>
        <w:rPr>
          <w:rFonts w:hint="eastAsia" w:ascii="宋体" w:hAnsi="宋体" w:cs="宋体"/>
          <w:b/>
          <w:bCs/>
          <w:sz w:val="24"/>
        </w:rPr>
        <w:t xml:space="preserve">中标人正常进行打捞作业，</w:t>
      </w:r>
      <w:r>
        <w:rPr>
          <w:rFonts w:ascii="宋体" w:hAnsi="宋体" w:cs="宋体"/>
          <w:b/>
          <w:bCs/>
          <w:sz w:val="24"/>
        </w:rPr>
        <w:t xml:space="preserve">蓝藻打捞季期间发生</w:t>
      </w:r>
      <w:r>
        <w:rPr>
          <w:rFonts w:hint="eastAsia" w:ascii="宋体" w:hAnsi="宋体" w:cs="宋体"/>
          <w:b/>
          <w:bCs/>
          <w:sz w:val="24"/>
        </w:rPr>
        <w:t xml:space="preserve">湖面垃圾打捞清运</w:t>
      </w:r>
      <w:r>
        <w:rPr>
          <w:rFonts w:ascii="宋体" w:hAnsi="宋体" w:cs="宋体"/>
          <w:b/>
          <w:bCs/>
          <w:sz w:val="24"/>
        </w:rPr>
        <w:t xml:space="preserve">服务费按中标</w:t>
      </w:r>
      <w:r>
        <w:rPr>
          <w:rFonts w:hint="eastAsia" w:ascii="宋体" w:hAnsi="宋体" w:cs="宋体"/>
          <w:b/>
          <w:bCs/>
          <w:sz w:val="24"/>
        </w:rPr>
        <w:t xml:space="preserve">人的</w:t>
      </w:r>
      <w:r>
        <w:rPr>
          <w:rFonts w:ascii="宋体" w:hAnsi="宋体" w:cs="宋体"/>
          <w:b/>
          <w:bCs/>
          <w:sz w:val="24"/>
        </w:rPr>
        <w:t xml:space="preserve">含税综合单价的 80% 予以结算。</w:t>
      </w:r>
      <w:r/>
    </w:p>
    <w:p>
      <w:pPr>
        <w:numPr>
          <w:ilvl w:val="0"/>
          <w:numId w:val="19"/>
        </w:numPr>
        <w:spacing w:line="500" w:lineRule="exact"/>
        <w:rPr>
          <w:rFonts w:hint="eastAsia" w:ascii="宋体" w:hAnsi="宋体"/>
          <w:sz w:val="24"/>
        </w:rPr>
      </w:pPr>
      <w:r>
        <w:rPr>
          <w:rFonts w:hint="eastAsia" w:ascii="宋体" w:hAnsi="宋体"/>
          <w:sz w:val="24"/>
        </w:rPr>
        <w:t xml:space="preserve">作业时序</w:t>
      </w:r>
      <w:r/>
    </w:p>
    <w:p>
      <w:pPr>
        <w:ind w:firstLine="480"/>
        <w:spacing w:line="500" w:lineRule="exact"/>
        <w:rPr>
          <w:rFonts w:hint="eastAsia" w:ascii="宋体" w:hAnsi="宋体"/>
          <w:sz w:val="24"/>
        </w:rPr>
      </w:pPr>
      <w:r>
        <w:rPr>
          <w:rFonts w:hint="eastAsia" w:ascii="宋体" w:hAnsi="宋体"/>
          <w:sz w:val="24"/>
        </w:rPr>
        <w:t xml:space="preserve">每年芦苇集中收割窗口期按照采购人统一调度安排；汛期、蓝藻易发时段同步配合开展水生杂草突击清理。</w:t>
      </w:r>
      <w:r/>
    </w:p>
    <w:p>
      <w:pPr>
        <w:numPr>
          <w:ilvl w:val="0"/>
          <w:numId w:val="19"/>
        </w:numPr>
        <w:spacing w:line="500" w:lineRule="exact"/>
        <w:rPr>
          <w:rFonts w:hint="eastAsia" w:ascii="宋体" w:hAnsi="宋体"/>
          <w:sz w:val="24"/>
        </w:rPr>
      </w:pPr>
      <w:r>
        <w:rPr>
          <w:rFonts w:hint="eastAsia" w:ascii="宋体" w:hAnsi="宋体"/>
          <w:sz w:val="24"/>
        </w:rPr>
        <w:t xml:space="preserve">配置项目负责人 1 名，全程统筹现场作业；配备足够作业班组，保障集中收割期按期完工。</w:t>
      </w:r>
      <w:r/>
    </w:p>
    <w:p>
      <w:pPr>
        <w:numPr>
          <w:ilvl w:val="0"/>
          <w:numId w:val="19"/>
        </w:numPr>
        <w:spacing w:line="500" w:lineRule="exact"/>
        <w:rPr>
          <w:rFonts w:hint="eastAsia" w:ascii="宋体" w:hAnsi="宋体"/>
          <w:sz w:val="24"/>
        </w:rPr>
      </w:pPr>
      <w:r>
        <w:rPr>
          <w:rFonts w:hint="eastAsia" w:ascii="宋体" w:hAnsi="宋体"/>
          <w:sz w:val="24"/>
        </w:rPr>
        <w:t xml:space="preserve">安全管理</w:t>
      </w:r>
      <w:r/>
    </w:p>
    <w:p>
      <w:pPr>
        <w:ind w:firstLine="480"/>
        <w:spacing w:line="500" w:lineRule="exact"/>
        <w:rPr>
          <w:rFonts w:hint="eastAsia" w:ascii="宋体" w:hAnsi="宋体"/>
          <w:sz w:val="24"/>
        </w:rPr>
      </w:pPr>
      <w:r>
        <w:rPr>
          <w:rFonts w:hint="eastAsia" w:ascii="宋体" w:hAnsi="宋体"/>
          <w:sz w:val="24"/>
        </w:rPr>
        <w:t xml:space="preserve">投标人须配备水上作业船只、救生装备；落实水上作业安全制度，承担作业期间人员伤亡、第三方财产损失全部责任；作业期间做好警示标识，避免影响航道、游客安全。</w:t>
      </w:r>
      <w:r/>
    </w:p>
    <w:p>
      <w:pPr>
        <w:numPr>
          <w:ilvl w:val="0"/>
          <w:numId w:val="19"/>
        </w:numPr>
        <w:spacing w:line="500" w:lineRule="exact"/>
        <w:rPr>
          <w:rFonts w:ascii="宋体" w:hAnsi="宋体"/>
          <w:sz w:val="24"/>
        </w:rPr>
      </w:pPr>
      <w:r>
        <w:rPr>
          <w:rFonts w:ascii="宋体" w:hAnsi="宋体"/>
          <w:sz w:val="24"/>
        </w:rPr>
        <w:t xml:space="preserve">环境保护</w:t>
      </w:r>
      <w:r/>
    </w:p>
    <w:p>
      <w:pPr>
        <w:ind w:firstLine="480"/>
        <w:spacing w:line="500" w:lineRule="exact"/>
        <w:rPr>
          <w:rFonts w:ascii="宋体" w:hAnsi="宋体"/>
          <w:sz w:val="24"/>
        </w:rPr>
      </w:pPr>
      <w:r>
        <w:rPr>
          <w:rFonts w:ascii="宋体" w:hAnsi="宋体"/>
          <w:sz w:val="24"/>
        </w:rPr>
        <w:t xml:space="preserve">收割后的植物残体要及时装车、船运走；植物残体处理应符合《中华人民共和国大气污染防治法》等法律法规的规定，严禁就地焚烧等违法行为；收割作业时不得破坏公共设施、绿化；对收割时遗留的垃圾及时清除。</w:t>
      </w:r>
      <w:r/>
    </w:p>
    <w:p>
      <w:pPr>
        <w:numPr>
          <w:ilvl w:val="0"/>
          <w:numId w:val="19"/>
        </w:numPr>
        <w:spacing w:line="500" w:lineRule="exact"/>
        <w:rPr>
          <w:rFonts w:ascii="宋体" w:hAnsi="宋体"/>
          <w:sz w:val="24"/>
        </w:rPr>
      </w:pPr>
      <w:r>
        <w:rPr>
          <w:rFonts w:ascii="宋体" w:hAnsi="宋体"/>
          <w:sz w:val="24"/>
        </w:rPr>
        <w:t xml:space="preserve">验收标准：</w:t>
      </w:r>
      <w:r>
        <w:rPr>
          <w:rFonts w:hint="eastAsia" w:ascii="宋体" w:hAnsi="宋体"/>
          <w:sz w:val="24"/>
        </w:rPr>
        <w:t xml:space="preserve">以采购人组织验收小组实测为准。</w:t>
      </w:r>
      <w:r>
        <w:rPr>
          <w:rFonts w:ascii="宋体" w:hAnsi="宋体"/>
          <w:sz w:val="24"/>
        </w:rPr>
        <w:t xml:space="preserve">验收不合格的无条件返工验收至合格。</w:t>
      </w:r>
      <w:r/>
    </w:p>
    <w:p>
      <w:pPr>
        <w:numPr>
          <w:ilvl w:val="0"/>
          <w:numId w:val="19"/>
        </w:numPr>
        <w:spacing w:line="500" w:lineRule="exact"/>
        <w:rPr>
          <w:rFonts w:ascii="宋体" w:hAnsi="宋体"/>
          <w:sz w:val="24"/>
        </w:rPr>
      </w:pPr>
      <w:r>
        <w:rPr>
          <w:rFonts w:ascii="宋体" w:hAnsi="宋体"/>
          <w:sz w:val="24"/>
        </w:rPr>
        <w:t xml:space="preserve">投标单位严格遵循</w:t>
      </w:r>
      <w:r>
        <w:rPr>
          <w:rFonts w:hint="eastAsia" w:ascii="宋体" w:hAnsi="宋体"/>
          <w:sz w:val="24"/>
        </w:rPr>
        <w:t xml:space="preserve">采购人</w:t>
      </w:r>
      <w:r>
        <w:rPr>
          <w:rFonts w:ascii="宋体" w:hAnsi="宋体"/>
          <w:sz w:val="24"/>
        </w:rPr>
        <w:t xml:space="preserve">指令开展管护工作。</w:t>
      </w:r>
      <w:r>
        <w:rPr>
          <w:rFonts w:hint="eastAsia" w:ascii="宋体" w:hAnsi="宋体"/>
          <w:sz w:val="24"/>
        </w:rPr>
        <w:t xml:space="preserve">采购人</w:t>
      </w:r>
      <w:r>
        <w:rPr>
          <w:rFonts w:ascii="宋体" w:hAnsi="宋体"/>
          <w:sz w:val="24"/>
        </w:rPr>
        <w:t xml:space="preserve">有权管护区域面积进行</w:t>
      </w:r>
      <w:r>
        <w:rPr>
          <w:rFonts w:hint="eastAsia" w:ascii="宋体" w:hAnsi="宋体"/>
          <w:sz w:val="24"/>
        </w:rPr>
        <w:t xml:space="preserve">适当的</w:t>
      </w:r>
      <w:r>
        <w:rPr>
          <w:rFonts w:ascii="宋体" w:hAnsi="宋体"/>
          <w:sz w:val="24"/>
        </w:rPr>
        <w:t xml:space="preserve">调整，投标单位无条件接受</w:t>
      </w:r>
      <w:r>
        <w:rPr>
          <w:rFonts w:hint="eastAsia" w:ascii="宋体" w:hAnsi="宋体"/>
          <w:sz w:val="24"/>
        </w:rPr>
        <w:t xml:space="preserve">。</w:t>
      </w:r>
      <w:r/>
    </w:p>
    <w:p>
      <w:pPr>
        <w:ind w:firstLine="480"/>
        <w:spacing w:line="360" w:lineRule="auto"/>
        <w:rPr>
          <w:rFonts w:hint="eastAsia" w:ascii="宋体" w:hAnsi="宋体" w:cs="等线"/>
          <w:sz w:val="24"/>
        </w:rPr>
      </w:pPr>
      <w:r>
        <w:rPr>
          <w:rFonts w:hint="eastAsia" w:ascii="宋体" w:hAnsi="宋体" w:cs="等线"/>
          <w:sz w:val="24"/>
        </w:rPr>
      </w:r>
      <w:r/>
    </w:p>
    <w:p>
      <w:pPr>
        <w:ind w:firstLine="480"/>
        <w:spacing w:line="360" w:lineRule="auto"/>
        <w:rPr>
          <w:rFonts w:hint="eastAsia" w:ascii="宋体" w:hAnsi="宋体" w:cs="等线"/>
          <w:sz w:val="24"/>
        </w:rPr>
      </w:pPr>
      <w:r>
        <w:rPr>
          <w:rFonts w:hint="eastAsia" w:ascii="宋体" w:hAnsi="宋体" w:cs="等线"/>
          <w:sz w:val="24"/>
        </w:rPr>
      </w:r>
      <w:r/>
    </w:p>
    <w:p>
      <w:pPr>
        <w:ind w:firstLine="480"/>
        <w:spacing w:line="360" w:lineRule="auto"/>
        <w:rPr>
          <w:rFonts w:hint="eastAsia" w:ascii="宋体" w:hAnsi="宋体" w:cs="等线"/>
          <w:sz w:val="24"/>
        </w:rPr>
      </w:pPr>
      <w:r>
        <w:rPr>
          <w:rFonts w:hint="eastAsia" w:ascii="宋体" w:hAnsi="宋体" w:cs="等线"/>
          <w:sz w:val="24"/>
        </w:rPr>
      </w:r>
      <w:r/>
    </w:p>
    <w:p>
      <w:pPr>
        <w:ind w:firstLine="480"/>
        <w:spacing w:line="360" w:lineRule="auto"/>
        <w:rPr>
          <w:rFonts w:hint="eastAsia" w:ascii="宋体" w:hAnsi="宋体" w:cs="等线"/>
          <w:sz w:val="24"/>
        </w:rPr>
      </w:pPr>
      <w:r>
        <w:rPr>
          <w:rFonts w:hint="eastAsia" w:ascii="宋体" w:hAnsi="宋体" w:cs="等线"/>
          <w:sz w:val="24"/>
        </w:rPr>
        <w:br w:type="page" w:clear="all"/>
      </w:r>
      <w:r/>
    </w:p>
    <w:p>
      <w:pPr>
        <w:spacing w:line="360" w:lineRule="auto"/>
        <w:rPr>
          <w:rFonts w:hint="eastAsia" w:ascii="等线" w:hAnsi="等线" w:cs="等线"/>
          <w:szCs w:val="21"/>
        </w:rPr>
      </w:pPr>
      <w:r/>
      <w:bookmarkStart w:id="813" w:name="_Toc99301425"/>
      <w:r>
        <w:rPr>
          <w:rFonts w:hint="eastAsia" w:ascii="等线" w:hAnsi="等线" w:cs="等线"/>
          <w:sz w:val="28"/>
          <w:szCs w:val="28"/>
        </w:rPr>
        <w:t xml:space="preserve">附件</w:t>
      </w:r>
      <w:r>
        <w:rPr>
          <w:rFonts w:hint="eastAsia" w:ascii="等线" w:hAnsi="等线" w:cs="等线"/>
          <w:szCs w:val="21"/>
        </w:rPr>
        <w:t xml:space="preserve">：</w:t>
      </w:r>
      <w:r/>
    </w:p>
    <w:p>
      <w:pPr>
        <w:jc w:val="center"/>
        <w:spacing w:line="360" w:lineRule="auto"/>
        <w:rPr>
          <w:rFonts w:ascii="等线" w:hAnsi="等线" w:cs="等线"/>
          <w:szCs w:val="21"/>
        </w:rPr>
      </w:pPr>
      <w:r>
        <w:rPr>
          <w:rFonts w:hint="eastAsia" w:ascii="等线" w:hAnsi="等线" w:cs="等线"/>
          <w:b/>
          <w:bCs/>
          <w:sz w:val="24"/>
        </w:rPr>
        <w:t xml:space="preserve">西太湖2026年-2029年沿湖片区芦苇收割(湖区垃圾清理服务)项目考核办法</w:t>
      </w:r>
      <w:r/>
    </w:p>
    <w:p>
      <w:pPr>
        <w:pStyle w:val="1015"/>
        <w:ind w:left="420" w:firstLine="0"/>
        <w:spacing w:line="360" w:lineRule="auto"/>
        <w:tabs>
          <w:tab w:val="left" w:pos="900" w:leader="none"/>
        </w:tabs>
        <w:rPr>
          <w:rFonts w:hint="eastAsia"/>
          <w:sz w:val="24"/>
        </w:rPr>
      </w:pPr>
      <w:r>
        <w:rPr>
          <w:rFonts w:hint="eastAsia"/>
          <w:sz w:val="24"/>
        </w:rPr>
        <w:t xml:space="preserve">一、湖区芦苇收割作业考核办法</w:t>
      </w:r>
      <w:r/>
    </w:p>
    <w:tbl>
      <w:tblPr>
        <w:tblStyle w:val="765"/>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528"/>
        <w:gridCol w:w="851"/>
        <w:gridCol w:w="1134"/>
      </w:tblGrid>
      <w:tr>
        <w:trPr>
          <w:jc w:val="center"/>
          <w:trHeight w:val="743"/>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序号</w:t>
            </w:r>
            <w:r/>
          </w:p>
        </w:tc>
        <w:tc>
          <w:tcPr>
            <w:tcW w:w="5528" w:type="dxa"/>
            <w:vAlign w:val="center"/>
            <w:textDirection w:val="lrTb"/>
            <w:noWrap w:val="false"/>
          </w:tcPr>
          <w:p>
            <w:pPr>
              <w:jc w:val="center"/>
              <w:spacing w:line="360" w:lineRule="auto"/>
              <w:rPr>
                <w:rFonts w:ascii="宋体" w:hAnsi="宋体"/>
                <w:bCs/>
                <w:sz w:val="24"/>
              </w:rPr>
            </w:pPr>
            <w:r>
              <w:rPr>
                <w:rFonts w:ascii="宋体" w:hAnsi="宋体"/>
                <w:bCs/>
                <w:sz w:val="24"/>
              </w:rPr>
              <w:t xml:space="preserve">考核内容</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分值</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t xml:space="preserve">得分</w:t>
            </w:r>
            <w:r/>
          </w:p>
        </w:tc>
      </w:tr>
      <w:tr>
        <w:trPr>
          <w:jc w:val="center"/>
          <w:trHeight w:val="848"/>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服从甲方管理，根据实际情况制定湿地植物收割管护实施方案及收割时间安排表、人员值勤表。</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10</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704"/>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2</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开展湿地植物收割作业及安全培训，及时采集工作照片。</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603"/>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3</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冬季芦苇等湿地植物按规定及时收割，面积达到甲方规定数量。</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15</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90"/>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4</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芦苇收割要求割到根部（不能超过水面或泥土10公分），茭草（地上部分）应割尽收清。</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15</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965"/>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5</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收割后芦苇及其它植物残体由承割方负责清运处理，不得遗存于甲方区域内，做到无遗留，无暗藏，遗留垃圾及时清除。</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10</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742"/>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6</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安全施工、文明施工，收割点处要设置警示标志，及时消除安全生产事故隐患，做好防溺水、防火、防电、防伤等 防控措施，确保收割无事故发生。</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20</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891"/>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7</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为作业人员购买人身意外伤害保险。</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743"/>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8</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做好收割台帐，资料完善，数据详实。</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743"/>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9</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收割工具配置到位（船艇、收割机等）。</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5</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jc w:val="center"/>
          <w:trHeight w:val="680"/>
        </w:trPr>
        <w:tc>
          <w:tcPr>
            <w:tcW w:w="817"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10</w:t>
            </w:r>
            <w:r/>
          </w:p>
        </w:tc>
        <w:tc>
          <w:tcPr>
            <w:tcW w:w="5528" w:type="dxa"/>
            <w:vAlign w:val="center"/>
            <w:textDirection w:val="lrTb"/>
            <w:noWrap w:val="false"/>
          </w:tcPr>
          <w:p>
            <w:pPr>
              <w:jc w:val="left"/>
              <w:spacing w:line="360" w:lineRule="auto"/>
              <w:rPr>
                <w:rFonts w:ascii="宋体" w:hAnsi="宋体"/>
                <w:bCs/>
                <w:sz w:val="24"/>
              </w:rPr>
            </w:pPr>
            <w:r>
              <w:rPr>
                <w:rFonts w:ascii="宋体" w:hAnsi="宋体"/>
                <w:bCs/>
                <w:sz w:val="24"/>
              </w:rPr>
              <w:t xml:space="preserve">严禁就地焚烧等违法行为，收割作业时不得破坏公共设施、绿化。</w:t>
            </w:r>
            <w:r/>
          </w:p>
        </w:tc>
        <w:tc>
          <w:tcPr>
            <w:tcW w:w="851" w:type="dxa"/>
            <w:vAlign w:val="center"/>
            <w:textDirection w:val="lrTb"/>
            <w:noWrap w:val="false"/>
          </w:tcPr>
          <w:p>
            <w:pPr>
              <w:jc w:val="center"/>
              <w:spacing w:line="360" w:lineRule="auto"/>
              <w:rPr>
                <w:rFonts w:ascii="宋体" w:hAnsi="宋体"/>
                <w:bCs/>
                <w:sz w:val="24"/>
              </w:rPr>
            </w:pPr>
            <w:r>
              <w:rPr>
                <w:rFonts w:ascii="宋体" w:hAnsi="宋体"/>
                <w:bCs/>
                <w:sz w:val="24"/>
              </w:rPr>
              <w:t xml:space="preserve">10</w:t>
            </w:r>
            <w:r/>
          </w:p>
        </w:tc>
        <w:tc>
          <w:tcPr>
            <w:tcW w:w="1134" w:type="dxa"/>
            <w:vAlign w:val="center"/>
            <w:textDirection w:val="lrTb"/>
            <w:noWrap w:val="false"/>
          </w:tcPr>
          <w:p>
            <w:pPr>
              <w:jc w:val="center"/>
              <w:spacing w:line="360" w:lineRule="auto"/>
              <w:rPr>
                <w:rFonts w:ascii="宋体" w:hAnsi="宋体"/>
                <w:bCs/>
                <w:sz w:val="24"/>
              </w:rPr>
            </w:pPr>
            <w:r>
              <w:rPr>
                <w:rFonts w:ascii="宋体" w:hAnsi="宋体"/>
                <w:bCs/>
                <w:sz w:val="24"/>
              </w:rPr>
            </w:r>
            <w:r/>
          </w:p>
        </w:tc>
      </w:tr>
    </w:tbl>
    <w:p>
      <w:pPr>
        <w:pStyle w:val="1015"/>
        <w:ind w:left="420" w:firstLine="0"/>
        <w:spacing w:line="360" w:lineRule="auto"/>
        <w:tabs>
          <w:tab w:val="left" w:pos="900" w:leader="none"/>
        </w:tabs>
        <w:rPr>
          <w:b/>
          <w:bCs/>
          <w:sz w:val="24"/>
        </w:rPr>
      </w:pPr>
      <w:r>
        <w:rPr>
          <w:b/>
          <w:bCs/>
          <w:sz w:val="24"/>
        </w:rPr>
      </w:r>
      <w:r/>
    </w:p>
    <w:p>
      <w:pPr>
        <w:jc w:val="left"/>
        <w:spacing w:line="360" w:lineRule="auto"/>
        <w:rPr>
          <w:rFonts w:hint="eastAsia"/>
          <w:sz w:val="24"/>
        </w:rPr>
      </w:pPr>
      <w:r>
        <w:rPr>
          <w:rFonts w:hint="eastAsia"/>
          <w:b/>
          <w:sz w:val="28"/>
          <w:szCs w:val="28"/>
        </w:rPr>
        <w:br w:type="page" w:clear="all"/>
      </w:r>
      <w:r>
        <w:rPr>
          <w:rFonts w:hint="eastAsia"/>
          <w:b/>
          <w:sz w:val="24"/>
        </w:rPr>
        <w:t xml:space="preserve">二、</w:t>
      </w:r>
      <w:r>
        <w:rPr>
          <w:rFonts w:hint="eastAsia"/>
          <w:sz w:val="24"/>
        </w:rPr>
        <w:t xml:space="preserve">湖区垃圾清理考核办法</w:t>
      </w:r>
      <w:r/>
    </w:p>
    <w:tbl>
      <w:tblPr>
        <w:tblStyle w:val="765"/>
        <w:tblW w:w="10125" w:type="dxa"/>
        <w:jc w:val="center"/>
        <w:tblLayout w:type="fixed"/>
        <w:tblCellMar>
          <w:left w:w="108" w:type="dxa"/>
          <w:top w:w="0" w:type="dxa"/>
          <w:right w:w="108" w:type="dxa"/>
          <w:bottom w:w="0" w:type="dxa"/>
        </w:tblCellMar>
        <w:tblLook w:val="04A0" w:firstRow="1" w:lastRow="0" w:firstColumn="1" w:lastColumn="0" w:noHBand="0" w:noVBand="1"/>
      </w:tblPr>
      <w:tblGrid>
        <w:gridCol w:w="660"/>
        <w:gridCol w:w="7118"/>
        <w:gridCol w:w="1102"/>
        <w:gridCol w:w="1245"/>
      </w:tblGrid>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得分</w:t>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服从甲方管理，结合季节、湖面漂浮物爆发规律制定打捞清理实施方案、作业计划、人员排班值守表，按甲方指令开展应急打捞处置。</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定期开展打捞作业、水上作业安全培训，做好作业影像留存，及时报送工作照片、作业记录。</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按要求开展湖面、沿湖岸线水葫芦、浮萍、漂浮垃圾巡回打捞清理，重点区域做到及时处置，完成服务周期约定打捞作业工作量。</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水面、岸滩水葫芦、浮萍、漂浮垃圾打捞彻底，岸线边角、芦苇丛边缘、码头、湾汊等死角不得大面积堆积留存；水面无成片漂浮聚集。</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打捞上岸的水葫芦、浮萍、漂浮垃圾全部由中标人负责清运处置，不得就地堆放、倾倒、抛回湖区，作业区域做到垃圾清零。</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水上安全、文明作业；作业船舶、打捞点位按要求设置安全警示标识；落实防溺水、防火、船舶航行安全等防护措施，杜绝安全生产责任事故。</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为全部水上作业人员购买足额人身意外伤害保险。</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建立打捞作业台账，做好每日作业记录、处置点位、作业量统计，台账资料完整、数据真实详实。</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打捞作业设备配置到位，打捞船、接驳船、收集工具、转运设备满足湖面应急及日常打捞作业需求。</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90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118" w:type="dxa"/>
            <w:vAlign w:val="center"/>
            <w:textDirection w:val="lrTb"/>
            <w:noWrap w:val="false"/>
          </w:tcPr>
          <w:p>
            <w:pPr>
              <w:jc w:val="left"/>
              <w:widowControl/>
              <w:rPr>
                <w:rFonts w:hint="eastAsia" w:ascii="宋体" w:hAnsi="宋体" w:cs="宋体"/>
                <w:sz w:val="24"/>
              </w:rPr>
            </w:pPr>
            <w:r>
              <w:rPr>
                <w:rFonts w:hint="eastAsia" w:ascii="宋体" w:hAnsi="宋体" w:cs="宋体"/>
                <w:sz w:val="24"/>
                <w:lang w:bidi="ar"/>
              </w:rPr>
              <w:t xml:space="preserve">作业过程不得损坏湖岸设施、绿化、湿地植被，严禁将打捞废弃物就地焚烧、就地填埋等违规行为。</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widowControl/>
              <w:rPr>
                <w:rFonts w:hint="eastAsia" w:ascii="宋体" w:hAnsi="宋体" w:cs="宋体"/>
                <w:sz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hint="eastAsia" w:ascii="宋体" w:hAnsi="宋体" w:cs="宋体"/>
                <w:sz w:val="24"/>
              </w:rPr>
            </w:pPr>
            <w:r>
              <w:rPr>
                <w:rFonts w:hint="eastAsia" w:ascii="宋体" w:hAnsi="宋体" w:cs="宋体"/>
                <w:sz w:val="24"/>
              </w:rPr>
            </w:r>
            <w:r/>
          </w:p>
        </w:tc>
      </w:tr>
    </w:tbl>
    <w:p>
      <w:pPr>
        <w:jc w:val="left"/>
        <w:spacing w:line="360" w:lineRule="auto"/>
        <w:rPr>
          <w:sz w:val="24"/>
        </w:rPr>
      </w:pPr>
      <w:r>
        <w:rPr>
          <w:sz w:val="24"/>
        </w:rPr>
      </w:r>
      <w:r/>
    </w:p>
    <w:p>
      <w:pPr>
        <w:jc w:val="center"/>
        <w:spacing w:line="360" w:lineRule="auto"/>
        <w:rPr>
          <w:b/>
          <w:sz w:val="36"/>
          <w:szCs w:val="36"/>
        </w:rPr>
        <w:outlineLvl w:val="0"/>
      </w:pPr>
      <w:r>
        <w:rPr>
          <w:b/>
          <w:sz w:val="36"/>
          <w:szCs w:val="36"/>
        </w:rPr>
        <w:br w:type="page" w:clear="all"/>
      </w:r>
      <w:r>
        <w:rPr>
          <w:b/>
          <w:sz w:val="36"/>
          <w:szCs w:val="36"/>
        </w:rPr>
        <w:t xml:space="preserve">第六章   拟签订的合同文本</w:t>
      </w:r>
      <w:bookmarkEnd w:id="813"/>
      <w:r/>
      <w:r/>
    </w:p>
    <w:p>
      <w:pPr>
        <w:jc w:val="center"/>
        <w:spacing w:line="360" w:lineRule="auto"/>
        <w:tabs>
          <w:tab w:val="left" w:pos="900" w:leader="none"/>
          <w:tab w:val="left" w:pos="1080" w:leader="none"/>
        </w:tabs>
        <w:rPr>
          <w:rFonts w:hint="eastAsia"/>
          <w:b/>
          <w:bCs/>
          <w:sz w:val="40"/>
          <w:szCs w:val="40"/>
        </w:rPr>
      </w:pPr>
      <w:r>
        <w:rPr>
          <w:rFonts w:hint="eastAsia"/>
          <w:b/>
          <w:bCs/>
          <w:sz w:val="40"/>
          <w:szCs w:val="40"/>
        </w:rPr>
      </w:r>
      <w:r/>
    </w:p>
    <w:p>
      <w:pPr>
        <w:jc w:val="center"/>
        <w:spacing w:line="360" w:lineRule="auto"/>
        <w:tabs>
          <w:tab w:val="left" w:pos="900" w:leader="none"/>
          <w:tab w:val="left" w:pos="1080" w:leader="none"/>
        </w:tabs>
        <w:rPr>
          <w:rFonts w:hint="eastAsia"/>
          <w:b/>
          <w:bCs/>
          <w:sz w:val="40"/>
          <w:szCs w:val="40"/>
        </w:rPr>
      </w:pPr>
      <w:r>
        <w:rPr>
          <w:rFonts w:hint="eastAsia"/>
          <w:b/>
          <w:bCs/>
          <w:sz w:val="40"/>
          <w:szCs w:val="40"/>
        </w:rPr>
      </w:r>
      <w:r/>
    </w:p>
    <w:p>
      <w:pPr>
        <w:jc w:val="center"/>
        <w:spacing w:line="360" w:lineRule="auto"/>
        <w:tabs>
          <w:tab w:val="left" w:pos="900" w:leader="none"/>
          <w:tab w:val="left" w:pos="1080" w:leader="none"/>
        </w:tabs>
        <w:rPr>
          <w:rFonts w:hint="eastAsia"/>
          <w:b/>
          <w:bCs/>
          <w:sz w:val="40"/>
          <w:szCs w:val="40"/>
        </w:rPr>
      </w:pPr>
      <w:r>
        <w:rPr>
          <w:rFonts w:hint="eastAsia"/>
          <w:b/>
          <w:bCs/>
          <w:sz w:val="40"/>
          <w:szCs w:val="40"/>
        </w:rPr>
        <w:t xml:space="preserve">西太湖2026年-2029年沿湖片区</w:t>
      </w:r>
      <w:r/>
    </w:p>
    <w:p>
      <w:pPr>
        <w:jc w:val="center"/>
        <w:spacing w:line="360" w:lineRule="auto"/>
        <w:tabs>
          <w:tab w:val="left" w:pos="900" w:leader="none"/>
          <w:tab w:val="left" w:pos="1080" w:leader="none"/>
        </w:tabs>
        <w:rPr>
          <w:rFonts w:hint="eastAsia"/>
          <w:b/>
          <w:bCs/>
          <w:sz w:val="40"/>
          <w:szCs w:val="40"/>
        </w:rPr>
      </w:pPr>
      <w:r>
        <w:rPr>
          <w:rFonts w:hint="eastAsia"/>
          <w:b/>
          <w:bCs/>
          <w:sz w:val="40"/>
          <w:szCs w:val="40"/>
        </w:rPr>
        <w:t xml:space="preserve">芦苇收割(湖区垃圾清理服务)项目</w:t>
      </w:r>
      <w:r/>
    </w:p>
    <w:p>
      <w:pPr>
        <w:jc w:val="center"/>
        <w:spacing w:line="360" w:lineRule="auto"/>
        <w:tabs>
          <w:tab w:val="left" w:pos="900" w:leader="none"/>
          <w:tab w:val="left" w:pos="1080" w:leader="none"/>
        </w:tabs>
        <w:rPr>
          <w:rFonts w:hint="eastAsia"/>
          <w:b/>
          <w:bCs/>
          <w:sz w:val="112"/>
          <w:szCs w:val="112"/>
        </w:rPr>
      </w:pPr>
      <w:r>
        <w:rPr>
          <w:rFonts w:hint="eastAsia"/>
          <w:b/>
          <w:bCs/>
          <w:sz w:val="112"/>
          <w:szCs w:val="112"/>
        </w:rPr>
        <w:t xml:space="preserve">合</w:t>
      </w:r>
      <w:r/>
    </w:p>
    <w:p>
      <w:pPr>
        <w:jc w:val="center"/>
        <w:spacing w:line="360" w:lineRule="auto"/>
        <w:tabs>
          <w:tab w:val="left" w:pos="900" w:leader="none"/>
          <w:tab w:val="left" w:pos="1080" w:leader="none"/>
        </w:tabs>
        <w:rPr>
          <w:rFonts w:hint="eastAsia"/>
          <w:b/>
          <w:bCs/>
          <w:sz w:val="112"/>
          <w:szCs w:val="112"/>
        </w:rPr>
      </w:pPr>
      <w:r>
        <w:rPr>
          <w:rFonts w:hint="eastAsia"/>
          <w:b/>
          <w:bCs/>
          <w:sz w:val="112"/>
          <w:szCs w:val="112"/>
        </w:rPr>
        <w:t xml:space="preserve">同</w:t>
      </w:r>
      <w:r/>
    </w:p>
    <w:p>
      <w:pPr>
        <w:jc w:val="center"/>
        <w:spacing w:line="360" w:lineRule="auto"/>
        <w:tabs>
          <w:tab w:val="left" w:pos="900" w:leader="none"/>
          <w:tab w:val="left" w:pos="1080" w:leader="none"/>
        </w:tabs>
        <w:rPr>
          <w:rFonts w:hint="eastAsia"/>
          <w:b/>
          <w:bCs/>
          <w:sz w:val="112"/>
          <w:szCs w:val="112"/>
        </w:rPr>
      </w:pPr>
      <w:r>
        <w:rPr>
          <w:rFonts w:hint="eastAsia"/>
          <w:b/>
          <w:bCs/>
          <w:sz w:val="112"/>
          <w:szCs w:val="112"/>
        </w:rPr>
        <w:t xml:space="preserve">书</w:t>
      </w:r>
      <w:r/>
    </w:p>
    <w:p>
      <w:pPr>
        <w:jc w:val="left"/>
        <w:spacing w:line="360" w:lineRule="auto"/>
        <w:tabs>
          <w:tab w:val="left" w:pos="900" w:leader="none"/>
          <w:tab w:val="left" w:pos="1080" w:leader="none"/>
        </w:tabs>
        <w:rPr>
          <w:rFonts w:hint="eastAsia"/>
          <w:b/>
          <w:bCs/>
          <w:sz w:val="36"/>
          <w:szCs w:val="36"/>
        </w:rPr>
      </w:pPr>
      <w:r>
        <w:rPr>
          <w:rFonts w:hint="eastAsia"/>
          <w:b/>
          <w:bCs/>
          <w:sz w:val="36"/>
          <w:szCs w:val="36"/>
        </w:rPr>
        <w:t xml:space="preserve">采购人（甲方）：</w:t>
      </w:r>
      <w:r>
        <w:rPr>
          <w:rFonts w:hint="eastAsia"/>
          <w:b/>
          <w:bCs/>
          <w:sz w:val="36"/>
          <w:szCs w:val="36"/>
          <w:u w:val="single"/>
        </w:rPr>
        <w:t xml:space="preserve">常州市武进区西湖街道办事处</w:t>
      </w:r>
      <w:r/>
    </w:p>
    <w:p>
      <w:pPr>
        <w:jc w:val="left"/>
        <w:spacing w:line="360" w:lineRule="auto"/>
        <w:tabs>
          <w:tab w:val="left" w:pos="900" w:leader="none"/>
          <w:tab w:val="left" w:pos="1080" w:leader="none"/>
        </w:tabs>
        <w:rPr>
          <w:b/>
          <w:bCs/>
          <w:sz w:val="36"/>
          <w:szCs w:val="36"/>
        </w:rPr>
      </w:pPr>
      <w:r>
        <w:rPr>
          <w:rFonts w:hint="eastAsia"/>
          <w:b/>
          <w:bCs/>
          <w:sz w:val="36"/>
          <w:szCs w:val="36"/>
        </w:rPr>
        <w:t xml:space="preserve">供应商（乙方）：</w:t>
      </w:r>
      <w:r>
        <w:rPr>
          <w:rFonts w:hint="eastAsia"/>
          <w:b/>
          <w:bCs/>
          <w:sz w:val="36"/>
          <w:szCs w:val="36"/>
          <w:u w:val="single"/>
        </w:rPr>
        <w:t xml:space="preserve">                          </w:t>
      </w:r>
      <w:r>
        <w:rPr>
          <w:rFonts w:hint="eastAsia"/>
          <w:b/>
          <w:bCs/>
          <w:sz w:val="36"/>
          <w:szCs w:val="36"/>
        </w:rPr>
        <w:t xml:space="preserve"> </w:t>
      </w:r>
      <w:r/>
    </w:p>
    <w:p>
      <w:pPr>
        <w:jc w:val="center"/>
        <w:spacing w:line="360" w:lineRule="auto"/>
        <w:tabs>
          <w:tab w:val="left" w:pos="900" w:leader="none"/>
          <w:tab w:val="left" w:pos="1080" w:leader="none"/>
        </w:tabs>
        <w:rPr>
          <w:b/>
          <w:bCs/>
          <w:sz w:val="36"/>
          <w:szCs w:val="36"/>
        </w:rPr>
      </w:pPr>
      <w:r>
        <w:rPr>
          <w:rFonts w:hint="eastAsia"/>
          <w:b/>
          <w:bCs/>
          <w:sz w:val="36"/>
          <w:szCs w:val="36"/>
          <w:u w:val="single"/>
        </w:rPr>
        <w:t xml:space="preserve">2026年    月</w:t>
      </w:r>
      <w:r/>
    </w:p>
    <w:p>
      <w:pPr>
        <w:ind w:firstLine="480"/>
        <w:spacing w:line="360" w:lineRule="auto"/>
        <w:rPr>
          <w:rFonts w:hint="eastAsia" w:ascii="宋体" w:hAnsi="宋体" w:cs="宋体"/>
          <w:bCs/>
          <w:sz w:val="24"/>
          <w:lang w:val="zh-CN"/>
        </w:rPr>
      </w:pPr>
      <w:r>
        <w:rPr>
          <w:rFonts w:hint="eastAsia" w:ascii="宋体" w:hAnsi="宋体" w:cs="宋体"/>
          <w:b/>
          <w:sz w:val="24"/>
          <w:lang w:val="zh-CN"/>
        </w:rPr>
        <w:br w:type="page" w:clear="all"/>
      </w:r>
      <w:bookmarkStart w:id="814" w:name="_Hlt16619369"/>
      <w:r/>
      <w:bookmarkEnd w:id="814"/>
      <w:r>
        <w:rPr>
          <w:rFonts w:hint="eastAsia" w:ascii="宋体" w:hAnsi="宋体" w:cs="宋体"/>
          <w:bCs/>
          <w:sz w:val="24"/>
          <w:lang w:val="zh-CN"/>
        </w:rPr>
        <w:t xml:space="preserve">甲  方：</w:t>
      </w:r>
      <w:r>
        <w:rPr>
          <w:rFonts w:hint="eastAsia" w:ascii="宋体" w:hAnsi="宋体" w:cs="宋体"/>
          <w:bCs/>
          <w:sz w:val="24"/>
          <w:u w:val="single"/>
          <w:lang w:val="zh-CN"/>
        </w:rPr>
        <w:t xml:space="preserve">常州市武进区西湖街道办事处</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乙  方：</w:t>
      </w:r>
      <w:r>
        <w:rPr>
          <w:rFonts w:hint="eastAsia" w:ascii="宋体" w:hAnsi="宋体" w:cs="宋体"/>
          <w:bCs/>
          <w:sz w:val="24"/>
          <w:u w:val="single"/>
        </w:rPr>
        <w:t xml:space="preserve">                       </w:t>
      </w:r>
      <w:r/>
    </w:p>
    <w:p>
      <w:pPr>
        <w:ind w:firstLine="480"/>
        <w:spacing w:line="360" w:lineRule="auto"/>
        <w:rPr>
          <w:rFonts w:hint="eastAsia" w:ascii="宋体" w:hAnsi="宋体" w:cs="宋体"/>
          <w:bCs/>
          <w:sz w:val="24"/>
          <w:u w:val="single"/>
          <w:lang w:val="zh-CN"/>
        </w:rPr>
      </w:pPr>
      <w:r>
        <w:rPr>
          <w:rFonts w:hint="eastAsia" w:ascii="宋体" w:hAnsi="宋体" w:cs="宋体"/>
          <w:bCs/>
          <w:sz w:val="24"/>
          <w:lang w:val="zh-CN"/>
        </w:rPr>
        <w:t xml:space="preserve">    甲方经过合法有效的招标程序，乙方为</w:t>
      </w:r>
      <w:r>
        <w:rPr>
          <w:rFonts w:hint="eastAsia" w:ascii="宋体" w:hAnsi="宋体" w:cs="宋体"/>
          <w:bCs/>
          <w:sz w:val="24"/>
          <w:u w:val="single"/>
          <w:lang w:val="zh-CN"/>
        </w:rPr>
        <w:t xml:space="preserve">西太湖2026年-2029年沿湖片区芦苇收割(湖区垃圾清理服务)项目</w:t>
      </w:r>
      <w:r>
        <w:rPr>
          <w:rFonts w:hint="eastAsia" w:ascii="宋体" w:hAnsi="宋体" w:cs="宋体"/>
          <w:bCs/>
          <w:sz w:val="24"/>
          <w:lang w:val="zh-CN"/>
        </w:rPr>
        <w:t xml:space="preserve">中标单位，管理内容：</w:t>
      </w:r>
      <w:r>
        <w:rPr>
          <w:rFonts w:hint="eastAsia" w:ascii="宋体" w:hAnsi="宋体" w:cs="宋体"/>
          <w:bCs/>
          <w:sz w:val="24"/>
          <w:u w:val="single"/>
          <w:lang w:val="zh-CN"/>
        </w:rPr>
        <w:t xml:space="preserve">主要负责湖区、揽月路沿线相关地块芦苇定期收割、清运；西太湖湖面及沿湖岸线垃圾漂浮物（水葫芦、浮萍）打捞清理及现场环境常态化保洁养护工作，保障湖面水域干净整洁、沿岸环境规范有序，满足日常市容及水域生态管理要求。暂估芦苇收割面积约703亩，水葫芦、漂浮垃圾等打捞收运作业工作量约为300亩。芦苇作业周期：当年度 11 月中旬至次年 1 月中旬；湖区垃圾清理服务周期：当年度 11 月中旬至次年 11 月上旬。</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根据依据《中华人民共和国民法典》、《中华人民共和国政府采购法》以及有关法律、法规的规定，本着平等互利的原则，甲方、乙方经协商一致，结合本项目的具体情况，签订如下合同：</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第一条：</w:t>
      </w:r>
      <w:r>
        <w:rPr>
          <w:rFonts w:hint="eastAsia" w:ascii="宋体" w:hAnsi="宋体" w:cs="宋体"/>
          <w:b/>
          <w:sz w:val="24"/>
        </w:rPr>
        <w:t xml:space="preserve">服务</w:t>
      </w:r>
      <w:r>
        <w:rPr>
          <w:rFonts w:hint="eastAsia" w:ascii="宋体" w:hAnsi="宋体" w:cs="宋体"/>
          <w:b/>
          <w:sz w:val="24"/>
          <w:lang w:val="zh-CN"/>
        </w:rPr>
        <w:t xml:space="preserve">期限</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服务</w:t>
      </w:r>
      <w:r>
        <w:rPr>
          <w:rFonts w:hint="eastAsia" w:ascii="宋体" w:hAnsi="宋体" w:cs="宋体"/>
          <w:bCs/>
          <w:sz w:val="24"/>
          <w:lang w:val="zh-CN"/>
        </w:rPr>
        <w:t xml:space="preserve">期为：三年，合同一年一签，考核合格后，续签下一年合同。</w:t>
      </w:r>
      <w:r/>
    </w:p>
    <w:p>
      <w:pPr>
        <w:ind w:firstLine="480"/>
        <w:spacing w:line="360" w:lineRule="auto"/>
        <w:rPr>
          <w:rFonts w:hint="eastAsia" w:ascii="宋体" w:hAnsi="宋体" w:cs="宋体"/>
          <w:bCs/>
          <w:sz w:val="24"/>
          <w:u w:val="single"/>
          <w:lang w:val="zh-CN"/>
        </w:rPr>
      </w:pPr>
      <w:r>
        <w:rPr>
          <w:rFonts w:hint="eastAsia" w:ascii="宋体" w:hAnsi="宋体" w:cs="宋体"/>
          <w:bCs/>
          <w:sz w:val="24"/>
          <w:lang w:val="zh-CN"/>
        </w:rPr>
        <w:t xml:space="preserve">本次签订的</w:t>
      </w:r>
      <w:r>
        <w:rPr>
          <w:rFonts w:hint="eastAsia" w:ascii="宋体" w:hAnsi="宋体" w:cs="宋体"/>
          <w:bCs/>
          <w:sz w:val="24"/>
        </w:rPr>
        <w:t xml:space="preserve">服务</w:t>
      </w:r>
      <w:r>
        <w:rPr>
          <w:rFonts w:hint="eastAsia" w:ascii="宋体" w:hAnsi="宋体" w:cs="宋体"/>
          <w:bCs/>
          <w:sz w:val="24"/>
          <w:lang w:val="zh-CN"/>
        </w:rPr>
        <w:t xml:space="preserve">期</w:t>
      </w:r>
      <w:r>
        <w:rPr>
          <w:rFonts w:hint="eastAsia" w:ascii="宋体" w:hAnsi="宋体" w:cs="宋体"/>
          <w:bCs/>
          <w:sz w:val="24"/>
          <w:u w:val="single"/>
          <w:lang w:val="zh-CN"/>
        </w:rPr>
        <w:t xml:space="preserve">自</w:t>
      </w:r>
      <w:r>
        <w:rPr>
          <w:rFonts w:hint="eastAsia" w:ascii="宋体" w:hAnsi="宋体" w:cs="宋体"/>
          <w:bCs/>
          <w:sz w:val="24"/>
          <w:u w:val="single"/>
        </w:rPr>
        <w:t xml:space="preserve">2026</w:t>
      </w:r>
      <w:r>
        <w:rPr>
          <w:rFonts w:hint="eastAsia" w:ascii="宋体" w:hAnsi="宋体" w:cs="宋体"/>
          <w:bCs/>
          <w:sz w:val="24"/>
          <w:u w:val="single"/>
          <w:lang w:val="zh-CN"/>
        </w:rPr>
        <w:t xml:space="preserve">年</w:t>
      </w:r>
      <w:r>
        <w:rPr>
          <w:rFonts w:hint="eastAsia" w:ascii="宋体" w:hAnsi="宋体" w:cs="宋体"/>
          <w:bCs/>
          <w:sz w:val="24"/>
          <w:u w:val="single"/>
        </w:rPr>
        <w:t xml:space="preserve">  </w:t>
      </w:r>
      <w:r>
        <w:rPr>
          <w:rFonts w:hint="eastAsia" w:ascii="宋体" w:hAnsi="宋体" w:cs="宋体"/>
          <w:bCs/>
          <w:sz w:val="24"/>
          <w:u w:val="single"/>
          <w:lang w:val="zh-CN"/>
        </w:rPr>
        <w:t xml:space="preserve">月  日至</w:t>
      </w:r>
      <w:r>
        <w:rPr>
          <w:rFonts w:hint="eastAsia" w:ascii="宋体" w:hAnsi="宋体" w:cs="宋体"/>
          <w:bCs/>
          <w:sz w:val="24"/>
          <w:u w:val="single"/>
        </w:rPr>
        <w:t xml:space="preserve">2027</w:t>
      </w:r>
      <w:r>
        <w:rPr>
          <w:rFonts w:hint="eastAsia" w:ascii="宋体" w:hAnsi="宋体" w:cs="宋体"/>
          <w:bCs/>
          <w:sz w:val="24"/>
          <w:u w:val="single"/>
          <w:lang w:val="zh-CN"/>
        </w:rPr>
        <w:t xml:space="preserve">年</w:t>
      </w:r>
      <w:r>
        <w:rPr>
          <w:rFonts w:hint="eastAsia" w:ascii="宋体" w:hAnsi="宋体" w:cs="宋体"/>
          <w:bCs/>
          <w:sz w:val="24"/>
          <w:u w:val="single"/>
        </w:rPr>
        <w:t xml:space="preserve">  </w:t>
      </w:r>
      <w:r>
        <w:rPr>
          <w:rFonts w:hint="eastAsia" w:ascii="宋体" w:hAnsi="宋体" w:cs="宋体"/>
          <w:bCs/>
          <w:sz w:val="24"/>
          <w:u w:val="single"/>
          <w:lang w:val="zh-CN"/>
        </w:rPr>
        <w:t xml:space="preserve">月  日。</w:t>
      </w:r>
      <w:r/>
    </w:p>
    <w:p>
      <w:pPr>
        <w:ind w:firstLine="480"/>
        <w:spacing w:line="360" w:lineRule="auto"/>
        <w:rPr>
          <w:rFonts w:ascii="宋体" w:hAnsi="宋体" w:cs="宋体"/>
          <w:bCs/>
          <w:sz w:val="24"/>
          <w:u w:val="single"/>
        </w:rPr>
      </w:pPr>
      <w:r>
        <w:rPr>
          <w:rFonts w:hint="eastAsia"/>
          <w:bCs/>
          <w:sz w:val="24"/>
        </w:rPr>
        <w:t xml:space="preserve">满一个合同周期乙方考核汇总平均得分＞85 分，即为</w:t>
      </w:r>
      <w:r>
        <w:rPr>
          <w:rFonts w:hint="eastAsia" w:ascii="宋体" w:hAnsi="宋体" w:cs="宋体"/>
          <w:bCs/>
          <w:sz w:val="24"/>
          <w:lang w:val="zh-CN"/>
        </w:rPr>
        <w:t xml:space="preserve">考核合格</w:t>
      </w:r>
      <w:r>
        <w:rPr>
          <w:rFonts w:hint="eastAsia" w:ascii="宋体" w:hAnsi="宋体" w:cs="宋体"/>
          <w:bCs/>
          <w:sz w:val="24"/>
        </w:rPr>
        <w:t xml:space="preserve">双方</w:t>
      </w:r>
      <w:r>
        <w:rPr>
          <w:rFonts w:hint="eastAsia" w:ascii="宋体" w:hAnsi="宋体" w:cs="宋体"/>
          <w:bCs/>
          <w:sz w:val="24"/>
          <w:lang w:val="zh-CN"/>
        </w:rPr>
        <w:t xml:space="preserve">续签下一年合同。</w:t>
      </w:r>
      <w:r/>
    </w:p>
    <w:p>
      <w:pPr>
        <w:ind w:firstLine="480"/>
        <w:spacing w:line="360" w:lineRule="auto"/>
        <w:rPr>
          <w:rFonts w:hint="eastAsia" w:ascii="宋体" w:hAnsi="宋体" w:cs="宋体"/>
          <w:b/>
          <w:sz w:val="24"/>
          <w:lang w:val="zh-CN"/>
        </w:rPr>
      </w:pPr>
      <w:r>
        <w:rPr>
          <w:rFonts w:hint="eastAsia" w:ascii="宋体" w:hAnsi="宋体" w:cs="宋体"/>
          <w:b/>
          <w:sz w:val="24"/>
          <w:lang w:val="zh-CN"/>
        </w:rPr>
        <w:t xml:space="preserve">第二条、下列文件为本合同不可分割部分</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 中标通知书；</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 乙方中标的投标书；</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三、招标文件；</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四、乙方在招投标过程中所作的其它承诺、声明、书面澄清等。</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第三条</w:t>
      </w:r>
      <w:r>
        <w:rPr>
          <w:rFonts w:hint="eastAsia" w:ascii="宋体" w:hAnsi="宋体" w:cs="宋体"/>
          <w:bCs/>
          <w:sz w:val="24"/>
          <w:lang w:val="zh-CN"/>
        </w:rPr>
        <w:t xml:space="preserve">：合同金额（一个年度）：</w:t>
      </w:r>
      <w:r>
        <w:rPr>
          <w:rFonts w:hint="eastAsia" w:ascii="宋体" w:hAnsi="宋体" w:cs="宋体"/>
          <w:bCs/>
          <w:sz w:val="24"/>
          <w:u w:val="single"/>
        </w:rPr>
        <w:t xml:space="preserve">     </w:t>
      </w:r>
      <w:r>
        <w:rPr>
          <w:rFonts w:hint="eastAsia" w:ascii="宋体" w:hAnsi="宋体" w:cs="宋体"/>
          <w:bCs/>
          <w:sz w:val="24"/>
          <w:u w:val="single"/>
          <w:lang w:val="zh-CN"/>
        </w:rPr>
        <w:t xml:space="preserve">元（大写：</w:t>
      </w:r>
      <w:r>
        <w:rPr>
          <w:rFonts w:hint="eastAsia" w:ascii="宋体" w:hAnsi="宋体" w:cs="宋体"/>
          <w:bCs/>
          <w:sz w:val="24"/>
          <w:u w:val="single"/>
        </w:rPr>
        <w:t xml:space="preserve">       </w:t>
      </w:r>
      <w:r>
        <w:rPr>
          <w:rFonts w:hint="eastAsia" w:ascii="宋体" w:hAnsi="宋体" w:cs="宋体"/>
          <w:bCs/>
          <w:sz w:val="24"/>
          <w:u w:val="single"/>
          <w:lang w:val="zh-CN"/>
        </w:rPr>
        <w:t xml:space="preserve">元整）</w:t>
      </w:r>
      <w:r>
        <w:rPr>
          <w:rFonts w:hint="eastAsia" w:ascii="宋体" w:hAnsi="宋体" w:cs="宋体"/>
          <w:bCs/>
          <w:sz w:val="24"/>
          <w:u w:val="single"/>
        </w:rPr>
        <w:t xml:space="preserve">税率：   %   </w:t>
      </w:r>
      <w:r>
        <w:rPr>
          <w:rFonts w:hint="eastAsia" w:ascii="宋体" w:hAnsi="宋体" w:cs="宋体"/>
          <w:bCs/>
          <w:sz w:val="24"/>
          <w:lang w:val="zh-CN"/>
        </w:rPr>
        <w:t xml:space="preserve">。</w:t>
      </w:r>
      <w:r/>
    </w:p>
    <w:tbl>
      <w:tblPr>
        <w:tblStyle w:val="765"/>
        <w:tblW w:w="48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6"/>
        <w:gridCol w:w="1912"/>
        <w:gridCol w:w="1915"/>
        <w:gridCol w:w="1910"/>
        <w:gridCol w:w="2362"/>
      </w:tblGrid>
      <w:tr>
        <w:trPr>
          <w:jc w:val="center"/>
          <w:trHeight w:val="1223"/>
        </w:trPr>
        <w:tc>
          <w:tcPr>
            <w:tcW w:w="735" w:type="dxa"/>
            <w:vAlign w:val="center"/>
            <w:textDirection w:val="lrTb"/>
            <w:noWrap w:val="false"/>
          </w:tcPr>
          <w:p>
            <w:pPr>
              <w:jc w:val="center"/>
              <w:tabs>
                <w:tab w:val="left" w:pos="5580" w:leader="none"/>
              </w:tabs>
              <w:rPr>
                <w:b/>
                <w:sz w:val="24"/>
              </w:rPr>
            </w:pPr>
            <w:r>
              <w:rPr>
                <w:rFonts w:hint="eastAsia"/>
                <w:b/>
                <w:sz w:val="24"/>
              </w:rPr>
              <w:t xml:space="preserve">序号</w:t>
            </w:r>
            <w:r/>
          </w:p>
        </w:tc>
        <w:tc>
          <w:tcPr>
            <w:tcW w:w="1910" w:type="dxa"/>
            <w:vAlign w:val="center"/>
            <w:textDirection w:val="lrTb"/>
            <w:noWrap w:val="false"/>
          </w:tcPr>
          <w:p>
            <w:pPr>
              <w:jc w:val="center"/>
              <w:tabs>
                <w:tab w:val="left" w:pos="5580" w:leader="none"/>
              </w:tabs>
              <w:rPr>
                <w:b/>
                <w:sz w:val="24"/>
              </w:rPr>
            </w:pPr>
            <w:r>
              <w:rPr>
                <w:rFonts w:hint="eastAsia"/>
                <w:b/>
                <w:sz w:val="24"/>
              </w:rPr>
              <w:t xml:space="preserve">服务分项</w:t>
            </w:r>
            <w:r/>
          </w:p>
        </w:tc>
        <w:tc>
          <w:tcPr>
            <w:tcW w:w="1913" w:type="dxa"/>
            <w:vAlign w:val="center"/>
            <w:textDirection w:val="lrTb"/>
            <w:noWrap w:val="false"/>
          </w:tcPr>
          <w:p>
            <w:pPr>
              <w:jc w:val="center"/>
              <w:tabs>
                <w:tab w:val="left" w:pos="5580" w:leader="none"/>
              </w:tabs>
              <w:rPr>
                <w:b/>
                <w:sz w:val="24"/>
              </w:rPr>
            </w:pPr>
            <w:r>
              <w:rPr>
                <w:rFonts w:hint="eastAsia"/>
                <w:b/>
                <w:sz w:val="24"/>
              </w:rPr>
              <w:t xml:space="preserve">暂估面积（亩）</w:t>
            </w:r>
            <w:r/>
          </w:p>
        </w:tc>
        <w:tc>
          <w:tcPr>
            <w:tcW w:w="1908" w:type="dxa"/>
            <w:vAlign w:val="center"/>
            <w:textDirection w:val="lrTb"/>
            <w:noWrap w:val="false"/>
          </w:tcPr>
          <w:p>
            <w:pPr>
              <w:jc w:val="center"/>
              <w:tabs>
                <w:tab w:val="left" w:pos="5580" w:leader="none"/>
              </w:tabs>
              <w:rPr>
                <w:rFonts w:hint="eastAsia"/>
                <w:b/>
                <w:sz w:val="24"/>
              </w:rPr>
            </w:pPr>
            <w:r>
              <w:rPr>
                <w:rFonts w:hint="eastAsia"/>
                <w:b/>
                <w:sz w:val="24"/>
              </w:rPr>
              <w:t xml:space="preserve">含税综合单价</w:t>
            </w:r>
            <w:r/>
          </w:p>
          <w:p>
            <w:pPr>
              <w:jc w:val="center"/>
              <w:tabs>
                <w:tab w:val="left" w:pos="5580" w:leader="none"/>
              </w:tabs>
              <w:rPr>
                <w:rFonts w:hint="eastAsia"/>
                <w:b/>
                <w:sz w:val="24"/>
              </w:rPr>
            </w:pPr>
            <w:r>
              <w:rPr>
                <w:rFonts w:hint="eastAsia"/>
                <w:b/>
                <w:sz w:val="24"/>
              </w:rPr>
              <w:t xml:space="preserve">（元/亩）</w:t>
            </w:r>
            <w:r/>
          </w:p>
        </w:tc>
        <w:tc>
          <w:tcPr>
            <w:tcW w:w="2360" w:type="dxa"/>
            <w:vAlign w:val="center"/>
            <w:textDirection w:val="lrTb"/>
            <w:noWrap w:val="false"/>
          </w:tcPr>
          <w:p>
            <w:pPr>
              <w:jc w:val="center"/>
              <w:tabs>
                <w:tab w:val="left" w:pos="5580" w:leader="none"/>
              </w:tabs>
              <w:rPr>
                <w:rFonts w:hint="eastAsia"/>
                <w:b/>
                <w:sz w:val="24"/>
              </w:rPr>
            </w:pPr>
            <w:r>
              <w:rPr>
                <w:rFonts w:hint="eastAsia"/>
                <w:b/>
                <w:sz w:val="24"/>
              </w:rPr>
              <w:t xml:space="preserve">每年度</w:t>
            </w:r>
            <w:r/>
          </w:p>
          <w:p>
            <w:pPr>
              <w:jc w:val="center"/>
              <w:tabs>
                <w:tab w:val="left" w:pos="5580" w:leader="none"/>
              </w:tabs>
              <w:rPr>
                <w:b/>
                <w:sz w:val="24"/>
              </w:rPr>
            </w:pPr>
            <w:r>
              <w:rPr>
                <w:rFonts w:hint="eastAsia"/>
                <w:b/>
                <w:sz w:val="24"/>
              </w:rPr>
              <w:t xml:space="preserve">合价（元）</w:t>
            </w:r>
            <w:r/>
          </w:p>
        </w:tc>
      </w:tr>
      <w:tr>
        <w:trPr>
          <w:jc w:val="center"/>
          <w:trHeight w:val="1009"/>
        </w:trPr>
        <w:tc>
          <w:tcPr>
            <w:tcW w:w="735" w:type="dxa"/>
            <w:vAlign w:val="center"/>
            <w:textDirection w:val="lrTb"/>
            <w:noWrap w:val="false"/>
          </w:tcPr>
          <w:p>
            <w:pPr>
              <w:jc w:val="center"/>
              <w:tabs>
                <w:tab w:val="left" w:pos="5580" w:leader="none"/>
              </w:tabs>
              <w:rPr>
                <w:rFonts w:hint="eastAsia"/>
                <w:sz w:val="24"/>
              </w:rPr>
            </w:pPr>
            <w:r>
              <w:rPr>
                <w:rFonts w:hint="eastAsia"/>
                <w:sz w:val="24"/>
              </w:rPr>
              <w:t xml:space="preserve">1</w:t>
            </w:r>
            <w:r/>
          </w:p>
        </w:tc>
        <w:tc>
          <w:tcPr>
            <w:tcW w:w="1910" w:type="dxa"/>
            <w:vAlign w:val="center"/>
            <w:textDirection w:val="lrTb"/>
            <w:noWrap w:val="false"/>
          </w:tcPr>
          <w:p>
            <w:pPr>
              <w:jc w:val="center"/>
              <w:tabs>
                <w:tab w:val="left" w:pos="5580" w:leader="none"/>
              </w:tabs>
              <w:rPr>
                <w:sz w:val="24"/>
              </w:rPr>
            </w:pPr>
            <w:r>
              <w:rPr>
                <w:rFonts w:hint="eastAsia"/>
                <w:sz w:val="24"/>
              </w:rPr>
              <w:t xml:space="preserve">芦苇收割清运服务</w:t>
            </w:r>
            <w:r/>
          </w:p>
        </w:tc>
        <w:tc>
          <w:tcPr>
            <w:tcW w:w="1913" w:type="dxa"/>
            <w:vAlign w:val="center"/>
            <w:textDirection w:val="lrTb"/>
            <w:noWrap w:val="false"/>
          </w:tcPr>
          <w:p>
            <w:pPr>
              <w:jc w:val="center"/>
              <w:tabs>
                <w:tab w:val="left" w:pos="5580" w:leader="none"/>
              </w:tabs>
              <w:rPr>
                <w:sz w:val="24"/>
              </w:rPr>
            </w:pPr>
            <w:r>
              <w:rPr>
                <w:rFonts w:hint="eastAsia"/>
                <w:sz w:val="24"/>
              </w:rPr>
              <w:t xml:space="preserve">703</w:t>
            </w:r>
            <w:r/>
          </w:p>
        </w:tc>
        <w:tc>
          <w:tcPr>
            <w:tcW w:w="1908" w:type="dxa"/>
            <w:vAlign w:val="center"/>
            <w:textDirection w:val="lrTb"/>
            <w:noWrap w:val="false"/>
          </w:tcPr>
          <w:p>
            <w:pPr>
              <w:jc w:val="center"/>
              <w:tabs>
                <w:tab w:val="left" w:pos="5580" w:leader="none"/>
              </w:tabs>
              <w:rPr>
                <w:sz w:val="24"/>
              </w:rPr>
            </w:pPr>
            <w:r>
              <w:rPr>
                <w:sz w:val="24"/>
              </w:rPr>
            </w:r>
            <w:r/>
          </w:p>
        </w:tc>
        <w:tc>
          <w:tcPr>
            <w:tcW w:w="2360" w:type="dxa"/>
            <w:vAlign w:val="center"/>
            <w:textDirection w:val="lrTb"/>
            <w:noWrap w:val="false"/>
          </w:tcPr>
          <w:p>
            <w:pPr>
              <w:jc w:val="center"/>
              <w:tabs>
                <w:tab w:val="left" w:pos="5580" w:leader="none"/>
              </w:tabs>
              <w:rPr>
                <w:sz w:val="24"/>
              </w:rPr>
            </w:pPr>
            <w:r>
              <w:rPr>
                <w:sz w:val="24"/>
              </w:rPr>
            </w:r>
            <w:r/>
          </w:p>
        </w:tc>
      </w:tr>
      <w:tr>
        <w:trPr>
          <w:jc w:val="center"/>
          <w:trHeight w:val="1009"/>
        </w:trPr>
        <w:tc>
          <w:tcPr>
            <w:tcW w:w="735" w:type="dxa"/>
            <w:vAlign w:val="center"/>
            <w:textDirection w:val="lrTb"/>
            <w:noWrap w:val="false"/>
          </w:tcPr>
          <w:p>
            <w:pPr>
              <w:jc w:val="center"/>
              <w:tabs>
                <w:tab w:val="left" w:pos="5580" w:leader="none"/>
              </w:tabs>
              <w:rPr>
                <w:sz w:val="24"/>
              </w:rPr>
            </w:pPr>
            <w:r>
              <w:rPr>
                <w:rFonts w:hint="eastAsia"/>
                <w:sz w:val="24"/>
              </w:rPr>
              <w:t xml:space="preserve">2</w:t>
            </w:r>
            <w:r/>
          </w:p>
        </w:tc>
        <w:tc>
          <w:tcPr>
            <w:tcW w:w="1910" w:type="dxa"/>
            <w:vAlign w:val="center"/>
            <w:textDirection w:val="lrTb"/>
            <w:noWrap w:val="false"/>
          </w:tcPr>
          <w:p>
            <w:pPr>
              <w:jc w:val="center"/>
              <w:tabs>
                <w:tab w:val="left" w:pos="5580" w:leader="none"/>
              </w:tabs>
              <w:rPr>
                <w:sz w:val="24"/>
              </w:rPr>
            </w:pPr>
            <w:r>
              <w:rPr>
                <w:rFonts w:hint="eastAsia"/>
                <w:sz w:val="24"/>
              </w:rPr>
              <w:t xml:space="preserve">湖面垃圾打捞清运服务</w:t>
            </w:r>
            <w:r/>
          </w:p>
        </w:tc>
        <w:tc>
          <w:tcPr>
            <w:tcW w:w="1913" w:type="dxa"/>
            <w:vAlign w:val="center"/>
            <w:textDirection w:val="lrTb"/>
            <w:noWrap w:val="false"/>
          </w:tcPr>
          <w:p>
            <w:pPr>
              <w:jc w:val="center"/>
              <w:tabs>
                <w:tab w:val="left" w:pos="5580" w:leader="none"/>
              </w:tabs>
              <w:rPr>
                <w:sz w:val="24"/>
              </w:rPr>
            </w:pPr>
            <w:r>
              <w:rPr>
                <w:rFonts w:hint="eastAsia"/>
                <w:sz w:val="24"/>
              </w:rPr>
              <w:t xml:space="preserve">300</w:t>
            </w:r>
            <w:r/>
          </w:p>
        </w:tc>
        <w:tc>
          <w:tcPr>
            <w:tcW w:w="1908" w:type="dxa"/>
            <w:vAlign w:val="center"/>
            <w:textDirection w:val="lrTb"/>
            <w:noWrap w:val="false"/>
          </w:tcPr>
          <w:p>
            <w:pPr>
              <w:jc w:val="center"/>
              <w:tabs>
                <w:tab w:val="left" w:pos="5580" w:leader="none"/>
              </w:tabs>
              <w:rPr>
                <w:sz w:val="24"/>
              </w:rPr>
            </w:pPr>
            <w:r>
              <w:rPr>
                <w:sz w:val="24"/>
              </w:rPr>
            </w:r>
            <w:r/>
          </w:p>
        </w:tc>
        <w:tc>
          <w:tcPr>
            <w:tcW w:w="2360" w:type="dxa"/>
            <w:vAlign w:val="center"/>
            <w:textDirection w:val="lrTb"/>
            <w:noWrap w:val="false"/>
          </w:tcPr>
          <w:p>
            <w:pPr>
              <w:jc w:val="center"/>
              <w:tabs>
                <w:tab w:val="left" w:pos="5580" w:leader="none"/>
              </w:tabs>
              <w:rPr>
                <w:rFonts w:hint="eastAsia"/>
                <w:sz w:val="24"/>
              </w:rPr>
            </w:pPr>
            <w:r>
              <w:rPr>
                <w:rFonts w:hint="eastAsia"/>
                <w:sz w:val="24"/>
              </w:rPr>
            </w:r>
            <w:r/>
          </w:p>
        </w:tc>
      </w:tr>
      <w:tr>
        <w:trPr>
          <w:jc w:val="center"/>
          <w:trHeight w:val="1009"/>
        </w:trPr>
        <w:tc>
          <w:tcPr>
            <w:gridSpan w:val="4"/>
            <w:tcW w:w="6466" w:type="dxa"/>
            <w:vAlign w:val="center"/>
            <w:textDirection w:val="lrTb"/>
            <w:noWrap w:val="false"/>
          </w:tcPr>
          <w:p>
            <w:pPr>
              <w:jc w:val="center"/>
              <w:tabs>
                <w:tab w:val="left" w:pos="5580" w:leader="none"/>
              </w:tabs>
              <w:rPr>
                <w:rFonts w:hint="eastAsia"/>
                <w:sz w:val="24"/>
              </w:rPr>
            </w:pPr>
            <w:r>
              <w:rPr>
                <w:rFonts w:hint="eastAsia"/>
                <w:sz w:val="24"/>
              </w:rPr>
              <w:t xml:space="preserve">合计</w:t>
            </w:r>
            <w:r/>
          </w:p>
        </w:tc>
        <w:tc>
          <w:tcPr>
            <w:tcW w:w="2360" w:type="dxa"/>
            <w:vAlign w:val="center"/>
            <w:textDirection w:val="lrTb"/>
            <w:noWrap w:val="false"/>
          </w:tcPr>
          <w:p>
            <w:pPr>
              <w:jc w:val="center"/>
              <w:tabs>
                <w:tab w:val="left" w:pos="5580" w:leader="none"/>
              </w:tabs>
              <w:rPr>
                <w:rFonts w:hint="eastAsia"/>
                <w:sz w:val="24"/>
              </w:rPr>
            </w:pPr>
            <w:r>
              <w:rPr>
                <w:rFonts w:hint="eastAsia"/>
                <w:sz w:val="24"/>
              </w:rPr>
            </w:r>
            <w:r/>
          </w:p>
        </w:tc>
      </w:tr>
    </w:tbl>
    <w:p>
      <w:pPr>
        <w:ind w:firstLine="480"/>
        <w:spacing w:line="360" w:lineRule="auto"/>
        <w:rPr>
          <w:rFonts w:hint="eastAsia" w:ascii="宋体" w:hAnsi="宋体" w:cs="宋体"/>
          <w:bCs/>
          <w:sz w:val="24"/>
          <w:lang w:val="zh-CN"/>
        </w:rPr>
      </w:pPr>
      <w:r>
        <w:rPr>
          <w:rFonts w:hint="eastAsia" w:ascii="宋体" w:hAnsi="宋体" w:cs="宋体"/>
          <w:bCs/>
          <w:sz w:val="24"/>
          <w:lang w:val="zh-CN"/>
        </w:rPr>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四</w:t>
      </w:r>
      <w:r>
        <w:rPr>
          <w:rFonts w:hint="eastAsia" w:ascii="宋体" w:hAnsi="宋体" w:cs="宋体"/>
          <w:b/>
          <w:sz w:val="24"/>
          <w:lang w:val="zh-CN"/>
        </w:rPr>
        <w:t xml:space="preserve">条：</w:t>
      </w:r>
      <w:r>
        <w:rPr>
          <w:rFonts w:hint="eastAsia" w:ascii="宋体" w:hAnsi="宋体" w:cs="宋体"/>
          <w:bCs/>
          <w:sz w:val="24"/>
          <w:lang w:val="zh-CN"/>
        </w:rPr>
        <w:t xml:space="preserve">甲方责任</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一、在乙方达到管理标准的情况下，按约定时限和方式将应付管理资金足额拨给乙方；</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二、严格按照标准对乙方的管护作业进行定期检查和不定期抽查，并向乙方提供必要的技术指导；</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三、对因供水、供电、热力、煤气等部门业务行为影响正常管理，且乙方无力解决的问题，予以协调解决；</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五</w:t>
      </w:r>
      <w:r>
        <w:rPr>
          <w:rFonts w:hint="eastAsia" w:ascii="宋体" w:hAnsi="宋体" w:cs="宋体"/>
          <w:b/>
          <w:sz w:val="24"/>
          <w:lang w:val="zh-CN"/>
        </w:rPr>
        <w:t xml:space="preserve">条</w:t>
      </w:r>
      <w:r>
        <w:rPr>
          <w:rFonts w:hint="eastAsia" w:ascii="宋体" w:hAnsi="宋体" w:cs="宋体"/>
          <w:bCs/>
          <w:sz w:val="24"/>
          <w:lang w:val="zh-CN"/>
        </w:rPr>
        <w:t xml:space="preserve">：</w:t>
      </w:r>
      <w:r>
        <w:rPr>
          <w:rFonts w:hint="eastAsia" w:ascii="宋体" w:hAnsi="宋体" w:cs="宋体"/>
          <w:b/>
          <w:sz w:val="24"/>
          <w:lang w:val="zh-CN"/>
        </w:rPr>
        <w:t xml:space="preserve">乙方责任</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一、</w:t>
      </w:r>
      <w:r>
        <w:rPr>
          <w:rFonts w:hint="eastAsia" w:ascii="宋体" w:hAnsi="宋体" w:cs="宋体"/>
          <w:bCs/>
          <w:sz w:val="24"/>
        </w:rPr>
        <w:t xml:space="preserve">乙方项目负责人（姓名）：</w:t>
      </w:r>
      <w:r>
        <w:rPr>
          <w:rFonts w:hint="eastAsia" w:ascii="宋体" w:hAnsi="宋体" w:cs="宋体"/>
          <w:bCs/>
          <w:sz w:val="24"/>
          <w:u w:val="single"/>
        </w:rPr>
        <w:t xml:space="preserve">       ，</w:t>
      </w:r>
      <w:r>
        <w:rPr>
          <w:rFonts w:hint="eastAsia" w:ascii="宋体" w:hAnsi="宋体" w:cs="宋体"/>
          <w:bCs/>
          <w:sz w:val="24"/>
        </w:rPr>
        <w:t xml:space="preserve">现场工作签证、联系单等书面材料须有乙方项目负责人签字确认。</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二、不得以任何形式对管理任务进行转包或分包；</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三、各作业区应设立公示牌，</w:t>
      </w:r>
      <w:r>
        <w:rPr>
          <w:rFonts w:hint="eastAsia" w:ascii="宋体" w:hAnsi="宋体" w:cs="宋体"/>
          <w:bCs/>
          <w:sz w:val="24"/>
        </w:rPr>
        <w:t xml:space="preserve">作业</w:t>
      </w:r>
      <w:r>
        <w:rPr>
          <w:rFonts w:hint="eastAsia" w:ascii="宋体" w:hAnsi="宋体" w:cs="宋体"/>
          <w:bCs/>
          <w:sz w:val="24"/>
          <w:lang w:val="zh-CN"/>
        </w:rPr>
        <w:t xml:space="preserve">点处要设置警示标志；</w:t>
      </w:r>
      <w:r>
        <w:rPr>
          <w:rFonts w:hint="eastAsia" w:ascii="宋体" w:hAnsi="宋体" w:cs="宋体"/>
          <w:bCs/>
          <w:sz w:val="24"/>
        </w:rPr>
        <w:t xml:space="preserve">作业</w:t>
      </w:r>
      <w:r>
        <w:rPr>
          <w:rFonts w:hint="eastAsia" w:ascii="宋体" w:hAnsi="宋体" w:cs="宋体"/>
          <w:bCs/>
          <w:sz w:val="24"/>
          <w:lang w:val="zh-CN"/>
        </w:rPr>
        <w:t xml:space="preserve">时须安排值班人员；开展湿地植物收割作业</w:t>
      </w:r>
      <w:r>
        <w:rPr>
          <w:rFonts w:hint="eastAsia" w:ascii="宋体" w:hAnsi="宋体" w:cs="宋体"/>
          <w:bCs/>
          <w:sz w:val="24"/>
        </w:rPr>
        <w:t xml:space="preserve">及</w:t>
      </w:r>
      <w:r>
        <w:rPr>
          <w:rFonts w:hint="eastAsia"/>
          <w:sz w:val="24"/>
        </w:rPr>
        <w:t xml:space="preserve">沿湖岸线垃圾漂浮物（水葫芦、浮萍）打捞清理作业的</w:t>
      </w:r>
      <w:r>
        <w:rPr>
          <w:rFonts w:hint="eastAsia" w:ascii="宋体" w:hAnsi="宋体" w:cs="宋体"/>
          <w:bCs/>
          <w:sz w:val="24"/>
          <w:lang w:val="zh-CN"/>
        </w:rPr>
        <w:t xml:space="preserve">培训，做好防水、防火、防电、防伤等防控措施，安全施工、文明施工，确保无安全事故发生。</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四、收割后的植物残体要及时装车、船运走；植物残体处理应符合《中华人民共和国大气污染防治法》等法律法规的规定，严禁就地焚烧等违法行为；收割作业时不得破坏公共设施、绿化；对收割时遗留的垃圾及时清除。</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五、严格按照收割要求完成管护区域内作业，芦苇收割要求要割到根部（不能超过水面泥土10公分），茭草（地上部分）应割尽收清，收割物不得遗留、暗藏在管护区内。收割后由承割方负责清运处理，不得遗存于甲方区域内，其处理过程中产生的问题与甲方无关。</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六、乙方施工作业时必需确保所有作业人员做好安全防护，同时为本项目涉及的所有作业人员购买相关保险。在本项目作业施工过程中发生的所有人财物的损失均由中标单位自行承担全部责任，甲方概不负责。</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七、</w:t>
      </w:r>
      <w:r>
        <w:rPr>
          <w:rFonts w:hint="eastAsia" w:ascii="宋体" w:hAnsi="宋体" w:cs="宋体"/>
          <w:bCs/>
          <w:sz w:val="24"/>
          <w:lang w:val="zh-CN"/>
        </w:rPr>
        <w:t xml:space="preserve">接受甲方按照《西太湖2026年-2029年沿湖片区芦苇收割(湖区垃圾清理服务)项目考核办法》的相关规定进行考核。</w:t>
      </w:r>
      <w:r/>
    </w:p>
    <w:p>
      <w:pPr>
        <w:ind w:firstLine="480"/>
        <w:spacing w:line="360" w:lineRule="auto"/>
        <w:rPr>
          <w:rFonts w:hint="eastAsia" w:ascii="宋体" w:hAnsi="宋体" w:cs="宋体"/>
          <w:b/>
          <w:sz w:val="24"/>
          <w:lang w:val="zh-CN"/>
        </w:rPr>
      </w:pPr>
      <w:r>
        <w:rPr>
          <w:rFonts w:hint="eastAsia" w:ascii="宋体" w:hAnsi="宋体" w:cs="宋体"/>
          <w:b/>
          <w:sz w:val="24"/>
          <w:lang w:val="zh-CN"/>
        </w:rPr>
        <w:t xml:space="preserve">第</w:t>
      </w:r>
      <w:r>
        <w:rPr>
          <w:rFonts w:hint="eastAsia" w:ascii="宋体" w:hAnsi="宋体" w:cs="宋体"/>
          <w:b/>
          <w:sz w:val="24"/>
        </w:rPr>
        <w:t xml:space="preserve">六</w:t>
      </w:r>
      <w:r>
        <w:rPr>
          <w:rFonts w:hint="eastAsia" w:ascii="宋体" w:hAnsi="宋体" w:cs="宋体"/>
          <w:b/>
          <w:sz w:val="24"/>
          <w:lang w:val="zh-CN"/>
        </w:rPr>
        <w:t xml:space="preserve">条：资金支付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一、本次招标合同签订方式：</w:t>
      </w:r>
      <w:r>
        <w:rPr>
          <w:rFonts w:hint="eastAsia" w:ascii="宋体" w:hAnsi="宋体" w:cs="宋体"/>
          <w:b/>
          <w:sz w:val="24"/>
          <w:lang w:val="zh-CN"/>
        </w:rPr>
        <w:t xml:space="preserve">固定</w:t>
      </w:r>
      <w:r>
        <w:rPr>
          <w:rFonts w:hint="eastAsia" w:ascii="宋体" w:hAnsi="宋体" w:cs="宋体"/>
          <w:b/>
          <w:sz w:val="24"/>
        </w:rPr>
        <w:t xml:space="preserve">综合单价</w:t>
      </w:r>
      <w:r>
        <w:rPr>
          <w:rFonts w:hint="eastAsia" w:ascii="宋体" w:hAnsi="宋体" w:cs="宋体"/>
          <w:b/>
          <w:sz w:val="24"/>
          <w:lang w:val="zh-CN"/>
        </w:rPr>
        <w:t xml:space="preserve">合同（</w:t>
      </w:r>
      <w:r>
        <w:rPr>
          <w:rFonts w:hint="eastAsia" w:ascii="宋体" w:hAnsi="宋体" w:cs="宋体"/>
          <w:b/>
          <w:sz w:val="24"/>
        </w:rPr>
        <w:t xml:space="preserve">含税</w:t>
      </w:r>
      <w:r>
        <w:rPr>
          <w:rFonts w:hint="eastAsia" w:ascii="宋体" w:hAnsi="宋体" w:cs="宋体"/>
          <w:b/>
          <w:sz w:val="24"/>
          <w:lang w:val="zh-CN"/>
        </w:rPr>
        <w:t xml:space="preserve">）</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二、甲方在支付本</w:t>
      </w:r>
      <w:r>
        <w:rPr>
          <w:rFonts w:hint="eastAsia" w:ascii="宋体" w:hAnsi="宋体" w:cs="宋体"/>
          <w:bCs/>
          <w:sz w:val="24"/>
        </w:rPr>
        <w:t xml:space="preserve">合同价</w:t>
      </w:r>
      <w:r>
        <w:rPr>
          <w:rFonts w:hint="eastAsia" w:ascii="宋体" w:hAnsi="宋体" w:cs="宋体"/>
          <w:bCs/>
          <w:sz w:val="24"/>
          <w:lang w:val="zh-CN"/>
        </w:rPr>
        <w:t xml:space="preserve">款时乙方必须提供正规增值税普通发票。</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三、</w:t>
      </w:r>
      <w:r>
        <w:rPr>
          <w:rFonts w:hint="eastAsia" w:ascii="宋体" w:hAnsi="宋体" w:cs="宋体"/>
          <w:b/>
          <w:sz w:val="24"/>
          <w:lang w:val="zh-CN"/>
        </w:rPr>
        <w:t xml:space="preserve">履约保证金</w:t>
      </w:r>
      <w:r>
        <w:rPr>
          <w:rFonts w:hint="eastAsia" w:ascii="宋体" w:hAnsi="宋体" w:cs="宋体"/>
          <w:bCs/>
          <w:sz w:val="24"/>
          <w:lang w:val="zh-CN"/>
        </w:rPr>
        <w:t xml:space="preserve">：本项目需缴纳履约保证金。</w:t>
      </w:r>
      <w:r/>
    </w:p>
    <w:p>
      <w:pPr>
        <w:ind w:firstLine="480"/>
        <w:spacing w:line="360" w:lineRule="auto"/>
        <w:rPr>
          <w:rFonts w:ascii="宋体" w:hAnsi="宋体" w:cs="宋体"/>
          <w:bCs/>
          <w:sz w:val="24"/>
        </w:rPr>
      </w:pPr>
      <w:r>
        <w:rPr>
          <w:rFonts w:ascii="宋体" w:hAnsi="宋体" w:cs="宋体"/>
          <w:bCs/>
          <w:sz w:val="24"/>
        </w:rPr>
        <w:t xml:space="preserve">（1）履约保证金应当以担保机构出具的保函</w:t>
      </w:r>
      <w:r>
        <w:rPr>
          <w:rFonts w:hint="eastAsia" w:ascii="宋体" w:hAnsi="宋体" w:cs="宋体"/>
          <w:bCs/>
          <w:sz w:val="24"/>
        </w:rPr>
        <w:t xml:space="preserve">（</w:t>
      </w:r>
      <w:r>
        <w:rPr>
          <w:rFonts w:ascii="宋体" w:hAnsi="宋体" w:cs="宋体"/>
          <w:bCs/>
          <w:sz w:val="24"/>
        </w:rPr>
        <w:t xml:space="preserve">非现金形式</w:t>
      </w:r>
      <w:r>
        <w:rPr>
          <w:rFonts w:hint="eastAsia" w:ascii="宋体" w:hAnsi="宋体" w:cs="宋体"/>
          <w:bCs/>
          <w:sz w:val="24"/>
        </w:rPr>
        <w:t xml:space="preserve">）</w:t>
      </w:r>
      <w:r>
        <w:rPr>
          <w:rFonts w:ascii="宋体" w:hAnsi="宋体" w:cs="宋体"/>
          <w:bCs/>
          <w:sz w:val="24"/>
        </w:rPr>
        <w:t xml:space="preserve">提交</w:t>
      </w:r>
      <w:r>
        <w:rPr>
          <w:rFonts w:hint="eastAsia" w:ascii="宋体" w:hAnsi="宋体" w:cs="宋体"/>
          <w:bCs/>
          <w:sz w:val="24"/>
        </w:rPr>
        <w:t xml:space="preserve">，保函有效期须覆盖本合同服务周期、履约考核及项目结算审计周期。</w:t>
      </w:r>
      <w:r/>
    </w:p>
    <w:p>
      <w:pPr>
        <w:ind w:firstLine="480"/>
        <w:spacing w:line="360" w:lineRule="auto"/>
        <w:rPr>
          <w:rFonts w:ascii="宋体" w:hAnsi="宋体" w:cs="宋体"/>
          <w:bCs/>
          <w:sz w:val="24"/>
        </w:rPr>
      </w:pPr>
      <w:r>
        <w:rPr>
          <w:rFonts w:ascii="宋体" w:hAnsi="宋体" w:cs="宋体"/>
          <w:bCs/>
          <w:sz w:val="24"/>
        </w:rPr>
        <w:t xml:space="preserve">（2）履约保证金为</w:t>
      </w:r>
      <w:r>
        <w:rPr>
          <w:rFonts w:hint="eastAsia" w:ascii="宋体" w:hAnsi="宋体" w:cs="宋体"/>
          <w:bCs/>
          <w:sz w:val="24"/>
        </w:rPr>
        <w:t xml:space="preserve">本</w:t>
      </w:r>
      <w:r>
        <w:rPr>
          <w:rFonts w:ascii="宋体" w:hAnsi="宋体" w:cs="宋体"/>
          <w:bCs/>
          <w:sz w:val="24"/>
        </w:rPr>
        <w:t xml:space="preserve">合同价的 </w:t>
      </w:r>
      <w:r>
        <w:rPr>
          <w:rFonts w:hint="eastAsia" w:ascii="宋体" w:hAnsi="宋体" w:cs="宋体"/>
          <w:bCs/>
          <w:sz w:val="24"/>
        </w:rPr>
        <w:t xml:space="preserve">10</w:t>
      </w:r>
      <w:r>
        <w:rPr>
          <w:rFonts w:ascii="宋体" w:hAnsi="宋体" w:cs="宋体"/>
          <w:bCs/>
          <w:sz w:val="24"/>
        </w:rPr>
        <w:t xml:space="preserve">% 。</w:t>
      </w:r>
      <w:r>
        <w:rPr>
          <w:rFonts w:hint="eastAsia" w:ascii="宋体" w:hAnsi="宋体" w:cs="宋体"/>
          <w:bCs/>
          <w:sz w:val="24"/>
        </w:rPr>
        <w:t xml:space="preserve">乙方</w:t>
      </w:r>
      <w:r>
        <w:rPr>
          <w:rFonts w:ascii="宋体" w:hAnsi="宋体" w:cs="宋体"/>
          <w:bCs/>
          <w:sz w:val="24"/>
        </w:rPr>
        <w:t xml:space="preserve">应在合同签订前向</w:t>
      </w:r>
      <w:r>
        <w:rPr>
          <w:rFonts w:hint="eastAsia" w:ascii="宋体" w:hAnsi="宋体" w:cs="宋体"/>
          <w:bCs/>
          <w:sz w:val="24"/>
        </w:rPr>
        <w:t xml:space="preserve">甲方</w:t>
      </w:r>
      <w:r>
        <w:rPr>
          <w:rFonts w:ascii="宋体" w:hAnsi="宋体" w:cs="宋体"/>
          <w:bCs/>
          <w:sz w:val="24"/>
        </w:rPr>
        <w:t xml:space="preserve">提供履约保证金</w:t>
      </w:r>
      <w:r>
        <w:rPr>
          <w:rFonts w:hint="eastAsia" w:ascii="宋体" w:hAnsi="宋体" w:cs="宋体"/>
          <w:bCs/>
          <w:sz w:val="24"/>
        </w:rPr>
        <w:t xml:space="preserve">，</w:t>
      </w:r>
      <w:r>
        <w:rPr>
          <w:rFonts w:ascii="宋体" w:hAnsi="宋体" w:cs="宋体"/>
          <w:bCs/>
          <w:sz w:val="24"/>
        </w:rPr>
        <w:t xml:space="preserve">逾期未提供的，甲方有权不签订合同，视为乙方放弃中标。</w:t>
      </w:r>
      <w:r/>
    </w:p>
    <w:p>
      <w:pPr>
        <w:ind w:firstLine="480"/>
        <w:spacing w:line="360" w:lineRule="auto"/>
        <w:rPr>
          <w:rFonts w:ascii="宋体" w:hAnsi="宋体" w:cs="宋体"/>
          <w:bCs/>
          <w:sz w:val="24"/>
        </w:rPr>
      </w:pPr>
      <w:r>
        <w:rPr>
          <w:rFonts w:ascii="宋体" w:hAnsi="宋体" w:cs="宋体"/>
          <w:bCs/>
          <w:sz w:val="24"/>
        </w:rPr>
        <w:t xml:space="preserve">（3）合同履约期间，</w:t>
      </w:r>
      <w:r>
        <w:rPr>
          <w:rFonts w:hint="eastAsia" w:ascii="宋体" w:hAnsi="宋体" w:cs="宋体"/>
          <w:bCs/>
          <w:sz w:val="24"/>
        </w:rPr>
        <w:t xml:space="preserve">乙方</w:t>
      </w:r>
      <w:r>
        <w:rPr>
          <w:rFonts w:ascii="宋体" w:hAnsi="宋体" w:cs="宋体"/>
          <w:bCs/>
          <w:sz w:val="24"/>
        </w:rPr>
        <w:t xml:space="preserve">未能按照合同履行相关义务，造成</w:t>
      </w:r>
      <w:r>
        <w:rPr>
          <w:rFonts w:hint="eastAsia" w:ascii="宋体" w:hAnsi="宋体" w:cs="宋体"/>
          <w:bCs/>
          <w:sz w:val="24"/>
        </w:rPr>
        <w:t xml:space="preserve">甲方</w:t>
      </w:r>
      <w:r>
        <w:rPr>
          <w:rFonts w:ascii="宋体" w:hAnsi="宋体" w:cs="宋体"/>
          <w:bCs/>
          <w:sz w:val="24"/>
        </w:rPr>
        <w:t xml:space="preserve">经济损失的，</w:t>
      </w:r>
      <w:r>
        <w:rPr>
          <w:rFonts w:ascii="宋体" w:hAnsi="宋体" w:cs="宋体"/>
          <w:sz w:val="24"/>
        </w:rPr>
        <w:t xml:space="preserve">甲方有权依据保函约定进行索赔，在保函担保限额内弥补甲方损失；担保限额不足的，由乙方另行补足。</w:t>
      </w:r>
      <w:r/>
    </w:p>
    <w:p>
      <w:pPr>
        <w:ind w:firstLine="480"/>
        <w:spacing w:line="360" w:lineRule="auto"/>
        <w:rPr>
          <w:rFonts w:ascii="宋体" w:hAnsi="宋体" w:cs="宋体"/>
          <w:bCs/>
          <w:sz w:val="24"/>
        </w:rPr>
      </w:pPr>
      <w:r>
        <w:rPr>
          <w:rFonts w:ascii="宋体" w:hAnsi="宋体" w:cs="宋体"/>
          <w:bCs/>
          <w:sz w:val="24"/>
        </w:rPr>
        <w:t xml:space="preserve">（4）合同履约期满、考核合格，完成项目结算审计且无遗留纠纷的，履约保函担保责任自动解除，甲方可按乙方申请返还保函原件，保函不计利息。</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四、合同价款的支付：由区农业局及财政局验收小组验收合格</w:t>
      </w:r>
      <w:r>
        <w:rPr>
          <w:rFonts w:hint="eastAsia" w:ascii="宋体" w:hAnsi="宋体" w:cs="宋体"/>
          <w:bCs/>
          <w:sz w:val="24"/>
        </w:rPr>
        <w:t xml:space="preserve">后，经</w:t>
      </w:r>
      <w:r>
        <w:rPr>
          <w:rFonts w:hint="eastAsia" w:ascii="宋体" w:hAnsi="宋体" w:cs="宋体"/>
          <w:bCs/>
          <w:sz w:val="24"/>
          <w:lang w:val="zh-CN"/>
        </w:rPr>
        <w:t xml:space="preserve">审计</w:t>
      </w:r>
      <w:r>
        <w:rPr>
          <w:rFonts w:hint="eastAsia" w:ascii="宋体" w:hAnsi="宋体" w:cs="宋体"/>
          <w:bCs/>
          <w:sz w:val="24"/>
        </w:rPr>
        <w:t xml:space="preserve">公司结算审定后</w:t>
      </w:r>
      <w:r>
        <w:rPr>
          <w:rFonts w:hint="eastAsia" w:ascii="宋体" w:hAnsi="宋体" w:cs="宋体"/>
          <w:bCs/>
          <w:sz w:val="24"/>
          <w:lang w:val="zh-CN"/>
        </w:rPr>
        <w:t xml:space="preserve">支付。</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五、结算方式</w:t>
      </w:r>
      <w:r/>
    </w:p>
    <w:p>
      <w:pPr>
        <w:pStyle w:val="1000"/>
        <w:numPr>
          <w:ilvl w:val="0"/>
          <w:numId w:val="20"/>
        </w:numPr>
        <w:rPr>
          <w:rFonts w:hint="eastAsia"/>
        </w:rPr>
      </w:pPr>
      <w:r>
        <w:rPr>
          <w:rFonts w:hint="eastAsia"/>
        </w:rPr>
        <w:t xml:space="preserve">采用</w:t>
      </w:r>
      <w:r>
        <w:rPr>
          <w:rFonts w:hint="eastAsia"/>
          <w:b/>
          <w:bCs/>
        </w:rPr>
        <w:t xml:space="preserve">固定综合单价（含税）</w:t>
      </w:r>
      <w:r>
        <w:rPr>
          <w:rFonts w:hint="eastAsia"/>
        </w:rPr>
        <w:t xml:space="preserve">计价方式。芦苇收割暂估面积约 703 亩，水葫芦、漂浮垃圾打捞收运暂估工作量 300 亩（超出 300 亩部分，不予结算。）</w:t>
      </w:r>
      <w:r/>
    </w:p>
    <w:p>
      <w:pPr>
        <w:pStyle w:val="1000"/>
        <w:ind w:left="0" w:firstLine="480"/>
        <w:rPr>
          <w:rFonts w:hint="eastAsia"/>
        </w:rPr>
      </w:pPr>
      <w:r>
        <w:rPr>
          <w:rFonts w:hint="eastAsia" w:ascii="宋体" w:hAnsi="宋体" w:cs="宋体"/>
          <w:szCs w:val="24"/>
        </w:rPr>
        <w:t xml:space="preserve">单价：</w:t>
      </w:r>
      <w:r>
        <w:rPr>
          <w:rFonts w:ascii="宋体" w:hAnsi="宋体" w:cs="宋体"/>
          <w:szCs w:val="24"/>
        </w:rPr>
        <w:t xml:space="preserve">结算单价按</w:t>
      </w:r>
      <w:r>
        <w:rPr>
          <w:rFonts w:hint="eastAsia" w:ascii="宋体" w:hAnsi="宋体" w:cs="宋体"/>
          <w:szCs w:val="24"/>
        </w:rPr>
        <w:t xml:space="preserve">乙方</w:t>
      </w:r>
      <w:r>
        <w:rPr>
          <w:rFonts w:ascii="宋体" w:hAnsi="宋体" w:cs="宋体"/>
          <w:szCs w:val="24"/>
        </w:rPr>
        <w:t xml:space="preserve">的含税综合单价执行</w:t>
      </w:r>
      <w:r>
        <w:rPr>
          <w:rFonts w:hint="eastAsia"/>
        </w:rPr>
        <w:t xml:space="preserve">；</w:t>
      </w:r>
      <w:r/>
    </w:p>
    <w:p>
      <w:pPr>
        <w:pStyle w:val="1000"/>
        <w:ind w:left="0" w:firstLine="480"/>
        <w:rPr>
          <w:rFonts w:hint="eastAsia"/>
        </w:rPr>
      </w:pPr>
      <w:r>
        <w:rPr>
          <w:rFonts w:hint="eastAsia" w:ascii="宋体" w:hAnsi="宋体" w:cs="宋体"/>
          <w:szCs w:val="24"/>
        </w:rPr>
        <w:t xml:space="preserve">数量：</w:t>
      </w:r>
      <w:r>
        <w:rPr>
          <w:rFonts w:ascii="宋体" w:hAnsi="宋体" w:cs="宋体"/>
          <w:szCs w:val="24"/>
        </w:rPr>
        <w:t xml:space="preserve">每一合同周期届满，结算数量由</w:t>
      </w:r>
      <w:r>
        <w:rPr>
          <w:rFonts w:hint="eastAsia" w:ascii="宋体" w:hAnsi="宋体" w:cs="宋体"/>
          <w:szCs w:val="24"/>
        </w:rPr>
        <w:t xml:space="preserve">甲方</w:t>
      </w:r>
      <w:r>
        <w:rPr>
          <w:rFonts w:ascii="宋体" w:hAnsi="宋体" w:cs="宋体"/>
          <w:szCs w:val="24"/>
        </w:rPr>
        <w:t xml:space="preserve">结合履约考核结果，报送审计单位审定，以审计审定实际作业数量作为结算依据。</w:t>
      </w:r>
      <w:r/>
    </w:p>
    <w:p>
      <w:pPr>
        <w:pStyle w:val="1000"/>
        <w:ind w:left="0" w:firstLine="480"/>
        <w:rPr>
          <w:rFonts w:ascii="宋体" w:hAnsi="宋体" w:cs="宋体"/>
          <w:szCs w:val="24"/>
        </w:rPr>
      </w:pPr>
      <w:r>
        <w:rPr>
          <w:rFonts w:ascii="宋体" w:hAnsi="宋体" w:cs="宋体"/>
          <w:szCs w:val="24"/>
        </w:rPr>
        <w:t xml:space="preserve">项目最终结算价款，须经</w:t>
      </w:r>
      <w:r>
        <w:rPr>
          <w:rFonts w:hint="eastAsia" w:ascii="宋体" w:hAnsi="宋体" w:cs="宋体"/>
          <w:szCs w:val="24"/>
        </w:rPr>
        <w:t xml:space="preserve">甲方</w:t>
      </w:r>
      <w:r>
        <w:rPr>
          <w:rFonts w:ascii="宋体" w:hAnsi="宋体" w:cs="宋体"/>
          <w:szCs w:val="24"/>
        </w:rPr>
        <w:t xml:space="preserve">履约考核、审计单位对履约状况、各类扣款事项审核确认后方可办理支付。</w:t>
      </w:r>
      <w:r/>
    </w:p>
    <w:p>
      <w:pPr>
        <w:pStyle w:val="1000"/>
        <w:ind w:left="0" w:firstLine="482"/>
        <w:rPr>
          <w:rStyle w:val="1004"/>
          <w:rFonts w:ascii="宋体" w:hAnsi="宋体" w:cs="宋体"/>
          <w:szCs w:val="24"/>
        </w:rPr>
      </w:pPr>
      <w:r>
        <w:rPr>
          <w:rFonts w:hint="eastAsia" w:ascii="宋体" w:hAnsi="宋体" w:cs="宋体"/>
          <w:b/>
          <w:bCs/>
          <w:szCs w:val="24"/>
        </w:rPr>
        <w:t xml:space="preserve">经审计本项目核减率达10%以上的审计费：10%以内（含10%）的审计费由甲方承担，超出10%的审计费由乙方承担并由甲方从乙方的合同款中扣除。</w:t>
      </w:r>
      <w:r/>
    </w:p>
    <w:p>
      <w:pPr>
        <w:pStyle w:val="1000"/>
        <w:ind w:left="0" w:firstLine="482"/>
        <w:rPr>
          <w:rStyle w:val="1004"/>
          <w:rFonts w:hint="eastAsia" w:ascii="宋体" w:hAnsi="宋体" w:cs="宋体"/>
          <w:szCs w:val="24"/>
        </w:rPr>
      </w:pPr>
      <w:r>
        <w:rPr>
          <w:rStyle w:val="1004"/>
          <w:rFonts w:hint="eastAsia" w:ascii="宋体" w:hAnsi="宋体" w:cs="宋体"/>
          <w:szCs w:val="24"/>
        </w:rPr>
        <w:t xml:space="preserve">每一年度甲方实际支付款项不超过该年度财政正式批复的项目预算安排金额。</w:t>
      </w:r>
      <w:r/>
    </w:p>
    <w:p>
      <w:pPr>
        <w:pStyle w:val="1000"/>
        <w:numPr>
          <w:ilvl w:val="0"/>
          <w:numId w:val="20"/>
        </w:numPr>
        <w:rPr>
          <w:rStyle w:val="1004"/>
          <w:rFonts w:hint="eastAsia" w:ascii="宋体" w:hAnsi="宋体" w:cs="宋体"/>
          <w:szCs w:val="24"/>
        </w:rPr>
      </w:pPr>
      <w:r>
        <w:rPr>
          <w:rStyle w:val="1004"/>
          <w:rFonts w:hint="eastAsia" w:ascii="宋体" w:hAnsi="宋体" w:cs="宋体"/>
          <w:szCs w:val="24"/>
        </w:rPr>
        <w:t xml:space="preserve">蓝藻打捞季期间，蓝藻打捞指定区域范围内产生的水面漂浮物（芦苇、茭草、水葫芦、漂浮垃圾等），已由蓝藻打捞服务单位打捞完成的，该部分已完成的作业内容，乙方无需重复实施作业。在本合同履约服务范围内（除蓝藻打捞指定区域以外），乙方正常进行打捞作业，蓝藻打捞季期间发生湖面垃圾打捞清运服务费按乙方的含税综合单价的 80% 予以结算。</w:t>
      </w:r>
      <w:r/>
    </w:p>
    <w:p>
      <w:pPr>
        <w:pStyle w:val="1000"/>
        <w:ind w:left="0" w:firstLine="0"/>
        <w:rPr>
          <w:rFonts w:hint="eastAsia"/>
        </w:rPr>
      </w:pPr>
      <w:r>
        <w:rPr>
          <w:rFonts w:hint="eastAsia"/>
          <w:b/>
          <w:bCs/>
        </w:rPr>
        <w:t xml:space="preserve">考核方式</w:t>
      </w:r>
      <w:r>
        <w:rPr>
          <w:rFonts w:hint="eastAsia"/>
        </w:rPr>
        <w:t xml:space="preserve">：实行平时现场监督管理与收割清运完毕验收相结合的方式进行考核。平时的现场监督管理与质量验收由常州市武进区西湖街道办事处进行，最终的面积确认以区农林局与财政局的验收小组的核算数据为准。</w:t>
      </w:r>
      <w:r/>
    </w:p>
    <w:p>
      <w:pPr>
        <w:pStyle w:val="1000"/>
        <w:ind w:left="0" w:firstLine="0"/>
        <w:rPr>
          <w:rFonts w:hint="eastAsia"/>
        </w:rPr>
      </w:pPr>
      <w:r>
        <w:rPr>
          <w:rFonts w:hint="eastAsia"/>
          <w:b/>
          <w:bCs/>
        </w:rPr>
        <w:t xml:space="preserve">考核结果：</w:t>
      </w:r>
      <w:r>
        <w:rPr>
          <w:rFonts w:hint="eastAsia"/>
        </w:rPr>
        <w:t xml:space="preserve">考核总分为 100 分，项目实施全过程考核结果在项目完成后汇总核算，最终得分按如下标准执行费用支付：</w:t>
      </w:r>
      <w:r/>
    </w:p>
    <w:p>
      <w:pPr>
        <w:pStyle w:val="1000"/>
        <w:ind w:left="0" w:firstLine="0"/>
        <w:rPr>
          <w:rFonts w:hint="eastAsia"/>
        </w:rPr>
      </w:pPr>
      <w:r>
        <w:rPr>
          <w:rFonts w:hint="eastAsia"/>
          <w:b/>
          <w:bCs/>
        </w:rPr>
        <w:t xml:space="preserve">优秀</w:t>
      </w:r>
      <w:r>
        <w:rPr>
          <w:rFonts w:hint="eastAsia"/>
        </w:rPr>
        <w:t xml:space="preserve">：96分≤得分≤100分，全额支付服务费；</w:t>
      </w:r>
      <w:r/>
    </w:p>
    <w:p>
      <w:pPr>
        <w:pStyle w:val="1000"/>
        <w:ind w:left="0" w:firstLine="0"/>
        <w:rPr>
          <w:rFonts w:hint="eastAsia"/>
        </w:rPr>
      </w:pPr>
      <w:r>
        <w:rPr>
          <w:rFonts w:hint="eastAsia"/>
          <w:b/>
          <w:bCs/>
        </w:rPr>
        <w:t xml:space="preserve">合格</w:t>
      </w:r>
      <w:r>
        <w:rPr>
          <w:rFonts w:hint="eastAsia"/>
        </w:rPr>
        <w:t xml:space="preserve">：91分≤得分≤95分，每低于95分1分，扣减服务费的1%（如95分扣1%、94分扣2%、93分扣3%、92分扣4%、91分扣5%）；</w:t>
      </w:r>
      <w:r/>
    </w:p>
    <w:p>
      <w:pPr>
        <w:pStyle w:val="1000"/>
        <w:ind w:left="0" w:firstLine="0"/>
        <w:rPr>
          <w:rFonts w:hint="eastAsia"/>
        </w:rPr>
      </w:pPr>
      <w:r>
        <w:rPr>
          <w:rFonts w:hint="eastAsia"/>
          <w:b/>
          <w:bCs/>
        </w:rPr>
        <w:t xml:space="preserve">基本合格</w:t>
      </w:r>
      <w:r>
        <w:rPr>
          <w:rFonts w:hint="eastAsia"/>
        </w:rPr>
        <w:t xml:space="preserve">：86分≤得分≤90分，扣减服务费的10%；</w:t>
      </w:r>
      <w:r/>
    </w:p>
    <w:p>
      <w:pPr>
        <w:pStyle w:val="1000"/>
        <w:ind w:left="0" w:firstLine="0"/>
        <w:rPr>
          <w:b/>
          <w:szCs w:val="24"/>
        </w:rPr>
      </w:pPr>
      <w:r>
        <w:rPr>
          <w:rFonts w:hint="eastAsia"/>
          <w:b/>
          <w:bCs/>
        </w:rPr>
        <w:t xml:space="preserve">不合格</w:t>
      </w:r>
      <w:r>
        <w:rPr>
          <w:rFonts w:hint="eastAsia"/>
        </w:rPr>
        <w:t xml:space="preserve">：得分≤85 分，扣减服务费的20%。</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七</w:t>
      </w:r>
      <w:r>
        <w:rPr>
          <w:rFonts w:hint="eastAsia" w:ascii="宋体" w:hAnsi="宋体" w:cs="宋体"/>
          <w:b/>
          <w:sz w:val="24"/>
          <w:lang w:val="zh-CN"/>
        </w:rPr>
        <w:t xml:space="preserve">条：验收标准</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验收标准：以农业局站、财政局验收小组验收合格为准。</w:t>
      </w:r>
      <w:r/>
    </w:p>
    <w:p>
      <w:pPr>
        <w:ind w:firstLine="480"/>
        <w:spacing w:line="360" w:lineRule="auto"/>
        <w:rPr>
          <w:rFonts w:hint="eastAsia" w:ascii="宋体" w:hAnsi="宋体" w:cs="宋体"/>
          <w:b/>
          <w:sz w:val="24"/>
          <w:lang w:val="zh-CN"/>
        </w:rPr>
      </w:pPr>
      <w:r>
        <w:rPr>
          <w:rFonts w:hint="eastAsia" w:ascii="宋体" w:hAnsi="宋体" w:cs="宋体"/>
          <w:b/>
          <w:sz w:val="24"/>
          <w:lang w:val="zh-CN"/>
        </w:rPr>
        <w:t xml:space="preserve">第</w:t>
      </w:r>
      <w:r>
        <w:rPr>
          <w:rFonts w:hint="eastAsia" w:ascii="宋体" w:hAnsi="宋体" w:cs="宋体"/>
          <w:b/>
          <w:sz w:val="24"/>
        </w:rPr>
        <w:t xml:space="preserve">八</w:t>
      </w:r>
      <w:r>
        <w:rPr>
          <w:rFonts w:hint="eastAsia" w:ascii="宋体" w:hAnsi="宋体" w:cs="宋体"/>
          <w:b/>
          <w:sz w:val="24"/>
          <w:lang w:val="zh-CN"/>
        </w:rPr>
        <w:t xml:space="preserve">条：违约处罚</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一、甲方不得无故解除合同。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二、乙方需严格按照甲方提出的标准要求完成芦苇收割清运处理</w:t>
      </w:r>
      <w:r>
        <w:rPr>
          <w:rFonts w:hint="eastAsia" w:ascii="宋体" w:hAnsi="宋体" w:cs="宋体"/>
          <w:bCs/>
          <w:sz w:val="24"/>
        </w:rPr>
        <w:t xml:space="preserve">及</w:t>
      </w:r>
      <w:r>
        <w:rPr>
          <w:rFonts w:hint="eastAsia"/>
          <w:sz w:val="24"/>
        </w:rPr>
        <w:t xml:space="preserve">沿湖岸线垃圾漂浮物（水葫芦、浮萍）打捞清理</w:t>
      </w:r>
      <w:r>
        <w:rPr>
          <w:rFonts w:hint="eastAsia" w:ascii="宋体" w:hAnsi="宋体" w:cs="宋体"/>
          <w:bCs/>
          <w:sz w:val="24"/>
          <w:lang w:val="zh-CN"/>
        </w:rPr>
        <w:t xml:space="preserve">等各项管护工作，如不能按时按标准完成，甲方有权对乙方进行经济处罚。</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九</w:t>
      </w:r>
      <w:r>
        <w:rPr>
          <w:rFonts w:hint="eastAsia" w:ascii="宋体" w:hAnsi="宋体" w:cs="宋体"/>
          <w:b/>
          <w:sz w:val="24"/>
          <w:lang w:val="zh-CN"/>
        </w:rPr>
        <w:t xml:space="preserve">条：</w:t>
      </w:r>
      <w:r>
        <w:rPr>
          <w:rFonts w:hint="eastAsia" w:ascii="宋体" w:hAnsi="宋体" w:cs="宋体"/>
          <w:bCs/>
          <w:sz w:val="24"/>
          <w:lang w:val="zh-CN"/>
        </w:rPr>
        <w:t xml:space="preserve">未尽事宜法规有规定的按规定执行；法律法规没有规定的，由甲乙双方在合法、平等的基础上，协商解决。</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第十条：</w:t>
      </w:r>
      <w:r>
        <w:rPr>
          <w:rFonts w:hint="eastAsia" w:ascii="宋体" w:hAnsi="宋体" w:cs="宋体"/>
          <w:bCs/>
          <w:sz w:val="24"/>
          <w:lang w:val="zh-CN"/>
        </w:rPr>
        <w:t xml:space="preserve">合同经甲乙双方签字并盖章之日起生效</w:t>
      </w:r>
      <w:r/>
    </w:p>
    <w:p>
      <w:pPr>
        <w:ind w:firstLine="480"/>
        <w:spacing w:line="360" w:lineRule="auto"/>
        <w:rPr>
          <w:rFonts w:hint="eastAsia" w:ascii="宋体" w:hAnsi="宋体" w:cs="宋体"/>
          <w:bCs/>
          <w:sz w:val="24"/>
          <w:lang w:val="zh-CN"/>
        </w:rPr>
      </w:pPr>
      <w:r>
        <w:rPr>
          <w:rFonts w:hint="eastAsia" w:ascii="宋体" w:hAnsi="宋体" w:cs="宋体"/>
          <w:b/>
          <w:sz w:val="24"/>
          <w:lang w:val="zh-CN"/>
        </w:rPr>
        <w:t xml:space="preserve">第</w:t>
      </w:r>
      <w:r>
        <w:rPr>
          <w:rFonts w:hint="eastAsia" w:ascii="宋体" w:hAnsi="宋体" w:cs="宋体"/>
          <w:b/>
          <w:sz w:val="24"/>
        </w:rPr>
        <w:t xml:space="preserve">十一</w:t>
      </w:r>
      <w:r>
        <w:rPr>
          <w:rFonts w:hint="eastAsia" w:ascii="宋体" w:hAnsi="宋体" w:cs="宋体"/>
          <w:b/>
          <w:sz w:val="24"/>
          <w:lang w:val="zh-CN"/>
        </w:rPr>
        <w:t xml:space="preserve">条：</w:t>
      </w:r>
      <w:r>
        <w:rPr>
          <w:rFonts w:hint="eastAsia" w:ascii="宋体" w:hAnsi="宋体" w:cs="宋体"/>
          <w:bCs/>
          <w:sz w:val="24"/>
          <w:lang w:val="zh-CN"/>
        </w:rPr>
        <w:t xml:space="preserve">此合同一式</w:t>
      </w:r>
      <w:r>
        <w:rPr>
          <w:rFonts w:hint="eastAsia" w:ascii="宋体" w:hAnsi="宋体" w:cs="宋体"/>
          <w:bCs/>
          <w:sz w:val="24"/>
        </w:rPr>
        <w:t xml:space="preserve">伍</w:t>
      </w:r>
      <w:r>
        <w:rPr>
          <w:rFonts w:hint="eastAsia" w:ascii="宋体" w:hAnsi="宋体" w:cs="宋体"/>
          <w:bCs/>
          <w:sz w:val="24"/>
          <w:lang w:val="zh-CN"/>
        </w:rPr>
        <w:t xml:space="preserve">份，甲方、乙方各</w:t>
      </w:r>
      <w:r>
        <w:rPr>
          <w:rFonts w:hint="eastAsia" w:ascii="宋体" w:hAnsi="宋体" w:cs="宋体"/>
          <w:bCs/>
          <w:sz w:val="24"/>
        </w:rPr>
        <w:t xml:space="preserve">贰</w:t>
      </w:r>
      <w:r>
        <w:rPr>
          <w:rFonts w:hint="eastAsia" w:ascii="宋体" w:hAnsi="宋体" w:cs="宋体"/>
          <w:bCs/>
          <w:sz w:val="24"/>
          <w:lang w:val="zh-CN"/>
        </w:rPr>
        <w:t xml:space="preserve">份，</w:t>
      </w:r>
      <w:r>
        <w:rPr>
          <w:rFonts w:hint="eastAsia" w:ascii="宋体" w:hAnsi="宋体" w:cs="宋体"/>
          <w:bCs/>
          <w:sz w:val="24"/>
        </w:rPr>
        <w:t xml:space="preserve">代理机构壹</w:t>
      </w:r>
      <w:r>
        <w:rPr>
          <w:rFonts w:hint="eastAsia" w:ascii="宋体" w:hAnsi="宋体" w:cs="宋体"/>
          <w:bCs/>
          <w:sz w:val="24"/>
          <w:lang w:val="zh-CN"/>
        </w:rPr>
        <w:t xml:space="preserve">份。</w:t>
      </w:r>
      <w:r/>
    </w:p>
    <w:p>
      <w:pPr>
        <w:ind w:firstLine="480"/>
        <w:spacing w:line="360" w:lineRule="auto"/>
        <w:rPr>
          <w:rFonts w:hint="eastAsia" w:ascii="宋体" w:hAnsi="宋体" w:cs="宋体"/>
          <w:bCs/>
          <w:sz w:val="24"/>
          <w:lang w:val="zh-CN"/>
        </w:rPr>
      </w:pPr>
      <w:r>
        <w:rPr>
          <w:rFonts w:hint="eastAsia" w:ascii="宋体" w:hAnsi="宋体" w:cs="宋体"/>
          <w:bCs/>
          <w:sz w:val="24"/>
          <w:lang w:val="zh-CN"/>
        </w:rPr>
      </w:r>
      <w:r/>
    </w:p>
    <w:p>
      <w:pPr>
        <w:ind w:firstLine="480"/>
        <w:spacing w:line="360" w:lineRule="auto"/>
        <w:rPr>
          <w:rFonts w:hint="eastAsia" w:ascii="宋体" w:hAnsi="宋体" w:cs="宋体"/>
          <w:bCs/>
          <w:sz w:val="24"/>
          <w:lang w:val="zh-CN"/>
        </w:rPr>
      </w:pPr>
      <w:r>
        <w:rPr>
          <w:rFonts w:hint="eastAsia" w:ascii="宋体" w:hAnsi="宋体" w:cs="宋体"/>
          <w:bCs/>
          <w:sz w:val="24"/>
          <w:lang w:val="zh-CN"/>
        </w:rPr>
        <w:br w:type="page" w:clear="all"/>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招标人（盖章）：                中标人（盖章）：            </w:t>
      </w:r>
      <w:r/>
    </w:p>
    <w:p>
      <w:pPr>
        <w:ind w:firstLine="480"/>
        <w:spacing w:line="360" w:lineRule="auto"/>
        <w:rPr>
          <w:rFonts w:hint="eastAsia" w:ascii="宋体" w:hAnsi="宋体" w:cs="宋体"/>
          <w:bCs/>
          <w:sz w:val="24"/>
          <w:lang w:val="zh-CN"/>
        </w:rPr>
      </w:pPr>
      <w:r>
        <w:rPr>
          <w:rFonts w:hint="eastAsia" w:ascii="宋体" w:hAnsi="宋体" w:cs="宋体"/>
          <w:bCs/>
          <w:sz w:val="24"/>
          <w:lang w:val="zh-CN"/>
        </w:rPr>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地址：常州市武进区稻香路2号    地址：      </w:t>
      </w:r>
      <w:r/>
    </w:p>
    <w:p>
      <w:pPr>
        <w:ind w:firstLine="480"/>
        <w:spacing w:line="360" w:lineRule="auto"/>
        <w:rPr>
          <w:rFonts w:hint="eastAsia" w:ascii="宋体" w:hAnsi="宋体" w:cs="宋体"/>
          <w:bCs/>
          <w:sz w:val="24"/>
          <w:lang w:val="zh-CN"/>
        </w:rPr>
      </w:pPr>
      <w:r>
        <w:rPr>
          <w:rFonts w:hint="eastAsia" w:ascii="宋体" w:hAnsi="宋体" w:cs="宋体"/>
          <w:bCs/>
          <w:sz w:val="24"/>
          <w:lang w:val="zh-CN"/>
        </w:rPr>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法定（授权）代表人：            法定（授权）代表人：</w:t>
      </w:r>
      <w:r/>
    </w:p>
    <w:p>
      <w:pPr>
        <w:ind w:firstLine="480"/>
        <w:spacing w:line="360" w:lineRule="auto"/>
        <w:rPr>
          <w:rFonts w:hint="eastAsia" w:ascii="宋体" w:hAnsi="宋体" w:cs="宋体"/>
          <w:bCs/>
          <w:sz w:val="24"/>
          <w:lang w:val="zh-CN"/>
        </w:rPr>
      </w:pPr>
      <w:r>
        <w:rPr>
          <w:rFonts w:hint="eastAsia" w:ascii="宋体" w:hAnsi="宋体" w:cs="宋体"/>
          <w:bCs/>
          <w:sz w:val="24"/>
          <w:lang w:val="zh-CN"/>
        </w:rPr>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202</w:t>
      </w:r>
      <w:r>
        <w:rPr>
          <w:rFonts w:hint="eastAsia" w:ascii="宋体" w:hAnsi="宋体" w:cs="宋体"/>
          <w:bCs/>
          <w:sz w:val="24"/>
        </w:rPr>
        <w:t xml:space="preserve">6</w:t>
      </w:r>
      <w:r>
        <w:rPr>
          <w:rFonts w:hint="eastAsia" w:ascii="宋体" w:hAnsi="宋体" w:cs="宋体"/>
          <w:bCs/>
          <w:sz w:val="24"/>
          <w:lang w:val="zh-CN"/>
        </w:rPr>
        <w:t xml:space="preserve">年   月    日                    202</w:t>
      </w:r>
      <w:r>
        <w:rPr>
          <w:rFonts w:hint="eastAsia" w:ascii="宋体" w:hAnsi="宋体" w:cs="宋体"/>
          <w:bCs/>
          <w:sz w:val="24"/>
        </w:rPr>
        <w:t xml:space="preserve">6</w:t>
      </w:r>
      <w:r>
        <w:rPr>
          <w:rFonts w:hint="eastAsia" w:ascii="宋体" w:hAnsi="宋体" w:cs="宋体"/>
          <w:bCs/>
          <w:sz w:val="24"/>
          <w:lang w:val="zh-CN"/>
        </w:rPr>
        <w:t xml:space="preserve">年   月   日</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                            中标人户名：</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                            中标人开户银行：</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                            中标人帐号：</w:t>
      </w:r>
      <w:r/>
    </w:p>
    <w:p>
      <w:pPr>
        <w:ind w:firstLine="480"/>
        <w:spacing w:line="360" w:lineRule="auto"/>
        <w:rPr>
          <w:rFonts w:hint="eastAsia" w:ascii="宋体" w:hAnsi="宋体" w:cs="宋体"/>
          <w:bCs/>
          <w:sz w:val="24"/>
          <w:lang w:val="zh-CN"/>
        </w:rPr>
      </w:pPr>
      <w:r>
        <w:rPr>
          <w:rFonts w:hint="eastAsia" w:ascii="宋体" w:hAnsi="宋体" w:cs="宋体"/>
          <w:bCs/>
          <w:sz w:val="24"/>
          <w:lang w:val="zh-CN"/>
        </w:rPr>
      </w:r>
      <w:r/>
    </w:p>
    <w:p>
      <w:pPr>
        <w:spacing w:line="380" w:lineRule="exact"/>
        <w:rPr>
          <w:rFonts w:cs="宋体"/>
          <w:sz w:val="24"/>
        </w:rPr>
      </w:pPr>
      <w:r>
        <w:rPr>
          <w:rFonts w:hint="eastAsia" w:cs="宋体"/>
          <w:sz w:val="24"/>
        </w:rPr>
        <w:t xml:space="preserve">采购代理机构（备案方）：</w:t>
      </w:r>
      <w:r/>
    </w:p>
    <w:p>
      <w:pPr>
        <w:spacing w:line="380" w:lineRule="exact"/>
        <w:rPr>
          <w:rFonts w:cs="宋体"/>
          <w:sz w:val="24"/>
        </w:rPr>
      </w:pPr>
      <w:r/>
      <w:bookmarkStart w:id="815" w:name="_Toc34226253"/>
      <w:r>
        <w:rPr>
          <w:rFonts w:hint="eastAsia" w:cs="宋体"/>
          <w:sz w:val="24"/>
        </w:rPr>
        <w:t xml:space="preserve">单位名称（章）</w:t>
      </w:r>
      <w:bookmarkEnd w:id="815"/>
      <w:r>
        <w:rPr>
          <w:rFonts w:hint="eastAsia" w:cs="宋体"/>
          <w:sz w:val="24"/>
          <w:u w:val="single"/>
        </w:rPr>
        <w:t xml:space="preserve">常州中平招投标咨询服务有限公司</w:t>
      </w:r>
      <w:r/>
    </w:p>
    <w:p>
      <w:pPr>
        <w:spacing w:line="380" w:lineRule="exact"/>
        <w:rPr>
          <w:rFonts w:ascii="宋体" w:hAnsi="宋体" w:cs="宋体"/>
          <w:sz w:val="24"/>
        </w:rPr>
      </w:pPr>
      <w:r>
        <w:rPr>
          <w:rFonts w:hint="eastAsia" w:ascii="宋体" w:hAnsi="宋体" w:cs="宋体"/>
          <w:sz w:val="24"/>
        </w:rPr>
        <w:t xml:space="preserve">单 位 地 址：</w:t>
      </w:r>
      <w:r>
        <w:rPr>
          <w:rFonts w:hint="eastAsia" w:ascii="宋体" w:hAnsi="宋体" w:cs="宋体"/>
          <w:sz w:val="24"/>
          <w:u w:val="single"/>
        </w:rPr>
        <w:t xml:space="preserve">常州市武进区紫廷名苑商铺1号二楼</w:t>
      </w:r>
      <w:r/>
    </w:p>
    <w:p>
      <w:pPr>
        <w:pStyle w:val="972"/>
        <w:spacing w:line="300" w:lineRule="auto"/>
        <w:rPr>
          <w:rFonts w:hAnsi="宋体" w:cs="宋体"/>
          <w:sz w:val="24"/>
          <w:szCs w:val="24"/>
        </w:rPr>
      </w:pPr>
      <w:r>
        <w:rPr>
          <w:rFonts w:hAnsi="宋体" w:cs="宋体"/>
          <w:sz w:val="24"/>
          <w:szCs w:val="24"/>
        </w:rPr>
        <w:t xml:space="preserve">备 案 日 期：    年    月    日</w:t>
      </w:r>
      <w:r/>
    </w:p>
    <w:p>
      <w:pPr>
        <w:spacing w:line="324" w:lineRule="auto"/>
        <w:rPr>
          <w:rFonts w:hint="eastAsia" w:ascii="宋体" w:hAnsi="Courier New"/>
          <w:sz w:val="32"/>
          <w:szCs w:val="20"/>
        </w:rPr>
      </w:pPr>
      <w:r>
        <w:rPr>
          <w:rFonts w:hint="eastAsia" w:ascii="宋体" w:hAnsi="Courier New"/>
          <w:sz w:val="32"/>
          <w:szCs w:val="20"/>
        </w:rPr>
      </w:r>
      <w:r/>
    </w:p>
    <w:p>
      <w:pPr>
        <w:spacing w:line="360" w:lineRule="auto"/>
        <w:tabs>
          <w:tab w:val="left" w:pos="900" w:leader="none"/>
          <w:tab w:val="left" w:pos="1080" w:leader="none"/>
        </w:tabs>
        <w:rPr>
          <w:sz w:val="18"/>
          <w:szCs w:val="18"/>
        </w:rPr>
      </w:pPr>
      <w:r>
        <w:rPr>
          <w:rFonts w:hint="eastAsia" w:cs="宋体"/>
          <w:b/>
          <w:sz w:val="24"/>
        </w:rPr>
        <w:t xml:space="preserve">注：以上合同供参考，具体以双方协商一致后签订的合同为准。</w:t>
      </w:r>
      <w:r/>
    </w:p>
    <w:p>
      <w:pPr>
        <w:jc w:val="center"/>
        <w:spacing w:line="360" w:lineRule="auto"/>
        <w:rPr>
          <w:b/>
          <w:sz w:val="36"/>
          <w:szCs w:val="36"/>
        </w:rPr>
        <w:outlineLvl w:val="0"/>
      </w:pPr>
      <w:r/>
      <w:bookmarkStart w:id="816" w:name="_Toc99301426"/>
      <w:r>
        <w:rPr>
          <w:b/>
          <w:sz w:val="36"/>
          <w:szCs w:val="36"/>
        </w:rPr>
        <w:br w:type="page" w:clear="all"/>
      </w:r>
      <w:r>
        <w:rPr>
          <w:b/>
          <w:sz w:val="36"/>
          <w:szCs w:val="36"/>
        </w:rPr>
        <w:t xml:space="preserve">第七章   投标文件格式</w:t>
      </w:r>
      <w:bookmarkEnd w:id="816"/>
      <w:r/>
      <w:r/>
    </w:p>
    <w:p>
      <w:pPr>
        <w:ind w:left="420"/>
        <w:spacing w:line="360" w:lineRule="auto"/>
        <w:tabs>
          <w:tab w:val="left" w:pos="900" w:leader="none"/>
          <w:tab w:val="left" w:pos="1980" w:leader="none"/>
        </w:tabs>
        <w:rPr>
          <w:rFonts w:hint="eastAsia" w:ascii="宋体" w:hAnsi="宋体"/>
          <w:b/>
          <w:bCs/>
          <w:sz w:val="24"/>
        </w:rPr>
        <w:outlineLvl w:val="1"/>
      </w:pPr>
      <w:r>
        <w:rPr>
          <w:rFonts w:hint="eastAsia" w:ascii="宋体" w:hAnsi="宋体"/>
          <w:b/>
          <w:bCs/>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rFonts w:hint="eastAsia"/>
          <w:sz w:val="24"/>
        </w:rPr>
        <w:t xml:space="preserve">投标人</w:t>
      </w:r>
      <w:r>
        <w:rPr>
          <w:sz w:val="24"/>
        </w:rPr>
        <w:t xml:space="preserve">按照本部分的顺序编制</w:t>
      </w:r>
      <w:r>
        <w:rPr>
          <w:rFonts w:hint="eastAsia"/>
          <w:sz w:val="24"/>
        </w:rPr>
        <w:t xml:space="preserve">投标</w:t>
      </w:r>
      <w:r>
        <w:rPr>
          <w:sz w:val="24"/>
        </w:rPr>
        <w:t xml:space="preserve">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sz w:val="24"/>
        </w:rPr>
        <w:t xml:space="preserve">签字</w:t>
      </w:r>
      <w:r>
        <w:rPr>
          <w:rFonts w:hint="eastAsia"/>
          <w:sz w:val="24"/>
        </w:rPr>
        <w:t xml:space="preserve">、签章</w:t>
      </w:r>
      <w:r>
        <w:rPr>
          <w:sz w:val="24"/>
        </w:rPr>
        <w:t xml:space="preserve">或</w:t>
      </w:r>
      <w:r>
        <w:rPr>
          <w:rFonts w:hint="eastAsia"/>
          <w:sz w:val="24"/>
        </w:rPr>
        <w:t xml:space="preserve">印鉴。</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p>
    <w:p>
      <w:pPr>
        <w:jc w:val="left"/>
        <w:keepLines/>
        <w:keepNext/>
        <w:spacing w:before="120" w:line="300" w:lineRule="auto"/>
        <w:rPr>
          <w:b/>
          <w:sz w:val="30"/>
          <w:szCs w:val="20"/>
        </w:rPr>
        <w:outlineLvl w:val="1"/>
      </w:pPr>
      <w:r>
        <w:rPr>
          <w:b/>
          <w:spacing w:val="20"/>
          <w:sz w:val="24"/>
        </w:rPr>
        <w:br w:type="page" w:clear="all"/>
      </w: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outlineLvl w:val="1"/>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numPr>
          <w:ilvl w:val="0"/>
          <w:numId w:val="21"/>
        </w:numPr>
        <w:spacing w:line="360" w:lineRule="auto"/>
        <w:rPr>
          <w:sz w:val="24"/>
          <w:szCs w:val="20"/>
        </w:rPr>
        <w:outlineLvl w:val="2"/>
      </w:pPr>
      <w:r>
        <w:rPr>
          <w:sz w:val="24"/>
        </w:rPr>
        <w:t xml:space="preserve">满足《中华人民共和国政府采购法》第二十二条规定及法律法规的其他规定</w:t>
      </w:r>
      <w:r/>
    </w:p>
    <w:p>
      <w:pPr>
        <w:pStyle w:val="93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36"/>
        <w:ind w:firstLine="480"/>
        <w:spacing w:line="460" w:lineRule="exact"/>
      </w:pPr>
      <w:r/>
      <w:r/>
    </w:p>
    <w:p>
      <w:pPr>
        <w:pStyle w:val="936"/>
        <w:ind w:firstLine="480"/>
        <w:spacing w:line="460" w:lineRule="exact"/>
      </w:pPr>
      <w:r>
        <w:rPr>
          <w:rFonts w:hint="eastAsia"/>
        </w:rPr>
        <w:t xml:space="preserve">致：常州中平招投标咨询服务有限公司</w:t>
      </w:r>
      <w:r/>
    </w:p>
    <w:p>
      <w:pPr>
        <w:pStyle w:val="936"/>
        <w:ind w:firstLine="960"/>
        <w:spacing w:line="460" w:lineRule="exact"/>
        <w:rPr>
          <w:u w:val="single"/>
        </w:rPr>
      </w:pPr>
      <w:r>
        <w:rPr>
          <w:rFonts w:hint="eastAsia"/>
          <w:u w:val="single"/>
        </w:rPr>
        <w:t xml:space="preserve">（采购人名称）</w:t>
      </w:r>
      <w:r/>
    </w:p>
    <w:p>
      <w:pPr>
        <w:pStyle w:val="936"/>
        <w:ind w:firstLine="480"/>
        <w:spacing w:line="460" w:lineRule="exact"/>
      </w:pPr>
      <w:r/>
      <w:r/>
    </w:p>
    <w:p>
      <w:pPr>
        <w:pStyle w:val="936"/>
        <w:ind w:firstLine="480"/>
        <w:spacing w:line="460" w:lineRule="exact"/>
      </w:pPr>
      <w:r>
        <w:rPr>
          <w:rFonts w:hint="eastAsia"/>
        </w:rPr>
        <w:t xml:space="preserve">按照《中华人民共和国政府采购法》第二十二条和招标文件的规定，我单位郑重声明如下：</w:t>
      </w:r>
      <w:r/>
    </w:p>
    <w:p>
      <w:pPr>
        <w:pStyle w:val="93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6"/>
        <w:ind w:firstLine="480"/>
        <w:spacing w:line="460" w:lineRule="exact"/>
      </w:pPr>
      <w:r>
        <w:rPr>
          <w:rFonts w:hint="eastAsia"/>
        </w:rPr>
        <w:t xml:space="preserve">二、我单位具有良好的商业信誉（指投标人经营状况良好，无本资格声明第十条情形）和健全的财务会计制度。</w:t>
      </w:r>
      <w:r/>
    </w:p>
    <w:p>
      <w:pPr>
        <w:pStyle w:val="936"/>
        <w:ind w:firstLine="480"/>
        <w:spacing w:line="460" w:lineRule="exact"/>
      </w:pPr>
      <w:r>
        <w:rPr>
          <w:rFonts w:hint="eastAsia"/>
        </w:rPr>
        <w:t xml:space="preserve">三、我单位依法进行纳税和社会保险申报并实际履行了义务。</w:t>
      </w:r>
      <w:r/>
    </w:p>
    <w:p>
      <w:pPr>
        <w:pStyle w:val="93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6"/>
        <w:ind w:firstLine="480"/>
        <w:spacing w:line="460" w:lineRule="exact"/>
      </w:pPr>
      <w:r>
        <w:rPr>
          <w:rFonts w:hint="eastAsia"/>
        </w:rPr>
        <w:t xml:space="preserve">主要设备有：</w:t>
      </w:r>
      <w:r>
        <w:rPr>
          <w:u w:val="single"/>
        </w:rPr>
        <w:t xml:space="preserve">            </w:t>
      </w:r>
      <w:r/>
    </w:p>
    <w:p>
      <w:pPr>
        <w:pStyle w:val="936"/>
        <w:ind w:firstLine="480"/>
        <w:spacing w:line="460" w:lineRule="exact"/>
      </w:pPr>
      <w:r>
        <w:rPr>
          <w:rFonts w:hint="eastAsia"/>
        </w:rPr>
        <w:t xml:space="preserve">主要专业技术能力有</w:t>
      </w:r>
      <w:r>
        <w:rPr>
          <w:rFonts w:hint="eastAsia"/>
          <w:u w:val="single"/>
        </w:rPr>
        <w:t xml:space="preserve">                 </w:t>
      </w:r>
      <w:r/>
    </w:p>
    <w:p>
      <w:pPr>
        <w:pStyle w:val="93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6"/>
        <w:ind w:firstLine="480"/>
        <w:spacing w:line="460" w:lineRule="exact"/>
      </w:pPr>
      <w:r>
        <w:rPr>
          <w:rFonts w:hint="eastAsia"/>
        </w:rPr>
        <w:t xml:space="preserve">六、我单位具备法律、行政法规规定的其他条件。</w:t>
      </w:r>
      <w:r/>
    </w:p>
    <w:p>
      <w:pPr>
        <w:pStyle w:val="93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6"/>
        <w:ind w:firstLine="480"/>
        <w:spacing w:line="460" w:lineRule="exact"/>
      </w:pPr>
      <w:r>
        <w:rPr>
          <w:rFonts w:hint="eastAsia"/>
        </w:rPr>
        <w:t xml:space="preserve">九、</w:t>
      </w:r>
      <w:r>
        <w:t xml:space="preserve">我单位无以下不良信用记录情形：</w:t>
      </w:r>
      <w:r/>
    </w:p>
    <w:p>
      <w:pPr>
        <w:pStyle w:val="936"/>
        <w:ind w:firstLine="480"/>
        <w:spacing w:line="460" w:lineRule="exact"/>
      </w:pPr>
      <w:r>
        <w:t xml:space="preserve">1</w:t>
      </w:r>
      <w:r>
        <w:rPr>
          <w:rFonts w:hint="eastAsia"/>
        </w:rPr>
        <w:t xml:space="preserve">、在“信用中国”网站被列入失信被执行人和重大税收违法案件当事人名单；</w:t>
      </w:r>
      <w:r/>
    </w:p>
    <w:p>
      <w:pPr>
        <w:pStyle w:val="936"/>
        <w:ind w:firstLine="480"/>
        <w:spacing w:line="460" w:lineRule="exact"/>
      </w:pPr>
      <w:r>
        <w:t xml:space="preserve">2</w:t>
      </w:r>
      <w:r>
        <w:rPr>
          <w:rFonts w:hint="eastAsia"/>
        </w:rPr>
        <w:t xml:space="preserve">、在“中国政府采购网”网站被列入政府采购严重违法失信行为记录名单；</w:t>
      </w:r>
      <w:r/>
    </w:p>
    <w:p>
      <w:pPr>
        <w:pStyle w:val="936"/>
        <w:ind w:firstLine="480"/>
        <w:spacing w:line="460" w:lineRule="exact"/>
      </w:pPr>
      <w:r>
        <w:t xml:space="preserve">3</w:t>
      </w:r>
      <w:r>
        <w:rPr>
          <w:rFonts w:hint="eastAsia"/>
        </w:rPr>
        <w:t xml:space="preserve">、</w:t>
      </w:r>
      <w:r>
        <w:t xml:space="preserve">不符合《政府采购法》第二十二条规定的条件。</w:t>
      </w:r>
      <w:r/>
    </w:p>
    <w:p>
      <w:pPr>
        <w:pStyle w:val="936"/>
        <w:ind w:firstLine="480"/>
        <w:spacing w:line="460" w:lineRule="exact"/>
      </w:pPr>
      <w:r/>
      <w:r/>
    </w:p>
    <w:p>
      <w:pPr>
        <w:pStyle w:val="93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6"/>
        <w:ind w:firstLine="480"/>
        <w:spacing w:line="460" w:lineRule="exact"/>
      </w:pPr>
      <w:r/>
      <w:r/>
    </w:p>
    <w:p>
      <w:pPr>
        <w:pStyle w:val="936"/>
        <w:ind w:firstLine="480"/>
        <w:spacing w:line="460" w:lineRule="exact"/>
      </w:pPr>
      <w:r/>
      <w:r/>
    </w:p>
    <w:p>
      <w:pPr>
        <w:pStyle w:val="936"/>
        <w:ind w:firstLine="480"/>
        <w:spacing w:line="460" w:lineRule="exact"/>
      </w:pPr>
      <w:r>
        <w:rPr>
          <w:rFonts w:hint="eastAsia"/>
        </w:rPr>
        <w:t xml:space="preserve">                                            投标人：（加盖公章）</w:t>
      </w:r>
      <w:r/>
    </w:p>
    <w:p>
      <w:pPr>
        <w:pStyle w:val="936"/>
        <w:ind w:firstLine="480"/>
        <w:spacing w:line="460" w:lineRule="exact"/>
      </w:pPr>
      <w:r>
        <w:rPr>
          <w:rFonts w:hint="eastAsia"/>
        </w:rPr>
        <w:t xml:space="preserve">                                           法定代表人（或单位负责人）签字或盖章：</w:t>
      </w:r>
      <w:r/>
    </w:p>
    <w:p>
      <w:pPr>
        <w:pStyle w:val="936"/>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21"/>
        </w:numPr>
        <w:spacing w:line="360" w:lineRule="auto"/>
        <w:rPr>
          <w:sz w:val="24"/>
          <w:szCs w:val="20"/>
        </w:rPr>
        <w:outlineLvl w:val="2"/>
      </w:pPr>
      <w:r>
        <w:rPr>
          <w:sz w:val="24"/>
          <w:szCs w:val="20"/>
        </w:rPr>
        <w:t xml:space="preserve">落实政府采购政策需满足的资格要求</w:t>
      </w:r>
      <w:r/>
    </w:p>
    <w:p>
      <w:pPr>
        <w:spacing w:line="360" w:lineRule="auto"/>
        <w:rPr>
          <w:sz w:val="24"/>
          <w:szCs w:val="20"/>
        </w:rPr>
        <w:outlineLvl w:val="2"/>
      </w:pPr>
      <w:r>
        <w:rPr>
          <w:sz w:val="24"/>
          <w:szCs w:val="20"/>
        </w:rPr>
        <w:t xml:space="preserve">2-1中小企业声明函</w:t>
      </w:r>
      <w:r>
        <w:rPr>
          <w:sz w:val="22"/>
          <w:szCs w:val="28"/>
        </w:rPr>
        <w:t xml:space="preserve">（实质性格式）</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t xml:space="preserve">http://202.106.120.146/baosong/appweb/orgScale.html</w:t>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left"/>
        <w:widowControl/>
        <w:rPr>
          <w:b/>
          <w:bCs/>
          <w:sz w:val="24"/>
        </w:rPr>
      </w:pPr>
      <w:r>
        <w:rPr>
          <w:b/>
          <w:bCs/>
          <w:sz w:val="24"/>
        </w:rPr>
        <w:br w:type="page" w:clear="all"/>
      </w:r>
      <w:r/>
    </w:p>
    <w:p>
      <w:pPr>
        <w:jc w:val="center"/>
        <w:spacing w:before="240" w:after="240" w:line="360" w:lineRule="auto"/>
        <w:rPr>
          <w:b/>
          <w:bCs/>
          <w:sz w:val="36"/>
          <w:szCs w:val="36"/>
        </w:rPr>
      </w:pPr>
      <w:r>
        <w:rPr>
          <w:b/>
          <w:bCs/>
          <w:sz w:val="36"/>
          <w:szCs w:val="36"/>
        </w:rPr>
        <w:t xml:space="preserve">中小企业声明函（工程、服务）格式</w:t>
      </w:r>
      <w:r/>
    </w:p>
    <w:p>
      <w:pPr>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2"/>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p>
    <w:p>
      <w:pPr>
        <w:numPr>
          <w:ilvl w:val="0"/>
          <w:numId w:val="22"/>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jc w:val="left"/>
        <w:spacing w:line="360" w:lineRule="auto"/>
        <w:rPr>
          <w:sz w:val="24"/>
        </w:rPr>
      </w:pPr>
      <w:r>
        <w:rPr>
          <w:sz w:val="24"/>
        </w:rPr>
        <w:t xml:space="preserve">……</w:t>
      </w:r>
      <w:r/>
    </w:p>
    <w:p>
      <w:pPr>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ind w:right="360" w:firstLine="480"/>
        <w:jc w:val="right"/>
        <w:spacing w:line="360" w:lineRule="auto"/>
        <w:rPr>
          <w:sz w:val="24"/>
        </w:rPr>
      </w:pPr>
      <w:r>
        <w:rPr>
          <w:sz w:val="24"/>
        </w:rPr>
      </w:r>
      <w:r/>
    </w:p>
    <w:p>
      <w:pPr>
        <w:jc w:val="left"/>
        <w:rPr>
          <w:sz w:val="24"/>
          <w:szCs w:val="21"/>
        </w:rPr>
      </w:pPr>
      <w:r>
        <w:rPr>
          <w:sz w:val="24"/>
          <w:szCs w:val="21"/>
        </w:rPr>
      </w:r>
      <w:r/>
    </w:p>
    <w:tbl>
      <w:tblPr>
        <w:tblStyle w:val="765"/>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Times New Roman" w:hAnsi="Times New Roman" w:cs="Times New Roman"/>
                <w:szCs w:val="21"/>
              </w:rPr>
            </w:pPr>
            <w:r>
              <w:rPr>
                <w:rFonts w:ascii="Times New Roman" w:hAnsi="Times New Roman" w:cs="Times New Roman"/>
                <w:szCs w:val="21"/>
                <w:vertAlign w:val="superscript"/>
              </w:rPr>
              <w:t xml:space="preserve">1</w:t>
            </w:r>
            <w:r>
              <w:rPr>
                <w:rFonts w:ascii="Times New Roman" w:hAnsi="Times New Roman" w:cs="Times New Roman"/>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jc w:val="center"/>
        <w:spacing w:line="360" w:lineRule="auto"/>
        <w:rPr>
          <w:sz w:val="24"/>
          <w:szCs w:val="20"/>
        </w:rPr>
      </w:pPr>
      <w:r>
        <w:rPr>
          <w:sz w:val="24"/>
          <w:szCs w:val="20"/>
        </w:rPr>
        <w:br w:type="page" w:clear="all"/>
      </w:r>
      <w:r/>
    </w:p>
    <w:p>
      <w:pPr>
        <w:jc w:val="center"/>
        <w:spacing w:line="360" w:lineRule="auto"/>
        <w:rPr>
          <w:sz w:val="36"/>
          <w:szCs w:val="36"/>
        </w:rPr>
      </w:pPr>
      <w:r>
        <w:rPr>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jc w:val="right"/>
        <w:spacing w:line="588" w:lineRule="exact"/>
        <w:tabs>
          <w:tab w:val="left" w:pos="4860" w:leader="none"/>
        </w:tabs>
        <w:rPr>
          <w:spacing w:val="6"/>
          <w:sz w:val="24"/>
        </w:rPr>
      </w:pPr>
      <w:r>
        <w:rPr>
          <w:spacing w:val="6"/>
          <w:sz w:val="24"/>
        </w:rPr>
        <w:t xml:space="preserve">单位名称（加盖公章）：</w:t>
      </w:r>
      <w:r/>
    </w:p>
    <w:p>
      <w:pPr>
        <w:jc w:val="center"/>
        <w:spacing w:line="360" w:lineRule="auto"/>
        <w:rPr>
          <w:sz w:val="24"/>
          <w:szCs w:val="20"/>
        </w:rPr>
      </w:pPr>
      <w:r>
        <w:rPr>
          <w:rFonts w:hint="eastAsia"/>
          <w:spacing w:val="6"/>
          <w:sz w:val="24"/>
        </w:rPr>
        <w:t xml:space="preserve">           </w:t>
      </w:r>
      <w:r>
        <w:rPr>
          <w:spacing w:val="6"/>
          <w:sz w:val="24"/>
        </w:rPr>
        <w:t xml:space="preserve">日  期：</w:t>
      </w:r>
      <w:r/>
    </w:p>
    <w:p>
      <w:pPr>
        <w:jc w:val="center"/>
        <w:rPr>
          <w:sz w:val="30"/>
          <w:szCs w:val="30"/>
        </w:rPr>
      </w:pPr>
      <w:r>
        <w:rPr>
          <w:sz w:val="30"/>
          <w:szCs w:val="30"/>
        </w:rPr>
        <w:br w:type="page" w:clear="all"/>
      </w:r>
      <w:r/>
    </w:p>
    <w:p>
      <w:pPr>
        <w:spacing w:line="360" w:lineRule="auto"/>
        <w:rPr>
          <w:sz w:val="24"/>
          <w:szCs w:val="20"/>
        </w:rPr>
        <w:outlineLvl w:val="2"/>
      </w:pPr>
      <w:r>
        <w:rPr>
          <w:sz w:val="24"/>
          <w:szCs w:val="20"/>
        </w:rPr>
        <w:t xml:space="preserve">2-</w:t>
      </w:r>
      <w:r>
        <w:rPr>
          <w:rFonts w:hint="eastAsia"/>
          <w:sz w:val="24"/>
          <w:szCs w:val="20"/>
        </w:rPr>
        <w:t xml:space="preserve">2</w:t>
      </w:r>
      <w:r>
        <w:rPr>
          <w:sz w:val="24"/>
          <w:szCs w:val="20"/>
        </w:rPr>
        <w:t xml:space="preserve"> </w:t>
      </w:r>
      <w:r>
        <w:rPr>
          <w:sz w:val="24"/>
        </w:rPr>
        <w:t xml:space="preserve">其它落实政府采购政策的资格要求</w:t>
      </w:r>
      <w:r>
        <w:rPr>
          <w:rFonts w:hint="eastAsia"/>
          <w:sz w:val="24"/>
          <w:szCs w:val="20"/>
        </w:rPr>
        <w:t xml:space="preserve">：无</w:t>
      </w:r>
      <w:r/>
    </w:p>
    <w:p>
      <w:pPr>
        <w:jc w:val="left"/>
        <w:widowControl/>
        <w:rPr>
          <w:sz w:val="24"/>
        </w:rPr>
      </w:pPr>
      <w:r>
        <w:rPr>
          <w:sz w:val="24"/>
        </w:rPr>
      </w:r>
      <w:r/>
    </w:p>
    <w:p>
      <w:pPr>
        <w:numPr>
          <w:ilvl w:val="0"/>
          <w:numId w:val="21"/>
        </w:numPr>
        <w:spacing w:line="360" w:lineRule="auto"/>
        <w:rPr>
          <w:sz w:val="24"/>
        </w:rPr>
        <w:outlineLvl w:val="2"/>
      </w:pPr>
      <w:r>
        <w:rPr>
          <w:sz w:val="24"/>
        </w:rPr>
        <w:br w:type="page" w:clear="all"/>
      </w:r>
      <w:r>
        <w:rPr>
          <w:sz w:val="24"/>
        </w:rPr>
        <w:t xml:space="preserve">本项目的特定资格要求</w:t>
      </w:r>
      <w:r/>
    </w:p>
    <w:p>
      <w:pPr>
        <w:ind w:left="719" w:hanging="240"/>
        <w:spacing w:line="360" w:lineRule="auto"/>
        <w:rPr>
          <w:sz w:val="24"/>
          <w:szCs w:val="20"/>
        </w:rPr>
      </w:pPr>
      <w:r>
        <w:rPr>
          <w:sz w:val="24"/>
          <w:szCs w:val="20"/>
        </w:rPr>
        <w:t xml:space="preserve">3-</w:t>
      </w:r>
      <w:r>
        <w:rPr>
          <w:rFonts w:hint="eastAsia"/>
          <w:sz w:val="24"/>
          <w:szCs w:val="20"/>
        </w:rPr>
        <w:t xml:space="preserve">1</w:t>
      </w:r>
      <w:r>
        <w:rPr>
          <w:sz w:val="24"/>
          <w:szCs w:val="20"/>
        </w:rPr>
        <w:t xml:space="preserve">其他特定资格要求</w:t>
      </w:r>
      <w:r>
        <w:rPr>
          <w:rFonts w:hint="eastAsia"/>
          <w:sz w:val="24"/>
          <w:szCs w:val="20"/>
        </w:rPr>
        <w:t xml:space="preserve">：无</w:t>
      </w:r>
      <w:r/>
    </w:p>
    <w:p>
      <w:pPr>
        <w:ind w:left="719" w:hanging="240"/>
        <w:spacing w:line="360" w:lineRule="auto"/>
        <w:rPr>
          <w:rFonts w:hint="eastAsia"/>
          <w:sz w:val="24"/>
          <w:szCs w:val="20"/>
        </w:rPr>
      </w:pPr>
      <w:r>
        <w:rPr>
          <w:rFonts w:hint="eastAsia"/>
          <w:sz w:val="24"/>
          <w:szCs w:val="20"/>
        </w:rPr>
      </w:r>
      <w:r/>
    </w:p>
    <w:p>
      <w:pPr>
        <w:jc w:val="left"/>
        <w:widowControl/>
        <w:rPr>
          <w:rFonts w:hint="eastAsia"/>
          <w:sz w:val="24"/>
        </w:rPr>
      </w:pPr>
      <w:r>
        <w:rPr>
          <w:rFonts w:hint="eastAsia"/>
          <w:sz w:val="24"/>
        </w:rPr>
      </w:r>
      <w:r/>
    </w:p>
    <w:p>
      <w:pPr>
        <w:jc w:val="center"/>
        <w:keepLines/>
        <w:keepNext/>
        <w:spacing w:before="120" w:line="300" w:lineRule="auto"/>
        <w:rPr>
          <w:rFonts w:hint="eastAsia" w:ascii="宋体" w:hAnsi="宋体"/>
          <w:b/>
          <w:sz w:val="32"/>
          <w:szCs w:val="32"/>
        </w:rPr>
        <w:outlineLvl w:val="1"/>
      </w:pPr>
      <w:r>
        <w:rPr>
          <w:sz w:val="24"/>
          <w:szCs w:val="20"/>
        </w:rPr>
        <w:br w:type="page" w:clear="all"/>
      </w:r>
      <w:r>
        <w:rPr>
          <w:rFonts w:ascii="宋体" w:hAnsi="宋体"/>
          <w:b/>
          <w:sz w:val="32"/>
          <w:szCs w:val="32"/>
        </w:rPr>
        <w:t xml:space="preserve">二、商务技术文件格式</w:t>
      </w:r>
      <w:bookmarkStart w:id="817" w:name="_Toc480942349"/>
      <w:r/>
      <w:bookmarkStart w:id="818" w:name="_Toc226337252"/>
      <w:r/>
      <w:bookmarkStart w:id="819" w:name="_Toc195842921"/>
      <w:r/>
      <w:bookmarkStart w:id="820" w:name="_Toc520356217"/>
      <w:r/>
      <w:bookmarkStart w:id="821" w:name="_Toc127151556"/>
      <w:r/>
      <w:bookmarkStart w:id="822" w:name="_Toc226965829"/>
      <w:r/>
      <w:bookmarkStart w:id="823" w:name="_Toc142311058"/>
      <w:r/>
      <w:bookmarkStart w:id="824" w:name="_Toc150480794"/>
      <w:r/>
      <w:bookmarkStart w:id="825" w:name="_Toc226965746"/>
      <w:r/>
      <w:bookmarkStart w:id="826" w:name="_Toc150774761"/>
      <w:r/>
      <w:bookmarkStart w:id="827" w:name="_Toc226309800"/>
      <w:r/>
      <w:bookmarkStart w:id="828" w:name="_Ref467988698"/>
      <w:r/>
      <w:r/>
    </w:p>
    <w:p>
      <w:pPr>
        <w:numPr>
          <w:ilvl w:val="0"/>
          <w:numId w:val="21"/>
        </w:numPr>
        <w:spacing w:line="360" w:lineRule="auto"/>
        <w:rPr>
          <w:sz w:val="24"/>
          <w:szCs w:val="20"/>
        </w:rPr>
        <w:outlineLvl w:val="2"/>
      </w:pPr>
      <w:r>
        <w:rPr>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rFonts w:hint="eastAsia"/>
          <w:sz w:val="24"/>
        </w:rPr>
      </w:pPr>
      <w:r/>
      <w:bookmarkStart w:id="829" w:name="_Hlt520356243"/>
      <w:r/>
      <w:bookmarkEnd w:id="829"/>
      <w:r/>
      <w:bookmarkStart w:id="830" w:name="_Hlt520355938"/>
      <w:r/>
      <w:bookmarkEnd w:id="830"/>
      <w:r/>
      <w:r/>
    </w:p>
    <w:p>
      <w:pPr>
        <w:numPr>
          <w:ilvl w:val="0"/>
          <w:numId w:val="21"/>
        </w:numPr>
        <w:spacing w:line="360" w:lineRule="auto"/>
        <w:rPr>
          <w:rFonts w:hint="eastAsia"/>
          <w:sz w:val="24"/>
        </w:rPr>
        <w:outlineLvl w:val="2"/>
      </w:pPr>
      <w:r>
        <w:rPr>
          <w:rFonts w:hint="eastAsia"/>
          <w:sz w:val="24"/>
        </w:rPr>
        <w:br w:type="page" w:clear="all"/>
      </w:r>
      <w:r>
        <w:rPr>
          <w:rFonts w:hint="eastAsia"/>
          <w:sz w:val="24"/>
        </w:rPr>
        <w:t xml:space="preserve">法定代表人资格证明书、授权委托书</w:t>
      </w:r>
      <w:r>
        <w:rPr>
          <w:sz w:val="24"/>
          <w:szCs w:val="20"/>
        </w:rPr>
        <w:t xml:space="preserve">（实质性格式）</w:t>
      </w:r>
      <w:r/>
    </w:p>
    <w:p>
      <w:pPr>
        <w:jc w:val="left"/>
        <w:spacing w:line="360" w:lineRule="auto"/>
        <w:rPr>
          <w:rFonts w:ascii="宋体" w:hAnsi="宋体"/>
          <w:bCs/>
          <w:sz w:val="24"/>
        </w:rPr>
      </w:pPr>
      <w:r>
        <w:rPr>
          <w:rFonts w:hint="eastAsia" w:ascii="宋体" w:hAnsi="宋体"/>
          <w:bCs/>
          <w:sz w:val="24"/>
        </w:rPr>
        <w:t xml:space="preserve">5-1</w:t>
      </w:r>
      <w:r/>
    </w:p>
    <w:p>
      <w:pPr>
        <w:jc w:val="center"/>
        <w:spacing w:line="360" w:lineRule="auto"/>
        <w:rPr>
          <w:rFonts w:ascii="宋体" w:hAnsi="宋体"/>
          <w:b/>
          <w:sz w:val="32"/>
          <w:szCs w:val="32"/>
        </w:rPr>
      </w:pPr>
      <w:r>
        <w:rPr>
          <w:rFonts w:hint="eastAsia" w:ascii="宋体" w:hAnsi="宋体"/>
          <w:b/>
          <w:sz w:val="32"/>
          <w:szCs w:val="32"/>
        </w:rPr>
        <w:t xml:space="preserve">法定代表人资格证明书（法定代表人使用）</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spacing w:line="560" w:lineRule="exact"/>
        <w:rPr>
          <w:rFonts w:hint="eastAsia" w:ascii="宋体" w:hAnsi="宋体"/>
          <w:sz w:val="24"/>
        </w:rPr>
      </w:pPr>
      <w:r>
        <w:rPr>
          <w:rFonts w:hint="eastAsia" w:ascii="宋体" w:hAnsi="宋体"/>
          <w:sz w:val="24"/>
        </w:rPr>
        <w:t xml:space="preserve">附：法定代表人（单位负责人）有效期内的身份证正反面。</w:t>
      </w:r>
      <w:r/>
    </w:p>
    <w:tbl>
      <w:tblPr>
        <w:tblStyle w:val="7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049"/>
        </w:trPr>
        <w:tc>
          <w:tcPr>
            <w:tcW w:w="4673"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spacing w:line="360" w:lineRule="auto"/>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jc w:val="left"/>
        <w:spacing w:line="360" w:lineRule="auto"/>
        <w:rPr>
          <w:rFonts w:ascii="宋体" w:hAnsi="宋体"/>
          <w:bCs/>
          <w:sz w:val="24"/>
        </w:rPr>
      </w:pPr>
      <w:r>
        <w:rPr>
          <w:rFonts w:hint="eastAsia" w:ascii="宋体" w:hAnsi="宋体"/>
          <w:bCs/>
          <w:sz w:val="24"/>
        </w:rPr>
        <w:t xml:space="preserve">5-2</w:t>
      </w:r>
      <w:r/>
    </w:p>
    <w:p>
      <w:pPr>
        <w:ind w:left="1606" w:hanging="1606"/>
        <w:jc w:val="center"/>
        <w:rPr>
          <w:rFonts w:ascii="宋体" w:hAnsi="宋体"/>
          <w:b/>
          <w:sz w:val="32"/>
          <w:szCs w:val="32"/>
        </w:rPr>
      </w:pPr>
      <w:r>
        <w:rPr>
          <w:rFonts w:hint="eastAsia" w:ascii="宋体" w:hAnsi="宋体"/>
          <w:b/>
          <w:sz w:val="32"/>
          <w:szCs w:val="32"/>
        </w:rPr>
        <w:t xml:space="preserve">授权委托书（非法定代表人使用）</w:t>
      </w:r>
      <w:r/>
    </w:p>
    <w:p>
      <w:pPr>
        <w:jc w:val="center"/>
        <w:spacing w:line="520" w:lineRule="exact"/>
        <w:rPr>
          <w:rFonts w:ascii="宋体" w:hAnsi="宋体"/>
          <w:sz w:val="24"/>
        </w:rPr>
      </w:pPr>
      <w:r>
        <w:rPr>
          <w:rFonts w:ascii="宋体" w:hAnsi="宋体"/>
          <w:sz w:val="24"/>
        </w:rPr>
      </w:r>
      <w:r/>
    </w:p>
    <w:p>
      <w:pPr>
        <w:ind w:firstLine="480"/>
        <w:spacing w:line="360" w:lineRule="auto"/>
        <w:rPr>
          <w:rFonts w:ascii="宋体" w:hAnsi="宋体"/>
          <w:iCs/>
          <w:sz w:val="24"/>
        </w:rPr>
      </w:pPr>
      <w:r>
        <w:rPr>
          <w:rFonts w:hint="eastAsia" w:ascii="宋体" w:hAnsi="宋体"/>
          <w:sz w:val="24"/>
        </w:rPr>
        <w:t xml:space="preserve">本授权书声明：</w:t>
      </w:r>
      <w:r>
        <w:rPr>
          <w:rFonts w:hint="eastAsia" w:ascii="宋体" w:hAnsi="宋体"/>
          <w:iCs/>
          <w:sz w:val="24"/>
          <w:u w:val="single"/>
        </w:rPr>
        <w:t xml:space="preserve">         </w:t>
      </w:r>
      <w:r>
        <w:rPr>
          <w:rFonts w:hint="eastAsia" w:ascii="宋体" w:hAnsi="宋体"/>
          <w:iCs/>
          <w:sz w:val="24"/>
        </w:rPr>
        <w:t xml:space="preserve">（投标人法定代表人）系</w:t>
      </w:r>
      <w:r>
        <w:rPr>
          <w:rFonts w:hint="eastAsia" w:ascii="宋体" w:hAnsi="宋体"/>
          <w:iCs/>
          <w:sz w:val="24"/>
          <w:u w:val="single"/>
        </w:rPr>
        <w:t xml:space="preserve">            </w:t>
      </w:r>
      <w:r>
        <w:rPr>
          <w:rFonts w:hint="eastAsia" w:ascii="宋体" w:hAnsi="宋体"/>
          <w:iCs/>
          <w:sz w:val="24"/>
        </w:rPr>
        <w:t xml:space="preserve">（投标人名称）的法定代表人，代表投标人授权本单位的</w:t>
      </w:r>
      <w:r>
        <w:rPr>
          <w:rFonts w:hint="eastAsia" w:ascii="宋体" w:hAnsi="宋体"/>
          <w:iCs/>
          <w:sz w:val="24"/>
          <w:u w:val="single"/>
        </w:rPr>
        <w:t xml:space="preserve">         </w:t>
      </w:r>
      <w:r>
        <w:rPr>
          <w:rFonts w:hint="eastAsia" w:ascii="宋体" w:hAnsi="宋体"/>
          <w:iCs/>
          <w:sz w:val="24"/>
        </w:rPr>
        <w:t xml:space="preserve">(被授权人的姓名及身份证号码)为合法代理人，全权负责参加</w:t>
      </w:r>
      <w:r>
        <w:rPr>
          <w:rFonts w:hint="eastAsia" w:ascii="宋体" w:hAnsi="宋体"/>
          <w:iCs/>
          <w:sz w:val="24"/>
          <w:u w:val="single"/>
        </w:rPr>
        <w:t xml:space="preserve">                   </w:t>
      </w:r>
      <w:r>
        <w:rPr>
          <w:rFonts w:hint="eastAsia" w:ascii="宋体" w:hAnsi="宋体"/>
          <w:iCs/>
          <w:sz w:val="24"/>
        </w:rPr>
        <w:t xml:space="preserve">（项目名称、编号）的投标、签订合约以及与之相关的各项工作。授权委托代理人所签署的一切文件和处理与之有关的一切事务，投标人均予以承认。</w:t>
      </w:r>
      <w:r/>
    </w:p>
    <w:p>
      <w:pPr>
        <w:ind w:firstLine="480"/>
        <w:spacing w:line="360" w:lineRule="auto"/>
        <w:rPr>
          <w:rFonts w:ascii="宋体" w:hAnsi="宋体"/>
          <w:iCs/>
          <w:sz w:val="24"/>
        </w:rPr>
      </w:pPr>
      <w:r>
        <w:rPr>
          <w:rFonts w:hint="eastAsia" w:ascii="宋体" w:hAnsi="宋体"/>
          <w:iCs/>
          <w:sz w:val="24"/>
        </w:rPr>
        <w:t xml:space="preserve">在撤消授权的书面通知以前，本授权书一直有效。授权委托代理人在授权书有效期内签署的所有文件不因授权的撤消而失效。</w:t>
      </w:r>
      <w:r/>
    </w:p>
    <w:p>
      <w:pPr>
        <w:ind w:firstLine="480"/>
        <w:spacing w:line="360" w:lineRule="auto"/>
        <w:rPr>
          <w:rFonts w:ascii="宋体" w:hAnsi="宋体"/>
          <w:iCs/>
          <w:sz w:val="24"/>
          <w:u w:val="single"/>
        </w:rPr>
      </w:pPr>
      <w:r>
        <w:rPr>
          <w:rFonts w:hint="eastAsia" w:ascii="宋体" w:hAnsi="宋体"/>
          <w:iCs/>
          <w:sz w:val="24"/>
        </w:rPr>
        <w:t xml:space="preserve">授权委托代理人无转委权，特此委托。</w:t>
      </w:r>
      <w:r/>
    </w:p>
    <w:p>
      <w:pPr>
        <w:ind w:firstLine="480"/>
        <w:spacing w:line="360" w:lineRule="auto"/>
        <w:rPr>
          <w:rFonts w:ascii="宋体" w:hAnsi="宋体"/>
          <w:iCs/>
          <w:sz w:val="24"/>
        </w:rPr>
      </w:pPr>
      <w:r>
        <w:rPr>
          <w:rFonts w:hint="eastAsia" w:ascii="宋体" w:hAnsi="宋体"/>
          <w:iCs/>
          <w:sz w:val="24"/>
        </w:rPr>
        <w:t xml:space="preserve">本授权书于</w:t>
      </w:r>
      <w:r>
        <w:rPr>
          <w:rFonts w:hint="eastAsia" w:ascii="宋体" w:hAnsi="宋体"/>
          <w:iCs/>
          <w:sz w:val="24"/>
          <w:u w:val="single"/>
        </w:rPr>
        <w:t xml:space="preserve"> </w:t>
      </w:r>
      <w:r>
        <w:rPr>
          <w:rFonts w:ascii="宋体" w:hAnsi="宋体"/>
          <w:iCs/>
          <w:sz w:val="24"/>
          <w:u w:val="single"/>
        </w:rPr>
        <w:t xml:space="preserve">    </w:t>
      </w:r>
      <w:r>
        <w:rPr>
          <w:rFonts w:hint="eastAsia" w:ascii="宋体" w:hAnsi="宋体"/>
          <w:iCs/>
          <w:sz w:val="24"/>
        </w:rPr>
        <w:t xml:space="preserve">年</w:t>
      </w:r>
      <w:r>
        <w:rPr>
          <w:rFonts w:hint="eastAsia" w:ascii="宋体" w:hAnsi="宋体"/>
          <w:iCs/>
          <w:sz w:val="24"/>
          <w:u w:val="single"/>
        </w:rPr>
        <w:t xml:space="preserve"> </w:t>
      </w:r>
      <w:r>
        <w:rPr>
          <w:rFonts w:ascii="宋体" w:hAnsi="宋体"/>
          <w:iCs/>
          <w:sz w:val="24"/>
          <w:u w:val="single"/>
        </w:rPr>
        <w:t xml:space="preserve">  </w:t>
      </w:r>
      <w:r>
        <w:rPr>
          <w:rFonts w:hint="eastAsia" w:ascii="宋体" w:hAnsi="宋体"/>
          <w:iCs/>
          <w:sz w:val="24"/>
        </w:rPr>
        <w:t xml:space="preserve">月</w:t>
      </w:r>
      <w:r>
        <w:rPr>
          <w:rFonts w:hint="eastAsia" w:ascii="宋体" w:hAnsi="宋体"/>
          <w:iCs/>
          <w:sz w:val="24"/>
          <w:u w:val="single"/>
        </w:rPr>
        <w:t xml:space="preserve"> </w:t>
      </w:r>
      <w:r>
        <w:rPr>
          <w:rFonts w:ascii="宋体" w:hAnsi="宋体"/>
          <w:iCs/>
          <w:sz w:val="24"/>
          <w:u w:val="single"/>
        </w:rPr>
        <w:t xml:space="preserve">  </w:t>
      </w:r>
      <w:r>
        <w:rPr>
          <w:rFonts w:hint="eastAsia" w:ascii="宋体" w:hAnsi="宋体"/>
          <w:iCs/>
          <w:sz w:val="24"/>
        </w:rPr>
        <w:t xml:space="preserve">日签字生效，特此声明。</w:t>
      </w:r>
      <w:r/>
    </w:p>
    <w:p>
      <w:pPr>
        <w:ind w:firstLine="480"/>
        <w:spacing w:line="360" w:lineRule="auto"/>
        <w:rPr>
          <w:rFonts w:ascii="宋体" w:hAnsi="宋体"/>
          <w:sz w:val="24"/>
        </w:rPr>
      </w:pPr>
      <w:r>
        <w:rPr>
          <w:rFonts w:ascii="宋体" w:hAnsi="宋体"/>
          <w:sz w:val="24"/>
        </w:rPr>
      </w:r>
      <w:r/>
    </w:p>
    <w:p>
      <w:pPr>
        <w:ind w:firstLine="4440"/>
        <w:spacing w:line="360" w:lineRule="auto"/>
        <w:rPr>
          <w:rFonts w:ascii="宋体" w:hAnsi="宋体"/>
          <w:sz w:val="24"/>
        </w:rPr>
      </w:pPr>
      <w:r>
        <w:rPr>
          <w:rFonts w:hint="eastAsia" w:ascii="宋体" w:hAnsi="宋体"/>
          <w:sz w:val="24"/>
        </w:rPr>
        <w:t xml:space="preserve">投  标  人：</w:t>
      </w:r>
      <w:r>
        <w:rPr>
          <w:rFonts w:hint="eastAsia" w:ascii="宋体" w:hAnsi="宋体"/>
          <w:sz w:val="24"/>
          <w:u w:val="single"/>
        </w:rPr>
        <w:t xml:space="preserve">          </w:t>
      </w:r>
      <w:r>
        <w:rPr>
          <w:rFonts w:hint="eastAsia" w:ascii="宋体" w:hAnsi="宋体"/>
          <w:sz w:val="24"/>
        </w:rPr>
        <w:t xml:space="preserve">（盖章）</w:t>
      </w:r>
      <w:r/>
    </w:p>
    <w:p>
      <w:pPr>
        <w:ind w:firstLine="4440"/>
        <w:spacing w:line="360" w:lineRule="auto"/>
        <w:rPr>
          <w:rFonts w:ascii="宋体" w:hAnsi="宋体"/>
          <w:sz w:val="24"/>
        </w:rPr>
      </w:pPr>
      <w:r>
        <w:rPr>
          <w:rFonts w:ascii="宋体" w:hAnsi="宋体"/>
          <w:sz w:val="24"/>
        </w:rPr>
      </w:r>
      <w:r/>
    </w:p>
    <w:p>
      <w:pPr>
        <w:ind w:firstLine="4440"/>
        <w:spacing w:line="360" w:lineRule="auto"/>
        <w:rPr>
          <w:rFonts w:ascii="宋体" w:hAnsi="宋体"/>
          <w:sz w:val="24"/>
          <w:u w:val="single"/>
        </w:rPr>
      </w:pPr>
      <w:r>
        <w:rPr>
          <w:rFonts w:hint="eastAsia" w:ascii="宋体" w:hAnsi="宋体"/>
          <w:sz w:val="24"/>
        </w:rPr>
        <w:t xml:space="preserve">法定代表人： </w:t>
      </w:r>
      <w:r>
        <w:rPr>
          <w:rFonts w:hint="eastAsia" w:ascii="宋体" w:hAnsi="宋体"/>
          <w:sz w:val="24"/>
          <w:u w:val="single"/>
        </w:rPr>
        <w:t xml:space="preserve">       </w:t>
      </w:r>
      <w:r>
        <w:rPr>
          <w:rFonts w:hint="eastAsia" w:ascii="宋体" w:hAnsi="宋体"/>
          <w:sz w:val="24"/>
        </w:rPr>
        <w:t xml:space="preserve">（签字或盖章）</w:t>
      </w:r>
      <w:r/>
    </w:p>
    <w:p>
      <w:pPr>
        <w:ind w:firstLine="4440"/>
        <w:spacing w:line="360" w:lineRule="auto"/>
        <w:rPr>
          <w:rFonts w:ascii="宋体" w:hAnsi="宋体"/>
          <w:sz w:val="24"/>
        </w:rPr>
      </w:pPr>
      <w:r>
        <w:rPr>
          <w:rFonts w:hint="eastAsia" w:ascii="宋体" w:hAnsi="宋体"/>
          <w:sz w:val="24"/>
        </w:rPr>
        <w:t xml:space="preserve">身份证号码：</w:t>
      </w:r>
      <w:r>
        <w:rPr>
          <w:rFonts w:hint="eastAsia" w:ascii="宋体" w:hAnsi="宋体"/>
          <w:sz w:val="24"/>
          <w:u w:val="single"/>
        </w:rPr>
        <w:t xml:space="preserve">                   </w:t>
      </w:r>
      <w:r/>
    </w:p>
    <w:p>
      <w:pPr>
        <w:ind w:firstLine="4440"/>
        <w:spacing w:line="360" w:lineRule="auto"/>
        <w:rPr>
          <w:rFonts w:ascii="宋体" w:hAnsi="宋体"/>
          <w:sz w:val="24"/>
          <w:u w:val="single"/>
        </w:rPr>
      </w:pPr>
      <w:r>
        <w:rPr>
          <w:rFonts w:hint="eastAsia" w:ascii="宋体" w:hAnsi="宋体"/>
          <w:iCs/>
          <w:sz w:val="24"/>
        </w:rPr>
        <w:t xml:space="preserve">授权委托代理人</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（签字）</w:t>
      </w:r>
      <w:r/>
    </w:p>
    <w:p>
      <w:pPr>
        <w:ind w:firstLine="4440"/>
        <w:spacing w:line="360" w:lineRule="auto"/>
        <w:rPr>
          <w:rFonts w:ascii="宋体" w:hAnsi="宋体"/>
          <w:sz w:val="24"/>
        </w:rPr>
      </w:pPr>
      <w:r>
        <w:rPr>
          <w:rFonts w:hint="eastAsia" w:ascii="宋体" w:hAnsi="宋体"/>
          <w:sz w:val="24"/>
        </w:rPr>
        <w:t xml:space="preserve">身份证号码：</w:t>
      </w:r>
      <w:r>
        <w:rPr>
          <w:rFonts w:hint="eastAsia" w:ascii="宋体" w:hAnsi="宋体"/>
          <w:sz w:val="24"/>
          <w:u w:val="single"/>
        </w:rPr>
        <w:t xml:space="preserve">                   </w:t>
      </w:r>
      <w:r/>
    </w:p>
    <w:p>
      <w:pPr>
        <w:ind w:firstLine="4440"/>
        <w:jc w:val="right"/>
        <w:spacing w:line="360" w:lineRule="auto"/>
        <w:rPr>
          <w:rFonts w:ascii="宋体" w:hAnsi="宋体"/>
          <w:sz w:val="24"/>
        </w:rPr>
      </w:pPr>
      <w:r>
        <w:rPr>
          <w:rFonts w:hint="eastAsia" w:ascii="宋体" w:hAnsi="宋体"/>
          <w:sz w:val="24"/>
        </w:rPr>
        <w:t xml:space="preserve">日期：   年   月   日</w:t>
      </w:r>
      <w:r/>
    </w:p>
    <w:p>
      <w:pPr>
        <w:ind w:firstLine="120"/>
        <w:rPr>
          <w:rFonts w:ascii="宋体" w:hAnsi="宋体"/>
          <w:bCs/>
          <w:sz w:val="24"/>
        </w:rPr>
      </w:pPr>
      <w:r>
        <w:rPr>
          <w:rFonts w:hint="eastAsia" w:ascii="宋体" w:hAnsi="宋体"/>
          <w:bCs/>
          <w:sz w:val="24"/>
        </w:rPr>
        <w:t xml:space="preserve">附1：法定代表人及代理人有效期内的</w:t>
      </w:r>
      <w:r>
        <w:rPr>
          <w:rFonts w:ascii="宋体" w:hAnsi="宋体"/>
          <w:bCs/>
          <w:sz w:val="24"/>
        </w:rPr>
        <w:t xml:space="preserve">身份</w:t>
      </w:r>
      <w:r>
        <w:rPr>
          <w:rFonts w:hint="eastAsia" w:ascii="宋体" w:hAnsi="宋体"/>
          <w:bCs/>
          <w:sz w:val="24"/>
        </w:rPr>
        <w:t xml:space="preserve">证正反面</w:t>
      </w:r>
      <w:r/>
    </w:p>
    <w:tbl>
      <w:tblPr>
        <w:tblStyle w:val="76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667"/>
        </w:trPr>
        <w:tc>
          <w:tcPr>
            <w:tcW w:w="4673"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r>
        <w:trPr>
          <w:trHeight w:val="1660"/>
        </w:trPr>
        <w:tc>
          <w:tcPr>
            <w:tcW w:w="4673"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rPr>
          <w:rFonts w:hint="eastAsia" w:ascii="宋体" w:hAnsi="宋体"/>
          <w:bCs/>
          <w:sz w:val="24"/>
        </w:rPr>
      </w:pPr>
      <w:r>
        <w:rPr>
          <w:rFonts w:hint="eastAsia" w:ascii="宋体" w:hAnsi="宋体"/>
          <w:bCs/>
          <w:sz w:val="24"/>
        </w:rPr>
      </w:r>
      <w:r/>
    </w:p>
    <w:p>
      <w:pPr>
        <w:jc w:val="left"/>
        <w:spacing w:line="360" w:lineRule="auto"/>
        <w:rPr>
          <w:rFonts w:ascii="宋体" w:hAnsi="宋体"/>
          <w:sz w:val="24"/>
        </w:rPr>
      </w:pPr>
      <w:r>
        <w:rPr>
          <w:rFonts w:hint="eastAsia" w:ascii="宋体" w:hAnsi="宋体"/>
          <w:bCs/>
          <w:sz w:val="24"/>
        </w:rPr>
        <w:t xml:space="preserve">附2：近三个月（开标之日起向前推）投标人为代理人缴纳的社保证明</w:t>
      </w:r>
      <w:r/>
    </w:p>
    <w:p>
      <w:pPr>
        <w:numPr>
          <w:ilvl w:val="0"/>
          <w:numId w:val="21"/>
        </w:numPr>
        <w:spacing w:line="360" w:lineRule="auto"/>
        <w:rPr>
          <w:rFonts w:hint="eastAsia"/>
          <w:sz w:val="24"/>
        </w:rPr>
        <w:outlineLvl w:val="2"/>
      </w:pPr>
      <w:r>
        <w:rPr>
          <w:rFonts w:hint="eastAsia"/>
          <w:sz w:val="24"/>
        </w:rPr>
        <w:t xml:space="preserve">政府采购供应商信用承诺书</w:t>
      </w:r>
      <w:r>
        <w:rPr>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047"/>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831" w:name="_Hlt520274407"/>
      <w:r/>
      <w:bookmarkEnd w:id="831"/>
      <w:r/>
      <w:bookmarkStart w:id="832" w:name="_Hlt520343000"/>
      <w:r/>
      <w:bookmarkEnd w:id="832"/>
      <w:r/>
      <w:bookmarkStart w:id="833" w:name="_Hlt520343392"/>
      <w:r/>
      <w:bookmarkEnd w:id="833"/>
      <w:r/>
      <w:bookmarkStart w:id="834" w:name="_Hlt520274393"/>
      <w:r/>
      <w:bookmarkEnd w:id="834"/>
      <w:r/>
      <w:bookmarkStart w:id="835" w:name="_Hlt520355504"/>
      <w:r/>
      <w:bookmarkEnd w:id="835"/>
      <w:r/>
      <w:bookmarkStart w:id="836" w:name="_Hlt520274065"/>
      <w:r/>
      <w:bookmarkEnd w:id="836"/>
      <w:r/>
      <w:bookmarkStart w:id="837" w:name="_Hlt520350918"/>
      <w:r/>
      <w:bookmarkEnd w:id="837"/>
      <w:r/>
      <w:bookmarkStart w:id="838" w:name="_Hlt520274121"/>
      <w:r/>
      <w:bookmarkEnd w:id="838"/>
      <w:r/>
      <w:bookmarkStart w:id="839" w:name="_Hlt520271212"/>
      <w:r/>
      <w:bookmarkEnd w:id="839"/>
      <w:r/>
      <w:bookmarkStart w:id="840" w:name="_Hlt520273711"/>
      <w:r/>
      <w:bookmarkEnd w:id="840"/>
      <w:r/>
      <w:bookmarkStart w:id="841" w:name="_Toc305158899"/>
      <w:r/>
      <w:bookmarkStart w:id="842" w:name="_Toc226965747"/>
      <w:r/>
      <w:bookmarkStart w:id="843" w:name="_Ref467988705"/>
      <w:r/>
      <w:bookmarkStart w:id="844" w:name="_Toc226309801"/>
      <w:r/>
      <w:bookmarkStart w:id="845" w:name="_Toc305158825"/>
      <w:r/>
      <w:bookmarkStart w:id="846" w:name="_Toc195842922"/>
      <w:r/>
      <w:bookmarkStart w:id="847" w:name="_Toc226965830"/>
      <w:r/>
      <w:bookmarkStart w:id="848" w:name="_Toc142311059"/>
      <w:r/>
      <w:bookmarkStart w:id="849" w:name="_Toc150480795"/>
      <w:r/>
      <w:bookmarkStart w:id="850" w:name="_Toc265228395"/>
      <w:r/>
      <w:bookmarkStart w:id="851" w:name="_Toc226337253"/>
      <w:r/>
      <w:bookmarkStart w:id="852" w:name="_Toc127151557"/>
      <w:r/>
      <w:bookmarkStart w:id="853" w:name="_Toc520356218"/>
      <w:r/>
      <w:bookmarkStart w:id="854" w:name="_Toc264969247"/>
      <w:r/>
      <w:bookmarkStart w:id="855" w:name="_Toc150774762"/>
      <w:r/>
      <w:bookmarkStart w:id="856" w:name="_Toc480942350"/>
      <w:r>
        <w:rPr>
          <w:sz w:val="24"/>
          <w:szCs w:val="20"/>
        </w:rPr>
        <w:br w:type="page" w:clear="all"/>
      </w:r>
      <w:r/>
    </w:p>
    <w:p>
      <w:pPr>
        <w:numPr>
          <w:ilvl w:val="0"/>
          <w:numId w:val="21"/>
        </w:numPr>
        <w:spacing w:line="360" w:lineRule="auto"/>
        <w:rPr>
          <w:rFonts w:hint="eastAsia" w:ascii="宋体" w:hAnsi="宋体" w:cs="宋体"/>
          <w:sz w:val="24"/>
        </w:rPr>
        <w:outlineLvl w:val="2"/>
      </w:pPr>
      <w:r>
        <w:rPr>
          <w:sz w:val="24"/>
          <w:szCs w:val="20"/>
        </w:rPr>
        <w:t xml:space="preserve">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sz w:val="24"/>
          <w:szCs w:val="20"/>
        </w:rPr>
        <w:t xml:space="preserve">（实质性格式）</w:t>
      </w:r>
      <w:r/>
    </w:p>
    <w:p>
      <w:pPr>
        <w:jc w:val="center"/>
        <w:spacing w:line="360" w:lineRule="exact"/>
        <w:rPr>
          <w:b/>
          <w:sz w:val="36"/>
          <w:szCs w:val="36"/>
        </w:rPr>
      </w:pPr>
      <w:r/>
      <w:bookmarkStart w:id="857" w:name="_Toc226309802"/>
      <w:r/>
      <w:bookmarkStart w:id="858" w:name="_Toc195842923"/>
      <w:r/>
      <w:bookmarkStart w:id="859" w:name="_Toc305158900"/>
      <w:r/>
      <w:bookmarkStart w:id="860" w:name="_Toc226965831"/>
      <w:r/>
      <w:bookmarkStart w:id="861" w:name="_Toc305158826"/>
      <w:r/>
      <w:bookmarkStart w:id="862" w:name="_Toc264969248"/>
      <w:r/>
      <w:bookmarkStart w:id="863" w:name="_Toc164608672"/>
      <w:r/>
      <w:bookmarkStart w:id="864" w:name="_Toc226965748"/>
      <w:r/>
      <w:bookmarkStart w:id="865" w:name="_Toc164608827"/>
      <w:r/>
      <w:bookmarkStart w:id="866" w:name="_Toc265228396"/>
      <w:r/>
      <w:bookmarkStart w:id="867" w:name="_Toc226337254"/>
      <w:r>
        <w:rPr>
          <w:rFonts w:hint="eastAsia"/>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rPr>
      </w:pPr>
      <w:r>
        <w:rPr>
          <w:i/>
          <w:sz w:val="24"/>
        </w:rPr>
      </w:r>
      <w:r/>
    </w:p>
    <w:p>
      <w:pPr>
        <w:jc w:val="left"/>
        <w:spacing w:line="360" w:lineRule="auto"/>
        <w:tabs>
          <w:tab w:val="left" w:pos="1800" w:leader="none"/>
          <w:tab w:val="left" w:pos="5580" w:leader="none"/>
        </w:tabs>
        <w:rPr>
          <w:i/>
          <w:sz w:val="24"/>
        </w:rPr>
      </w:pPr>
      <w:r>
        <w:rPr>
          <w:i/>
          <w:sz w:val="24"/>
        </w:rPr>
      </w:r>
      <w:r/>
    </w:p>
    <w:p>
      <w:pPr>
        <w:jc w:val="left"/>
        <w:spacing w:line="360" w:lineRule="auto"/>
        <w:rPr>
          <w:b/>
          <w:bCs/>
          <w:sz w:val="24"/>
        </w:rPr>
      </w:pPr>
      <w:r>
        <w:rPr>
          <w:rFonts w:hint="eastAsia"/>
          <w:b/>
          <w:bCs/>
          <w:sz w:val="24"/>
        </w:rPr>
        <w:t xml:space="preserve">投标人在提交投标文件时，应按照投标工具（苏采云客户端）的提示流程编制提交开标一览表，开标一览表格式以投标工具中的为准。</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numPr>
          <w:ilvl w:val="0"/>
          <w:numId w:val="21"/>
        </w:numPr>
        <w:spacing w:line="360" w:lineRule="auto"/>
        <w:rPr>
          <w:sz w:val="24"/>
        </w:rPr>
        <w:outlineLvl w:val="2"/>
      </w:pPr>
      <w:r/>
      <w:bookmarkStart w:id="868" w:name="_Toc127151558"/>
      <w:r/>
      <w:bookmarkStart w:id="869" w:name="_Toc305158827"/>
      <w:r/>
      <w:bookmarkStart w:id="870" w:name="_Toc195842924"/>
      <w:r/>
      <w:bookmarkStart w:id="871" w:name="_Toc305158901"/>
      <w:r/>
      <w:bookmarkStart w:id="872" w:name="_Toc226965749"/>
      <w:r/>
      <w:bookmarkStart w:id="873" w:name="_Toc226965832"/>
      <w:r/>
      <w:bookmarkStart w:id="874" w:name="_Toc142311060"/>
      <w:r/>
      <w:bookmarkStart w:id="875" w:name="_Toc150774763"/>
      <w:r/>
      <w:bookmarkStart w:id="876" w:name="_Toc265228397"/>
      <w:r/>
      <w:bookmarkStart w:id="877" w:name="_Toc226309803"/>
      <w:r/>
      <w:bookmarkStart w:id="878" w:name="_Toc150480796"/>
      <w:r/>
      <w:bookmarkStart w:id="879" w:name="_Toc226337255"/>
      <w:r/>
      <w:bookmarkStart w:id="880" w:name="_Toc264969249"/>
      <w:r>
        <w:rPr>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305158904"/>
      <w:r/>
      <w:bookmarkStart w:id="882" w:name="_Toc127151562"/>
      <w:r/>
      <w:bookmarkStart w:id="883" w:name="_Toc226965752"/>
      <w:r/>
      <w:bookmarkStart w:id="884" w:name="_Toc226337258"/>
      <w:r/>
      <w:bookmarkStart w:id="885" w:name="_Toc150480798"/>
      <w:r/>
      <w:bookmarkStart w:id="886" w:name="_Toc226309806"/>
      <w:r/>
      <w:bookmarkStart w:id="887" w:name="_Toc142311062"/>
      <w:r/>
      <w:bookmarkStart w:id="888" w:name="_Toc150774765"/>
      <w:r/>
      <w:bookmarkStart w:id="889" w:name="_Toc265228400"/>
      <w:r/>
      <w:bookmarkStart w:id="890" w:name="_Toc195842927"/>
      <w:r/>
      <w:bookmarkStart w:id="891" w:name="_Toc226965835"/>
      <w:r/>
      <w:bookmarkStart w:id="892" w:name="_Toc264969252"/>
      <w:r/>
      <w:bookmarkStart w:id="893" w:name="_Toc305158830"/>
      <w:r/>
      <w:bookmarkStart w:id="894" w:name="_Toc142311061"/>
      <w:r/>
      <w:bookmarkStart w:id="895" w:name="_Toc150774764"/>
      <w:r/>
      <w:bookmarkStart w:id="896" w:name="_Toc226965834"/>
      <w:r/>
      <w:bookmarkStart w:id="897" w:name="_Toc127151561"/>
      <w:r/>
      <w:bookmarkStart w:id="898" w:name="_Toc150480797"/>
      <w:r/>
      <w:bookmarkStart w:id="899" w:name="_Toc226337257"/>
      <w:r/>
      <w:bookmarkStart w:id="900" w:name="_Toc305158903"/>
      <w:r/>
      <w:bookmarkStart w:id="901" w:name="_Toc226309805"/>
      <w:r/>
      <w:bookmarkStart w:id="902" w:name="_Toc264969251"/>
      <w:r/>
      <w:bookmarkStart w:id="903" w:name="_Toc305158829"/>
      <w:r/>
      <w:bookmarkStart w:id="904" w:name="_Toc226965751"/>
      <w:r/>
      <w:bookmarkStart w:id="905" w:name="_Toc265228399"/>
      <w:r/>
      <w:bookmarkStart w:id="906" w:name="_Toc195842926"/>
      <w:r>
        <w:rPr>
          <w:rFonts w:hint="eastAsia"/>
          <w:sz w:val="24"/>
        </w:rPr>
        <w:t xml:space="preserve">分项报价表（实质性格式）</w:t>
      </w:r>
      <w:r/>
    </w:p>
    <w:p>
      <w:pPr>
        <w:jc w:val="center"/>
        <w:rPr>
          <w:rFonts w:hint="eastAsia"/>
          <w:b/>
          <w:sz w:val="36"/>
          <w:szCs w:val="36"/>
        </w:rPr>
      </w:pPr>
      <w:r>
        <w:rPr>
          <w:rFonts w:hint="eastAsia"/>
          <w:b/>
          <w:sz w:val="36"/>
          <w:szCs w:val="36"/>
        </w:rPr>
        <w:t xml:space="preserve">分项报价表</w:t>
      </w:r>
      <w:r/>
    </w:p>
    <w:p>
      <w:pPr>
        <w:jc w:val="center"/>
        <w:rPr>
          <w:sz w:val="24"/>
        </w:rPr>
      </w:pPr>
      <w:r>
        <w:rPr>
          <w:sz w:val="24"/>
        </w:rPr>
      </w:r>
      <w:r/>
    </w:p>
    <w:p>
      <w:pPr>
        <w:jc w:val="center"/>
        <w:rPr>
          <w:rFonts w:hint="eastAsia"/>
          <w:b/>
          <w:sz w:val="36"/>
          <w:szCs w:val="36"/>
        </w:rPr>
      </w:pPr>
      <w:r>
        <w:rPr>
          <w:sz w:val="24"/>
        </w:rPr>
        <w:t xml:space="preserve">项目编号/包号：_____________________     项目名称：___________</w:t>
      </w:r>
      <w:r/>
    </w:p>
    <w:tbl>
      <w:tblPr>
        <w:tblStyle w:val="765"/>
        <w:tblW w:w="52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5"/>
        <w:gridCol w:w="1727"/>
        <w:gridCol w:w="1728"/>
        <w:gridCol w:w="1723"/>
        <w:gridCol w:w="2133"/>
        <w:gridCol w:w="1629"/>
      </w:tblGrid>
      <w:tr>
        <w:trPr>
          <w:jc w:val="center"/>
          <w:trHeight w:val="1223"/>
        </w:trPr>
        <w:tc>
          <w:tcPr>
            <w:tcW w:w="665" w:type="dxa"/>
            <w:vAlign w:val="center"/>
            <w:textDirection w:val="lrTb"/>
            <w:noWrap w:val="false"/>
          </w:tcPr>
          <w:p>
            <w:pPr>
              <w:jc w:val="center"/>
              <w:tabs>
                <w:tab w:val="left" w:pos="5580" w:leader="none"/>
              </w:tabs>
              <w:rPr>
                <w:b/>
                <w:sz w:val="24"/>
              </w:rPr>
            </w:pPr>
            <w:r>
              <w:rPr>
                <w:rFonts w:hint="eastAsia"/>
                <w:b/>
                <w:sz w:val="24"/>
              </w:rPr>
              <w:t xml:space="preserve">序号</w:t>
            </w:r>
            <w:r/>
          </w:p>
        </w:tc>
        <w:tc>
          <w:tcPr>
            <w:tcW w:w="1726" w:type="dxa"/>
            <w:vAlign w:val="center"/>
            <w:textDirection w:val="lrTb"/>
            <w:noWrap w:val="false"/>
          </w:tcPr>
          <w:p>
            <w:pPr>
              <w:jc w:val="center"/>
              <w:tabs>
                <w:tab w:val="left" w:pos="5580" w:leader="none"/>
              </w:tabs>
              <w:rPr>
                <w:b/>
                <w:sz w:val="24"/>
              </w:rPr>
            </w:pPr>
            <w:r>
              <w:rPr>
                <w:rFonts w:hint="eastAsia"/>
                <w:b/>
                <w:sz w:val="24"/>
              </w:rPr>
              <w:t xml:space="preserve">服务分项</w:t>
            </w:r>
            <w:r/>
          </w:p>
        </w:tc>
        <w:tc>
          <w:tcPr>
            <w:tcW w:w="1726" w:type="dxa"/>
            <w:vAlign w:val="center"/>
            <w:textDirection w:val="lrTb"/>
            <w:noWrap w:val="false"/>
          </w:tcPr>
          <w:p>
            <w:pPr>
              <w:jc w:val="center"/>
              <w:tabs>
                <w:tab w:val="left" w:pos="5580" w:leader="none"/>
              </w:tabs>
              <w:rPr>
                <w:b/>
                <w:sz w:val="24"/>
              </w:rPr>
            </w:pPr>
            <w:r>
              <w:rPr>
                <w:rFonts w:hint="eastAsia"/>
                <w:b/>
                <w:sz w:val="24"/>
              </w:rPr>
              <w:t xml:space="preserve">面积（亩）</w:t>
            </w:r>
            <w:r/>
          </w:p>
        </w:tc>
        <w:tc>
          <w:tcPr>
            <w:tcW w:w="1721" w:type="dxa"/>
            <w:vAlign w:val="center"/>
            <w:textDirection w:val="lrTb"/>
            <w:noWrap w:val="false"/>
          </w:tcPr>
          <w:p>
            <w:pPr>
              <w:jc w:val="center"/>
              <w:tabs>
                <w:tab w:val="left" w:pos="5580" w:leader="none"/>
              </w:tabs>
              <w:rPr>
                <w:b/>
                <w:sz w:val="24"/>
              </w:rPr>
            </w:pPr>
            <w:r>
              <w:rPr>
                <w:rFonts w:hint="eastAsia"/>
                <w:b/>
                <w:sz w:val="24"/>
              </w:rPr>
              <w:t xml:space="preserve">每年度</w:t>
            </w:r>
            <w:r/>
          </w:p>
          <w:p>
            <w:pPr>
              <w:jc w:val="center"/>
              <w:tabs>
                <w:tab w:val="left" w:pos="5580" w:leader="none"/>
              </w:tabs>
              <w:rPr>
                <w:rFonts w:hint="eastAsia"/>
                <w:b/>
                <w:sz w:val="24"/>
              </w:rPr>
            </w:pPr>
            <w:r>
              <w:rPr>
                <w:rFonts w:hint="eastAsia"/>
                <w:b/>
                <w:sz w:val="24"/>
              </w:rPr>
              <w:t xml:space="preserve">含税综合单价</w:t>
            </w:r>
            <w:r/>
          </w:p>
          <w:p>
            <w:pPr>
              <w:jc w:val="center"/>
              <w:tabs>
                <w:tab w:val="left" w:pos="5580" w:leader="none"/>
              </w:tabs>
              <w:rPr>
                <w:rFonts w:hint="eastAsia"/>
                <w:b/>
                <w:sz w:val="24"/>
              </w:rPr>
            </w:pPr>
            <w:r>
              <w:rPr>
                <w:rFonts w:hint="eastAsia"/>
                <w:b/>
                <w:sz w:val="24"/>
              </w:rPr>
              <w:t xml:space="preserve">（元/亩）</w:t>
            </w:r>
            <w:r/>
          </w:p>
        </w:tc>
        <w:tc>
          <w:tcPr>
            <w:tcW w:w="2131" w:type="dxa"/>
            <w:vAlign w:val="center"/>
            <w:textDirection w:val="lrTb"/>
            <w:noWrap w:val="false"/>
          </w:tcPr>
          <w:p>
            <w:pPr>
              <w:jc w:val="center"/>
              <w:tabs>
                <w:tab w:val="left" w:pos="5580" w:leader="none"/>
              </w:tabs>
              <w:rPr>
                <w:rFonts w:hint="eastAsia"/>
                <w:b/>
                <w:sz w:val="24"/>
              </w:rPr>
            </w:pPr>
            <w:r>
              <w:rPr>
                <w:rFonts w:hint="eastAsia"/>
                <w:b/>
                <w:sz w:val="24"/>
              </w:rPr>
              <w:t xml:space="preserve">每年度</w:t>
            </w:r>
            <w:r/>
          </w:p>
          <w:p>
            <w:pPr>
              <w:jc w:val="center"/>
              <w:tabs>
                <w:tab w:val="left" w:pos="5580" w:leader="none"/>
              </w:tabs>
              <w:rPr>
                <w:b/>
                <w:sz w:val="24"/>
              </w:rPr>
            </w:pPr>
            <w:r>
              <w:rPr>
                <w:rFonts w:hint="eastAsia"/>
                <w:b/>
                <w:sz w:val="24"/>
              </w:rPr>
              <w:t xml:space="preserve">合价（元）</w:t>
            </w:r>
            <w:r/>
          </w:p>
        </w:tc>
        <w:tc>
          <w:tcPr>
            <w:tcW w:w="1627" w:type="dxa"/>
            <w:vAlign w:val="center"/>
            <w:textDirection w:val="lrTb"/>
            <w:noWrap w:val="false"/>
          </w:tcPr>
          <w:p>
            <w:pPr>
              <w:jc w:val="center"/>
              <w:tabs>
                <w:tab w:val="left" w:pos="5580" w:leader="none"/>
              </w:tabs>
              <w:rPr>
                <w:rFonts w:hint="eastAsia"/>
                <w:b/>
                <w:sz w:val="24"/>
              </w:rPr>
            </w:pPr>
            <w:r>
              <w:rPr>
                <w:rFonts w:hint="eastAsia"/>
                <w:b/>
                <w:sz w:val="24"/>
              </w:rPr>
              <w:t xml:space="preserve">三年度</w:t>
            </w:r>
            <w:r/>
          </w:p>
          <w:p>
            <w:pPr>
              <w:jc w:val="center"/>
              <w:tabs>
                <w:tab w:val="left" w:pos="5580" w:leader="none"/>
              </w:tabs>
              <w:rPr>
                <w:b/>
                <w:sz w:val="24"/>
              </w:rPr>
            </w:pPr>
            <w:r>
              <w:rPr>
                <w:rFonts w:hint="eastAsia"/>
                <w:b/>
                <w:sz w:val="24"/>
              </w:rPr>
              <w:t xml:space="preserve">合价（元）</w:t>
            </w:r>
            <w:r/>
          </w:p>
        </w:tc>
      </w:tr>
      <w:tr>
        <w:trPr>
          <w:jc w:val="center"/>
          <w:trHeight w:val="1009"/>
        </w:trPr>
        <w:tc>
          <w:tcPr>
            <w:tcW w:w="665" w:type="dxa"/>
            <w:vAlign w:val="center"/>
            <w:textDirection w:val="lrTb"/>
            <w:noWrap w:val="false"/>
          </w:tcPr>
          <w:p>
            <w:pPr>
              <w:jc w:val="center"/>
              <w:tabs>
                <w:tab w:val="left" w:pos="5580" w:leader="none"/>
              </w:tabs>
              <w:rPr>
                <w:rFonts w:hint="eastAsia"/>
                <w:sz w:val="24"/>
              </w:rPr>
            </w:pPr>
            <w:r>
              <w:rPr>
                <w:rFonts w:hint="eastAsia"/>
                <w:sz w:val="24"/>
              </w:rPr>
              <w:t xml:space="preserve">1</w:t>
            </w:r>
            <w:r/>
          </w:p>
        </w:tc>
        <w:tc>
          <w:tcPr>
            <w:tcW w:w="1726" w:type="dxa"/>
            <w:vAlign w:val="center"/>
            <w:textDirection w:val="lrTb"/>
            <w:noWrap w:val="false"/>
          </w:tcPr>
          <w:p>
            <w:pPr>
              <w:jc w:val="center"/>
              <w:tabs>
                <w:tab w:val="left" w:pos="5580" w:leader="none"/>
              </w:tabs>
              <w:rPr>
                <w:sz w:val="24"/>
              </w:rPr>
            </w:pPr>
            <w:r>
              <w:rPr>
                <w:rFonts w:hint="eastAsia"/>
                <w:sz w:val="24"/>
              </w:rPr>
              <w:t xml:space="preserve">芦苇收割清运服务</w:t>
            </w:r>
            <w:r/>
          </w:p>
        </w:tc>
        <w:tc>
          <w:tcPr>
            <w:tcW w:w="1726" w:type="dxa"/>
            <w:vAlign w:val="center"/>
            <w:textDirection w:val="lrTb"/>
            <w:noWrap w:val="false"/>
          </w:tcPr>
          <w:p>
            <w:pPr>
              <w:jc w:val="center"/>
              <w:tabs>
                <w:tab w:val="left" w:pos="5580" w:leader="none"/>
              </w:tabs>
              <w:rPr>
                <w:sz w:val="24"/>
              </w:rPr>
            </w:pPr>
            <w:r>
              <w:rPr>
                <w:rFonts w:hint="eastAsia"/>
                <w:sz w:val="24"/>
              </w:rPr>
              <w:t xml:space="preserve">703</w:t>
            </w:r>
            <w:r/>
          </w:p>
        </w:tc>
        <w:tc>
          <w:tcPr>
            <w:tcW w:w="1721" w:type="dxa"/>
            <w:vAlign w:val="center"/>
            <w:textDirection w:val="lrTb"/>
            <w:noWrap w:val="false"/>
          </w:tcPr>
          <w:p>
            <w:pPr>
              <w:jc w:val="center"/>
              <w:tabs>
                <w:tab w:val="left" w:pos="5580" w:leader="none"/>
              </w:tabs>
              <w:rPr>
                <w:sz w:val="24"/>
              </w:rPr>
            </w:pPr>
            <w:r>
              <w:rPr>
                <w:sz w:val="24"/>
              </w:rPr>
            </w:r>
            <w:r/>
          </w:p>
        </w:tc>
        <w:tc>
          <w:tcPr>
            <w:tcW w:w="2131" w:type="dxa"/>
            <w:vAlign w:val="center"/>
            <w:textDirection w:val="lrTb"/>
            <w:noWrap w:val="false"/>
          </w:tcPr>
          <w:p>
            <w:pPr>
              <w:jc w:val="center"/>
              <w:tabs>
                <w:tab w:val="left" w:pos="5580" w:leader="none"/>
              </w:tabs>
              <w:rPr>
                <w:sz w:val="24"/>
              </w:rPr>
            </w:pPr>
            <w:r>
              <w:rPr>
                <w:sz w:val="24"/>
              </w:rPr>
            </w:r>
            <w:r/>
          </w:p>
        </w:tc>
        <w:tc>
          <w:tcPr>
            <w:tcW w:w="1627" w:type="dxa"/>
            <w:vAlign w:val="center"/>
            <w:textDirection w:val="lrTb"/>
            <w:noWrap w:val="false"/>
          </w:tcPr>
          <w:p>
            <w:pPr>
              <w:jc w:val="center"/>
              <w:tabs>
                <w:tab w:val="left" w:pos="5580" w:leader="none"/>
              </w:tabs>
              <w:rPr>
                <w:rFonts w:hint="eastAsia"/>
                <w:sz w:val="24"/>
              </w:rPr>
            </w:pPr>
            <w:r>
              <w:rPr>
                <w:rFonts w:hint="eastAsia"/>
                <w:sz w:val="24"/>
              </w:rPr>
            </w:r>
            <w:r/>
          </w:p>
        </w:tc>
      </w:tr>
      <w:tr>
        <w:trPr>
          <w:jc w:val="center"/>
          <w:trHeight w:val="1009"/>
        </w:trPr>
        <w:tc>
          <w:tcPr>
            <w:tcW w:w="665" w:type="dxa"/>
            <w:vAlign w:val="center"/>
            <w:textDirection w:val="lrTb"/>
            <w:noWrap w:val="false"/>
          </w:tcPr>
          <w:p>
            <w:pPr>
              <w:jc w:val="center"/>
              <w:tabs>
                <w:tab w:val="left" w:pos="5580" w:leader="none"/>
              </w:tabs>
              <w:rPr>
                <w:sz w:val="24"/>
              </w:rPr>
            </w:pPr>
            <w:r>
              <w:rPr>
                <w:rFonts w:hint="eastAsia"/>
                <w:sz w:val="24"/>
              </w:rPr>
              <w:t xml:space="preserve">2</w:t>
            </w:r>
            <w:r/>
          </w:p>
        </w:tc>
        <w:tc>
          <w:tcPr>
            <w:tcW w:w="1726" w:type="dxa"/>
            <w:vAlign w:val="center"/>
            <w:textDirection w:val="lrTb"/>
            <w:noWrap w:val="false"/>
          </w:tcPr>
          <w:p>
            <w:pPr>
              <w:jc w:val="center"/>
              <w:tabs>
                <w:tab w:val="left" w:pos="5580" w:leader="none"/>
              </w:tabs>
              <w:rPr>
                <w:sz w:val="24"/>
              </w:rPr>
            </w:pPr>
            <w:r>
              <w:rPr>
                <w:rFonts w:hint="eastAsia"/>
                <w:sz w:val="24"/>
              </w:rPr>
              <w:t xml:space="preserve">湖面垃圾打捞清运服务</w:t>
            </w:r>
            <w:r/>
          </w:p>
        </w:tc>
        <w:tc>
          <w:tcPr>
            <w:tcW w:w="1726" w:type="dxa"/>
            <w:vAlign w:val="center"/>
            <w:textDirection w:val="lrTb"/>
            <w:noWrap w:val="false"/>
          </w:tcPr>
          <w:p>
            <w:pPr>
              <w:jc w:val="center"/>
              <w:tabs>
                <w:tab w:val="left" w:pos="5580" w:leader="none"/>
              </w:tabs>
              <w:rPr>
                <w:sz w:val="24"/>
              </w:rPr>
            </w:pPr>
            <w:r>
              <w:rPr>
                <w:rFonts w:hint="eastAsia"/>
                <w:sz w:val="24"/>
              </w:rPr>
              <w:t xml:space="preserve">300</w:t>
            </w:r>
            <w:r/>
          </w:p>
        </w:tc>
        <w:tc>
          <w:tcPr>
            <w:tcW w:w="1721" w:type="dxa"/>
            <w:vAlign w:val="center"/>
            <w:textDirection w:val="lrTb"/>
            <w:noWrap w:val="false"/>
          </w:tcPr>
          <w:p>
            <w:pPr>
              <w:jc w:val="center"/>
              <w:tabs>
                <w:tab w:val="left" w:pos="5580" w:leader="none"/>
              </w:tabs>
              <w:rPr>
                <w:sz w:val="24"/>
              </w:rPr>
            </w:pPr>
            <w:r>
              <w:rPr>
                <w:sz w:val="24"/>
              </w:rPr>
            </w:r>
            <w:r/>
          </w:p>
        </w:tc>
        <w:tc>
          <w:tcPr>
            <w:tcW w:w="2131" w:type="dxa"/>
            <w:vAlign w:val="center"/>
            <w:textDirection w:val="lrTb"/>
            <w:noWrap w:val="false"/>
          </w:tcPr>
          <w:p>
            <w:pPr>
              <w:jc w:val="center"/>
              <w:tabs>
                <w:tab w:val="left" w:pos="5580" w:leader="none"/>
              </w:tabs>
              <w:rPr>
                <w:rFonts w:hint="eastAsia"/>
                <w:sz w:val="24"/>
              </w:rPr>
            </w:pPr>
            <w:r>
              <w:rPr>
                <w:rFonts w:hint="eastAsia"/>
                <w:sz w:val="24"/>
              </w:rPr>
            </w:r>
            <w:r/>
          </w:p>
        </w:tc>
        <w:tc>
          <w:tcPr>
            <w:tcW w:w="1627" w:type="dxa"/>
            <w:vAlign w:val="center"/>
            <w:textDirection w:val="lrTb"/>
            <w:noWrap w:val="false"/>
          </w:tcPr>
          <w:p>
            <w:pPr>
              <w:jc w:val="center"/>
              <w:tabs>
                <w:tab w:val="left" w:pos="5580" w:leader="none"/>
              </w:tabs>
              <w:rPr>
                <w:rFonts w:hint="eastAsia"/>
                <w:sz w:val="24"/>
              </w:rPr>
            </w:pPr>
            <w:r>
              <w:rPr>
                <w:rFonts w:hint="eastAsia"/>
                <w:sz w:val="24"/>
              </w:rPr>
            </w:r>
            <w:r/>
          </w:p>
        </w:tc>
      </w:tr>
      <w:tr>
        <w:trPr>
          <w:jc w:val="center"/>
          <w:trHeight w:val="1019"/>
        </w:trPr>
        <w:tc>
          <w:tcPr>
            <w:gridSpan w:val="4"/>
            <w:tcW w:w="5838" w:type="dxa"/>
            <w:vAlign w:val="center"/>
            <w:textDirection w:val="lrTb"/>
            <w:noWrap w:val="false"/>
          </w:tcPr>
          <w:p>
            <w:pPr>
              <w:jc w:val="center"/>
              <w:tabs>
                <w:tab w:val="left" w:pos="5580" w:leader="none"/>
              </w:tabs>
              <w:rPr>
                <w:rFonts w:hint="eastAsia"/>
                <w:sz w:val="24"/>
              </w:rPr>
            </w:pPr>
            <w:r>
              <w:rPr>
                <w:rFonts w:hint="eastAsia"/>
                <w:sz w:val="24"/>
              </w:rPr>
              <w:t xml:space="preserve">总计</w:t>
            </w:r>
            <w:r/>
          </w:p>
        </w:tc>
        <w:tc>
          <w:tcPr>
            <w:tcW w:w="2131" w:type="dxa"/>
            <w:vAlign w:val="center"/>
            <w:textDirection w:val="lrTb"/>
            <w:noWrap w:val="false"/>
          </w:tcPr>
          <w:p>
            <w:pPr>
              <w:jc w:val="center"/>
              <w:tabs>
                <w:tab w:val="left" w:pos="5580" w:leader="none"/>
              </w:tabs>
              <w:rPr>
                <w:rFonts w:hint="eastAsia"/>
                <w:sz w:val="24"/>
              </w:rPr>
            </w:pPr>
            <w:r>
              <w:rPr>
                <w:rFonts w:hint="eastAsia"/>
                <w:sz w:val="24"/>
              </w:rPr>
              <w:t xml:space="preserve">小写：</w:t>
            </w:r>
            <w:r/>
          </w:p>
          <w:p>
            <w:pPr>
              <w:jc w:val="center"/>
              <w:tabs>
                <w:tab w:val="left" w:pos="5580" w:leader="none"/>
              </w:tabs>
              <w:rPr>
                <w:rFonts w:hint="eastAsia"/>
                <w:sz w:val="24"/>
              </w:rPr>
            </w:pPr>
            <w:r>
              <w:rPr>
                <w:rFonts w:hint="eastAsia"/>
                <w:sz w:val="24"/>
              </w:rPr>
              <w:t xml:space="preserve">大写：</w:t>
            </w:r>
            <w:r/>
          </w:p>
        </w:tc>
        <w:tc>
          <w:tcPr>
            <w:tcW w:w="1627" w:type="dxa"/>
            <w:vAlign w:val="center"/>
            <w:textDirection w:val="lrTb"/>
            <w:noWrap w:val="false"/>
          </w:tcPr>
          <w:p>
            <w:pPr>
              <w:jc w:val="center"/>
              <w:tabs>
                <w:tab w:val="left" w:pos="5580" w:leader="none"/>
              </w:tabs>
              <w:rPr>
                <w:rFonts w:hint="eastAsia"/>
                <w:sz w:val="24"/>
              </w:rPr>
            </w:pPr>
            <w:r>
              <w:rPr>
                <w:rFonts w:hint="eastAsia"/>
                <w:sz w:val="24"/>
              </w:rPr>
              <w:t xml:space="preserve">小写：</w:t>
            </w:r>
            <w:r/>
          </w:p>
          <w:p>
            <w:pPr>
              <w:jc w:val="center"/>
              <w:tabs>
                <w:tab w:val="left" w:pos="5580" w:leader="none"/>
              </w:tabs>
              <w:rPr>
                <w:rFonts w:hint="eastAsia"/>
                <w:sz w:val="24"/>
              </w:rPr>
            </w:pPr>
            <w:r>
              <w:rPr>
                <w:rFonts w:hint="eastAsia"/>
                <w:sz w:val="24"/>
              </w:rPr>
              <w:t xml:space="preserve">大写：</w:t>
            </w:r>
            <w:r/>
          </w:p>
        </w:tc>
      </w:tr>
    </w:tbl>
    <w:p>
      <w:pPr>
        <w:spacing w:line="360" w:lineRule="auto"/>
        <w:tabs>
          <w:tab w:val="left" w:pos="420" w:leader="none"/>
        </w:tabs>
        <w:rPr>
          <w:rFonts w:hint="eastAsia"/>
          <w:sz w:val="24"/>
          <w:szCs w:val="20"/>
        </w:rPr>
      </w:pPr>
      <w:r>
        <w:rPr>
          <w:rFonts w:hint="eastAsia"/>
          <w:sz w:val="24"/>
          <w:szCs w:val="20"/>
        </w:rPr>
      </w:r>
      <w:r/>
    </w:p>
    <w:p>
      <w:pPr>
        <w:pStyle w:val="1000"/>
        <w:ind w:left="426" w:hanging="2"/>
        <w:rPr>
          <w:rFonts w:hint="eastAsia"/>
        </w:rPr>
      </w:pPr>
      <w:r>
        <w:rPr>
          <w:rFonts w:hint="eastAsia"/>
        </w:rPr>
        <w:t xml:space="preserve">备注：本项目为</w:t>
      </w:r>
      <w:r>
        <w:rPr>
          <w:rFonts w:hint="eastAsia"/>
          <w:b/>
          <w:bCs/>
        </w:rPr>
        <w:t xml:space="preserve">固定综合单价含税</w:t>
      </w:r>
      <w:r>
        <w:rPr>
          <w:rFonts w:hint="eastAsia"/>
        </w:rPr>
        <w:t xml:space="preserve">计价方式，表中数量为暂估，数量</w:t>
      </w:r>
      <w:r>
        <w:rPr>
          <w:rFonts w:hint="eastAsia"/>
          <w:b/>
          <w:bCs/>
        </w:rPr>
        <w:t xml:space="preserve">按实结算</w:t>
      </w:r>
      <w:r>
        <w:rPr>
          <w:rFonts w:hint="eastAsia"/>
        </w:rPr>
        <w:t xml:space="preserve">。价格中包含员工费用和管理人员费用、离职补偿金、保险、管理费、培训费、各类加班费（法定节假日等）、值班费、岗位补贴、高温补贴、员工福利、利润、设备、工具、消耗品、工会费、维护修理、折旧、各种税费、政策性文件规定风险、责任、义务等各项应有的费用。投标人应考虑合同期内的物价、政策等所有风险因素，在报价时自行预测并纳入投标价中。</w:t>
      </w:r>
      <w:r/>
    </w:p>
    <w:p>
      <w:pPr>
        <w:numPr>
          <w:ilvl w:val="0"/>
          <w:numId w:val="21"/>
        </w:numPr>
        <w:spacing w:line="360" w:lineRule="auto"/>
        <w:rPr>
          <w:sz w:val="24"/>
          <w:szCs w:val="20"/>
        </w:rPr>
        <w:outlineLvl w:val="2"/>
      </w:pPr>
      <w:r>
        <w:rPr>
          <w:sz w:val="24"/>
          <w:szCs w:val="20"/>
        </w:rPr>
        <w:br w:type="page" w:clear="all"/>
      </w:r>
      <w:r>
        <w:rPr>
          <w:sz w:val="24"/>
          <w:szCs w:val="20"/>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1059"/>
        </w:trPr>
        <w:tc>
          <w:tcPr>
            <w:gridSpan w:val="6"/>
            <w:tcW w:w="0"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1046"/>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numPr>
          <w:ilvl w:val="0"/>
          <w:numId w:val="21"/>
        </w:numPr>
        <w:spacing w:line="360" w:lineRule="auto"/>
        <w:rPr>
          <w:sz w:val="24"/>
          <w:szCs w:val="20"/>
        </w:rPr>
        <w:outlineLvl w:val="2"/>
      </w:pPr>
      <w:r>
        <w:rPr>
          <w:sz w:val="24"/>
          <w:szCs w:val="20"/>
        </w:rPr>
        <w:br w:type="page" w:clear="all"/>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rPr>
        <w:t xml:space="preserve">采购需求偏离表（实质性格式）</w:t>
      </w:r>
      <w:r/>
    </w:p>
    <w:p>
      <w:pPr>
        <w:jc w:val="center"/>
        <w:spacing w:line="360" w:lineRule="auto"/>
        <w:rPr>
          <w:rFonts w:hint="eastAsia"/>
          <w:b/>
          <w:sz w:val="36"/>
          <w:szCs w:val="36"/>
        </w:rPr>
      </w:pPr>
      <w:r>
        <w:rPr>
          <w:rFonts w:hint="eastAsia"/>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p>
    <w:tbl>
      <w:tblPr>
        <w:tblStyle w:val="76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填写“正偏离”或“负偏离”，如完全满足招标文件要求，偏离情况填写“完全满足”即可。</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ind w:right="1560" w:firstLine="480"/>
        <w:jc w:val="center"/>
        <w:spacing w:line="588" w:lineRule="exact"/>
        <w:tabs>
          <w:tab w:val="left" w:pos="4860" w:leader="none"/>
        </w:tabs>
        <w:rPr>
          <w:spacing w:val="6"/>
          <w:sz w:val="24"/>
        </w:rPr>
      </w:pPr>
      <w:r>
        <w:rPr>
          <w:sz w:val="24"/>
          <w:szCs w:val="20"/>
        </w:rPr>
        <w:br w:type="page" w:clear="all"/>
      </w:r>
      <w:r/>
    </w:p>
    <w:p>
      <w:pPr>
        <w:rPr>
          <w:rFonts w:hint="eastAsia"/>
          <w:sz w:val="24"/>
          <w:szCs w:val="20"/>
        </w:rPr>
      </w:pPr>
      <w:r>
        <w:rPr>
          <w:rFonts w:hint="eastAsia"/>
          <w:sz w:val="24"/>
          <w:szCs w:val="20"/>
        </w:rPr>
      </w:r>
      <w:r/>
    </w:p>
    <w:p>
      <w:pPr>
        <w:numPr>
          <w:ilvl w:val="0"/>
          <w:numId w:val="21"/>
        </w:numPr>
        <w:spacing w:line="360" w:lineRule="auto"/>
        <w:rPr>
          <w:sz w:val="24"/>
          <w:szCs w:val="20"/>
        </w:rPr>
        <w:outlineLvl w:val="2"/>
      </w:pPr>
      <w:r>
        <w:rPr>
          <w:rFonts w:hint="eastAsia"/>
          <w:sz w:val="24"/>
          <w:szCs w:val="20"/>
        </w:rPr>
        <w:t xml:space="preserve">项目实施方案详见第四章评审标准，包括但不限于如下主题：</w:t>
      </w:r>
      <w:r/>
    </w:p>
    <w:p>
      <w:pPr>
        <w:ind w:firstLine="480"/>
        <w:spacing w:line="560" w:lineRule="exact"/>
        <w:rPr>
          <w:sz w:val="24"/>
          <w:szCs w:val="20"/>
        </w:rPr>
      </w:pPr>
      <w:r>
        <w:rPr>
          <w:rFonts w:hint="eastAsia"/>
          <w:sz w:val="24"/>
          <w:szCs w:val="20"/>
        </w:rPr>
        <w:t xml:space="preserve">1）</w:t>
      </w:r>
      <w:r>
        <w:rPr>
          <w:rFonts w:hint="eastAsia"/>
          <w:sz w:val="24"/>
        </w:rPr>
        <w:t xml:space="preserve">作业</w:t>
      </w:r>
      <w:r>
        <w:rPr>
          <w:sz w:val="24"/>
        </w:rPr>
        <w:t xml:space="preserve">方案及主要技术措施</w:t>
      </w:r>
      <w:r>
        <w:rPr>
          <w:rFonts w:hint="eastAsia"/>
          <w:sz w:val="24"/>
          <w:szCs w:val="20"/>
        </w:rPr>
        <w:t xml:space="preserve">；</w:t>
      </w:r>
      <w:r/>
    </w:p>
    <w:p>
      <w:pPr>
        <w:ind w:firstLine="480"/>
        <w:spacing w:line="560" w:lineRule="exact"/>
        <w:rPr>
          <w:sz w:val="24"/>
          <w:szCs w:val="20"/>
        </w:rPr>
      </w:pPr>
      <w:r>
        <w:rPr>
          <w:rFonts w:hint="eastAsia"/>
          <w:sz w:val="24"/>
          <w:szCs w:val="20"/>
        </w:rPr>
        <w:t xml:space="preserve">2）</w:t>
      </w:r>
      <w:r>
        <w:rPr>
          <w:sz w:val="24"/>
        </w:rPr>
        <w:t xml:space="preserve">清运措施及环境保护措施</w:t>
      </w:r>
      <w:r>
        <w:rPr>
          <w:rFonts w:hint="eastAsia"/>
          <w:sz w:val="24"/>
          <w:szCs w:val="20"/>
        </w:rPr>
        <w:t xml:space="preserve">；</w:t>
      </w:r>
      <w:r/>
    </w:p>
    <w:p>
      <w:pPr>
        <w:ind w:firstLine="480"/>
        <w:spacing w:line="560" w:lineRule="exact"/>
        <w:rPr>
          <w:rFonts w:hint="eastAsia"/>
          <w:sz w:val="24"/>
        </w:rPr>
      </w:pPr>
      <w:r>
        <w:rPr>
          <w:sz w:val="24"/>
          <w:szCs w:val="20"/>
        </w:rPr>
        <w:t xml:space="preserve">3</w:t>
      </w:r>
      <w:r>
        <w:rPr>
          <w:rFonts w:hint="eastAsia"/>
          <w:sz w:val="24"/>
          <w:szCs w:val="20"/>
        </w:rPr>
        <w:t xml:space="preserve">）</w:t>
      </w:r>
      <w:r>
        <w:rPr>
          <w:sz w:val="24"/>
        </w:rPr>
        <w:t xml:space="preserve">安全保障及文明施工措施</w:t>
      </w:r>
      <w:r>
        <w:rPr>
          <w:rFonts w:hint="eastAsia"/>
          <w:sz w:val="24"/>
        </w:rPr>
        <w:t xml:space="preserve">；</w:t>
      </w:r>
      <w:r/>
    </w:p>
    <w:p>
      <w:pPr>
        <w:ind w:firstLine="480"/>
        <w:spacing w:line="560" w:lineRule="exact"/>
        <w:rPr>
          <w:sz w:val="24"/>
          <w:szCs w:val="20"/>
        </w:rPr>
      </w:pPr>
      <w:r>
        <w:rPr>
          <w:sz w:val="24"/>
          <w:szCs w:val="20"/>
        </w:rPr>
        <w:t xml:space="preserve">4</w:t>
      </w:r>
      <w:r>
        <w:rPr>
          <w:rFonts w:hint="eastAsia"/>
          <w:sz w:val="24"/>
          <w:szCs w:val="20"/>
        </w:rPr>
        <w:t xml:space="preserve">）</w:t>
      </w:r>
      <w:r>
        <w:rPr>
          <w:rFonts w:hint="eastAsia" w:ascii="宋体" w:hAnsi="宋体" w:cs="宋体"/>
          <w:sz w:val="24"/>
          <w:szCs w:val="32"/>
        </w:rPr>
        <w:t xml:space="preserve">迎接重大活动和检查评比的保障措施</w:t>
      </w:r>
      <w:r>
        <w:rPr>
          <w:rFonts w:hint="eastAsia"/>
          <w:sz w:val="24"/>
        </w:rPr>
        <w:t xml:space="preserve">；</w:t>
      </w:r>
      <w:r/>
    </w:p>
    <w:p>
      <w:pPr>
        <w:ind w:firstLine="480"/>
        <w:spacing w:line="560" w:lineRule="exact"/>
        <w:rPr>
          <w:rFonts w:hint="eastAsia"/>
          <w:sz w:val="24"/>
          <w:szCs w:val="20"/>
        </w:rPr>
      </w:pPr>
      <w:r>
        <w:rPr>
          <w:rFonts w:hint="eastAsia"/>
          <w:sz w:val="24"/>
          <w:szCs w:val="20"/>
        </w:rPr>
        <w:t xml:space="preserve">5）</w:t>
      </w:r>
      <w:r>
        <w:rPr>
          <w:sz w:val="24"/>
        </w:rPr>
        <w:t xml:space="preserve">质量目标及保证措施</w:t>
      </w:r>
      <w:r>
        <w:rPr>
          <w:rFonts w:hint="eastAsia"/>
          <w:sz w:val="24"/>
        </w:rPr>
        <w:t xml:space="preserve">；</w:t>
      </w:r>
      <w:r/>
    </w:p>
    <w:p>
      <w:pPr>
        <w:ind w:firstLine="480"/>
        <w:spacing w:line="560" w:lineRule="exact"/>
        <w:rPr>
          <w:rFonts w:hint="eastAsia"/>
          <w:sz w:val="24"/>
          <w:szCs w:val="20"/>
        </w:rPr>
      </w:pPr>
      <w:r>
        <w:rPr>
          <w:rFonts w:hint="eastAsia"/>
          <w:sz w:val="24"/>
          <w:szCs w:val="20"/>
        </w:rPr>
        <w:t xml:space="preserve">6）其他。</w:t>
      </w:r>
      <w:r/>
    </w:p>
    <w:p>
      <w:pPr>
        <w:ind w:firstLine="480"/>
        <w:spacing w:line="560" w:lineRule="exact"/>
        <w:rPr>
          <w:rFonts w:hint="eastAsia"/>
          <w:sz w:val="24"/>
          <w:szCs w:val="20"/>
        </w:rPr>
      </w:pPr>
      <w:r>
        <w:rPr>
          <w:rFonts w:hint="eastAsia"/>
          <w:sz w:val="24"/>
          <w:szCs w:val="20"/>
        </w:rPr>
      </w:r>
      <w:r/>
    </w:p>
    <w:p>
      <w:pPr>
        <w:ind w:firstLine="480"/>
        <w:spacing w:line="560" w:lineRule="exact"/>
        <w:rPr>
          <w:rFonts w:hint="eastAsia"/>
          <w:sz w:val="24"/>
          <w:szCs w:val="20"/>
        </w:rPr>
      </w:pPr>
      <w:r>
        <w:rPr>
          <w:rFonts w:hint="eastAsia"/>
          <w:sz w:val="24"/>
          <w:szCs w:val="20"/>
        </w:rPr>
      </w:r>
      <w:r/>
    </w:p>
    <w:p>
      <w:pPr>
        <w:ind w:firstLine="480"/>
        <w:spacing w:line="560" w:lineRule="exact"/>
        <w:rPr>
          <w:rFonts w:hint="eastAsia"/>
          <w:sz w:val="24"/>
          <w:szCs w:val="20"/>
        </w:rPr>
      </w:pPr>
      <w:r>
        <w:rPr>
          <w:rFonts w:hint="eastAsia"/>
          <w:sz w:val="24"/>
          <w:szCs w:val="20"/>
        </w:rPr>
      </w:r>
      <w:r/>
    </w:p>
    <w:p>
      <w:pPr>
        <w:numPr>
          <w:ilvl w:val="0"/>
          <w:numId w:val="21"/>
        </w:numPr>
        <w:spacing w:line="360" w:lineRule="auto"/>
        <w:rPr>
          <w:rFonts w:hint="eastAsia"/>
          <w:sz w:val="24"/>
          <w:szCs w:val="20"/>
        </w:rPr>
        <w:outlineLvl w:val="2"/>
      </w:pPr>
      <w:r>
        <w:br w:type="page" w:clear="all"/>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参加本项目管理人员一览表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5"/>
        <w:tblW w:w="9538"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1459"/>
        <w:gridCol w:w="777"/>
        <w:gridCol w:w="801"/>
        <w:gridCol w:w="945"/>
        <w:gridCol w:w="1118"/>
        <w:gridCol w:w="968"/>
        <w:gridCol w:w="1241"/>
        <w:gridCol w:w="1486"/>
      </w:tblGrid>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学历</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59"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777"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801"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18"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486"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须提供</w:t>
      </w:r>
      <w:r>
        <w:rPr>
          <w:rFonts w:hint="eastAsia" w:ascii="宋体" w:hAnsi="宋体" w:cs="宋体"/>
          <w:b/>
          <w:sz w:val="24"/>
          <w:lang w:val="zh-CN"/>
        </w:rPr>
        <w:t xml:space="preserve">参加本项目人员近三个月（开标之日起向前推）投标人为</w:t>
      </w:r>
      <w:r>
        <w:rPr>
          <w:rFonts w:hint="eastAsia" w:ascii="宋体" w:hAnsi="宋体" w:cs="宋体"/>
          <w:b/>
          <w:sz w:val="24"/>
        </w:rPr>
        <w:t xml:space="preserve">其</w:t>
      </w:r>
      <w:r>
        <w:rPr>
          <w:rFonts w:hint="eastAsia" w:ascii="宋体" w:hAnsi="宋体" w:cs="宋体"/>
          <w:b/>
          <w:sz w:val="24"/>
          <w:lang w:val="zh-CN"/>
        </w:rPr>
        <w:t xml:space="preserve">缴纳的社保证明。</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numPr>
          <w:ilvl w:val="0"/>
          <w:numId w:val="21"/>
        </w:numPr>
        <w:spacing w:line="360" w:lineRule="auto"/>
        <w:rPr>
          <w:sz w:val="24"/>
          <w:szCs w:val="20"/>
        </w:rPr>
        <w:outlineLvl w:val="2"/>
      </w:pPr>
      <w:r>
        <w:rPr>
          <w:sz w:val="22"/>
        </w:rPr>
        <w:br w:type="page" w:clear="all"/>
      </w:r>
      <w:bookmarkStart w:id="907" w:name="_Toc288738397"/>
      <w:r/>
      <w:bookmarkStart w:id="908" w:name="_Toc288738839"/>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6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rPr>
              <w:t xml:space="preserve">项目</w:t>
            </w:r>
            <w:r>
              <w:rPr>
                <w:rFonts w:hint="eastAsia" w:ascii="宋体" w:hAnsi="宋体" w:cs="宋体"/>
                <w:sz w:val="24"/>
                <w:lang w:val="zh-CN"/>
              </w:rPr>
              <w:t xml:space="preserve">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rPr>
              <w:t xml:space="preserve">甲方</w:t>
            </w:r>
            <w:r>
              <w:rPr>
                <w:rFonts w:hint="eastAsia" w:ascii="宋体" w:hAnsi="宋体" w:cs="宋体"/>
                <w:sz w:val="24"/>
              </w:rPr>
              <w:br w:type="textWrapping" w:clear="all"/>
            </w: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40"/>
        <w:jc w:val="right"/>
        <w:spacing w:line="360" w:lineRule="auto"/>
        <w:rPr>
          <w:sz w:val="24"/>
        </w:rPr>
      </w:pPr>
      <w:r>
        <w:rPr>
          <w:rFonts w:hint="eastAsia"/>
          <w:sz w:val="22"/>
        </w:rPr>
        <w:br w:type="page" w:clear="all"/>
      </w:r>
      <w:r/>
    </w:p>
    <w:p>
      <w:pPr>
        <w:numPr>
          <w:ilvl w:val="0"/>
          <w:numId w:val="21"/>
        </w:numPr>
        <w:spacing w:line="360" w:lineRule="auto"/>
        <w:rPr>
          <w:sz w:val="24"/>
          <w:szCs w:val="20"/>
        </w:rPr>
        <w:outlineLvl w:val="2"/>
      </w:pP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1"/>
      <w:headerReference w:type="first" r:id="rId12"/>
      <w:footerReference w:type="even" r:id="rId14"/>
      <w:footerReference w:type="first" r:id="rId15"/>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等线">
    <w:panose1 w:val="02010600030101010101"/>
  </w:font>
  <w:font w:name="仿宋">
    <w:panose1 w:val="02010609060101010101"/>
  </w:font>
  <w:font w:name="Wingdings">
    <w:panose1 w:val="05000000000000000000"/>
  </w:font>
  <w:font w:name="方正小标宋简体">
    <w:panose1 w:val="020B0503020202020204"/>
  </w:font>
  <w:font w:name="Symbol">
    <w:panose1 w:val="05050102010706020507"/>
  </w:font>
  <w:font w:name="Tahoma">
    <w:panose1 w:val="020B0604030504040204"/>
  </w:font>
  <w:font w:name="CESI黑体-GB2312">
    <w:panose1 w:val="020B0503020202020204"/>
  </w:font>
  <w:font w:name="Mongolian Baiti">
    <w:panose1 w:val="03000500000000000000"/>
  </w:font>
  <w:font w:name="ˎ̥">
    <w:panose1 w:val="020B0503020202020204"/>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5"/>
      </w:rPr>
      <w:framePr w:wrap="around" w:vAnchor="text" w:hAnchor="margin" w:xAlign="right" w:y="1"/>
    </w:pPr>
    <w:r>
      <w:fldChar w:fldCharType="begin"/>
    </w:r>
    <w:r>
      <w:rPr>
        <w:rStyle w:val="1005"/>
      </w:rPr>
      <w:instrText xml:space="preserve">PAGE  </w:instrText>
    </w:r>
    <w:r>
      <w:fldChar w:fldCharType="end"/>
    </w:r>
    <w:r/>
  </w:p>
  <w:p>
    <w:pPr>
      <w:pStyle w:val="981"/>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mc:AlternateContent>
        <mc:Choice Requires="wpg">
          <w:drawing>
            <wp:inline xmlns:wp="http://schemas.openxmlformats.org/drawingml/2006/wordprocessingDrawing" distT="0" distB="0" distL="0" distR="0">
              <wp:extent cx="125730" cy="12573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25740" cy="12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pt;height:9.9pt;mso-wrap-distance-left:0.0pt;mso-wrap-distance-top:0.0pt;mso-wrap-distance-right:0.0pt;mso-wrap-distance-bottom:0.0pt;" stroked="f">
              <v:path textboxrect="0,0,0,0"/>
              <v:imagedata r:id="rId1" o:title=""/>
            </v:shape>
          </w:pict>
        </mc:Fallback>
      </mc:AlternateContent>
    </w:r>
    <w:r>
      <w:rPr>
        <w:rFonts w:hint="eastAsia"/>
      </w:rPr>
      <w:t xml:space="preserve">常州中平招投标咨询服务有限公司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mc:AlternateContent>
        <mc:Choice Requires="wpg">
          <w:drawing>
            <wp:inline xmlns:wp="http://schemas.openxmlformats.org/drawingml/2006/wordprocessingDrawing" distT="0" distB="0" distL="0" distR="0">
              <wp:extent cx="125730" cy="12573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25740" cy="125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pt;height:9.9pt;mso-wrap-distance-left:0.0pt;mso-wrap-distance-top:0.0pt;mso-wrap-distance-right:0.0pt;mso-wrap-distance-bottom:0.0pt;" stroked="f">
              <v:path textboxrect="0,0,0,0"/>
              <v:imagedata r:id="rId1" o:title=""/>
            </v:shape>
          </w:pict>
        </mc:Fallback>
      </mc:AlternateContent>
    </w:r>
    <w:r>
      <w:rPr>
        <w:rFonts w:hint="eastAsia"/>
      </w:rPr>
      <w:t xml:space="preserve">常州中平招投标咨询服务有限公司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7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8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2"/>
      <w:isLgl w:val="false"/>
      <w:suff w:val="nothing"/>
      <w:lvlText w:val="%1.%2.%3.%4.%5.%6　"/>
      <w:lvlJc w:val="left"/>
      <w:pPr>
        <w:ind w:left="-25" w:firstLine="0"/>
      </w:pPr>
      <w:rPr>
        <w:rFonts w:ascii="Times New Roman" w:hAnsi="Times New Roman" w:eastAsia="宋体"/>
        <w:b/>
        <w:i w:val="0"/>
        <w:sz w:val="28"/>
      </w:rPr>
    </w:lvl>
    <w:lvl w:ilvl="6">
      <w:start w:val="1"/>
      <w:numFmt w:val="lowerLetter"/>
      <w:pStyle w:val="115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7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54" w:hanging="454"/>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454" w:hanging="454"/>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6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083" w:hanging="515"/>
        <w:tabs>
          <w:tab w:val="left" w:pos="1589" w:leader="none"/>
        </w:tabs>
      </w:pPr>
      <w:rPr>
        <w:rFonts w:ascii="Times New Roman" w:hAnsi="Times New Roman" w:cs="Times New Roman"/>
        <w:sz w:val="24"/>
        <w:szCs w:val="24"/>
      </w:rPr>
    </w:lvl>
    <w:lvl w:ilvl="2">
      <w:start w:val="1"/>
      <w:numFmt w:val="decimal"/>
      <w:isLgl w:val="false"/>
      <w:suff w:val="space"/>
      <w:lvlText w:val="%1.%2.%3"/>
      <w:lvlJc w:val="left"/>
      <w:pPr>
        <w:ind w:left="1083" w:hanging="3"/>
      </w:pPr>
      <w:rPr>
        <w:rFonts w:hint="eastAsia"/>
      </w:rPr>
    </w:lvl>
    <w:lvl w:ilvl="3">
      <w:start w:val="1"/>
      <w:numFmt w:val="decimal"/>
      <w:isLgl w:val="false"/>
      <w:suff w:val="space"/>
      <w:lvlText w:val="%1.%2.%3.%4"/>
      <w:lvlJc w:val="left"/>
      <w:pPr>
        <w:ind w:left="2268" w:hanging="794"/>
        <w:tabs>
          <w:tab w:val="left" w:pos="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lowerLetter"/>
      <w:pStyle w:val="109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isLgl w:val="false"/>
      <w:suff w:val="tab"/>
      <w:lvlText w:val="%1."/>
      <w:lvlJc w:val="left"/>
      <w:pPr>
        <w:ind w:left="1242" w:hanging="382"/>
      </w:pPr>
      <w:rPr>
        <w:rFonts w:ascii="仿宋" w:hAnsi="仿宋" w:eastAsia="仿宋" w:cs="仿宋"/>
        <w:spacing w:val="0"/>
        <w:sz w:val="32"/>
        <w:szCs w:val="32"/>
      </w:rPr>
    </w:lvl>
    <w:lvl w:ilvl="1">
      <w:start w:val="0"/>
      <w:numFmt w:val="bullet"/>
      <w:isLgl w:val="false"/>
      <w:suff w:val="tab"/>
      <w:lvlText w:val="•"/>
      <w:lvlJc w:val="left"/>
      <w:pPr>
        <w:ind w:left="2010" w:hanging="382"/>
      </w:pPr>
    </w:lvl>
    <w:lvl w:ilvl="2">
      <w:start w:val="0"/>
      <w:numFmt w:val="bullet"/>
      <w:isLgl w:val="false"/>
      <w:suff w:val="tab"/>
      <w:lvlText w:val="•"/>
      <w:lvlJc w:val="left"/>
      <w:pPr>
        <w:ind w:left="2781" w:hanging="382"/>
      </w:pPr>
    </w:lvl>
    <w:lvl w:ilvl="3">
      <w:start w:val="0"/>
      <w:numFmt w:val="bullet"/>
      <w:isLgl w:val="false"/>
      <w:suff w:val="tab"/>
      <w:lvlText w:val="•"/>
      <w:lvlJc w:val="left"/>
      <w:pPr>
        <w:ind w:left="3551" w:hanging="382"/>
      </w:pPr>
    </w:lvl>
    <w:lvl w:ilvl="4">
      <w:start w:val="0"/>
      <w:numFmt w:val="bullet"/>
      <w:isLgl w:val="false"/>
      <w:suff w:val="tab"/>
      <w:lvlText w:val="•"/>
      <w:lvlJc w:val="left"/>
      <w:pPr>
        <w:ind w:left="4322" w:hanging="382"/>
      </w:pPr>
    </w:lvl>
    <w:lvl w:ilvl="5">
      <w:start w:val="0"/>
      <w:numFmt w:val="bullet"/>
      <w:isLgl w:val="false"/>
      <w:suff w:val="tab"/>
      <w:lvlText w:val="•"/>
      <w:lvlJc w:val="left"/>
      <w:pPr>
        <w:ind w:left="5093" w:hanging="382"/>
      </w:pPr>
    </w:lvl>
    <w:lvl w:ilvl="6">
      <w:start w:val="0"/>
      <w:numFmt w:val="bullet"/>
      <w:isLgl w:val="false"/>
      <w:suff w:val="tab"/>
      <w:lvlText w:val="•"/>
      <w:lvlJc w:val="left"/>
      <w:pPr>
        <w:ind w:left="5863" w:hanging="382"/>
      </w:pPr>
    </w:lvl>
    <w:lvl w:ilvl="7">
      <w:start w:val="0"/>
      <w:numFmt w:val="bullet"/>
      <w:isLgl w:val="false"/>
      <w:suff w:val="tab"/>
      <w:lvlText w:val="•"/>
      <w:lvlJc w:val="left"/>
      <w:pPr>
        <w:ind w:left="6634" w:hanging="382"/>
      </w:pPr>
    </w:lvl>
    <w:lvl w:ilvl="8">
      <w:start w:val="0"/>
      <w:numFmt w:val="bullet"/>
      <w:isLgl w:val="false"/>
      <w:suff w:val="tab"/>
      <w:lvlText w:val="•"/>
      <w:lvlJc w:val="left"/>
      <w:pPr>
        <w:ind w:left="7404" w:hanging="382"/>
      </w:p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181"/>
      <w:isLgl w:val="false"/>
      <w:suff w:val="tab"/>
      <w:lvlText w:val="%1"/>
      <w:lvlJc w:val="left"/>
      <w:pPr>
        <w:ind w:left="680" w:hanging="680"/>
      </w:pPr>
      <w:rPr>
        <w:rFonts w:hint="eastAsia" w:ascii="宋体" w:hAnsi="宋体" w:eastAsia="宋体"/>
      </w:rPr>
    </w:lvl>
    <w:lvl w:ilvl="1">
      <w:start w:val="1"/>
      <w:numFmt w:val="decimal"/>
      <w:pStyle w:val="1172"/>
      <w:isLgl w:val="false"/>
      <w:suff w:val="tab"/>
      <w:lvlText w:val="%1.%2"/>
      <w:lvlJc w:val="left"/>
      <w:pPr>
        <w:ind w:left="851" w:hanging="851"/>
      </w:pPr>
      <w:rPr>
        <w:rFonts w:hint="eastAsia" w:ascii="宋体" w:hAnsi="宋体" w:eastAsia="宋体"/>
        <w:color w:val="000000"/>
      </w:rPr>
    </w:lvl>
    <w:lvl w:ilvl="2">
      <w:start w:val="1"/>
      <w:numFmt w:val="decimal"/>
      <w:pStyle w:val="112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07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space"/>
      <w:lvlText w:val="%1.%2"/>
      <w:lvlJc w:val="left"/>
      <w:pPr>
        <w:ind w:left="1020" w:hanging="452"/>
        <w:tabs>
          <w:tab w:val="left" w:pos="0" w:leader="none"/>
        </w:tabs>
      </w:pPr>
      <w:rPr>
        <w:rFonts w:ascii="Times New Roman" w:hAnsi="Times New Roman" w:cs="Times New Roman"/>
        <w:sz w:val="24"/>
        <w:szCs w:val="24"/>
      </w:rPr>
    </w:lvl>
    <w:lvl w:ilvl="2">
      <w:start w:val="1"/>
      <w:numFmt w:val="decimal"/>
      <w:isLgl w:val="false"/>
      <w:suff w:val="space"/>
      <w:lvlText w:val="%1.%2.%3"/>
      <w:lvlJc w:val="left"/>
      <w:pPr>
        <w:ind w:left="1701" w:hanging="621"/>
        <w:tabs>
          <w:tab w:val="left" w:pos="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0">
    <w:multiLevelType w:val="hybridMultilevel"/>
    <w:lvl w:ilvl="0">
      <w:start w:val="1"/>
      <w:numFmt w:val="decimal"/>
      <w:isLgl w:val="false"/>
      <w:suff w:val="space"/>
      <w:lvlText w:val="%1"/>
      <w:lvlJc w:val="left"/>
      <w:pPr>
        <w:ind w:left="42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lvl>
    <w:lvl w:ilvl="1">
      <w:start w:val="1"/>
      <w:numFmt w:val="decimal"/>
      <w:isLgl w:val="false"/>
      <w:suff w:val="nothing"/>
      <w:lvlText w:val="%1.%2."/>
      <w:lvlJc w:val="left"/>
      <w:pPr>
        <w:ind w:left="850" w:hanging="453"/>
      </w:pPr>
    </w:lvl>
    <w:lvl w:ilvl="2">
      <w:start w:val="1"/>
      <w:numFmt w:val="decimal"/>
      <w:isLgl w:val="false"/>
      <w:suff w:val="tab"/>
      <w:lvlText w:val="%1.%2.%3."/>
      <w:lvlJc w:val="left"/>
      <w:pPr>
        <w:ind w:left="1508" w:hanging="708"/>
      </w:pPr>
    </w:lvl>
    <w:lvl w:ilvl="3">
      <w:start w:val="1"/>
      <w:numFmt w:val="decimal"/>
      <w:isLgl w:val="false"/>
      <w:suff w:val="tab"/>
      <w:lvlText w:val="%1.%2.%3.%4."/>
      <w:lvlJc w:val="left"/>
      <w:pPr>
        <w:ind w:left="2053" w:hanging="853"/>
      </w:pPr>
    </w:lvl>
    <w:lvl w:ilvl="4">
      <w:start w:val="1"/>
      <w:numFmt w:val="decimal"/>
      <w:isLgl w:val="false"/>
      <w:suff w:val="tab"/>
      <w:lvlText w:val="%1.%2.%3.%4.%5."/>
      <w:lvlJc w:val="left"/>
      <w:pPr>
        <w:ind w:left="2495" w:hanging="895"/>
      </w:pPr>
    </w:lvl>
    <w:lvl w:ilvl="5">
      <w:start w:val="1"/>
      <w:numFmt w:val="decimal"/>
      <w:isLgl w:val="false"/>
      <w:suff w:val="tab"/>
      <w:lvlText w:val="%1.%2.%3.%4.%5.%6."/>
      <w:lvlJc w:val="left"/>
      <w:pPr>
        <w:ind w:left="3136" w:hanging="1136"/>
      </w:pPr>
    </w:lvl>
    <w:lvl w:ilvl="6">
      <w:start w:val="1"/>
      <w:numFmt w:val="decimal"/>
      <w:isLgl w:val="false"/>
      <w:suff w:val="tab"/>
      <w:lvlText w:val="%1.%2.%3.%4.%5.%6.%7."/>
      <w:lvlJc w:val="left"/>
      <w:pPr>
        <w:ind w:left="3673" w:hanging="1273"/>
      </w:pPr>
    </w:lvl>
    <w:lvl w:ilvl="7">
      <w:start w:val="1"/>
      <w:numFmt w:val="decimal"/>
      <w:isLgl w:val="false"/>
      <w:suff w:val="tab"/>
      <w:lvlText w:val="%1.%2.%3.%4.%5.%6.%7.%8."/>
      <w:lvlJc w:val="left"/>
      <w:pPr>
        <w:ind w:left="4218" w:hanging="1418"/>
      </w:pPr>
    </w:lvl>
    <w:lvl w:ilvl="8">
      <w:start w:val="1"/>
      <w:numFmt w:val="decimal"/>
      <w:isLgl w:val="false"/>
      <w:suff w:val="tab"/>
      <w:lvlText w:val="%1.%2.%3.%4.%5.%6.%7.%8.%9."/>
      <w:lvlJc w:val="left"/>
      <w:pPr>
        <w:ind w:left="4648" w:hanging="1448"/>
      </w:pPr>
    </w:lvl>
  </w:abstractNum>
  <w:num w:numId="1">
    <w:abstractNumId w:val="9"/>
  </w:num>
  <w:num w:numId="2">
    <w:abstractNumId w:val="5"/>
  </w:num>
  <w:num w:numId="3">
    <w:abstractNumId w:val="18"/>
  </w:num>
  <w:num w:numId="4">
    <w:abstractNumId w:val="3"/>
  </w:num>
  <w:num w:numId="5">
    <w:abstractNumId w:val="2"/>
  </w:num>
  <w:num w:numId="6">
    <w:abstractNumId w:val="11"/>
  </w:num>
  <w:num w:numId="7">
    <w:abstractNumId w:val="14"/>
  </w:num>
  <w:num w:numId="8">
    <w:abstractNumId w:val="21"/>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3"/>
  </w:num>
  <w:num w:numId="17">
    <w:abstractNumId w:val="7"/>
  </w:num>
  <w:num w:numId="18">
    <w:abstractNumId w:val="6"/>
  </w:num>
  <w:num w:numId="19">
    <w:abstractNumId w:val="1"/>
  </w:num>
  <w:num w:numId="20">
    <w:abstractNumId w:val="16"/>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787"/>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88"/>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89"/>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0"/>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1"/>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2"/>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9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795"/>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toc 5"/>
    <w:basedOn w:val="754"/>
    <w:next w:val="754"/>
    <w:uiPriority w:val="39"/>
    <w:unhideWhenUsed/>
    <w:qFormat/>
    <w:pPr>
      <w:ind w:left="1134" w:right="0" w:firstLine="0"/>
      <w:spacing w:after="57"/>
    </w:pPr>
  </w:style>
  <w:style w:type="paragraph" w:styleId="769">
    <w:name w:val="toc 3"/>
    <w:basedOn w:val="754"/>
    <w:next w:val="754"/>
    <w:uiPriority w:val="39"/>
    <w:unhideWhenUsed/>
    <w:qFormat/>
    <w:pPr>
      <w:ind w:left="567" w:right="0" w:firstLine="0"/>
      <w:spacing w:after="57"/>
    </w:pPr>
  </w:style>
  <w:style w:type="paragraph" w:styleId="770">
    <w:name w:val="toc 8"/>
    <w:basedOn w:val="754"/>
    <w:next w:val="754"/>
    <w:uiPriority w:val="39"/>
    <w:unhideWhenUsed/>
    <w:qFormat/>
    <w:pPr>
      <w:ind w:left="1984" w:right="0" w:firstLine="0"/>
      <w:spacing w:after="57"/>
    </w:pPr>
  </w:style>
  <w:style w:type="paragraph" w:styleId="771">
    <w:name w:val="endnote text"/>
    <w:basedOn w:val="754"/>
    <w:link w:val="932"/>
    <w:uiPriority w:val="99"/>
    <w:semiHidden/>
    <w:unhideWhenUsed/>
    <w:qFormat/>
    <w:pPr>
      <w:spacing w:after="0" w:line="240" w:lineRule="auto"/>
    </w:pPr>
    <w:rPr>
      <w:sz w:val="20"/>
    </w:rPr>
  </w:style>
  <w:style w:type="paragraph" w:styleId="772">
    <w:name w:val="Footer"/>
    <w:basedOn w:val="754"/>
    <w:link w:val="805"/>
    <w:uiPriority w:val="99"/>
    <w:unhideWhenUsed/>
    <w:qFormat/>
    <w:pPr>
      <w:spacing w:after="0" w:line="240" w:lineRule="auto"/>
      <w:tabs>
        <w:tab w:val="center" w:pos="7143" w:leader="none"/>
        <w:tab w:val="right" w:pos="14287" w:leader="none"/>
      </w:tabs>
    </w:pPr>
  </w:style>
  <w:style w:type="paragraph" w:styleId="773">
    <w:name w:val="Header"/>
    <w:basedOn w:val="754"/>
    <w:link w:val="803"/>
    <w:uiPriority w:val="99"/>
    <w:unhideWhenUsed/>
    <w:qFormat/>
    <w:pPr>
      <w:spacing w:after="0" w:line="240" w:lineRule="auto"/>
      <w:tabs>
        <w:tab w:val="center" w:pos="7143" w:leader="none"/>
        <w:tab w:val="right" w:pos="14287" w:leader="none"/>
      </w:tabs>
    </w:pPr>
  </w:style>
  <w:style w:type="paragraph" w:styleId="774">
    <w:name w:val="toc 1"/>
    <w:basedOn w:val="754"/>
    <w:next w:val="754"/>
    <w:uiPriority w:val="39"/>
    <w:unhideWhenUsed/>
    <w:qFormat/>
    <w:pPr>
      <w:ind w:left="0" w:right="0" w:firstLine="0"/>
      <w:spacing w:after="57"/>
    </w:pPr>
  </w:style>
  <w:style w:type="paragraph" w:styleId="775">
    <w:name w:val="toc 4"/>
    <w:basedOn w:val="754"/>
    <w:next w:val="754"/>
    <w:uiPriority w:val="39"/>
    <w:unhideWhenUsed/>
    <w:qFormat/>
    <w:pPr>
      <w:ind w:left="850" w:right="0" w:firstLine="0"/>
      <w:spacing w:after="57"/>
    </w:pPr>
  </w:style>
  <w:style w:type="paragraph" w:styleId="776">
    <w:name w:val="Subtitle"/>
    <w:basedOn w:val="754"/>
    <w:next w:val="754"/>
    <w:link w:val="798"/>
    <w:uiPriority w:val="11"/>
    <w:qFormat/>
    <w:pPr>
      <w:spacing w:before="200" w:after="200"/>
    </w:pPr>
    <w:rPr>
      <w:sz w:val="24"/>
      <w:szCs w:val="24"/>
    </w:rPr>
  </w:style>
  <w:style w:type="paragraph" w:styleId="777">
    <w:name w:val="footnote text"/>
    <w:basedOn w:val="754"/>
    <w:link w:val="931"/>
    <w:uiPriority w:val="99"/>
    <w:semiHidden/>
    <w:unhideWhenUsed/>
    <w:qFormat/>
    <w:pPr>
      <w:spacing w:after="40" w:line="240" w:lineRule="auto"/>
    </w:pPr>
    <w:rPr>
      <w:sz w:val="18"/>
    </w:rPr>
  </w:style>
  <w:style w:type="paragraph" w:styleId="778">
    <w:name w:val="toc 6"/>
    <w:basedOn w:val="754"/>
    <w:next w:val="754"/>
    <w:uiPriority w:val="39"/>
    <w:unhideWhenUsed/>
    <w:qFormat/>
    <w:pPr>
      <w:ind w:left="1417" w:right="0" w:firstLine="0"/>
      <w:spacing w:after="57"/>
    </w:pPr>
  </w:style>
  <w:style w:type="paragraph" w:styleId="779">
    <w:name w:val="table of figures"/>
    <w:basedOn w:val="754"/>
    <w:next w:val="754"/>
    <w:uiPriority w:val="99"/>
    <w:unhideWhenUsed/>
    <w:qFormat/>
    <w:pPr>
      <w:spacing w:after="0" w:afterAutospacing="0"/>
    </w:pPr>
  </w:style>
  <w:style w:type="paragraph" w:styleId="780">
    <w:name w:val="toc 2"/>
    <w:basedOn w:val="754"/>
    <w:next w:val="754"/>
    <w:uiPriority w:val="39"/>
    <w:unhideWhenUsed/>
    <w:qFormat/>
    <w:pPr>
      <w:ind w:left="283" w:right="0" w:firstLine="0"/>
      <w:spacing w:after="57"/>
    </w:pPr>
  </w:style>
  <w:style w:type="paragraph" w:styleId="781">
    <w:name w:val="toc 9"/>
    <w:basedOn w:val="754"/>
    <w:next w:val="754"/>
    <w:uiPriority w:val="39"/>
    <w:unhideWhenUsed/>
    <w:qFormat/>
    <w:pPr>
      <w:ind w:left="2268" w:right="0" w:firstLine="0"/>
      <w:spacing w:after="57"/>
    </w:pPr>
  </w:style>
  <w:style w:type="paragraph" w:styleId="782">
    <w:name w:val="Title"/>
    <w:basedOn w:val="754"/>
    <w:next w:val="754"/>
    <w:link w:val="797"/>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character" w:styleId="787" w:customStyle="1">
    <w:name w:val="Heading 1 Char"/>
    <w:link w:val="755"/>
    <w:uiPriority w:val="9"/>
    <w:qFormat/>
    <w:rPr>
      <w:rFonts w:ascii="Arial" w:hAnsi="Arial" w:eastAsia="Arial" w:cs="Arial"/>
      <w:sz w:val="40"/>
      <w:szCs w:val="40"/>
    </w:rPr>
  </w:style>
  <w:style w:type="character" w:styleId="788" w:customStyle="1">
    <w:name w:val="Heading 2 Char"/>
    <w:link w:val="756"/>
    <w:uiPriority w:val="9"/>
    <w:qFormat/>
    <w:rPr>
      <w:rFonts w:ascii="Arial" w:hAnsi="Arial" w:eastAsia="Arial" w:cs="Arial"/>
      <w:sz w:val="34"/>
    </w:rPr>
  </w:style>
  <w:style w:type="character" w:styleId="789" w:customStyle="1">
    <w:name w:val="Heading 3 Char"/>
    <w:link w:val="757"/>
    <w:uiPriority w:val="9"/>
    <w:qFormat/>
    <w:rPr>
      <w:rFonts w:ascii="Arial" w:hAnsi="Arial" w:eastAsia="Arial" w:cs="Arial"/>
      <w:sz w:val="30"/>
      <w:szCs w:val="30"/>
    </w:rPr>
  </w:style>
  <w:style w:type="character" w:styleId="790" w:customStyle="1">
    <w:name w:val="Heading 4 Char"/>
    <w:link w:val="758"/>
    <w:uiPriority w:val="9"/>
    <w:qFormat/>
    <w:rPr>
      <w:rFonts w:ascii="Arial" w:hAnsi="Arial" w:eastAsia="Arial" w:cs="Arial"/>
      <w:b/>
      <w:bCs/>
      <w:sz w:val="26"/>
      <w:szCs w:val="26"/>
    </w:rPr>
  </w:style>
  <w:style w:type="character" w:styleId="791" w:customStyle="1">
    <w:name w:val="Heading 5 Char"/>
    <w:link w:val="759"/>
    <w:uiPriority w:val="9"/>
    <w:qFormat/>
    <w:rPr>
      <w:rFonts w:ascii="Arial" w:hAnsi="Arial" w:eastAsia="Arial" w:cs="Arial"/>
      <w:b/>
      <w:bCs/>
      <w:sz w:val="24"/>
      <w:szCs w:val="24"/>
    </w:rPr>
  </w:style>
  <w:style w:type="character" w:styleId="792" w:customStyle="1">
    <w:name w:val="Heading 6 Char"/>
    <w:link w:val="760"/>
    <w:uiPriority w:val="9"/>
    <w:qFormat/>
    <w:rPr>
      <w:rFonts w:ascii="Arial" w:hAnsi="Arial" w:eastAsia="Arial" w:cs="Arial"/>
      <w:b/>
      <w:bCs/>
      <w:sz w:val="22"/>
      <w:szCs w:val="22"/>
    </w:rPr>
  </w:style>
  <w:style w:type="character" w:styleId="793" w:customStyle="1">
    <w:name w:val="Heading 7 Char"/>
    <w:link w:val="761"/>
    <w:uiPriority w:val="9"/>
    <w:qFormat/>
    <w:rPr>
      <w:rFonts w:ascii="Arial" w:hAnsi="Arial" w:eastAsia="Arial" w:cs="Arial"/>
      <w:b/>
      <w:bCs/>
      <w:i/>
      <w:iCs/>
      <w:sz w:val="22"/>
      <w:szCs w:val="22"/>
    </w:rPr>
  </w:style>
  <w:style w:type="character" w:styleId="794" w:customStyle="1">
    <w:name w:val="Heading 8 Char"/>
    <w:link w:val="762"/>
    <w:uiPriority w:val="9"/>
    <w:qFormat/>
    <w:rPr>
      <w:rFonts w:ascii="Arial" w:hAnsi="Arial" w:eastAsia="Arial" w:cs="Arial"/>
      <w:i/>
      <w:iCs/>
      <w:sz w:val="22"/>
      <w:szCs w:val="22"/>
    </w:rPr>
  </w:style>
  <w:style w:type="character" w:styleId="795" w:customStyle="1">
    <w:name w:val="Heading 9 Char"/>
    <w:link w:val="763"/>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82"/>
    <w:uiPriority w:val="10"/>
    <w:qFormat/>
    <w:rPr>
      <w:sz w:val="48"/>
      <w:szCs w:val="48"/>
    </w:rPr>
  </w:style>
  <w:style w:type="character" w:styleId="798" w:customStyle="1">
    <w:name w:val="Subtitle Char"/>
    <w:link w:val="776"/>
    <w:uiPriority w:val="11"/>
    <w:qFormat/>
    <w:rPr>
      <w:sz w:val="24"/>
      <w:szCs w:val="24"/>
    </w:rPr>
  </w:style>
  <w:style w:type="paragraph" w:styleId="799">
    <w:name w:val="Quote"/>
    <w:basedOn w:val="754"/>
    <w:next w:val="754"/>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4"/>
    <w:next w:val="754"/>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3"/>
    <w:uiPriority w:val="99"/>
    <w:qFormat/>
  </w:style>
  <w:style w:type="character" w:styleId="804" w:customStyle="1">
    <w:name w:val="Footer Char"/>
    <w:link w:val="772"/>
    <w:uiPriority w:val="99"/>
    <w:qFormat/>
  </w:style>
  <w:style w:type="character" w:styleId="805" w:customStyle="1">
    <w:name w:val="Caption Char"/>
    <w:link w:val="772"/>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7"/>
    <w:uiPriority w:val="99"/>
    <w:qFormat/>
    <w:rPr>
      <w:sz w:val="18"/>
    </w:rPr>
  </w:style>
  <w:style w:type="character" w:styleId="932" w:customStyle="1">
    <w:name w:val="Endnote Text Char"/>
    <w:link w:val="771"/>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54"/>
    <w:next w:val="754"/>
    <w:link w:val="946"/>
    <w:uiPriority w:val="0"/>
    <w:qFormat/>
    <w:pPr>
      <w:jc w:val="center"/>
      <w:keepLines/>
      <w:keepNext/>
      <w:spacing w:before="240" w:after="120" w:line="300" w:lineRule="auto"/>
      <w:outlineLvl w:val="0"/>
    </w:pPr>
    <w:rPr>
      <w:rFonts w:ascii="宋体"/>
      <w:b/>
      <w:sz w:val="32"/>
      <w:szCs w:val="20"/>
    </w:rPr>
  </w:style>
  <w:style w:type="paragraph" w:styleId="935" w:customStyle="1">
    <w:name w:val="标题 21"/>
    <w:basedOn w:val="754"/>
    <w:next w:val="936"/>
    <w:link w:val="947"/>
    <w:uiPriority w:val="0"/>
    <w:qFormat/>
    <w:pPr>
      <w:jc w:val="center"/>
      <w:keepLines/>
      <w:keepNext/>
      <w:spacing w:before="120" w:line="300" w:lineRule="auto"/>
      <w:outlineLvl w:val="1"/>
    </w:pPr>
    <w:rPr>
      <w:rFonts w:ascii="Arial" w:hAnsi="Arial" w:eastAsia="黑体"/>
      <w:b/>
      <w:sz w:val="30"/>
      <w:szCs w:val="20"/>
    </w:rPr>
  </w:style>
  <w:style w:type="paragraph" w:styleId="936" w:customStyle="1">
    <w:name w:val="正文缩进11"/>
    <w:basedOn w:val="754"/>
    <w:link w:val="948"/>
    <w:uiPriority w:val="0"/>
    <w:qFormat/>
    <w:pPr>
      <w:ind w:firstLine="420"/>
      <w:jc w:val="left"/>
    </w:pPr>
    <w:rPr>
      <w:rFonts w:ascii="宋体"/>
      <w:sz w:val="24"/>
    </w:rPr>
  </w:style>
  <w:style w:type="paragraph" w:styleId="937" w:customStyle="1">
    <w:name w:val="标题 31"/>
    <w:basedOn w:val="754"/>
    <w:next w:val="936"/>
    <w:link w:val="949"/>
    <w:uiPriority w:val="0"/>
    <w:qFormat/>
    <w:pPr>
      <w:jc w:val="left"/>
      <w:keepLines/>
      <w:keepNext/>
      <w:spacing w:before="360" w:after="120"/>
      <w:outlineLvl w:val="2"/>
    </w:pPr>
    <w:rPr>
      <w:rFonts w:ascii="宋体"/>
      <w:b/>
      <w:sz w:val="24"/>
      <w:szCs w:val="20"/>
      <w:u w:val="single"/>
    </w:rPr>
  </w:style>
  <w:style w:type="paragraph" w:styleId="938" w:customStyle="1">
    <w:name w:val="标题 41"/>
    <w:basedOn w:val="754"/>
    <w:next w:val="754"/>
    <w:link w:val="950"/>
    <w:uiPriority w:val="0"/>
    <w:qFormat/>
    <w:pPr>
      <w:keepLines/>
      <w:keepNext/>
      <w:spacing w:before="280" w:after="290" w:line="376" w:lineRule="atLeast"/>
      <w:outlineLvl w:val="3"/>
    </w:pPr>
    <w:rPr>
      <w:rFonts w:ascii="Arial" w:hAnsi="Arial" w:eastAsia="黑体"/>
      <w:b/>
      <w:sz w:val="28"/>
      <w:szCs w:val="20"/>
    </w:rPr>
  </w:style>
  <w:style w:type="paragraph" w:styleId="939" w:customStyle="1">
    <w:name w:val="标题 51"/>
    <w:basedOn w:val="754"/>
    <w:next w:val="754"/>
    <w:link w:val="951"/>
    <w:uiPriority w:val="0"/>
    <w:qFormat/>
    <w:pPr>
      <w:keepLines/>
      <w:keepNext/>
      <w:spacing w:before="280" w:after="290" w:line="376" w:lineRule="atLeast"/>
      <w:outlineLvl w:val="4"/>
    </w:pPr>
    <w:rPr>
      <w:b/>
      <w:sz w:val="28"/>
      <w:szCs w:val="20"/>
    </w:rPr>
  </w:style>
  <w:style w:type="paragraph" w:styleId="940" w:customStyle="1">
    <w:name w:val="标题 61"/>
    <w:basedOn w:val="754"/>
    <w:next w:val="754"/>
    <w:link w:val="952"/>
    <w:uiPriority w:val="0"/>
    <w:qFormat/>
    <w:pPr>
      <w:keepLines/>
      <w:keepNext/>
      <w:spacing w:before="240" w:after="64" w:line="320" w:lineRule="atLeast"/>
      <w:outlineLvl w:val="5"/>
    </w:pPr>
    <w:rPr>
      <w:rFonts w:ascii="Arial" w:hAnsi="Arial" w:eastAsia="黑体"/>
      <w:b/>
      <w:sz w:val="24"/>
      <w:szCs w:val="20"/>
    </w:rPr>
  </w:style>
  <w:style w:type="paragraph" w:styleId="941" w:customStyle="1">
    <w:name w:val="标题 71"/>
    <w:basedOn w:val="754"/>
    <w:next w:val="754"/>
    <w:link w:val="953"/>
    <w:uiPriority w:val="0"/>
    <w:qFormat/>
    <w:pPr>
      <w:keepLines/>
      <w:keepNext/>
      <w:spacing w:before="240" w:after="64" w:line="320" w:lineRule="atLeast"/>
      <w:outlineLvl w:val="6"/>
    </w:pPr>
    <w:rPr>
      <w:b/>
      <w:sz w:val="24"/>
      <w:szCs w:val="20"/>
    </w:rPr>
  </w:style>
  <w:style w:type="paragraph" w:styleId="942" w:customStyle="1">
    <w:name w:val="标题 81"/>
    <w:basedOn w:val="754"/>
    <w:next w:val="754"/>
    <w:link w:val="954"/>
    <w:uiPriority w:val="0"/>
    <w:qFormat/>
    <w:pPr>
      <w:keepLines/>
      <w:keepNext/>
      <w:spacing w:before="240" w:after="64" w:line="320" w:lineRule="atLeast"/>
      <w:outlineLvl w:val="7"/>
    </w:pPr>
    <w:rPr>
      <w:rFonts w:ascii="Arial" w:hAnsi="Arial" w:eastAsia="黑体"/>
      <w:sz w:val="24"/>
      <w:szCs w:val="20"/>
    </w:rPr>
  </w:style>
  <w:style w:type="paragraph" w:styleId="943" w:customStyle="1">
    <w:name w:val="标题 91"/>
    <w:basedOn w:val="754"/>
    <w:next w:val="754"/>
    <w:link w:val="955"/>
    <w:uiPriority w:val="0"/>
    <w:qFormat/>
    <w:pPr>
      <w:keepLines/>
      <w:keepNext/>
      <w:spacing w:before="240" w:after="64" w:line="320" w:lineRule="atLeast"/>
      <w:outlineLvl w:val="8"/>
    </w:pPr>
    <w:rPr>
      <w:rFonts w:ascii="Arial" w:hAnsi="Arial" w:eastAsia="黑体"/>
      <w:szCs w:val="20"/>
    </w:rPr>
  </w:style>
  <w:style w:type="character" w:styleId="944" w:customStyle="1">
    <w:name w:val="默认段落字体1"/>
    <w:link w:val="754"/>
    <w:uiPriority w:val="1"/>
    <w:unhideWhenUsed/>
    <w:qFormat/>
  </w:style>
  <w:style w:type="table" w:styleId="945" w:customStyle="1">
    <w:name w:val="普通表格1"/>
    <w:uiPriority w:val="99"/>
    <w:unhideWhenUsed/>
    <w:qFormat/>
    <w:pPr>
      <w:ind w:left="0" w:right="0"/>
      <w:keepLines w:val="0"/>
      <w:keepNext w:val="0"/>
      <w:spacing w:before="0" w:beforeAutospacing="0" w:after="200" w:afterAutospacing="0" w:line="220" w:lineRule="atLeast"/>
      <w:widowControl/>
      <w:suppressLineNumbers w:val="0"/>
    </w:pPr>
    <w:rPr>
      <w:rFonts w:ascii="Calibri" w:hAnsi="Calibri" w:cs="Calibri"/>
      <w:sz w:val="22"/>
      <w:szCs w:val="22"/>
    </w:rPr>
    <w:tblPr/>
  </w:style>
  <w:style w:type="character" w:styleId="946" w:customStyle="1">
    <w:name w:val="标题 1 Char"/>
    <w:link w:val="934"/>
    <w:uiPriority w:val="0"/>
    <w:qFormat/>
    <w:rPr>
      <w:rFonts w:ascii="宋体"/>
      <w:b/>
      <w:sz w:val="32"/>
    </w:rPr>
  </w:style>
  <w:style w:type="character" w:styleId="947" w:customStyle="1">
    <w:name w:val="标题 2 Char1"/>
    <w:link w:val="935"/>
    <w:uiPriority w:val="0"/>
    <w:qFormat/>
    <w:rPr>
      <w:rFonts w:ascii="Arial" w:hAnsi="Arial" w:eastAsia="黑体"/>
      <w:b/>
      <w:sz w:val="30"/>
      <w:lang w:val="en-US" w:eastAsia="zh-CN" w:bidi="ar-SA"/>
    </w:rPr>
  </w:style>
  <w:style w:type="character" w:styleId="948" w:customStyle="1">
    <w:name w:val="正文缩进 Char1"/>
    <w:link w:val="936"/>
    <w:uiPriority w:val="0"/>
    <w:qFormat/>
    <w:rPr>
      <w:rFonts w:ascii="宋体" w:eastAsia="宋体"/>
      <w:sz w:val="24"/>
      <w:szCs w:val="24"/>
      <w:lang w:val="en-US" w:eastAsia="zh-CN" w:bidi="ar-SA"/>
    </w:rPr>
  </w:style>
  <w:style w:type="character" w:styleId="949" w:customStyle="1">
    <w:name w:val="标题 3 Char1"/>
    <w:link w:val="937"/>
    <w:uiPriority w:val="0"/>
    <w:qFormat/>
    <w:rPr>
      <w:rFonts w:ascii="宋体" w:eastAsia="宋体"/>
      <w:b/>
      <w:sz w:val="24"/>
      <w:u w:val="single"/>
      <w:lang w:val="en-US" w:eastAsia="zh-CN" w:bidi="ar-SA"/>
    </w:rPr>
  </w:style>
  <w:style w:type="character" w:styleId="950" w:customStyle="1">
    <w:name w:val="标题 4 Char"/>
    <w:link w:val="938"/>
    <w:uiPriority w:val="0"/>
    <w:qFormat/>
    <w:rPr>
      <w:rFonts w:ascii="Arial" w:hAnsi="Arial" w:eastAsia="黑体"/>
      <w:b/>
      <w:sz w:val="28"/>
    </w:rPr>
  </w:style>
  <w:style w:type="character" w:styleId="951" w:customStyle="1">
    <w:name w:val="标题 5 Char"/>
    <w:link w:val="939"/>
    <w:uiPriority w:val="0"/>
    <w:qFormat/>
    <w:rPr>
      <w:b/>
      <w:sz w:val="28"/>
    </w:rPr>
  </w:style>
  <w:style w:type="character" w:styleId="952" w:customStyle="1">
    <w:name w:val="标题 6 Char"/>
    <w:link w:val="940"/>
    <w:uiPriority w:val="0"/>
    <w:qFormat/>
    <w:rPr>
      <w:rFonts w:ascii="Arial" w:hAnsi="Arial" w:eastAsia="黑体"/>
      <w:b/>
      <w:sz w:val="24"/>
    </w:rPr>
  </w:style>
  <w:style w:type="character" w:styleId="953" w:customStyle="1">
    <w:name w:val="标题 7 Char"/>
    <w:link w:val="941"/>
    <w:uiPriority w:val="0"/>
    <w:qFormat/>
    <w:rPr>
      <w:b/>
      <w:sz w:val="24"/>
    </w:rPr>
  </w:style>
  <w:style w:type="character" w:styleId="954" w:customStyle="1">
    <w:name w:val="标题 8 Char"/>
    <w:link w:val="942"/>
    <w:uiPriority w:val="0"/>
    <w:qFormat/>
    <w:rPr>
      <w:rFonts w:ascii="Arial" w:hAnsi="Arial" w:eastAsia="黑体"/>
      <w:sz w:val="24"/>
    </w:rPr>
  </w:style>
  <w:style w:type="character" w:styleId="955" w:customStyle="1">
    <w:name w:val="标题 9 Char"/>
    <w:link w:val="943"/>
    <w:uiPriority w:val="0"/>
    <w:qFormat/>
    <w:rPr>
      <w:rFonts w:ascii="Arial" w:hAnsi="Arial" w:eastAsia="黑体"/>
      <w:sz w:val="21"/>
    </w:rPr>
  </w:style>
  <w:style w:type="paragraph" w:styleId="956" w:customStyle="1">
    <w:name w:val="目录 71"/>
    <w:basedOn w:val="754"/>
    <w:next w:val="754"/>
    <w:uiPriority w:val="0"/>
    <w:qFormat/>
    <w:pPr>
      <w:ind w:left="2520"/>
    </w:pPr>
  </w:style>
  <w:style w:type="paragraph" w:styleId="957" w:customStyle="1">
    <w:name w:val="题注1"/>
    <w:basedOn w:val="754"/>
    <w:next w:val="754"/>
    <w:uiPriority w:val="0"/>
    <w:qFormat/>
    <w:pPr>
      <w:spacing w:line="480" w:lineRule="auto"/>
    </w:pPr>
    <w:rPr>
      <w:rFonts w:ascii="华文中宋" w:hAnsi="华文中宋" w:eastAsia="华文中宋"/>
      <w:sz w:val="36"/>
      <w:szCs w:val="20"/>
    </w:rPr>
  </w:style>
  <w:style w:type="paragraph" w:styleId="958" w:customStyle="1">
    <w:name w:val="文档结构图1"/>
    <w:basedOn w:val="754"/>
    <w:link w:val="959"/>
    <w:uiPriority w:val="0"/>
    <w:qFormat/>
    <w:pPr>
      <w:shd w:val="clear" w:color="auto" w:fill="000080"/>
    </w:pPr>
  </w:style>
  <w:style w:type="character" w:styleId="959" w:customStyle="1">
    <w:name w:val="文档结构图 Char"/>
    <w:link w:val="958"/>
    <w:uiPriority w:val="0"/>
    <w:qFormat/>
    <w:rPr>
      <w:sz w:val="21"/>
      <w:szCs w:val="24"/>
      <w:shd w:val="clear" w:color="auto" w:fill="000080"/>
    </w:rPr>
  </w:style>
  <w:style w:type="paragraph" w:styleId="960" w:customStyle="1">
    <w:name w:val="批注文字1"/>
    <w:basedOn w:val="754"/>
    <w:link w:val="961"/>
    <w:uiPriority w:val="99"/>
    <w:qFormat/>
    <w:pPr>
      <w:jc w:val="left"/>
    </w:pPr>
  </w:style>
  <w:style w:type="character" w:styleId="961" w:customStyle="1">
    <w:name w:val="批注文字 Char1"/>
    <w:link w:val="960"/>
    <w:uiPriority w:val="99"/>
    <w:qFormat/>
    <w:rPr>
      <w:sz w:val="21"/>
      <w:szCs w:val="24"/>
    </w:rPr>
  </w:style>
  <w:style w:type="paragraph" w:styleId="962" w:customStyle="1">
    <w:name w:val="正文文本 31"/>
    <w:basedOn w:val="754"/>
    <w:link w:val="963"/>
    <w:uiPriority w:val="0"/>
    <w:qFormat/>
    <w:pPr>
      <w:spacing w:after="120"/>
    </w:pPr>
    <w:rPr>
      <w:sz w:val="16"/>
      <w:szCs w:val="16"/>
    </w:rPr>
  </w:style>
  <w:style w:type="character" w:styleId="963" w:customStyle="1">
    <w:name w:val="正文文本 3 Char"/>
    <w:link w:val="962"/>
    <w:uiPriority w:val="0"/>
    <w:qFormat/>
    <w:rPr>
      <w:sz w:val="16"/>
      <w:szCs w:val="16"/>
    </w:rPr>
  </w:style>
  <w:style w:type="paragraph" w:styleId="964" w:customStyle="1">
    <w:name w:val="正文文本11"/>
    <w:basedOn w:val="754"/>
    <w:next w:val="754"/>
    <w:link w:val="965"/>
    <w:uiPriority w:val="0"/>
    <w:qFormat/>
    <w:pPr>
      <w:spacing w:before="120" w:line="22" w:lineRule="atLeast"/>
      <w:tabs>
        <w:tab w:val="left" w:pos="567" w:leader="none"/>
      </w:tabs>
    </w:pPr>
    <w:rPr>
      <w:rFonts w:ascii="宋体" w:hAnsi="宋体"/>
      <w:sz w:val="24"/>
    </w:rPr>
  </w:style>
  <w:style w:type="character" w:styleId="965" w:customStyle="1">
    <w:name w:val="正文文本 Char"/>
    <w:link w:val="964"/>
    <w:uiPriority w:val="0"/>
    <w:qFormat/>
    <w:rPr>
      <w:rFonts w:ascii="宋体" w:hAnsi="宋体"/>
      <w:sz w:val="24"/>
      <w:szCs w:val="24"/>
    </w:rPr>
  </w:style>
  <w:style w:type="paragraph" w:styleId="966" w:customStyle="1">
    <w:name w:val="正文文本缩进11"/>
    <w:basedOn w:val="754"/>
    <w:link w:val="967"/>
    <w:uiPriority w:val="0"/>
    <w:qFormat/>
    <w:pPr>
      <w:ind w:firstLine="570"/>
      <w:spacing w:line="360" w:lineRule="auto"/>
    </w:pPr>
    <w:rPr>
      <w:sz w:val="24"/>
    </w:rPr>
  </w:style>
  <w:style w:type="character" w:styleId="967" w:customStyle="1">
    <w:name w:val="正文文本缩进 Char2"/>
    <w:link w:val="966"/>
    <w:uiPriority w:val="0"/>
    <w:qFormat/>
    <w:rPr>
      <w:rFonts w:eastAsia="宋体"/>
      <w:sz w:val="24"/>
      <w:szCs w:val="24"/>
      <w:lang w:val="en-US" w:eastAsia="zh-CN" w:bidi="ar-SA"/>
    </w:rPr>
  </w:style>
  <w:style w:type="paragraph" w:styleId="968" w:customStyle="1">
    <w:name w:val="列表 21"/>
    <w:basedOn w:val="754"/>
    <w:uiPriority w:val="0"/>
    <w:qFormat/>
    <w:pPr>
      <w:ind w:left="100" w:hanging="200"/>
    </w:pPr>
  </w:style>
  <w:style w:type="paragraph" w:styleId="969" w:customStyle="1">
    <w:name w:val="文本块1"/>
    <w:basedOn w:val="754"/>
    <w:uiPriority w:val="0"/>
    <w:qFormat/>
    <w:pPr>
      <w:ind w:left="480" w:right="-341" w:firstLine="513"/>
      <w:widowControl/>
    </w:pPr>
    <w:rPr>
      <w:sz w:val="24"/>
      <w:szCs w:val="20"/>
    </w:rPr>
  </w:style>
  <w:style w:type="paragraph" w:styleId="970" w:customStyle="1">
    <w:name w:val="目录 51"/>
    <w:basedOn w:val="754"/>
    <w:next w:val="754"/>
    <w:uiPriority w:val="0"/>
    <w:qFormat/>
    <w:pPr>
      <w:ind w:left="1680"/>
    </w:pPr>
  </w:style>
  <w:style w:type="paragraph" w:styleId="971" w:customStyle="1">
    <w:name w:val="目录 31"/>
    <w:basedOn w:val="754"/>
    <w:next w:val="754"/>
    <w:uiPriority w:val="39"/>
    <w:qFormat/>
    <w:pPr>
      <w:ind w:left="840"/>
    </w:pPr>
  </w:style>
  <w:style w:type="paragraph" w:styleId="972" w:customStyle="1">
    <w:name w:val="纯文本1"/>
    <w:basedOn w:val="754"/>
    <w:link w:val="973"/>
    <w:uiPriority w:val="0"/>
    <w:qFormat/>
    <w:rPr>
      <w:rFonts w:hint="eastAsia" w:ascii="宋体" w:hAnsi="Courier New"/>
      <w:szCs w:val="20"/>
    </w:rPr>
  </w:style>
  <w:style w:type="character" w:styleId="973" w:customStyle="1">
    <w:name w:val="纯文本 Char"/>
    <w:link w:val="972"/>
    <w:uiPriority w:val="0"/>
    <w:qFormat/>
    <w:rPr>
      <w:rFonts w:hint="eastAsia" w:ascii="宋体" w:hAnsi="Courier New" w:eastAsia="宋体" w:cs="宋体"/>
      <w:sz w:val="21"/>
    </w:rPr>
  </w:style>
  <w:style w:type="paragraph" w:styleId="974" w:customStyle="1">
    <w:name w:val="目录 81"/>
    <w:basedOn w:val="754"/>
    <w:next w:val="754"/>
    <w:uiPriority w:val="0"/>
    <w:qFormat/>
    <w:pPr>
      <w:ind w:left="2940"/>
    </w:pPr>
  </w:style>
  <w:style w:type="paragraph" w:styleId="975" w:customStyle="1">
    <w:name w:val="日期1"/>
    <w:basedOn w:val="754"/>
    <w:next w:val="754"/>
    <w:link w:val="976"/>
    <w:uiPriority w:val="0"/>
    <w:qFormat/>
    <w:pPr>
      <w:ind w:left="100"/>
    </w:pPr>
    <w:rPr>
      <w:rFonts w:ascii="仿宋_GB2312" w:hAnsi="宋体" w:eastAsia="仿宋_GB2312"/>
      <w:color w:val="000000"/>
      <w:sz w:val="24"/>
    </w:rPr>
  </w:style>
  <w:style w:type="character" w:styleId="976" w:customStyle="1">
    <w:name w:val="日期 Char"/>
    <w:link w:val="975"/>
    <w:uiPriority w:val="0"/>
    <w:qFormat/>
    <w:rPr>
      <w:rFonts w:ascii="仿宋_GB2312" w:hAnsi="宋体" w:eastAsia="仿宋_GB2312"/>
      <w:color w:val="000000"/>
      <w:sz w:val="24"/>
      <w:szCs w:val="24"/>
    </w:rPr>
  </w:style>
  <w:style w:type="paragraph" w:styleId="977" w:customStyle="1">
    <w:name w:val="正文文本缩进 21"/>
    <w:basedOn w:val="754"/>
    <w:link w:val="978"/>
    <w:uiPriority w:val="0"/>
    <w:qFormat/>
    <w:pPr>
      <w:ind w:firstLine="480"/>
    </w:pPr>
    <w:rPr>
      <w:rFonts w:ascii="仿宋_GB2312" w:eastAsia="仿宋_GB2312"/>
      <w:sz w:val="24"/>
    </w:rPr>
  </w:style>
  <w:style w:type="character" w:styleId="978" w:customStyle="1">
    <w:name w:val="正文文本缩进 2 Char"/>
    <w:link w:val="977"/>
    <w:uiPriority w:val="0"/>
    <w:qFormat/>
    <w:rPr>
      <w:rFonts w:ascii="仿宋_GB2312" w:eastAsia="仿宋_GB2312"/>
      <w:sz w:val="24"/>
      <w:szCs w:val="24"/>
    </w:rPr>
  </w:style>
  <w:style w:type="paragraph" w:styleId="979" w:customStyle="1">
    <w:name w:val="批注框文本1"/>
    <w:basedOn w:val="754"/>
    <w:link w:val="980"/>
    <w:uiPriority w:val="0"/>
    <w:qFormat/>
    <w:rPr>
      <w:sz w:val="18"/>
      <w:szCs w:val="18"/>
    </w:rPr>
  </w:style>
  <w:style w:type="character" w:styleId="980" w:customStyle="1">
    <w:name w:val="批注框文本 Char"/>
    <w:link w:val="979"/>
    <w:uiPriority w:val="0"/>
    <w:qFormat/>
    <w:rPr>
      <w:sz w:val="18"/>
      <w:szCs w:val="18"/>
    </w:rPr>
  </w:style>
  <w:style w:type="paragraph" w:styleId="981" w:customStyle="1">
    <w:name w:val="页脚1"/>
    <w:basedOn w:val="754"/>
    <w:link w:val="982"/>
    <w:uiPriority w:val="99"/>
    <w:qFormat/>
    <w:pPr>
      <w:jc w:val="left"/>
      <w:tabs>
        <w:tab w:val="center" w:pos="4153" w:leader="none"/>
        <w:tab w:val="right" w:pos="8306" w:leader="none"/>
      </w:tabs>
    </w:pPr>
    <w:rPr>
      <w:rFonts w:ascii="宋体"/>
      <w:sz w:val="18"/>
      <w:szCs w:val="20"/>
    </w:rPr>
  </w:style>
  <w:style w:type="character" w:styleId="982" w:customStyle="1">
    <w:name w:val="页脚 Char1"/>
    <w:link w:val="981"/>
    <w:uiPriority w:val="99"/>
    <w:qFormat/>
    <w:rPr>
      <w:rFonts w:ascii="宋体" w:eastAsia="宋体"/>
      <w:sz w:val="18"/>
      <w:lang w:val="en-US" w:eastAsia="zh-CN" w:bidi="ar-SA"/>
    </w:rPr>
  </w:style>
  <w:style w:type="paragraph" w:styleId="983" w:customStyle="1">
    <w:name w:val="页眉1"/>
    <w:basedOn w:val="754"/>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Char1"/>
    <w:link w:val="983"/>
    <w:uiPriority w:val="0"/>
    <w:qFormat/>
    <w:rPr>
      <w:rFonts w:eastAsia="宋体"/>
      <w:sz w:val="18"/>
      <w:szCs w:val="18"/>
      <w:lang w:val="en-US" w:eastAsia="zh-CN" w:bidi="ar-SA"/>
    </w:rPr>
  </w:style>
  <w:style w:type="paragraph" w:styleId="985" w:customStyle="1">
    <w:name w:val="目录 11"/>
    <w:basedOn w:val="754"/>
    <w:next w:val="754"/>
    <w:uiPriority w:val="39"/>
    <w:qFormat/>
    <w:pPr>
      <w:spacing w:line="300" w:lineRule="auto"/>
      <w:tabs>
        <w:tab w:val="left" w:pos="1050" w:leader="none"/>
        <w:tab w:val="right" w:pos="8937" w:leader="dot"/>
      </w:tabs>
    </w:pPr>
    <w:rPr>
      <w:rFonts w:ascii="宋体" w:hAnsi="宋体"/>
      <w:b/>
      <w:sz w:val="24"/>
    </w:rPr>
  </w:style>
  <w:style w:type="paragraph" w:styleId="986" w:customStyle="1">
    <w:name w:val="目录 41"/>
    <w:basedOn w:val="754"/>
    <w:next w:val="754"/>
    <w:uiPriority w:val="0"/>
    <w:qFormat/>
    <w:pPr>
      <w:ind w:left="1260"/>
    </w:pPr>
  </w:style>
  <w:style w:type="paragraph" w:styleId="987" w:customStyle="1">
    <w:name w:val="目录 61"/>
    <w:basedOn w:val="754"/>
    <w:next w:val="754"/>
    <w:uiPriority w:val="0"/>
    <w:qFormat/>
    <w:pPr>
      <w:ind w:left="2100"/>
    </w:pPr>
  </w:style>
  <w:style w:type="paragraph" w:styleId="988" w:customStyle="1">
    <w:name w:val="正文文本缩进 31"/>
    <w:basedOn w:val="754"/>
    <w:link w:val="989"/>
    <w:uiPriority w:val="0"/>
    <w:qFormat/>
    <w:pPr>
      <w:ind w:left="720" w:firstLine="480"/>
      <w:jc w:val="left"/>
      <w:spacing w:before="120" w:line="22" w:lineRule="atLeast"/>
    </w:pPr>
    <w:rPr>
      <w:rFonts w:ascii="宋体"/>
      <w:sz w:val="24"/>
      <w:szCs w:val="20"/>
    </w:rPr>
  </w:style>
  <w:style w:type="character" w:styleId="989" w:customStyle="1">
    <w:name w:val="正文文本缩进 3 Char"/>
    <w:link w:val="988"/>
    <w:uiPriority w:val="0"/>
    <w:qFormat/>
    <w:rPr>
      <w:rFonts w:ascii="宋体"/>
      <w:sz w:val="24"/>
    </w:rPr>
  </w:style>
  <w:style w:type="paragraph" w:styleId="990" w:customStyle="1">
    <w:name w:val="目录 21"/>
    <w:basedOn w:val="754"/>
    <w:next w:val="754"/>
    <w:uiPriority w:val="39"/>
    <w:qFormat/>
    <w:pPr>
      <w:ind w:left="420"/>
      <w:spacing w:line="312" w:lineRule="auto"/>
      <w:tabs>
        <w:tab w:val="right" w:pos="8937" w:leader="dot"/>
      </w:tabs>
    </w:pPr>
  </w:style>
  <w:style w:type="paragraph" w:styleId="991" w:customStyle="1">
    <w:name w:val="目录 91"/>
    <w:basedOn w:val="754"/>
    <w:next w:val="754"/>
    <w:uiPriority w:val="0"/>
    <w:qFormat/>
    <w:pPr>
      <w:ind w:left="3360"/>
    </w:pPr>
  </w:style>
  <w:style w:type="paragraph" w:styleId="992" w:customStyle="1">
    <w:name w:val="HTML 预设格式1"/>
    <w:basedOn w:val="754"/>
    <w:link w:val="9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3" w:customStyle="1">
    <w:name w:val="HTML 预设格式 Char"/>
    <w:link w:val="992"/>
    <w:uiPriority w:val="0"/>
    <w:qFormat/>
    <w:rPr>
      <w:rFonts w:ascii="宋体" w:hAnsi="宋体" w:cs="宋体"/>
      <w:sz w:val="24"/>
      <w:szCs w:val="24"/>
    </w:rPr>
  </w:style>
  <w:style w:type="paragraph" w:styleId="994" w:customStyle="1">
    <w:name w:val="普通(网站)1"/>
    <w:basedOn w:val="754"/>
    <w:uiPriority w:val="99"/>
    <w:unhideWhenUsed/>
    <w:qFormat/>
    <w:pPr>
      <w:jc w:val="left"/>
      <w:spacing w:before="100" w:beforeAutospacing="1" w:after="100" w:afterAutospacing="1"/>
      <w:widowControl/>
    </w:pPr>
    <w:rPr>
      <w:rFonts w:ascii="宋体" w:hAnsi="宋体" w:cs="宋体"/>
      <w:sz w:val="24"/>
    </w:rPr>
  </w:style>
  <w:style w:type="paragraph" w:styleId="995" w:customStyle="1">
    <w:name w:val="索引 11"/>
    <w:basedOn w:val="754"/>
    <w:next w:val="754"/>
    <w:uiPriority w:val="0"/>
    <w:qFormat/>
    <w:rPr>
      <w:szCs w:val="20"/>
    </w:rPr>
  </w:style>
  <w:style w:type="paragraph" w:styleId="996" w:customStyle="1">
    <w:name w:val="标题1"/>
    <w:basedOn w:val="754"/>
    <w:link w:val="997"/>
    <w:uiPriority w:val="0"/>
    <w:qFormat/>
    <w:pPr>
      <w:jc w:val="center"/>
      <w:outlineLvl w:val="0"/>
    </w:pPr>
    <w:rPr>
      <w:b/>
      <w:sz w:val="32"/>
      <w:szCs w:val="20"/>
    </w:rPr>
  </w:style>
  <w:style w:type="character" w:styleId="997" w:customStyle="1">
    <w:name w:val="标题 Char1"/>
    <w:link w:val="996"/>
    <w:uiPriority w:val="0"/>
    <w:qFormat/>
    <w:rPr>
      <w:b/>
      <w:sz w:val="32"/>
    </w:rPr>
  </w:style>
  <w:style w:type="paragraph" w:styleId="998" w:customStyle="1">
    <w:name w:val="批注主题1"/>
    <w:basedOn w:val="960"/>
    <w:next w:val="960"/>
    <w:link w:val="999"/>
    <w:uiPriority w:val="0"/>
    <w:qFormat/>
    <w:rPr>
      <w:b/>
      <w:bCs/>
    </w:rPr>
  </w:style>
  <w:style w:type="character" w:styleId="999" w:customStyle="1">
    <w:name w:val="批注主题 Char"/>
    <w:link w:val="998"/>
    <w:uiPriority w:val="0"/>
    <w:qFormat/>
    <w:rPr>
      <w:rFonts w:ascii="Times New Roman" w:hAnsi="Times New Roman" w:eastAsia="宋体" w:cs="Times New Roman"/>
      <w:b/>
      <w:bCs/>
      <w:sz w:val="21"/>
      <w:szCs w:val="24"/>
      <w:lang w:val="en-US" w:eastAsia="zh-CN" w:bidi="ar-SA"/>
    </w:rPr>
  </w:style>
  <w:style w:type="paragraph" w:styleId="1000" w:customStyle="1">
    <w:name w:val="正文首行缩进 21"/>
    <w:basedOn w:val="966"/>
    <w:link w:val="1001"/>
    <w:uiPriority w:val="0"/>
    <w:qFormat/>
    <w:pPr>
      <w:ind w:left="420" w:firstLine="420"/>
      <w:spacing w:after="120" w:line="480" w:lineRule="exact"/>
    </w:pPr>
    <w:rPr>
      <w:szCs w:val="20"/>
    </w:rPr>
  </w:style>
  <w:style w:type="character" w:styleId="1001" w:customStyle="1">
    <w:name w:val="正文首行缩进 2 Char"/>
    <w:link w:val="1000"/>
    <w:uiPriority w:val="0"/>
    <w:qFormat/>
    <w:rPr>
      <w:rFonts w:eastAsia="宋体"/>
      <w:sz w:val="24"/>
      <w:szCs w:val="24"/>
      <w:lang w:val="en-US" w:eastAsia="zh-CN" w:bidi="ar-SA"/>
    </w:rPr>
  </w:style>
  <w:style w:type="table" w:styleId="1002" w:customStyle="1">
    <w:name w:val="网格型1"/>
    <w:basedOn w:val="945"/>
    <w:uiPriority w:val="39"/>
    <w:qFormat/>
    <w:tblPr/>
  </w:style>
  <w:style w:type="table" w:styleId="1003" w:customStyle="1">
    <w:name w:val="中等深浅网格 1 - 着色 2"/>
    <w:basedOn w:val="945"/>
    <w:uiPriority w:val="0"/>
    <w:qFormat/>
    <w:rPr>
      <w:sz w:val="21"/>
      <w:szCs w:val="24"/>
    </w:rPr>
    <w:tblPr/>
  </w:style>
  <w:style w:type="character" w:styleId="1004" w:customStyle="1">
    <w:name w:val="要点1"/>
    <w:link w:val="754"/>
    <w:uiPriority w:val="0"/>
    <w:qFormat/>
    <w:rPr>
      <w:b/>
      <w:bCs/>
    </w:rPr>
  </w:style>
  <w:style w:type="character" w:styleId="1005" w:customStyle="1">
    <w:name w:val="页码1"/>
    <w:link w:val="754"/>
    <w:uiPriority w:val="0"/>
    <w:qFormat/>
  </w:style>
  <w:style w:type="character" w:styleId="1006" w:customStyle="1">
    <w:name w:val="访问过的超链接"/>
    <w:link w:val="754"/>
    <w:uiPriority w:val="0"/>
    <w:qFormat/>
    <w:rPr>
      <w:color w:val="800080"/>
      <w:u w:val="single"/>
    </w:rPr>
  </w:style>
  <w:style w:type="character" w:styleId="1007" w:customStyle="1">
    <w:name w:val="强调1"/>
    <w:link w:val="754"/>
    <w:uiPriority w:val="0"/>
    <w:qFormat/>
    <w:rPr>
      <w:color w:val="cc0033"/>
    </w:rPr>
  </w:style>
  <w:style w:type="character" w:styleId="1008" w:customStyle="1">
    <w:name w:val="超链接1"/>
    <w:link w:val="754"/>
    <w:uiPriority w:val="99"/>
    <w:qFormat/>
    <w:rPr>
      <w:color w:val="0000ff"/>
      <w:u w:val="single"/>
    </w:rPr>
  </w:style>
  <w:style w:type="character" w:styleId="1009" w:customStyle="1">
    <w:name w:val="批注引用1"/>
    <w:link w:val="754"/>
    <w:uiPriority w:val="99"/>
    <w:qFormat/>
    <w:rPr>
      <w:sz w:val="21"/>
      <w:szCs w:val="21"/>
    </w:rPr>
  </w:style>
  <w:style w:type="character" w:styleId="1010" w:customStyle="1">
    <w:name w:val="HTML 引文1"/>
    <w:link w:val="754"/>
    <w:uiPriority w:val="0"/>
    <w:qFormat/>
    <w:rPr>
      <w:i/>
      <w:iCs/>
    </w:rPr>
  </w:style>
  <w:style w:type="paragraph" w:styleId="1011" w:customStyle="1">
    <w:name w:val="正文文本1"/>
    <w:next w:val="754"/>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character" w:styleId="1012" w:customStyle="1">
    <w:name w:val="正文表格 Char"/>
    <w:link w:val="1013"/>
    <w:uiPriority w:val="0"/>
    <w:qFormat/>
    <w:rPr>
      <w:rFonts w:ascii="宋体" w:hAnsi="宋体"/>
      <w:color w:val="000000"/>
      <w:sz w:val="21"/>
      <w:szCs w:val="21"/>
    </w:rPr>
  </w:style>
  <w:style w:type="paragraph" w:styleId="1013" w:customStyle="1">
    <w:name w:val="正文表格"/>
    <w:basedOn w:val="754"/>
    <w:link w:val="1012"/>
    <w:uiPriority w:val="0"/>
    <w:qFormat/>
    <w:pPr>
      <w:jc w:val="left"/>
    </w:pPr>
    <w:rPr>
      <w:rFonts w:ascii="宋体" w:hAnsi="宋体"/>
      <w:color w:val="000000"/>
      <w:szCs w:val="21"/>
    </w:rPr>
  </w:style>
  <w:style w:type="character" w:styleId="1014" w:customStyle="1">
    <w:name w:val="列出段落 Char1"/>
    <w:link w:val="1015"/>
    <w:uiPriority w:val="34"/>
    <w:qFormat/>
    <w:rPr>
      <w:rFonts w:ascii="Calibri" w:hAnsi="Calibri" w:eastAsia="宋体"/>
      <w:sz w:val="21"/>
      <w:szCs w:val="22"/>
      <w:lang w:val="en-US" w:eastAsia="zh-CN" w:bidi="ar-SA"/>
    </w:rPr>
  </w:style>
  <w:style w:type="paragraph" w:styleId="1015" w:customStyle="1">
    <w:name w:val="列出段落"/>
    <w:basedOn w:val="754"/>
    <w:link w:val="1014"/>
    <w:uiPriority w:val="34"/>
    <w:qFormat/>
    <w:pPr>
      <w:ind w:firstLine="420"/>
    </w:pPr>
    <w:rPr>
      <w:rFonts w:ascii="Calibri" w:hAnsi="Calibri"/>
      <w:szCs w:val="22"/>
    </w:rPr>
  </w:style>
  <w:style w:type="character" w:styleId="1016" w:customStyle="1">
    <w:name w:val="txt"/>
    <w:link w:val="754"/>
    <w:uiPriority w:val="0"/>
    <w:qFormat/>
  </w:style>
  <w:style w:type="character" w:styleId="1017" w:customStyle="1">
    <w:name w:val="注释 Char"/>
    <w:link w:val="1018"/>
    <w:uiPriority w:val="0"/>
    <w:qFormat/>
    <w:rPr>
      <w:rFonts w:ascii="宋体" w:hAnsi="宋体"/>
      <w:sz w:val="21"/>
      <w:szCs w:val="21"/>
    </w:rPr>
  </w:style>
  <w:style w:type="paragraph" w:styleId="1018" w:customStyle="1">
    <w:name w:val="注释"/>
    <w:basedOn w:val="754"/>
    <w:link w:val="1017"/>
    <w:uiPriority w:val="0"/>
    <w:qFormat/>
    <w:pPr>
      <w:ind w:left="420" w:hanging="420"/>
      <w:jc w:val="left"/>
    </w:pPr>
    <w:rPr>
      <w:rFonts w:ascii="宋体" w:hAnsi="宋体"/>
      <w:szCs w:val="21"/>
    </w:rPr>
  </w:style>
  <w:style w:type="character" w:styleId="1019" w:customStyle="1">
    <w:name w:val="纯文本 字符"/>
    <w:link w:val="754"/>
    <w:uiPriority w:val="99"/>
    <w:qFormat/>
    <w:rPr>
      <w:rFonts w:ascii="宋体" w:hAnsi="Courier New" w:eastAsia="宋体" w:cs="Times New Roman"/>
      <w:sz w:val="21"/>
      <w:szCs w:val="21"/>
      <w:lang w:val="en-US" w:eastAsia="zh-CN" w:bidi="ar-SA"/>
    </w:rPr>
  </w:style>
  <w:style w:type="character" w:styleId="1020" w:customStyle="1">
    <w:name w:val="正文缩进 Char"/>
    <w:link w:val="754"/>
    <w:uiPriority w:val="0"/>
    <w:qFormat/>
    <w:rPr>
      <w:rFonts w:ascii="宋体" w:eastAsia="宋体"/>
      <w:sz w:val="24"/>
      <w:szCs w:val="24"/>
      <w:lang w:val="en-US" w:eastAsia="zh-CN" w:bidi="ar-SA"/>
    </w:rPr>
  </w:style>
  <w:style w:type="character" w:styleId="1021" w:customStyle="1">
    <w:name w:val="正文小标题 Char"/>
    <w:link w:val="1022"/>
    <w:uiPriority w:val="0"/>
    <w:qFormat/>
    <w:rPr>
      <w:rFonts w:ascii="宋体" w:hAnsi="宋体"/>
      <w:b/>
      <w:i/>
      <w:color w:val="ff0000"/>
      <w:sz w:val="24"/>
    </w:rPr>
  </w:style>
  <w:style w:type="paragraph" w:styleId="1022" w:customStyle="1">
    <w:name w:val="正文小标题"/>
    <w:basedOn w:val="754"/>
    <w:next w:val="936"/>
    <w:link w:val="1021"/>
    <w:uiPriority w:val="0"/>
    <w:qFormat/>
    <w:pPr>
      <w:ind w:firstLine="482"/>
      <w:jc w:val="left"/>
      <w:spacing w:before="312" w:after="312"/>
    </w:pPr>
    <w:rPr>
      <w:rFonts w:ascii="宋体" w:hAnsi="宋体"/>
      <w:b/>
      <w:i/>
      <w:color w:val="ff0000"/>
      <w:sz w:val="24"/>
      <w:szCs w:val="20"/>
    </w:rPr>
  </w:style>
  <w:style w:type="character" w:styleId="1023" w:customStyle="1">
    <w:name w:val="标题 3 Char Char"/>
    <w:link w:val="754"/>
    <w:uiPriority w:val="0"/>
    <w:qFormat/>
    <w:rPr>
      <w:rFonts w:eastAsia="宋体"/>
      <w:b/>
      <w:bCs/>
      <w:sz w:val="32"/>
      <w:szCs w:val="32"/>
      <w:lang w:val="en-US" w:eastAsia="zh-CN" w:bidi="ar-SA"/>
    </w:rPr>
  </w:style>
  <w:style w:type="character" w:styleId="1024" w:customStyle="1">
    <w:name w:val="street-address"/>
    <w:link w:val="754"/>
    <w:uiPriority w:val="0"/>
    <w:qFormat/>
  </w:style>
  <w:style w:type="character" w:styleId="1025" w:customStyle="1">
    <w:name w:val="apple-style-span"/>
    <w:link w:val="754"/>
    <w:uiPriority w:val="0"/>
    <w:qFormat/>
    <w:rPr>
      <w:rFonts w:cs="Times New Roman"/>
    </w:rPr>
  </w:style>
  <w:style w:type="character" w:styleId="1026" w:customStyle="1">
    <w:name w:val="普通文字1 Char1"/>
    <w:link w:val="754"/>
    <w:uiPriority w:val="0"/>
    <w:qFormat/>
    <w:rPr>
      <w:rFonts w:ascii="宋体" w:hAnsi="Courier New" w:eastAsia="宋体"/>
      <w:sz w:val="21"/>
      <w:lang w:val="en-US" w:eastAsia="zh-CN" w:bidi="ar-SA"/>
    </w:rPr>
  </w:style>
  <w:style w:type="character" w:styleId="1027" w:customStyle="1">
    <w:name w:val="chanpin拷贝"/>
    <w:link w:val="754"/>
    <w:uiPriority w:val="0"/>
    <w:qFormat/>
  </w:style>
  <w:style w:type="character" w:styleId="1028" w:customStyle="1">
    <w:name w:val="正文文本缩进 Char"/>
    <w:link w:val="754"/>
    <w:uiPriority w:val="0"/>
    <w:qFormat/>
    <w:rPr>
      <w:rFonts w:eastAsia="宋体"/>
      <w:sz w:val="24"/>
      <w:szCs w:val="24"/>
      <w:lang w:val="en-US" w:eastAsia="zh-CN" w:bidi="ar-SA"/>
    </w:rPr>
  </w:style>
  <w:style w:type="character" w:styleId="1029" w:customStyle="1">
    <w:name w:val="Char Char11"/>
    <w:link w:val="754"/>
    <w:uiPriority w:val="0"/>
    <w:qFormat/>
    <w:rPr>
      <w:rFonts w:ascii="宋体" w:eastAsia="宋体"/>
      <w:b/>
      <w:sz w:val="24"/>
      <w:u w:val="single"/>
      <w:lang w:val="en-US" w:eastAsia="zh-CN" w:bidi="ar-SA"/>
    </w:rPr>
  </w:style>
  <w:style w:type="character" w:styleId="1030" w:customStyle="1">
    <w:name w:val="chanpin1"/>
    <w:link w:val="754"/>
    <w:uiPriority w:val="0"/>
    <w:qFormat/>
    <w:rPr>
      <w:rFonts w:ascii="ˎ̥" w:hAnsi="ˎ̥"/>
      <w:color w:val="000000"/>
      <w:sz w:val="20"/>
      <w:szCs w:val="20"/>
      <w:u w:val="none"/>
    </w:rPr>
  </w:style>
  <w:style w:type="character" w:styleId="1031" w:customStyle="1">
    <w:name w:val="black1"/>
    <w:link w:val="754"/>
    <w:uiPriority w:val="0"/>
    <w:qFormat/>
    <w:rPr>
      <w:color w:val="000000"/>
    </w:rPr>
  </w:style>
  <w:style w:type="character" w:styleId="1032" w:customStyle="1">
    <w:name w:val="纯文本 字符1"/>
    <w:link w:val="754"/>
    <w:uiPriority w:val="0"/>
    <w:qFormat/>
    <w:rPr>
      <w:rFonts w:ascii="宋体" w:hAnsi="Courier New"/>
    </w:rPr>
  </w:style>
  <w:style w:type="character" w:styleId="1033" w:customStyle="1">
    <w:name w:val="c21"/>
    <w:link w:val="754"/>
    <w:uiPriority w:val="0"/>
    <w:qFormat/>
    <w:rPr>
      <w:rFonts w:ascii="ˎ̥" w:hAnsi="ˎ̥"/>
      <w:color w:val="000000"/>
      <w:sz w:val="20"/>
      <w:szCs w:val="20"/>
      <w:u w:val="none"/>
    </w:rPr>
  </w:style>
  <w:style w:type="character" w:styleId="1034" w:customStyle="1">
    <w:name w:val="批注文字 Char"/>
    <w:link w:val="754"/>
    <w:uiPriority w:val="99"/>
    <w:qFormat/>
    <w:rPr>
      <w:sz w:val="21"/>
      <w:szCs w:val="24"/>
    </w:rPr>
  </w:style>
  <w:style w:type="character" w:styleId="1035" w:customStyle="1">
    <w:name w:val="正文大标题 Char"/>
    <w:link w:val="1036"/>
    <w:uiPriority w:val="0"/>
    <w:qFormat/>
    <w:rPr>
      <w:rFonts w:ascii="宋体" w:hAnsi="宋体"/>
      <w:b/>
      <w:color w:val="000000"/>
      <w:sz w:val="28"/>
      <w:szCs w:val="21"/>
    </w:rPr>
  </w:style>
  <w:style w:type="paragraph" w:styleId="1036" w:customStyle="1">
    <w:name w:val="正文大标题"/>
    <w:basedOn w:val="1022"/>
    <w:next w:val="936"/>
    <w:link w:val="1035"/>
    <w:uiPriority w:val="0"/>
    <w:qFormat/>
    <w:pPr>
      <w:jc w:val="center"/>
    </w:pPr>
    <w:rPr>
      <w:i w:val="0"/>
      <w:color w:val="000000"/>
      <w:sz w:val="28"/>
      <w:szCs w:val="21"/>
    </w:rPr>
  </w:style>
  <w:style w:type="character" w:styleId="1037" w:customStyle="1">
    <w:name w:val="Char Char111"/>
    <w:link w:val="754"/>
    <w:uiPriority w:val="0"/>
    <w:qFormat/>
    <w:rPr>
      <w:rFonts w:ascii="宋体" w:eastAsia="宋体"/>
      <w:b/>
      <w:sz w:val="24"/>
      <w:u w:val="single"/>
      <w:lang w:val="en-US" w:eastAsia="zh-CN" w:bidi="ar-SA"/>
    </w:rPr>
  </w:style>
  <w:style w:type="character" w:styleId="1038" w:customStyle="1">
    <w:name w:val="标题 2 Char"/>
    <w:link w:val="754"/>
    <w:uiPriority w:val="0"/>
    <w:qFormat/>
    <w:rPr>
      <w:rFonts w:ascii="Arial" w:hAnsi="Arial" w:eastAsia="黑体"/>
      <w:b/>
      <w:sz w:val="30"/>
      <w:lang w:val="en-US" w:eastAsia="zh-CN" w:bidi="ar-SA"/>
    </w:rPr>
  </w:style>
  <w:style w:type="character" w:styleId="1039" w:customStyle="1">
    <w:name w:val="标题 2 Char Char"/>
    <w:link w:val="754"/>
    <w:uiPriority w:val="0"/>
    <w:qFormat/>
    <w:rPr>
      <w:rFonts w:ascii="Arial" w:hAnsi="Arial" w:eastAsia="黑体"/>
      <w:b/>
      <w:bCs/>
      <w:sz w:val="32"/>
      <w:szCs w:val="32"/>
      <w:lang w:val="en-US" w:eastAsia="zh-CN" w:bidi="ar-SA"/>
    </w:rPr>
  </w:style>
  <w:style w:type="character" w:styleId="1040" w:customStyle="1">
    <w:name w:val="批注文字 字符"/>
    <w:link w:val="754"/>
    <w:uiPriority w:val="99"/>
    <w:qFormat/>
    <w:rPr>
      <w:rFonts w:ascii="Times New Roman" w:hAnsi="Times New Roman" w:eastAsia="宋体" w:cs="Times New Roman"/>
      <w:sz w:val="24"/>
      <w:lang w:val="en-US" w:eastAsia="zh-CN" w:bidi="ar-SA"/>
    </w:rPr>
  </w:style>
  <w:style w:type="character" w:styleId="1041" w:customStyle="1">
    <w:name w:val="正文格式 Char"/>
    <w:link w:val="1042"/>
    <w:uiPriority w:val="0"/>
    <w:qFormat/>
    <w:rPr>
      <w:rFonts w:ascii="宋体" w:hAnsi="宋体"/>
      <w:sz w:val="24"/>
      <w:szCs w:val="24"/>
      <w:lang w:val="en-GB"/>
    </w:rPr>
  </w:style>
  <w:style w:type="paragraph" w:styleId="1042" w:customStyle="1">
    <w:name w:val="正文格式"/>
    <w:basedOn w:val="754"/>
    <w:link w:val="1041"/>
    <w:uiPriority w:val="0"/>
    <w:qFormat/>
    <w:pPr>
      <w:ind w:firstLine="480"/>
      <w:spacing w:line="360" w:lineRule="auto"/>
    </w:pPr>
    <w:rPr>
      <w:rFonts w:ascii="宋体" w:hAnsi="宋体"/>
      <w:sz w:val="24"/>
      <w:lang w:val="en-GB"/>
    </w:rPr>
  </w:style>
  <w:style w:type="character" w:styleId="1043" w:customStyle="1">
    <w:name w:val="locality"/>
    <w:link w:val="754"/>
    <w:uiPriority w:val="0"/>
    <w:qFormat/>
  </w:style>
  <w:style w:type="character" w:styleId="1044" w:customStyle="1">
    <w:name w:val="正文文本缩进 Char1"/>
    <w:link w:val="1045"/>
    <w:uiPriority w:val="0"/>
    <w:qFormat/>
    <w:rPr>
      <w:rFonts w:ascii="宋体" w:hAnsi="宋体" w:eastAsia="宋体"/>
      <w:sz w:val="24"/>
      <w:szCs w:val="24"/>
      <w:lang w:bidi="ar-SA"/>
    </w:rPr>
  </w:style>
  <w:style w:type="paragraph" w:styleId="1045" w:customStyle="1">
    <w:name w:val="正文文本缩进1"/>
    <w:basedOn w:val="754"/>
    <w:link w:val="1044"/>
    <w:uiPriority w:val="0"/>
    <w:qFormat/>
    <w:pPr>
      <w:ind w:firstLine="480"/>
      <w:spacing w:line="480" w:lineRule="exact"/>
    </w:pPr>
    <w:rPr>
      <w:rFonts w:ascii="宋体" w:hAnsi="宋体"/>
      <w:sz w:val="24"/>
    </w:rPr>
  </w:style>
  <w:style w:type="character" w:styleId="1046" w:customStyle="1">
    <w:name w:val="成文日期 Char"/>
    <w:link w:val="1047"/>
    <w:uiPriority w:val="0"/>
    <w:qFormat/>
    <w:rPr>
      <w:rFonts w:ascii="仿宋_GB2312" w:eastAsia="仿宋_GB2312"/>
      <w:sz w:val="32"/>
    </w:rPr>
  </w:style>
  <w:style w:type="paragraph" w:styleId="1047" w:customStyle="1">
    <w:name w:val="成文日期"/>
    <w:basedOn w:val="754"/>
    <w:link w:val="1046"/>
    <w:uiPriority w:val="0"/>
    <w:qFormat/>
    <w:pPr>
      <w:ind w:right="400" w:firstLine="200"/>
      <w:jc w:val="right"/>
      <w:spacing w:line="570" w:lineRule="exact"/>
    </w:pPr>
    <w:rPr>
      <w:rFonts w:ascii="仿宋_GB2312" w:eastAsia="仿宋_GB2312"/>
      <w:sz w:val="32"/>
      <w:szCs w:val="20"/>
    </w:rPr>
  </w:style>
  <w:style w:type="character" w:styleId="1048" w:customStyle="1">
    <w:name w:val="title4"/>
    <w:link w:val="754"/>
    <w:uiPriority w:val="0"/>
    <w:qFormat/>
    <w:rPr>
      <w:b/>
      <w:bCs/>
      <w:color w:val="1d87b3"/>
      <w:sz w:val="15"/>
      <w:szCs w:val="15"/>
    </w:rPr>
  </w:style>
  <w:style w:type="character" w:styleId="1049" w:customStyle="1">
    <w:name w:val="页脚 Char"/>
    <w:link w:val="754"/>
    <w:uiPriority w:val="0"/>
    <w:qFormat/>
    <w:rPr>
      <w:rFonts w:ascii="宋体" w:eastAsia="宋体"/>
      <w:sz w:val="18"/>
      <w:lang w:val="en-US" w:eastAsia="zh-CN" w:bidi="ar-SA"/>
    </w:rPr>
  </w:style>
  <w:style w:type="character" w:styleId="1050" w:customStyle="1">
    <w:name w:val="段1 Char"/>
    <w:link w:val="754"/>
    <w:uiPriority w:val="0"/>
    <w:qFormat/>
    <w:rPr>
      <w:rFonts w:ascii="宋体" w:eastAsia="宋体"/>
      <w:sz w:val="24"/>
      <w:lang w:val="en-US" w:eastAsia="zh-CN" w:bidi="ar-SA"/>
    </w:rPr>
  </w:style>
  <w:style w:type="character" w:styleId="1051" w:customStyle="1">
    <w:name w:val="bjh-p"/>
    <w:link w:val="754"/>
    <w:uiPriority w:val="0"/>
    <w:qFormat/>
  </w:style>
  <w:style w:type="character" w:styleId="1052" w:customStyle="1">
    <w:name w:val="正文重点 Char"/>
    <w:link w:val="1053"/>
    <w:uiPriority w:val="0"/>
    <w:qFormat/>
    <w:rPr>
      <w:b/>
      <w:sz w:val="24"/>
    </w:rPr>
  </w:style>
  <w:style w:type="paragraph" w:styleId="1053" w:customStyle="1">
    <w:name w:val="正文重点"/>
    <w:basedOn w:val="754"/>
    <w:link w:val="1052"/>
    <w:uiPriority w:val="0"/>
    <w:qFormat/>
    <w:pPr>
      <w:ind w:firstLine="482"/>
      <w:jc w:val="left"/>
      <w:spacing w:line="360" w:lineRule="auto"/>
    </w:pPr>
    <w:rPr>
      <w:b/>
      <w:sz w:val="24"/>
      <w:szCs w:val="20"/>
    </w:rPr>
  </w:style>
  <w:style w:type="character" w:styleId="1054" w:customStyle="1">
    <w:name w:val="页眉 Char"/>
    <w:link w:val="754"/>
    <w:uiPriority w:val="0"/>
    <w:qFormat/>
    <w:rPr>
      <w:rFonts w:eastAsia="宋体"/>
      <w:sz w:val="18"/>
      <w:szCs w:val="18"/>
      <w:lang w:val="en-US" w:eastAsia="zh-CN" w:bidi="ar-SA"/>
    </w:rPr>
  </w:style>
  <w:style w:type="character" w:styleId="1055" w:customStyle="1">
    <w:name w:val="中等深浅网格 1 - 强调文字颜色 2 Char"/>
    <w:link w:val="1056"/>
    <w:uiPriority w:val="0"/>
    <w:qFormat/>
    <w:rPr>
      <w:sz w:val="21"/>
      <w:szCs w:val="24"/>
      <w:lang w:val="zh-CN" w:eastAsia="zh-CN" w:bidi="ar-SA"/>
    </w:rPr>
  </w:style>
  <w:style w:type="paragraph" w:styleId="1056" w:customStyle="1">
    <w:name w:val="1"/>
    <w:link w:val="1055"/>
    <w:uiPriority w:val="0"/>
    <w:qFormat/>
    <w:rPr>
      <w:rFonts w:hint="default" w:ascii="Times New Roman" w:hAnsi="Times New Roman" w:eastAsia="宋体" w:cs="Times New Roman"/>
      <w:sz w:val="21"/>
      <w:szCs w:val="24"/>
      <w:lang w:val="zh-CN" w:eastAsia="zh-CN" w:bidi="ar-SA"/>
    </w:rPr>
  </w:style>
  <w:style w:type="character" w:styleId="1057" w:customStyle="1">
    <w:name w:val="纯文本 Char1"/>
    <w:link w:val="754"/>
    <w:uiPriority w:val="0"/>
    <w:qFormat/>
    <w:rPr>
      <w:rFonts w:ascii="宋体" w:hAnsi="Courier New" w:eastAsia="宋体"/>
      <w:sz w:val="21"/>
      <w:lang w:val="en-US" w:eastAsia="zh-CN" w:bidi="ar-SA"/>
    </w:rPr>
  </w:style>
  <w:style w:type="character" w:styleId="1058" w:customStyle="1">
    <w:name w:val="标题 Char"/>
    <w:link w:val="754"/>
    <w:uiPriority w:val="0"/>
    <w:qFormat/>
    <w:rPr>
      <w:b/>
      <w:sz w:val="32"/>
    </w:rPr>
  </w:style>
  <w:style w:type="character" w:styleId="1059" w:customStyle="1">
    <w:name w:val="列出段落 Char"/>
    <w:link w:val="754"/>
    <w:uiPriority w:val="0"/>
    <w:qFormat/>
    <w:rPr>
      <w:rFonts w:ascii="Calibri" w:hAnsi="Calibri" w:eastAsia="宋体"/>
      <w:sz w:val="21"/>
      <w:szCs w:val="22"/>
      <w:lang w:val="en-US" w:eastAsia="zh-CN" w:bidi="ar-SA"/>
    </w:rPr>
  </w:style>
  <w:style w:type="character" w:styleId="1060" w:customStyle="1">
    <w:name w:val="标题 3 Char"/>
    <w:link w:val="754"/>
    <w:uiPriority w:val="0"/>
    <w:qFormat/>
    <w:rPr>
      <w:rFonts w:ascii="宋体" w:eastAsia="宋体"/>
      <w:b/>
      <w:sz w:val="24"/>
      <w:u w:val="single"/>
      <w:lang w:val="en-US" w:eastAsia="zh-CN" w:bidi="ar-SA"/>
    </w:rPr>
  </w:style>
  <w:style w:type="character" w:styleId="1061" w:customStyle="1">
    <w:name w:val="正文缩进 Char Char"/>
    <w:link w:val="1062"/>
    <w:uiPriority w:val="0"/>
    <w:qFormat/>
    <w:rPr>
      <w:rFonts w:ascii="宋体" w:eastAsia="宋体"/>
      <w:color w:val="000000"/>
      <w:sz w:val="28"/>
      <w:lang w:bidi="ar-SA"/>
    </w:rPr>
  </w:style>
  <w:style w:type="paragraph" w:styleId="1062" w:customStyle="1">
    <w:name w:val="正文缩进1"/>
    <w:basedOn w:val="754"/>
    <w:link w:val="1061"/>
    <w:uiPriority w:val="0"/>
    <w:qFormat/>
    <w:pPr>
      <w:ind w:firstLine="567"/>
      <w:spacing w:line="480" w:lineRule="exact"/>
      <w:widowControl/>
    </w:pPr>
    <w:rPr>
      <w:rFonts w:ascii="宋体"/>
      <w:color w:val="000000"/>
      <w:sz w:val="28"/>
      <w:szCs w:val="20"/>
    </w:rPr>
  </w:style>
  <w:style w:type="paragraph" w:styleId="1063" w:customStyle="1">
    <w:name w:val="图中文字"/>
    <w:basedOn w:val="754"/>
    <w:uiPriority w:val="0"/>
    <w:qFormat/>
    <w:pPr>
      <w:jc w:val="center"/>
      <w:spacing w:line="0" w:lineRule="atLeast"/>
    </w:pPr>
    <w:rPr>
      <w:sz w:val="24"/>
      <w:szCs w:val="20"/>
    </w:rPr>
  </w:style>
  <w:style w:type="paragraph" w:styleId="1064" w:customStyle="1">
    <w:name w:val="xl3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5" w:customStyle="1">
    <w:name w:val="1名"/>
    <w:basedOn w:val="754"/>
    <w:uiPriority w:val="0"/>
    <w:qFormat/>
    <w:pPr>
      <w:numPr>
        <w:ilvl w:val="0"/>
        <w:numId w:val="1"/>
      </w:numPr>
      <w:spacing w:before="120"/>
    </w:pPr>
    <w:rPr>
      <w:rFonts w:ascii="宋体"/>
      <w:sz w:val="28"/>
      <w:szCs w:val="20"/>
    </w:rPr>
  </w:style>
  <w:style w:type="paragraph" w:styleId="1066" w:customStyle="1">
    <w:name w:val="Char3"/>
    <w:basedOn w:val="754"/>
    <w:uiPriority w:val="0"/>
    <w:qFormat/>
    <w:pPr>
      <w:tabs>
        <w:tab w:val="left" w:pos="360" w:leader="none"/>
      </w:tabs>
    </w:pPr>
    <w:rPr>
      <w:sz w:val="24"/>
    </w:rPr>
  </w:style>
  <w:style w:type="paragraph" w:styleId="1067" w:customStyle="1">
    <w:name w:val="正文文本缩进2"/>
    <w:basedOn w:val="754"/>
    <w:uiPriority w:val="0"/>
    <w:qFormat/>
    <w:pPr>
      <w:ind w:firstLine="480"/>
      <w:spacing w:line="480" w:lineRule="exact"/>
    </w:pPr>
    <w:rPr>
      <w:rFonts w:ascii="宋体" w:hAnsi="宋体"/>
      <w:sz w:val="24"/>
      <w:lang w:val="zh-CN" w:eastAsia="zh-CN"/>
    </w:rPr>
  </w:style>
  <w:style w:type="paragraph" w:styleId="1068" w:customStyle="1">
    <w:name w:val="列出段落2"/>
    <w:basedOn w:val="754"/>
    <w:uiPriority w:val="0"/>
    <w:qFormat/>
    <w:pPr>
      <w:ind w:firstLine="420"/>
    </w:pPr>
    <w:rPr>
      <w:rFonts w:ascii="Calibri" w:hAnsi="Calibri"/>
      <w:szCs w:val="22"/>
    </w:rPr>
  </w:style>
  <w:style w:type="paragraph" w:styleId="1069" w:customStyle="1">
    <w:name w:val="msolistparagraph"/>
    <w:basedOn w:val="754"/>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Mongolian Baiti"/>
      <w:sz w:val="21"/>
      <w:szCs w:val="22"/>
      <w:lang w:val="en-US" w:eastAsia="zh-CN" w:bidi="ar"/>
    </w:rPr>
  </w:style>
  <w:style w:type="paragraph" w:styleId="1070" w:customStyle="1">
    <w:name w:val="正文列项_数字"/>
    <w:basedOn w:val="754"/>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071" w:customStyle="1">
    <w:name w:val="Char21"/>
    <w:basedOn w:val="754"/>
    <w:uiPriority w:val="0"/>
    <w:qFormat/>
    <w:rPr>
      <w:rFonts w:ascii="Tahoma" w:hAnsi="Tahoma"/>
      <w:sz w:val="24"/>
      <w:szCs w:val="20"/>
    </w:rPr>
  </w:style>
  <w:style w:type="paragraph" w:styleId="1072" w:customStyle="1">
    <w:name w:val="样式 宋体 五号 行距: 单倍行距"/>
    <w:basedOn w:val="754"/>
    <w:uiPriority w:val="0"/>
    <w:qFormat/>
    <w:pPr>
      <w:jc w:val="left"/>
    </w:pPr>
    <w:rPr>
      <w:rFonts w:ascii="宋体" w:hAnsi="宋体"/>
      <w:szCs w:val="20"/>
    </w:rPr>
  </w:style>
  <w:style w:type="paragraph" w:styleId="1073" w:customStyle="1">
    <w:name w:val="xl27"/>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customStyle="1">
    <w:name w:val="xl23"/>
    <w:basedOn w:val="754"/>
    <w:uiPriority w:val="0"/>
    <w:qFormat/>
    <w:pPr>
      <w:spacing w:before="100" w:beforeAutospacing="1" w:after="100" w:afterAutospacing="1" w:line="360" w:lineRule="auto"/>
      <w:widowControl/>
    </w:pPr>
    <w:rPr>
      <w:sz w:val="24"/>
      <w:szCs w:val="20"/>
    </w:rPr>
  </w:style>
  <w:style w:type="paragraph" w:styleId="1075" w:customStyle="1">
    <w:name w:val="xl35"/>
    <w:basedOn w:val="7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6" w:customStyle="1">
    <w:name w:val="项目编号2"/>
    <w:basedOn w:val="1077"/>
    <w:uiPriority w:val="0"/>
    <w:qFormat/>
    <w:pPr>
      <w:numPr>
        <w:numId w:val="3"/>
      </w:numPr>
    </w:pPr>
  </w:style>
  <w:style w:type="paragraph" w:styleId="1077" w:customStyle="1">
    <w:name w:val="项目编号1"/>
    <w:basedOn w:val="754"/>
    <w:uiPriority w:val="0"/>
    <w:qFormat/>
    <w:pPr>
      <w:numPr>
        <w:ilvl w:val="0"/>
        <w:numId w:val="4"/>
      </w:numPr>
      <w:spacing w:before="100" w:beforeAutospacing="1" w:after="100" w:afterAutospacing="1" w:line="360" w:lineRule="auto"/>
    </w:pPr>
    <w:rPr>
      <w:sz w:val="24"/>
    </w:rPr>
  </w:style>
  <w:style w:type="paragraph" w:styleId="1078" w:customStyle="1">
    <w:name w:val="正文 + 楷体_GB2312"/>
    <w:basedOn w:val="754"/>
    <w:uiPriority w:val="0"/>
    <w:qFormat/>
    <w:pPr>
      <w:jc w:val="left"/>
      <w:widowControl/>
    </w:pPr>
    <w:rPr>
      <w:rFonts w:ascii="楷体_GB2312" w:eastAsia="楷体_GB2312" w:cs="Arial"/>
      <w:sz w:val="24"/>
    </w:rPr>
  </w:style>
  <w:style w:type="paragraph" w:styleId="1079" w:customStyle="1">
    <w:name w:val="Char3 Char Char Char1"/>
    <w:basedOn w:val="754"/>
    <w:uiPriority w:val="0"/>
    <w:qFormat/>
    <w:rPr>
      <w:rFonts w:ascii="Tahoma" w:hAnsi="Tahoma"/>
      <w:sz w:val="24"/>
      <w:szCs w:val="20"/>
    </w:rPr>
  </w:style>
  <w:style w:type="paragraph" w:styleId="1080" w:customStyle="1">
    <w:name w:val="二级条标题"/>
    <w:basedOn w:val="1081"/>
    <w:next w:val="7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81" w:customStyle="1">
    <w:name w:val="一级条标题"/>
    <w:basedOn w:val="1082"/>
    <w:next w:val="754"/>
    <w:uiPriority w:val="0"/>
    <w:qFormat/>
    <w:pPr>
      <w:numPr>
        <w:ilvl w:val="1"/>
      </w:numPr>
      <w:ind w:left="0" w:hanging="840"/>
      <w:tabs>
        <w:tab w:val="left" w:pos="360" w:leader="none"/>
        <w:tab w:val="left" w:pos="840" w:leader="none"/>
      </w:tabs>
      <w:outlineLvl w:val="1"/>
    </w:pPr>
  </w:style>
  <w:style w:type="paragraph" w:styleId="1082" w:customStyle="1">
    <w:name w:val="章标题"/>
    <w:next w:val="754"/>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83" w:customStyle="1">
    <w:name w:val="background1"/>
    <w:basedOn w:val="754"/>
    <w:uiPriority w:val="0"/>
    <w:qFormat/>
    <w:pPr>
      <w:jc w:val="left"/>
      <w:spacing w:before="100" w:beforeAutospacing="1" w:after="100" w:afterAutospacing="1"/>
      <w:widowControl/>
    </w:pPr>
    <w:rPr>
      <w:rFonts w:ascii="宋体" w:hAnsi="宋体" w:cs="宋体"/>
      <w:sz w:val="24"/>
    </w:rPr>
  </w:style>
  <w:style w:type="paragraph" w:styleId="1084" w:customStyle="1">
    <w:name w:val="font5"/>
    <w:basedOn w:val="754"/>
    <w:uiPriority w:val="0"/>
    <w:qFormat/>
    <w:pPr>
      <w:jc w:val="left"/>
      <w:spacing w:before="100" w:beforeAutospacing="1" w:after="100" w:afterAutospacing="1"/>
      <w:widowControl/>
    </w:pPr>
    <w:rPr>
      <w:rFonts w:ascii="宋体" w:hAnsi="宋体" w:cs="宋体"/>
      <w:sz w:val="18"/>
      <w:szCs w:val="18"/>
    </w:rPr>
  </w:style>
  <w:style w:type="paragraph" w:styleId="1085">
    <w:name w:val="List Paragraph"/>
    <w:basedOn w:val="754"/>
    <w:uiPriority w:val="0"/>
    <w:qFormat/>
    <w:pPr>
      <w:ind w:firstLine="420"/>
    </w:pPr>
    <w:rPr>
      <w:rFonts w:ascii="Calibri" w:hAnsi="Calibri" w:cs="Mongolian Baiti"/>
      <w:szCs w:val="21"/>
    </w:rPr>
  </w:style>
  <w:style w:type="paragraph" w:styleId="1086" w:customStyle="1">
    <w:name w:val="Char Char Char1 Char1"/>
    <w:basedOn w:val="754"/>
    <w:uiPriority w:val="0"/>
    <w:qFormat/>
    <w:rPr>
      <w:rFonts w:ascii="Tahoma" w:hAnsi="Tahoma"/>
      <w:sz w:val="24"/>
      <w:szCs w:val="20"/>
    </w:rPr>
  </w:style>
  <w:style w:type="paragraph" w:styleId="1087" w:customStyle="1">
    <w:name w:val="样式 标题 2 + 宋体 五号 行距: 单倍行距"/>
    <w:basedOn w:val="935"/>
    <w:uiPriority w:val="0"/>
    <w:qFormat/>
    <w:pPr>
      <w:numPr>
        <w:ilvl w:val="1"/>
        <w:numId w:val="5"/>
      </w:numPr>
      <w:jc w:val="left"/>
      <w:spacing w:before="260" w:after="260" w:line="240" w:lineRule="auto"/>
    </w:pPr>
    <w:rPr>
      <w:rFonts w:ascii="宋体" w:hAnsi="宋体" w:eastAsia="宋体"/>
      <w:bCs/>
      <w:sz w:val="21"/>
    </w:rPr>
  </w:style>
  <w:style w:type="paragraph" w:styleId="1088" w:customStyle="1">
    <w:name w:val="Char Char1 Char Char Char Char Char Char"/>
    <w:basedOn w:val="754"/>
    <w:uiPriority w:val="0"/>
    <w:qFormat/>
    <w:pPr>
      <w:jc w:val="left"/>
      <w:spacing w:after="160" w:line="240" w:lineRule="exact"/>
      <w:widowControl/>
    </w:pPr>
    <w:rPr>
      <w:rFonts w:ascii="Verdana" w:hAnsi="Verdana" w:eastAsia="仿宋_GB2312"/>
      <w:sz w:val="24"/>
      <w:szCs w:val="20"/>
      <w:lang w:eastAsia="en-US"/>
    </w:rPr>
  </w:style>
  <w:style w:type="paragraph" w:styleId="1089" w:customStyle="1">
    <w:name w:val="xl3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customStyle="1">
    <w:name w:val="正文 + 宋体"/>
    <w:basedOn w:val="754"/>
    <w:uiPriority w:val="0"/>
    <w:qFormat/>
    <w:pPr>
      <w:ind w:left="360" w:hanging="360"/>
      <w:jc w:val="left"/>
      <w:widowControl/>
    </w:pPr>
    <w:rPr>
      <w:rFonts w:ascii="宋体" w:hAnsi="宋体" w:cs="宋体"/>
      <w:b/>
      <w:bCs/>
      <w:color w:val="000000"/>
      <w:sz w:val="18"/>
      <w:szCs w:val="18"/>
    </w:rPr>
  </w:style>
  <w:style w:type="paragraph" w:styleId="1091" w:customStyle="1">
    <w:name w:val="xl2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xl4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3" w:customStyle="1">
    <w:name w:val="列出段落1"/>
    <w:basedOn w:val="754"/>
    <w:uiPriority w:val="0"/>
    <w:qFormat/>
    <w:pPr>
      <w:ind w:firstLine="420"/>
    </w:pPr>
    <w:rPr>
      <w:rFonts w:ascii="Calibri" w:hAnsi="Calibri"/>
      <w:szCs w:val="22"/>
    </w:rPr>
  </w:style>
  <w:style w:type="paragraph" w:styleId="1094" w:customStyle="1">
    <w:name w:val="Char Char Char Char Char Char Char Char Char Char2"/>
    <w:basedOn w:val="754"/>
    <w:uiPriority w:val="0"/>
    <w:qFormat/>
    <w:rPr>
      <w:rFonts w:ascii="宋体" w:hAnsi="宋体" w:cs="Courier New"/>
      <w:sz w:val="32"/>
      <w:szCs w:val="32"/>
    </w:rPr>
  </w:style>
  <w:style w:type="paragraph" w:styleId="1095" w:customStyle="1">
    <w:name w:val="项目编号3"/>
    <w:basedOn w:val="1096"/>
    <w:uiPriority w:val="0"/>
    <w:qFormat/>
    <w:pPr>
      <w:numPr>
        <w:ilvl w:val="0"/>
        <w:numId w:val="6"/>
      </w:numPr>
    </w:pPr>
  </w:style>
  <w:style w:type="paragraph" w:styleId="1096" w:customStyle="1">
    <w:name w:val="正文文本样式"/>
    <w:basedOn w:val="754"/>
    <w:uiPriority w:val="0"/>
    <w:qFormat/>
    <w:pPr>
      <w:ind w:firstLine="482"/>
      <w:spacing w:line="360" w:lineRule="auto"/>
    </w:pPr>
    <w:rPr>
      <w:rFonts w:cs="宋体"/>
      <w:sz w:val="24"/>
      <w:szCs w:val="20"/>
    </w:rPr>
  </w:style>
  <w:style w:type="paragraph" w:styleId="1097" w:customStyle="1">
    <w:name w:val="xl2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8" w:customStyle="1">
    <w:name w:val="Char"/>
    <w:basedOn w:val="754"/>
    <w:uiPriority w:val="0"/>
    <w:qFormat/>
    <w:pPr>
      <w:tabs>
        <w:tab w:val="left" w:pos="360" w:leader="none"/>
      </w:tabs>
    </w:pPr>
    <w:rPr>
      <w:sz w:val="24"/>
    </w:rPr>
  </w:style>
  <w:style w:type="paragraph" w:styleId="1099" w:customStyle="1">
    <w:name w:val="样式2"/>
    <w:basedOn w:val="995"/>
    <w:uiPriority w:val="0"/>
    <w:qFormat/>
    <w:pPr>
      <w:jc w:val="center"/>
      <w:spacing w:line="360" w:lineRule="auto"/>
    </w:pPr>
    <w:rPr>
      <w:sz w:val="24"/>
    </w:rPr>
  </w:style>
  <w:style w:type="paragraph" w:styleId="1100" w:customStyle="1">
    <w:name w:val="xl52"/>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1" w:customStyle="1">
    <w:name w:val="xl2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xl2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3"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04" w:customStyle="1">
    <w:name w:val="Char Char1"/>
    <w:basedOn w:val="958"/>
    <w:uiPriority w:val="0"/>
    <w:qFormat/>
    <w:rPr>
      <w:rFonts w:ascii="Tahoma" w:hAnsi="Tahoma"/>
      <w:sz w:val="24"/>
    </w:rPr>
  </w:style>
  <w:style w:type="paragraph" w:styleId="1105" w:customStyle="1">
    <w:name w:val="xl36"/>
    <w:basedOn w:val="75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customStyle="1">
    <w:name w:val="xl41"/>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7" w:customStyle="1">
    <w:name w:val="xl47"/>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三级条标题"/>
    <w:basedOn w:val="1080"/>
    <w:next w:val="754"/>
    <w:uiPriority w:val="0"/>
    <w:qFormat/>
    <w:pPr>
      <w:numPr>
        <w:ilvl w:val="3"/>
        <w:numId w:val="2"/>
      </w:numPr>
      <w:ind w:left="0" w:hanging="840"/>
      <w:outlineLvl w:val="3"/>
    </w:pPr>
  </w:style>
  <w:style w:type="paragraph" w:styleId="1109" w:customStyle="1">
    <w:name w:val="xl50"/>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0" w:customStyle="1">
    <w:name w:val="Char Char Char Char Char Char Char1"/>
    <w:basedOn w:val="754"/>
    <w:uiPriority w:val="0"/>
    <w:qFormat/>
    <w:pPr>
      <w:ind w:firstLine="200"/>
      <w:spacing w:line="360" w:lineRule="auto"/>
    </w:pPr>
    <w:rPr>
      <w:rFonts w:eastAsia="仿宋_GB2312"/>
      <w:sz w:val="24"/>
    </w:rPr>
  </w:style>
  <w:style w:type="paragraph" w:styleId="1111" w:customStyle="1">
    <w:name w:val="xl51"/>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Char Char Char1 Char"/>
    <w:basedOn w:val="754"/>
    <w:uiPriority w:val="0"/>
    <w:qFormat/>
    <w:rPr>
      <w:rFonts w:ascii="Tahoma" w:hAnsi="Tahoma"/>
      <w:sz w:val="24"/>
      <w:szCs w:val="20"/>
    </w:rPr>
  </w:style>
  <w:style w:type="paragraph" w:styleId="1113" w:customStyle="1">
    <w:name w:val="项目符号1"/>
    <w:basedOn w:val="1096"/>
    <w:uiPriority w:val="0"/>
    <w:qFormat/>
    <w:pPr>
      <w:ind w:left="-25" w:firstLine="0"/>
    </w:pPr>
  </w:style>
  <w:style w:type="paragraph" w:styleId="1114" w:customStyle="1">
    <w:name w:val="xl3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customStyle="1">
    <w:name w:val="xl32"/>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customStyle="1">
    <w:name w:val="默认段落字体 Para Char Char Char Char"/>
    <w:basedOn w:val="754"/>
    <w:uiPriority w:val="0"/>
    <w:qFormat/>
    <w:rPr>
      <w:rFonts w:ascii="Arial" w:hAnsi="Arial" w:cs="Arial"/>
      <w:szCs w:val="21"/>
    </w:rPr>
  </w:style>
  <w:style w:type="paragraph" w:styleId="1117" w:customStyle="1">
    <w:name w:val="font7"/>
    <w:basedOn w:val="754"/>
    <w:uiPriority w:val="0"/>
    <w:qFormat/>
    <w:pPr>
      <w:jc w:val="left"/>
      <w:spacing w:before="100" w:beforeAutospacing="1" w:after="100" w:afterAutospacing="1"/>
      <w:widowControl/>
    </w:pPr>
    <w:rPr>
      <w:rFonts w:eastAsia="Arial Unicode MS"/>
      <w:b/>
      <w:bCs/>
      <w:color w:val="000000"/>
      <w:sz w:val="20"/>
      <w:szCs w:val="20"/>
    </w:rPr>
  </w:style>
  <w:style w:type="paragraph" w:styleId="1118" w:customStyle="1">
    <w:name w:val="xl4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9" w:customStyle="1">
    <w:name w:val="字元 字元1"/>
    <w:basedOn w:val="754"/>
    <w:uiPriority w:val="0"/>
    <w:qFormat/>
    <w:rPr>
      <w:rFonts w:ascii="Tahoma" w:hAnsi="Tahoma"/>
      <w:sz w:val="24"/>
      <w:szCs w:val="20"/>
    </w:rPr>
  </w:style>
  <w:style w:type="paragraph" w:styleId="1120" w:customStyle="1">
    <w:name w:val="List Paragraph1"/>
    <w:basedOn w:val="754"/>
    <w:uiPriority w:val="0"/>
    <w:qFormat/>
    <w:pPr>
      <w:ind w:firstLine="420"/>
    </w:pPr>
    <w:rPr>
      <w:rFonts w:ascii="Calibri" w:hAnsi="Calibri"/>
      <w:szCs w:val="22"/>
    </w:rPr>
  </w:style>
  <w:style w:type="paragraph" w:styleId="1121" w:customStyle="1">
    <w:name w:val="xl4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2" w:customStyle="1">
    <w:name w:val="正文文本样式 加粗"/>
    <w:basedOn w:val="1096"/>
    <w:uiPriority w:val="0"/>
    <w:qFormat/>
    <w:rPr>
      <w:b/>
    </w:rPr>
  </w:style>
  <w:style w:type="paragraph" w:styleId="1123" w:customStyle="1">
    <w:name w:val="22222222222222"/>
    <w:basedOn w:val="754"/>
    <w:uiPriority w:val="0"/>
    <w:qFormat/>
    <w:pPr>
      <w:ind w:firstLine="480"/>
      <w:jc w:val="left"/>
      <w:spacing w:line="360" w:lineRule="auto"/>
      <w:widowControl/>
    </w:pPr>
    <w:rPr>
      <w:color w:val="ff0000"/>
      <w:sz w:val="24"/>
      <w:szCs w:val="20"/>
    </w:rPr>
  </w:style>
  <w:style w:type="paragraph" w:styleId="1124" w:customStyle="1">
    <w:name w:val="xl2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正文须知-3级"/>
    <w:basedOn w:val="754"/>
    <w:uiPriority w:val="0"/>
    <w:qFormat/>
    <w:pPr>
      <w:numPr>
        <w:ilvl w:val="2"/>
        <w:numId w:val="7"/>
      </w:numPr>
      <w:ind w:hanging="355"/>
      <w:spacing w:line="300" w:lineRule="auto"/>
    </w:pPr>
    <w:rPr>
      <w:rFonts w:ascii="宋体" w:hAnsi="Calibri"/>
      <w:sz w:val="24"/>
      <w:szCs w:val="21"/>
    </w:rPr>
  </w:style>
  <w:style w:type="paragraph" w:styleId="1126" w:customStyle="1">
    <w:name w:val="Char Char Char Char Char Char Char2"/>
    <w:basedOn w:val="754"/>
    <w:uiPriority w:val="0"/>
    <w:qFormat/>
    <w:pPr>
      <w:ind w:firstLine="200"/>
      <w:spacing w:line="360" w:lineRule="auto"/>
    </w:pPr>
    <w:rPr>
      <w:rFonts w:eastAsia="仿宋_GB2312"/>
      <w:sz w:val="24"/>
    </w:rPr>
  </w:style>
  <w:style w:type="paragraph" w:styleId="1127" w:customStyle="1">
    <w:name w:val="正文缩进2"/>
    <w:basedOn w:val="754"/>
    <w:uiPriority w:val="0"/>
    <w:qFormat/>
    <w:pPr>
      <w:ind w:firstLine="567"/>
      <w:spacing w:line="480" w:lineRule="exact"/>
      <w:widowControl/>
    </w:pPr>
    <w:rPr>
      <w:rFonts w:ascii="宋体"/>
      <w:color w:val="000000"/>
      <w:sz w:val="28"/>
      <w:szCs w:val="20"/>
      <w:lang w:val="zh-CN" w:eastAsia="zh-CN"/>
    </w:rPr>
  </w:style>
  <w:style w:type="paragraph" w:styleId="1128" w:customStyle="1">
    <w:name w:val="Char Char Char1"/>
    <w:basedOn w:val="754"/>
    <w:uiPriority w:val="0"/>
    <w:qFormat/>
    <w:rPr>
      <w:rFonts w:ascii="Tahoma" w:hAnsi="Tahoma"/>
      <w:sz w:val="24"/>
      <w:szCs w:val="20"/>
    </w:rPr>
  </w:style>
  <w:style w:type="paragraph" w:styleId="1129" w:customStyle="1">
    <w:name w:val="图例"/>
    <w:basedOn w:val="754"/>
    <w:uiPriority w:val="0"/>
    <w:qFormat/>
    <w:pPr>
      <w:jc w:val="center"/>
      <w:spacing w:before="120" w:after="120" w:line="360" w:lineRule="auto"/>
    </w:pPr>
    <w:rPr>
      <w:rFonts w:eastAsia="仿宋_GB2312"/>
      <w:b/>
      <w:sz w:val="24"/>
      <w:szCs w:val="20"/>
    </w:rPr>
  </w:style>
  <w:style w:type="paragraph" w:styleId="1130" w:customStyle="1">
    <w:name w:val="文档正文"/>
    <w:basedOn w:val="754"/>
    <w:uiPriority w:val="0"/>
    <w:qFormat/>
    <w:pPr>
      <w:spacing w:before="120" w:after="120" w:line="180" w:lineRule="auto"/>
    </w:pPr>
    <w:rPr>
      <w:rFonts w:ascii="Arial" w:hAnsi="Arial"/>
      <w:szCs w:val="20"/>
    </w:rPr>
  </w:style>
  <w:style w:type="paragraph" w:styleId="1131" w:customStyle="1">
    <w:name w:val="字元 字元2"/>
    <w:basedOn w:val="754"/>
    <w:uiPriority w:val="0"/>
    <w:qFormat/>
    <w:rPr>
      <w:rFonts w:ascii="Tahoma" w:hAnsi="Tahoma"/>
      <w:sz w:val="24"/>
      <w:szCs w:val="20"/>
    </w:rPr>
  </w:style>
  <w:style w:type="paragraph" w:styleId="1132" w:customStyle="1">
    <w:name w:val="Char Char Char Char Char Char Char Char Char Char1"/>
    <w:basedOn w:val="754"/>
    <w:uiPriority w:val="0"/>
    <w:qFormat/>
    <w:rPr>
      <w:rFonts w:ascii="宋体" w:hAnsi="宋体" w:cs="Courier New"/>
      <w:sz w:val="32"/>
      <w:szCs w:val="32"/>
    </w:rPr>
  </w:style>
  <w:style w:type="paragraph" w:styleId="1133" w:customStyle="1">
    <w:name w:val="Char2"/>
    <w:basedOn w:val="754"/>
    <w:uiPriority w:val="0"/>
    <w:qFormat/>
    <w:rPr>
      <w:rFonts w:ascii="Tahoma" w:hAnsi="Tahoma"/>
      <w:sz w:val="24"/>
      <w:szCs w:val="20"/>
    </w:rPr>
  </w:style>
  <w:style w:type="paragraph" w:styleId="1134" w:customStyle="1">
    <w:name w:val="缺省文本"/>
    <w:basedOn w:val="754"/>
    <w:uiPriority w:val="0"/>
    <w:qFormat/>
    <w:pPr>
      <w:jc w:val="left"/>
    </w:pPr>
    <w:rPr>
      <w:sz w:val="24"/>
    </w:rPr>
  </w:style>
  <w:style w:type="paragraph" w:styleId="1135" w:customStyle="1">
    <w:name w:val="default"/>
    <w:basedOn w:val="754"/>
    <w:uiPriority w:val="0"/>
    <w:qFormat/>
    <w:pPr>
      <w:jc w:val="left"/>
      <w:spacing w:before="100" w:beforeAutospacing="1" w:after="100" w:afterAutospacing="1"/>
      <w:widowControl/>
    </w:pPr>
    <w:rPr>
      <w:rFonts w:ascii="宋体" w:hAnsi="宋体" w:cs="宋体"/>
      <w:sz w:val="24"/>
    </w:rPr>
  </w:style>
  <w:style w:type="paragraph" w:styleId="1136" w:customStyle="1">
    <w:name w:val="Char Char1 Char Char Char Char Char Char1"/>
    <w:basedOn w:val="754"/>
    <w:uiPriority w:val="0"/>
    <w:qFormat/>
    <w:pPr>
      <w:jc w:val="left"/>
      <w:spacing w:after="160" w:line="240" w:lineRule="exact"/>
      <w:widowControl/>
    </w:pPr>
    <w:rPr>
      <w:rFonts w:ascii="Verdana" w:hAnsi="Verdana" w:eastAsia="仿宋_GB2312"/>
      <w:sz w:val="24"/>
      <w:szCs w:val="20"/>
      <w:lang w:eastAsia="en-US"/>
    </w:rPr>
  </w:style>
  <w:style w:type="paragraph" w:styleId="1137" w:customStyle="1">
    <w:name w:val="Char2 Char Char Char Char Char Char1"/>
    <w:basedOn w:val="754"/>
    <w:uiPriority w:val="0"/>
    <w:qFormat/>
    <w:pPr>
      <w:jc w:val="center"/>
      <w:spacing w:line="400" w:lineRule="exact"/>
      <w:widowControl/>
    </w:pPr>
  </w:style>
  <w:style w:type="paragraph" w:styleId="1138" w:customStyle="1">
    <w:name w:val="Char Char Char Char Char Char Char Char Char Char Char Char Char Char Char Char1"/>
    <w:basedOn w:val="754"/>
    <w:uiPriority w:val="0"/>
    <w:qFormat/>
    <w:pPr>
      <w:jc w:val="center"/>
      <w:spacing w:after="160" w:line="240" w:lineRule="exact"/>
      <w:widowControl/>
    </w:pPr>
    <w:rPr>
      <w:rFonts w:ascii="宋体" w:hAnsi="宋体"/>
      <w:b/>
      <w:sz w:val="30"/>
      <w:szCs w:val="30"/>
      <w:lang w:eastAsia="en-US"/>
    </w:rPr>
  </w:style>
  <w:style w:type="paragraph" w:styleId="1139" w:customStyle="1">
    <w:name w:val="Char Char41"/>
    <w:basedOn w:val="754"/>
    <w:uiPriority w:val="0"/>
    <w:qFormat/>
    <w:pPr>
      <w:jc w:val="center"/>
      <w:spacing w:line="400" w:lineRule="exact"/>
      <w:widowControl/>
    </w:pPr>
  </w:style>
  <w:style w:type="paragraph" w:styleId="1140" w:customStyle="1">
    <w:name w:val="Revision"/>
    <w:uiPriority w:val="0"/>
    <w:qFormat/>
    <w:rPr>
      <w:rFonts w:hint="default" w:ascii="Times New Roman" w:hAnsi="Times New Roman" w:eastAsia="宋体" w:cs="Times New Roman"/>
      <w:sz w:val="21"/>
      <w:szCs w:val="24"/>
      <w:lang w:val="en-US" w:eastAsia="zh-CN" w:bidi="ar-SA"/>
    </w:rPr>
  </w:style>
  <w:style w:type="paragraph" w:styleId="114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xl3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customStyle="1">
    <w:name w:val="xl37"/>
    <w:basedOn w:val="7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45" w:customStyle="1">
    <w:name w:val="表格1"/>
    <w:basedOn w:val="754"/>
    <w:uiPriority w:val="0"/>
    <w:qFormat/>
    <w:pPr>
      <w:ind w:firstLine="480"/>
      <w:jc w:val="center"/>
    </w:pPr>
    <w:rPr>
      <w:sz w:val="24"/>
      <w:szCs w:val="20"/>
    </w:rPr>
  </w:style>
  <w:style w:type="paragraph" w:styleId="1146" w:customStyle="1">
    <w:name w:val="xl4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7" w:customStyle="1">
    <w:name w:val="xl3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8" w:customStyle="1">
    <w:name w:val="Char Char4"/>
    <w:basedOn w:val="754"/>
    <w:uiPriority w:val="0"/>
    <w:qFormat/>
    <w:pPr>
      <w:jc w:val="center"/>
      <w:spacing w:line="400" w:lineRule="exact"/>
      <w:widowControl/>
    </w:pPr>
  </w:style>
  <w:style w:type="paragraph" w:styleId="1149" w:customStyle="1">
    <w:name w:val="xl4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0" w:customStyle="1">
    <w:name w:val="Char Char1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151" w:customStyle="1">
    <w:name w:val="Char1"/>
    <w:basedOn w:val="754"/>
    <w:uiPriority w:val="0"/>
    <w:qFormat/>
    <w:pPr>
      <w:tabs>
        <w:tab w:val="left" w:pos="360" w:leader="none"/>
      </w:tabs>
    </w:pPr>
    <w:rPr>
      <w:sz w:val="24"/>
    </w:rPr>
  </w:style>
  <w:style w:type="paragraph" w:styleId="1152" w:customStyle="1">
    <w:name w:val="Char2 Char Char Char Char Char Char"/>
    <w:basedOn w:val="754"/>
    <w:uiPriority w:val="0"/>
    <w:qFormat/>
    <w:pPr>
      <w:jc w:val="center"/>
      <w:spacing w:line="400" w:lineRule="exact"/>
      <w:widowControl/>
    </w:pPr>
  </w:style>
  <w:style w:type="paragraph" w:styleId="1153" w:customStyle="1">
    <w:name w:val="xl46"/>
    <w:basedOn w:val="75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customStyle="1">
    <w:name w:val="xl4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5" w:customStyle="1">
    <w:name w:val="Char3 Char Char Char"/>
    <w:basedOn w:val="754"/>
    <w:uiPriority w:val="0"/>
    <w:qFormat/>
    <w:rPr>
      <w:rFonts w:ascii="Tahoma" w:hAnsi="Tahoma"/>
      <w:sz w:val="24"/>
      <w:szCs w:val="20"/>
    </w:rPr>
  </w:style>
  <w:style w:type="paragraph" w:styleId="1156" w:customStyle="1">
    <w:name w:val="Char Char Char Char Char Char Char"/>
    <w:basedOn w:val="754"/>
    <w:uiPriority w:val="0"/>
    <w:qFormat/>
    <w:pPr>
      <w:ind w:firstLine="200"/>
      <w:spacing w:line="360" w:lineRule="auto"/>
    </w:pPr>
    <w:rPr>
      <w:rFonts w:eastAsia="仿宋_GB2312"/>
      <w:sz w:val="24"/>
    </w:rPr>
  </w:style>
  <w:style w:type="paragraph" w:styleId="1157"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58" w:customStyle="1">
    <w:name w:val="_Style 160"/>
    <w:uiPriority w:val="0"/>
    <w:qFormat/>
    <w:rPr>
      <w:rFonts w:hint="default" w:ascii="Times New Roman" w:hAnsi="Times New Roman" w:eastAsia="宋体" w:cs="Times New Roman"/>
      <w:sz w:val="21"/>
      <w:szCs w:val="24"/>
      <w:lang w:val="en-US" w:eastAsia="zh-CN" w:bidi="ar-SA"/>
    </w:rPr>
  </w:style>
  <w:style w:type="paragraph" w:styleId="1159" w:customStyle="1">
    <w:name w:val="正文列项_字母"/>
    <w:basedOn w:val="754"/>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160" w:customStyle="1">
    <w:name w:val="Char Char Char1 Char2"/>
    <w:basedOn w:val="754"/>
    <w:uiPriority w:val="0"/>
    <w:qFormat/>
    <w:rPr>
      <w:rFonts w:ascii="Tahoma" w:hAnsi="Tahoma"/>
      <w:sz w:val="24"/>
      <w:szCs w:val="20"/>
    </w:rPr>
  </w:style>
  <w:style w:type="paragraph" w:styleId="1161" w:customStyle="1">
    <w:name w:val="字元 字元"/>
    <w:basedOn w:val="754"/>
    <w:uiPriority w:val="0"/>
    <w:qFormat/>
    <w:rPr>
      <w:rFonts w:ascii="Tahoma" w:hAnsi="Tahoma"/>
      <w:sz w:val="24"/>
      <w:szCs w:val="20"/>
    </w:rPr>
  </w:style>
  <w:style w:type="paragraph" w:styleId="1162" w:customStyle="1">
    <w:name w:val="五级条标题"/>
    <w:basedOn w:val="1163"/>
    <w:next w:val="754"/>
    <w:uiPriority w:val="0"/>
    <w:qFormat/>
    <w:pPr>
      <w:numPr>
        <w:ilvl w:val="5"/>
      </w:numPr>
      <w:ind w:left="0" w:hanging="840"/>
      <w:tabs>
        <w:tab w:val="left" w:pos="360" w:leader="none"/>
        <w:tab w:val="left" w:pos="840" w:leader="none"/>
      </w:tabs>
      <w:outlineLvl w:val="5"/>
    </w:pPr>
  </w:style>
  <w:style w:type="paragraph" w:styleId="1163" w:customStyle="1">
    <w:name w:val="四级条标题"/>
    <w:basedOn w:val="1108"/>
    <w:next w:val="754"/>
    <w:uiPriority w:val="0"/>
    <w:qFormat/>
    <w:pPr>
      <w:numPr>
        <w:ilvl w:val="4"/>
      </w:numPr>
      <w:ind w:left="0" w:hanging="840"/>
      <w:outlineLvl w:val="4"/>
    </w:pPr>
  </w:style>
  <w:style w:type="paragraph" w:styleId="1164" w:customStyle="1">
    <w:name w:val="xl31"/>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customStyle="1">
    <w:name w:val="Char Char Char"/>
    <w:basedOn w:val="754"/>
    <w:uiPriority w:val="0"/>
    <w:qFormat/>
    <w:rPr>
      <w:rFonts w:ascii="Tahoma" w:hAnsi="Tahoma"/>
      <w:sz w:val="24"/>
      <w:szCs w:val="20"/>
    </w:rPr>
  </w:style>
  <w:style w:type="paragraph" w:styleId="1166" w:customStyle="1">
    <w:name w:val="xl5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customStyle="1">
    <w:name w:val="无标题条"/>
    <w:next w:val="754"/>
    <w:uiPriority w:val="0"/>
    <w:qFormat/>
    <w:pPr>
      <w:jc w:val="both"/>
    </w:pPr>
    <w:rPr>
      <w:rFonts w:hint="default" w:ascii="Times New Roman" w:hAnsi="Times New Roman" w:eastAsia="宋体" w:cs="Times New Roman"/>
      <w:sz w:val="21"/>
      <w:lang w:val="en-US" w:eastAsia="zh-CN" w:bidi="ar-SA"/>
    </w:rPr>
  </w:style>
  <w:style w:type="paragraph" w:styleId="1168" w:customStyle="1">
    <w:name w:val="Char22"/>
    <w:basedOn w:val="754"/>
    <w:uiPriority w:val="0"/>
    <w:qFormat/>
    <w:rPr>
      <w:rFonts w:ascii="Tahoma" w:hAnsi="Tahoma"/>
      <w:sz w:val="24"/>
      <w:szCs w:val="20"/>
    </w:rPr>
  </w:style>
  <w:style w:type="paragraph" w:styleId="1169" w:customStyle="1">
    <w:name w:val="Char Char Char Char Char Char Char Char Char Char"/>
    <w:basedOn w:val="754"/>
    <w:uiPriority w:val="0"/>
    <w:qFormat/>
  </w:style>
  <w:style w:type="paragraph" w:styleId="1170" w:customStyle="1">
    <w:name w:val="xl44"/>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1" w:customStyle="1">
    <w:name w:val="标题1-附件"/>
    <w:basedOn w:val="934"/>
    <w:uiPriority w:val="0"/>
    <w:qFormat/>
    <w:pPr>
      <w:jc w:val="left"/>
    </w:pPr>
    <w:rPr>
      <w:sz w:val="24"/>
      <w:szCs w:val="24"/>
    </w:rPr>
  </w:style>
  <w:style w:type="paragraph" w:styleId="1172" w:customStyle="1">
    <w:name w:val="正文须知-2级"/>
    <w:basedOn w:val="754"/>
    <w:uiPriority w:val="0"/>
    <w:qFormat/>
    <w:pPr>
      <w:numPr>
        <w:ilvl w:val="1"/>
        <w:numId w:val="7"/>
      </w:numPr>
      <w:spacing w:line="300" w:lineRule="auto"/>
    </w:pPr>
    <w:rPr>
      <w:rFonts w:ascii="宋体" w:hAnsi="Calibri"/>
      <w:sz w:val="24"/>
      <w:szCs w:val="21"/>
    </w:rPr>
  </w:style>
  <w:style w:type="paragraph" w:styleId="1173" w:customStyle="1">
    <w:name w:val="Table Paragraph"/>
    <w:basedOn w:val="754"/>
    <w:uiPriority w:val="1"/>
    <w:qFormat/>
    <w:pPr>
      <w:jc w:val="left"/>
    </w:pPr>
    <w:rPr>
      <w:rFonts w:ascii="宋体" w:hAnsi="宋体" w:cs="宋体"/>
      <w:sz w:val="22"/>
      <w:szCs w:val="22"/>
      <w:lang w:eastAsia="en-US"/>
    </w:rPr>
  </w:style>
  <w:style w:type="paragraph" w:styleId="1174" w:customStyle="1">
    <w:name w:val="Char1 Char Char Char1"/>
    <w:basedOn w:val="754"/>
    <w:uiPriority w:val="0"/>
    <w:qFormat/>
    <w:rPr>
      <w:rFonts w:ascii="Tahoma" w:hAnsi="Tahoma" w:cs="仿宋_GB2312"/>
      <w:sz w:val="24"/>
      <w:szCs w:val="28"/>
    </w:rPr>
  </w:style>
  <w:style w:type="paragraph" w:styleId="1175" w:customStyle="1">
    <w:name w:val="Char Char Char Char Char Char Char Char Char Char Char Char Char Char Char Char"/>
    <w:basedOn w:val="754"/>
    <w:uiPriority w:val="0"/>
    <w:qFormat/>
    <w:pPr>
      <w:jc w:val="center"/>
      <w:spacing w:after="160" w:line="240" w:lineRule="exact"/>
      <w:widowControl/>
    </w:pPr>
    <w:rPr>
      <w:rFonts w:ascii="宋体" w:hAnsi="宋体"/>
      <w:b/>
      <w:sz w:val="30"/>
      <w:szCs w:val="30"/>
      <w:lang w:eastAsia="en-US"/>
    </w:rPr>
  </w:style>
  <w:style w:type="paragraph" w:styleId="1176" w:customStyle="1">
    <w:name w:val="Char Char Char2"/>
    <w:basedOn w:val="754"/>
    <w:uiPriority w:val="0"/>
    <w:qFormat/>
    <w:rPr>
      <w:rFonts w:ascii="Tahoma" w:hAnsi="Tahoma"/>
      <w:sz w:val="24"/>
      <w:szCs w:val="20"/>
    </w:rPr>
  </w:style>
  <w:style w:type="paragraph" w:styleId="1177" w:customStyle="1">
    <w:name w:val="font9"/>
    <w:basedOn w:val="75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78" w:customStyle="1">
    <w:name w:val="表格文字"/>
    <w:basedOn w:val="966"/>
    <w:uiPriority w:val="0"/>
    <w:qFormat/>
    <w:pPr>
      <w:ind w:firstLine="0"/>
      <w:spacing w:before="20" w:after="20" w:line="240" w:lineRule="auto"/>
    </w:pPr>
    <w:rPr>
      <w:rFonts w:ascii="Century Gothic" w:hAnsi="Century Gothic"/>
      <w:sz w:val="20"/>
      <w:szCs w:val="20"/>
    </w:rPr>
  </w:style>
  <w:style w:type="paragraph" w:styleId="1179" w:customStyle="1">
    <w:name w:val="图文"/>
    <w:basedOn w:val="754"/>
    <w:uiPriority w:val="0"/>
    <w:qFormat/>
    <w:pPr>
      <w:spacing w:after="50" w:line="360" w:lineRule="auto"/>
    </w:pPr>
    <w:rPr>
      <w:sz w:val="24"/>
    </w:rPr>
  </w:style>
  <w:style w:type="paragraph" w:styleId="1180" w:customStyle="1">
    <w:name w:val="1 Char Char Char Char"/>
    <w:basedOn w:val="754"/>
    <w:uiPriority w:val="0"/>
    <w:qFormat/>
    <w:rPr>
      <w:rFonts w:ascii="Tahoma" w:hAnsi="Tahoma"/>
      <w:sz w:val="24"/>
      <w:szCs w:val="20"/>
    </w:rPr>
  </w:style>
  <w:style w:type="paragraph" w:styleId="1181" w:customStyle="1">
    <w:name w:val="正文须知-1级"/>
    <w:basedOn w:val="754"/>
    <w:next w:val="754"/>
    <w:uiPriority w:val="0"/>
    <w:qFormat/>
    <w:pPr>
      <w:numPr>
        <w:ilvl w:val="0"/>
        <w:numId w:val="7"/>
      </w:numPr>
      <w:spacing w:line="300" w:lineRule="auto"/>
    </w:pPr>
    <w:rPr>
      <w:rFonts w:ascii="宋体" w:hAnsi="Calibri"/>
      <w:sz w:val="24"/>
      <w:szCs w:val="21"/>
    </w:rPr>
  </w:style>
  <w:style w:type="paragraph" w:styleId="1182" w:customStyle="1">
    <w:name w:val="Char3 Char Char Char2"/>
    <w:basedOn w:val="754"/>
    <w:uiPriority w:val="0"/>
    <w:qFormat/>
    <w:rPr>
      <w:rFonts w:ascii="Tahoma" w:hAnsi="Tahoma"/>
      <w:sz w:val="24"/>
      <w:szCs w:val="20"/>
    </w:rPr>
  </w:style>
  <w:style w:type="paragraph" w:styleId="1183" w:customStyle="1">
    <w:name w:val="font6"/>
    <w:basedOn w:val="754"/>
    <w:uiPriority w:val="0"/>
    <w:qFormat/>
    <w:pPr>
      <w:jc w:val="left"/>
      <w:spacing w:before="100" w:beforeAutospacing="1" w:after="100" w:afterAutospacing="1"/>
      <w:widowControl/>
    </w:pPr>
    <w:rPr>
      <w:rFonts w:ascii="宋体" w:hAnsi="宋体" w:cs="宋体"/>
      <w:sz w:val="20"/>
      <w:szCs w:val="20"/>
    </w:rPr>
  </w:style>
  <w:style w:type="paragraph" w:styleId="1184" w:customStyle="1">
    <w:name w:val="font8"/>
    <w:basedOn w:val="754"/>
    <w:uiPriority w:val="0"/>
    <w:qFormat/>
    <w:pPr>
      <w:jc w:val="left"/>
      <w:spacing w:before="100" w:beforeAutospacing="1" w:after="100" w:afterAutospacing="1"/>
      <w:widowControl/>
    </w:pPr>
    <w:rPr>
      <w:sz w:val="36"/>
      <w:szCs w:val="36"/>
    </w:rPr>
  </w:style>
  <w:style w:type="table" w:styleId="1185" w:customStyle="1">
    <w:name w:val="Table Normal"/>
    <w:uiPriority w:val="2"/>
    <w:unhideWhenUsed/>
    <w:qFormat/>
    <w:pPr>
      <w:widowControl w:val="off"/>
    </w:pPr>
    <w:rPr>
      <w:rFonts w:ascii="Calibri" w:hAnsi="Calibri"/>
      <w:sz w:val="22"/>
      <w:szCs w:val="22"/>
      <w:lang w:val="en-US" w:eastAsia="en-US" w:bidi="ar-SA"/>
    </w:rPr>
    <w:tblPr/>
  </w:style>
  <w:style w:type="paragraph" w:styleId="1186" w:customStyle="1">
    <w:name w:val="一、"/>
    <w:uiPriority w:val="0"/>
    <w:qFormat/>
    <w:pPr>
      <w:ind w:firstLine="640"/>
      <w:jc w:val="both"/>
      <w:spacing w:line="570" w:lineRule="exact"/>
      <w:widowControl w:val="off"/>
    </w:pPr>
    <w:rPr>
      <w:rFonts w:hint="default" w:ascii="Times New Roman" w:hAnsi="Times New Roman" w:eastAsia="黑体" w:cs="Times New Roman"/>
      <w:color w:val="0d1e0f"/>
      <w:sz w:val="32"/>
      <w:szCs w:val="32"/>
      <w:lang w:val="en-US" w:eastAsia="zh-CN" w:bidi="ar-SA"/>
    </w:rPr>
  </w:style>
  <w:style w:type="paragraph" w:styleId="1187" w:customStyle="1">
    <w:name w:val="附件标题"/>
    <w:uiPriority w:val="0"/>
    <w:qFormat/>
    <w:pPr>
      <w:jc w:val="center"/>
      <w:spacing w:line="640" w:lineRule="exact"/>
    </w:pPr>
    <w:rPr>
      <w:rFonts w:hint="default" w:ascii="Times New Roman" w:hAnsi="Times New Roman" w:eastAsia="方正小标宋简体" w:cs="Times New Roman"/>
      <w:color w:val="0d1e0f"/>
      <w:sz w:val="42"/>
      <w:szCs w:val="42"/>
      <w:lang w:val="en-US" w:eastAsia="zh-CN" w:bidi="ar-SA"/>
    </w:rPr>
  </w:style>
  <w:style w:type="paragraph" w:styleId="1188" w:customStyle="1">
    <w:name w:val="Plain Text1"/>
    <w:next w:val="986"/>
    <w:uiPriority w:val="0"/>
    <w:qFormat/>
    <w:pPr>
      <w:jc w:val="both"/>
      <w:widowControl w:val="off"/>
    </w:pPr>
    <w:rPr>
      <w:rFonts w:hint="default" w:ascii="宋体" w:hAnsi="宋体" w:eastAsia="楷体_GB2312" w:cs="Times New Roman"/>
      <w:sz w:val="26"/>
      <w:szCs w:val="22"/>
      <w:lang w:val="en-US" w:eastAsia="zh-CN" w:bidi="ar-SA"/>
    </w:rPr>
  </w:style>
  <w:style w:type="numbering" w:styleId="143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李龙</cp:lastModifiedBy>
  <cp:revision>3</cp:revision>
  <dcterms:created xsi:type="dcterms:W3CDTF">2026-10-12T01:31:00Z</dcterms:created>
  <dcterms:modified xsi:type="dcterms:W3CDTF">2026-10-12T05:47:08Z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eyJoZGlkIjoiY2ZiNjhkYjNjYmQwNmRmNzdhZjY4NzhhZThiM2U0YzMiLCJ1c2VySWQiOiIyMjUzNDg5OTcifQ==</vt:lpwstr>
  </property>
  <property fmtid="{D5CDD505-2E9C-101B-9397-08002B2CF9AE}" pid="3" name="KSOProductBuildVer">
    <vt:lpwstr>2052-12.1.0.28505</vt:lpwstr>
  </property>
  <property fmtid="{D5CDD505-2E9C-101B-9397-08002B2CF9AE}" pid="4" name="ICV">
    <vt:lpwstr>3DCD948BDADD4045B3BEFB577B0F0C2A_12</vt:lpwstr>
  </property>
</Properties>
</file>