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2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24"/>
        <w:ind w:firstLine="1680"/>
        <w:jc w:val="both"/>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724"/>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24"/>
        <w:ind w:firstLine="723"/>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紫金山实验室通感融合试验场通感系统采购项目</w:t>
      </w:r>
      <w:r/>
    </w:p>
    <w:p>
      <w:pPr>
        <w:pStyle w:val="724"/>
        <w:ind w:firstLine="723"/>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JSZC-320100-ZTZB-G2026-0056</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31</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724"/>
        <w:spacing w:before="0" w:after="0"/>
        <w:widowControl w:val="off"/>
        <w:tabs>
          <w:tab w:val="left" w:pos="2999" w:leader="none"/>
          <w:tab w:val="center" w:pos="4633" w:leader="none"/>
        </w:tabs>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24"/>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724"/>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724"/>
        <w:ind w:firstLine="60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9</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ind w:firstLine="720"/>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697"/>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708"/>
              <w:rFonts w:hint="eastAsia" w:ascii="黑体" w:hAnsi="黑体" w:cs="黑体"/>
              <w:color w:val="000000" w:themeColor="text1"/>
              <w:lang w:val="zh-TW" w:eastAsia="zh-TW"/>
              <w14:textFill>
                <w14:solidFill>
                  <w14:schemeClr w14:val="tx1"/>
                </w14:solidFill>
              </w14:textFill>
            </w:rPr>
            <w:t xml:space="preserve">第一章</w:t>
          </w:r>
          <w:r>
            <w:rPr>
              <w:rStyle w:val="708"/>
              <w:rFonts w:ascii="黑体" w:hAnsi="黑体" w:cs="黑体"/>
              <w:color w:val="000000" w:themeColor="text1"/>
              <w:lang w:val="zh-TW" w:eastAsia="zh-TW"/>
              <w14:textFill>
                <w14:solidFill>
                  <w14:schemeClr w14:val="tx1"/>
                </w14:solidFill>
              </w14:textFill>
            </w:rPr>
            <w:t xml:space="preserve">  </w:t>
          </w:r>
          <w:r>
            <w:rPr>
              <w:rStyle w:val="708"/>
              <w:rFonts w:hint="eastAsia" w:ascii="黑体" w:hAnsi="黑体" w:cs="黑体"/>
              <w:color w:val="000000" w:themeColor="text1"/>
              <w:lang w:val="zh-TW"/>
              <w14:textFill>
                <w14:solidFill>
                  <w14:schemeClr w14:val="tx1"/>
                </w14:solidFill>
              </w14:textFill>
            </w:rPr>
            <w:t xml:space="preserve">招标</w:t>
          </w:r>
          <w:r>
            <w:rPr>
              <w:rStyle w:val="708"/>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708"/>
              <w:rFonts w:hint="eastAsia" w:ascii="黑体" w:hAnsi="黑体" w:cs="黑体"/>
              <w:color w:val="000000" w:themeColor="text1"/>
              <w:lang w:val="zh-TW" w:eastAsia="zh-TW"/>
              <w14:textFill>
                <w14:solidFill>
                  <w14:schemeClr w14:val="tx1"/>
                </w14:solidFill>
              </w14:textFill>
            </w:rPr>
            <w:t xml:space="preserve">第二章</w:t>
          </w:r>
          <w:r>
            <w:rPr>
              <w:rStyle w:val="708"/>
              <w:rFonts w:ascii="黑体" w:hAnsi="黑体" w:cs="黑体"/>
              <w:color w:val="000000" w:themeColor="text1"/>
              <w:lang w:val="zh-TW" w:eastAsia="zh-TW"/>
              <w14:textFill>
                <w14:solidFill>
                  <w14:schemeClr w14:val="tx1"/>
                </w14:solidFill>
              </w14:textFill>
            </w:rPr>
            <w:t xml:space="preserve">  </w:t>
          </w:r>
          <w:r>
            <w:rPr>
              <w:rStyle w:val="708"/>
              <w:rFonts w:hint="eastAsia" w:ascii="黑体" w:hAnsi="黑体" w:cs="黑体"/>
              <w:color w:val="000000" w:themeColor="text1"/>
              <w:lang w:val="zh-TW"/>
              <w14:textFill>
                <w14:solidFill>
                  <w14:schemeClr w14:val="tx1"/>
                </w14:solidFill>
              </w14:textFill>
            </w:rPr>
            <w:t xml:space="preserve">投标人</w:t>
          </w:r>
          <w:r>
            <w:rPr>
              <w:rStyle w:val="708"/>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708"/>
              <w:rFonts w:hint="eastAsia" w:ascii="黑体" w:hAnsi="黑体" w:cs="黑体"/>
              <w:color w:val="000000" w:themeColor="text1"/>
              <w:lang w:val="zh-TW" w:eastAsia="zh-TW"/>
              <w14:textFill>
                <w14:solidFill>
                  <w14:schemeClr w14:val="tx1"/>
                </w14:solidFill>
              </w14:textFill>
            </w:rPr>
            <w:t xml:space="preserve">第</w:t>
          </w:r>
          <w:r>
            <w:rPr>
              <w:rStyle w:val="708"/>
              <w:rFonts w:hint="eastAsia" w:ascii="黑体" w:hAnsi="黑体" w:cs="黑体"/>
              <w:color w:val="000000" w:themeColor="text1"/>
              <w:lang w:val="zh-TW"/>
              <w14:textFill>
                <w14:solidFill>
                  <w14:schemeClr w14:val="tx1"/>
                </w14:solidFill>
              </w14:textFill>
            </w:rPr>
            <w:t xml:space="preserve">三</w:t>
          </w:r>
          <w:r>
            <w:rPr>
              <w:rStyle w:val="708"/>
              <w:rFonts w:hint="eastAsia" w:ascii="黑体" w:hAnsi="黑体" w:cs="黑体"/>
              <w:color w:val="000000" w:themeColor="text1"/>
              <w:lang w:val="zh-TW" w:eastAsia="zh-TW"/>
              <w14:textFill>
                <w14:solidFill>
                  <w14:schemeClr w14:val="tx1"/>
                </w14:solidFill>
              </w14:textFill>
            </w:rPr>
            <w:t xml:space="preserve">章</w:t>
          </w:r>
          <w:r>
            <w:rPr>
              <w:rStyle w:val="708"/>
              <w:rFonts w:ascii="黑体" w:hAnsi="黑体" w:cs="黑体"/>
              <w:color w:val="000000" w:themeColor="text1"/>
              <w:lang w:val="zh-TW" w:eastAsia="zh-TW"/>
              <w14:textFill>
                <w14:solidFill>
                  <w14:schemeClr w14:val="tx1"/>
                </w14:solidFill>
              </w14:textFill>
            </w:rPr>
            <w:t xml:space="preserve">  </w:t>
          </w:r>
          <w:r>
            <w:rPr>
              <w:rStyle w:val="708"/>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708"/>
              <w:rFonts w:hint="eastAsia" w:ascii="黑体" w:hAnsi="黑体" w:cs="黑体"/>
              <w:color w:val="000000" w:themeColor="text1"/>
              <w:lang w:val="zh-TW" w:eastAsia="zh-TW"/>
              <w14:textFill>
                <w14:solidFill>
                  <w14:schemeClr w14:val="tx1"/>
                </w14:solidFill>
              </w14:textFill>
            </w:rPr>
            <w:t xml:space="preserve">第</w:t>
          </w:r>
          <w:r>
            <w:rPr>
              <w:rStyle w:val="708"/>
              <w:rFonts w:hint="eastAsia" w:ascii="黑体" w:hAnsi="黑体" w:cs="黑体"/>
              <w:color w:val="000000" w:themeColor="text1"/>
              <w:lang w:val="zh-TW"/>
              <w14:textFill>
                <w14:solidFill>
                  <w14:schemeClr w14:val="tx1"/>
                </w14:solidFill>
              </w14:textFill>
            </w:rPr>
            <w:t xml:space="preserve">四</w:t>
          </w:r>
          <w:r>
            <w:rPr>
              <w:rStyle w:val="708"/>
              <w:rFonts w:hint="eastAsia" w:ascii="黑体" w:hAnsi="黑体" w:cs="黑体"/>
              <w:color w:val="000000" w:themeColor="text1"/>
              <w:lang w:val="zh-TW" w:eastAsia="zh-TW"/>
              <w14:textFill>
                <w14:solidFill>
                  <w14:schemeClr w14:val="tx1"/>
                </w14:solidFill>
              </w14:textFill>
            </w:rPr>
            <w:t xml:space="preserve">章</w:t>
          </w:r>
          <w:r>
            <w:rPr>
              <w:rStyle w:val="708"/>
              <w:rFonts w:ascii="黑体" w:hAnsi="黑体" w:cs="黑体"/>
              <w:color w:val="000000" w:themeColor="text1"/>
              <w:lang w:val="zh-TW" w:eastAsia="zh-TW"/>
              <w14:textFill>
                <w14:solidFill>
                  <w14:schemeClr w14:val="tx1"/>
                </w14:solidFill>
              </w14:textFill>
            </w:rPr>
            <w:t xml:space="preserve">  </w:t>
          </w:r>
          <w:r>
            <w:rPr>
              <w:rStyle w:val="708"/>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708"/>
              <w:rFonts w:hint="eastAsia" w:ascii="黑体" w:hAnsi="黑体" w:cs="黑体"/>
              <w:color w:val="000000" w:themeColor="text1"/>
              <w:lang w:val="zh-TW" w:eastAsia="zh-TW"/>
              <w14:textFill>
                <w14:solidFill>
                  <w14:schemeClr w14:val="tx1"/>
                </w14:solidFill>
              </w14:textFill>
            </w:rPr>
            <w:t xml:space="preserve">第</w:t>
          </w:r>
          <w:r>
            <w:rPr>
              <w:rStyle w:val="708"/>
              <w:rFonts w:hint="eastAsia" w:ascii="黑体" w:hAnsi="黑体" w:cs="黑体"/>
              <w:color w:val="000000" w:themeColor="text1"/>
              <w:lang w:val="zh-TW"/>
              <w14:textFill>
                <w14:solidFill>
                  <w14:schemeClr w14:val="tx1"/>
                </w14:solidFill>
              </w14:textFill>
            </w:rPr>
            <w:t xml:space="preserve">五</w:t>
          </w:r>
          <w:r>
            <w:rPr>
              <w:rStyle w:val="708"/>
              <w:rFonts w:hint="eastAsia" w:ascii="黑体" w:hAnsi="黑体" w:cs="黑体"/>
              <w:color w:val="000000" w:themeColor="text1"/>
              <w:lang w:val="zh-TW" w:eastAsia="zh-TW"/>
              <w14:textFill>
                <w14:solidFill>
                  <w14:schemeClr w14:val="tx1"/>
                </w14:solidFill>
              </w14:textFill>
            </w:rPr>
            <w:t xml:space="preserve">章</w:t>
          </w:r>
          <w:r>
            <w:rPr>
              <w:rStyle w:val="708"/>
              <w:rFonts w:ascii="黑体" w:hAnsi="黑体" w:cs="黑体"/>
              <w:color w:val="000000" w:themeColor="text1"/>
              <w:lang w:val="zh-TW" w:eastAsia="zh-TW"/>
              <w14:textFill>
                <w14:solidFill>
                  <w14:schemeClr w14:val="tx1"/>
                </w14:solidFill>
              </w14:textFill>
            </w:rPr>
            <w:t xml:space="preserve">  </w:t>
          </w:r>
          <w:r>
            <w:rPr>
              <w:rStyle w:val="708"/>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7"/>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708"/>
              <w:rFonts w:hint="eastAsia" w:ascii="黑体" w:hAnsi="黑体" w:cs="黑体"/>
              <w:color w:val="000000" w:themeColor="text1"/>
              <w:lang w:val="zh-TW" w:eastAsia="zh-TW"/>
              <w14:textFill>
                <w14:solidFill>
                  <w14:schemeClr w14:val="tx1"/>
                </w14:solidFill>
              </w14:textFill>
            </w:rPr>
            <w:t xml:space="preserve">第</w:t>
          </w:r>
          <w:r>
            <w:rPr>
              <w:rStyle w:val="708"/>
              <w:rFonts w:hint="eastAsia" w:ascii="黑体" w:hAnsi="黑体" w:cs="黑体"/>
              <w:color w:val="000000" w:themeColor="text1"/>
              <w:lang w:val="zh-TW"/>
              <w14:textFill>
                <w14:solidFill>
                  <w14:schemeClr w14:val="tx1"/>
                </w14:solidFill>
              </w14:textFill>
            </w:rPr>
            <w:t xml:space="preserve">六</w:t>
          </w:r>
          <w:r>
            <w:rPr>
              <w:rStyle w:val="708"/>
              <w:rFonts w:hint="eastAsia" w:ascii="黑体" w:hAnsi="黑体" w:cs="黑体"/>
              <w:color w:val="000000" w:themeColor="text1"/>
              <w:lang w:val="zh-TW" w:eastAsia="zh-TW"/>
              <w14:textFill>
                <w14:solidFill>
                  <w14:schemeClr w14:val="tx1"/>
                </w14:solidFill>
              </w14:textFill>
            </w:rPr>
            <w:t xml:space="preserve">章</w:t>
          </w:r>
          <w:r>
            <w:rPr>
              <w:rStyle w:val="708"/>
              <w:rFonts w:ascii="黑体" w:hAnsi="黑体" w:cs="黑体"/>
              <w:color w:val="000000" w:themeColor="text1"/>
              <w:lang w:val="zh-TW" w:eastAsia="zh-TW"/>
              <w14:textFill>
                <w14:solidFill>
                  <w14:schemeClr w14:val="tx1"/>
                </w14:solidFill>
              </w14:textFill>
            </w:rPr>
            <w:t xml:space="preserve">  </w:t>
          </w:r>
          <w:r>
            <w:rPr>
              <w:rStyle w:val="708"/>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708"/>
              <w:rFonts w:eastAsia="黑体"/>
              <w:color w:val="000000" w:themeColor="text1"/>
              <w14:textFill>
                <w14:solidFill>
                  <w14:schemeClr w14:val="tx1"/>
                </w14:solidFill>
              </w14:textFill>
            </w:rPr>
            <w:t xml:space="preserve">6.1 </w:t>
          </w:r>
          <w:r>
            <w:rPr>
              <w:rStyle w:val="708"/>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708"/>
              <w:rFonts w:eastAsia="黑体"/>
              <w:color w:val="000000" w:themeColor="text1"/>
              <w14:textFill>
                <w14:solidFill>
                  <w14:schemeClr w14:val="tx1"/>
                </w14:solidFill>
              </w14:textFill>
            </w:rPr>
            <w:t xml:space="preserve">6.2 </w:t>
          </w:r>
          <w:r>
            <w:rPr>
              <w:rStyle w:val="708"/>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708"/>
              <w:rFonts w:eastAsia="黑体"/>
              <w:color w:val="000000" w:themeColor="text1"/>
              <w14:textFill>
                <w14:solidFill>
                  <w14:schemeClr w14:val="tx1"/>
                </w14:solidFill>
              </w14:textFill>
            </w:rPr>
            <w:t xml:space="preserve">6.3 </w:t>
          </w:r>
          <w:r>
            <w:rPr>
              <w:rStyle w:val="708"/>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708"/>
              <w:rFonts w:eastAsia="黑体"/>
              <w:color w:val="000000" w:themeColor="text1"/>
              <w14:textFill>
                <w14:solidFill>
                  <w14:schemeClr w14:val="tx1"/>
                </w14:solidFill>
              </w14:textFill>
            </w:rPr>
            <w:t xml:space="preserve">6.4 </w:t>
          </w:r>
          <w:r>
            <w:rPr>
              <w:rStyle w:val="708"/>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708"/>
              <w:rFonts w:eastAsia="黑体"/>
              <w:color w:val="000000" w:themeColor="text1"/>
              <w14:textFill>
                <w14:solidFill>
                  <w14:schemeClr w14:val="tx1"/>
                </w14:solidFill>
              </w14:textFill>
            </w:rPr>
            <w:t xml:space="preserve">6.5 </w:t>
          </w:r>
          <w:r>
            <w:rPr>
              <w:rStyle w:val="708"/>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708"/>
              <w:rFonts w:eastAsia="黑体"/>
              <w:color w:val="000000" w:themeColor="text1"/>
              <w14:textFill>
                <w14:solidFill>
                  <w14:schemeClr w14:val="tx1"/>
                </w14:solidFill>
              </w14:textFill>
            </w:rPr>
            <w:t xml:space="preserve">6.6 </w:t>
          </w:r>
          <w:r>
            <w:rPr>
              <w:rStyle w:val="708"/>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708"/>
              <w:rFonts w:eastAsia="黑体"/>
              <w:color w:val="000000" w:themeColor="text1"/>
              <w14:textFill>
                <w14:solidFill>
                  <w14:schemeClr w14:val="tx1"/>
                </w14:solidFill>
              </w14:textFill>
            </w:rPr>
            <w:t xml:space="preserve">6.7 </w:t>
          </w:r>
          <w:r>
            <w:rPr>
              <w:rStyle w:val="708"/>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708"/>
              <w:rFonts w:eastAsia="黑体"/>
              <w:color w:val="000000" w:themeColor="text1"/>
              <w14:textFill>
                <w14:solidFill>
                  <w14:schemeClr w14:val="tx1"/>
                </w14:solidFill>
              </w14:textFill>
            </w:rPr>
            <w:t xml:space="preserve">6.8 </w:t>
          </w:r>
          <w:r>
            <w:rPr>
              <w:rStyle w:val="708"/>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1"/>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708"/>
              <w:rFonts w:eastAsia="黑体"/>
              <w:color w:val="000000" w:themeColor="text1"/>
              <w14:textFill>
                <w14:solidFill>
                  <w14:schemeClr w14:val="tx1"/>
                </w14:solidFill>
              </w14:textFill>
            </w:rPr>
            <w:t xml:space="preserve">6.9 </w:t>
          </w:r>
          <w:r>
            <w:rPr>
              <w:rStyle w:val="708"/>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697"/>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2"/>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ind w:firstLine="720"/>
        <w:jc w:val="center"/>
        <w:spacing w:before="312" w:after="312" w:line="360" w:lineRule="auto"/>
        <w:rPr>
          <w:sz w:val="28"/>
          <w:szCs w:val="28"/>
        </w:rPr>
        <w:outlineLvl w:val="0"/>
      </w:pPr>
      <w:r/>
      <w:bookmarkStart w:id="1" w:name="_Toc448069940"/>
      <w:r/>
      <w:bookmarkStart w:id="2" w:name="_Toc11859485"/>
      <w:r/>
      <w:bookmarkStart w:id="3" w:name="_Toc"/>
      <w:r/>
      <w:bookmarkStart w:id="4" w:name="_Toc415494523"/>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676"/>
        <w:ind w:firstLine="560"/>
        <w:spacing w:line="360" w:lineRule="exact"/>
        <w:rPr>
          <w:rFonts w:ascii="黑体" w:hAnsi="黑体" w:cs="宋体"/>
          <w:b w:val="0"/>
          <w:sz w:val="28"/>
          <w:szCs w:val="28"/>
        </w:rPr>
      </w:pPr>
      <w:r/>
      <w:bookmarkStart w:id="5" w:name="_Toc28359002"/>
      <w:r/>
      <w:bookmarkStart w:id="6" w:name="_Toc35393621"/>
      <w:r/>
      <w:bookmarkStart w:id="7" w:name="_Toc28359079"/>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项目编号：JSZC-320100-ZTZB-G2026-0056（内部编号PML-ZH-ZB-20260</w:t>
      </w:r>
      <w:r>
        <w:rPr>
          <w:rFonts w:hint="eastAsia" w:ascii="仿宋" w:hAnsi="仿宋" w:eastAsia="仿宋"/>
          <w:sz w:val="28"/>
          <w:szCs w:val="28"/>
          <w:lang w:val="en-US" w:eastAsia="zh-CN"/>
        </w:rPr>
        <w:t xml:space="preserve">31</w:t>
      </w:r>
      <w:r>
        <w:rPr>
          <w:rFonts w:hint="eastAsia" w:ascii="仿宋" w:hAnsi="仿宋" w:eastAsia="仿宋"/>
          <w:sz w:val="28"/>
          <w:szCs w:val="28"/>
        </w:rPr>
        <w:t xml:space="preserve">）</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紫金山实验室通感融合试验场通感系统采购项目</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162万元人民币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最高限价：162万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采购需求：</w:t>
      </w:r>
      <w:r/>
    </w:p>
    <w:tbl>
      <w:tblPr>
        <w:tblStyle w:val="783"/>
        <w:tblW w:w="4997"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3"/>
        <w:gridCol w:w="1746"/>
        <w:gridCol w:w="651"/>
        <w:gridCol w:w="623"/>
        <w:gridCol w:w="948"/>
        <w:gridCol w:w="1072"/>
        <w:gridCol w:w="925"/>
        <w:gridCol w:w="1076"/>
        <w:gridCol w:w="1144"/>
      </w:tblGrid>
      <w:tr>
        <w:trPr>
          <w:trHeight w:val="470"/>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分项名称</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单价上限</w:t>
            </w:r>
            <w:r/>
          </w:p>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（元）</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属性</w:t>
            </w:r>
            <w:r/>
          </w:p>
        </w:tc>
        <w:tc>
          <w:tcPr>
            <w:tcW w:w="652" w:type="pct"/>
            <w:vAlign w:val="center"/>
            <w:textDirection w:val="lrTb"/>
            <w:noWrap w:val="false"/>
          </w:tcPr>
          <w:p>
            <w:pPr>
              <w:jc w:val="center"/>
              <w:spacing w:line="288" w:lineRule="auto"/>
              <w:rPr>
                <w:rFonts w:hint="default" w:ascii="宋体" w:hAnsi="宋体" w:eastAsia="宋体" w:cs="Times New Roman"/>
                <w:bCs/>
                <w:sz w:val="24"/>
                <w:szCs w:val="24"/>
                <w:lang w:eastAsia="en-US"/>
              </w:rPr>
            </w:pPr>
            <w:r>
              <w:rPr>
                <w:rFonts w:hint="eastAsia" w:ascii="宋体" w:hAnsi="宋体" w:eastAsia="宋体" w:cs="Times New Roman"/>
                <w:bCs/>
                <w:sz w:val="24"/>
                <w:szCs w:val="24"/>
                <w:lang w:eastAsia="en-US"/>
              </w:rPr>
              <w:t xml:space="preserve">政府强制采购节能产品</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感知基带信号处理单元</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4</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300000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毫米波感知AAU</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100000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主要产品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3</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加速卡</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10</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块</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12000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主要产品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4</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后端融合算力处理单元</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50000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主要产品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bl>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676"/>
        <w:ind w:firstLine="560"/>
        <w:spacing w:line="360" w:lineRule="exact"/>
        <w:rPr>
          <w:rFonts w:ascii="仿宋" w:hAnsi="仿宋" w:eastAsia="仿宋"/>
          <w:sz w:val="28"/>
          <w:szCs w:val="28"/>
        </w:rPr>
      </w:pPr>
      <w:r/>
      <w:bookmarkStart w:id="12" w:name="_Toc35393622"/>
      <w:r/>
      <w:bookmarkStart w:id="13" w:name="_Toc35393791"/>
      <w:r/>
      <w:bookmarkStart w:id="14" w:name="_Toc28359003"/>
      <w:r/>
      <w:bookmarkStart w:id="15" w:name="_Toc28359080"/>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676"/>
        <w:ind w:firstLine="560"/>
        <w:spacing w:line="360" w:lineRule="exact"/>
        <w:rPr>
          <w:rFonts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6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方式：苏采云免费下载</w:t>
      </w:r>
      <w:r/>
    </w:p>
    <w:p>
      <w:pPr>
        <w:pStyle w:val="676"/>
        <w:ind w:firstLine="560"/>
        <w:spacing w:line="360" w:lineRule="exact"/>
        <w:rPr>
          <w:rFonts w:ascii="黑体" w:hAnsi="黑体" w:cs="宋体"/>
          <w:b w:val="0"/>
          <w:sz w:val="28"/>
          <w:szCs w:val="28"/>
        </w:rPr>
      </w:pPr>
      <w:r/>
      <w:bookmarkStart w:id="20" w:name="_Toc28359082"/>
      <w:r/>
      <w:bookmarkStart w:id="21" w:name="_Toc28359005"/>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bookmarkStart w:id="81" w:name="_GoBack"/>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10</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14</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676"/>
        <w:ind w:firstLine="560"/>
        <w:spacing w:line="360" w:lineRule="exact"/>
        <w:rPr>
          <w:rFonts w:ascii="黑体" w:hAnsi="黑体" w:cs="宋体"/>
          <w:b w:val="0"/>
          <w:sz w:val="28"/>
          <w:szCs w:val="28"/>
          <w:highlight w:val="none"/>
        </w:rPr>
      </w:pPr>
      <w:r/>
      <w:bookmarkStart w:id="24" w:name="_Toc28359007"/>
      <w:r/>
      <w:bookmarkStart w:id="25" w:name="_Toc35393794"/>
      <w:r/>
      <w:bookmarkStart w:id="26" w:name="_Toc35393625"/>
      <w:r/>
      <w:bookmarkStart w:id="27" w:name="_Toc28359084"/>
      <w:r>
        <w:rPr>
          <w:rFonts w:hint="eastAsia" w:ascii="黑体" w:hAnsi="黑体" w:cs="宋体"/>
          <w:b w:val="0"/>
          <w:sz w:val="28"/>
          <w:szCs w:val="28"/>
          <w:highlight w:val="none"/>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bookmarkStart w:id="28" w:name="_Toc35393795"/>
      <w:r/>
      <w:bookmarkStart w:id="29" w:name="_Toc35393626"/>
      <w:r/>
      <w:r/>
    </w:p>
    <w:p>
      <w:pPr>
        <w:pStyle w:val="676"/>
        <w:ind w:firstLine="560"/>
        <w:spacing w:line="360" w:lineRule="exact"/>
        <w:rPr>
          <w:rFonts w:ascii="黑体" w:hAnsi="黑体" w:cs="宋体"/>
          <w:b w:val="0"/>
          <w:sz w:val="28"/>
          <w:szCs w:val="28"/>
          <w:highlight w:val="none"/>
        </w:rPr>
      </w:pPr>
      <w:r>
        <w:rPr>
          <w:rFonts w:hint="eastAsia" w:ascii="黑体" w:hAnsi="黑体" w:cs="宋体"/>
          <w:b w:val="0"/>
          <w:sz w:val="28"/>
          <w:szCs w:val="28"/>
          <w:highlight w:val="none"/>
        </w:rPr>
        <w:t xml:space="preserve">六、其他补充事宜</w:t>
      </w:r>
      <w:bookmarkEnd w:id="28"/>
      <w:r/>
      <w:bookmarkEnd w:id="29"/>
      <w:r/>
      <w:r/>
    </w:p>
    <w:p>
      <w:pPr>
        <w:ind w:firstLine="560"/>
        <w:spacing w:line="400" w:lineRule="exact"/>
        <w:rPr>
          <w:rFonts w:ascii="仿宋" w:hAnsi="仿宋" w:eastAsia="仿宋" w:cs="宋体"/>
          <w:sz w:val="28"/>
          <w:szCs w:val="28"/>
          <w:highlight w:val="none"/>
          <w:u w:val="single"/>
        </w:rPr>
      </w:pPr>
      <w:r/>
      <w:bookmarkStart w:id="30" w:name="_Toc28359085"/>
      <w:r/>
      <w:bookmarkStart w:id="31" w:name="_Toc35393796"/>
      <w:r/>
      <w:bookmarkStart w:id="32" w:name="_Toc35393627"/>
      <w:r/>
      <w:bookmarkStart w:id="33" w:name="_Toc28359008"/>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9</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24</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10</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8</w:t>
      </w:r>
      <w:r>
        <w:rPr>
          <w:rFonts w:hint="eastAsia" w:ascii="仿宋" w:hAnsi="仿宋" w:eastAsia="仿宋" w:cs="宋体"/>
          <w:sz w:val="28"/>
          <w:szCs w:val="28"/>
          <w:highlight w:val="none"/>
          <w:u w:val="single"/>
        </w:rPr>
        <w:t xml:space="preserve">日</w:t>
      </w:r>
      <w:r/>
    </w:p>
    <w:p>
      <w:pPr>
        <w:ind w:firstLine="560"/>
        <w:spacing w:line="400" w:lineRule="exact"/>
        <w:rPr>
          <w:rFonts w:ascii="仿宋" w:hAnsi="仿宋" w:eastAsia="仿宋" w:cs="宋体"/>
          <w:sz w:val="28"/>
          <w:szCs w:val="28"/>
        </w:rPr>
      </w:pPr>
      <w:r>
        <w:rPr>
          <w:rFonts w:hint="eastAsia" w:ascii="仿宋" w:hAnsi="仿宋" w:eastAsia="仿宋" w:cs="宋体"/>
          <w:sz w:val="28"/>
          <w:szCs w:val="28"/>
          <w:highlight w:val="none"/>
        </w:rPr>
        <w:t xml:space="preserve">在“江苏政府采购网”免费下载。供应商登录“江苏政府采购网”</w:t>
      </w:r>
      <w:bookmarkEnd w:id="81"/>
      <w:r>
        <w:rPr>
          <w:rFonts w:hint="eastAsia" w:ascii="仿宋" w:hAnsi="仿宋" w:eastAsia="仿宋" w:cs="宋体"/>
          <w:sz w:val="28"/>
          <w:szCs w:val="28"/>
        </w:rPr>
        <w:t xml:space="preserve">，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025-68505941）办理）。具体联系方式见《苏采云系统供应商操作手册》（以下简称《操作手册》）。</w:t>
      </w:r>
      <w:r/>
    </w:p>
    <w:p>
      <w:pPr>
        <w:ind w:firstLine="560"/>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676"/>
        <w:ind w:firstLine="56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ind w:firstLine="560"/>
        <w:spacing w:line="400" w:lineRule="exact"/>
        <w:widowControl/>
        <w:rPr>
          <w:rFonts w:ascii="仿宋_GB2312" w:eastAsia="仿宋_GB2312"/>
          <w:sz w:val="28"/>
          <w:szCs w:val="28"/>
        </w:rPr>
      </w:pPr>
      <w:r>
        <w:rPr>
          <w:rFonts w:hint="eastAsia" w:ascii="仿宋" w:hAnsi="仿宋" w:eastAsia="仿宋" w:cs="宋体"/>
          <w:sz w:val="28"/>
          <w:szCs w:val="28"/>
        </w:rPr>
        <w:t xml:space="preserve">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李工（025-57918372）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28359000"/>
      <w:r/>
      <w:bookmarkStart w:id="39" w:name="_Toc35393788"/>
      <w:r/>
      <w:bookmarkStart w:id="40" w:name="_Toc28359077"/>
      <w:r/>
      <w:bookmarkStart w:id="41" w:name="_Toc35393619"/>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48069941"/>
      <w:r/>
      <w:bookmarkStart w:id="43" w:name="_Toc11859486"/>
      <w:r/>
      <w:bookmarkStart w:id="44" w:name="_Toc415494524"/>
      <w:r/>
      <w:bookmarkStart w:id="45" w:name="_Toc1"/>
      <w:r/>
      <w:r/>
    </w:p>
    <w:p>
      <w:pPr>
        <w:ind w:firstLine="720"/>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w:t>
      </w:r>
      <w:r>
        <w:rPr>
          <w:rFonts w:hint="eastAsia" w:ascii="Times New Roman" w:hAnsi="Times New Roman" w:cs="Times New Roman"/>
          <w:color w:val="000000" w:themeColor="text1"/>
          <w:sz w:val="24"/>
          <w:szCs w:val="24"/>
          <w14:textFill>
            <w14:solidFill>
              <w14:schemeClr w14:val="tx1"/>
            </w14:solidFill>
          </w14:textFill>
        </w:rPr>
        <w:t xml:space="preserve">在投标截止日期前，无论何种原因，采购人均可主动或在解答投标人提出的澄清问题时对采购文件进行修改</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w:t>
      </w:r>
      <w:r>
        <w:rPr>
          <w:rFonts w:hint="eastAsia" w:ascii="Times New Roman" w:hAnsi="Times New Roman" w:cs="Times New Roman"/>
          <w:color w:val="000000" w:themeColor="text1"/>
          <w:sz w:val="24"/>
          <w:szCs w:val="24"/>
          <w14:textFill>
            <w14:solidFill>
              <w14:schemeClr w14:val="tx1"/>
            </w14:solidFill>
          </w14:textFill>
        </w:rPr>
        <w:t xml:space="preserve">有效身份证明文件</w:t>
      </w:r>
      <w:r>
        <w:rPr>
          <w:rFonts w:ascii="Times New Roman" w:hAnsi="Times New Roman" w:cs="Times New Roman"/>
          <w:color w:val="000000" w:themeColor="text1"/>
          <w:sz w:val="24"/>
          <w:szCs w:val="24"/>
          <w14:textFill>
            <w14:solidFill>
              <w14:schemeClr w14:val="tx1"/>
            </w14:solidFill>
          </w14:textFill>
        </w:rPr>
        <w:t xml:space="preserve">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报价采取总承包方式，包括所投产品、安装调试、服务、运输、税金及其它有关的为完成本项目发生的所有费用，采购文件中另有规定的除外。国产货物以人民币报价。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w:t>
      </w:r>
      <w:r>
        <w:rPr>
          <w:rFonts w:hint="eastAsia" w:ascii="Times New Roman" w:hAnsi="Times New Roman" w:cs="Times New Roman"/>
          <w:color w:val="000000" w:themeColor="text1"/>
          <w:sz w:val="24"/>
          <w:szCs w:val="24"/>
          <w14:textFill>
            <w14:solidFill>
              <w14:schemeClr w14:val="tx1"/>
            </w14:solidFill>
          </w14:textFill>
        </w:rPr>
        <w:t xml:space="preserve">线上</w:t>
      </w:r>
      <w:r>
        <w:rPr>
          <w:rFonts w:ascii="Times New Roman" w:hAnsi="Times New Roman" w:cs="Times New Roman"/>
          <w:color w:val="000000" w:themeColor="text1"/>
          <w:sz w:val="24"/>
          <w:szCs w:val="24"/>
          <w14:textFill>
            <w14:solidFill>
              <w14:schemeClr w14:val="tx1"/>
            </w14:solidFill>
          </w14:textFill>
        </w:rPr>
        <w:t xml:space="preserve">公开开标。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ind w:firstLine="880"/>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ind w:firstLine="880"/>
        <w:jc w:val="left"/>
        <w:tabs>
          <w:tab w:val="left" w:pos="7064" w:leader="none"/>
        </w:tabs>
        <w:rPr>
          <w:rFonts w:ascii="宋体" w:hAnsi="宋体" w:eastAsia="宋体" w:cs="宋体"/>
          <w:sz w:val="44"/>
          <w:szCs w:val="44"/>
        </w:rPr>
      </w:pPr>
      <w:r>
        <w:rPr>
          <w:rFonts w:ascii="宋体" w:hAnsi="宋体" w:eastAsia="宋体" w:cs="宋体"/>
          <w:sz w:val="44"/>
          <w:szCs w:val="44"/>
        </w:rPr>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ind w:firstLine="1040"/>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ind w:left="1399" w:hanging="840"/>
        <w:rPr>
          <w:rFonts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紫金山实验室通感融合试验场通感系统采购项目    </w:t>
      </w:r>
      <w:r/>
    </w:p>
    <w:p>
      <w:pPr>
        <w:ind w:firstLine="560"/>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ind w:firstLine="560"/>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8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2"/>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80"/>
        <w:jc w:val="left"/>
        <w:spacing w:line="540" w:lineRule="exact"/>
        <w:rPr>
          <w:rFonts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8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个工作日内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并解除合同，由此引起的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8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82"/>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82"/>
        <w:jc w:val="left"/>
        <w:spacing w:line="540" w:lineRule="exact"/>
        <w:rPr>
          <w:rFonts w:ascii="宋体" w:hAnsi="宋体" w:eastAsia="宋体" w:cs="宋体"/>
          <w:color w:val="000000"/>
          <w:sz w:val="24"/>
          <w:szCs w:val="24"/>
          <w:lang w:bidi="ar"/>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82"/>
        <w:jc w:val="left"/>
        <w:spacing w:line="540" w:lineRule="exact"/>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甲乙双方签订合同生效后，交付完成，甲方验收合格且乙方开具全额增值税专用发票后甲方支付合同金额的95%，设备稳定运行一年后支付合同总额5%的尾款。</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701"/>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80"/>
        <w:jc w:val="left"/>
        <w:spacing w:line="540" w:lineRule="exact"/>
        <w:widowControl/>
        <w:rPr>
          <w:rFonts w:ascii="宋体" w:hAnsi="宋体" w:eastAsia="宋体" w:cs="宋体"/>
          <w:color w:val="000000"/>
          <w:lang w:val="zh-CN"/>
        </w:rPr>
      </w:pP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天甲方向乙方按照同期贷款市场报价利率标准支付滞纳金，但累计滞纳金总额不超过欠款总额的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如乙方不能交付货物、完成安装调试的，甲方有权要求乙方支付合同总价5%的违约金并解除合同。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天，乙方向甲方偿付合同总额的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‰的滞纳金。如乙方逾期交付达</w:t>
      </w:r>
      <w:r>
        <w:rPr>
          <w:rFonts w:ascii="宋体" w:hAnsi="宋体" w:eastAsia="宋体" w:cs="宋体"/>
          <w:color w:val="000000"/>
          <w:sz w:val="24"/>
          <w:szCs w:val="24"/>
          <w:lang w:val="zh-CN" w:bidi="ar"/>
        </w:rPr>
        <w:t xml:space="preserve">10</w:t>
      </w:r>
      <w:r>
        <w:rPr>
          <w:rFonts w:hint="eastAsia" w:ascii="宋体" w:hAnsi="宋体" w:eastAsia="宋体" w:cs="宋体"/>
          <w:color w:val="000000"/>
          <w:sz w:val="24"/>
          <w:szCs w:val="24"/>
          <w:lang w:val="zh-CN" w:bidi="ar"/>
        </w:rPr>
        <w:t xml:space="preserve">天，甲方有权解除合同，解除合同的通知自到达乙方时生效，乙方应向甲方另行支付合同总价款</w:t>
      </w:r>
      <w:r>
        <w:rPr>
          <w:rFonts w:ascii="宋体" w:hAnsi="宋体" w:eastAsia="宋体" w:cs="宋体"/>
          <w:color w:val="000000"/>
          <w:sz w:val="24"/>
          <w:szCs w:val="24"/>
          <w:lang w:val="zh-CN" w:bidi="ar"/>
        </w:rPr>
        <w:t xml:space="preserve">25%</w:t>
      </w:r>
      <w:r>
        <w:rPr>
          <w:rFonts w:hint="eastAsia" w:ascii="宋体" w:hAnsi="宋体" w:eastAsia="宋体" w:cs="宋体"/>
          <w:color w:val="000000"/>
          <w:sz w:val="24"/>
          <w:szCs w:val="24"/>
          <w:lang w:val="zh-CN" w:bidi="ar"/>
        </w:rPr>
        <w:t xml:space="preserve">违约金并赔偿给甲方造成全部损失。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乙方所交付的货物品种、型号、规格不符合合同规定的，甲方有权拒收并解除合同。甲方拒收的，乙方应向甲方支付货款总额</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的违约金。甲方未拒收的，发现后将向有关部门反映，并责成乙方按照采购结果提供货物和服务，同时视情况给予暂停一至三年参加紫金山实验室组织的政府采购活动的处理。</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8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680"/>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680"/>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680"/>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680"/>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ind w:firstLine="720"/>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numPr>
          <w:ilvl w:val="0"/>
          <w:numId w:val="3"/>
        </w:numPr>
        <w:ind w:firstLine="482"/>
        <w:spacing w:line="360" w:lineRule="exact"/>
        <w:rPr>
          <w:rFonts w:asciiTheme="minorEastAsia" w:hAnsiTheme="minorEastAsia" w:cstheme="minorEastAsia"/>
          <w:b/>
          <w:sz w:val="24"/>
          <w:szCs w:val="24"/>
        </w:rPr>
      </w:pPr>
      <w:r/>
      <w:bookmarkStart w:id="50" w:name="_Hlk232175435"/>
      <w:r>
        <w:rPr>
          <w:rFonts w:hint="eastAsia" w:asciiTheme="minorEastAsia" w:hAnsiTheme="minorEastAsia" w:cstheme="minorEastAsia"/>
          <w:b/>
          <w:sz w:val="24"/>
          <w:szCs w:val="24"/>
        </w:rPr>
        <w:t xml:space="preserve">项目属性：货物类项目</w:t>
      </w:r>
      <w:r/>
    </w:p>
    <w:p>
      <w:pPr>
        <w:numPr>
          <w:ilvl w:val="0"/>
          <w:numId w:val="3"/>
        </w:numPr>
        <w:ind w:firstLine="482"/>
        <w:spacing w:line="360" w:lineRule="exact"/>
        <w:rPr>
          <w:rFonts w:asciiTheme="minorEastAsia" w:hAnsiTheme="minorEastAsia" w:cstheme="minorEastAsia"/>
          <w:b/>
          <w:sz w:val="24"/>
          <w:szCs w:val="24"/>
          <w:lang w:val="zh-CN"/>
        </w:rPr>
      </w:pPr>
      <w:r>
        <w:rPr>
          <w:rFonts w:hint="eastAsia" w:asciiTheme="minorEastAsia" w:hAnsiTheme="minorEastAsia" w:cstheme="minorEastAsia"/>
          <w:b/>
          <w:sz w:val="24"/>
          <w:szCs w:val="24"/>
          <w:lang w:val="zh-CN"/>
        </w:rPr>
        <w:t xml:space="preserve">项目概况</w:t>
      </w:r>
      <w:r/>
    </w:p>
    <w:p>
      <w:pPr>
        <w:pStyle w:val="73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（一）项目背景</w:t>
      </w:r>
      <w:r/>
    </w:p>
    <w:p>
      <w:pPr>
        <w:pStyle w:val="73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本次采购为了继续试验和验证课题方向，需要扩容相关BBU和AAU设备，以及相应的加速器板卡等设备。</w:t>
      </w:r>
      <w:r/>
    </w:p>
    <w:p>
      <w:pPr>
        <w:pStyle w:val="73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（二）项目建设遵循标准</w:t>
      </w:r>
      <w:r/>
    </w:p>
    <w:p>
      <w:pPr>
        <w:pStyle w:val="73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本项目建设遵循国家、行业及地方现行有效的规范和标准，主要包括：</w:t>
      </w:r>
      <w:r/>
    </w:p>
    <w:p>
      <w:pPr>
        <w:pStyle w:val="73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（1）ORAN联盟前传接口规范（eCPRI、Option 7-2）等接口开放相关标准；</w:t>
      </w:r>
      <w:r/>
    </w:p>
    <w:p>
      <w:pPr>
        <w:pStyle w:val="735"/>
        <w:ind w:firstLine="480"/>
        <w:jc w:val="both"/>
        <w:spacing w:before="0" w:after="0" w:line="360" w:lineRule="exact"/>
        <w:rPr>
          <w:rFonts w:hint="default"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t xml:space="preserve">（2）低空经济相关标准及国家、行业现行有效的电磁兼容（EMC）、电气安全、防雷接地等标准。</w:t>
      </w:r>
      <w:r/>
    </w:p>
    <w:p>
      <w:pPr>
        <w:ind w:firstLine="480"/>
        <w:spacing w:line="36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招标文件涉及标准中未标年号的一律采用最新的标准；随着标准的修订，以修订后的最新标准为依据。</w:t>
      </w:r>
      <w:r/>
    </w:p>
    <w:p>
      <w:pPr>
        <w:numPr>
          <w:ilvl w:val="0"/>
          <w:numId w:val="3"/>
        </w:numPr>
        <w:ind w:firstLine="482"/>
        <w:spacing w:line="36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项目清单</w:t>
      </w:r>
      <w:r/>
    </w:p>
    <w:tbl>
      <w:tblPr>
        <w:tblStyle w:val="783"/>
        <w:tblW w:w="4997"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3"/>
        <w:gridCol w:w="1746"/>
        <w:gridCol w:w="651"/>
        <w:gridCol w:w="623"/>
        <w:gridCol w:w="948"/>
        <w:gridCol w:w="1072"/>
        <w:gridCol w:w="925"/>
        <w:gridCol w:w="1076"/>
        <w:gridCol w:w="1144"/>
      </w:tblGrid>
      <w:tr>
        <w:trPr>
          <w:trHeight w:val="470"/>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分项名称</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单价上限</w:t>
            </w:r>
            <w:r/>
          </w:p>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（元）</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属性</w:t>
            </w:r>
            <w:r/>
          </w:p>
        </w:tc>
        <w:tc>
          <w:tcPr>
            <w:tcW w:w="652" w:type="pct"/>
            <w:vAlign w:val="center"/>
            <w:textDirection w:val="lrTb"/>
            <w:noWrap w:val="false"/>
          </w:tcPr>
          <w:p>
            <w:pPr>
              <w:jc w:val="center"/>
              <w:spacing w:line="288" w:lineRule="auto"/>
              <w:rPr>
                <w:rFonts w:hint="default" w:ascii="宋体" w:hAnsi="宋体" w:eastAsia="宋体" w:cs="Times New Roman"/>
                <w:bCs/>
                <w:sz w:val="24"/>
                <w:szCs w:val="24"/>
                <w:lang w:eastAsia="en-US"/>
              </w:rPr>
            </w:pPr>
            <w:r>
              <w:rPr>
                <w:rFonts w:hint="eastAsia" w:ascii="宋体" w:hAnsi="宋体" w:eastAsia="宋体" w:cs="Times New Roman"/>
                <w:bCs/>
                <w:sz w:val="24"/>
                <w:szCs w:val="24"/>
                <w:lang w:eastAsia="en-US"/>
              </w:rPr>
              <w:t xml:space="preserve">政府强制采购节能产品</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感知基带信号处理单元</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4</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300000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毫米波感知AAU</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100000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主要产品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3</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加速卡</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10</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块</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12000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主要产品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r>
        <w:trPr>
          <w:trHeight w:val="414"/>
        </w:trPr>
        <w:tc>
          <w:tcPr>
            <w:tcW w:w="33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4</w:t>
            </w:r>
            <w:r/>
          </w:p>
        </w:tc>
        <w:tc>
          <w:tcPr>
            <w:tcW w:w="99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后端融合算力处理单元</w:t>
            </w:r>
            <w:r/>
          </w:p>
        </w:tc>
        <w:tc>
          <w:tcPr>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W w:w="35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W w:w="54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50000</w:t>
            </w:r>
            <w:r/>
          </w:p>
        </w:tc>
        <w:tc>
          <w:tcPr>
            <w:tcW w:w="61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主要产品</w:t>
            </w:r>
            <w:r/>
          </w:p>
        </w:tc>
        <w:tc>
          <w:tcPr>
            <w:tcW w:w="527"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W w:w="613"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W w:w="652"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否</w:t>
            </w:r>
            <w:r/>
          </w:p>
        </w:tc>
      </w:tr>
    </w:tbl>
    <w:p>
      <w:pPr>
        <w:ind w:firstLine="482"/>
        <w:spacing w:line="360" w:lineRule="exact"/>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四、拟采购产品需要满足的技术、商务要求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（一）技术要求</w:t>
      </w:r>
      <w:r/>
    </w:p>
    <w:p>
      <w:p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本项目需求中标“★”号技术要求的指标为核心指标项，必须满足，有一条不满足视为无效投标。标“▲”号为重要指标项，如负偏离均将扣除相应分值，扣完为止。</w:t>
      </w:r>
      <w:r/>
    </w:p>
    <w:p>
      <w:pPr>
        <w:ind w:firstLine="480"/>
        <w:spacing w:line="360" w:lineRule="exact"/>
        <w:rPr>
          <w:rFonts w:asciiTheme="minorEastAsia" w:hAnsiTheme="minorEastAsia" w:cstheme="minorEastAsia"/>
          <w:szCs w:val="21"/>
          <w:highlight w:val="none"/>
        </w:rPr>
      </w:pPr>
      <w:r>
        <w:rPr>
          <w:rFonts w:hint="eastAsia" w:asciiTheme="minorEastAsia" w:hAnsiTheme="minorEastAsia" w:cstheme="minorEastAsia"/>
          <w:sz w:val="24"/>
          <w:szCs w:val="24"/>
        </w:rPr>
        <w:t xml:space="preserve">标“★”和标“▲”号指标项必须在投标文件中提供技术支持资料(形式包括白皮书、技术规范书、彩页、手册、检测报告)，未提供相关证明材料的，评审时评审专家有权不予认可，有明确要求的按要求提供技术支持资料。</w:t>
      </w:r>
      <w:r/>
    </w:p>
    <w:p>
      <w:pPr>
        <w:numPr>
          <w:ilvl w:val="0"/>
          <w:numId w:val="4"/>
        </w:numPr>
        <w:ind w:firstLine="48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产品技术指标</w:t>
      </w:r>
      <w:r/>
    </w:p>
    <w:tbl>
      <w:tblPr>
        <w:tblStyle w:val="679"/>
        <w:tblW w:w="501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7"/>
        <w:gridCol w:w="1215"/>
        <w:gridCol w:w="6998"/>
      </w:tblGrid>
      <w:tr>
        <w:trPr/>
        <w:tc>
          <w:tcPr>
            <w:tcW w:w="334" w:type="pct"/>
            <w:vAlign w:val="center"/>
            <w:textDirection w:val="lrTb"/>
            <w:noWrap w:val="false"/>
          </w:tcPr>
          <w:p>
            <w:pPr>
              <w:jc w:val="center"/>
              <w:spacing w:line="264" w:lineRule="auto"/>
              <w:rPr>
                <w:rFonts w:asciiTheme="minorEastAsia" w:hAnsiTheme="minorEastAsia" w:cstheme="minorEastAsia"/>
                <w:b/>
                <w:szCs w:val="21"/>
              </w:rPr>
            </w:pPr>
            <w:r>
              <w:rPr>
                <w:rFonts w:hint="eastAsia" w:asciiTheme="minorEastAsia" w:hAnsiTheme="minorEastAsia" w:cstheme="minorEastAsia"/>
                <w:b/>
                <w:szCs w:val="21"/>
              </w:rPr>
              <w:t xml:space="preserve">序号</w:t>
            </w:r>
            <w:r/>
          </w:p>
        </w:tc>
        <w:tc>
          <w:tcPr>
            <w:tcW w:w="690" w:type="pct"/>
            <w:vAlign w:val="center"/>
            <w:textDirection w:val="lrTb"/>
            <w:noWrap w:val="false"/>
          </w:tcPr>
          <w:p>
            <w:pPr>
              <w:jc w:val="center"/>
              <w:spacing w:line="264" w:lineRule="auto"/>
              <w:rPr>
                <w:rFonts w:asciiTheme="minorEastAsia" w:hAnsiTheme="minorEastAsia" w:cstheme="minorEastAsia"/>
                <w:b/>
                <w:szCs w:val="21"/>
              </w:rPr>
            </w:pPr>
            <w:r>
              <w:rPr>
                <w:rFonts w:hint="eastAsia" w:asciiTheme="minorEastAsia" w:hAnsiTheme="minorEastAsia" w:cstheme="minorEastAsia"/>
                <w:b/>
                <w:szCs w:val="21"/>
              </w:rPr>
              <w:t xml:space="preserve">产品名称</w:t>
            </w:r>
            <w:r/>
          </w:p>
        </w:tc>
        <w:tc>
          <w:tcPr>
            <w:tcW w:w="3975" w:type="pct"/>
            <w:vAlign w:val="center"/>
            <w:textDirection w:val="lrTb"/>
            <w:noWrap w:val="false"/>
          </w:tcPr>
          <w:p>
            <w:pPr>
              <w:jc w:val="center"/>
              <w:spacing w:line="264" w:lineRule="auto"/>
              <w:rPr>
                <w:rFonts w:asciiTheme="minorEastAsia" w:hAnsiTheme="minorEastAsia" w:cstheme="minorEastAsia"/>
                <w:b/>
                <w:szCs w:val="21"/>
              </w:rPr>
            </w:pPr>
            <w:r>
              <w:rPr>
                <w:rFonts w:hint="eastAsia" w:asciiTheme="minorEastAsia" w:hAnsiTheme="minorEastAsia" w:cstheme="minorEastAsia"/>
                <w:b/>
                <w:szCs w:val="21"/>
              </w:rPr>
              <w:t xml:space="preserve">功能、性能、配置要求不低于以下要求</w:t>
            </w:r>
            <w:r/>
          </w:p>
        </w:tc>
      </w:tr>
      <w:tr>
        <w:trPr>
          <w:cantSplit/>
          <w:trHeight w:val="840"/>
        </w:trPr>
        <w:tc>
          <w:tcPr>
            <w:tcW w:w="334"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1</w:t>
            </w:r>
            <w:r/>
          </w:p>
        </w:tc>
        <w:tc>
          <w:tcPr>
            <w:tcW w:w="690"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感知基带信号处理单元</w:t>
            </w:r>
            <w:r/>
          </w:p>
        </w:tc>
        <w:tc>
          <w:tcPr>
            <w:tcW w:w="3975" w:type="pct"/>
            <w:vAlign w:val="center"/>
            <w:textDirection w:val="lrTb"/>
            <w:noWrap w:val="false"/>
          </w:tcPr>
          <w:p>
            <w:pPr>
              <w:jc w:val="both"/>
              <w:spacing w:line="360" w:lineRule="exact"/>
              <w:rPr>
                <w:rFonts w:asciiTheme="minorEastAsia" w:hAnsiTheme="minorEastAsia" w:cstheme="minorEastAsia"/>
                <w:bCs/>
                <w:szCs w:val="21"/>
                <w:lang w:eastAsia="zh-Hans"/>
              </w:rPr>
            </w:pPr>
            <w:r>
              <w:rPr>
                <w:rFonts w:hint="eastAsia" w:asciiTheme="minorEastAsia" w:hAnsiTheme="minorEastAsia" w:cstheme="minorEastAsia"/>
                <w:bCs/>
                <w:szCs w:val="21"/>
              </w:rPr>
              <w:t xml:space="preserve">★1、支持毫米波感知AAU数量：≥4个；</w:t>
            </w:r>
            <w:r/>
          </w:p>
          <w:p>
            <w:pPr>
              <w:jc w:val="both"/>
              <w:spacing w:line="360" w:lineRule="exact"/>
              <w:rPr>
                <w:rFonts w:asciiTheme="minorEastAsia" w:hAnsiTheme="minorEastAsia" w:cstheme="minorEastAsia"/>
                <w:bCs/>
                <w:szCs w:val="21"/>
              </w:rPr>
            </w:pPr>
            <w:r>
              <w:rPr>
                <w:rFonts w:hint="eastAsia" w:asciiTheme="minorEastAsia" w:hAnsiTheme="minorEastAsia" w:cstheme="minorEastAsia"/>
                <w:bCs/>
                <w:szCs w:val="21"/>
              </w:rPr>
              <w:t xml:space="preserve">★2、无人机探测距离：≥550 m（以</w:t>
            </w:r>
            <w:r>
              <w:rPr>
                <w:rFonts w:hint="eastAsia" w:asciiTheme="minorEastAsia" w:hAnsiTheme="minorEastAsia" w:cstheme="minorEastAsia"/>
                <w:szCs w:val="21"/>
              </w:rPr>
              <w:t xml:space="preserve">起飞重量</w:t>
            </w:r>
            <w:r>
              <w:rPr>
                <w:rFonts w:hint="eastAsia" w:asciiTheme="minorEastAsia" w:hAnsiTheme="minorEastAsia" w:cstheme="minorEastAsia"/>
                <w:bCs/>
                <w:szCs w:val="21"/>
              </w:rPr>
              <w:t xml:space="preserve">≤</w:t>
            </w:r>
            <w:r>
              <w:rPr>
                <w:rFonts w:hint="eastAsia" w:asciiTheme="minorEastAsia" w:hAnsiTheme="minorEastAsia" w:cstheme="minorEastAsia"/>
                <w:szCs w:val="21"/>
              </w:rPr>
              <w:t xml:space="preserve">9.5KG、机身尺寸 </w:t>
            </w:r>
            <w:r>
              <w:rPr>
                <w:rFonts w:hint="eastAsia" w:asciiTheme="minorEastAsia" w:hAnsiTheme="minorEastAsia" w:cstheme="minorEastAsia"/>
                <w:bCs/>
                <w:szCs w:val="21"/>
              </w:rPr>
              <w:t xml:space="preserve">≤</w:t>
            </w:r>
            <w:r>
              <w:rPr>
                <w:rFonts w:hint="eastAsia" w:asciiTheme="minorEastAsia" w:hAnsiTheme="minorEastAsia" w:cstheme="minorEastAsia"/>
                <w:szCs w:val="21"/>
              </w:rPr>
              <w:t xml:space="preserve">810×670×430 mm的</w:t>
            </w:r>
            <w:r>
              <w:rPr>
                <w:rFonts w:hint="eastAsia" w:asciiTheme="minorEastAsia" w:hAnsiTheme="minorEastAsia" w:cstheme="minorEastAsia"/>
                <w:bCs/>
                <w:szCs w:val="21"/>
              </w:rPr>
              <w:t xml:space="preserve">典型无人机为探测目标）；</w:t>
            </w:r>
            <w:r/>
          </w:p>
          <w:p>
            <w:pPr>
              <w:jc w:val="both"/>
              <w:spacing w:line="360" w:lineRule="exact"/>
              <w:rPr>
                <w:rFonts w:asciiTheme="minorEastAsia" w:hAnsiTheme="minorEastAsia" w:cstheme="minorEastAsia"/>
                <w:bCs/>
                <w:szCs w:val="21"/>
                <w:lang w:eastAsia="zh-Hans"/>
              </w:rPr>
            </w:pPr>
            <w:r>
              <w:rPr>
                <w:rFonts w:hint="eastAsia" w:asciiTheme="minorEastAsia" w:hAnsiTheme="minorEastAsia" w:cstheme="minorEastAsia"/>
                <w:bCs/>
                <w:szCs w:val="21"/>
              </w:rPr>
              <w:t xml:space="preserve">★3、支持</w:t>
            </w:r>
            <w:r>
              <w:rPr>
                <w:rFonts w:hint="eastAsia" w:asciiTheme="minorEastAsia" w:hAnsiTheme="minorEastAsia" w:cstheme="minorEastAsia"/>
                <w:szCs w:val="21"/>
              </w:rPr>
              <w:t xml:space="preserve">不少于</w:t>
            </w:r>
            <w:r>
              <w:rPr>
                <w:rFonts w:hint="eastAsia" w:asciiTheme="minorEastAsia" w:hAnsiTheme="minorEastAsia" w:cstheme="minorEastAsia"/>
                <w:bCs/>
                <w:szCs w:val="21"/>
              </w:rPr>
              <w:t xml:space="preserve">60架无人机同时检测；</w:t>
            </w:r>
            <w:r/>
          </w:p>
          <w:p>
            <w:pPr>
              <w:jc w:val="both"/>
              <w:spacing w:line="360" w:lineRule="exact"/>
              <w:rPr>
                <w:rFonts w:asciiTheme="minorEastAsia" w:hAnsiTheme="minorEastAsia" w:cstheme="minorEastAsia"/>
                <w:bCs/>
                <w:szCs w:val="21"/>
                <w:lang w:eastAsia="zh-Hans"/>
              </w:rPr>
            </w:pPr>
            <w:r>
              <w:rPr>
                <w:rFonts w:hint="eastAsia" w:asciiTheme="minorEastAsia" w:hAnsiTheme="minorEastAsia" w:cstheme="minorEastAsia"/>
                <w:bCs/>
                <w:szCs w:val="21"/>
              </w:rPr>
              <w:t xml:space="preserve">★4、无人机检测更新周期：≤1s；</w:t>
            </w:r>
            <w:r/>
          </w:p>
          <w:p>
            <w:pPr>
              <w:jc w:val="both"/>
              <w:spacing w:line="360" w:lineRule="exact"/>
              <w:rPr>
                <w:rFonts w:asciiTheme="minorEastAsia" w:hAnsiTheme="minorEastAsia" w:cstheme="minorEastAsia"/>
                <w:bCs/>
                <w:szCs w:val="21"/>
                <w:lang w:eastAsia="zh-Hans"/>
              </w:rPr>
            </w:pPr>
            <w:r>
              <w:rPr>
                <w:rFonts w:hint="eastAsia" w:asciiTheme="minorEastAsia" w:hAnsiTheme="minorEastAsia" w:cstheme="minorEastAsia"/>
                <w:bCs/>
                <w:szCs w:val="21"/>
              </w:rPr>
              <w:t xml:space="preserve">★5、探测盲区：≤20m；</w:t>
            </w:r>
            <w:r/>
          </w:p>
          <w:p>
            <w:pPr>
              <w:jc w:val="both"/>
              <w:spacing w:line="360" w:lineRule="exact"/>
              <w:rPr>
                <w:rFonts w:asciiTheme="minorEastAsia" w:hAnsiTheme="minorEastAsia" w:cstheme="minorEastAsia"/>
                <w:bCs/>
                <w:szCs w:val="21"/>
                <w:lang w:eastAsia="zh-Hans"/>
              </w:rPr>
            </w:pPr>
            <w:r>
              <w:rPr>
                <w:rFonts w:hint="eastAsia" w:asciiTheme="minorEastAsia" w:hAnsiTheme="minorEastAsia" w:cstheme="minorEastAsia"/>
                <w:bCs/>
                <w:szCs w:val="21"/>
              </w:rPr>
              <w:t xml:space="preserve">▲6、支持与采购人现有外场毫米波通信感知一体化系统（接口遵循标准的</w:t>
            </w:r>
            <w:r>
              <w:rPr>
                <w:rFonts w:hint="eastAsia" w:asciiTheme="minorEastAsia" w:hAnsiTheme="minorEastAsia" w:eastAsiaTheme="minorEastAsia" w:cstheme="minorEastAsia"/>
                <w:bCs/>
                <w:sz w:val="21"/>
                <w:szCs w:val="21"/>
              </w:rPr>
              <w:t xml:space="preserve">ORAN eCPRI Option 7-2</w:t>
            </w:r>
            <w:r>
              <w:rPr>
                <w:rFonts w:hint="eastAsia" w:asciiTheme="minorEastAsia" w:hAnsiTheme="minorEastAsia" w:cstheme="minorEastAsia"/>
                <w:bCs/>
                <w:szCs w:val="21"/>
              </w:rPr>
              <w:t xml:space="preserve">开放协议）兼容组网，纳入统一管理调度，实现系统平滑扩容，投标人须提供针对本项目的组网联调方案，方案内容须包含接口对接说明、联调测试项及验收标准，并提供O-RAN规范符合性声明（含所依据的O-RAN规范版本号）</w:t>
            </w:r>
            <w:r>
              <w:rPr>
                <w:rFonts w:hint="eastAsia" w:asciiTheme="minorEastAsia" w:hAnsiTheme="minorEastAsia" w:cstheme="minorEastAsia"/>
                <w:bCs/>
                <w:szCs w:val="21"/>
                <w:lang w:eastAsia="zh-CN"/>
              </w:rPr>
              <w:t xml:space="preserve">；</w:t>
            </w:r>
            <w:r/>
          </w:p>
          <w:p>
            <w:pPr>
              <w:jc w:val="both"/>
              <w:spacing w:line="360" w:lineRule="exact"/>
              <w:rPr>
                <w:rFonts w:asciiTheme="minorEastAsia" w:hAnsiTheme="minorEastAsia" w:cstheme="minorEastAsia"/>
                <w:bCs/>
                <w:szCs w:val="21"/>
                <w:lang w:eastAsia="zh-Hans"/>
              </w:rPr>
            </w:pPr>
            <w:r>
              <w:rPr>
                <w:rFonts w:hint="eastAsia" w:asciiTheme="minorEastAsia" w:hAnsiTheme="minorEastAsia" w:cstheme="minorEastAsia"/>
                <w:bCs/>
                <w:szCs w:val="21"/>
              </w:rPr>
              <w:t xml:space="preserve">▲7、支持多站协作感知、分布式组网联合感知，感知数据支持互联互通；</w:t>
            </w:r>
            <w:r/>
          </w:p>
          <w:p>
            <w:pPr>
              <w:jc w:val="both"/>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▲8、支持无蜂窝（Cell-Free）架构，支持面向低空飞行器的连续覆盖与确定性接入</w:t>
            </w:r>
            <w:r>
              <w:rPr>
                <w:rFonts w:hint="eastAsia" w:asciiTheme="minorEastAsia" w:hAnsiTheme="minorEastAsia" w:cstheme="minorEastAsia"/>
                <w:bCs/>
                <w:szCs w:val="21"/>
                <w:lang w:eastAsia="zh-CN"/>
              </w:rPr>
              <w:t xml:space="preserve">。</w:t>
            </w:r>
            <w:r/>
          </w:p>
        </w:tc>
      </w:tr>
      <w:tr>
        <w:trPr>
          <w:cantSplit/>
          <w:trHeight w:val="985"/>
        </w:trPr>
        <w:tc>
          <w:tcPr>
            <w:tcW w:w="334"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2</w:t>
            </w:r>
            <w:r/>
          </w:p>
        </w:tc>
        <w:tc>
          <w:tcPr>
            <w:tcW w:w="690"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毫米波感知AAU</w:t>
            </w:r>
            <w:r/>
          </w:p>
        </w:tc>
        <w:tc>
          <w:tcPr>
            <w:tcW w:w="3975"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★1、工作频率：24.25GHz-27.5GHz；</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★2、支持标准ORAN eCPRI Option 7-2接口，协议规范开放；</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▲3、天线阵子数：≥16；</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4、通道数：≥2T2R；</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5、双工模式：TDD；</w:t>
            </w:r>
            <w:r/>
          </w:p>
          <w:p>
            <w:pPr>
              <w:spacing w:line="360" w:lineRule="exact"/>
              <w:rPr>
                <w:rFonts w:asciiTheme="minorEastAsia" w:hAnsiTheme="minorEastAsia" w:cstheme="minorEastAsia"/>
                <w:szCs w:val="21"/>
                <w:highlight w:val="none"/>
              </w:rPr>
            </w:pPr>
            <w:r>
              <w:rPr>
                <w:rFonts w:hint="eastAsia" w:asciiTheme="minorEastAsia" w:hAnsiTheme="minorEastAsia" w:cstheme="minorEastAsia"/>
                <w:bCs/>
                <w:szCs w:val="21"/>
              </w:rPr>
              <w:t xml:space="preserve">★6、等效全向辐射功率（EIR</w:t>
            </w:r>
            <w:r>
              <w:rPr>
                <w:rFonts w:hint="eastAsia" w:asciiTheme="minorEastAsia" w:hAnsiTheme="minorEastAsia" w:cstheme="minorEastAsia"/>
                <w:bCs/>
                <w:szCs w:val="21"/>
                <w:highlight w:val="none"/>
              </w:rPr>
              <w:t xml:space="preserve">P）：≥43dBm；</w:t>
            </w:r>
            <w:r/>
          </w:p>
          <w:p>
            <w:pPr>
              <w:spacing w:line="360" w:lineRule="exact"/>
              <w:rPr>
                <w:rFonts w:asciiTheme="minorEastAsia" w:hAnsiTheme="minorEastAsia" w:cstheme="minorEastAsia"/>
                <w:szCs w:val="21"/>
                <w:highlight w:val="none"/>
              </w:rPr>
            </w:pPr>
            <w:r>
              <w:rPr>
                <w:rFonts w:hint="eastAsia" w:asciiTheme="minorEastAsia" w:hAnsiTheme="minorEastAsia" w:cstheme="minorEastAsia"/>
                <w:bCs/>
                <w:szCs w:val="21"/>
                <w:highlight w:val="none"/>
              </w:rPr>
              <w:t xml:space="preserve">7、毫米波感知AAU的射频SOC芯片须采用国产化器件；</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8、支持2个10Gbps/25Gbps光口；</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▲9、天线扫描范围：水平≥±60°，垂直≥±60°；</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▲10、重量：≤4kg；体积：≤4.5L；</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11、支持配置波束模板，支持细波束扫描，水平波束宽度≤22.5°，垂直波束宽度≤22.5°；</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12、支持对无人机等低空飞行目标的探测与轨迹跟踪，投标人须提供现场验证方案。</w:t>
            </w:r>
            <w:r/>
          </w:p>
        </w:tc>
      </w:tr>
      <w:tr>
        <w:trPr>
          <w:cantSplit/>
          <w:trHeight w:val="976"/>
        </w:trPr>
        <w:tc>
          <w:tcPr>
            <w:tcW w:w="334"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3</w:t>
            </w:r>
            <w:r/>
          </w:p>
        </w:tc>
        <w:tc>
          <w:tcPr>
            <w:tcW w:w="690"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加速卡</w:t>
            </w:r>
            <w:r/>
          </w:p>
        </w:tc>
        <w:tc>
          <w:tcPr>
            <w:tcW w:w="3975"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1、支持标准ORAN eCPRI Option 7-2接口协议，实现LDPC信道编解码等基带信号处理加速功能；</w:t>
            </w:r>
            <w:r/>
          </w:p>
          <w:p>
            <w:pPr>
              <w:spacing w:line="360" w:lineRule="exact"/>
              <w:rPr>
                <w:rFonts w:asciiTheme="minorEastAsia" w:hAnsiTheme="minorEastAsia" w:cstheme="minorEastAsia"/>
                <w:szCs w:val="21"/>
              </w:rPr>
            </w:pPr>
            <w:r>
              <w:rPr>
                <w:rFonts w:hint="eastAsia" w:asciiTheme="minorEastAsia" w:hAnsiTheme="minorEastAsia" w:cstheme="minorEastAsia"/>
                <w:bCs/>
                <w:szCs w:val="21"/>
              </w:rPr>
              <w:t xml:space="preserve">▲</w:t>
            </w:r>
            <w:r>
              <w:rPr>
                <w:rFonts w:hint="eastAsia" w:asciiTheme="minorEastAsia" w:hAnsiTheme="minorEastAsia" w:cstheme="minorEastAsia"/>
                <w:szCs w:val="21"/>
              </w:rPr>
              <w:t xml:space="preserve">2、与所投感知基带信号处理单元（BBU）兼容适配，即插即用；</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3、接口类型：PCIe Gen3及以上；</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4、支持现有外场系统加速处理能力平滑扩展</w:t>
            </w:r>
            <w:r>
              <w:rPr>
                <w:rFonts w:hint="eastAsia" w:asciiTheme="minorEastAsia" w:hAnsiTheme="minorEastAsia" w:cstheme="minorEastAsia"/>
                <w:szCs w:val="21"/>
                <w:lang w:eastAsia="zh-CN"/>
              </w:rPr>
              <w:t xml:space="preserve">。</w:t>
            </w:r>
            <w:r/>
          </w:p>
        </w:tc>
      </w:tr>
      <w:tr>
        <w:trPr>
          <w:cantSplit/>
          <w:trHeight w:val="976"/>
        </w:trPr>
        <w:tc>
          <w:tcPr>
            <w:tcW w:w="334"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4</w:t>
            </w:r>
            <w:r/>
          </w:p>
        </w:tc>
        <w:tc>
          <w:tcPr>
            <w:tcW w:w="690" w:type="pct"/>
            <w:vAlign w:val="center"/>
            <w:textDirection w:val="lrTb"/>
            <w:noWrap w:val="false"/>
          </w:tcPr>
          <w:p>
            <w:pPr>
              <w:jc w:val="center"/>
              <w:spacing w:line="264" w:lineRule="auto"/>
              <w:rPr>
                <w:rFonts w:asciiTheme="minorEastAsia" w:hAnsiTheme="minorEastAsia" w:cstheme="minorEastAsia"/>
                <w:bCs/>
                <w:szCs w:val="21"/>
              </w:rPr>
            </w:pPr>
            <w:r>
              <w:rPr>
                <w:rFonts w:hint="eastAsia" w:asciiTheme="minorEastAsia" w:hAnsiTheme="minorEastAsia" w:cstheme="minorEastAsia"/>
                <w:bCs/>
                <w:szCs w:val="21"/>
              </w:rPr>
              <w:t xml:space="preserve">后端融合算力处理单元</w:t>
            </w:r>
            <w:r/>
          </w:p>
        </w:tc>
        <w:tc>
          <w:tcPr>
            <w:tcW w:w="3975" w:type="pct"/>
            <w:vAlign w:val="center"/>
            <w:textDirection w:val="lrTb"/>
            <w:noWrap w:val="false"/>
          </w:tcPr>
          <w:p>
            <w:pPr>
              <w:spacing w:line="360" w:lineRule="exact"/>
              <w:rPr>
                <w:rFonts w:asciiTheme="minorEastAsia" w:hAnsiTheme="minorEastAsia" w:cstheme="minorEastAsia"/>
                <w:bCs/>
                <w:szCs w:val="21"/>
              </w:rPr>
            </w:pPr>
            <w:r>
              <w:rPr>
                <w:rFonts w:hint="eastAsia" w:asciiTheme="minorEastAsia" w:hAnsiTheme="minorEastAsia" w:cstheme="minorEastAsia"/>
                <w:szCs w:val="21"/>
              </w:rPr>
              <w:t xml:space="preserve">★1、核心处理</w:t>
            </w:r>
            <w:r>
              <w:rPr>
                <w:rFonts w:hint="eastAsia" w:asciiTheme="minorEastAsia" w:hAnsiTheme="minorEastAsia" w:cstheme="minorEastAsia"/>
                <w:bCs/>
                <w:szCs w:val="21"/>
              </w:rPr>
              <w:t xml:space="preserve">器：x86-64架构高性能处理器，物理核心数≥8、线程数≥16，最高加速频率≥5.6GHz；</w:t>
            </w:r>
            <w:r/>
          </w:p>
          <w:p>
            <w:pPr>
              <w:spacing w:line="360" w:lineRule="exact"/>
              <w:rPr>
                <w:rFonts w:asciiTheme="minorEastAsia" w:hAnsiTheme="minorEastAsia" w:cstheme="minorEastAsia"/>
                <w:bCs/>
                <w:szCs w:val="21"/>
              </w:rPr>
            </w:pPr>
            <w:r>
              <w:rPr>
                <w:rFonts w:hint="eastAsia" w:asciiTheme="minorEastAsia" w:hAnsiTheme="minorEastAsia" w:cstheme="minorEastAsia"/>
                <w:szCs w:val="21"/>
              </w:rPr>
              <w:t xml:space="preserve">▲2、内存：≥16GB DDR5 6000MHz；</w:t>
            </w:r>
            <w:r/>
          </w:p>
          <w:p>
            <w:pPr>
              <w:spacing w:line="360" w:lineRule="exact"/>
              <w:rPr>
                <w:rFonts w:asciiTheme="minorEastAsia" w:hAnsiTheme="minorEastAsia" w:cstheme="minorEastAsia"/>
                <w:bCs/>
                <w:szCs w:val="21"/>
              </w:rPr>
            </w:pPr>
            <w:r>
              <w:rPr>
                <w:rFonts w:hint="eastAsia" w:asciiTheme="minorEastAsia" w:hAnsiTheme="minorEastAsia" w:cstheme="minorEastAsia"/>
                <w:szCs w:val="21"/>
              </w:rPr>
              <w:t xml:space="preserve">3、存储：≥1TB PCIe 4.0 NVMe固态硬盘，连续读取速度≥6500MB/s；</w:t>
            </w:r>
            <w:r/>
          </w:p>
          <w:p>
            <w:pPr>
              <w:spacing w:line="360" w:lineRule="exact"/>
              <w:rPr>
                <w:rFonts w:asciiTheme="minorEastAsia" w:hAnsiTheme="minorEastAsia" w:cstheme="minorEastAsia"/>
                <w:bCs/>
                <w:szCs w:val="21"/>
              </w:rPr>
            </w:pPr>
            <w:r>
              <w:rPr>
                <w:rFonts w:hint="eastAsia" w:asciiTheme="minorEastAsia" w:hAnsiTheme="minorEastAsia" w:cstheme="minorEastAsia"/>
                <w:szCs w:val="21"/>
              </w:rPr>
              <w:t xml:space="preserve">4、散热：一体式水冷散热器，360mm冷排及以上；</w:t>
            </w:r>
            <w:r/>
          </w:p>
          <w:p>
            <w:pPr>
              <w:spacing w:line="360" w:lineRule="exact"/>
              <w:rPr>
                <w:rFonts w:asciiTheme="minorEastAsia" w:hAnsiTheme="minorEastAsia" w:cstheme="minorEastAsia"/>
                <w:bCs/>
                <w:szCs w:val="21"/>
              </w:rPr>
            </w:pPr>
            <w:r>
              <w:rPr>
                <w:rFonts w:hint="eastAsia" w:asciiTheme="minorEastAsia" w:hAnsiTheme="minorEastAsia" w:cstheme="minorEastAsia"/>
                <w:szCs w:val="21"/>
              </w:rPr>
              <w:t xml:space="preserve">5、网络：5G有线网卡、WiFi7无线网卡及蓝牙5.4；</w:t>
            </w:r>
            <w:r/>
          </w:p>
          <w:p>
            <w:pPr>
              <w:spacing w:line="360" w:lineRule="exact"/>
              <w:rPr>
                <w:rFonts w:asciiTheme="minorEastAsia" w:hAnsiTheme="minorEastAsia" w:cstheme="minorEastAsia"/>
                <w:bCs/>
                <w:szCs w:val="21"/>
              </w:rPr>
            </w:pPr>
            <w:r>
              <w:rPr>
                <w:rFonts w:hint="eastAsia" w:asciiTheme="minorEastAsia" w:hAnsiTheme="minorEastAsia" w:cstheme="minorEastAsia"/>
                <w:bCs/>
                <w:szCs w:val="21"/>
              </w:rPr>
              <w:t xml:space="preserve">▲</w:t>
            </w:r>
            <w:r>
              <w:rPr>
                <w:rFonts w:hint="eastAsia" w:asciiTheme="minorEastAsia" w:hAnsiTheme="minorEastAsia" w:cstheme="minorEastAsia"/>
                <w:szCs w:val="21"/>
              </w:rPr>
              <w:t xml:space="preserve">6、支持多路感知数据在后端完成融合处理，具备感知轨迹融合数据的交互能力，通信方式遵循MQTT协议。</w:t>
            </w:r>
            <w:r/>
          </w:p>
        </w:tc>
      </w:tr>
    </w:tbl>
    <w:p>
      <w:pPr>
        <w:numPr>
          <w:ilvl w:val="255"/>
          <w:numId w:val="0"/>
        </w:numPr>
        <w:ind w:firstLine="420"/>
        <w:spacing w:line="360" w:lineRule="exact"/>
        <w:rPr>
          <w:rFonts w:asciiTheme="minorEastAsia" w:hAnsiTheme="minorEastAsia" w:cstheme="minorEastAsia"/>
          <w:sz w:val="24"/>
          <w:szCs w:val="24"/>
        </w:rPr>
      </w:pPr>
      <w:r>
        <w:rPr>
          <w:rFonts w:hint="eastAsia" w:asciiTheme="minorEastAsia" w:hAnsiTheme="minorEastAsia" w:cstheme="minorEastAsia"/>
          <w:szCs w:val="21"/>
        </w:rPr>
        <w:t xml:space="preserve">★</w:t>
      </w:r>
      <w:r>
        <w:rPr>
          <w:rFonts w:hint="eastAsia" w:asciiTheme="minorEastAsia" w:hAnsiTheme="minorEastAsia" w:cstheme="minorEastAsia"/>
          <w:sz w:val="24"/>
          <w:szCs w:val="24"/>
        </w:rPr>
        <w:t xml:space="preserve">2.其他技术要求 </w:t>
      </w:r>
      <w:r/>
    </w:p>
    <w:p>
      <w:pPr>
        <w:numPr>
          <w:ilvl w:val="255"/>
          <w:numId w:val="0"/>
        </w:numPr>
        <w:ind w:firstLine="240"/>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供应商须开放所投产品对外接口及相关协议，配合采购人开展通感一体化算法验证、无人机感知算法研究等科研工作，并提供必要的二次开发支持。</w:t>
      </w:r>
      <w:r/>
    </w:p>
    <w:p>
      <w:pPr>
        <w:numPr>
          <w:ilvl w:val="255"/>
          <w:numId w:val="0"/>
        </w:numPr>
        <w:ind w:firstLine="210"/>
        <w:spacing w:line="360" w:lineRule="exact"/>
        <w:rPr>
          <w:rFonts w:asciiTheme="minorEastAsia" w:hAnsiTheme="minorEastAsia" w:cstheme="minorEastAsia"/>
          <w:b/>
          <w:bCs/>
          <w:sz w:val="24"/>
          <w:szCs w:val="24"/>
        </w:rPr>
      </w:pPr>
      <w:r>
        <w:rPr>
          <w:rFonts w:hint="eastAsia" w:asciiTheme="minorEastAsia" w:hAnsiTheme="minorEastAsia" w:cstheme="minorEastAsia"/>
          <w:szCs w:val="21"/>
        </w:rPr>
        <w:t xml:space="preserve">★</w:t>
      </w:r>
      <w:r>
        <w:rPr>
          <w:rFonts w:hint="eastAsia" w:asciiTheme="minorEastAsia" w:hAnsiTheme="minorEastAsia" w:cstheme="minorEastAsia"/>
          <w:b/>
          <w:bCs/>
          <w:sz w:val="24"/>
          <w:szCs w:val="24"/>
        </w:rPr>
        <w:t xml:space="preserve">（二）商务要求：</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报价要求</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2.实施要求</w:t>
      </w:r>
      <w:r/>
    </w:p>
    <w:p>
      <w:pPr>
        <w:ind w:firstLine="480"/>
        <w:spacing w:line="264" w:lineRule="auto"/>
        <w:rPr>
          <w:rFonts w:ascii="宋体" w:hAnsi="宋体" w:eastAsia="宋体" w:cs="宋体"/>
          <w:sz w:val="24"/>
          <w:szCs w:val="24"/>
        </w:rPr>
      </w:pPr>
      <w:r>
        <w:rPr>
          <w:rFonts w:ascii="宋体" w:hAnsi="宋体" w:eastAsia="宋体" w:cs="宋体"/>
          <w:sz w:val="24"/>
          <w:szCs w:val="24"/>
        </w:rPr>
        <w:t xml:space="preserve">（1）总体要求</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供应商负责所投产品的供货、运输、安装督导、调试、联调及验收配合，并完成与采购人现有外场毫米波通信感知一体化系统的集成联调，确保系统整体功能性能达到招标文件要求；项目实施过程中应服从采购人外场场地及安全管理规定。</w:t>
      </w:r>
      <w:r/>
    </w:p>
    <w:p>
      <w:pPr>
        <w:ind w:firstLine="480"/>
        <w:spacing w:line="264"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质量要求</w:t>
      </w:r>
      <w:r/>
    </w:p>
    <w:p>
      <w:pPr>
        <w:ind w:firstLine="480"/>
        <w:spacing w:line="264" w:lineRule="auto"/>
        <w:rPr>
          <w:rFonts w:ascii="宋体" w:hAnsi="宋体" w:eastAsia="宋体" w:cs="宋体"/>
          <w:sz w:val="24"/>
          <w:szCs w:val="24"/>
        </w:rPr>
      </w:pPr>
      <w:r>
        <w:rPr>
          <w:rFonts w:ascii="Segoe UI" w:hAnsi="Segoe UI" w:eastAsia="Segoe UI" w:cs="Segoe UI"/>
          <w:color w:val="0f1115"/>
          <w:sz w:val="24"/>
          <w:szCs w:val="24"/>
          <w:shd w:val="clear" w:color="auto" w:fill="ffffff"/>
        </w:rPr>
        <w:t xml:space="preserve">所投产品须为全新、未使用过的合格产品，质量符合国家及行业相关标准，并通过正规渠道供货。外场安装工艺规范、可靠，设备防护等级不低于IP66，具备防雷、防浪涌保护功能，电磁兼容性能符合国家相关标准，满足室外长期运行条件。供货时提供出厂合格证或质量保证文件，安装完成后提供安装工艺记录及调试报告。</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（3）验收要求</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供应商所提供的物资设备安装调试完成后，采购人按本招标文件所约定的货物清单及要求对货物的品牌、外观、规格、数量、配件及安装调试后的使用性能、运行状况及其他情况进行验收，供应商必须在验收现场提供必要的技术支持。</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（4）质保（维保）及售后要求</w:t>
      </w:r>
      <w:r/>
    </w:p>
    <w:p>
      <w:pPr>
        <w:ind w:firstLine="480"/>
        <w:spacing w:line="264" w:lineRule="auto"/>
        <w:rPr>
          <w:rFonts w:ascii="宋体" w:hAnsi="宋体" w:eastAsia="宋体" w:cs="宋体"/>
          <w:sz w:val="24"/>
          <w:szCs w:val="24"/>
        </w:rPr>
      </w:pPr>
      <w:r>
        <w:rPr>
          <w:rFonts w:ascii="宋体" w:hAnsi="宋体" w:eastAsia="宋体" w:cs="宋体"/>
          <w:sz w:val="24"/>
          <w:szCs w:val="24"/>
        </w:rPr>
        <w:t xml:space="preserve">质保期自产品验收合格之日起不少于 1 年，质保期内产品发生质量问题，供应商接到报修请求后 2 小时内响应、12 小时内维修人员到达现场进行修理、更换或退货，费用由供应商负责，无法在短时间内完成维修的，应向采购人提供应急备用产品；质保期内产品的一切质量问题，因更换部件及产品本身质量原因造成的直接经济损失全部由供应商负责（人为因素除外）；质保期外供应商提供不高于市场价格的终身维护。</w:t>
      </w:r>
      <w:r/>
    </w:p>
    <w:p>
      <w:pPr>
        <w:numPr>
          <w:ilvl w:val="-1"/>
          <w:numId w:val="0"/>
        </w:num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（5）知识产权要求</w:t>
      </w:r>
      <w:r/>
    </w:p>
    <w:p>
      <w:pPr>
        <w:numPr>
          <w:ilvl w:val="255"/>
          <w:numId w:val="0"/>
        </w:num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供应商保证所提供的产品及许可不侵犯任何第三方的专利权、著作权、商标专用权、商业秘密及其他权属权利，并可根据采购人需求提供相关的知识产权官方文件。因本合同下的产品及文档而产生的知识产权法律纠纷由供应商负责承担全部责任，且采购人有权解除合同，供应商应向采购人支付合同总价款的20%作为违约金并承担造成采购人的一切损失（包括但不限于对第三方权利人的赔偿、对采购人客户的赔偿、继续使用的费用、采购人因此产生的律师费、诉讼费用等）。</w:t>
      </w:r>
      <w:r/>
    </w:p>
    <w:p>
      <w:pPr>
        <w:numPr>
          <w:ilvl w:val="255"/>
          <w:numId w:val="0"/>
        </w:num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（6）保密要求</w:t>
      </w:r>
      <w:r/>
    </w:p>
    <w:p>
      <w:pPr>
        <w:numPr>
          <w:ilvl w:val="255"/>
          <w:numId w:val="0"/>
        </w:num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采购人对其向供应商提供/披露的各类技术和商业资料、规格说明、图纸、文件及专有技术享有合法所有权及/或其他权利。除本合同授权实施的行为外，供应商不得部分或全部地对外披露。供应商仅可为本合同目的向其确有知悉必要的雇员披露采购人提供的资料，但同时须指示其雇员遵守本条规定的保密及不披露义务。供应商仅得为履行本合同之目的对采购人提供的资料进行复制，供应商应当妥善保管，并对在供应商期间发生的被盗、泄露或其他有损保密资料保密性的事件承担全部责任，因此造成采购人损失的，供应商应赔偿一切损失。</w:t>
      </w:r>
      <w:r/>
    </w:p>
    <w:p>
      <w:pPr>
        <w:ind w:firstLine="480"/>
        <w:spacing w:line="264" w:lineRule="auto"/>
        <w:rPr>
          <w:rFonts w:ascii="宋体" w:hAnsi="宋体" w:eastAsia="宋体" w:cs="宋体"/>
          <w:bCs/>
          <w:sz w:val="24"/>
          <w:szCs w:val="24"/>
        </w:rPr>
      </w:pPr>
      <w:r>
        <w:rPr>
          <w:rFonts w:hint="eastAsia" w:ascii="宋体" w:hAnsi="宋体" w:eastAsia="宋体" w:cs="宋体"/>
          <w:bCs/>
          <w:sz w:val="24"/>
          <w:szCs w:val="24"/>
        </w:rPr>
        <w:t xml:space="preserve">3.</w:t>
      </w:r>
      <w:r>
        <w:rPr>
          <w:rFonts w:ascii="宋体" w:hAnsi="宋体" w:eastAsia="宋体" w:cs="宋体"/>
          <w:bCs/>
          <w:sz w:val="24"/>
          <w:szCs w:val="24"/>
        </w:rPr>
        <w:t xml:space="preserve">付款条件</w:t>
      </w:r>
      <w:r/>
    </w:p>
    <w:p>
      <w:pPr>
        <w:ind w:firstLine="480"/>
        <w:spacing w:line="264" w:lineRule="auto"/>
        <w:rPr>
          <w:rFonts w:ascii="宋体" w:hAnsi="宋体" w:eastAsia="宋体" w:cs="宋体"/>
          <w:sz w:val="24"/>
          <w:szCs w:val="24"/>
        </w:rPr>
      </w:pPr>
      <w:r>
        <w:rPr>
          <w:rFonts w:ascii="宋体" w:hAnsi="宋体" w:eastAsia="宋体" w:cs="宋体"/>
          <w:sz w:val="24"/>
          <w:szCs w:val="24"/>
        </w:rPr>
        <w:t xml:space="preserve">以第三章合同文本</w:t>
      </w:r>
      <w:r>
        <w:rPr>
          <w:rFonts w:hint="eastAsia" w:ascii="宋体" w:hAnsi="宋体" w:eastAsia="宋体" w:cs="宋体"/>
          <w:sz w:val="24"/>
          <w:szCs w:val="24"/>
        </w:rPr>
        <w:t xml:space="preserve">内容</w:t>
      </w:r>
      <w:r>
        <w:rPr>
          <w:rFonts w:ascii="宋体" w:hAnsi="宋体" w:eastAsia="宋体" w:cs="宋体"/>
          <w:sz w:val="24"/>
          <w:szCs w:val="24"/>
        </w:rPr>
        <w:t xml:space="preserve">为准。</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交付时间及地点</w:t>
      </w:r>
      <w:r/>
    </w:p>
    <w:p>
      <w:pPr>
        <w:ind w:firstLine="480"/>
        <w:spacing w:line="264" w:lineRule="auto"/>
        <w:rPr>
          <w:rFonts w:ascii="宋体" w:hAnsi="宋体" w:eastAsia="宋体" w:cs="宋体"/>
          <w:sz w:val="24"/>
          <w:szCs w:val="24"/>
        </w:rPr>
      </w:pPr>
      <w:r>
        <w:rPr>
          <w:rFonts w:ascii="宋体" w:hAnsi="宋体" w:eastAsia="宋体" w:cs="宋体"/>
          <w:sz w:val="24"/>
          <w:szCs w:val="24"/>
        </w:rPr>
        <w:t xml:space="preserve">（1）交付时间：合同签订后</w:t>
      </w:r>
      <w:r>
        <w:rPr>
          <w:rFonts w:hint="eastAsia" w:ascii="宋体" w:hAnsi="宋体" w:eastAsia="宋体" w:cs="宋体"/>
          <w:bCs/>
          <w:sz w:val="24"/>
          <w:szCs w:val="24"/>
        </w:rPr>
        <w:t xml:space="preserve">40</w:t>
      </w:r>
      <w:r>
        <w:rPr>
          <w:rFonts w:ascii="宋体" w:hAnsi="宋体" w:eastAsia="宋体" w:cs="宋体"/>
          <w:sz w:val="24"/>
          <w:szCs w:val="24"/>
        </w:rPr>
        <w:t xml:space="preserve">天内交付并完成安装调试等相关工作</w:t>
      </w:r>
      <w:r>
        <w:rPr>
          <w:rFonts w:hint="eastAsia" w:ascii="宋体" w:hAnsi="宋体" w:eastAsia="宋体" w:cs="宋体"/>
          <w:sz w:val="24"/>
          <w:szCs w:val="24"/>
        </w:rPr>
        <w:t xml:space="preserve">。</w:t>
      </w:r>
      <w:r/>
    </w:p>
    <w:p>
      <w:pPr>
        <w:ind w:firstLine="480"/>
        <w:spacing w:line="264" w:lineRule="auto"/>
        <w:rPr>
          <w:rFonts w:ascii="宋体" w:hAnsi="宋体" w:eastAsia="宋体" w:cs="宋体"/>
          <w:sz w:val="24"/>
          <w:szCs w:val="24"/>
        </w:rPr>
      </w:pPr>
      <w:r>
        <w:rPr>
          <w:rFonts w:ascii="宋体" w:hAnsi="宋体" w:eastAsia="宋体" w:cs="宋体"/>
          <w:sz w:val="24"/>
          <w:szCs w:val="24"/>
        </w:rPr>
        <w:t xml:space="preserve">（2）交付地点：采购人指定地点</w:t>
      </w:r>
      <w:r>
        <w:rPr>
          <w:rFonts w:hint="eastAsia" w:ascii="宋体" w:hAnsi="宋体" w:eastAsia="宋体" w:cs="宋体"/>
          <w:sz w:val="24"/>
          <w:szCs w:val="24"/>
        </w:rPr>
        <w:t xml:space="preserve">。</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5.履约保证金</w:t>
      </w:r>
      <w:r/>
    </w:p>
    <w:p>
      <w:pPr>
        <w:ind w:firstLine="480"/>
        <w:spacing w:line="264" w:lineRule="auto"/>
      </w:pPr>
      <w:r>
        <w:rPr>
          <w:rFonts w:ascii="宋体" w:hAnsi="宋体" w:eastAsia="宋体" w:cs="宋体"/>
          <w:sz w:val="24"/>
          <w:szCs w:val="24"/>
        </w:rPr>
        <w:t xml:space="preserve">以第三章合同文本</w:t>
      </w:r>
      <w:r>
        <w:rPr>
          <w:rFonts w:hint="eastAsia" w:ascii="宋体" w:hAnsi="宋体" w:eastAsia="宋体" w:cs="宋体"/>
          <w:sz w:val="24"/>
          <w:szCs w:val="24"/>
        </w:rPr>
        <w:t xml:space="preserve">内容</w:t>
      </w:r>
      <w:r>
        <w:rPr>
          <w:rFonts w:ascii="宋体" w:hAnsi="宋体" w:eastAsia="宋体" w:cs="宋体"/>
          <w:sz w:val="24"/>
          <w:szCs w:val="24"/>
        </w:rPr>
        <w:t xml:space="preserve">为准。</w:t>
      </w:r>
      <w:r/>
    </w:p>
    <w:p>
      <w:pPr>
        <w:ind w:firstLine="480"/>
        <w:spacing w:line="264" w:lineRule="auto"/>
        <w:rPr>
          <w:rFonts w:ascii="宋体" w:hAnsi="宋体" w:eastAsia="宋体" w:cs="宋体"/>
          <w:bCs/>
          <w:sz w:val="24"/>
          <w:szCs w:val="24"/>
        </w:rPr>
      </w:pPr>
      <w:r/>
      <w:bookmarkStart w:id="51" w:name="OLE_LINK1"/>
      <w:r>
        <w:rPr>
          <w:rFonts w:hint="eastAsia" w:ascii="宋体" w:hAnsi="宋体" w:eastAsia="宋体" w:cs="宋体"/>
          <w:bCs/>
          <w:sz w:val="24"/>
          <w:szCs w:val="24"/>
        </w:rPr>
        <w:t xml:space="preserve">6.其他要求</w:t>
      </w:r>
      <w:bookmarkEnd w:id="51"/>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699"/>
        <w:jc w:val="both"/>
        <w:spacing w:line="360" w:lineRule="exact"/>
        <w:rPr>
          <w:rFonts w:asciiTheme="minorEastAsia" w:hAnsiTheme="minorEastAsia" w:cstheme="minorEastAsia"/>
          <w:sz w:val="24"/>
          <w:szCs w:val="24"/>
        </w:rPr>
      </w:pPr>
      <w:r>
        <w:rPr>
          <w:rFonts w:asciiTheme="minorEastAsia" w:hAnsiTheme="minorEastAsia" w:cstheme="minorEastAsia"/>
          <w:sz w:val="24"/>
          <w:szCs w:val="24"/>
        </w:rPr>
      </w:r>
      <w:r/>
    </w:p>
    <w:p>
      <w:pPr>
        <w:pStyle w:val="735"/>
        <w:ind w:firstLine="400"/>
        <w:jc w:val="both"/>
        <w:spacing w:before="0" w:after="0" w:line="360" w:lineRule="exact"/>
        <w:rPr>
          <w:rFonts w:hint="default" w:eastAsia="宋体"/>
          <w:lang w:eastAsia="zh-CN"/>
        </w:rPr>
      </w:pPr>
      <w:r>
        <w:rPr>
          <w:rFonts w:hint="default" w:eastAsia="宋体"/>
          <w:lang w:eastAsia="zh-CN"/>
        </w:rPr>
      </w:r>
      <w:bookmarkEnd w:id="50"/>
      <w:r/>
    </w:p>
    <w:p>
      <w:pPr>
        <w:rPr>
          <w:rFonts w:ascii="宋体" w:hAnsi="宋体" w:eastAsia="宋体" w:cs="宋体"/>
          <w:sz w:val="24"/>
          <w:szCs w:val="24"/>
        </w:rPr>
      </w:pPr>
      <w:r>
        <w:rPr>
          <w:rFonts w:hint="eastAsia" w:ascii="宋体" w:hAnsi="宋体" w:eastAsia="宋体" w:cs="宋体"/>
          <w:sz w:val="24"/>
          <w:szCs w:val="24"/>
        </w:rPr>
        <w:br w:type="page" w:clear="all"/>
      </w:r>
      <w:r/>
    </w:p>
    <w:p>
      <w:pPr>
        <w:pStyle w:val="701"/>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22"/>
        <w:spacing w:line="360" w:lineRule="auto"/>
        <w:rPr>
          <w:rFonts w:asciiTheme="minorEastAsia" w:hAnsiTheme="minorEastAsia" w:cstheme="minorEastAsia"/>
          <w:b/>
          <w:color w:val="000000" w:themeColor="text1"/>
          <w:szCs w:val="21"/>
          <w14:textFill>
            <w14:solidFill>
              <w14:schemeClr w14:val="tx1"/>
            </w14:solidFill>
          </w14:textFill>
        </w:rPr>
      </w:pPr>
      <w:r/>
      <w:bookmarkStart w:id="52" w:name="_Toc120614281"/>
      <w:r/>
      <w:bookmarkStart w:id="53" w:name="_Toc26554093"/>
      <w:r/>
      <w:bookmarkStart w:id="54" w:name="_Toc49090575"/>
      <w:r>
        <w:rPr>
          <w:rFonts w:hint="eastAsia" w:asciiTheme="minorEastAsia" w:hAnsiTheme="minorEastAsia" w:cstheme="minorEastAsia"/>
          <w:b/>
          <w:color w:val="000000" w:themeColor="text1"/>
          <w:szCs w:val="21"/>
          <w14:textFill>
            <w14:solidFill>
              <w14:schemeClr w14:val="tx1"/>
            </w14:solidFill>
          </w14:textFill>
        </w:rPr>
        <w:t xml:space="preserve">一、评标方法与定标原则</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1.采用综合评分法，评标结果按评审后得分由高到低顺序排列。得分相同的，按评审价格由低到高顺序排列。得分且投标报价相同的，按“评标标准-2.技术项”得分由高到低顺序排列。在投标文件满足招标文件全部实质性要求的供应商中，按照评审得分由高到低推荐1名中标候选人。</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22"/>
        <w:spacing w:line="360" w:lineRule="auto"/>
        <w:widowControl/>
        <w:rPr>
          <w:rFonts w:asciiTheme="minorEastAsia" w:hAnsiTheme="minorEastAsia" w:cstheme="minorEastAsia"/>
          <w:b/>
          <w:color w:val="000000" w:themeColor="text1"/>
          <w:szCs w:val="21"/>
          <w14:textFill>
            <w14:solidFill>
              <w14:schemeClr w14:val="tx1"/>
            </w14:solidFill>
          </w14:textFill>
        </w:rPr>
      </w:pPr>
      <w:r/>
      <w:bookmarkStart w:id="55" w:name="_Hlk232175790"/>
      <w:r>
        <w:rPr>
          <w:rFonts w:hint="eastAsia" w:asciiTheme="minorEastAsia" w:hAnsiTheme="minorEastAsia" w:cstheme="minorEastAsia"/>
          <w:b/>
          <w:color w:val="000000" w:themeColor="text1"/>
          <w:szCs w:val="21"/>
          <w14:textFill>
            <w14:solidFill>
              <w14:schemeClr w14:val="tx1"/>
            </w14:solidFill>
          </w14:textFill>
        </w:rPr>
        <w:t xml:space="preserve">二、本国产品价格扣除</w:t>
      </w:r>
      <w:r/>
    </w:p>
    <w:p>
      <w:pPr>
        <w:ind w:firstLine="420"/>
        <w:spacing w:line="360" w:lineRule="auto"/>
        <w:rPr>
          <w:rFonts w:asciiTheme="minorEastAsia" w:hAnsiTheme="minorEastAsia" w:cstheme="minorEastAsia"/>
          <w:bCs/>
          <w:color w:val="000000" w:themeColor="text1"/>
          <w:szCs w:val="21"/>
          <w:lang w:val="zh-CN"/>
          <w14:textFill>
            <w14:solidFill>
              <w14:schemeClr w14:val="tx1"/>
            </w14:solidFill>
          </w14:textFill>
        </w:rPr>
      </w:pPr>
      <w:r>
        <w:rPr>
          <w:rFonts w:hint="eastAsia" w:asciiTheme="minorEastAsia" w:hAnsiTheme="minorEastAsia" w:cstheme="minorEastAsia"/>
          <w:bCs/>
          <w:color w:val="000000" w:themeColor="text1"/>
          <w:szCs w:val="21"/>
          <w:lang w:val="zh-CN"/>
          <w14:textFill>
            <w14:solidFill>
              <w14:schemeClr w14:val="tx1"/>
            </w14:solidFill>
          </w14:textFill>
        </w:rPr>
        <w:t xml:space="preserve">1.本</w:t>
      </w:r>
      <w:r>
        <w:rPr>
          <w:rFonts w:hint="eastAsia" w:asciiTheme="minorEastAsia" w:hAnsiTheme="minorEastAsia" w:cstheme="minorEastAsia"/>
          <w:bCs/>
          <w:color w:val="000000" w:themeColor="text1"/>
          <w:szCs w:val="21"/>
          <w14:textFill>
            <w14:solidFill>
              <w14:schemeClr w14:val="tx1"/>
            </w14:solidFill>
          </w14:textFill>
        </w:rPr>
        <w:t xml:space="preserve">项目如</w:t>
      </w:r>
      <w:r>
        <w:rPr>
          <w:rFonts w:hint="eastAsia" w:asciiTheme="minorEastAsia" w:hAnsiTheme="minorEastAsia" w:cstheme="minorEastAsia"/>
          <w:bCs/>
          <w:color w:val="000000" w:themeColor="text1"/>
          <w:szCs w:val="21"/>
          <w:lang w:val="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2.如本</w:t>
      </w:r>
      <w:r>
        <w:rPr>
          <w:rFonts w:hint="eastAsia" w:asciiTheme="minorEastAsia" w:hAnsiTheme="minorEastAsia" w:cstheme="minorEastAsia"/>
          <w:bCs/>
          <w:color w:val="000000" w:themeColor="text1"/>
          <w:szCs w:val="21"/>
          <w:lang w:val="zh-CN"/>
          <w14:textFill>
            <w14:solidFill>
              <w14:schemeClr w14:val="tx1"/>
            </w14:solidFill>
          </w14:textFill>
        </w:rPr>
        <w:t xml:space="preserve">项目或者</w:t>
      </w:r>
      <w:r>
        <w:rPr>
          <w:rFonts w:hint="eastAsia" w:asciiTheme="minorEastAsia" w:hAnsiTheme="minorEastAsia" w:cstheme="minorEastAsia"/>
          <w:bCs/>
          <w:color w:val="000000" w:themeColor="text1"/>
          <w:szCs w:val="21"/>
          <w14:textFill>
            <w14:solidFill>
              <w14:schemeClr w14:val="tx1"/>
            </w14:solidFill>
          </w14:textFill>
        </w:rPr>
        <w:t xml:space="preserve">其中</w:t>
      </w:r>
      <w:r>
        <w:rPr>
          <w:rFonts w:hint="eastAsia" w:asciiTheme="minorEastAsia" w:hAnsiTheme="minorEastAsia" w:cstheme="minorEastAsia"/>
          <w:bCs/>
          <w:color w:val="000000" w:themeColor="text1"/>
          <w:szCs w:val="21"/>
          <w:lang w:val="zh-CN"/>
          <w14:textFill>
            <w14:solidFill>
              <w14:schemeClr w14:val="tx1"/>
            </w14:solidFill>
          </w14:textFill>
        </w:rPr>
        <w:t xml:space="preserve">采购包中含有多种产品，供应商为</w:t>
      </w:r>
      <w:r>
        <w:rPr>
          <w:rFonts w:hint="eastAsia" w:asciiTheme="minorEastAsia" w:hAnsiTheme="minorEastAsia" w:cstheme="minorEastAsia"/>
          <w:bCs/>
          <w:color w:val="000000" w:themeColor="text1"/>
          <w:szCs w:val="21"/>
          <w14:textFill>
            <w14:solidFill>
              <w14:schemeClr w14:val="tx1"/>
            </w14:solidFill>
          </w14:textFill>
        </w:rPr>
        <w:t xml:space="preserve">本</w:t>
      </w:r>
      <w:r>
        <w:rPr>
          <w:rFonts w:hint="eastAsia" w:asciiTheme="minorEastAsia" w:hAnsiTheme="minorEastAsia" w:cstheme="minorEastAsia"/>
          <w:bCs/>
          <w:color w:val="000000" w:themeColor="text1"/>
          <w:szCs w:val="21"/>
          <w:lang w:val="zh-CN"/>
          <w14:textFill>
            <w14:solidFill>
              <w14:schemeClr w14:val="tx1"/>
            </w14:solidFill>
          </w14:textFill>
        </w:rPr>
        <w:t xml:space="preserve">项目或者</w:t>
      </w:r>
      <w:r>
        <w:rPr>
          <w:rFonts w:hint="eastAsia" w:asciiTheme="minorEastAsia" w:hAnsiTheme="minorEastAsia" w:cstheme="minorEastAsia"/>
          <w:bCs/>
          <w:color w:val="000000" w:themeColor="text1"/>
          <w:szCs w:val="21"/>
          <w14:textFill>
            <w14:solidFill>
              <w14:schemeClr w14:val="tx1"/>
            </w14:solidFill>
          </w14:textFill>
        </w:rPr>
        <w:t xml:space="preserve">其中</w:t>
      </w:r>
      <w:r>
        <w:rPr>
          <w:rFonts w:hint="eastAsia" w:asciiTheme="minorEastAsia" w:hAnsiTheme="minorEastAsia" w:cstheme="minorEastAsia"/>
          <w:bCs/>
          <w:color w:val="000000" w:themeColor="text1"/>
          <w:szCs w:val="21"/>
          <w:lang w:val="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Theme="minorEastAsia" w:hAnsiTheme="minorEastAsia" w:cstheme="minorEastAsia"/>
          <w:bCs/>
          <w:color w:val="000000" w:themeColor="text1"/>
          <w:szCs w:val="21"/>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spacing w:line="360" w:lineRule="auto"/>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widowControl/>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5.</w:t>
      </w:r>
      <w:r>
        <w:rPr>
          <w:rFonts w:hint="eastAsia" w:asciiTheme="minorEastAsia" w:hAnsiTheme="minorEastAsia" w:cstheme="minorEastAsia"/>
          <w:bCs/>
          <w:color w:val="000000" w:themeColor="text1"/>
          <w:szCs w:val="21"/>
          <w:lang w:val="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22"/>
        <w:spacing w:line="360" w:lineRule="auto"/>
        <w:widowControl/>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三、小微企业价格扣除</w:t>
      </w:r>
      <w:r/>
    </w:p>
    <w:p>
      <w:pPr>
        <w:ind w:firstLine="420"/>
        <w:spacing w:line="360" w:lineRule="auto"/>
        <w:widowControl/>
        <w:rPr>
          <w:rFonts w:asciiTheme="minorEastAsia" w:hAnsiTheme="minorEastAsia" w:cstheme="minorEastAsia"/>
          <w:bCs/>
          <w:color w:val="000000" w:themeColor="text1"/>
          <w:szCs w:val="21"/>
          <w:lang w:val="zh-CN"/>
          <w14:textFill>
            <w14:solidFill>
              <w14:schemeClr w14:val="tx1"/>
            </w14:solidFill>
          </w14:textFill>
        </w:rPr>
      </w:pPr>
      <w:r>
        <w:rPr>
          <w:rFonts w:hint="eastAsia" w:asciiTheme="minorEastAsia" w:hAnsiTheme="minorEastAsia" w:cstheme="minorEastAsia"/>
          <w:bCs/>
          <w:color w:val="000000" w:themeColor="text1"/>
          <w:szCs w:val="21"/>
          <w:lang w:val="zh-CN"/>
          <w14:textFill>
            <w14:solidFill>
              <w14:schemeClr w14:val="tx1"/>
            </w14:solidFill>
          </w14:textFill>
        </w:rPr>
        <w:t xml:space="preserve">1.本项目全部货物制造商为小微企业的，对报价给予10%的扣除，用扣除后的价格参与评审。</w:t>
      </w:r>
      <w:r/>
    </w:p>
    <w:p>
      <w:pPr>
        <w:ind w:firstLine="420"/>
        <w:spacing w:line="360" w:lineRule="auto"/>
        <w:widowControl/>
        <w:rPr>
          <w:rFonts w:asciiTheme="minorEastAsia" w:hAnsiTheme="minorEastAsia" w:cstheme="minorEastAsia"/>
          <w:bCs/>
          <w:color w:val="000000" w:themeColor="text1"/>
          <w:szCs w:val="21"/>
          <w:lang w:val="zh-CN"/>
          <w14:textFill>
            <w14:solidFill>
              <w14:schemeClr w14:val="tx1"/>
            </w14:solidFill>
          </w14:textFill>
        </w:rPr>
      </w:pPr>
      <w:r>
        <w:rPr>
          <w:rFonts w:hint="eastAsia" w:asciiTheme="minorEastAsia" w:hAnsiTheme="minorEastAsia" w:cstheme="minorEastAsia"/>
          <w:bCs/>
          <w:color w:val="000000" w:themeColor="text1"/>
          <w:szCs w:val="21"/>
          <w:lang w:val="zh-CN"/>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numPr>
          <w:ilvl w:val="255"/>
          <w:numId w:val="0"/>
        </w:numPr>
        <w:ind w:firstLine="422"/>
        <w:spacing w:line="360" w:lineRule="auto"/>
        <w:rPr>
          <w:rFonts w:ascii="Times New Roman" w:hAnsi="Times New Roman" w:cs="Times New Roman"/>
          <w:b/>
          <w:color w:val="000000" w:themeColor="text1"/>
          <w:szCs w:val="21"/>
          <w14:textFill>
            <w14:solidFill>
              <w14:schemeClr w14:val="tx1"/>
            </w14:solidFill>
          </w14:textFill>
        </w:rPr>
      </w:pPr>
      <w:r>
        <w:rPr>
          <w:rFonts w:hint="eastAsia" w:ascii="Times New Roman" w:hAnsi="Times New Roman" w:cs="Times New Roman"/>
          <w:b/>
          <w:color w:val="000000" w:themeColor="text1"/>
          <w:szCs w:val="21"/>
          <w14:textFill>
            <w14:solidFill>
              <w14:schemeClr w14:val="tx1"/>
            </w14:solidFill>
          </w14:textFill>
        </w:rPr>
        <w:t xml:space="preserve">四、</w:t>
      </w:r>
      <w:r>
        <w:rPr>
          <w:rFonts w:ascii="Times New Roman" w:hAnsi="Times New Roman" w:cs="Times New Roman"/>
          <w:b/>
          <w:color w:val="000000" w:themeColor="text1"/>
          <w:szCs w:val="21"/>
          <w14:textFill>
            <w14:solidFill>
              <w14:schemeClr w14:val="tx1"/>
            </w14:solidFill>
          </w14:textFill>
        </w:rPr>
        <w:t xml:space="preserve">评标标准</w:t>
      </w:r>
      <w:bookmarkEnd w:id="52"/>
      <w:r/>
      <w:bookmarkEnd w:id="53"/>
      <w:r/>
      <w:bookmarkEnd w:id="54"/>
      <w:r/>
      <w:r/>
    </w:p>
    <w:tbl>
      <w:tblPr>
        <w:tblStyle w:val="679"/>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643"/>
        <w:gridCol w:w="1007"/>
        <w:gridCol w:w="1161"/>
        <w:gridCol w:w="5972"/>
      </w:tblGrid>
      <w:tr>
        <w:trPr>
          <w:trHeight w:val="22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项目</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分数（分）</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jc w:val="center"/>
              <w:spacing w:line="360" w:lineRule="exact"/>
              <w:rPr>
                <w:rFonts w:asciiTheme="minorEastAsia" w:hAnsiTheme="minorEastAsia" w:cstheme="minorEastAsia"/>
                <w:b/>
                <w:szCs w:val="21"/>
              </w:rPr>
            </w:pPr>
            <w:r>
              <w:rPr>
                <w:rFonts w:hint="eastAsia" w:asciiTheme="minorEastAsia" w:hAnsiTheme="minorEastAsia" w:cstheme="minorEastAsia"/>
                <w:b/>
                <w:szCs w:val="21"/>
              </w:rPr>
              <w:t xml:space="preserve">评审标准</w:t>
            </w:r>
            <w:r/>
          </w:p>
        </w:tc>
      </w:tr>
      <w:tr>
        <w:trPr>
          <w:trHeight w:val="1233"/>
        </w:trPr>
        <w:tc>
          <w:tcPr>
            <w:tcBorders>
              <w:top w:val="single" w:color="000000" w:sz="4" w:space="0"/>
              <w:left w:val="single" w:color="000000" w:sz="4" w:space="0"/>
              <w:bottom w:val="single" w:color="auto" w:sz="4" w:space="0"/>
              <w:right w:val="single" w:color="000000"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w:t>
            </w:r>
            <w:r/>
          </w:p>
        </w:tc>
        <w:tc>
          <w:tcPr>
            <w:tcBorders>
              <w:top w:val="single" w:color="000000" w:sz="4" w:space="0"/>
              <w:left w:val="single" w:color="000000" w:sz="4" w:space="0"/>
              <w:bottom w:val="single" w:color="auto"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价格</w:t>
            </w:r>
            <w:r/>
          </w:p>
        </w:tc>
        <w:tc>
          <w:tcPr>
            <w:tcBorders>
              <w:top w:val="single" w:color="000000" w:sz="4" w:space="0"/>
              <w:left w:val="single" w:color="000000" w:sz="4" w:space="0"/>
              <w:bottom w:val="single" w:color="auto"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highlight w:val="yellow"/>
              </w:rPr>
            </w:pPr>
            <w:r>
              <w:rPr>
                <w:rFonts w:hint="eastAsia" w:asciiTheme="minorEastAsia" w:hAnsiTheme="minorEastAsia" w:cstheme="minorEastAsia"/>
                <w:szCs w:val="21"/>
              </w:rPr>
              <w:t xml:space="preserve">30</w:t>
            </w:r>
            <w:r/>
          </w:p>
        </w:tc>
        <w:tc>
          <w:tcPr>
            <w:tcBorders>
              <w:top w:val="single" w:color="000000" w:sz="4" w:space="0"/>
              <w:left w:val="single" w:color="000000" w:sz="4" w:space="0"/>
              <w:bottom w:val="single" w:color="auto" w:sz="4" w:space="0"/>
              <w:right w:val="single" w:color="000000" w:sz="4" w:space="0"/>
            </w:tcBorders>
            <w:tcW w:w="3399" w:type="pct"/>
            <w:vAlign w:val="center"/>
            <w:textDirection w:val="lrTb"/>
            <w:noWrap w:val="false"/>
          </w:tcPr>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以进入详细评审的各供应商评审价的最低值为A值，A值为价格分的满分，即30分。其他供应商的价格分统一按照以下公式计算：供应商评审价得分=（A／该供应商评审价）×30。</w:t>
            </w:r>
            <w:r/>
          </w:p>
          <w:p>
            <w:p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（1）响应报价低于全部通过符合性审查供应商响应报价平均值50%的，即响应报价&lt;全部通过符合性审查供应商响应报价平均值×50%； </w:t>
            </w:r>
            <w:r/>
          </w:p>
          <w:p>
            <w:pPr>
              <w:numPr>
                <w:ilvl w:val="255"/>
                <w:numId w:val="0"/>
              </w:num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（2）响应报价低于通过符合性审查的次低报价供应商响应报价50%的，即响应报价&lt;通过符合性审查的次低报价供应商响应报价×50%； </w:t>
            </w:r>
            <w:r/>
          </w:p>
          <w:p>
            <w:pPr>
              <w:numPr>
                <w:ilvl w:val="255"/>
                <w:numId w:val="0"/>
              </w:numPr>
              <w:jc w:val="both"/>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（3）响应报价低于采购项目最高限价45%的，即响应报价&lt;采购项目最高限价×45%；</w:t>
            </w:r>
            <w:r/>
          </w:p>
          <w:p>
            <w:pPr>
              <w:spacing w:line="360" w:lineRule="exact"/>
              <w:rPr>
                <w:rFonts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r>
      <w:tr>
        <w:trPr>
          <w:trHeight w:val="705"/>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技术项</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30</w:t>
            </w:r>
            <w:r/>
          </w:p>
        </w:tc>
        <w:tc>
          <w:tcPr>
            <w:tcBorders>
              <w:top w:val="single" w:color="auto" w:sz="4" w:space="0"/>
              <w:left w:val="single" w:color="auto" w:sz="4" w:space="0"/>
              <w:bottom w:val="single" w:color="auto" w:sz="4" w:space="0"/>
              <w:right w:val="single" w:color="auto" w:sz="4" w:space="0"/>
            </w:tcBorders>
            <w:tcW w:w="3399" w:type="pct"/>
            <w:vAlign w:val="center"/>
            <w:textDirection w:val="lrTb"/>
            <w:noWrap w:val="false"/>
          </w:tcPr>
          <w:p>
            <w:p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产品技术参数全部满足招标要求的得满分，打★指标为必须满足项，如有负偏离将作为无效投标，打▲指标为重要指标，有1项负偏离扣2分，其余指标有1项负偏离扣1分。</w:t>
            </w:r>
            <w:r/>
          </w:p>
        </w:tc>
      </w:tr>
      <w:tr>
        <w:trPr>
          <w:trHeight w:val="90"/>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投标人业绩</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9</w:t>
            </w:r>
            <w:r/>
          </w:p>
        </w:tc>
        <w:tc>
          <w:tcPr>
            <w:tcBorders>
              <w:top w:val="single" w:color="auto" w:sz="4" w:space="0"/>
              <w:left w:val="single" w:color="auto" w:sz="4" w:space="0"/>
              <w:bottom w:val="single" w:color="auto" w:sz="4" w:space="0"/>
              <w:right w:val="single" w:color="auto" w:sz="4" w:space="0"/>
            </w:tcBorders>
            <w:tcW w:w="3399" w:type="pct"/>
            <w:vAlign w:val="center"/>
            <w:textDirection w:val="lrTb"/>
            <w:noWrap w:val="false"/>
          </w:tcPr>
          <w:p>
            <w:pPr>
              <w:spacing w:line="360" w:lineRule="exact"/>
              <w:rPr>
                <w:rFonts w:asciiTheme="minorEastAsia" w:hAnsiTheme="minorEastAsia" w:cstheme="minorEastAsia"/>
                <w:spacing w:val="1"/>
                <w:szCs w:val="21"/>
              </w:rPr>
            </w:pPr>
            <w:r>
              <w:rPr>
                <w:rFonts w:hint="eastAsia" w:asciiTheme="minorEastAsia" w:hAnsiTheme="minorEastAsia" w:cstheme="minorEastAsia"/>
                <w:spacing w:val="1"/>
                <w:szCs w:val="21"/>
              </w:rPr>
              <w:t xml:space="preserve">投标人提供2022年1月1日（含）以来类似项目业绩</w:t>
            </w:r>
            <w:r>
              <w:rPr>
                <w:rFonts w:hint="eastAsia" w:asciiTheme="minorEastAsia" w:hAnsiTheme="minorEastAsia" w:cstheme="minorEastAsia"/>
                <w:spacing w:val="1"/>
                <w:szCs w:val="21"/>
                <w:lang w:eastAsia="zh-CN"/>
              </w:rPr>
              <w:t xml:space="preserve">，</w:t>
            </w:r>
            <w:r>
              <w:rPr>
                <w:rFonts w:hint="eastAsia" w:asciiTheme="minorEastAsia" w:hAnsiTheme="minorEastAsia" w:cstheme="minorEastAsia"/>
                <w:spacing w:val="1"/>
                <w:szCs w:val="21"/>
              </w:rPr>
              <w:t xml:space="preserve">类似项目指：含5G毫米波频段（24.25GHz～27.5GHz）、5G-A基站设备或通感一体（即通信感知一体化，含通感融合、ISAC）等核心产品或主要产品相关设备的研发、供货、建设、安装调试或系统集成项目业绩，每提供1个符合要求的业绩得3分，最多得9分。（时间以合同签订时间为准，提供有效合同复印件，合同页须清晰可见相应内容）</w:t>
            </w:r>
            <w:r/>
          </w:p>
        </w:tc>
      </w:tr>
      <w:tr>
        <w:trPr>
          <w:trHeight w:val="857"/>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项目团队</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投标人提供拟投入本项目人员清单及相关证明材料。按以下标准评分：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（1）项目负责人（3分）：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①具有本科及以上学历，且所学专业为通信工程、电子信息工程、电子信息类、计算机类等相关专业（满足其中任一专业即可）得1分；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②具有通信或电子信息类中级及以上专业技术职称的得2分。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提供学历证书、职称证书及社保证明（或劳动合同）复印件，未提供或提供不全的不得分。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（2）主要技术人员</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lang w:val="en-US" w:eastAsia="zh-CN"/>
              </w:rPr>
              <w:t xml:space="preserve">项目负责人除外</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（3分）：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①配备主要技术人员不少于2名的得1分；</w:t>
            </w:r>
            <w:r/>
          </w:p>
          <w:p>
            <w:pPr>
              <w:pStyle w:val="680"/>
              <w:ind w:left="0" w:firstLine="0"/>
              <w:spacing w:after="0" w:line="36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②上述人员中至少1名的学历专业为通信工程、电子信息工程、电子信息类或计算机类相关专业的得2分。</w:t>
            </w:r>
            <w:r/>
          </w:p>
          <w:p>
            <w:pPr>
              <w:pStyle w:val="680"/>
              <w:ind w:left="0" w:firstLine="0"/>
              <w:spacing w:after="0" w:line="36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提供人员清单、学历证书</w:t>
            </w:r>
            <w:r>
              <w:rPr>
                <w:rFonts w:hint="eastAsia" w:asciiTheme="minorEastAsia" w:hAnsiTheme="minorEastAsia" w:eastAsiaTheme="minorEastAsia" w:cstheme="minorEastAsia"/>
                <w:sz w:val="21"/>
                <w:lang w:val="en-US" w:eastAsia="zh-CN"/>
              </w:rPr>
              <w:t xml:space="preserve">及</w:t>
            </w:r>
            <w:r>
              <w:rPr>
                <w:rFonts w:hint="eastAsia" w:asciiTheme="minorEastAsia" w:hAnsiTheme="minorEastAsia" w:eastAsiaTheme="minorEastAsia" w:cstheme="minorEastAsia"/>
                <w:sz w:val="21"/>
              </w:rPr>
              <w:t xml:space="preserve">社保证明（或劳动合同）复印件加盖公章，未提供或提供不全的不得分。</w:t>
            </w:r>
            <w:r/>
          </w:p>
        </w:tc>
      </w:tr>
      <w:tr>
        <w:trPr>
          <w:trHeight w:val="408"/>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5</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实施方案</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10</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根据本项目采购需求"实施要求"及外场试验环境编制供货安装与实施方案、质量保证及安全保障措施。</w:t>
            </w:r>
            <w:r/>
          </w:p>
          <w:p>
            <w:pPr>
              <w:spacing w:line="360" w:lineRule="exact"/>
              <w:rPr>
                <w:rFonts w:asciiTheme="minorEastAsia" w:hAnsiTheme="minorEastAsia" w:cstheme="minorEastAsia"/>
                <w:szCs w:val="21"/>
              </w:rPr>
            </w:pPr>
            <w:r>
              <w:rPr>
                <w:rFonts w:hint="eastAsia" w:asciiTheme="minorEastAsia" w:hAnsiTheme="minorEastAsia" w:cstheme="minorEastAsia"/>
                <w:color w:val="0f1115"/>
                <w:szCs w:val="21"/>
                <w:shd w:val="clear" w:color="auto" w:fill="ffffff"/>
              </w:rPr>
              <w:t xml:space="preserve">方案详细、可操作性强、完全满足项目需要的得 10分；方案较详细、可操作性较强、基本满足项目需要略有欠缺的得 8 分；方案不够详细、可操作性一般、不能较好满足项目需要的得 5 分；未提供不得分。</w:t>
            </w:r>
            <w:r/>
          </w:p>
        </w:tc>
      </w:tr>
      <w:tr>
        <w:trPr>
          <w:trHeight w:val="408"/>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color w:val="0f1115"/>
                <w:szCs w:val="21"/>
                <w:shd w:val="clear" w:color="auto" w:fill="ffffff"/>
              </w:rPr>
              <w:t xml:space="preserve">交货期</w:t>
            </w:r>
            <w:r>
              <w:rPr>
                <w:rFonts w:hint="eastAsia" w:asciiTheme="minorEastAsia" w:hAnsiTheme="minorEastAsia" w:cstheme="minorEastAsia"/>
                <w:szCs w:val="21"/>
              </w:rPr>
              <w:t xml:space="preserve">和质保期</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eastAsiaTheme="minorEastAsia" w:cstheme="minorEastAsia"/>
                <w:color w:val="666666"/>
                <w:sz w:val="21"/>
                <w:szCs w:val="21"/>
                <w:shd w:val="clear" w:color="auto" w:fill="f5f5f5"/>
              </w:rPr>
              <w:t xml:space="preserve">1</w:t>
            </w:r>
            <w:r>
              <w:rPr>
                <w:rFonts w:hint="eastAsia" w:asciiTheme="minorEastAsia" w:hAnsiTheme="minorEastAsia" w:cstheme="minorEastAsia"/>
                <w:color w:val="0f1115"/>
                <w:szCs w:val="21"/>
                <w:shd w:val="clear" w:color="auto" w:fill="ffffff"/>
              </w:rPr>
              <w:t xml:space="preserve">.交货期（3分）：在采购需求“★4.交付时间（合同签订后40天内交付使用）”确定的期限基础上，若投标人承诺缩短供货交付期限，按以下规则得分：</w:t>
            </w:r>
            <w:r>
              <w:rPr>
                <w:rFonts w:hint="eastAsia" w:asciiTheme="minorEastAsia" w:hAnsiTheme="minorEastAsia" w:cstheme="minorEastAsia"/>
                <w:color w:val="0f1115"/>
                <w:szCs w:val="21"/>
                <w:shd w:val="clear" w:color="auto" w:fill="ffffff"/>
                <w:lang w:val="en-US" w:eastAsia="zh-CN"/>
              </w:rPr>
              <w:t xml:space="preserve">30个日历日</w:t>
            </w:r>
            <w:r>
              <w:rPr>
                <w:rFonts w:hint="eastAsia" w:asciiTheme="minorEastAsia" w:hAnsiTheme="minorEastAsia" w:eastAsiaTheme="minorEastAsia" w:cstheme="minorEastAsia"/>
                <w:i w:val="0"/>
                <w:iCs w:val="0"/>
                <w:caps w:val="0"/>
                <w:color w:val="0f1115"/>
                <w:spacing w:val="0"/>
                <w:sz w:val="21"/>
                <w:szCs w:val="21"/>
                <w:shd w:val="clear" w:color="auto" w:fill="ffffff"/>
              </w:rPr>
              <w:t xml:space="preserve">＜</w:t>
            </w:r>
            <w:r>
              <w:rPr>
                <w:rFonts w:hint="eastAsia" w:asciiTheme="minorEastAsia" w:hAnsiTheme="minorEastAsia" w:cstheme="minorEastAsia"/>
                <w:color w:val="0f1115"/>
                <w:szCs w:val="21"/>
                <w:shd w:val="clear" w:color="auto" w:fill="ffffff"/>
              </w:rPr>
              <w:t xml:space="preserve">承诺≤35个日历日完成设备到货的得2分，承诺≤30个日历日内完成设备到货的得3分；未作出承诺、承诺到货时间晚于35个日历日或承诺内容无法核验的，不得分。</w:t>
            </w:r>
            <w:r/>
          </w:p>
          <w:p>
            <w:pPr>
              <w:spacing w:line="360" w:lineRule="exact"/>
              <w:rPr>
                <w:rFonts w:asciiTheme="minorEastAsia" w:hAnsiTheme="minorEastAsia" w:cstheme="minorEastAsia"/>
                <w:color w:val="0f1115"/>
                <w:szCs w:val="21"/>
                <w:shd w:val="clear" w:color="auto" w:fill="ffffff"/>
              </w:rPr>
            </w:pPr>
            <w:r>
              <w:rPr>
                <w:rFonts w:hint="eastAsia" w:asciiTheme="minorEastAsia" w:hAnsiTheme="minorEastAsia" w:cstheme="minorEastAsia"/>
                <w:color w:val="0f1115"/>
                <w:szCs w:val="21"/>
                <w:shd w:val="clear" w:color="auto" w:fill="ffffff"/>
              </w:rPr>
              <w:t xml:space="preserve">2.质保期（2分）：在采购需求“质保期自验收合格之日起不少于1年”要求的基础上，投标人承诺延长免费质保期的，每延长6个月得1分，最多得2分，不足6个月的不计分。</w:t>
            </w:r>
            <w:r/>
          </w:p>
          <w:p>
            <w:pPr>
              <w:spacing w:line="360" w:lineRule="exact"/>
              <w:rPr>
                <w:rFonts w:hint="eastAsia" w:asciiTheme="minorEastAsia" w:hAnsiTheme="minorEastAsia" w:eastAsiaTheme="minorEastAsia" w:cstheme="minorEastAsia"/>
                <w:szCs w:val="21"/>
              </w:rPr>
            </w:pPr>
            <w:r>
              <w:rPr>
                <w:rFonts w:hint="eastAsia" w:asciiTheme="minorEastAsia" w:hAnsiTheme="minorEastAsia" w:cstheme="minorEastAsia"/>
                <w:color w:val="0f1115"/>
                <w:szCs w:val="21"/>
                <w:shd w:val="clear" w:color="auto" w:fill="ffffff"/>
              </w:rPr>
              <w:t xml:space="preserve">上述1、2项均以投标人出具的《交货期及质保期承诺函》为评分依据，承诺函加盖投标人公章，延长质保期间的服务响应标准不低于原质保期标准。</w:t>
            </w:r>
            <w:r/>
          </w:p>
        </w:tc>
      </w:tr>
      <w:tr>
        <w:trPr>
          <w:trHeight w:val="408"/>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7</w:t>
            </w:r>
            <w:r/>
          </w:p>
        </w:tc>
        <w:tc>
          <w:tcPr>
            <w:tcBorders>
              <w:top w:val="single" w:color="000000" w:sz="4" w:space="0"/>
              <w:left w:val="single" w:color="auto" w:sz="4" w:space="0"/>
              <w:bottom w:val="single" w:color="000000" w:sz="4" w:space="0"/>
              <w:right w:val="single" w:color="000000" w:sz="4" w:space="0"/>
            </w:tcBorders>
            <w:tcW w:w="572"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售后服务及培训方案</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10</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根据本项目采购需求中“质保（维保）及售后要求”编制售后服务及培训方案，内容包含：</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1.质保期内服务承诺及故障响应机制（含响应时限、现场支持安排、服务资源及保障能力）；</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2.外场操作与维护培训计划；</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3.备品备件及应急保障方案；</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4.质保期外服务及升级支持方案。</w:t>
            </w:r>
            <w:r/>
          </w:p>
          <w:p>
            <w:pP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方案详细，可操作性强，完全满足项目需要的，得10分；方案较详细，可操作性较强，基本满足项目需求，略有欠缺需要完善的，得8分；方案不够详细，可操作性一般，不能较好满足项目需要的，得5分；未提供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939"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总分</w:t>
            </w:r>
            <w:r/>
          </w:p>
        </w:tc>
        <w:tc>
          <w:tcPr>
            <w:gridSpan w:val="2"/>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center"/>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100</w:t>
            </w:r>
            <w:bookmarkEnd w:id="55"/>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ascii="黑体" w:hAnsi="黑体" w:eastAsia="黑体" w:cs="黑体"/>
          <w:color w:val="000000" w:themeColor="text1"/>
          <w:sz w:val="36"/>
          <w:szCs w:val="36"/>
          <w:lang w:val="zh-TW"/>
          <w14:textFill>
            <w14:solidFill>
              <w14:schemeClr w14:val="tx1"/>
            </w14:solidFill>
          </w14:textFill>
        </w:rPr>
      </w:pPr>
      <w:r/>
      <w:bookmarkStart w:id="56"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6"/>
      <w:r/>
      <w:r/>
    </w:p>
    <w:p>
      <w:pPr>
        <w:pStyle w:val="72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2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24"/>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724"/>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24"/>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紫金山实验室通感融合试验场通感系统采购项目</w:t>
      </w:r>
      <w:r/>
    </w:p>
    <w:p>
      <w:pPr>
        <w:pStyle w:val="724"/>
        <w:ind w:firstLine="720"/>
        <w:jc w:val="both"/>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（内部编号PML-ZH-ZB-20260XX）</w:t>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0"/>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ind w:firstLine="560"/>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ind w:firstLine="560"/>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6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4716"/>
        <w:gridCol w:w="1711"/>
        <w:gridCol w:w="1694"/>
      </w:tblGrid>
      <w:tr>
        <w:trPr>
          <w:trHeight w:val="601"/>
        </w:trPr>
        <w:tc>
          <w:tcPr>
            <w:tcW w:w="372"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2687"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975"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是否响应（填是或者否）</w:t>
            </w:r>
            <w:r/>
          </w:p>
        </w:tc>
        <w:tc>
          <w:tcPr>
            <w:tcW w:w="965" w:type="pct"/>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投标文件中的页码位置</w:t>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2687" w:type="pct"/>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965" w:type="pct"/>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2687" w:type="pct"/>
            <w:vAlign w:val="center"/>
            <w:textDirection w:val="lrTb"/>
            <w:noWrap w:val="false"/>
          </w:tcPr>
          <w:p>
            <w:pPr>
              <w:ind w:firstLine="562"/>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2687" w:type="pct"/>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2687" w:type="pct"/>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372" w:type="pct"/>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2687" w:type="pct"/>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97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965" w:type="pct"/>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3059" w:type="pct"/>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3059"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687" w:type="pct"/>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940" w:type="pct"/>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ind w:firstLine="560"/>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7" w:name="_Toc415494574"/>
      <w:r/>
      <w:bookmarkStart w:id="58" w:name="_Toc448069988"/>
      <w:r/>
      <w:bookmarkStart w:id="59" w:name="_Toc50"/>
      <w:r/>
      <w:bookmarkStart w:id="60"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7"/>
      <w:r/>
      <w:bookmarkEnd w:id="58"/>
      <w:r/>
      <w:bookmarkEnd w:id="59"/>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0"/>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紫金山实验室通感融合试验场通感系统</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采购项目</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：JSZC-320100-ZTZB-G2026-0056（内部编号PML-ZH-ZB-2026031））</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724"/>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724"/>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1" w:name="_Toc11859492"/>
      <w:r/>
      <w:bookmarkStart w:id="62" w:name="_Toc415494579"/>
      <w:r/>
      <w:bookmarkStart w:id="63" w:name="_Toc448069992"/>
      <w:r/>
      <w:bookmarkStart w:id="64" w:name="_Toc415494575"/>
      <w:r/>
      <w:bookmarkStart w:id="65" w:name="_Toc448069989"/>
      <w:r/>
      <w:bookmarkStart w:id="66" w:name="_Toc51"/>
      <w:r/>
      <w:bookmarkStart w:id="67" w:name="_Toc45254170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1"/>
      <w:r/>
      <w:bookmarkEnd w:id="62"/>
      <w:r/>
      <w:bookmarkEnd w:id="63"/>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紫金山实验室通感融合试验场通感系统</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JSZC-320100-ZTZB-G2026-0056（内部编号PML-ZH-ZB-2026031）</w:t>
      </w:r>
      <w:r/>
    </w:p>
    <w:tbl>
      <w:tblPr>
        <w:tblStyle w:val="67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689"/>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689"/>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689"/>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724"/>
              <w:spacing w:before="0" w:after="0" w:line="360" w:lineRule="exact"/>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689"/>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724"/>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689"/>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724"/>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689"/>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724"/>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689"/>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689"/>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紫金山实验室通感融合试验场通感系统采购项目 </w:t>
      </w:r>
      <w:r/>
    </w:p>
    <w:tbl>
      <w:tblPr>
        <w:tblStyle w:val="67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8" w:name="_Toc415494580"/>
      <w:r/>
      <w:bookmarkStart w:id="69" w:name="_Toc448069993"/>
      <w:r/>
      <w:bookmarkStart w:id="70" w:name="_Toc55"/>
      <w:r/>
      <w:bookmarkStart w:id="71" w:name="_Toc118594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8"/>
      <w:r/>
      <w:bookmarkEnd w:id="69"/>
      <w:r/>
      <w:bookmarkEnd w:id="70"/>
      <w:r/>
      <w:bookmarkEnd w:id="71"/>
      <w:r/>
      <w:r/>
    </w:p>
    <w:p>
      <w:pPr>
        <w:ind w:firstLine="560"/>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ind w:firstLine="482"/>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firstLine="482"/>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有效身份证明文件复印件（需同时提供正面及背面）</w:t>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宋体" w:cs="宋体"/>
          <w:color w:val="000000" w:themeColor="text1"/>
          <w:sz w:val="24"/>
          <w:szCs w:val="24"/>
          <w:lang w:val="zh-TW"/>
          <w14:textFill>
            <w14:solidFill>
              <w14:schemeClr w14:val="tx1"/>
            </w14:solidFill>
          </w14:textFill>
        </w:rPr>
      </w:pPr>
      <w:r>
        <w:rPr>
          <w:rFonts w:ascii="宋体" w:hAnsi="宋体" w:eastAsia="宋体" w:cs="宋体"/>
          <w:color w:val="000000" w:themeColor="text1"/>
          <w:sz w:val="24"/>
          <w:szCs w:val="24"/>
          <w:lang w:val="zh-TW"/>
          <w14:textFill>
            <w14:solidFill>
              <w14:schemeClr w14:val="tx1"/>
            </w14:solidFill>
          </w14:textFill>
        </w:rPr>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附：委托代理人有效身份证明文件复印件（需同时提供正面及背面）</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2" w:name="_Toc415494581"/>
      <w:r/>
      <w:bookmarkStart w:id="73" w:name="_Toc448069994"/>
      <w:r/>
      <w:bookmarkStart w:id="74" w:name="_Toc11859494"/>
      <w:r/>
      <w:bookmarkStart w:id="75" w:name="_Toc56"/>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2"/>
      <w:r/>
      <w:bookmarkEnd w:id="73"/>
      <w:r/>
      <w:bookmarkEnd w:id="74"/>
      <w:r/>
      <w:bookmarkEnd w:id="75"/>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6"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6"/>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紫金山实验室通感融合试验场通感系统采购项目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7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26"/>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726"/>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26"/>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726"/>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72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72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72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726"/>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7"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7"/>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紫金山实验室通感融合试验场通感系统采购项目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7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726"/>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26"/>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8"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8"/>
      <w:r/>
      <w:bookmarkStart w:id="79"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9"/>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680"/>
        <w:numPr>
          <w:ilvl w:val="255"/>
          <w:numId w:val="0"/>
        </w:numPr>
        <w:ind w:firstLine="480"/>
        <w:rPr>
          <w:rFonts w:ascii="宋体" w:hAnsi="宋体" w:cs="宋体"/>
          <w:color w:val="000000"/>
          <w:sz w:val="24"/>
        </w:rPr>
      </w:pPr>
      <w:r>
        <w:rPr>
          <w:rFonts w:hint="eastAsia" w:ascii="宋体" w:hAnsi="宋体" w:cs="宋体"/>
          <w:color w:val="000000"/>
          <w:sz w:val="24"/>
        </w:rPr>
        <w:t xml:space="preserve">实施方案</w:t>
      </w:r>
      <w:r/>
    </w:p>
    <w:p>
      <w:pPr>
        <w:pStyle w:val="680"/>
        <w:numPr>
          <w:ilvl w:val="255"/>
          <w:numId w:val="0"/>
        </w:numPr>
        <w:ind w:firstLine="480"/>
        <w:rPr>
          <w:rFonts w:ascii="宋体" w:hAnsi="宋体" w:cs="宋体"/>
          <w:color w:val="000000"/>
          <w:sz w:val="24"/>
        </w:rPr>
      </w:pPr>
      <w:r>
        <w:rPr>
          <w:rFonts w:hint="eastAsia" w:ascii="宋体" w:hAnsi="宋体" w:cs="宋体"/>
          <w:color w:val="000000"/>
          <w:sz w:val="24"/>
        </w:rPr>
        <w:t xml:space="preserve">售后服务及培训方案</w:t>
      </w:r>
      <w:r/>
    </w:p>
    <w:p>
      <w:pPr>
        <w:ind w:firstLine="420"/>
      </w:pPr>
      <w:r/>
      <w:r/>
    </w:p>
    <w:p>
      <w:pPr>
        <w:pStyle w:val="680"/>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680"/>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680"/>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0"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0"/>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2"/>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689"/>
        <w:ind w:right="103" w:firstLine="48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689"/>
        <w:ind w:right="103" w:firstLine="48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701"/>
        <w:ind w:right="14" w:firstLine="562"/>
        <w:jc w:val="center"/>
        <w:spacing w:before="0" w:beforeAutospacing="0" w:after="120" w:afterAutospacing="0" w:line="460" w:lineRule="exact"/>
        <w:widowControl w:val="off"/>
      </w:pPr>
      <w:r>
        <w:rPr>
          <w:b/>
          <w:sz w:val="28"/>
          <w:szCs w:val="28"/>
          <w:lang w:bidi="ar"/>
        </w:rPr>
        <w:t xml:space="preserve">中小企业声明函（货物）</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701"/>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701"/>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689"/>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89"/>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89"/>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689"/>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689"/>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689"/>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689"/>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689"/>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689"/>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689"/>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89"/>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89"/>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ind w:firstLine="482"/>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ind w:firstLine="482"/>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701"/>
        <w:ind w:firstLine="48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01"/>
        <w:ind w:firstLine="48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07"/>
          <w:rFonts w:hint="eastAsia" w:ascii="方正魏碑_GBK" w:hAnsi="方正魏碑_GBK" w:eastAsia="方正魏碑_GBK" w:cs="方正魏碑_GBK"/>
          <w:u w:val="single"/>
          <w:shd w:val="clear" w:color="auto" w:fill="ffffff"/>
        </w:rPr>
        <w:t xml:space="preserve">（产品名称1）</w:t>
      </w:r>
      <w:r>
        <w:rPr>
          <w:rStyle w:val="707"/>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07"/>
          <w:rFonts w:hint="eastAsia" w:ascii="方正魏碑_GBK" w:hAnsi="方正魏碑_GBK" w:eastAsia="方正魏碑_GBK" w:cs="方正魏碑_GBK"/>
          <w:u w:val="single"/>
          <w:shd w:val="clear" w:color="auto" w:fill="ffffff"/>
        </w:rPr>
        <w:t xml:space="preserve">（厂名）</w:t>
      </w:r>
      <w:r>
        <w:rPr>
          <w:rStyle w:val="707"/>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07"/>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07"/>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07"/>
          <w:rFonts w:hint="eastAsia" w:ascii="方正魏碑_GBK" w:hAnsi="方正魏碑_GBK" w:eastAsia="方正魏碑_GBK" w:cs="方正魏碑_GBK"/>
          <w:u w:val="single"/>
          <w:shd w:val="clear" w:color="auto" w:fill="ffffff"/>
        </w:rPr>
        <w:t xml:space="preserve">（规定</w:t>
      </w:r>
      <w:r>
        <w:rPr>
          <w:rStyle w:val="707"/>
          <w:rFonts w:ascii="方正魏碑_GBK" w:hAnsi="方正魏碑_GBK" w:eastAsia="方正魏碑_GBK" w:cs="方正魏碑_GBK"/>
          <w:u w:val="single"/>
          <w:shd w:val="clear" w:color="auto" w:fill="ffffff"/>
        </w:rPr>
        <w:t xml:space="preserve">比例</w:t>
      </w:r>
      <w:r>
        <w:rPr>
          <w:rStyle w:val="707"/>
          <w:rFonts w:hint="eastAsia" w:ascii="方正魏碑_GBK" w:hAnsi="方正魏碑_GBK" w:eastAsia="方正魏碑_GBK" w:cs="方正魏碑_GBK"/>
          <w:u w:val="single"/>
          <w:shd w:val="clear" w:color="auto" w:fill="ffffff"/>
        </w:rPr>
        <w:t xml:space="preserve">）</w:t>
      </w:r>
      <w:r>
        <w:rPr>
          <w:rStyle w:val="707"/>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0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07"/>
          <w:rFonts w:hint="eastAsia" w:ascii="方正魏碑_GBK" w:hAnsi="方正魏碑_GBK" w:eastAsia="方正魏碑_GBK" w:cs="方正魏碑_GBK"/>
          <w:u w:val="single"/>
          <w:shd w:val="clear" w:color="auto" w:fill="ffffff"/>
        </w:rPr>
        <w:t xml:space="preserve">（关键</w:t>
      </w:r>
      <w:r>
        <w:rPr>
          <w:rStyle w:val="707"/>
          <w:rFonts w:ascii="方正魏碑_GBK" w:hAnsi="方正魏碑_GBK" w:eastAsia="方正魏碑_GBK" w:cs="方正魏碑_GBK"/>
          <w:u w:val="single"/>
          <w:shd w:val="clear" w:color="auto" w:fill="ffffff"/>
        </w:rPr>
        <w:t xml:space="preserve">组件</w:t>
      </w:r>
      <w:r>
        <w:rPr>
          <w:rStyle w:val="707"/>
          <w:rFonts w:hint="eastAsia" w:ascii="方正魏碑_GBK" w:hAnsi="方正魏碑_GBK" w:eastAsia="方正魏碑_GBK" w:cs="方正魏碑_GBK"/>
          <w:u w:val="single"/>
          <w:shd w:val="clear" w:color="auto" w:fill="ffffff"/>
        </w:rPr>
        <w:t xml:space="preserve">）</w:t>
      </w:r>
      <w:r>
        <w:rPr>
          <w:rStyle w:val="707"/>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0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07"/>
          <w:rFonts w:hint="eastAsia" w:ascii="方正魏碑_GBK" w:hAnsi="方正魏碑_GBK" w:eastAsia="方正魏碑_GBK" w:cs="方正魏碑_GBK"/>
          <w:u w:val="single"/>
          <w:shd w:val="clear" w:color="auto" w:fill="ffffff"/>
        </w:rPr>
        <w:t xml:space="preserve">（关键工序）</w:t>
      </w:r>
      <w:r>
        <w:rPr>
          <w:rStyle w:val="707"/>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0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07"/>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07"/>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0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07"/>
          <w:rFonts w:hint="eastAsia" w:ascii="方正魏碑_GBK" w:hAnsi="方正魏碑_GBK" w:eastAsia="方正魏碑_GBK" w:cs="方正魏碑_GBK"/>
          <w:u w:val="single"/>
          <w:shd w:val="clear" w:color="auto" w:fill="ffffff"/>
        </w:rPr>
        <w:t xml:space="preserve">（规定</w:t>
      </w:r>
      <w:r>
        <w:rPr>
          <w:rStyle w:val="707"/>
          <w:rFonts w:ascii="方正魏碑_GBK" w:hAnsi="方正魏碑_GBK" w:eastAsia="方正魏碑_GBK" w:cs="方正魏碑_GBK"/>
          <w:u w:val="single"/>
          <w:shd w:val="clear" w:color="auto" w:fill="ffffff"/>
        </w:rPr>
        <w:t xml:space="preserve">比例</w:t>
      </w:r>
      <w:r>
        <w:rPr>
          <w:rStyle w:val="707"/>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07"/>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07"/>
          <w:rFonts w:hint="eastAsia" w:ascii="方正魏碑_GBK" w:hAnsi="方正魏碑_GBK" w:eastAsia="方正魏碑_GBK" w:cs="方正魏碑_GBK"/>
          <w:u w:val="single"/>
          <w:shd w:val="clear" w:color="auto" w:fill="ffffff"/>
        </w:rPr>
        <w:t xml:space="preserve">（关键</w:t>
      </w:r>
      <w:r>
        <w:rPr>
          <w:rStyle w:val="707"/>
          <w:rFonts w:ascii="方正魏碑_GBK" w:hAnsi="方正魏碑_GBK" w:eastAsia="方正魏碑_GBK" w:cs="方正魏碑_GBK"/>
          <w:u w:val="single"/>
          <w:shd w:val="clear" w:color="auto" w:fill="ffffff"/>
        </w:rPr>
        <w:t xml:space="preserve">组件</w:t>
      </w:r>
      <w:r>
        <w:rPr>
          <w:rStyle w:val="707"/>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07"/>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07"/>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01"/>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01"/>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01"/>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01"/>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01"/>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01"/>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01"/>
        <w:ind w:firstLine="4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01"/>
        <w:ind w:firstLine="44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689"/>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widowControl/>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br w:type="page" w:clear="all"/>
      </w:r>
      <w:r/>
    </w:p>
    <w:p>
      <w:pPr>
        <w:jc w:val="center"/>
        <w:rPr>
          <w:rFonts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704"/>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4"/>
      <w:bookmarkEnd w:id="65"/>
      <w:bookmarkEnd w:id="66"/>
      <w:bookmarkEnd w:id="67"/>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footerReference w:type="default" r:id="rId13"/>
      <w:footnotePr/>
      <w:endnotePr/>
      <w:type w:val="nextPage"/>
      <w:pgSz w:w="11906" w:h="16838" w:orient="portrait"/>
      <w:pgMar w:top="1418" w:right="1418" w:bottom="1474" w:left="1701" w:header="850" w:footer="39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Segoe UI">
    <w:panose1 w:val="020B0502040204020203"/>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ind w:firstLine="420"/>
      <w:jc w:val="cente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45</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ind w:firstLine="420"/>
      <w:jc w:val="right"/>
    </w:pPr>
    <w:r>
      <w:rPr>
        <w:rFonts w:hint="eastAsia"/>
        <w:sz w:val="21"/>
        <w:szCs w:val="21"/>
      </w:rPr>
      <w:t xml:space="preserve">紫金山实验室通感融合试验场通感系统采购项目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ind w:firstLine="420"/>
      <w:jc w:val="right"/>
      <w:rPr>
        <w:rFonts w:ascii="Times New Roman" w:hAnsi="Times New Roman" w:cs="Times New Roman"/>
        <w:sz w:val="21"/>
        <w:szCs w:val="21"/>
      </w:rPr>
      <w:pBdr>
        <w:bottom w:val="single" w:color="auto" w:sz="4" w:space="1"/>
      </w:pBdr>
    </w:pPr>
    <w:r>
      <w:rPr>
        <w:rFonts w:hint="eastAsia"/>
        <w:sz w:val="21"/>
        <w:szCs w:val="21"/>
      </w:rPr>
      <w:t xml:space="preserve">紫金山实验室通感融合试验场通感系统采购项目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67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5"/>
    <w:uiPriority w:val="9"/>
    <w:rPr>
      <w:rFonts w:ascii="Arial" w:hAnsi="Arial" w:eastAsia="Arial" w:cs="Arial"/>
      <w:sz w:val="40"/>
      <w:szCs w:val="40"/>
    </w:rPr>
  </w:style>
  <w:style w:type="character" w:styleId="15">
    <w:name w:val="Heading 2 Char"/>
    <w:basedOn w:val="678"/>
    <w:link w:val="676"/>
    <w:uiPriority w:val="9"/>
    <w:rPr>
      <w:rFonts w:ascii="Arial" w:hAnsi="Arial" w:eastAsia="Arial" w:cs="Arial"/>
      <w:sz w:val="34"/>
    </w:rPr>
  </w:style>
  <w:style w:type="character" w:styleId="17">
    <w:name w:val="Heading 3 Char"/>
    <w:basedOn w:val="678"/>
    <w:link w:val="677"/>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8"/>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8"/>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78"/>
    <w:link w:val="702"/>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6"/>
    <w:uiPriority w:val="99"/>
  </w:style>
  <w:style w:type="character" w:styleId="44">
    <w:name w:val="Footer Char"/>
    <w:basedOn w:val="678"/>
    <w:link w:val="695"/>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8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5">
    <w:name w:val="Heading 1"/>
    <w:basedOn w:val="674"/>
    <w:next w:val="674"/>
    <w:link w:val="742"/>
    <w:uiPriority w:val="9"/>
    <w:qFormat/>
    <w:pPr>
      <w:keepLines/>
      <w:keepNext/>
      <w:spacing w:before="340" w:after="330" w:line="578" w:lineRule="auto"/>
      <w:outlineLvl w:val="0"/>
    </w:pPr>
    <w:rPr>
      <w:b/>
      <w:bCs/>
      <w:sz w:val="44"/>
      <w:szCs w:val="44"/>
    </w:rPr>
  </w:style>
  <w:style w:type="paragraph" w:styleId="676">
    <w:name w:val="Heading 2"/>
    <w:basedOn w:val="674"/>
    <w:next w:val="674"/>
    <w:link w:val="792"/>
    <w:uiPriority w:val="0"/>
    <w:qFormat/>
    <w:pPr>
      <w:keepLines/>
      <w:keepNext/>
      <w:spacing w:before="260" w:after="260" w:line="415" w:lineRule="auto"/>
      <w:outlineLvl w:val="1"/>
    </w:pPr>
    <w:rPr>
      <w:rFonts w:ascii="Arial" w:hAnsi="Arial" w:eastAsia="黑体" w:cs="Arial"/>
      <w:b/>
      <w:bCs/>
      <w:sz w:val="32"/>
      <w:szCs w:val="32"/>
    </w:rPr>
  </w:style>
  <w:style w:type="paragraph" w:styleId="677">
    <w:name w:val="Heading 3"/>
    <w:basedOn w:val="674"/>
    <w:next w:val="674"/>
    <w:link w:val="741"/>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First Indent 2"/>
    <w:basedOn w:val="681"/>
    <w:next w:val="674"/>
    <w:uiPriority w:val="99"/>
    <w:qFormat/>
    <w:pPr>
      <w:ind w:left="420" w:firstLine="420"/>
    </w:pPr>
    <w:rPr>
      <w:rFonts w:ascii="Times New Roman" w:eastAsia="宋体"/>
      <w:szCs w:val="21"/>
    </w:rPr>
  </w:style>
  <w:style w:type="paragraph" w:styleId="681">
    <w:name w:val="Body Text Indent"/>
    <w:basedOn w:val="674"/>
    <w:next w:val="682"/>
    <w:link w:val="715"/>
    <w:uiPriority w:val="0"/>
    <w:qFormat/>
    <w:pPr>
      <w:ind w:left="900"/>
      <w:spacing w:after="120" w:line="360" w:lineRule="atLeast"/>
    </w:pPr>
    <w:rPr>
      <w:rFonts w:ascii="楷体_GB2312" w:hAnsi="Times New Roman" w:eastAsia="楷体_GB2312" w:cs="Times New Roman"/>
      <w:sz w:val="28"/>
      <w:szCs w:val="20"/>
    </w:rPr>
  </w:style>
  <w:style w:type="paragraph" w:styleId="682">
    <w:name w:val="envelope return"/>
    <w:basedOn w:val="674"/>
    <w:uiPriority w:val="0"/>
    <w:qFormat/>
    <w:rPr>
      <w:rFonts w:ascii="Arial" w:hAnsi="Arial" w:eastAsia="宋体" w:cs="宋体"/>
    </w:rPr>
  </w:style>
  <w:style w:type="paragraph" w:styleId="683">
    <w:name w:val="List Number 2"/>
    <w:basedOn w:val="67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84">
    <w:name w:val="Normal Indent"/>
    <w:basedOn w:val="674"/>
    <w:uiPriority w:val="0"/>
    <w:qFormat/>
    <w:pPr>
      <w:ind w:firstLine="420"/>
    </w:pPr>
    <w:rPr>
      <w:rFonts w:ascii="Times New Roman" w:hAnsi="Times New Roman" w:eastAsia="宋体" w:cs="Times New Roman"/>
      <w:szCs w:val="20"/>
    </w:rPr>
  </w:style>
  <w:style w:type="paragraph" w:styleId="685">
    <w:name w:val="Document Map"/>
    <w:basedOn w:val="674"/>
    <w:link w:val="778"/>
    <w:uiPriority w:val="99"/>
    <w:semiHidden/>
    <w:unhideWhenUsed/>
    <w:qFormat/>
    <w:pPr>
      <w:shd w:val="clear" w:color="auto" w:fill="000080"/>
    </w:pPr>
  </w:style>
  <w:style w:type="paragraph" w:styleId="686">
    <w:name w:val="annotation text"/>
    <w:basedOn w:val="674"/>
    <w:link w:val="745"/>
    <w:uiPriority w:val="99"/>
    <w:qFormat/>
    <w:pPr>
      <w:jc w:val="left"/>
    </w:pPr>
    <w:rPr>
      <w:rFonts w:ascii="Times New Roman" w:hAnsi="Times New Roman" w:eastAsia="宋体" w:cs="Times New Roman"/>
      <w:szCs w:val="20"/>
    </w:rPr>
  </w:style>
  <w:style w:type="paragraph" w:styleId="687">
    <w:name w:val="Body Text 3"/>
    <w:basedOn w:val="674"/>
    <w:link w:val="722"/>
    <w:uiPriority w:val="0"/>
    <w:qFormat/>
    <w:pPr>
      <w:spacing w:after="120"/>
    </w:pPr>
    <w:rPr>
      <w:rFonts w:ascii="Times New Roman" w:hAnsi="Times New Roman" w:eastAsia="宋体" w:cs="Times New Roman"/>
      <w:sz w:val="16"/>
      <w:szCs w:val="16"/>
    </w:rPr>
  </w:style>
  <w:style w:type="paragraph" w:styleId="688">
    <w:name w:val="List Bullet 3"/>
    <w:basedOn w:val="67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89">
    <w:name w:val="Body Text"/>
    <w:basedOn w:val="674"/>
    <w:link w:val="725"/>
    <w:uiPriority w:val="99"/>
    <w:unhideWhenUsed/>
    <w:qFormat/>
    <w:pPr>
      <w:spacing w:after="120"/>
    </w:pPr>
  </w:style>
  <w:style w:type="paragraph" w:styleId="690">
    <w:name w:val="index 4"/>
    <w:basedOn w:val="674"/>
    <w:next w:val="674"/>
    <w:uiPriority w:val="99"/>
    <w:semiHidden/>
    <w:unhideWhenUsed/>
    <w:qFormat/>
    <w:pPr>
      <w:ind w:left="600"/>
    </w:pPr>
  </w:style>
  <w:style w:type="paragraph" w:styleId="691">
    <w:name w:val="toc 3"/>
    <w:basedOn w:val="674"/>
    <w:next w:val="67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692">
    <w:name w:val="Plain Text"/>
    <w:basedOn w:val="674"/>
    <w:link w:val="718"/>
    <w:uiPriority w:val="99"/>
    <w:qFormat/>
    <w:rPr>
      <w:rFonts w:ascii="宋体" w:hAnsi="Courier New" w:eastAsia="宋体" w:cs="Times New Roman"/>
      <w:szCs w:val="20"/>
    </w:rPr>
  </w:style>
  <w:style w:type="paragraph" w:styleId="693">
    <w:name w:val="Date"/>
    <w:basedOn w:val="674"/>
    <w:next w:val="674"/>
    <w:link w:val="720"/>
    <w:uiPriority w:val="99"/>
    <w:unhideWhenUsed/>
    <w:qFormat/>
    <w:pPr>
      <w:ind w:left="100"/>
    </w:pPr>
  </w:style>
  <w:style w:type="paragraph" w:styleId="694">
    <w:name w:val="Balloon Text"/>
    <w:basedOn w:val="674"/>
    <w:link w:val="719"/>
    <w:uiPriority w:val="99"/>
    <w:unhideWhenUsed/>
    <w:qFormat/>
    <w:rPr>
      <w:sz w:val="18"/>
      <w:szCs w:val="18"/>
    </w:rPr>
  </w:style>
  <w:style w:type="paragraph" w:styleId="695">
    <w:name w:val="Footer"/>
    <w:basedOn w:val="674"/>
    <w:link w:val="711"/>
    <w:uiPriority w:val="99"/>
    <w:unhideWhenUsed/>
    <w:qFormat/>
    <w:pPr>
      <w:jc w:val="left"/>
      <w:tabs>
        <w:tab w:val="center" w:pos="4153" w:leader="none"/>
        <w:tab w:val="right" w:pos="8306" w:leader="none"/>
      </w:tabs>
    </w:pPr>
    <w:rPr>
      <w:sz w:val="18"/>
      <w:szCs w:val="18"/>
    </w:rPr>
  </w:style>
  <w:style w:type="paragraph" w:styleId="696">
    <w:name w:val="Header"/>
    <w:basedOn w:val="674"/>
    <w:link w:val="7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74"/>
    <w:next w:val="67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698">
    <w:name w:val="toc 2"/>
    <w:basedOn w:val="674"/>
    <w:next w:val="674"/>
    <w:uiPriority w:val="39"/>
    <w:unhideWhenUsed/>
    <w:qFormat/>
    <w:pPr>
      <w:ind w:left="221"/>
      <w:jc w:val="left"/>
      <w:spacing w:line="360" w:lineRule="auto"/>
      <w:widowControl/>
    </w:pPr>
    <w:rPr>
      <w:rFonts w:ascii="Times New Roman" w:hAnsi="Times New Roman" w:eastAsia="宋体" w:cs="Times New Roman"/>
      <w:sz w:val="22"/>
    </w:rPr>
  </w:style>
  <w:style w:type="paragraph" w:styleId="699">
    <w:name w:val="Body Text 2"/>
    <w:basedOn w:val="674"/>
    <w:next w:val="689"/>
    <w:uiPriority w:val="99"/>
    <w:qFormat/>
    <w:pPr>
      <w:jc w:val="center"/>
      <w:widowControl/>
    </w:pPr>
    <w:rPr>
      <w:sz w:val="20"/>
    </w:rPr>
  </w:style>
  <w:style w:type="paragraph" w:styleId="700">
    <w:name w:val="HTML Preformatted"/>
    <w:basedOn w:val="674"/>
    <w:link w:val="751"/>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01">
    <w:name w:val="Normal (Web)"/>
    <w:basedOn w:val="67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2">
    <w:name w:val="Title"/>
    <w:basedOn w:val="674"/>
    <w:link w:val="779"/>
    <w:uiPriority w:val="10"/>
    <w:qFormat/>
    <w:pPr>
      <w:jc w:val="center"/>
      <w:spacing w:before="240" w:after="60"/>
      <w:outlineLvl w:val="0"/>
    </w:pPr>
    <w:rPr>
      <w:rFonts w:ascii="Arial" w:hAnsi="Arial"/>
      <w:b/>
      <w:sz w:val="32"/>
    </w:rPr>
  </w:style>
  <w:style w:type="paragraph" w:styleId="703">
    <w:name w:val="annotation subject"/>
    <w:basedOn w:val="686"/>
    <w:next w:val="686"/>
    <w:link w:val="729"/>
    <w:uiPriority w:val="99"/>
    <w:unhideWhenUsed/>
    <w:qFormat/>
    <w:rPr>
      <w:rFonts w:asciiTheme="minorHAnsi" w:hAnsiTheme="minorHAnsi" w:eastAsiaTheme="minorEastAsia" w:cstheme="minorBidi"/>
      <w:b/>
      <w:bCs/>
      <w:szCs w:val="22"/>
    </w:rPr>
  </w:style>
  <w:style w:type="table" w:styleId="704">
    <w:name w:val="Table Grid"/>
    <w:basedOn w:val="67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705">
    <w:name w:val="Strong"/>
    <w:uiPriority w:val="22"/>
    <w:qFormat/>
    <w:rPr>
      <w:b/>
      <w:bCs/>
    </w:rPr>
  </w:style>
  <w:style w:type="character" w:styleId="706">
    <w:name w:val="FollowedHyperlink"/>
    <w:basedOn w:val="678"/>
    <w:uiPriority w:val="99"/>
    <w:unhideWhenUsed/>
    <w:qFormat/>
    <w:rPr>
      <w:color w:val="333333"/>
      <w:u w:val="none"/>
    </w:rPr>
  </w:style>
  <w:style w:type="character" w:styleId="707">
    <w:name w:val="Emphasis"/>
    <w:basedOn w:val="678"/>
    <w:uiPriority w:val="20"/>
    <w:qFormat/>
  </w:style>
  <w:style w:type="character" w:styleId="708">
    <w:name w:val="Hyperlink"/>
    <w:basedOn w:val="678"/>
    <w:uiPriority w:val="99"/>
    <w:unhideWhenUsed/>
    <w:qFormat/>
    <w:rPr>
      <w:color w:val="0563c1" w:themeColor="hyperlink"/>
      <w:u w:val="single"/>
      <w14:textFill>
        <w14:solidFill>
          <w14:schemeClr w14:val="hlink"/>
        </w14:solidFill>
      </w14:textFill>
    </w:rPr>
  </w:style>
  <w:style w:type="character" w:styleId="709">
    <w:name w:val="annotation reference"/>
    <w:basedOn w:val="678"/>
    <w:uiPriority w:val="99"/>
    <w:qFormat/>
    <w:rPr>
      <w:sz w:val="21"/>
      <w:szCs w:val="21"/>
    </w:rPr>
  </w:style>
  <w:style w:type="character" w:styleId="710" w:customStyle="1">
    <w:name w:val="页眉 字符"/>
    <w:basedOn w:val="678"/>
    <w:link w:val="696"/>
    <w:uiPriority w:val="99"/>
    <w:qFormat/>
    <w:rPr>
      <w:sz w:val="18"/>
      <w:szCs w:val="18"/>
    </w:rPr>
  </w:style>
  <w:style w:type="character" w:styleId="711" w:customStyle="1">
    <w:name w:val="页脚 字符"/>
    <w:basedOn w:val="678"/>
    <w:link w:val="695"/>
    <w:uiPriority w:val="99"/>
    <w:qFormat/>
    <w:rPr>
      <w:sz w:val="18"/>
      <w:szCs w:val="18"/>
    </w:rPr>
  </w:style>
  <w:style w:type="character" w:styleId="712" w:customStyle="1">
    <w:name w:val="标题 1 Char"/>
    <w:basedOn w:val="678"/>
    <w:uiPriority w:val="9"/>
    <w:qFormat/>
    <w:rPr>
      <w:b/>
      <w:bCs/>
      <w:sz w:val="44"/>
      <w:szCs w:val="44"/>
    </w:rPr>
  </w:style>
  <w:style w:type="paragraph" w:styleId="713" w:customStyle="1">
    <w:name w:val="TOC 标题1"/>
    <w:basedOn w:val="675"/>
    <w:next w:val="67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14" w:customStyle="1">
    <w:name w:val="列出段落1"/>
    <w:basedOn w:val="67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15" w:customStyle="1">
    <w:name w:val="正文文本缩进 字符"/>
    <w:basedOn w:val="678"/>
    <w:link w:val="681"/>
    <w:uiPriority w:val="0"/>
    <w:qFormat/>
    <w:rPr>
      <w:rFonts w:ascii="楷体_GB2312" w:hAnsi="Times New Roman" w:eastAsia="楷体_GB2312" w:cs="Times New Roman"/>
      <w:sz w:val="28"/>
      <w:szCs w:val="20"/>
    </w:rPr>
  </w:style>
  <w:style w:type="paragraph" w:styleId="716" w:customStyle="1">
    <w:name w:val="蓝色显示"/>
    <w:basedOn w:val="674"/>
    <w:link w:val="717"/>
    <w:uiPriority w:val="0"/>
    <w:qFormat/>
    <w:pPr>
      <w:spacing w:before="340" w:after="330" w:line="400" w:lineRule="exact"/>
    </w:pPr>
    <w:rPr>
      <w:rFonts w:ascii="Times New Roman" w:hAnsi="Times New Roman" w:eastAsia="宋体" w:cs="Times New Roman"/>
      <w:b/>
      <w:color w:val="0070c0"/>
      <w:szCs w:val="24"/>
    </w:rPr>
  </w:style>
  <w:style w:type="character" w:styleId="717" w:customStyle="1">
    <w:name w:val="蓝色显示 Char"/>
    <w:link w:val="716"/>
    <w:uiPriority w:val="0"/>
    <w:qFormat/>
    <w:rPr>
      <w:rFonts w:ascii="Times New Roman" w:hAnsi="Times New Roman" w:eastAsia="宋体" w:cs="Times New Roman"/>
      <w:b/>
      <w:color w:val="0070c0"/>
      <w:szCs w:val="24"/>
    </w:rPr>
  </w:style>
  <w:style w:type="character" w:styleId="718" w:customStyle="1">
    <w:name w:val="纯文本 字符"/>
    <w:basedOn w:val="678"/>
    <w:link w:val="692"/>
    <w:uiPriority w:val="0"/>
    <w:qFormat/>
    <w:rPr>
      <w:rFonts w:ascii="宋体" w:hAnsi="Courier New" w:eastAsia="宋体" w:cs="Times New Roman"/>
      <w:szCs w:val="20"/>
    </w:rPr>
  </w:style>
  <w:style w:type="character" w:styleId="719" w:customStyle="1">
    <w:name w:val="批注框文本 字符"/>
    <w:basedOn w:val="678"/>
    <w:link w:val="694"/>
    <w:uiPriority w:val="99"/>
    <w:semiHidden/>
    <w:qFormat/>
    <w:rPr>
      <w:sz w:val="18"/>
      <w:szCs w:val="18"/>
    </w:rPr>
  </w:style>
  <w:style w:type="character" w:styleId="720" w:customStyle="1">
    <w:name w:val="日期 字符"/>
    <w:basedOn w:val="678"/>
    <w:link w:val="693"/>
    <w:uiPriority w:val="99"/>
    <w:semiHidden/>
    <w:qFormat/>
  </w:style>
  <w:style w:type="character" w:styleId="721" w:customStyle="1">
    <w:name w:val="批注文字 Char"/>
    <w:basedOn w:val="678"/>
    <w:uiPriority w:val="99"/>
    <w:qFormat/>
    <w:rPr>
      <w:rFonts w:ascii="Times New Roman" w:hAnsi="Times New Roman" w:eastAsia="宋体" w:cs="Times New Roman"/>
      <w:szCs w:val="20"/>
    </w:rPr>
  </w:style>
  <w:style w:type="character" w:styleId="722" w:customStyle="1">
    <w:name w:val="正文文本 3 字符"/>
    <w:basedOn w:val="678"/>
    <w:link w:val="687"/>
    <w:uiPriority w:val="0"/>
    <w:qFormat/>
    <w:rPr>
      <w:rFonts w:ascii="Times New Roman" w:hAnsi="Times New Roman" w:eastAsia="宋体" w:cs="Times New Roman"/>
      <w:sz w:val="16"/>
      <w:szCs w:val="16"/>
    </w:rPr>
  </w:style>
  <w:style w:type="paragraph" w:styleId="723" w:customStyle="1">
    <w:name w:val="正文00"/>
    <w:basedOn w:val="674"/>
    <w:uiPriority w:val="0"/>
    <w:qFormat/>
    <w:pPr>
      <w:ind w:firstLine="200"/>
      <w:spacing w:line="360" w:lineRule="auto"/>
    </w:pPr>
    <w:rPr>
      <w:rFonts w:ascii="Times New Roman" w:hAnsi="Times New Roman" w:eastAsia="宋体" w:cs="Times New Roman"/>
      <w:sz w:val="24"/>
      <w:szCs w:val="21"/>
    </w:rPr>
  </w:style>
  <w:style w:type="paragraph" w:styleId="724" w:customStyle="1">
    <w:name w:val="普通正文"/>
    <w:basedOn w:val="674"/>
    <w:uiPriority w:val="0"/>
    <w:qFormat/>
    <w:pPr>
      <w:ind w:firstLine="480"/>
      <w:jc w:val="left"/>
      <w:spacing w:before="120" w:after="120" w:line="360" w:lineRule="auto"/>
      <w:widowControl/>
    </w:pPr>
    <w:rPr>
      <w:rFonts w:ascii="Arial" w:hAnsi="Arial" w:eastAsia="宋体" w:cs="宋体"/>
      <w:sz w:val="24"/>
      <w:szCs w:val="24"/>
    </w:rPr>
  </w:style>
  <w:style w:type="character" w:styleId="725" w:customStyle="1">
    <w:name w:val="正文文本 字符"/>
    <w:basedOn w:val="678"/>
    <w:link w:val="689"/>
    <w:uiPriority w:val="0"/>
    <w:qFormat/>
  </w:style>
  <w:style w:type="paragraph" w:styleId="726" w:customStyle="1">
    <w:name w:val="Default"/>
    <w:uiPriority w:val="0"/>
    <w:qFormat/>
    <w:rPr>
      <w:rFonts w:ascii="宋体" w:hAnsi="Times New Roman" w:eastAsia="宋体" w:cs="宋体"/>
      <w:color w:val="000000"/>
      <w:sz w:val="24"/>
      <w:szCs w:val="24"/>
      <w:lang w:val="en-US" w:eastAsia="zh-CN" w:bidi="ar-SA"/>
    </w:rPr>
  </w:style>
  <w:style w:type="paragraph" w:styleId="727" w:customStyle="1">
    <w:name w:val="Table Paragraph"/>
    <w:basedOn w:val="674"/>
    <w:uiPriority w:val="1"/>
    <w:qFormat/>
    <w:pPr>
      <w:jc w:val="left"/>
    </w:pPr>
    <w:rPr>
      <w:rFonts w:ascii="Times New Roman" w:hAnsi="Times New Roman" w:eastAsia="宋体" w:cs="Times New Roman"/>
      <w:sz w:val="24"/>
      <w:szCs w:val="24"/>
    </w:rPr>
  </w:style>
  <w:style w:type="paragraph" w:styleId="728" w:customStyle="1">
    <w:name w:val="_Style 20"/>
    <w:basedOn w:val="674"/>
    <w:next w:val="714"/>
    <w:uiPriority w:val="34"/>
    <w:qFormat/>
    <w:pPr>
      <w:ind w:firstLine="420"/>
    </w:pPr>
    <w:rPr>
      <w:rFonts w:ascii="Times New Roman" w:hAnsi="Times New Roman" w:eastAsia="宋体" w:cs="Times New Roman"/>
      <w:szCs w:val="21"/>
    </w:rPr>
  </w:style>
  <w:style w:type="character" w:styleId="729" w:customStyle="1">
    <w:name w:val="批注主题 字符"/>
    <w:basedOn w:val="721"/>
    <w:link w:val="703"/>
    <w:uiPriority w:val="99"/>
    <w:semiHidden/>
    <w:qFormat/>
    <w:rPr>
      <w:rFonts w:ascii="Times New Roman" w:hAnsi="Times New Roman" w:eastAsia="宋体" w:cs="Times New Roman"/>
      <w:b/>
      <w:bCs/>
      <w:sz w:val="21"/>
      <w:szCs w:val="22"/>
    </w:rPr>
  </w:style>
  <w:style w:type="paragraph" w:styleId="730" w:customStyle="1">
    <w:name w:val="_Style 6"/>
    <w:basedOn w:val="674"/>
    <w:uiPriority w:val="34"/>
    <w:qFormat/>
    <w:pPr>
      <w:ind w:firstLine="420"/>
      <w:widowControl/>
    </w:pPr>
    <w:rPr>
      <w:rFonts w:ascii="Calibri" w:hAnsi="Calibri"/>
      <w:sz w:val="34"/>
      <w:szCs w:val="21"/>
    </w:rPr>
  </w:style>
  <w:style w:type="paragraph" w:styleId="731" w:customStyle="1">
    <w:name w:val="列出段落11"/>
    <w:basedOn w:val="674"/>
    <w:uiPriority w:val="99"/>
    <w:qFormat/>
    <w:pPr>
      <w:contextualSpacing/>
      <w:ind w:left="720"/>
    </w:pPr>
    <w:rPr>
      <w:rFonts w:ascii="黑体" w:hAnsi="黑体" w:eastAsia="Arial" w:cs="黑体"/>
      <w:szCs w:val="21"/>
    </w:rPr>
  </w:style>
  <w:style w:type="character" w:styleId="732" w:customStyle="1">
    <w:name w:val="bsharetext"/>
    <w:basedOn w:val="678"/>
    <w:uiPriority w:val="0"/>
    <w:qFormat/>
  </w:style>
  <w:style w:type="character" w:styleId="733" w:customStyle="1">
    <w:name w:val="active2"/>
    <w:basedOn w:val="678"/>
    <w:uiPriority w:val="0"/>
    <w:qFormat/>
    <w:rPr>
      <w:shd w:val="clear" w:color="auto" w:fill="0162b1"/>
    </w:rPr>
  </w:style>
  <w:style w:type="character" w:styleId="734" w:customStyle="1">
    <w:name w:val="add3"/>
    <w:basedOn w:val="678"/>
    <w:uiPriority w:val="0"/>
    <w:qFormat/>
  </w:style>
  <w:style w:type="paragraph" w:styleId="735">
    <w:name w:val="List Paragraph"/>
    <w:basedOn w:val="67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36" w:customStyle="1">
    <w:name w:val="fontstyle01"/>
    <w:uiPriority w:val="0"/>
    <w:qFormat/>
    <w:rPr>
      <w:rFonts w:hint="eastAsia" w:ascii="宋体" w:hAnsi="宋体" w:eastAsia="宋体"/>
      <w:color w:val="000000"/>
      <w:sz w:val="24"/>
      <w:szCs w:val="24"/>
    </w:rPr>
  </w:style>
  <w:style w:type="character" w:styleId="737" w:customStyle="1">
    <w:name w:val="fontstyle21"/>
    <w:uiPriority w:val="0"/>
    <w:qFormat/>
    <w:rPr>
      <w:rFonts w:hint="default" w:ascii="Times New Roman" w:hAnsi="Times New Roman" w:cs="Times New Roman"/>
      <w:color w:val="000000"/>
      <w:sz w:val="24"/>
      <w:szCs w:val="24"/>
    </w:rPr>
  </w:style>
  <w:style w:type="paragraph" w:styleId="738"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739" w:customStyle="1">
    <w:name w:val="表格中文字（dbapp）"/>
    <w:basedOn w:val="674"/>
    <w:uiPriority w:val="0"/>
    <w:qFormat/>
    <w:pPr>
      <w:jc w:val="left"/>
      <w:spacing w:before="20" w:after="20"/>
    </w:pPr>
    <w:rPr>
      <w:rFonts w:ascii="方正兰亭黑简体" w:hAnsi="方正兰亭黑简体" w:eastAsia="方正兰亭黑简体"/>
      <w:szCs w:val="21"/>
    </w:rPr>
  </w:style>
  <w:style w:type="paragraph" w:styleId="740" w:customStyle="1">
    <w:name w:val="msolistparagraph"/>
    <w:basedOn w:val="674"/>
    <w:uiPriority w:val="0"/>
    <w:qFormat/>
    <w:pPr>
      <w:ind w:firstLine="420"/>
    </w:pPr>
    <w:rPr>
      <w:rFonts w:ascii="Calibri" w:hAnsi="Calibri" w:eastAsia="宋体" w:cs="Times New Roman"/>
    </w:rPr>
  </w:style>
  <w:style w:type="character" w:styleId="741" w:customStyle="1">
    <w:name w:val="标题 3 字符1"/>
    <w:basedOn w:val="678"/>
    <w:link w:val="677"/>
    <w:uiPriority w:val="0"/>
    <w:qFormat/>
    <w:rPr>
      <w:b/>
      <w:bCs/>
      <w:sz w:val="32"/>
      <w:szCs w:val="32"/>
    </w:rPr>
  </w:style>
  <w:style w:type="character" w:styleId="742" w:customStyle="1">
    <w:name w:val="标题 1 字符1"/>
    <w:basedOn w:val="678"/>
    <w:link w:val="675"/>
    <w:uiPriority w:val="0"/>
    <w:qFormat/>
    <w:rPr>
      <w:b/>
      <w:bCs/>
      <w:sz w:val="32"/>
      <w:szCs w:val="44"/>
    </w:rPr>
  </w:style>
  <w:style w:type="character" w:styleId="743" w:customStyle="1">
    <w:name w:val="标题 2 字符1"/>
    <w:basedOn w:val="678"/>
    <w:uiPriority w:val="0"/>
    <w:qFormat/>
    <w:rPr>
      <w:rFonts w:hint="default" w:ascii="Cambria" w:hAnsi="Cambria" w:eastAsia="Cambria" w:cs="Cambria"/>
      <w:b/>
      <w:bCs/>
      <w:sz w:val="32"/>
      <w:szCs w:val="32"/>
    </w:rPr>
  </w:style>
  <w:style w:type="character" w:styleId="744" w:customStyle="1">
    <w:name w:val="批注文字 字符1"/>
    <w:basedOn w:val="678"/>
    <w:uiPriority w:val="0"/>
    <w:qFormat/>
    <w:rPr>
      <w:sz w:val="21"/>
      <w:szCs w:val="24"/>
    </w:rPr>
  </w:style>
  <w:style w:type="character" w:styleId="745" w:customStyle="1">
    <w:name w:val="批注文字 字符"/>
    <w:basedOn w:val="678"/>
    <w:link w:val="686"/>
    <w:uiPriority w:val="99"/>
    <w:qFormat/>
    <w:rPr>
      <w:sz w:val="21"/>
      <w:szCs w:val="24"/>
    </w:rPr>
  </w:style>
  <w:style w:type="paragraph" w:styleId="74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747"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748"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749"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50"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751" w:customStyle="1">
    <w:name w:val="HTML 预设格式 字符"/>
    <w:basedOn w:val="678"/>
    <w:link w:val="700"/>
    <w:uiPriority w:val="0"/>
    <w:qFormat/>
    <w:rPr>
      <w:rFonts w:hint="eastAsia" w:ascii="宋体" w:hAnsi="宋体" w:eastAsia="宋体" w:cs="宋体"/>
      <w:sz w:val="24"/>
      <w:szCs w:val="24"/>
    </w:rPr>
  </w:style>
  <w:style w:type="paragraph" w:styleId="752"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753"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754"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755"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756"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757"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758" w:customStyle="1">
    <w:name w:val="_正文段落 Char Char"/>
    <w:basedOn w:val="678"/>
    <w:uiPriority w:val="0"/>
    <w:qFormat/>
    <w:rPr>
      <w:sz w:val="24"/>
      <w:szCs w:val="24"/>
    </w:rPr>
  </w:style>
  <w:style w:type="paragraph" w:styleId="759" w:customStyle="1">
    <w:name w:val="正文段落样式"/>
    <w:basedOn w:val="674"/>
    <w:link w:val="761"/>
    <w:uiPriority w:val="0"/>
    <w:qFormat/>
    <w:pPr>
      <w:ind w:firstLine="420"/>
      <w:jc w:val="left"/>
      <w:spacing w:line="360" w:lineRule="auto"/>
    </w:pPr>
    <w:rPr>
      <w:rFonts w:hint="eastAsia" w:ascii="等线" w:hAnsi="等线" w:eastAsia="等线" w:cs="Times New Roman"/>
      <w:sz w:val="24"/>
      <w:szCs w:val="21"/>
    </w:rPr>
  </w:style>
  <w:style w:type="character" w:styleId="760" w:customStyle="1">
    <w:name w:val="列表段落 字符"/>
    <w:basedOn w:val="678"/>
    <w:uiPriority w:val="0"/>
    <w:qFormat/>
    <w:rPr>
      <w:rFonts w:hint="eastAsia" w:ascii="Arial Unicode MS" w:hAnsi="Arial Unicode MS" w:eastAsia="等线" w:cs="Arial Unicode MS"/>
      <w:color w:val="000000"/>
      <w:lang w:eastAsia="en-US"/>
    </w:rPr>
  </w:style>
  <w:style w:type="character" w:styleId="761" w:customStyle="1">
    <w:name w:val="正文段落样式 Char"/>
    <w:basedOn w:val="678"/>
    <w:link w:val="759"/>
    <w:uiPriority w:val="0"/>
    <w:qFormat/>
    <w:rPr>
      <w:rFonts w:hint="eastAsia" w:ascii="等线" w:hAnsi="等线" w:eastAsia="等线" w:cs="Times New Roman"/>
      <w:sz w:val="24"/>
      <w:szCs w:val="21"/>
    </w:rPr>
  </w:style>
  <w:style w:type="paragraph" w:styleId="762"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763"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764" w:customStyle="1">
    <w:name w:val="标题 6 字符"/>
    <w:basedOn w:val="678"/>
    <w:uiPriority w:val="0"/>
    <w:qFormat/>
    <w:rPr>
      <w:rFonts w:ascii="Arial" w:hAnsi="Arial" w:eastAsia="黑体" w:cs="Times New Roman"/>
      <w:sz w:val="22"/>
      <w:szCs w:val="20"/>
    </w:rPr>
  </w:style>
  <w:style w:type="character" w:styleId="765" w:customStyle="1">
    <w:name w:val="文档正文 Char"/>
    <w:basedOn w:val="678"/>
    <w:uiPriority w:val="0"/>
    <w:qFormat/>
    <w:rPr>
      <w:rFonts w:hint="default" w:ascii="Times New Roman" w:hAnsi="Times New Roman" w:eastAsia="宋体" w:cs="Times New Roman"/>
      <w:sz w:val="22"/>
      <w:szCs w:val="20"/>
    </w:rPr>
  </w:style>
  <w:style w:type="character" w:styleId="766" w:customStyle="1">
    <w:name w:val="标题 5 字符"/>
    <w:basedOn w:val="678"/>
    <w:uiPriority w:val="0"/>
    <w:qFormat/>
    <w:rPr>
      <w:rFonts w:hint="default" w:ascii="Times New Roman" w:hAnsi="Times New Roman" w:eastAsia="宋体" w:cs="Times New Roman"/>
      <w:sz w:val="28"/>
      <w:szCs w:val="20"/>
    </w:rPr>
  </w:style>
  <w:style w:type="character" w:styleId="767" w:customStyle="1">
    <w:name w:val="正文(首行缩进) Char"/>
    <w:basedOn w:val="678"/>
    <w:link w:val="768"/>
    <w:uiPriority w:val="0"/>
    <w:qFormat/>
    <w:rPr>
      <w:rFonts w:hint="default" w:ascii="Times New Roman" w:hAnsi="Times New Roman" w:eastAsia="宋体" w:cs="Times New Roman"/>
      <w:sz w:val="24"/>
      <w:szCs w:val="24"/>
    </w:rPr>
  </w:style>
  <w:style w:type="paragraph" w:styleId="768" w:customStyle="1">
    <w:name w:val="正文(首行缩进)"/>
    <w:basedOn w:val="674"/>
    <w:next w:val="674"/>
    <w:link w:val="767"/>
    <w:uiPriority w:val="0"/>
    <w:qFormat/>
    <w:pPr>
      <w:ind w:firstLine="480"/>
      <w:spacing w:line="360" w:lineRule="auto"/>
    </w:pPr>
    <w:rPr>
      <w:rFonts w:ascii="Times New Roman" w:hAnsi="Times New Roman" w:eastAsia="宋体" w:cs="Times New Roman"/>
      <w:sz w:val="24"/>
      <w:szCs w:val="24"/>
    </w:rPr>
  </w:style>
  <w:style w:type="character" w:styleId="769" w:customStyle="1">
    <w:name w:val="标题 4 字符"/>
    <w:basedOn w:val="678"/>
    <w:uiPriority w:val="0"/>
    <w:qFormat/>
    <w:rPr>
      <w:rFonts w:hint="eastAsia" w:ascii="宋体" w:hAnsi="宋体" w:eastAsia="宋体" w:cs="Times New Roman"/>
      <w:b/>
      <w:sz w:val="24"/>
      <w:szCs w:val="24"/>
    </w:rPr>
  </w:style>
  <w:style w:type="paragraph" w:styleId="770" w:customStyle="1">
    <w:name w:val="表格内容"/>
    <w:basedOn w:val="674"/>
    <w:uiPriority w:val="0"/>
    <w:qFormat/>
    <w:pPr>
      <w:ind w:left="420"/>
      <w:spacing w:before="156" w:after="156" w:line="300" w:lineRule="auto"/>
    </w:pPr>
    <w:rPr>
      <w:rFonts w:ascii="Times New Roman" w:hAnsi="Times New Roman" w:eastAsia="宋体" w:cs="Times New Roman"/>
      <w:sz w:val="18"/>
      <w:szCs w:val="24"/>
    </w:rPr>
  </w:style>
  <w:style w:type="character" w:styleId="771" w:customStyle="1">
    <w:name w:val="标题 3 字符"/>
    <w:basedOn w:val="678"/>
    <w:uiPriority w:val="0"/>
    <w:qFormat/>
    <w:rPr>
      <w:rFonts w:hint="eastAsia" w:ascii="宋体" w:hAnsi="宋体" w:eastAsia="宋体" w:cs="Times New Roman"/>
      <w:b/>
      <w:bCs/>
      <w:sz w:val="24"/>
      <w:szCs w:val="24"/>
    </w:rPr>
  </w:style>
  <w:style w:type="character" w:styleId="772" w:customStyle="1">
    <w:name w:val="标题 1 字符"/>
    <w:basedOn w:val="678"/>
    <w:uiPriority w:val="0"/>
    <w:qFormat/>
    <w:rPr>
      <w:rFonts w:hint="eastAsia" w:ascii="宋体" w:hAnsi="宋体" w:eastAsia="宋体" w:cs="Times New Roman"/>
      <w:b/>
      <w:bCs/>
      <w:sz w:val="36"/>
      <w:szCs w:val="36"/>
    </w:rPr>
  </w:style>
  <w:style w:type="character" w:styleId="773" w:customStyle="1">
    <w:name w:val="标题 9 字符"/>
    <w:basedOn w:val="678"/>
    <w:uiPriority w:val="0"/>
    <w:qFormat/>
    <w:rPr>
      <w:rFonts w:hint="default" w:ascii="Arial" w:hAnsi="Arial" w:eastAsia="黑体" w:cs="Times New Roman"/>
      <w:sz w:val="22"/>
      <w:szCs w:val="20"/>
    </w:rPr>
  </w:style>
  <w:style w:type="character" w:styleId="774" w:customStyle="1">
    <w:name w:val="标题 8 字符"/>
    <w:basedOn w:val="678"/>
    <w:uiPriority w:val="0"/>
    <w:qFormat/>
    <w:rPr>
      <w:rFonts w:hint="default" w:ascii="Arial" w:hAnsi="Arial" w:eastAsia="黑体" w:cs="Times New Roman"/>
      <w:sz w:val="22"/>
      <w:szCs w:val="20"/>
    </w:rPr>
  </w:style>
  <w:style w:type="character" w:styleId="775" w:customStyle="1">
    <w:name w:val="[正文行首缩进] Char"/>
    <w:basedOn w:val="678"/>
    <w:link w:val="776"/>
    <w:uiPriority w:val="0"/>
    <w:qFormat/>
    <w:rPr>
      <w:rFonts w:hint="eastAsia" w:ascii="宋体" w:hAnsi="宋体" w:eastAsia="宋体" w:cs="宋体"/>
      <w:color w:val="000000"/>
      <w:sz w:val="24"/>
      <w:szCs w:val="24"/>
    </w:rPr>
  </w:style>
  <w:style w:type="paragraph" w:styleId="776" w:customStyle="1">
    <w:name w:val="[正文行首缩进]"/>
    <w:basedOn w:val="674"/>
    <w:link w:val="775"/>
    <w:uiPriority w:val="0"/>
    <w:qFormat/>
    <w:pPr>
      <w:jc w:val="center"/>
      <w:spacing w:line="360" w:lineRule="auto"/>
    </w:pPr>
    <w:rPr>
      <w:rFonts w:hint="eastAsia" w:ascii="宋体" w:hAnsi="等线" w:eastAsia="等线" w:cs="Times New Roman"/>
      <w:color w:val="000000"/>
      <w:sz w:val="24"/>
      <w:szCs w:val="24"/>
    </w:rPr>
  </w:style>
  <w:style w:type="character" w:styleId="777" w:customStyle="1">
    <w:name w:val="正文缩进 字符"/>
    <w:basedOn w:val="678"/>
    <w:uiPriority w:val="0"/>
    <w:qFormat/>
    <w:rPr>
      <w:sz w:val="24"/>
    </w:rPr>
  </w:style>
  <w:style w:type="character" w:styleId="778" w:customStyle="1">
    <w:name w:val="文档结构图 字符"/>
    <w:basedOn w:val="678"/>
    <w:link w:val="685"/>
    <w:uiPriority w:val="0"/>
    <w:qFormat/>
    <w:rPr>
      <w:rFonts w:hint="eastAsia" w:ascii="Microsoft YaHei UI" w:hAnsi="Microsoft YaHei UI" w:eastAsia="Microsoft YaHei UI" w:cs="Microsoft YaHei UI"/>
      <w:sz w:val="18"/>
      <w:szCs w:val="18"/>
    </w:rPr>
  </w:style>
  <w:style w:type="character" w:styleId="779" w:customStyle="1">
    <w:name w:val="标题 字符"/>
    <w:basedOn w:val="678"/>
    <w:link w:val="702"/>
    <w:uiPriority w:val="0"/>
    <w:qFormat/>
    <w:rPr>
      <w:rFonts w:ascii="等线 Light" w:hAnsi="等线 Light" w:eastAsia="等线 Light" w:cs="Times New Roman"/>
      <w:b/>
      <w:bCs/>
      <w:sz w:val="32"/>
      <w:szCs w:val="32"/>
    </w:rPr>
  </w:style>
  <w:style w:type="character" w:styleId="780" w:customStyle="1">
    <w:name w:val="标题 2 字符"/>
    <w:basedOn w:val="678"/>
    <w:uiPriority w:val="0"/>
    <w:qFormat/>
    <w:rPr>
      <w:rFonts w:hint="eastAsia" w:ascii="宋体" w:hAnsi="宋体" w:eastAsia="宋体" w:cs="Times New Roman"/>
      <w:b/>
      <w:bCs/>
      <w:sz w:val="28"/>
      <w:szCs w:val="32"/>
    </w:rPr>
  </w:style>
  <w:style w:type="character" w:styleId="781" w:customStyle="1">
    <w:name w:val="标题 7 字符"/>
    <w:basedOn w:val="678"/>
    <w:uiPriority w:val="0"/>
    <w:qFormat/>
    <w:rPr>
      <w:rFonts w:hint="default" w:ascii="Times New Roman" w:hAnsi="Times New Roman" w:eastAsia="宋体" w:cs="Times New Roman"/>
      <w:b/>
      <w:sz w:val="22"/>
      <w:szCs w:val="20"/>
    </w:rPr>
  </w:style>
  <w:style w:type="paragraph" w:styleId="782" w:customStyle="1">
    <w:name w:val="表格标题"/>
    <w:basedOn w:val="674"/>
    <w:uiPriority w:val="0"/>
    <w:qFormat/>
    <w:pPr>
      <w:jc w:val="center"/>
      <w:spacing w:before="62" w:after="62" w:line="360" w:lineRule="auto"/>
    </w:pPr>
    <w:rPr>
      <w:rFonts w:hint="eastAsia" w:ascii="宋体" w:hAnsi="宋体" w:eastAsia="宋体" w:cs="Times New Roman"/>
      <w:b/>
      <w:bCs/>
      <w:szCs w:val="20"/>
    </w:rPr>
  </w:style>
  <w:style w:type="table" w:styleId="783" w:customStyle="1">
    <w:name w:val="Table Normal1"/>
    <w:basedOn w:val="679"/>
    <w:uiPriority w:val="0"/>
    <w:semiHidden/>
    <w:qFormat/>
    <w:pPr>
      <w:widowControl w:val="off"/>
    </w:pPr>
    <w:rPr>
      <w:rFonts w:hint="eastAsia"/>
      <w:sz w:val="22"/>
      <w:szCs w:val="22"/>
      <w:lang w:eastAsia="en-US"/>
    </w:rPr>
    <w:tblPr>
      <w:tblCellMar>
        <w:left w:w="0" w:type="dxa"/>
        <w:right w:w="0" w:type="dxa"/>
      </w:tblCellMar>
    </w:tblPr>
  </w:style>
  <w:style w:type="paragraph" w:styleId="784"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785" w:customStyle="1">
    <w:name w:val="正文文本首行缩进 字符"/>
    <w:uiPriority w:val="0"/>
    <w:qFormat/>
    <w:rPr>
      <w:rFonts w:hint="default" w:ascii="Calibri" w:hAnsi="Calibri" w:eastAsia="宋体" w:cs="Times New Roman"/>
      <w:sz w:val="21"/>
      <w:szCs w:val="22"/>
    </w:rPr>
  </w:style>
  <w:style w:type="paragraph" w:styleId="786" w:customStyle="1">
    <w:name w:val="表正文"/>
    <w:basedOn w:val="674"/>
    <w:uiPriority w:val="0"/>
    <w:qFormat/>
    <w:rPr>
      <w:rFonts w:hint="eastAsia" w:ascii="等线" w:hAnsi="等线" w:eastAsia="宋体" w:cs="Times New Roman"/>
      <w:sz w:val="18"/>
    </w:rPr>
  </w:style>
  <w:style w:type="paragraph" w:styleId="787"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788" w:customStyle="1">
    <w:name w:val="列出段落 Char"/>
    <w:basedOn w:val="678"/>
    <w:uiPriority w:val="0"/>
    <w:qFormat/>
    <w:rPr>
      <w:rFonts w:hint="eastAsia" w:ascii="Arial Unicode MS" w:hAnsi="Arial Unicode MS" w:eastAsia="Arial Unicode MS" w:cs="Arial Unicode MS"/>
      <w:color w:val="000000"/>
      <w:sz w:val="20"/>
      <w:szCs w:val="20"/>
      <w:lang w:eastAsia="en-US"/>
    </w:rPr>
  </w:style>
  <w:style w:type="character" w:styleId="789" w:customStyle="1">
    <w:name w:val="标题 2 字符2"/>
    <w:basedOn w:val="678"/>
    <w:uiPriority w:val="0"/>
    <w:qFormat/>
    <w:rPr>
      <w:rFonts w:hint="default" w:ascii="Arial" w:hAnsi="Arial" w:eastAsia="黑体" w:cs="Arial"/>
      <w:b/>
      <w:bCs/>
      <w:sz w:val="32"/>
      <w:szCs w:val="32"/>
    </w:rPr>
  </w:style>
  <w:style w:type="paragraph" w:styleId="790"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791"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792" w:customStyle="1">
    <w:name w:val="标题 2 字符3"/>
    <w:basedOn w:val="678"/>
    <w:link w:val="676"/>
    <w:uiPriority w:val="0"/>
    <w:qFormat/>
    <w:rPr>
      <w:rFonts w:hint="default" w:ascii="Arial" w:hAnsi="Arial" w:eastAsia="黑体" w:cs="Arial"/>
      <w:b/>
      <w:bCs/>
      <w:sz w:val="32"/>
      <w:szCs w:val="32"/>
    </w:rPr>
  </w:style>
  <w:style w:type="character" w:styleId="793" w:customStyle="1">
    <w:name w:val="列出段落 Char1"/>
    <w:basedOn w:val="678"/>
    <w:uiPriority w:val="0"/>
    <w:qFormat/>
    <w:rPr>
      <w:rFonts w:hint="eastAsia" w:ascii="Arial Unicode MS" w:hAnsi="Arial Unicode MS" w:eastAsia="Arial Unicode MS" w:cs="Arial Unicode MS"/>
      <w:color w:val="000000"/>
      <w:sz w:val="20"/>
      <w:szCs w:val="20"/>
      <w:lang w:eastAsia="en-US"/>
    </w:rPr>
  </w:style>
  <w:style w:type="paragraph" w:styleId="794"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795"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796" w:customStyle="1">
    <w:name w:val="Table Text"/>
    <w:basedOn w:val="674"/>
    <w:hidden/>
    <w:uiPriority w:val="0"/>
    <w:qFormat/>
    <w:pPr>
      <w:jc w:val="left"/>
      <w:widowControl/>
    </w:pPr>
    <w:rPr>
      <w:rFonts w:hint="eastAsia" w:ascii="宋体" w:hAnsi="宋体" w:eastAsia="宋体" w:cs="Times New Roman"/>
      <w:color w:val="000000"/>
      <w:szCs w:val="21"/>
    </w:rPr>
  </w:style>
  <w:style w:type="paragraph" w:styleId="797"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798"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799" w:customStyle="1">
    <w:name w:val="纯文本 字符1"/>
    <w:basedOn w:val="678"/>
    <w:uiPriority w:val="0"/>
    <w:qFormat/>
    <w:rPr>
      <w:rFonts w:hint="eastAsia" w:ascii="宋体" w:hAnsi="Courier New" w:eastAsia="宋体" w:cs="Courier New"/>
      <w:szCs w:val="24"/>
    </w:rPr>
  </w:style>
  <w:style w:type="paragraph" w:styleId="800"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801" w:customStyle="1">
    <w:name w:val="段"/>
    <w:basedOn w:val="674"/>
    <w:next w:val="674"/>
    <w:uiPriority w:val="0"/>
    <w:qFormat/>
    <w:pPr>
      <w:ind w:firstLine="200"/>
      <w:spacing w:line="360" w:lineRule="auto"/>
      <w:widowControl/>
    </w:pPr>
    <w:rPr>
      <w:rFonts w:hint="eastAsia" w:ascii="宋体" w:hAnsi="Times New Roman" w:eastAsia="宋体" w:cs="Times New Roman"/>
      <w:sz w:val="24"/>
    </w:rPr>
  </w:style>
  <w:style w:type="paragraph" w:styleId="802"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803"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804"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805"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806" w:customStyle="1">
    <w:name w:val="正文文本首行缩进 2 字符"/>
    <w:uiPriority w:val="0"/>
    <w:qFormat/>
    <w:rPr>
      <w:sz w:val="21"/>
      <w:szCs w:val="24"/>
    </w:rPr>
  </w:style>
  <w:style w:type="paragraph" w:styleId="807" w:customStyle="1">
    <w:name w:val="qq正文"/>
    <w:basedOn w:val="674"/>
    <w:uiPriority w:val="0"/>
    <w:qFormat/>
    <w:pPr>
      <w:ind w:firstLine="200"/>
      <w:spacing w:line="360" w:lineRule="auto"/>
    </w:pPr>
    <w:rPr>
      <w:rFonts w:ascii="Times New Roman" w:hAnsi="Times New Roman" w:eastAsia="宋体" w:cs="Times New Roman"/>
      <w:sz w:val="24"/>
      <w:szCs w:val="24"/>
    </w:rPr>
  </w:style>
  <w:style w:type="paragraph" w:styleId="808"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809"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810"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811"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812"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813"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14"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815"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816" w:customStyle="1">
    <w:name w:val="修订34"/>
    <w:hidden/>
    <w:uiPriority w:val="99"/>
    <w:unhideWhenUsed/>
    <w:qFormat/>
    <w:rPr>
      <w:rFonts w:asciiTheme="minorHAnsi" w:hAnsiTheme="minorHAnsi" w:eastAsiaTheme="minorEastAsia" w:cstheme="minorBidi"/>
      <w:sz w:val="21"/>
      <w:szCs w:val="22"/>
      <w:lang w:val="en-US" w:eastAsia="zh-CN" w:bidi="ar-SA"/>
    </w:rPr>
  </w:style>
  <w:style w:type="numbering" w:styleId="9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8F28A6C-F138-4FD2-A2B9-9C1BE4CE39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7</cp:revision>
  <dcterms:created xsi:type="dcterms:W3CDTF">2026-08-12T14:42:00Z</dcterms:created>
  <dcterms:modified xsi:type="dcterms:W3CDTF">2026-09-22T06:46:50Z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DC9A99831D6F4D53A3A5D59A1EF6608F_13</vt:lpwstr>
  </property>
  <property fmtid="{D5CDD505-2E9C-101B-9397-08002B2CF9AE}" pid="4" name="KSOTemplateDocerSaveRecord">
    <vt:lpwstr>eyJoZGlkIjoiNTE3ODBhODAwYWZlYmM2Zjk2MjA5ZjdiYTk1Y2U0OTQiLCJ1c2VySWQiOiI5NTc1NDY5NDYifQ==</vt:lpwstr>
  </property>
</Properties>
</file>