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838493">
      <w:pPr>
        <w:jc w:val="center"/>
        <w:rPr>
          <w:rFonts w:ascii="黑体" w:hAnsi="黑体" w:eastAsia="黑体" w:cs="黑体"/>
          <w:color w:val="auto"/>
          <w:spacing w:val="20"/>
          <w:sz w:val="72"/>
          <w:highlight w:val="none"/>
        </w:rPr>
      </w:pPr>
    </w:p>
    <w:p w14:paraId="1E62F342">
      <w:pPr>
        <w:jc w:val="center"/>
        <w:rPr>
          <w:color w:val="auto"/>
          <w:highlight w:val="none"/>
        </w:rPr>
      </w:pPr>
      <w:r>
        <w:rPr>
          <w:rFonts w:ascii="黑体" w:hAnsi="黑体" w:eastAsia="黑体" w:cs="黑体"/>
          <w:color w:val="auto"/>
          <w:spacing w:val="20"/>
          <w:sz w:val="72"/>
          <w:highlight w:val="none"/>
        </w:rPr>
        <w:t>泰 州 市 政 府 采 购</w:t>
      </w:r>
    </w:p>
    <w:p w14:paraId="52BC97FC">
      <w:pPr>
        <w:rPr>
          <w:color w:val="auto"/>
          <w:highlight w:val="none"/>
        </w:rPr>
      </w:pPr>
      <w:r>
        <w:rPr>
          <w:rFonts w:ascii="华文中宋" w:hAnsi="华文中宋" w:eastAsia="华文中宋" w:cs="华文中宋"/>
          <w:color w:val="auto"/>
          <w:sz w:val="30"/>
          <w:highlight w:val="none"/>
        </w:rPr>
        <w:t> </w:t>
      </w:r>
    </w:p>
    <w:p w14:paraId="5C124A08">
      <w:pPr>
        <w:rPr>
          <w:rFonts w:ascii="华文中宋" w:hAnsi="华文中宋" w:eastAsia="华文中宋" w:cs="华文中宋"/>
          <w:color w:val="auto"/>
          <w:sz w:val="30"/>
          <w:highlight w:val="none"/>
        </w:rPr>
      </w:pPr>
      <w:r>
        <w:rPr>
          <w:rFonts w:ascii="华文中宋" w:hAnsi="华文中宋" w:eastAsia="华文中宋" w:cs="华文中宋"/>
          <w:color w:val="auto"/>
          <w:sz w:val="30"/>
          <w:highlight w:val="none"/>
        </w:rPr>
        <w:t> </w:t>
      </w:r>
    </w:p>
    <w:p w14:paraId="182B2683">
      <w:pPr>
        <w:rPr>
          <w:rFonts w:ascii="华文中宋" w:hAnsi="华文中宋" w:eastAsia="华文中宋" w:cs="华文中宋"/>
          <w:color w:val="auto"/>
          <w:sz w:val="30"/>
          <w:highlight w:val="none"/>
        </w:rPr>
      </w:pPr>
    </w:p>
    <w:p w14:paraId="6B6D461A">
      <w:pPr>
        <w:rPr>
          <w:color w:val="auto"/>
          <w:highlight w:val="none"/>
        </w:rPr>
      </w:pPr>
    </w:p>
    <w:p w14:paraId="7B3D04D7">
      <w:pPr>
        <w:rPr>
          <w:color w:val="auto"/>
          <w:highlight w:val="none"/>
        </w:rPr>
      </w:pPr>
      <w:r>
        <w:rPr>
          <w:rFonts w:ascii="华文中宋" w:hAnsi="华文中宋" w:eastAsia="华文中宋" w:cs="华文中宋"/>
          <w:color w:val="auto"/>
          <w:sz w:val="30"/>
          <w:highlight w:val="none"/>
        </w:rPr>
        <w:t> </w:t>
      </w:r>
    </w:p>
    <w:p w14:paraId="3DC91C68">
      <w:pPr>
        <w:jc w:val="center"/>
        <w:rPr>
          <w:color w:val="auto"/>
          <w:sz w:val="22"/>
          <w:szCs w:val="21"/>
          <w:highlight w:val="none"/>
        </w:rPr>
      </w:pPr>
      <w:r>
        <w:rPr>
          <w:rFonts w:ascii="黑体" w:hAnsi="黑体" w:eastAsia="黑体" w:cs="黑体"/>
          <w:color w:val="auto"/>
          <w:spacing w:val="20"/>
          <w:sz w:val="52"/>
          <w:szCs w:val="21"/>
          <w:highlight w:val="none"/>
        </w:rPr>
        <w:t>公   开</w:t>
      </w:r>
    </w:p>
    <w:p w14:paraId="3D79A254">
      <w:pPr>
        <w:jc w:val="center"/>
        <w:rPr>
          <w:color w:val="auto"/>
          <w:sz w:val="22"/>
          <w:szCs w:val="21"/>
          <w:highlight w:val="none"/>
        </w:rPr>
      </w:pPr>
      <w:r>
        <w:rPr>
          <w:rFonts w:ascii="黑体" w:hAnsi="黑体" w:eastAsia="黑体" w:cs="黑体"/>
          <w:color w:val="auto"/>
          <w:spacing w:val="20"/>
          <w:sz w:val="56"/>
          <w:szCs w:val="21"/>
          <w:highlight w:val="none"/>
        </w:rPr>
        <w:t>招  标  文 件</w:t>
      </w:r>
    </w:p>
    <w:p w14:paraId="45828D4B">
      <w:pPr>
        <w:spacing w:before="240"/>
        <w:jc w:val="center"/>
        <w:rPr>
          <w:color w:val="auto"/>
          <w:sz w:val="22"/>
          <w:szCs w:val="21"/>
          <w:highlight w:val="none"/>
        </w:rPr>
      </w:pPr>
      <w:r>
        <w:rPr>
          <w:rFonts w:ascii="华文中宋" w:hAnsi="华文中宋" w:eastAsia="华文中宋" w:cs="华文中宋"/>
          <w:color w:val="auto"/>
          <w:sz w:val="32"/>
          <w:szCs w:val="21"/>
          <w:highlight w:val="none"/>
        </w:rPr>
        <w:t>（全流程电子化不见面开标）</w:t>
      </w:r>
    </w:p>
    <w:p w14:paraId="0B0EE20C">
      <w:pPr>
        <w:jc w:val="center"/>
        <w:rPr>
          <w:rFonts w:ascii="宋体" w:hAnsi="宋体" w:cs="宋体"/>
          <w:color w:val="auto"/>
          <w:sz w:val="48"/>
          <w:szCs w:val="48"/>
          <w:highlight w:val="none"/>
        </w:rPr>
      </w:pPr>
    </w:p>
    <w:p w14:paraId="009C13E5">
      <w:pPr>
        <w:rPr>
          <w:rFonts w:ascii="宋体" w:hAnsi="宋体" w:cs="宋体"/>
          <w:color w:val="auto"/>
          <w:spacing w:val="10"/>
          <w:szCs w:val="21"/>
          <w:highlight w:val="none"/>
        </w:rPr>
      </w:pPr>
      <w:r>
        <w:rPr>
          <w:rFonts w:ascii="宋体" w:hAnsi="宋体" w:cs="宋体"/>
          <w:color w:val="auto"/>
          <w:spacing w:val="10"/>
          <w:szCs w:val="21"/>
          <w:highlight w:val="none"/>
        </w:rPr>
        <w:t xml:space="preserve"> </w:t>
      </w:r>
    </w:p>
    <w:p w14:paraId="1DBEAD2D">
      <w:pPr>
        <w:jc w:val="center"/>
        <w:rPr>
          <w:rFonts w:ascii="宋体" w:hAnsi="宋体" w:cs="宋体"/>
          <w:color w:val="auto"/>
          <w:spacing w:val="10"/>
          <w:sz w:val="28"/>
          <w:szCs w:val="28"/>
          <w:highlight w:val="none"/>
        </w:rPr>
      </w:pPr>
    </w:p>
    <w:p w14:paraId="75CDBC28">
      <w:pPr>
        <w:jc w:val="center"/>
        <w:rPr>
          <w:rFonts w:ascii="宋体" w:hAnsi="宋体" w:cs="宋体"/>
          <w:color w:val="auto"/>
          <w:spacing w:val="10"/>
          <w:sz w:val="28"/>
          <w:szCs w:val="28"/>
          <w:highlight w:val="none"/>
        </w:rPr>
      </w:pPr>
    </w:p>
    <w:p w14:paraId="30D13F2D">
      <w:pPr>
        <w:jc w:val="center"/>
        <w:rPr>
          <w:rFonts w:ascii="宋体" w:hAnsi="宋体" w:cs="宋体"/>
          <w:color w:val="auto"/>
          <w:spacing w:val="10"/>
          <w:sz w:val="28"/>
          <w:szCs w:val="28"/>
          <w:highlight w:val="none"/>
        </w:rPr>
      </w:pPr>
    </w:p>
    <w:p w14:paraId="3F6176E8">
      <w:pPr>
        <w:spacing w:line="480" w:lineRule="auto"/>
        <w:ind w:firstLine="420"/>
        <w:rPr>
          <w:color w:val="auto"/>
          <w:highlight w:val="none"/>
        </w:rPr>
      </w:pPr>
    </w:p>
    <w:p w14:paraId="56EEE839">
      <w:pPr>
        <w:spacing w:line="480" w:lineRule="auto"/>
        <w:ind w:firstLine="960"/>
        <w:rPr>
          <w:rFonts w:hint="default" w:ascii="黑体" w:hAnsi="黑体" w:eastAsia="黑体" w:cs="黑体"/>
          <w:color w:val="auto"/>
          <w:sz w:val="32"/>
          <w:szCs w:val="21"/>
          <w:highlight w:val="none"/>
          <w:lang w:val="en-US" w:eastAsia="zh-CN"/>
        </w:rPr>
      </w:pPr>
      <w:r>
        <w:rPr>
          <w:rFonts w:ascii="黑体" w:hAnsi="黑体" w:eastAsia="黑体" w:cs="黑体"/>
          <w:color w:val="auto"/>
          <w:sz w:val="32"/>
          <w:szCs w:val="21"/>
          <w:highlight w:val="none"/>
        </w:rPr>
        <w:t>采购项目编号：</w:t>
      </w:r>
      <w:r>
        <w:rPr>
          <w:rFonts w:hint="eastAsia" w:ascii="黑体" w:hAnsi="黑体" w:eastAsia="黑体" w:cs="黑体"/>
          <w:color w:val="auto"/>
          <w:sz w:val="32"/>
          <w:szCs w:val="21"/>
          <w:highlight w:val="none"/>
        </w:rPr>
        <w:t>JSZC-321200-HSTZ-G2026-0001</w:t>
      </w:r>
    </w:p>
    <w:p w14:paraId="5CEDD626">
      <w:pPr>
        <w:spacing w:line="480" w:lineRule="auto"/>
        <w:ind w:firstLine="960"/>
        <w:rPr>
          <w:rFonts w:ascii="黑体" w:hAnsi="黑体" w:eastAsia="黑体" w:cs="黑体"/>
          <w:color w:val="auto"/>
          <w:sz w:val="32"/>
          <w:szCs w:val="21"/>
          <w:highlight w:val="none"/>
        </w:rPr>
      </w:pPr>
      <w:r>
        <w:rPr>
          <w:rFonts w:ascii="黑体" w:hAnsi="黑体" w:eastAsia="黑体" w:cs="黑体"/>
          <w:color w:val="auto"/>
          <w:sz w:val="32"/>
          <w:szCs w:val="21"/>
          <w:highlight w:val="none"/>
        </w:rPr>
        <w:t>采购项目名称：</w:t>
      </w:r>
      <w:r>
        <w:rPr>
          <w:rFonts w:hint="eastAsia" w:ascii="黑体" w:hAnsi="黑体" w:eastAsia="黑体" w:cs="黑体"/>
          <w:color w:val="auto"/>
          <w:sz w:val="32"/>
          <w:szCs w:val="21"/>
          <w:highlight w:val="none"/>
          <w:lang w:eastAsia="zh-CN"/>
        </w:rPr>
        <w:t>泰州实验中学新建教学楼宿舍楼及生活设施项目录播设备采购</w:t>
      </w:r>
    </w:p>
    <w:p w14:paraId="24B5FBC9">
      <w:pPr>
        <w:spacing w:line="480" w:lineRule="auto"/>
        <w:ind w:firstLine="960"/>
        <w:rPr>
          <w:rFonts w:hint="eastAsia" w:ascii="黑体" w:hAnsi="黑体" w:eastAsia="黑体" w:cs="黑体"/>
          <w:color w:val="auto"/>
          <w:sz w:val="32"/>
          <w:szCs w:val="21"/>
          <w:highlight w:val="none"/>
          <w:lang w:eastAsia="zh-CN"/>
        </w:rPr>
      </w:pPr>
      <w:r>
        <w:rPr>
          <w:rFonts w:hint="eastAsia" w:ascii="黑体" w:hAnsi="黑体" w:eastAsia="黑体" w:cs="黑体"/>
          <w:color w:val="auto"/>
          <w:sz w:val="32"/>
          <w:szCs w:val="21"/>
          <w:highlight w:val="none"/>
          <w:lang w:eastAsia="zh-CN"/>
        </w:rPr>
        <w:t>采购代理</w:t>
      </w:r>
      <w:r>
        <w:rPr>
          <w:rFonts w:ascii="黑体" w:hAnsi="黑体" w:eastAsia="黑体" w:cs="黑体"/>
          <w:color w:val="auto"/>
          <w:sz w:val="32"/>
          <w:szCs w:val="21"/>
          <w:highlight w:val="none"/>
        </w:rPr>
        <w:t>机构：</w:t>
      </w:r>
      <w:r>
        <w:rPr>
          <w:rFonts w:hint="eastAsia" w:ascii="黑体" w:hAnsi="黑体" w:eastAsia="黑体" w:cs="黑体"/>
          <w:color w:val="auto"/>
          <w:sz w:val="32"/>
          <w:szCs w:val="21"/>
          <w:highlight w:val="none"/>
          <w:lang w:eastAsia="zh-CN"/>
        </w:rPr>
        <w:t>江苏华盛建设管理咨询有限公司</w:t>
      </w:r>
    </w:p>
    <w:p w14:paraId="58267095">
      <w:pPr>
        <w:rPr>
          <w:rFonts w:ascii="宋体" w:hAnsi="宋体" w:cs="宋体"/>
          <w:color w:val="auto"/>
          <w:spacing w:val="10"/>
          <w:sz w:val="28"/>
          <w:szCs w:val="28"/>
          <w:highlight w:val="none"/>
        </w:rPr>
      </w:pPr>
    </w:p>
    <w:p w14:paraId="4ECA7D81">
      <w:pPr>
        <w:jc w:val="center"/>
        <w:rPr>
          <w:rFonts w:ascii="宋体" w:hAnsi="宋体" w:cs="宋体"/>
          <w:color w:val="auto"/>
          <w:spacing w:val="10"/>
          <w:sz w:val="36"/>
          <w:szCs w:val="36"/>
          <w:highlight w:val="none"/>
        </w:rPr>
      </w:pPr>
    </w:p>
    <w:p w14:paraId="4BDEA8F1">
      <w:pPr>
        <w:spacing w:line="360" w:lineRule="auto"/>
        <w:jc w:val="center"/>
        <w:rPr>
          <w:rFonts w:ascii="宋体" w:hAnsi="宋体" w:cs="宋体"/>
          <w:b/>
          <w:bCs/>
          <w:color w:val="auto"/>
          <w:sz w:val="36"/>
          <w:szCs w:val="36"/>
          <w:highlight w:val="none"/>
        </w:rPr>
      </w:pPr>
      <w:r>
        <w:rPr>
          <w:rFonts w:ascii="宋体" w:hAnsi="宋体" w:cs="宋体"/>
          <w:b/>
          <w:bCs/>
          <w:color w:val="auto"/>
          <w:sz w:val="36"/>
          <w:szCs w:val="36"/>
          <w:highlight w:val="none"/>
        </w:rPr>
        <w:t>二〇二</w:t>
      </w:r>
      <w:r>
        <w:rPr>
          <w:rFonts w:hint="eastAsia" w:ascii="宋体" w:hAnsi="宋体" w:cs="宋体"/>
          <w:b/>
          <w:bCs/>
          <w:color w:val="auto"/>
          <w:sz w:val="36"/>
          <w:szCs w:val="36"/>
          <w:highlight w:val="none"/>
          <w:lang w:val="en-US" w:eastAsia="zh-CN"/>
        </w:rPr>
        <w:t>六</w:t>
      </w:r>
      <w:r>
        <w:rPr>
          <w:rFonts w:ascii="宋体" w:hAnsi="宋体" w:cs="宋体"/>
          <w:b/>
          <w:bCs/>
          <w:color w:val="auto"/>
          <w:sz w:val="36"/>
          <w:szCs w:val="36"/>
          <w:highlight w:val="none"/>
        </w:rPr>
        <w:t>年</w:t>
      </w:r>
      <w:r>
        <w:rPr>
          <w:rFonts w:hint="eastAsia" w:ascii="宋体" w:hAnsi="宋体" w:cs="宋体"/>
          <w:b/>
          <w:bCs/>
          <w:color w:val="auto"/>
          <w:sz w:val="36"/>
          <w:szCs w:val="36"/>
          <w:highlight w:val="none"/>
          <w:lang w:val="en-US" w:eastAsia="zh-CN"/>
        </w:rPr>
        <w:t>十</w:t>
      </w:r>
      <w:r>
        <w:rPr>
          <w:rFonts w:ascii="宋体" w:hAnsi="宋体" w:cs="宋体"/>
          <w:b/>
          <w:bCs/>
          <w:color w:val="auto"/>
          <w:sz w:val="36"/>
          <w:szCs w:val="36"/>
          <w:highlight w:val="none"/>
        </w:rPr>
        <w:t>月</w:t>
      </w:r>
      <w:r>
        <w:rPr>
          <w:color w:val="auto"/>
          <w:highlight w:val="none"/>
        </w:rPr>
        <w:br w:type="page" w:clear="all"/>
      </w:r>
    </w:p>
    <w:p w14:paraId="16BC0B03">
      <w:pPr>
        <w:spacing w:before="120" w:after="120" w:line="520" w:lineRule="exact"/>
        <w:ind w:firstLine="561"/>
        <w:jc w:val="center"/>
        <w:rPr>
          <w:rFonts w:ascii="宋体" w:hAnsi="宋体" w:cs="宋体"/>
          <w:color w:val="auto"/>
          <w:sz w:val="28"/>
          <w:szCs w:val="28"/>
          <w:highlight w:val="none"/>
        </w:rPr>
      </w:pPr>
      <w:r>
        <w:rPr>
          <w:rFonts w:ascii="宋体" w:hAnsi="宋体" w:cs="宋体"/>
          <w:color w:val="auto"/>
          <w:sz w:val="36"/>
          <w:szCs w:val="36"/>
          <w:highlight w:val="none"/>
        </w:rPr>
        <w:t>政府采购不见面交易特别提醒</w:t>
      </w:r>
    </w:p>
    <w:p w14:paraId="1B0A3E79">
      <w:pPr>
        <w:spacing w:before="120" w:after="120" w:line="520" w:lineRule="exact"/>
        <w:rPr>
          <w:rFonts w:ascii="宋体" w:hAnsi="宋体" w:cs="宋体"/>
          <w:b/>
          <w:bCs/>
          <w:color w:val="auto"/>
          <w:sz w:val="24"/>
          <w:szCs w:val="24"/>
          <w:highlight w:val="none"/>
        </w:rPr>
      </w:pPr>
      <w:r>
        <w:rPr>
          <w:rFonts w:ascii="宋体" w:hAnsi="宋体" w:cs="宋体"/>
          <w:b/>
          <w:bCs/>
          <w:color w:val="auto"/>
          <w:sz w:val="24"/>
          <w:szCs w:val="24"/>
          <w:highlight w:val="none"/>
        </w:rPr>
        <w:t>一、不见面交易投标文件制作提交说明</w:t>
      </w:r>
    </w:p>
    <w:p w14:paraId="009374DD">
      <w:pPr>
        <w:spacing w:line="520" w:lineRule="exact"/>
        <w:ind w:firstLine="562"/>
        <w:jc w:val="left"/>
        <w:rPr>
          <w:rFonts w:ascii="宋体" w:hAnsi="宋体" w:cs="宋体"/>
          <w:color w:val="auto"/>
          <w:sz w:val="20"/>
          <w:szCs w:val="18"/>
          <w:highlight w:val="none"/>
        </w:rPr>
      </w:pPr>
      <w:r>
        <w:rPr>
          <w:rFonts w:ascii="宋体" w:hAnsi="宋体" w:cs="宋体"/>
          <w:color w:val="auto"/>
          <w:sz w:val="24"/>
          <w:szCs w:val="24"/>
          <w:highlight w:val="none"/>
          <w:shd w:val="clear" w:color="auto" w:fill="FFFFFF"/>
        </w:rPr>
        <w:t>1.</w:t>
      </w:r>
      <w:r>
        <w:rPr>
          <w:rFonts w:ascii="宋体" w:hAnsi="宋体" w:cs="宋体"/>
          <w:b/>
          <w:bCs/>
          <w:color w:val="auto"/>
          <w:sz w:val="24"/>
          <w:szCs w:val="24"/>
          <w:highlight w:val="none"/>
        </w:rPr>
        <w:t>业务流程：</w:t>
      </w:r>
      <w:r>
        <w:rPr>
          <w:rFonts w:ascii="宋体" w:hAnsi="宋体" w:cs="宋体"/>
          <w:color w:val="auto"/>
          <w:sz w:val="24"/>
          <w:szCs w:val="24"/>
          <w:highlight w:val="none"/>
          <w:shd w:val="clear" w:color="auto" w:fill="FFFFFF"/>
        </w:rPr>
        <w:t>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指南》。网址：</w:t>
      </w:r>
    </w:p>
    <w:p w14:paraId="350827FC">
      <w:pPr>
        <w:pStyle w:val="21"/>
        <w:ind w:firstLine="480"/>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http://www.ccgp-jiangsu.gov.cn/jiangsu/zlxz/ee/ee3a4bc5a3454aa2b0d9312230633ce9.html</w:t>
      </w:r>
    </w:p>
    <w:p w14:paraId="46A9932A">
      <w:pPr>
        <w:spacing w:line="520" w:lineRule="exact"/>
        <w:ind w:firstLine="562"/>
        <w:jc w:val="left"/>
        <w:rPr>
          <w:rFonts w:ascii="宋体" w:hAnsi="宋体" w:cs="宋体"/>
          <w:color w:val="auto"/>
          <w:sz w:val="24"/>
          <w:szCs w:val="24"/>
          <w:highlight w:val="none"/>
          <w:shd w:val="clear" w:color="auto" w:fill="FFFFFF"/>
        </w:rPr>
      </w:pPr>
      <w:r>
        <w:rPr>
          <w:rFonts w:ascii="宋体" w:hAnsi="宋体" w:cs="宋体"/>
          <w:b/>
          <w:bCs/>
          <w:color w:val="auto"/>
          <w:sz w:val="24"/>
          <w:szCs w:val="24"/>
          <w:highlight w:val="none"/>
        </w:rPr>
        <w:t>2.苏采云资料：</w:t>
      </w:r>
      <w:r>
        <w:rPr>
          <w:rFonts w:ascii="宋体" w:hAnsi="宋体" w:cs="宋体"/>
          <w:color w:val="auto"/>
          <w:sz w:val="24"/>
          <w:szCs w:val="24"/>
          <w:highlight w:val="none"/>
          <w:shd w:val="clear" w:color="auto" w:fill="FFFFFF"/>
        </w:rPr>
        <w:t>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\o "http://czj.taizhou.gov.cn/art/2022/12/9/art_61762_3436049.html" </w:instrText>
      </w:r>
      <w:r>
        <w:rPr>
          <w:color w:val="auto"/>
          <w:highlight w:val="none"/>
        </w:rPr>
        <w:fldChar w:fldCharType="separate"/>
      </w:r>
      <w:r>
        <w:rPr>
          <w:rStyle w:val="53"/>
          <w:color w:val="auto"/>
          <w:sz w:val="24"/>
          <w:szCs w:val="24"/>
          <w:highlight w:val="none"/>
          <w:shd w:val="clear" w:color="auto" w:fill="FFFFFF"/>
        </w:rPr>
        <w:t>苏采云系统操作手册（供应商）</w:t>
      </w:r>
      <w:r>
        <w:rPr>
          <w:rStyle w:val="53"/>
          <w:color w:val="auto"/>
          <w:sz w:val="24"/>
          <w:szCs w:val="24"/>
          <w:highlight w:val="none"/>
          <w:shd w:val="clear" w:color="auto" w:fill="FFFFFF"/>
        </w:rPr>
        <w:fldChar w:fldCharType="end"/>
      </w:r>
      <w:r>
        <w:rPr>
          <w:rFonts w:ascii="宋体" w:hAnsi="宋体" w:cs="宋体"/>
          <w:color w:val="auto"/>
          <w:sz w:val="24"/>
          <w:szCs w:val="24"/>
          <w:highlight w:val="none"/>
          <w:shd w:val="clear" w:color="auto" w:fill="FFFFFF"/>
        </w:rPr>
        <w:t>”，进行下载。</w:t>
      </w:r>
    </w:p>
    <w:p w14:paraId="026668BA">
      <w:pPr>
        <w:spacing w:line="520" w:lineRule="exact"/>
        <w:ind w:firstLine="560"/>
        <w:jc w:val="left"/>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技术服务联系电话：0523-86897512，0523-87633965</w:t>
      </w:r>
    </w:p>
    <w:p w14:paraId="0AAB86AE">
      <w:pPr>
        <w:spacing w:before="120" w:after="120" w:line="520" w:lineRule="exact"/>
        <w:rPr>
          <w:rFonts w:ascii="宋体" w:hAnsi="宋体" w:cs="宋体"/>
          <w:b/>
          <w:bCs/>
          <w:color w:val="auto"/>
          <w:sz w:val="24"/>
          <w:szCs w:val="24"/>
          <w:highlight w:val="none"/>
        </w:rPr>
      </w:pPr>
      <w:r>
        <w:rPr>
          <w:rFonts w:ascii="宋体" w:hAnsi="宋体" w:cs="宋体"/>
          <w:b/>
          <w:bCs/>
          <w:color w:val="auto"/>
          <w:sz w:val="24"/>
          <w:szCs w:val="24"/>
          <w:highlight w:val="none"/>
        </w:rPr>
        <w:t>二、</w:t>
      </w:r>
      <w:r>
        <w:rPr>
          <w:rFonts w:hint="eastAsia" w:ascii="宋体" w:hAnsi="宋体" w:cs="宋体"/>
          <w:b/>
          <w:bCs/>
          <w:color w:val="auto"/>
          <w:sz w:val="24"/>
          <w:szCs w:val="24"/>
          <w:highlight w:val="none"/>
        </w:rPr>
        <w:t>投标人</w:t>
      </w:r>
      <w:r>
        <w:rPr>
          <w:rFonts w:ascii="宋体" w:hAnsi="宋体" w:cs="宋体"/>
          <w:b/>
          <w:bCs/>
          <w:color w:val="auto"/>
          <w:sz w:val="24"/>
          <w:szCs w:val="24"/>
          <w:highlight w:val="none"/>
        </w:rPr>
        <w:t>相关法律责任提醒</w:t>
      </w:r>
    </w:p>
    <w:p w14:paraId="36B08059">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政府采购不见面交易实现了</w:t>
      </w:r>
      <w:r>
        <w:rPr>
          <w:rFonts w:hint="eastAsia" w:ascii="宋体" w:hAnsi="宋体" w:cs="宋体"/>
          <w:color w:val="auto"/>
          <w:sz w:val="24"/>
          <w:szCs w:val="24"/>
          <w:highlight w:val="none"/>
          <w:lang w:val="en-US" w:eastAsia="zh-CN"/>
        </w:rPr>
        <w:t>投标人</w:t>
      </w:r>
      <w:r>
        <w:rPr>
          <w:rFonts w:ascii="宋体" w:hAnsi="宋体" w:cs="宋体"/>
          <w:color w:val="auto"/>
          <w:sz w:val="24"/>
          <w:szCs w:val="24"/>
          <w:highlight w:val="none"/>
        </w:rPr>
        <w:t>在家报名、在线提交投标文件，最大限度降低交易成本。为避免</w:t>
      </w:r>
      <w:r>
        <w:rPr>
          <w:rFonts w:hint="eastAsia" w:ascii="宋体" w:hAnsi="宋体" w:cs="宋体"/>
          <w:color w:val="auto"/>
          <w:sz w:val="24"/>
          <w:szCs w:val="24"/>
          <w:highlight w:val="none"/>
          <w:lang w:val="en-US" w:eastAsia="zh-CN"/>
        </w:rPr>
        <w:t>投标人</w:t>
      </w:r>
      <w:r>
        <w:rPr>
          <w:rFonts w:ascii="宋体" w:hAnsi="宋体" w:cs="宋体"/>
          <w:color w:val="auto"/>
          <w:sz w:val="24"/>
          <w:szCs w:val="24"/>
          <w:highlight w:val="none"/>
        </w:rPr>
        <w:t>在采购活动中成交后无正当理由拒不与采购人签订政府采购合同、提供虚假材料谋取中标、成交等问题，希</w:t>
      </w:r>
      <w:r>
        <w:rPr>
          <w:rFonts w:hint="eastAsia" w:ascii="宋体" w:hAnsi="宋体" w:cs="宋体"/>
          <w:color w:val="auto"/>
          <w:sz w:val="24"/>
          <w:szCs w:val="24"/>
          <w:highlight w:val="none"/>
        </w:rPr>
        <w:t>望</w:t>
      </w:r>
      <w:r>
        <w:rPr>
          <w:rFonts w:ascii="宋体" w:hAnsi="宋体" w:cs="宋体"/>
          <w:color w:val="auto"/>
          <w:sz w:val="24"/>
          <w:szCs w:val="24"/>
          <w:highlight w:val="none"/>
        </w:rPr>
        <w:t>各</w:t>
      </w:r>
      <w:r>
        <w:rPr>
          <w:rFonts w:hint="eastAsia" w:ascii="宋体" w:hAnsi="宋体" w:cs="宋体"/>
          <w:color w:val="auto"/>
          <w:sz w:val="24"/>
          <w:szCs w:val="24"/>
          <w:highlight w:val="none"/>
          <w:lang w:val="en-US" w:eastAsia="zh-CN"/>
        </w:rPr>
        <w:t>投标人</w:t>
      </w:r>
      <w:r>
        <w:rPr>
          <w:rFonts w:ascii="宋体" w:hAnsi="宋体" w:cs="宋体"/>
          <w:color w:val="auto"/>
          <w:sz w:val="24"/>
          <w:szCs w:val="24"/>
          <w:highlight w:val="none"/>
        </w:rPr>
        <w:t>客观真实编制投标响应文件、规范报价行为、依法签订履行合同，持续营造我市风清气正的政府采购环境。</w:t>
      </w:r>
    </w:p>
    <w:p w14:paraId="05F365A8">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相关法律法规：</w:t>
      </w:r>
    </w:p>
    <w:p w14:paraId="2B7BA883">
      <w:pPr>
        <w:spacing w:line="520" w:lineRule="exact"/>
        <w:ind w:firstLine="562"/>
        <w:rPr>
          <w:rFonts w:ascii="宋体" w:hAnsi="宋体" w:cs="宋体"/>
          <w:color w:val="auto"/>
          <w:sz w:val="24"/>
          <w:szCs w:val="24"/>
          <w:highlight w:val="none"/>
        </w:rPr>
      </w:pPr>
      <w:r>
        <w:rPr>
          <w:rFonts w:ascii="宋体" w:hAnsi="宋体" w:cs="宋体"/>
          <w:b/>
          <w:bCs/>
          <w:color w:val="auto"/>
          <w:sz w:val="24"/>
          <w:szCs w:val="24"/>
          <w:highlight w:val="none"/>
        </w:rPr>
        <w:t>《中华人民共和国政府采购法》</w:t>
      </w:r>
      <w:r>
        <w:rPr>
          <w:rFonts w:ascii="宋体" w:hAnsi="宋体" w:cs="宋体"/>
          <w:color w:val="auto"/>
          <w:sz w:val="24"/>
          <w:szCs w:val="24"/>
          <w:highlight w:val="none"/>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9C74E0F">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（一）提供虚假材料谋取中标、成交的；</w:t>
      </w:r>
    </w:p>
    <w:p w14:paraId="08AC7468">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（二）采取不正当手段诋毁、排挤其他供应商的；</w:t>
      </w:r>
    </w:p>
    <w:p w14:paraId="258BC3A7">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（三）与采购人、其他供应商或者采购代理机构恶意串通的；</w:t>
      </w:r>
    </w:p>
    <w:p w14:paraId="63D7BB4C">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（四）向采购人、采购代理机构行贿或者提供其他不正当利益的；</w:t>
      </w:r>
    </w:p>
    <w:p w14:paraId="7B7571B8">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（五）在招标采购过程中与采购人进行协商谈判的；</w:t>
      </w:r>
    </w:p>
    <w:p w14:paraId="41199E58">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（六）拒绝有关部门监督检查或者提供虚假情况的。</w:t>
      </w:r>
    </w:p>
    <w:p w14:paraId="49B3F634">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供应商有前款第（一）至（五）项情形之一的，中标、成交无效。</w:t>
      </w:r>
    </w:p>
    <w:p w14:paraId="72CC1458">
      <w:pPr>
        <w:spacing w:line="520" w:lineRule="exact"/>
        <w:ind w:firstLine="562"/>
        <w:rPr>
          <w:rFonts w:ascii="宋体" w:hAnsi="宋体" w:cs="宋体"/>
          <w:color w:val="auto"/>
          <w:sz w:val="24"/>
          <w:szCs w:val="24"/>
          <w:highlight w:val="none"/>
        </w:rPr>
      </w:pPr>
      <w:r>
        <w:rPr>
          <w:rFonts w:ascii="宋体" w:hAnsi="宋体" w:cs="宋体"/>
          <w:b/>
          <w:bCs/>
          <w:color w:val="auto"/>
          <w:sz w:val="24"/>
          <w:szCs w:val="24"/>
          <w:highlight w:val="none"/>
        </w:rPr>
        <w:t>《中华人民共和国政府采购法实施条例》</w:t>
      </w:r>
      <w:r>
        <w:rPr>
          <w:rFonts w:ascii="宋体" w:hAnsi="宋体" w:cs="宋体"/>
          <w:color w:val="auto"/>
          <w:sz w:val="24"/>
          <w:szCs w:val="24"/>
          <w:highlight w:val="none"/>
        </w:rPr>
        <w:t>第七十二条供应商有下列情形之一的，依照政府采购法第七十七条第一款的规定追究法律责任：</w:t>
      </w:r>
    </w:p>
    <w:p w14:paraId="63001C8E">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（一）向评标委员会、竞争性谈判小组或者询价小组成员行贿或者提供其他不正当利益；</w:t>
      </w:r>
    </w:p>
    <w:p w14:paraId="0D0BCF14">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（二）中标或者成交后无正当理由拒不与采购人签订政府采购合同；</w:t>
      </w:r>
    </w:p>
    <w:p w14:paraId="5830F911">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（三）未按照采购文件确定的事项签订政府采购合同；</w:t>
      </w:r>
    </w:p>
    <w:p w14:paraId="0189A949">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（四）将政府采购合同转包；</w:t>
      </w:r>
    </w:p>
    <w:p w14:paraId="062799A6">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（五）提供假冒伪劣产品；</w:t>
      </w:r>
    </w:p>
    <w:p w14:paraId="2497347F">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（六）擅自变更、中止或者终止政府采购合同。</w:t>
      </w:r>
    </w:p>
    <w:p w14:paraId="3DE9C487">
      <w:pPr>
        <w:spacing w:line="520" w:lineRule="exact"/>
        <w:ind w:firstLine="560"/>
        <w:rPr>
          <w:rFonts w:ascii="宋体" w:hAnsi="宋体" w:cs="宋体"/>
          <w:color w:val="auto"/>
          <w:sz w:val="24"/>
          <w:szCs w:val="24"/>
          <w:highlight w:val="none"/>
        </w:rPr>
      </w:pPr>
      <w:r>
        <w:rPr>
          <w:rFonts w:ascii="宋体" w:hAnsi="宋体" w:cs="宋体"/>
          <w:color w:val="auto"/>
          <w:sz w:val="24"/>
          <w:szCs w:val="24"/>
          <w:highlight w:val="none"/>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64617C07">
      <w:pPr>
        <w:rPr>
          <w:rFonts w:ascii="宋体" w:hAnsi="宋体" w:cs="宋体"/>
          <w:b/>
          <w:color w:val="auto"/>
          <w:sz w:val="22"/>
          <w:szCs w:val="22"/>
          <w:highlight w:val="none"/>
        </w:rPr>
      </w:pPr>
    </w:p>
    <w:p w14:paraId="3BA7C346">
      <w:pPr>
        <w:rPr>
          <w:rFonts w:ascii="宋体" w:hAnsi="宋体" w:cs="宋体"/>
          <w:b/>
          <w:color w:val="auto"/>
          <w:sz w:val="40"/>
          <w:szCs w:val="40"/>
          <w:highlight w:val="none"/>
        </w:rPr>
      </w:pPr>
      <w:r>
        <w:rPr>
          <w:color w:val="auto"/>
          <w:highlight w:val="none"/>
        </w:rPr>
        <w:br w:type="page" w:clear="all"/>
      </w:r>
    </w:p>
    <w:p w14:paraId="7B910FC2">
      <w:pPr>
        <w:ind w:firstLine="3882"/>
        <w:rPr>
          <w:rFonts w:ascii="宋体" w:hAnsi="宋体" w:cs="宋体"/>
          <w:b/>
          <w:color w:val="auto"/>
          <w:sz w:val="44"/>
          <w:szCs w:val="44"/>
          <w:highlight w:val="none"/>
        </w:rPr>
      </w:pPr>
      <w:r>
        <w:rPr>
          <w:rFonts w:ascii="宋体" w:hAnsi="宋体" w:cs="宋体"/>
          <w:b/>
          <w:color w:val="auto"/>
          <w:sz w:val="44"/>
          <w:szCs w:val="44"/>
          <w:highlight w:val="none"/>
        </w:rPr>
        <w:t>目   录</w:t>
      </w:r>
    </w:p>
    <w:p w14:paraId="4659D648">
      <w:pPr>
        <w:ind w:firstLine="3882"/>
        <w:rPr>
          <w:rFonts w:ascii="宋体" w:hAnsi="宋体" w:cs="宋体"/>
          <w:b/>
          <w:color w:val="auto"/>
          <w:sz w:val="24"/>
          <w:szCs w:val="24"/>
          <w:highlight w:val="none"/>
        </w:rPr>
      </w:pPr>
    </w:p>
    <w:sdt>
      <w:sdtPr>
        <w:rPr>
          <w:color w:val="auto"/>
          <w:highlight w:val="none"/>
        </w:rPr>
        <w:id w:val="147453177"/>
        <w:docPartObj>
          <w:docPartGallery w:val="Table of Contents"/>
          <w:docPartUnique/>
        </w:docPartObj>
      </w:sdtPr>
      <w:sdtEndPr>
        <w:rPr>
          <w:color w:val="auto"/>
          <w:highlight w:val="none"/>
        </w:rPr>
      </w:sdtEndPr>
      <w:sdtContent>
        <w:p w14:paraId="541BF238">
          <w:pPr>
            <w:pStyle w:val="33"/>
            <w:rPr>
              <w:color w:val="auto"/>
              <w:sz w:val="28"/>
              <w:szCs w:val="24"/>
              <w:highlight w:val="none"/>
            </w:rPr>
          </w:pPr>
          <w:r>
            <w:rPr>
              <w:color w:val="auto"/>
              <w:sz w:val="28"/>
              <w:szCs w:val="24"/>
              <w:highlight w:val="none"/>
            </w:rPr>
            <w:fldChar w:fldCharType="begin"/>
          </w:r>
          <w:r>
            <w:rPr>
              <w:color w:val="auto"/>
              <w:sz w:val="28"/>
              <w:szCs w:val="24"/>
              <w:highlight w:val="none"/>
            </w:rPr>
            <w:instrText xml:space="preserve"> TOC \z \o "1-1" \u </w:instrText>
          </w:r>
          <w:r>
            <w:rPr>
              <w:color w:val="auto"/>
              <w:sz w:val="28"/>
              <w:szCs w:val="24"/>
              <w:highlight w:val="none"/>
            </w:rPr>
            <w:fldChar w:fldCharType="separate"/>
          </w:r>
          <w:r>
            <w:rPr>
              <w:color w:val="auto"/>
              <w:highlight w:val="none"/>
            </w:rPr>
            <w:fldChar w:fldCharType="begin"/>
          </w:r>
          <w:r>
            <w:rPr>
              <w:color w:val="auto"/>
              <w:highlight w:val="none"/>
            </w:rPr>
            <w:instrText xml:space="preserve"> HYPERLINK \l "_Toc182078114" \o "#_Toc182078114" </w:instrText>
          </w:r>
          <w:r>
            <w:rPr>
              <w:color w:val="auto"/>
              <w:highlight w:val="none"/>
            </w:rPr>
            <w:fldChar w:fldCharType="separate"/>
          </w:r>
          <w:r>
            <w:rPr>
              <w:color w:val="auto"/>
              <w:sz w:val="28"/>
              <w:szCs w:val="24"/>
              <w:highlight w:val="none"/>
            </w:rPr>
            <w:t>第一章 招标公告</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_Toc182078114 \h</w:instrText>
          </w:r>
          <w:r>
            <w:rPr>
              <w:color w:val="auto"/>
              <w:sz w:val="28"/>
              <w:szCs w:val="24"/>
              <w:highlight w:val="none"/>
            </w:rPr>
            <w:fldChar w:fldCharType="separate"/>
          </w:r>
          <w:r>
            <w:rPr>
              <w:color w:val="auto"/>
              <w:sz w:val="28"/>
              <w:szCs w:val="24"/>
              <w:highlight w:val="none"/>
            </w:rPr>
            <w:t>1</w:t>
          </w:r>
          <w:r>
            <w:rPr>
              <w:color w:val="auto"/>
              <w:sz w:val="28"/>
              <w:szCs w:val="24"/>
              <w:highlight w:val="none"/>
            </w:rPr>
            <w:fldChar w:fldCharType="end"/>
          </w:r>
          <w:r>
            <w:rPr>
              <w:color w:val="auto"/>
              <w:sz w:val="28"/>
              <w:szCs w:val="24"/>
              <w:highlight w:val="none"/>
            </w:rPr>
            <w:fldChar w:fldCharType="end"/>
          </w:r>
        </w:p>
        <w:p w14:paraId="5283E9AC">
          <w:pPr>
            <w:pStyle w:val="33"/>
            <w:rPr>
              <w:color w:val="auto"/>
              <w:sz w:val="28"/>
              <w:szCs w:val="24"/>
              <w:highlight w:val="none"/>
            </w:rPr>
          </w:pPr>
          <w:r>
            <w:rPr>
              <w:color w:val="auto"/>
              <w:highlight w:val="none"/>
            </w:rPr>
            <w:fldChar w:fldCharType="begin"/>
          </w:r>
          <w:r>
            <w:rPr>
              <w:color w:val="auto"/>
              <w:highlight w:val="none"/>
            </w:rPr>
            <w:instrText xml:space="preserve"> HYPERLINK \l "_Toc182078115" \o "#_Toc182078115" </w:instrText>
          </w:r>
          <w:r>
            <w:rPr>
              <w:color w:val="auto"/>
              <w:highlight w:val="none"/>
            </w:rPr>
            <w:fldChar w:fldCharType="separate"/>
          </w:r>
          <w:r>
            <w:rPr>
              <w:color w:val="auto"/>
              <w:sz w:val="28"/>
              <w:szCs w:val="24"/>
              <w:highlight w:val="none"/>
            </w:rPr>
            <w:t>第二章 投标人须知</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_Toc182078115 \h</w:instrText>
          </w:r>
          <w:r>
            <w:rPr>
              <w:color w:val="auto"/>
              <w:sz w:val="28"/>
              <w:szCs w:val="24"/>
              <w:highlight w:val="none"/>
            </w:rPr>
            <w:fldChar w:fldCharType="separate"/>
          </w:r>
          <w:r>
            <w:rPr>
              <w:color w:val="auto"/>
              <w:sz w:val="28"/>
              <w:szCs w:val="24"/>
              <w:highlight w:val="none"/>
            </w:rPr>
            <w:t>4</w:t>
          </w:r>
          <w:r>
            <w:rPr>
              <w:color w:val="auto"/>
              <w:sz w:val="28"/>
              <w:szCs w:val="24"/>
              <w:highlight w:val="none"/>
            </w:rPr>
            <w:fldChar w:fldCharType="end"/>
          </w:r>
          <w:r>
            <w:rPr>
              <w:color w:val="auto"/>
              <w:sz w:val="28"/>
              <w:szCs w:val="24"/>
              <w:highlight w:val="none"/>
            </w:rPr>
            <w:fldChar w:fldCharType="end"/>
          </w:r>
        </w:p>
        <w:p w14:paraId="0044D830">
          <w:pPr>
            <w:pStyle w:val="33"/>
            <w:rPr>
              <w:color w:val="auto"/>
              <w:sz w:val="28"/>
              <w:szCs w:val="24"/>
              <w:highlight w:val="none"/>
            </w:rPr>
          </w:pPr>
          <w:r>
            <w:rPr>
              <w:color w:val="auto"/>
              <w:highlight w:val="none"/>
            </w:rPr>
            <w:fldChar w:fldCharType="begin"/>
          </w:r>
          <w:r>
            <w:rPr>
              <w:color w:val="auto"/>
              <w:highlight w:val="none"/>
            </w:rPr>
            <w:instrText xml:space="preserve"> HYPERLINK \l "_Toc182078116" \o "#_Toc182078116" </w:instrText>
          </w:r>
          <w:r>
            <w:rPr>
              <w:color w:val="auto"/>
              <w:highlight w:val="none"/>
            </w:rPr>
            <w:fldChar w:fldCharType="separate"/>
          </w:r>
          <w:r>
            <w:rPr>
              <w:color w:val="auto"/>
              <w:sz w:val="28"/>
              <w:szCs w:val="24"/>
              <w:highlight w:val="none"/>
            </w:rPr>
            <w:t>第三章 项目需求</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_Toc182078116 \h</w:instrText>
          </w:r>
          <w:r>
            <w:rPr>
              <w:color w:val="auto"/>
              <w:sz w:val="28"/>
              <w:szCs w:val="24"/>
              <w:highlight w:val="none"/>
            </w:rPr>
            <w:fldChar w:fldCharType="separate"/>
          </w:r>
          <w:r>
            <w:rPr>
              <w:color w:val="auto"/>
              <w:sz w:val="28"/>
              <w:szCs w:val="24"/>
              <w:highlight w:val="none"/>
            </w:rPr>
            <w:t>18</w:t>
          </w:r>
          <w:r>
            <w:rPr>
              <w:color w:val="auto"/>
              <w:sz w:val="28"/>
              <w:szCs w:val="24"/>
              <w:highlight w:val="none"/>
            </w:rPr>
            <w:fldChar w:fldCharType="end"/>
          </w:r>
          <w:r>
            <w:rPr>
              <w:color w:val="auto"/>
              <w:sz w:val="28"/>
              <w:szCs w:val="24"/>
              <w:highlight w:val="none"/>
            </w:rPr>
            <w:fldChar w:fldCharType="end"/>
          </w:r>
        </w:p>
        <w:p w14:paraId="2CBEF265">
          <w:pPr>
            <w:pStyle w:val="33"/>
            <w:rPr>
              <w:color w:val="auto"/>
              <w:sz w:val="28"/>
              <w:szCs w:val="24"/>
              <w:highlight w:val="none"/>
            </w:rPr>
          </w:pPr>
          <w:r>
            <w:rPr>
              <w:color w:val="auto"/>
              <w:highlight w:val="none"/>
            </w:rPr>
            <w:fldChar w:fldCharType="begin"/>
          </w:r>
          <w:r>
            <w:rPr>
              <w:color w:val="auto"/>
              <w:highlight w:val="none"/>
            </w:rPr>
            <w:instrText xml:space="preserve"> HYPERLINK \l "_Toc182078117" \o "#_Toc182078117" </w:instrText>
          </w:r>
          <w:r>
            <w:rPr>
              <w:color w:val="auto"/>
              <w:highlight w:val="none"/>
            </w:rPr>
            <w:fldChar w:fldCharType="separate"/>
          </w:r>
          <w:r>
            <w:rPr>
              <w:color w:val="auto"/>
              <w:sz w:val="28"/>
              <w:szCs w:val="24"/>
              <w:highlight w:val="none"/>
            </w:rPr>
            <w:t>第四章  评标定标办法</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_Toc182078117 \h</w:instrText>
          </w:r>
          <w:r>
            <w:rPr>
              <w:color w:val="auto"/>
              <w:sz w:val="28"/>
              <w:szCs w:val="24"/>
              <w:highlight w:val="none"/>
            </w:rPr>
            <w:fldChar w:fldCharType="separate"/>
          </w:r>
          <w:r>
            <w:rPr>
              <w:color w:val="auto"/>
              <w:sz w:val="28"/>
              <w:szCs w:val="24"/>
              <w:highlight w:val="none"/>
            </w:rPr>
            <w:t>18</w:t>
          </w:r>
          <w:r>
            <w:rPr>
              <w:color w:val="auto"/>
              <w:sz w:val="28"/>
              <w:szCs w:val="24"/>
              <w:highlight w:val="none"/>
            </w:rPr>
            <w:fldChar w:fldCharType="end"/>
          </w:r>
          <w:r>
            <w:rPr>
              <w:color w:val="auto"/>
              <w:sz w:val="28"/>
              <w:szCs w:val="24"/>
              <w:highlight w:val="none"/>
            </w:rPr>
            <w:fldChar w:fldCharType="end"/>
          </w:r>
        </w:p>
        <w:p w14:paraId="3DB8D5AA">
          <w:pPr>
            <w:pStyle w:val="33"/>
            <w:rPr>
              <w:color w:val="auto"/>
              <w:sz w:val="28"/>
              <w:szCs w:val="24"/>
              <w:highlight w:val="none"/>
            </w:rPr>
          </w:pPr>
          <w:r>
            <w:rPr>
              <w:color w:val="auto"/>
              <w:highlight w:val="none"/>
            </w:rPr>
            <w:fldChar w:fldCharType="begin"/>
          </w:r>
          <w:r>
            <w:rPr>
              <w:color w:val="auto"/>
              <w:highlight w:val="none"/>
            </w:rPr>
            <w:instrText xml:space="preserve"> HYPERLINK \l "_Toc182078118" \o "#_Toc182078118" </w:instrText>
          </w:r>
          <w:r>
            <w:rPr>
              <w:color w:val="auto"/>
              <w:highlight w:val="none"/>
            </w:rPr>
            <w:fldChar w:fldCharType="separate"/>
          </w:r>
          <w:r>
            <w:rPr>
              <w:color w:val="auto"/>
              <w:sz w:val="28"/>
              <w:szCs w:val="24"/>
              <w:highlight w:val="none"/>
            </w:rPr>
            <w:t>第五章  投标文件格式</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_Toc182078118 \h</w:instrText>
          </w:r>
          <w:r>
            <w:rPr>
              <w:color w:val="auto"/>
              <w:sz w:val="28"/>
              <w:szCs w:val="24"/>
              <w:highlight w:val="none"/>
            </w:rPr>
            <w:fldChar w:fldCharType="separate"/>
          </w:r>
          <w:r>
            <w:rPr>
              <w:color w:val="auto"/>
              <w:sz w:val="28"/>
              <w:szCs w:val="24"/>
              <w:highlight w:val="none"/>
            </w:rPr>
            <w:t>45</w:t>
          </w:r>
          <w:r>
            <w:rPr>
              <w:color w:val="auto"/>
              <w:sz w:val="28"/>
              <w:szCs w:val="24"/>
              <w:highlight w:val="none"/>
            </w:rPr>
            <w:fldChar w:fldCharType="end"/>
          </w:r>
          <w:r>
            <w:rPr>
              <w:color w:val="auto"/>
              <w:sz w:val="28"/>
              <w:szCs w:val="24"/>
              <w:highlight w:val="none"/>
            </w:rPr>
            <w:fldChar w:fldCharType="end"/>
          </w:r>
        </w:p>
        <w:p w14:paraId="3F2351CE">
          <w:pPr>
            <w:pStyle w:val="33"/>
            <w:rPr>
              <w:color w:val="auto"/>
              <w:sz w:val="28"/>
              <w:szCs w:val="24"/>
              <w:highlight w:val="none"/>
            </w:rPr>
          </w:pPr>
          <w:r>
            <w:rPr>
              <w:color w:val="auto"/>
              <w:highlight w:val="none"/>
            </w:rPr>
            <w:fldChar w:fldCharType="begin"/>
          </w:r>
          <w:r>
            <w:rPr>
              <w:color w:val="auto"/>
              <w:highlight w:val="none"/>
            </w:rPr>
            <w:instrText xml:space="preserve"> HYPERLINK \l "_Toc182078119" \o "#_Toc182078119" </w:instrText>
          </w:r>
          <w:r>
            <w:rPr>
              <w:color w:val="auto"/>
              <w:highlight w:val="none"/>
            </w:rPr>
            <w:fldChar w:fldCharType="separate"/>
          </w:r>
          <w:r>
            <w:rPr>
              <w:color w:val="auto"/>
              <w:sz w:val="28"/>
              <w:szCs w:val="24"/>
              <w:highlight w:val="none"/>
            </w:rPr>
            <w:t>第六章  合同条款及格式</w:t>
          </w:r>
          <w:r>
            <w:rPr>
              <w:color w:val="auto"/>
              <w:sz w:val="28"/>
              <w:szCs w:val="24"/>
              <w:highlight w:val="none"/>
            </w:rPr>
            <w:tab/>
          </w:r>
          <w:r>
            <w:rPr>
              <w:color w:val="auto"/>
              <w:sz w:val="28"/>
              <w:szCs w:val="24"/>
              <w:highlight w:val="none"/>
            </w:rPr>
            <w:t>5</w:t>
          </w:r>
          <w:r>
            <w:rPr>
              <w:color w:val="auto"/>
              <w:sz w:val="28"/>
              <w:szCs w:val="24"/>
              <w:highlight w:val="none"/>
            </w:rPr>
            <w:fldChar w:fldCharType="end"/>
          </w:r>
          <w:r>
            <w:rPr>
              <w:color w:val="auto"/>
              <w:sz w:val="28"/>
              <w:szCs w:val="24"/>
              <w:highlight w:val="none"/>
            </w:rPr>
            <w:t>1</w:t>
          </w:r>
          <w:r>
            <w:rPr>
              <w:color w:val="auto"/>
              <w:sz w:val="28"/>
              <w:szCs w:val="24"/>
              <w:highlight w:val="none"/>
            </w:rPr>
            <w:fldChar w:fldCharType="end"/>
          </w:r>
        </w:p>
      </w:sdtContent>
    </w:sdt>
    <w:p w14:paraId="504ADF09">
      <w:pPr>
        <w:pStyle w:val="2"/>
        <w:rPr>
          <w:rFonts w:ascii="宋体" w:hAnsi="宋体" w:cs="宋体"/>
          <w:color w:val="auto"/>
          <w:sz w:val="42"/>
          <w:szCs w:val="24"/>
          <w:highlight w:val="none"/>
        </w:rPr>
        <w:sectPr>
          <w:headerReference r:id="rId3" w:type="default"/>
          <w:pgSz w:w="11906" w:h="16838"/>
          <w:pgMar w:top="1531" w:right="1406" w:bottom="1361" w:left="1474" w:header="720" w:footer="720" w:gutter="0"/>
          <w:pgBorders>
            <w:top w:val="none" w:sz="0" w:space="0"/>
            <w:left w:val="none" w:sz="0" w:space="0"/>
            <w:bottom w:val="none" w:sz="0" w:space="0"/>
            <w:right w:val="none" w:sz="0" w:space="0"/>
          </w:pgBorders>
          <w:cols w:space="720" w:num="1"/>
          <w:docGrid w:linePitch="360" w:charSpace="0"/>
        </w:sectPr>
      </w:pPr>
      <w:bookmarkStart w:id="0" w:name="_Toc182078114"/>
    </w:p>
    <w:p w14:paraId="01E229B8">
      <w:pPr>
        <w:pStyle w:val="2"/>
        <w:rPr>
          <w:rFonts w:ascii="宋体" w:hAnsi="宋体" w:cs="宋体"/>
          <w:color w:val="auto"/>
          <w:sz w:val="42"/>
          <w:szCs w:val="24"/>
          <w:highlight w:val="none"/>
        </w:rPr>
      </w:pPr>
      <w:r>
        <w:rPr>
          <w:rFonts w:ascii="宋体" w:hAnsi="宋体" w:cs="宋体"/>
          <w:color w:val="auto"/>
          <w:sz w:val="42"/>
          <w:szCs w:val="24"/>
          <w:highlight w:val="none"/>
        </w:rPr>
        <w:t>第一章 招标公告</w:t>
      </w:r>
      <w:bookmarkEnd w:id="0"/>
    </w:p>
    <w:p w14:paraId="634F7DBE">
      <w:pPr>
        <w:pBdr>
          <w:top w:val="single" w:color="000000" w:sz="4" w:space="1"/>
          <w:left w:val="single" w:color="000000" w:sz="4" w:space="4"/>
          <w:bottom w:val="single" w:color="000000" w:sz="4" w:space="1"/>
          <w:right w:val="single" w:color="000000" w:sz="4" w:space="4"/>
        </w:pBdr>
        <w:spacing w:line="520" w:lineRule="exact"/>
        <w:rPr>
          <w:rFonts w:ascii="宋体" w:hAnsi="宋体" w:cs="宋体"/>
          <w:b/>
          <w:bCs/>
          <w:color w:val="auto"/>
          <w:sz w:val="24"/>
          <w:szCs w:val="24"/>
          <w:highlight w:val="none"/>
        </w:rPr>
      </w:pPr>
      <w:r>
        <w:rPr>
          <w:rFonts w:ascii="宋体" w:hAnsi="宋体" w:cs="宋体"/>
          <w:b/>
          <w:bCs/>
          <w:color w:val="auto"/>
          <w:sz w:val="24"/>
          <w:szCs w:val="24"/>
          <w:highlight w:val="none"/>
        </w:rPr>
        <w:t>项目概况</w:t>
      </w:r>
    </w:p>
    <w:p w14:paraId="637EB1CC">
      <w:pPr>
        <w:pBdr>
          <w:top w:val="single" w:color="000000" w:sz="4" w:space="1"/>
          <w:left w:val="single" w:color="000000" w:sz="4" w:space="4"/>
          <w:bottom w:val="single" w:color="000000" w:sz="4" w:space="1"/>
          <w:right w:val="single" w:color="000000" w:sz="4" w:space="4"/>
        </w:pBdr>
        <w:spacing w:line="520" w:lineRule="exact"/>
        <w:ind w:firstLine="480"/>
        <w:rPr>
          <w:rFonts w:ascii="宋体" w:hAnsi="宋体" w:cs="宋体"/>
          <w:color w:val="auto"/>
          <w:sz w:val="28"/>
          <w:szCs w:val="28"/>
          <w:highlight w:val="none"/>
        </w:rPr>
      </w:pPr>
      <w:r>
        <w:rPr>
          <w:rFonts w:hint="eastAsia" w:ascii="宋体" w:hAnsi="宋体" w:cs="宋体"/>
          <w:color w:val="auto"/>
          <w:sz w:val="24"/>
          <w:szCs w:val="24"/>
          <w:highlight w:val="none"/>
          <w:u w:val="single"/>
          <w:lang w:eastAsia="zh-CN"/>
        </w:rPr>
        <w:t>泰州实验中学新建教学楼宿舍楼及生活设施项目录播设备采购</w:t>
      </w:r>
      <w:r>
        <w:rPr>
          <w:rFonts w:ascii="宋体" w:hAnsi="宋体" w:cs="宋体"/>
          <w:color w:val="auto"/>
          <w:sz w:val="24"/>
          <w:szCs w:val="24"/>
          <w:highlight w:val="none"/>
        </w:rPr>
        <w:t>招标项目的潜在投标人应在</w:t>
      </w:r>
      <w:r>
        <w:rPr>
          <w:rFonts w:ascii="宋体" w:hAnsi="宋体" w:cs="宋体"/>
          <w:color w:val="auto"/>
          <w:sz w:val="24"/>
          <w:szCs w:val="24"/>
          <w:highlight w:val="none"/>
          <w:u w:val="single"/>
        </w:rPr>
        <w:t>“苏采云”政府采购一体化平台</w:t>
      </w:r>
      <w:r>
        <w:rPr>
          <w:rFonts w:ascii="宋体" w:hAnsi="宋体" w:cs="宋体"/>
          <w:color w:val="auto"/>
          <w:sz w:val="24"/>
          <w:szCs w:val="24"/>
          <w:highlight w:val="none"/>
        </w:rPr>
        <w:t>获取招标文件，并于202</w:t>
      </w:r>
      <w:r>
        <w:rPr>
          <w:rFonts w:hint="eastAsia" w:ascii="宋体" w:hAnsi="宋体" w:cs="宋体"/>
          <w:color w:val="auto"/>
          <w:sz w:val="24"/>
          <w:szCs w:val="24"/>
          <w:highlight w:val="none"/>
          <w:lang w:val="en-US" w:eastAsia="zh-CN"/>
        </w:rPr>
        <w:t>6</w:t>
      </w:r>
      <w:r>
        <w:rPr>
          <w:rFonts w:ascii="宋体" w:hAnsi="宋体" w:cs="宋体"/>
          <w:bCs/>
          <w:color w:val="auto"/>
          <w:sz w:val="24"/>
          <w:szCs w:val="24"/>
          <w:highlight w:val="none"/>
        </w:rPr>
        <w:t>年</w:t>
      </w:r>
      <w:r>
        <w:rPr>
          <w:rFonts w:hint="eastAsia" w:ascii="宋体" w:hAnsi="宋体" w:cs="宋体"/>
          <w:bCs/>
          <w:color w:val="auto"/>
          <w:sz w:val="24"/>
          <w:szCs w:val="24"/>
          <w:highlight w:val="none"/>
          <w:lang w:val="en-US" w:eastAsia="zh-CN"/>
        </w:rPr>
        <w:t>11</w:t>
      </w:r>
      <w:r>
        <w:rPr>
          <w:rFonts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04</w:t>
      </w:r>
      <w:r>
        <w:rPr>
          <w:rFonts w:ascii="宋体" w:hAnsi="宋体" w:cs="宋体"/>
          <w:bCs/>
          <w:color w:val="auto"/>
          <w:sz w:val="24"/>
          <w:szCs w:val="24"/>
          <w:highlight w:val="none"/>
        </w:rPr>
        <w:t>日</w:t>
      </w:r>
      <w:r>
        <w:rPr>
          <w:rFonts w:hint="eastAsia" w:ascii="宋体" w:hAnsi="宋体" w:cs="宋体"/>
          <w:bCs/>
          <w:color w:val="auto"/>
          <w:sz w:val="24"/>
          <w:szCs w:val="24"/>
          <w:highlight w:val="none"/>
        </w:rPr>
        <w:t>09</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30</w:t>
      </w:r>
      <w:r>
        <w:rPr>
          <w:rFonts w:ascii="宋体" w:hAnsi="宋体" w:cs="宋体"/>
          <w:bCs/>
          <w:color w:val="auto"/>
          <w:sz w:val="24"/>
          <w:szCs w:val="24"/>
          <w:highlight w:val="none"/>
        </w:rPr>
        <w:t>（北京时间）前递交投标文件</w:t>
      </w:r>
      <w:r>
        <w:rPr>
          <w:rFonts w:ascii="宋体" w:hAnsi="宋体" w:cs="宋体"/>
          <w:color w:val="auto"/>
          <w:sz w:val="24"/>
          <w:szCs w:val="24"/>
          <w:highlight w:val="none"/>
        </w:rPr>
        <w:t>。</w:t>
      </w:r>
    </w:p>
    <w:p w14:paraId="258C0F39">
      <w:pPr>
        <w:keepNext/>
        <w:keepLines/>
        <w:spacing w:line="460" w:lineRule="exact"/>
        <w:rPr>
          <w:rFonts w:ascii="宋体" w:hAnsi="宋体" w:cs="宋体"/>
          <w:b/>
          <w:bCs/>
          <w:color w:val="auto"/>
          <w:sz w:val="24"/>
          <w:szCs w:val="24"/>
          <w:highlight w:val="none"/>
        </w:rPr>
      </w:pPr>
      <w:bookmarkStart w:id="1" w:name="_Toc35393790"/>
      <w:bookmarkStart w:id="2" w:name="_Toc28359079"/>
      <w:bookmarkStart w:id="3" w:name="_Toc35393621"/>
      <w:bookmarkStart w:id="4" w:name="_Toc28359002"/>
      <w:r>
        <w:rPr>
          <w:rFonts w:ascii="宋体" w:hAnsi="宋体" w:cs="宋体"/>
          <w:b/>
          <w:bCs/>
          <w:color w:val="auto"/>
          <w:sz w:val="24"/>
          <w:szCs w:val="24"/>
          <w:highlight w:val="none"/>
        </w:rPr>
        <w:t>一、项目基本情况</w:t>
      </w:r>
      <w:bookmarkEnd w:id="1"/>
      <w:bookmarkEnd w:id="2"/>
      <w:bookmarkEnd w:id="3"/>
      <w:bookmarkEnd w:id="4"/>
    </w:p>
    <w:p w14:paraId="39469BDA">
      <w:pPr>
        <w:spacing w:line="460" w:lineRule="exact"/>
        <w:ind w:firstLine="480"/>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项目编号：</w:t>
      </w:r>
      <w:r>
        <w:rPr>
          <w:rFonts w:hint="eastAsia" w:ascii="宋体" w:hAnsi="宋体" w:cs="宋体"/>
          <w:color w:val="auto"/>
          <w:sz w:val="24"/>
          <w:szCs w:val="24"/>
          <w:highlight w:val="none"/>
        </w:rPr>
        <w:t>JSZC-321200-HSTZ-G2026-0001</w:t>
      </w:r>
    </w:p>
    <w:p w14:paraId="71E6A9B5">
      <w:pPr>
        <w:spacing w:line="460" w:lineRule="exact"/>
        <w:ind w:firstLine="480"/>
        <w:rPr>
          <w:rFonts w:hint="eastAsia" w:ascii="宋体" w:hAnsi="宋体" w:eastAsia="宋体" w:cs="宋体"/>
          <w:color w:val="auto"/>
          <w:sz w:val="24"/>
          <w:szCs w:val="24"/>
          <w:highlight w:val="none"/>
          <w:lang w:eastAsia="zh-CN"/>
        </w:rPr>
      </w:pPr>
      <w:bookmarkStart w:id="5" w:name="_Hlk24379207"/>
      <w:r>
        <w:rPr>
          <w:rFonts w:ascii="宋体" w:hAnsi="宋体" w:cs="宋体"/>
          <w:color w:val="auto"/>
          <w:sz w:val="24"/>
          <w:szCs w:val="24"/>
          <w:highlight w:val="none"/>
        </w:rPr>
        <w:t>项目名称：</w:t>
      </w:r>
      <w:bookmarkEnd w:id="5"/>
      <w:r>
        <w:rPr>
          <w:rFonts w:hint="eastAsia" w:ascii="宋体" w:hAnsi="宋体" w:cs="宋体"/>
          <w:color w:val="auto"/>
          <w:sz w:val="24"/>
          <w:szCs w:val="24"/>
          <w:highlight w:val="none"/>
          <w:lang w:eastAsia="zh-CN"/>
        </w:rPr>
        <w:t>泰州实验中学新建教学楼宿舍楼及生活设施项目录播设备采购</w:t>
      </w:r>
    </w:p>
    <w:p w14:paraId="12AA3759">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预算金额：</w:t>
      </w:r>
      <w:r>
        <w:rPr>
          <w:rFonts w:hint="eastAsia" w:ascii="宋体" w:hAnsi="宋体" w:cs="宋体"/>
          <w:color w:val="auto"/>
          <w:sz w:val="24"/>
          <w:szCs w:val="24"/>
          <w:highlight w:val="none"/>
          <w:lang w:val="en-US" w:eastAsia="zh-CN"/>
        </w:rPr>
        <w:t>202.2</w:t>
      </w:r>
      <w:r>
        <w:rPr>
          <w:rFonts w:ascii="宋体" w:hAnsi="宋体" w:cs="宋体"/>
          <w:color w:val="auto"/>
          <w:sz w:val="24"/>
          <w:szCs w:val="24"/>
          <w:highlight w:val="none"/>
        </w:rPr>
        <w:t>万元</w:t>
      </w:r>
    </w:p>
    <w:p w14:paraId="4C1E1D4B">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最高限价：</w:t>
      </w:r>
      <w:r>
        <w:rPr>
          <w:rFonts w:hint="eastAsia" w:ascii="宋体" w:hAnsi="宋体" w:cs="宋体"/>
          <w:color w:val="auto"/>
          <w:sz w:val="24"/>
          <w:szCs w:val="24"/>
          <w:highlight w:val="none"/>
          <w:lang w:val="en-US" w:eastAsia="zh-CN"/>
        </w:rPr>
        <w:t>202.2</w:t>
      </w:r>
      <w:r>
        <w:rPr>
          <w:rFonts w:ascii="宋体" w:hAnsi="宋体" w:cs="宋体"/>
          <w:color w:val="auto"/>
          <w:sz w:val="24"/>
          <w:szCs w:val="24"/>
          <w:highlight w:val="none"/>
        </w:rPr>
        <w:t>万元</w:t>
      </w:r>
    </w:p>
    <w:p w14:paraId="464CFCBD">
      <w:pPr>
        <w:spacing w:line="460" w:lineRule="exact"/>
        <w:ind w:firstLine="480"/>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采购需求：</w:t>
      </w:r>
      <w:r>
        <w:rPr>
          <w:rFonts w:hint="eastAsia" w:ascii="宋体" w:hAnsi="宋体" w:cs="宋体"/>
          <w:color w:val="auto"/>
          <w:sz w:val="24"/>
          <w:szCs w:val="24"/>
          <w:highlight w:val="none"/>
        </w:rPr>
        <w:t>泰州实验中学新建教学楼宿舍楼及生活设施项目录播设备采购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具体详见第三章项目需求。</w:t>
      </w:r>
    </w:p>
    <w:p w14:paraId="683BB852">
      <w:pPr>
        <w:spacing w:line="460" w:lineRule="exact"/>
        <w:ind w:firstLine="480"/>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合同履行期限：</w:t>
      </w:r>
      <w:r>
        <w:rPr>
          <w:rFonts w:hint="eastAsia" w:ascii="宋体" w:hAnsi="宋体" w:cs="宋体"/>
          <w:color w:val="auto"/>
          <w:sz w:val="24"/>
          <w:szCs w:val="24"/>
          <w:highlight w:val="none"/>
          <w:lang w:val="en-US" w:eastAsia="zh-CN"/>
        </w:rPr>
        <w:t>合同签订后40天内。</w:t>
      </w:r>
    </w:p>
    <w:p w14:paraId="7E9246F7">
      <w:pPr>
        <w:spacing w:line="460" w:lineRule="exact"/>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本项目（是/否）接受联合体：否</w:t>
      </w:r>
      <w:r>
        <w:rPr>
          <w:rFonts w:hint="eastAsia" w:ascii="宋体" w:hAnsi="宋体" w:cs="宋体"/>
          <w:color w:val="auto"/>
          <w:sz w:val="24"/>
          <w:szCs w:val="24"/>
          <w:highlight w:val="none"/>
          <w:lang w:eastAsia="zh-CN"/>
        </w:rPr>
        <w:t>。</w:t>
      </w:r>
    </w:p>
    <w:p w14:paraId="255933EE">
      <w:pPr>
        <w:keepNext/>
        <w:keepLines/>
        <w:spacing w:line="460" w:lineRule="exact"/>
        <w:rPr>
          <w:rFonts w:ascii="宋体" w:hAnsi="宋体" w:cs="宋体"/>
          <w:b/>
          <w:bCs/>
          <w:color w:val="auto"/>
          <w:sz w:val="24"/>
          <w:szCs w:val="24"/>
          <w:highlight w:val="none"/>
        </w:rPr>
      </w:pPr>
      <w:bookmarkStart w:id="6" w:name="_Toc35393622"/>
      <w:bookmarkStart w:id="7" w:name="_Toc35393791"/>
      <w:bookmarkStart w:id="8" w:name="_Toc28359080"/>
      <w:bookmarkStart w:id="9" w:name="_Toc28359003"/>
      <w:r>
        <w:rPr>
          <w:rFonts w:ascii="宋体" w:hAnsi="宋体" w:cs="宋体"/>
          <w:b/>
          <w:bCs/>
          <w:color w:val="auto"/>
          <w:sz w:val="24"/>
          <w:szCs w:val="24"/>
          <w:highlight w:val="none"/>
        </w:rPr>
        <w:t>二、申请人的资格要求：</w:t>
      </w:r>
      <w:bookmarkEnd w:id="6"/>
      <w:bookmarkEnd w:id="7"/>
      <w:bookmarkEnd w:id="8"/>
      <w:bookmarkEnd w:id="9"/>
    </w:p>
    <w:p w14:paraId="0C810884">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（一）满足《中华人民共和国政府采购法》第二十二条规定：</w:t>
      </w:r>
    </w:p>
    <w:p w14:paraId="3C0AE216">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1.具有独立承担民事责任的能力；</w:t>
      </w:r>
    </w:p>
    <w:p w14:paraId="5501E38E">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2.具有良好的商业信誉和健全的财务会计制度；</w:t>
      </w:r>
    </w:p>
    <w:p w14:paraId="1B6706DA">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3.具有履行合同所必需的设备和专业技术能力；</w:t>
      </w:r>
    </w:p>
    <w:p w14:paraId="5842E67B">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4.有依法缴纳税收和社会保障资金的良好记录；</w:t>
      </w:r>
    </w:p>
    <w:p w14:paraId="399F62BF">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5.参加政府采购活动前三年内，在经营活动中没有重大违法记录；</w:t>
      </w:r>
    </w:p>
    <w:p w14:paraId="47194B20">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（二）落实政府采购政策需满足的资格要求：</w:t>
      </w:r>
    </w:p>
    <w:p w14:paraId="7052CEE2">
      <w:pPr>
        <w:spacing w:line="460" w:lineRule="exact"/>
        <w:ind w:firstLine="480"/>
        <w:rPr>
          <w:rFonts w:hint="eastAsia" w:ascii="宋体" w:hAnsi="宋体" w:eastAsia="宋体" w:cs="宋体"/>
          <w:color w:val="auto"/>
          <w:sz w:val="24"/>
          <w:highlight w:val="none"/>
          <w:u w:val="none"/>
          <w:lang w:eastAsia="zh-CN"/>
        </w:rPr>
      </w:pPr>
      <w:r>
        <w:rPr>
          <w:rFonts w:hint="eastAsia" w:ascii="宋体" w:hAnsi="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rPr>
        <w:t>本项目不专门面向中小微企业、监狱企业、残疾人福利性单位采购</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本项目所投产品</w:t>
      </w:r>
      <w:r>
        <w:rPr>
          <w:rFonts w:hint="eastAsia" w:ascii="宋体" w:hAnsi="宋体" w:cs="宋体"/>
          <w:b w:val="0"/>
          <w:bCs w:val="0"/>
          <w:color w:val="auto"/>
          <w:sz w:val="24"/>
          <w:szCs w:val="24"/>
          <w:highlight w:val="none"/>
        </w:rPr>
        <w:t>货物</w:t>
      </w:r>
      <w:r>
        <w:rPr>
          <w:rFonts w:hint="eastAsia" w:ascii="宋体" w:hAnsi="宋体" w:cs="宋体"/>
          <w:b w:val="0"/>
          <w:bCs w:val="0"/>
          <w:color w:val="auto"/>
          <w:sz w:val="24"/>
          <w:szCs w:val="24"/>
          <w:highlight w:val="none"/>
          <w:lang w:val="en-US" w:eastAsia="zh-CN"/>
        </w:rPr>
        <w:t>制造商</w:t>
      </w:r>
      <w:r>
        <w:rPr>
          <w:rFonts w:hint="eastAsia" w:ascii="宋体" w:hAnsi="宋体" w:eastAsia="宋体" w:cs="宋体"/>
          <w:color w:val="auto"/>
          <w:sz w:val="24"/>
          <w:highlight w:val="none"/>
          <w:u w:val="none"/>
        </w:rPr>
        <w:t>符合小型和微型企业、监狱企业、残疾人福利性单位条件的给予10%的扣除价格，用扣除后的价格参与评审</w:t>
      </w:r>
      <w:r>
        <w:rPr>
          <w:rFonts w:hint="eastAsia" w:ascii="宋体" w:hAnsi="宋体" w:eastAsia="宋体" w:cs="宋体"/>
          <w:color w:val="auto"/>
          <w:sz w:val="24"/>
          <w:highlight w:val="none"/>
          <w:u w:val="none"/>
          <w:lang w:eastAsia="zh-CN"/>
        </w:rPr>
        <w:t>。</w:t>
      </w:r>
    </w:p>
    <w:p w14:paraId="0B5017B2">
      <w:pPr>
        <w:spacing w:line="460" w:lineRule="exact"/>
        <w:ind w:firstLine="480"/>
        <w:rPr>
          <w:rFonts w:hint="default"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2.根据《国务院办公厅关于在政府采购中实施本国产品标准及相关政策的通知》（国办发〔2025〕34号）和《关于贯彻落实《国务院办公厅关于在政府采购中实施本国产品标准及相关政策的通知》的意见》（财库〔2025〕30号）的规定，本项目政府采购活动中既有本国产品又有非本国产品参与竞争的，对本国产品给予20%的价格扣除，用扣除后的价格参与评审。</w:t>
      </w:r>
    </w:p>
    <w:p w14:paraId="365D2774">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（三）本项目的特定资格要求：</w:t>
      </w:r>
      <w:r>
        <w:rPr>
          <w:rFonts w:hint="eastAsia" w:ascii="宋体" w:hAnsi="宋体" w:cs="宋体"/>
          <w:b w:val="0"/>
          <w:bCs w:val="0"/>
          <w:color w:val="auto"/>
          <w:sz w:val="24"/>
          <w:szCs w:val="24"/>
          <w:highlight w:val="none"/>
          <w:lang w:val="en-US" w:eastAsia="zh-CN"/>
        </w:rPr>
        <w:t>无</w:t>
      </w:r>
      <w:r>
        <w:rPr>
          <w:rFonts w:hint="eastAsia" w:ascii="宋体" w:hAnsi="宋体" w:cs="宋体"/>
          <w:b w:val="0"/>
          <w:bCs w:val="0"/>
          <w:color w:val="auto"/>
          <w:sz w:val="24"/>
          <w:szCs w:val="24"/>
          <w:highlight w:val="none"/>
        </w:rPr>
        <w:t>。</w:t>
      </w:r>
    </w:p>
    <w:p w14:paraId="6B20CDBE">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（四）拒绝下述供应商参加本次采购活动：</w:t>
      </w:r>
    </w:p>
    <w:p w14:paraId="5CD42A07">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1.单位负责人为同一人或者存在直接控股、管理关系的不同供应商，不得参加同一合同项下的政府采购活动；</w:t>
      </w:r>
    </w:p>
    <w:p w14:paraId="0518936D">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2.</w:t>
      </w:r>
      <w:r>
        <w:rPr>
          <w:rFonts w:hint="eastAsia" w:ascii="宋体" w:hAnsi="宋体" w:eastAsia="宋体" w:cs="宋体"/>
          <w:color w:val="auto"/>
          <w:sz w:val="24"/>
          <w:szCs w:val="24"/>
          <w:highlight w:val="none"/>
        </w:rPr>
        <w:t>除单一来源采购项目外，</w:t>
      </w:r>
      <w:r>
        <w:rPr>
          <w:rFonts w:ascii="宋体" w:hAnsi="宋体" w:cs="宋体"/>
          <w:b w:val="0"/>
          <w:bCs w:val="0"/>
          <w:color w:val="auto"/>
          <w:sz w:val="24"/>
          <w:szCs w:val="24"/>
          <w:highlight w:val="none"/>
        </w:rPr>
        <w:t>为采购项目提供整体设计、规范编制或者项目管理、监理、检测等服务的供应商，不得再参加该采购项目的其他采购活动；</w:t>
      </w:r>
    </w:p>
    <w:p w14:paraId="56D33D7D">
      <w:pPr>
        <w:spacing w:line="460" w:lineRule="exact"/>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3.被“信用中国”网站（www.creditchina.gov.cn）列入失信被执行人、重大税收违法</w:t>
      </w:r>
      <w:r>
        <w:rPr>
          <w:rFonts w:hint="eastAsia" w:ascii="宋体" w:hAnsi="宋体" w:cs="宋体"/>
          <w:b w:val="0"/>
          <w:bCs w:val="0"/>
          <w:color w:val="auto"/>
          <w:sz w:val="24"/>
          <w:szCs w:val="24"/>
          <w:highlight w:val="none"/>
          <w:lang w:val="en-US" w:eastAsia="zh-CN"/>
        </w:rPr>
        <w:t>失信主体</w:t>
      </w:r>
      <w:r>
        <w:rPr>
          <w:rFonts w:ascii="宋体" w:hAnsi="宋体" w:cs="宋体"/>
          <w:b w:val="0"/>
          <w:bCs w:val="0"/>
          <w:color w:val="auto"/>
          <w:sz w:val="24"/>
          <w:szCs w:val="24"/>
          <w:highlight w:val="none"/>
        </w:rPr>
        <w:t>名单、政府采购严重</w:t>
      </w:r>
      <w:r>
        <w:rPr>
          <w:rFonts w:hint="eastAsia" w:ascii="宋体" w:hAnsi="宋体" w:cs="宋体"/>
          <w:b w:val="0"/>
          <w:bCs w:val="0"/>
          <w:color w:val="auto"/>
          <w:sz w:val="24"/>
          <w:szCs w:val="24"/>
          <w:highlight w:val="none"/>
          <w:lang w:val="en-US" w:eastAsia="zh-CN"/>
        </w:rPr>
        <w:t>违法</w:t>
      </w:r>
      <w:r>
        <w:rPr>
          <w:rFonts w:ascii="宋体" w:hAnsi="宋体" w:cs="宋体"/>
          <w:b w:val="0"/>
          <w:bCs w:val="0"/>
          <w:color w:val="auto"/>
          <w:sz w:val="24"/>
          <w:szCs w:val="24"/>
          <w:highlight w:val="none"/>
        </w:rPr>
        <w:t>失信行为记录名单。</w:t>
      </w:r>
    </w:p>
    <w:p w14:paraId="73086EC3">
      <w:pPr>
        <w:keepNext/>
        <w:keepLines/>
        <w:spacing w:before="181" w:line="360" w:lineRule="auto"/>
        <w:ind w:firstLine="240"/>
        <w:rPr>
          <w:rFonts w:ascii="宋体" w:hAnsi="宋体" w:cs="宋体"/>
          <w:b/>
          <w:bCs/>
          <w:color w:val="auto"/>
          <w:sz w:val="24"/>
          <w:szCs w:val="24"/>
          <w:highlight w:val="none"/>
        </w:rPr>
      </w:pPr>
      <w:bookmarkStart w:id="10" w:name="_Toc28359004"/>
      <w:bookmarkStart w:id="11" w:name="_Toc28359081"/>
      <w:bookmarkStart w:id="12" w:name="_Toc35393792"/>
      <w:bookmarkStart w:id="13" w:name="_Toc35393623"/>
      <w:r>
        <w:rPr>
          <w:rFonts w:ascii="宋体" w:hAnsi="宋体" w:cs="宋体"/>
          <w:b/>
          <w:bCs/>
          <w:color w:val="auto"/>
          <w:sz w:val="24"/>
          <w:szCs w:val="24"/>
          <w:highlight w:val="none"/>
        </w:rPr>
        <w:t>三、获取招标文件</w:t>
      </w:r>
      <w:bookmarkEnd w:id="10"/>
      <w:bookmarkEnd w:id="11"/>
      <w:bookmarkEnd w:id="12"/>
      <w:bookmarkEnd w:id="13"/>
    </w:p>
    <w:p w14:paraId="21AA97A5">
      <w:pPr>
        <w:spacing w:line="360" w:lineRule="auto"/>
        <w:ind w:firstLine="480"/>
        <w:jc w:val="left"/>
        <w:rPr>
          <w:rFonts w:ascii="宋体" w:hAnsi="宋体" w:cs="宋体"/>
          <w:color w:val="auto"/>
          <w:sz w:val="24"/>
          <w:szCs w:val="24"/>
          <w:highlight w:val="none"/>
        </w:rPr>
      </w:pPr>
      <w:r>
        <w:rPr>
          <w:rFonts w:ascii="宋体" w:hAnsi="宋体" w:cs="宋体"/>
          <w:color w:val="auto"/>
          <w:sz w:val="24"/>
          <w:szCs w:val="28"/>
          <w:highlight w:val="none"/>
        </w:rPr>
        <w:t>时间：自招标文件公告发布之日起5个工作日</w:t>
      </w:r>
    </w:p>
    <w:p w14:paraId="2C503B16">
      <w:pPr>
        <w:spacing w:line="360" w:lineRule="auto"/>
        <w:ind w:firstLine="480"/>
        <w:jc w:val="left"/>
        <w:rPr>
          <w:rFonts w:ascii="宋体" w:hAnsi="宋体" w:cs="宋体"/>
          <w:color w:val="auto"/>
          <w:sz w:val="24"/>
          <w:szCs w:val="28"/>
          <w:highlight w:val="none"/>
        </w:rPr>
      </w:pPr>
      <w:r>
        <w:rPr>
          <w:rFonts w:ascii="宋体" w:hAnsi="宋体" w:cs="宋体"/>
          <w:color w:val="auto"/>
          <w:sz w:val="24"/>
          <w:szCs w:val="28"/>
          <w:highlight w:val="none"/>
        </w:rPr>
        <w:t>地点：</w:t>
      </w:r>
      <w:r>
        <w:rPr>
          <w:rFonts w:hint="eastAsia" w:ascii="宋体" w:hAnsi="宋体" w:cs="宋体"/>
          <w:color w:val="auto"/>
          <w:sz w:val="24"/>
          <w:szCs w:val="24"/>
          <w:highlight w:val="none"/>
          <w:lang w:val="en-US" w:eastAsia="zh-CN"/>
        </w:rPr>
        <w:t>投标人</w:t>
      </w:r>
      <w:r>
        <w:rPr>
          <w:rFonts w:ascii="宋体" w:hAnsi="宋体" w:cs="宋体"/>
          <w:color w:val="auto"/>
          <w:sz w:val="24"/>
          <w:szCs w:val="28"/>
          <w:highlight w:val="none"/>
        </w:rPr>
        <w:t>完成注册并办理CA证书后登录“江苏政府采购“苏采云”系统”</w:t>
      </w:r>
    </w:p>
    <w:p w14:paraId="7D53F4D3">
      <w:pPr>
        <w:spacing w:line="360" w:lineRule="auto"/>
        <w:ind w:firstLine="480"/>
        <w:jc w:val="left"/>
        <w:rPr>
          <w:rFonts w:ascii="宋体" w:hAnsi="宋体" w:cs="宋体"/>
          <w:color w:val="auto"/>
          <w:sz w:val="24"/>
          <w:szCs w:val="28"/>
          <w:highlight w:val="none"/>
        </w:rPr>
      </w:pPr>
      <w:r>
        <w:rPr>
          <w:rFonts w:ascii="宋体" w:hAnsi="宋体" w:cs="宋体"/>
          <w:color w:val="auto"/>
          <w:sz w:val="24"/>
          <w:szCs w:val="28"/>
          <w:highlight w:val="none"/>
        </w:rPr>
        <w:t>方式：江苏政府采购“苏采云”系统自行免费下载</w:t>
      </w:r>
    </w:p>
    <w:p w14:paraId="60FA2385">
      <w:pPr>
        <w:spacing w:line="360" w:lineRule="auto"/>
        <w:ind w:firstLine="480"/>
        <w:jc w:val="left"/>
        <w:rPr>
          <w:rFonts w:ascii="宋体" w:hAnsi="宋体" w:cs="宋体"/>
          <w:color w:val="auto"/>
          <w:sz w:val="24"/>
          <w:szCs w:val="28"/>
          <w:highlight w:val="none"/>
        </w:rPr>
      </w:pPr>
      <w:r>
        <w:rPr>
          <w:rFonts w:ascii="宋体" w:hAnsi="宋体" w:cs="宋体"/>
          <w:color w:val="auto"/>
          <w:sz w:val="24"/>
          <w:szCs w:val="28"/>
          <w:highlight w:val="none"/>
        </w:rPr>
        <w:t>售价：0.00元</w:t>
      </w:r>
    </w:p>
    <w:p w14:paraId="2AC8E5FE">
      <w:pPr>
        <w:keepNext/>
        <w:keepLines/>
        <w:spacing w:before="181" w:line="360" w:lineRule="auto"/>
        <w:ind w:firstLine="240"/>
        <w:rPr>
          <w:rFonts w:ascii="宋体" w:hAnsi="宋体" w:cs="宋体"/>
          <w:b/>
          <w:bCs/>
          <w:color w:val="auto"/>
          <w:sz w:val="24"/>
          <w:szCs w:val="24"/>
          <w:highlight w:val="none"/>
        </w:rPr>
      </w:pPr>
      <w:bookmarkStart w:id="14" w:name="_Toc28359082"/>
      <w:bookmarkStart w:id="15" w:name="_Toc28359005"/>
      <w:bookmarkStart w:id="16" w:name="_Toc35393624"/>
      <w:bookmarkStart w:id="17" w:name="_Toc35393793"/>
      <w:r>
        <w:rPr>
          <w:rFonts w:ascii="宋体" w:hAnsi="宋体" w:cs="宋体"/>
          <w:b/>
          <w:bCs/>
          <w:color w:val="auto"/>
          <w:sz w:val="24"/>
          <w:szCs w:val="24"/>
          <w:highlight w:val="none"/>
        </w:rPr>
        <w:t>四、提交投标文件</w:t>
      </w:r>
      <w:bookmarkEnd w:id="14"/>
      <w:bookmarkEnd w:id="15"/>
      <w:r>
        <w:rPr>
          <w:rFonts w:ascii="宋体" w:hAnsi="宋体" w:cs="宋体"/>
          <w:b/>
          <w:bCs/>
          <w:color w:val="auto"/>
          <w:sz w:val="24"/>
          <w:szCs w:val="24"/>
          <w:highlight w:val="none"/>
        </w:rPr>
        <w:t>截止时间、开标时间和地点</w:t>
      </w:r>
      <w:bookmarkEnd w:id="16"/>
      <w:bookmarkEnd w:id="17"/>
    </w:p>
    <w:p w14:paraId="0D33784C">
      <w:pPr>
        <w:spacing w:line="360" w:lineRule="auto"/>
        <w:ind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时间：</w:t>
      </w:r>
      <w:r>
        <w:rPr>
          <w:rFonts w:ascii="宋体" w:hAnsi="宋体" w:cs="宋体"/>
          <w:color w:val="auto"/>
          <w:sz w:val="24"/>
          <w:szCs w:val="28"/>
          <w:highlight w:val="none"/>
        </w:rPr>
        <w:t>202</w:t>
      </w:r>
      <w:r>
        <w:rPr>
          <w:rFonts w:hint="eastAsia" w:ascii="宋体" w:hAnsi="宋体" w:cs="宋体"/>
          <w:color w:val="auto"/>
          <w:sz w:val="24"/>
          <w:szCs w:val="28"/>
          <w:highlight w:val="none"/>
          <w:lang w:val="en-US" w:eastAsia="zh-CN"/>
        </w:rPr>
        <w:t>6</w:t>
      </w:r>
      <w:r>
        <w:rPr>
          <w:rFonts w:ascii="宋体" w:hAnsi="宋体" w:cs="宋体"/>
          <w:color w:val="auto"/>
          <w:sz w:val="24"/>
          <w:szCs w:val="28"/>
          <w:highlight w:val="none"/>
        </w:rPr>
        <w:t>年</w:t>
      </w:r>
      <w:r>
        <w:rPr>
          <w:rFonts w:hint="eastAsia" w:ascii="宋体" w:hAnsi="宋体" w:cs="宋体"/>
          <w:color w:val="auto"/>
          <w:sz w:val="24"/>
          <w:szCs w:val="28"/>
          <w:highlight w:val="none"/>
          <w:lang w:val="en-US" w:eastAsia="zh-CN"/>
        </w:rPr>
        <w:t>11</w:t>
      </w:r>
      <w:r>
        <w:rPr>
          <w:rFonts w:ascii="宋体" w:hAnsi="宋体" w:cs="宋体"/>
          <w:color w:val="auto"/>
          <w:sz w:val="24"/>
          <w:szCs w:val="28"/>
          <w:highlight w:val="none"/>
        </w:rPr>
        <w:t>月</w:t>
      </w:r>
      <w:r>
        <w:rPr>
          <w:rFonts w:hint="eastAsia" w:ascii="宋体" w:hAnsi="宋体" w:cs="宋体"/>
          <w:color w:val="auto"/>
          <w:sz w:val="24"/>
          <w:szCs w:val="28"/>
          <w:highlight w:val="none"/>
          <w:lang w:val="en-US" w:eastAsia="zh-CN"/>
        </w:rPr>
        <w:t>04</w:t>
      </w:r>
      <w:r>
        <w:rPr>
          <w:rFonts w:ascii="宋体" w:hAnsi="宋体" w:cs="宋体"/>
          <w:color w:val="auto"/>
          <w:sz w:val="24"/>
          <w:szCs w:val="28"/>
          <w:highlight w:val="none"/>
        </w:rPr>
        <w:t>日</w:t>
      </w:r>
      <w:r>
        <w:rPr>
          <w:rFonts w:hint="eastAsia" w:ascii="宋体" w:hAnsi="宋体" w:cs="宋体"/>
          <w:color w:val="auto"/>
          <w:sz w:val="24"/>
          <w:szCs w:val="28"/>
          <w:highlight w:val="none"/>
        </w:rPr>
        <w:t>09</w:t>
      </w:r>
      <w:r>
        <w:rPr>
          <w:rFonts w:ascii="宋体" w:hAnsi="宋体" w:cs="宋体"/>
          <w:color w:val="auto"/>
          <w:sz w:val="24"/>
          <w:szCs w:val="28"/>
          <w:highlight w:val="none"/>
        </w:rPr>
        <w:t>点</w:t>
      </w:r>
      <w:r>
        <w:rPr>
          <w:rFonts w:hint="eastAsia" w:ascii="宋体" w:hAnsi="宋体" w:cs="宋体"/>
          <w:color w:val="auto"/>
          <w:sz w:val="24"/>
          <w:szCs w:val="28"/>
          <w:highlight w:val="none"/>
        </w:rPr>
        <w:t>30</w:t>
      </w:r>
      <w:r>
        <w:rPr>
          <w:rFonts w:ascii="宋体" w:hAnsi="宋体" w:cs="宋体"/>
          <w:color w:val="auto"/>
          <w:sz w:val="24"/>
          <w:szCs w:val="28"/>
          <w:highlight w:val="none"/>
        </w:rPr>
        <w:t>分（北京时间）</w:t>
      </w:r>
    </w:p>
    <w:p w14:paraId="03080A48">
      <w:pPr>
        <w:spacing w:line="360" w:lineRule="auto"/>
        <w:ind w:firstLine="480"/>
        <w:jc w:val="left"/>
        <w:rPr>
          <w:rFonts w:ascii="宋体" w:hAnsi="宋体" w:cs="宋体"/>
          <w:color w:val="auto"/>
          <w:sz w:val="24"/>
          <w:szCs w:val="28"/>
          <w:highlight w:val="none"/>
        </w:rPr>
      </w:pPr>
      <w:r>
        <w:rPr>
          <w:rFonts w:ascii="宋体" w:hAnsi="宋体" w:cs="宋体"/>
          <w:color w:val="auto"/>
          <w:sz w:val="24"/>
          <w:szCs w:val="28"/>
          <w:highlight w:val="none"/>
        </w:rPr>
        <w:t>地点：江苏政府采购“苏采云”系统不见面开标大厅。</w:t>
      </w:r>
    </w:p>
    <w:p w14:paraId="1F3040D5">
      <w:pPr>
        <w:keepNext/>
        <w:keepLines/>
        <w:spacing w:line="460" w:lineRule="exact"/>
        <w:ind w:firstLine="240"/>
        <w:rPr>
          <w:rFonts w:ascii="宋体" w:hAnsi="宋体" w:cs="宋体"/>
          <w:b/>
          <w:bCs/>
          <w:color w:val="auto"/>
          <w:sz w:val="24"/>
          <w:szCs w:val="24"/>
          <w:highlight w:val="none"/>
        </w:rPr>
      </w:pPr>
      <w:bookmarkStart w:id="18" w:name="_Toc28359084"/>
      <w:bookmarkStart w:id="19" w:name="_Toc35393794"/>
      <w:bookmarkStart w:id="20" w:name="_Toc28359007"/>
      <w:bookmarkStart w:id="21" w:name="_Toc35393625"/>
      <w:r>
        <w:rPr>
          <w:rFonts w:ascii="宋体" w:hAnsi="宋体" w:cs="宋体"/>
          <w:b/>
          <w:bCs/>
          <w:color w:val="auto"/>
          <w:sz w:val="24"/>
          <w:szCs w:val="24"/>
          <w:highlight w:val="none"/>
        </w:rPr>
        <w:t>五、公告期限</w:t>
      </w:r>
      <w:bookmarkEnd w:id="18"/>
      <w:bookmarkEnd w:id="19"/>
      <w:bookmarkEnd w:id="20"/>
      <w:bookmarkEnd w:id="21"/>
    </w:p>
    <w:p w14:paraId="13363D9D">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自本公告发布之日起5个工作日。</w:t>
      </w:r>
    </w:p>
    <w:p w14:paraId="471F2B81">
      <w:pPr>
        <w:pStyle w:val="179"/>
        <w:spacing w:line="460" w:lineRule="exact"/>
        <w:rPr>
          <w:rFonts w:ascii="宋体" w:hAnsi="宋体" w:cs="宋体"/>
          <w:b/>
          <w:bCs/>
          <w:color w:val="auto"/>
          <w:sz w:val="24"/>
          <w:szCs w:val="24"/>
          <w:highlight w:val="none"/>
        </w:rPr>
      </w:pPr>
      <w:r>
        <w:rPr>
          <w:rFonts w:ascii="宋体" w:hAnsi="宋体" w:cs="宋体"/>
          <w:b/>
          <w:bCs/>
          <w:color w:val="auto"/>
          <w:sz w:val="24"/>
          <w:szCs w:val="24"/>
          <w:highlight w:val="none"/>
        </w:rPr>
        <w:t>六、其他补充事宜</w:t>
      </w:r>
    </w:p>
    <w:p w14:paraId="68F3C28E">
      <w:pPr>
        <w:pStyle w:val="187"/>
        <w:spacing w:line="360" w:lineRule="auto"/>
        <w:ind w:firstLine="480"/>
        <w:contextualSpacing/>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1.发布招标公告的媒介：“江苏政府采购网http://www.ccgp-jiangsu.gov.cn/”</w:t>
      </w:r>
      <w:r>
        <w:rPr>
          <w:rFonts w:hint="eastAsia" w:ascii="宋体" w:hAnsi="宋体" w:cs="宋体"/>
          <w:color w:val="auto"/>
          <w:sz w:val="24"/>
          <w:szCs w:val="24"/>
          <w:highlight w:val="none"/>
          <w:lang w:eastAsia="zh-CN"/>
        </w:rPr>
        <w:t>。</w:t>
      </w:r>
    </w:p>
    <w:p w14:paraId="6A80CE64">
      <w:pPr>
        <w:pStyle w:val="187"/>
        <w:spacing w:line="360" w:lineRule="auto"/>
        <w:ind w:firstLine="480"/>
        <w:contextualSpacing/>
        <w:rPr>
          <w:rFonts w:ascii="宋体" w:hAnsi="宋体" w:cs="宋体"/>
          <w:color w:val="auto"/>
          <w:sz w:val="24"/>
          <w:szCs w:val="24"/>
          <w:highlight w:val="none"/>
        </w:rPr>
      </w:pPr>
      <w:r>
        <w:rPr>
          <w:rFonts w:ascii="宋体" w:hAnsi="宋体" w:cs="宋体"/>
          <w:color w:val="auto"/>
          <w:sz w:val="24"/>
          <w:szCs w:val="24"/>
          <w:highlight w:val="none"/>
        </w:rPr>
        <w:t>注意事项：有关本项目的更正、补充等内容将通过上述网站公布，敬请及时关注。投标人有义务在采购活动期间浏览上述网页，</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（或</w:t>
      </w:r>
      <w:r>
        <w:rPr>
          <w:rFonts w:hint="eastAsia" w:ascii="宋体" w:hAnsi="宋体" w:cs="宋体"/>
          <w:color w:val="auto"/>
          <w:sz w:val="24"/>
          <w:szCs w:val="24"/>
          <w:highlight w:val="none"/>
          <w:lang w:eastAsia="zh-CN"/>
        </w:rPr>
        <w:t>采购代理</w:t>
      </w:r>
      <w:r>
        <w:rPr>
          <w:rFonts w:ascii="宋体" w:hAnsi="宋体" w:cs="宋体"/>
          <w:color w:val="auto"/>
          <w:sz w:val="24"/>
          <w:szCs w:val="24"/>
          <w:highlight w:val="none"/>
        </w:rPr>
        <w:t>机构）在上述网站公布的与本次项目有关的信息视为已送达各投标人。因投标人未尽注意义务，未及时全面地关注更正公告导致其递交的响应材料不符合采购文件要求而造成的损失及风险由投标人自行承担。</w:t>
      </w:r>
    </w:p>
    <w:p w14:paraId="4CA8B4F9">
      <w:pPr>
        <w:pStyle w:val="187"/>
        <w:spacing w:line="360" w:lineRule="auto"/>
        <w:ind w:firstLine="480"/>
        <w:contextualSpacing/>
        <w:rPr>
          <w:rFonts w:ascii="宋体" w:hAnsi="宋体" w:cs="宋体"/>
          <w:color w:val="auto"/>
          <w:sz w:val="24"/>
          <w:szCs w:val="24"/>
          <w:highlight w:val="none"/>
        </w:rPr>
      </w:pPr>
      <w:r>
        <w:rPr>
          <w:rFonts w:ascii="宋体" w:hAnsi="宋体" w:cs="宋体"/>
          <w:color w:val="auto"/>
          <w:sz w:val="24"/>
          <w:szCs w:val="24"/>
          <w:highlight w:val="none"/>
        </w:rPr>
        <w:t>2.如在制作电子投标文件中有任何疑问，请拨打电子化政府采购技术支持电话：0523-86897512。</w:t>
      </w:r>
    </w:p>
    <w:p w14:paraId="15C32EAD">
      <w:pPr>
        <w:pStyle w:val="179"/>
        <w:spacing w:line="460" w:lineRule="exact"/>
        <w:ind w:firstLine="480"/>
        <w:rPr>
          <w:rFonts w:ascii="宋体" w:hAnsi="宋体" w:cs="宋体"/>
          <w:color w:val="auto"/>
          <w:sz w:val="24"/>
          <w:szCs w:val="28"/>
          <w:highlight w:val="none"/>
        </w:rPr>
      </w:pPr>
      <w:r>
        <w:rPr>
          <w:rFonts w:ascii="宋体" w:hAnsi="宋体" w:cs="宋体"/>
          <w:color w:val="auto"/>
          <w:sz w:val="24"/>
          <w:szCs w:val="24"/>
          <w:highlight w:val="none"/>
        </w:rPr>
        <w:t>3.</w:t>
      </w:r>
      <w:r>
        <w:rPr>
          <w:rFonts w:hint="eastAsia" w:ascii="宋体" w:hAnsi="宋体" w:eastAsia="宋体" w:cs="宋体"/>
          <w:color w:val="auto"/>
          <w:sz w:val="24"/>
          <w:szCs w:val="24"/>
          <w:highlight w:val="none"/>
        </w:rPr>
        <w:t>本项目采用网上注册登记方式。</w:t>
      </w:r>
      <w:r>
        <w:rPr>
          <w:rFonts w:ascii="宋体" w:hAnsi="宋体" w:cs="宋体"/>
          <w:color w:val="auto"/>
          <w:sz w:val="24"/>
          <w:szCs w:val="28"/>
          <w:highlight w:val="none"/>
        </w:rPr>
        <w:t>潜在投标人访问电子招标投标交易平台的网络地址和方法：</w:t>
      </w:r>
    </w:p>
    <w:p w14:paraId="5317C29E">
      <w:pPr>
        <w:spacing w:line="360" w:lineRule="auto"/>
        <w:ind w:firstLine="480"/>
        <w:jc w:val="left"/>
        <w:rPr>
          <w:rFonts w:ascii="宋体" w:hAnsi="宋体" w:cs="宋体"/>
          <w:color w:val="auto"/>
          <w:sz w:val="24"/>
          <w:szCs w:val="28"/>
          <w:highlight w:val="none"/>
        </w:rPr>
      </w:pPr>
      <w:r>
        <w:rPr>
          <w:rFonts w:ascii="宋体" w:hAnsi="宋体" w:cs="宋体"/>
          <w:color w:val="auto"/>
          <w:sz w:val="24"/>
          <w:szCs w:val="28"/>
          <w:highlight w:val="none"/>
        </w:rPr>
        <w:t>（1）登录</w:t>
      </w:r>
      <w:r>
        <w:rPr>
          <w:rFonts w:ascii="宋体" w:hAnsi="宋体" w:cs="宋体"/>
          <w:color w:val="auto"/>
          <w:sz w:val="24"/>
          <w:szCs w:val="24"/>
          <w:highlight w:val="none"/>
        </w:rPr>
        <w:t>http://www.ccgp-jiangsu.gov.cn/</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点击“苏采云”进入系统。</w:t>
      </w:r>
    </w:p>
    <w:p w14:paraId="440E278A">
      <w:pPr>
        <w:spacing w:line="360" w:lineRule="auto"/>
        <w:ind w:firstLine="480"/>
        <w:jc w:val="left"/>
        <w:rPr>
          <w:rFonts w:ascii="宋体" w:hAnsi="宋体" w:cs="宋体"/>
          <w:color w:val="auto"/>
          <w:sz w:val="24"/>
          <w:szCs w:val="28"/>
          <w:highlight w:val="none"/>
        </w:rPr>
      </w:pPr>
      <w:r>
        <w:rPr>
          <w:rFonts w:ascii="宋体" w:hAnsi="宋体" w:cs="宋体"/>
          <w:color w:val="auto"/>
          <w:sz w:val="24"/>
          <w:szCs w:val="28"/>
          <w:highlight w:val="none"/>
        </w:rPr>
        <w:t>（2）</w:t>
      </w:r>
      <w:r>
        <w:rPr>
          <w:rFonts w:hint="eastAsia" w:ascii="宋体" w:hAnsi="宋体" w:eastAsia="宋体" w:cs="宋体"/>
          <w:color w:val="auto"/>
          <w:sz w:val="24"/>
          <w:szCs w:val="24"/>
          <w:highlight w:val="none"/>
        </w:rPr>
        <w:t>“CA数字证书”的获取：投标人需办理CA锁（原国信CA须更换新CA，详见http://jsxcmm.com/help/gys.html）。投标客户端工具及投标人操作手册可访问江苏省政府采购网，“资料下载”进行下载《江苏省政府采购管理交易系统（苏采云）供应商操作手册》</w:t>
      </w:r>
      <w:r>
        <w:rPr>
          <w:rFonts w:ascii="宋体" w:hAnsi="宋体" w:cs="宋体"/>
          <w:color w:val="auto"/>
          <w:sz w:val="24"/>
          <w:szCs w:val="28"/>
          <w:highlight w:val="none"/>
        </w:rPr>
        <w:t>。</w:t>
      </w:r>
    </w:p>
    <w:p w14:paraId="61C95F40">
      <w:pPr>
        <w:spacing w:line="360" w:lineRule="auto"/>
        <w:ind w:firstLine="480"/>
        <w:jc w:val="left"/>
        <w:rPr>
          <w:rFonts w:ascii="宋体" w:hAnsi="宋体" w:cs="宋体"/>
          <w:color w:val="auto"/>
          <w:sz w:val="24"/>
          <w:szCs w:val="28"/>
          <w:highlight w:val="none"/>
        </w:rPr>
      </w:pPr>
      <w:r>
        <w:rPr>
          <w:rFonts w:ascii="宋体" w:hAnsi="宋体" w:cs="宋体"/>
          <w:color w:val="auto"/>
          <w:sz w:val="24"/>
          <w:szCs w:val="28"/>
          <w:highlight w:val="none"/>
        </w:rPr>
        <w:t>4.</w:t>
      </w:r>
      <w:r>
        <w:rPr>
          <w:rFonts w:hint="eastAsia" w:ascii="宋体" w:hAnsi="宋体" w:cs="宋体"/>
          <w:color w:val="auto"/>
          <w:sz w:val="24"/>
          <w:szCs w:val="28"/>
          <w:highlight w:val="none"/>
          <w:lang w:val="en-US" w:eastAsia="zh-CN"/>
        </w:rPr>
        <w:t>采购</w:t>
      </w:r>
      <w:r>
        <w:rPr>
          <w:rFonts w:ascii="宋体" w:hAnsi="宋体" w:cs="宋体"/>
          <w:color w:val="auto"/>
          <w:sz w:val="24"/>
          <w:szCs w:val="28"/>
          <w:highlight w:val="none"/>
        </w:rPr>
        <w:t>代理机构将数据电文形式的采购文件加载至电子招标投标交易平台，供潜在投标人下载或者查阅。</w:t>
      </w:r>
    </w:p>
    <w:p w14:paraId="6B00F5C3">
      <w:pPr>
        <w:spacing w:line="360" w:lineRule="auto"/>
        <w:ind w:firstLine="480"/>
        <w:jc w:val="left"/>
        <w:rPr>
          <w:rFonts w:ascii="宋体" w:hAnsi="宋体" w:cs="宋体"/>
          <w:color w:val="auto"/>
          <w:sz w:val="24"/>
          <w:szCs w:val="28"/>
          <w:highlight w:val="none"/>
        </w:rPr>
      </w:pPr>
      <w:r>
        <w:rPr>
          <w:rFonts w:ascii="宋体" w:hAnsi="宋体" w:cs="宋体"/>
          <w:color w:val="auto"/>
          <w:sz w:val="24"/>
          <w:szCs w:val="28"/>
          <w:highlight w:val="none"/>
        </w:rPr>
        <w:t>5.如潜在投标人未按上述要求操作，将自行承担所产生的风险。</w:t>
      </w:r>
    </w:p>
    <w:p w14:paraId="13A6E62A">
      <w:pPr>
        <w:keepNext/>
        <w:keepLines/>
        <w:spacing w:line="460" w:lineRule="exact"/>
        <w:ind w:firstLine="480"/>
        <w:rPr>
          <w:rFonts w:ascii="宋体" w:hAnsi="宋体" w:cs="宋体"/>
          <w:b/>
          <w:bCs/>
          <w:color w:val="auto"/>
          <w:sz w:val="24"/>
          <w:szCs w:val="24"/>
          <w:highlight w:val="none"/>
        </w:rPr>
      </w:pPr>
      <w:bookmarkStart w:id="22" w:name="_Toc35393796"/>
      <w:bookmarkStart w:id="23" w:name="_Toc28359085"/>
      <w:bookmarkStart w:id="24" w:name="_Toc35393627"/>
      <w:bookmarkStart w:id="25" w:name="_Toc28359008"/>
      <w:r>
        <w:rPr>
          <w:rFonts w:ascii="宋体" w:hAnsi="宋体" w:cs="宋体"/>
          <w:b/>
          <w:bCs/>
          <w:color w:val="auto"/>
          <w:sz w:val="24"/>
          <w:szCs w:val="24"/>
          <w:highlight w:val="none"/>
        </w:rPr>
        <w:t>七、对本次招标提出询问，请按以下方式联系。</w:t>
      </w:r>
      <w:bookmarkEnd w:id="22"/>
      <w:bookmarkEnd w:id="23"/>
      <w:bookmarkEnd w:id="24"/>
      <w:bookmarkEnd w:id="25"/>
    </w:p>
    <w:p w14:paraId="0337CB4D">
      <w:pPr>
        <w:widowControl/>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1.采购人信息</w:t>
      </w:r>
    </w:p>
    <w:p w14:paraId="32DBAAC0">
      <w:pPr>
        <w:spacing w:line="460" w:lineRule="exact"/>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名 称：</w:t>
      </w:r>
      <w:r>
        <w:rPr>
          <w:rFonts w:hint="eastAsia" w:ascii="宋体" w:hAnsi="宋体" w:cs="宋体"/>
          <w:color w:val="auto"/>
          <w:sz w:val="24"/>
          <w:szCs w:val="24"/>
          <w:highlight w:val="none"/>
          <w:lang w:eastAsia="zh-CN"/>
        </w:rPr>
        <w:t>泰州实验中学</w:t>
      </w:r>
    </w:p>
    <w:p w14:paraId="1C9684EC">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地址：</w:t>
      </w:r>
      <w:r>
        <w:rPr>
          <w:rFonts w:hint="eastAsia" w:ascii="宋体" w:hAnsi="宋体" w:cs="宋体"/>
          <w:color w:val="auto"/>
          <w:sz w:val="24"/>
          <w:szCs w:val="24"/>
          <w:highlight w:val="none"/>
        </w:rPr>
        <w:t>江苏省泰州市海陵区医药高新区寺巷街道泰事达路</w:t>
      </w:r>
    </w:p>
    <w:p w14:paraId="60B9A8A3">
      <w:pPr>
        <w:spacing w:line="460" w:lineRule="exact"/>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袁先生</w:t>
      </w:r>
    </w:p>
    <w:p w14:paraId="0E70368A">
      <w:pPr>
        <w:spacing w:line="460" w:lineRule="exact"/>
        <w:ind w:firstLine="480"/>
        <w:rPr>
          <w:rFonts w:hint="default" w:ascii="宋体" w:hAnsi="宋体" w:eastAsia="宋体" w:cs="宋体"/>
          <w:color w:val="auto"/>
          <w:sz w:val="24"/>
          <w:szCs w:val="24"/>
          <w:highlight w:val="none"/>
          <w:u w:val="single"/>
          <w:lang w:val="en-US" w:eastAsia="zh-CN"/>
        </w:rPr>
      </w:pPr>
      <w:r>
        <w:rPr>
          <w:rFonts w:ascii="宋体" w:hAnsi="宋体" w:cs="宋体"/>
          <w:color w:val="auto"/>
          <w:sz w:val="24"/>
          <w:szCs w:val="24"/>
          <w:highlight w:val="none"/>
        </w:rPr>
        <w:t>联系方式：</w:t>
      </w:r>
      <w:r>
        <w:rPr>
          <w:rFonts w:hint="eastAsia" w:ascii="宋体" w:hAnsi="宋体" w:cs="宋体"/>
          <w:color w:val="auto"/>
          <w:sz w:val="24"/>
          <w:szCs w:val="24"/>
          <w:highlight w:val="none"/>
          <w:u w:val="none"/>
          <w:lang w:val="en-US" w:eastAsia="zh-CN"/>
        </w:rPr>
        <w:t>0523-86860608</w:t>
      </w:r>
    </w:p>
    <w:p w14:paraId="49CD75AC">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2.采购代理机构信息</w:t>
      </w:r>
    </w:p>
    <w:p w14:paraId="76A001A9">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名    称：</w:t>
      </w:r>
      <w:r>
        <w:rPr>
          <w:rFonts w:hint="eastAsia" w:ascii="宋体" w:hAnsi="宋体" w:cs="宋体"/>
          <w:color w:val="auto"/>
          <w:sz w:val="24"/>
          <w:szCs w:val="24"/>
          <w:highlight w:val="none"/>
          <w:lang w:eastAsia="zh-CN"/>
        </w:rPr>
        <w:t>江苏华盛建设管理咨询有限公司</w:t>
      </w:r>
    </w:p>
    <w:p w14:paraId="5370BD57">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地　　址：泰州市医药高新区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高港区</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天虹路1号三层</w:t>
      </w:r>
    </w:p>
    <w:p w14:paraId="642A4BAC">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联系方式：0523-86967116、18094469926</w:t>
      </w:r>
    </w:p>
    <w:p w14:paraId="67D59424">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3.项目联系方式</w:t>
      </w:r>
    </w:p>
    <w:p w14:paraId="21E0F94F">
      <w:pPr>
        <w:spacing w:line="460" w:lineRule="exact"/>
        <w:ind w:firstLine="480"/>
        <w:rPr>
          <w:rFonts w:ascii="宋体" w:hAnsi="宋体" w:cs="宋体"/>
          <w:color w:val="auto"/>
          <w:sz w:val="24"/>
          <w:szCs w:val="24"/>
          <w:highlight w:val="none"/>
        </w:rPr>
      </w:pPr>
      <w:r>
        <w:rPr>
          <w:rFonts w:ascii="宋体" w:hAnsi="宋体" w:cs="宋体"/>
          <w:color w:val="auto"/>
          <w:sz w:val="24"/>
          <w:szCs w:val="24"/>
          <w:highlight w:val="none"/>
        </w:rPr>
        <w:t>项目联系人：金工</w:t>
      </w:r>
    </w:p>
    <w:p w14:paraId="2FD0A66D">
      <w:pPr>
        <w:spacing w:line="460" w:lineRule="exact"/>
        <w:ind w:firstLine="480"/>
        <w:rPr>
          <w:rFonts w:ascii="宋体" w:hAnsi="宋体" w:cs="宋体"/>
          <w:b/>
          <w:color w:val="auto"/>
          <w:sz w:val="42"/>
          <w:szCs w:val="24"/>
          <w:highlight w:val="none"/>
        </w:rPr>
      </w:pPr>
      <w:r>
        <w:rPr>
          <w:rFonts w:ascii="宋体" w:hAnsi="宋体" w:cs="宋体"/>
          <w:color w:val="auto"/>
          <w:sz w:val="24"/>
          <w:szCs w:val="24"/>
          <w:highlight w:val="none"/>
        </w:rPr>
        <w:t>电　　 话：0523-86967116、18094469926</w:t>
      </w:r>
      <w:r>
        <w:rPr>
          <w:color w:val="auto"/>
          <w:highlight w:val="none"/>
        </w:rPr>
        <w:br w:type="page" w:clear="all"/>
      </w:r>
    </w:p>
    <w:p w14:paraId="4701B17A">
      <w:pPr>
        <w:pStyle w:val="2"/>
        <w:rPr>
          <w:rFonts w:ascii="宋体" w:hAnsi="宋体" w:cs="宋体"/>
          <w:color w:val="auto"/>
          <w:sz w:val="42"/>
          <w:szCs w:val="24"/>
          <w:highlight w:val="none"/>
        </w:rPr>
      </w:pPr>
      <w:bookmarkStart w:id="26" w:name="_Toc182078115"/>
      <w:r>
        <w:rPr>
          <w:rFonts w:ascii="宋体" w:hAnsi="宋体" w:cs="宋体"/>
          <w:color w:val="auto"/>
          <w:sz w:val="42"/>
          <w:szCs w:val="24"/>
          <w:highlight w:val="none"/>
        </w:rPr>
        <w:t>第二章 投标人须知</w:t>
      </w:r>
      <w:bookmarkEnd w:id="26"/>
    </w:p>
    <w:p w14:paraId="299B8105">
      <w:pPr>
        <w:rPr>
          <w:rFonts w:ascii="宋体" w:hAnsi="宋体" w:cs="宋体"/>
          <w:b/>
          <w:color w:val="auto"/>
          <w:sz w:val="24"/>
          <w:szCs w:val="24"/>
          <w:highlight w:val="none"/>
        </w:rPr>
      </w:pPr>
      <w:r>
        <w:rPr>
          <w:rFonts w:ascii="宋体" w:hAnsi="宋体" w:cs="宋体"/>
          <w:b/>
          <w:color w:val="auto"/>
          <w:sz w:val="24"/>
          <w:szCs w:val="24"/>
          <w:highlight w:val="none"/>
        </w:rPr>
        <w:t>投标人须知前附表</w:t>
      </w:r>
    </w:p>
    <w:tbl>
      <w:tblPr>
        <w:tblStyle w:val="47"/>
        <w:tblW w:w="9370" w:type="dxa"/>
        <w:jc w:val="center"/>
        <w:tblLayout w:type="fixed"/>
        <w:tblCellMar>
          <w:top w:w="0" w:type="dxa"/>
          <w:left w:w="28" w:type="dxa"/>
          <w:bottom w:w="0" w:type="dxa"/>
          <w:right w:w="28" w:type="dxa"/>
        </w:tblCellMar>
      </w:tblPr>
      <w:tblGrid>
        <w:gridCol w:w="788"/>
        <w:gridCol w:w="8582"/>
      </w:tblGrid>
      <w:tr w14:paraId="236591D9">
        <w:tblPrEx>
          <w:tblCellMar>
            <w:top w:w="0" w:type="dxa"/>
            <w:left w:w="28" w:type="dxa"/>
            <w:bottom w:w="0" w:type="dxa"/>
            <w:right w:w="28" w:type="dxa"/>
          </w:tblCellMar>
        </w:tblPrEx>
        <w:trPr>
          <w:trHeight w:val="590" w:hRule="exac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2D579A18">
            <w:pPr>
              <w:jc w:val="center"/>
              <w:rPr>
                <w:rFonts w:ascii="宋体" w:hAnsi="宋体" w:cs="宋体"/>
                <w:b/>
                <w:bCs/>
                <w:color w:val="auto"/>
                <w:sz w:val="24"/>
                <w:szCs w:val="24"/>
                <w:highlight w:val="none"/>
              </w:rPr>
            </w:pPr>
            <w:r>
              <w:rPr>
                <w:rFonts w:ascii="宋体" w:hAnsi="宋体" w:cs="宋体"/>
                <w:b/>
                <w:bCs/>
                <w:color w:val="auto"/>
                <w:sz w:val="24"/>
                <w:szCs w:val="24"/>
                <w:highlight w:val="none"/>
              </w:rPr>
              <w:t>序号</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47F6D3FF">
            <w:pPr>
              <w:jc w:val="center"/>
              <w:rPr>
                <w:rFonts w:ascii="宋体" w:hAnsi="宋体" w:cs="宋体"/>
                <w:b/>
                <w:bCs/>
                <w:color w:val="auto"/>
                <w:sz w:val="24"/>
                <w:szCs w:val="24"/>
                <w:highlight w:val="none"/>
              </w:rPr>
            </w:pPr>
            <w:r>
              <w:rPr>
                <w:rFonts w:ascii="宋体" w:hAnsi="宋体" w:cs="宋体"/>
                <w:b/>
                <w:bCs/>
                <w:color w:val="auto"/>
                <w:sz w:val="24"/>
                <w:szCs w:val="24"/>
                <w:highlight w:val="none"/>
              </w:rPr>
              <w:t>内     容</w:t>
            </w:r>
          </w:p>
        </w:tc>
      </w:tr>
      <w:tr w14:paraId="6FCEEDED">
        <w:tblPrEx>
          <w:tblCellMar>
            <w:top w:w="0" w:type="dxa"/>
            <w:left w:w="28" w:type="dxa"/>
            <w:bottom w:w="0" w:type="dxa"/>
            <w:right w:w="28" w:type="dxa"/>
          </w:tblCellMar>
        </w:tblPrEx>
        <w:trPr>
          <w:trHeight w:val="68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8C4929D">
            <w:pPr>
              <w:jc w:val="center"/>
              <w:rPr>
                <w:rFonts w:ascii="宋体" w:hAnsi="宋体" w:cs="宋体"/>
                <w:color w:val="auto"/>
                <w:sz w:val="24"/>
                <w:szCs w:val="24"/>
                <w:highlight w:val="none"/>
              </w:rPr>
            </w:pPr>
            <w:r>
              <w:rPr>
                <w:rFonts w:ascii="宋体" w:hAnsi="宋体" w:cs="宋体"/>
                <w:color w:val="auto"/>
                <w:sz w:val="24"/>
                <w:szCs w:val="24"/>
                <w:highlight w:val="none"/>
              </w:rPr>
              <w:t>1</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193D4E35">
            <w:pPr>
              <w:rPr>
                <w:rFonts w:ascii="宋体" w:hAnsi="宋体" w:cs="宋体"/>
                <w:color w:val="auto"/>
                <w:sz w:val="24"/>
                <w:szCs w:val="24"/>
                <w:highlight w:val="none"/>
              </w:rPr>
            </w:pPr>
            <w:r>
              <w:rPr>
                <w:rFonts w:ascii="宋体" w:hAnsi="宋体" w:cs="宋体"/>
                <w:color w:val="auto"/>
                <w:sz w:val="24"/>
                <w:szCs w:val="24"/>
                <w:highlight w:val="none"/>
              </w:rPr>
              <w:t>项目名称：</w:t>
            </w:r>
            <w:r>
              <w:rPr>
                <w:rFonts w:hint="eastAsia" w:ascii="宋体" w:hAnsi="宋体" w:cs="宋体"/>
                <w:color w:val="auto"/>
                <w:sz w:val="24"/>
                <w:szCs w:val="24"/>
                <w:highlight w:val="none"/>
                <w:lang w:eastAsia="zh-CN"/>
              </w:rPr>
              <w:t>泰州实验中学新建教学楼宿舍楼及生活设施项目录播设备采购</w:t>
            </w:r>
            <w:r>
              <w:rPr>
                <w:rFonts w:ascii="宋体" w:hAnsi="宋体" w:cs="宋体"/>
                <w:color w:val="auto"/>
                <w:sz w:val="24"/>
                <w:szCs w:val="24"/>
                <w:highlight w:val="none"/>
              </w:rPr>
              <w:t>项目</w:t>
            </w:r>
          </w:p>
        </w:tc>
      </w:tr>
      <w:tr w14:paraId="2308798C">
        <w:tblPrEx>
          <w:tblCellMar>
            <w:top w:w="0" w:type="dxa"/>
            <w:left w:w="28" w:type="dxa"/>
            <w:bottom w:w="0" w:type="dxa"/>
            <w:right w:w="28" w:type="dxa"/>
          </w:tblCellMar>
        </w:tblPrEx>
        <w:trPr>
          <w:trHeight w:val="68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2560C86C">
            <w:pPr>
              <w:jc w:val="center"/>
              <w:rPr>
                <w:rFonts w:ascii="宋体" w:hAnsi="宋体" w:cs="宋体"/>
                <w:color w:val="auto"/>
                <w:sz w:val="24"/>
                <w:szCs w:val="24"/>
                <w:highlight w:val="none"/>
              </w:rPr>
            </w:pPr>
            <w:r>
              <w:rPr>
                <w:rFonts w:ascii="宋体" w:hAnsi="宋体" w:cs="宋体"/>
                <w:color w:val="auto"/>
                <w:sz w:val="24"/>
                <w:szCs w:val="24"/>
                <w:highlight w:val="none"/>
              </w:rPr>
              <w:t>2</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4F17623F">
            <w:pP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采购人名称：</w:t>
            </w:r>
            <w:r>
              <w:rPr>
                <w:rFonts w:hint="eastAsia" w:ascii="宋体" w:hAnsi="宋体" w:cs="宋体"/>
                <w:color w:val="auto"/>
                <w:sz w:val="24"/>
                <w:szCs w:val="24"/>
                <w:highlight w:val="none"/>
                <w:lang w:eastAsia="zh-CN"/>
              </w:rPr>
              <w:t>泰州实验中学</w:t>
            </w:r>
          </w:p>
          <w:p w14:paraId="1823688B">
            <w:pPr>
              <w:rPr>
                <w:rFonts w:ascii="宋体" w:hAnsi="宋体" w:cs="宋体"/>
                <w:color w:val="auto"/>
                <w:sz w:val="24"/>
                <w:szCs w:val="24"/>
                <w:highlight w:val="none"/>
              </w:rPr>
            </w:pPr>
            <w:r>
              <w:rPr>
                <w:rFonts w:ascii="宋体" w:hAnsi="宋体" w:cs="宋体"/>
                <w:color w:val="auto"/>
                <w:sz w:val="24"/>
                <w:szCs w:val="24"/>
                <w:highlight w:val="none"/>
              </w:rPr>
              <w:t>采购人地址：</w:t>
            </w:r>
            <w:r>
              <w:rPr>
                <w:rFonts w:hint="eastAsia" w:ascii="宋体" w:hAnsi="宋体" w:cs="宋体"/>
                <w:color w:val="auto"/>
                <w:sz w:val="24"/>
                <w:szCs w:val="24"/>
                <w:highlight w:val="none"/>
              </w:rPr>
              <w:t>江苏省泰州市海陵区医药高新区寺巷街道泰事达路</w:t>
            </w:r>
          </w:p>
          <w:p w14:paraId="01BA969E">
            <w:pP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代理单位名称：</w:t>
            </w:r>
            <w:r>
              <w:rPr>
                <w:rFonts w:hint="eastAsia" w:ascii="宋体" w:hAnsi="宋体" w:cs="宋体"/>
                <w:color w:val="auto"/>
                <w:sz w:val="24"/>
                <w:szCs w:val="24"/>
                <w:highlight w:val="none"/>
                <w:lang w:eastAsia="zh-CN"/>
              </w:rPr>
              <w:t>江苏华盛建设管理咨询有限公司</w:t>
            </w:r>
          </w:p>
          <w:p w14:paraId="6E80A453">
            <w:pPr>
              <w:rPr>
                <w:rFonts w:ascii="宋体" w:hAnsi="宋体" w:cs="宋体"/>
                <w:color w:val="auto"/>
                <w:sz w:val="24"/>
                <w:szCs w:val="24"/>
                <w:highlight w:val="none"/>
              </w:rPr>
            </w:pPr>
            <w:r>
              <w:rPr>
                <w:rFonts w:ascii="宋体" w:hAnsi="宋体" w:cs="宋体"/>
                <w:color w:val="auto"/>
                <w:sz w:val="24"/>
                <w:szCs w:val="24"/>
                <w:highlight w:val="none"/>
              </w:rPr>
              <w:t>代理单位地址：泰州市</w:t>
            </w:r>
            <w:r>
              <w:rPr>
                <w:rFonts w:hint="eastAsia" w:ascii="宋体" w:hAnsi="宋体" w:cs="宋体"/>
                <w:color w:val="auto"/>
                <w:sz w:val="24"/>
                <w:szCs w:val="24"/>
                <w:highlight w:val="none"/>
              </w:rPr>
              <w:t>医药高新区（高港区）</w:t>
            </w:r>
            <w:r>
              <w:rPr>
                <w:rFonts w:ascii="宋体" w:hAnsi="宋体" w:cs="宋体"/>
                <w:color w:val="auto"/>
                <w:sz w:val="24"/>
                <w:szCs w:val="24"/>
                <w:highlight w:val="none"/>
              </w:rPr>
              <w:t>天虹路1号三层</w:t>
            </w:r>
          </w:p>
        </w:tc>
      </w:tr>
      <w:tr w14:paraId="7BF7EAFB">
        <w:tblPrEx>
          <w:tblCellMar>
            <w:top w:w="0" w:type="dxa"/>
            <w:left w:w="28" w:type="dxa"/>
            <w:bottom w:w="0" w:type="dxa"/>
            <w:right w:w="28" w:type="dxa"/>
          </w:tblCellMar>
        </w:tblPrEx>
        <w:trPr>
          <w:trHeight w:val="58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415FF31">
            <w:pPr>
              <w:jc w:val="center"/>
              <w:rPr>
                <w:rFonts w:ascii="宋体" w:hAnsi="宋体" w:cs="宋体"/>
                <w:color w:val="auto"/>
                <w:sz w:val="24"/>
                <w:szCs w:val="24"/>
                <w:highlight w:val="none"/>
              </w:rPr>
            </w:pPr>
            <w:r>
              <w:rPr>
                <w:rFonts w:ascii="宋体" w:hAnsi="宋体" w:cs="宋体"/>
                <w:color w:val="auto"/>
                <w:sz w:val="24"/>
                <w:szCs w:val="24"/>
                <w:highlight w:val="none"/>
              </w:rPr>
              <w:t>3</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43114DCF">
            <w:pPr>
              <w:rPr>
                <w:rFonts w:ascii="宋体" w:hAnsi="宋体" w:cs="宋体"/>
                <w:color w:val="auto"/>
                <w:spacing w:val="15"/>
                <w:sz w:val="24"/>
                <w:szCs w:val="24"/>
                <w:highlight w:val="none"/>
              </w:rPr>
            </w:pPr>
            <w:r>
              <w:rPr>
                <w:rFonts w:ascii="宋体" w:hAnsi="宋体" w:cs="宋体"/>
                <w:color w:val="auto"/>
                <w:sz w:val="24"/>
                <w:szCs w:val="24"/>
                <w:highlight w:val="none"/>
                <w:lang w:val="zh-CN"/>
              </w:rPr>
              <w:t>采购方式：</w:t>
            </w:r>
            <w:r>
              <w:rPr>
                <w:rFonts w:ascii="宋体" w:hAnsi="宋体" w:cs="宋体"/>
                <w:color w:val="auto"/>
                <w:sz w:val="24"/>
                <w:szCs w:val="24"/>
                <w:highlight w:val="none"/>
              </w:rPr>
              <w:t>公开招标</w:t>
            </w:r>
          </w:p>
        </w:tc>
      </w:tr>
      <w:tr w14:paraId="20FC67FD">
        <w:tblPrEx>
          <w:tblCellMar>
            <w:top w:w="0" w:type="dxa"/>
            <w:left w:w="28" w:type="dxa"/>
            <w:bottom w:w="0" w:type="dxa"/>
            <w:right w:w="28" w:type="dxa"/>
          </w:tblCellMar>
        </w:tblPrEx>
        <w:trPr>
          <w:trHeight w:val="68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259A5845">
            <w:pPr>
              <w:jc w:val="center"/>
              <w:rPr>
                <w:rFonts w:ascii="宋体" w:hAnsi="宋体" w:cs="宋体"/>
                <w:color w:val="auto"/>
                <w:sz w:val="24"/>
                <w:szCs w:val="24"/>
                <w:highlight w:val="none"/>
              </w:rPr>
            </w:pPr>
            <w:r>
              <w:rPr>
                <w:rFonts w:ascii="宋体" w:hAnsi="宋体" w:cs="宋体"/>
                <w:color w:val="auto"/>
                <w:sz w:val="24"/>
                <w:szCs w:val="24"/>
                <w:highlight w:val="none"/>
              </w:rPr>
              <w:t>4</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3108D81A">
            <w:pPr>
              <w:ind w:right="113"/>
              <w:contextualSpacing/>
              <w:rPr>
                <w:rFonts w:ascii="宋体" w:hAnsi="宋体" w:cs="宋体"/>
                <w:color w:val="auto"/>
                <w:sz w:val="24"/>
                <w:szCs w:val="24"/>
                <w:highlight w:val="none"/>
              </w:rPr>
            </w:pPr>
            <w:r>
              <w:rPr>
                <w:rFonts w:ascii="宋体" w:hAnsi="宋体" w:cs="宋体"/>
                <w:color w:val="auto"/>
                <w:sz w:val="24"/>
                <w:szCs w:val="24"/>
                <w:highlight w:val="none"/>
              </w:rPr>
              <w:t>资金来源：财政资金</w:t>
            </w:r>
          </w:p>
          <w:p w14:paraId="3B7F4061">
            <w:pPr>
              <w:ind w:right="113"/>
              <w:contextualSpacing/>
              <w:rPr>
                <w:rFonts w:ascii="宋体" w:hAnsi="宋体" w:cs="宋体"/>
                <w:color w:val="auto"/>
                <w:sz w:val="24"/>
                <w:szCs w:val="24"/>
                <w:highlight w:val="none"/>
              </w:rPr>
            </w:pPr>
            <w:r>
              <w:rPr>
                <w:rFonts w:ascii="宋体" w:hAnsi="宋体" w:cs="宋体"/>
                <w:color w:val="auto"/>
                <w:sz w:val="24"/>
                <w:szCs w:val="24"/>
                <w:highlight w:val="none"/>
              </w:rPr>
              <w:t>出资比例：100%</w:t>
            </w:r>
          </w:p>
          <w:p w14:paraId="501F24B1">
            <w:pPr>
              <w:rPr>
                <w:rFonts w:ascii="宋体" w:hAnsi="宋体" w:cs="宋体"/>
                <w:color w:val="auto"/>
                <w:sz w:val="24"/>
                <w:szCs w:val="24"/>
                <w:highlight w:val="none"/>
              </w:rPr>
            </w:pPr>
            <w:r>
              <w:rPr>
                <w:rFonts w:ascii="宋体" w:hAnsi="宋体" w:cs="宋体"/>
                <w:color w:val="auto"/>
                <w:sz w:val="24"/>
                <w:szCs w:val="24"/>
                <w:highlight w:val="none"/>
              </w:rPr>
              <w:t>资金落实情况：已落实</w:t>
            </w:r>
          </w:p>
        </w:tc>
      </w:tr>
      <w:tr w14:paraId="6F99A369">
        <w:tblPrEx>
          <w:tblCellMar>
            <w:top w:w="0" w:type="dxa"/>
            <w:left w:w="28" w:type="dxa"/>
            <w:bottom w:w="0" w:type="dxa"/>
            <w:right w:w="28" w:type="dxa"/>
          </w:tblCellMar>
        </w:tblPrEx>
        <w:trPr>
          <w:trHeight w:val="491"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6010CD2C">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3449DD85">
            <w:pPr>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合同履行期限：合同签订后40天内</w:t>
            </w:r>
          </w:p>
        </w:tc>
      </w:tr>
      <w:tr w14:paraId="7E0B1358">
        <w:tblPrEx>
          <w:tblCellMar>
            <w:top w:w="0" w:type="dxa"/>
            <w:left w:w="28" w:type="dxa"/>
            <w:bottom w:w="0" w:type="dxa"/>
            <w:right w:w="28" w:type="dxa"/>
          </w:tblCellMar>
        </w:tblPrEx>
        <w:trPr>
          <w:trHeight w:val="491"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15386E9">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11D11EB9">
            <w:pPr>
              <w:spacing w:line="46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最高投标限价</w:t>
            </w:r>
            <w:r>
              <w:rPr>
                <w:rFonts w:hint="eastAsia" w:ascii="宋体" w:hAnsi="宋体" w:eastAsia="宋体" w:cs="宋体"/>
                <w:color w:val="auto"/>
                <w:sz w:val="24"/>
                <w:szCs w:val="24"/>
                <w:highlight w:val="none"/>
                <w:lang w:eastAsia="zh-CN"/>
              </w:rPr>
              <w:t>：</w:t>
            </w:r>
            <w:r>
              <w:rPr>
                <w:rFonts w:hint="eastAsia" w:ascii="宋体" w:hAnsi="宋体" w:cs="宋体"/>
                <w:iCs/>
                <w:color w:val="auto"/>
                <w:sz w:val="24"/>
                <w:szCs w:val="24"/>
                <w:highlight w:val="none"/>
                <w:lang w:val="en-US" w:eastAsia="zh-CN"/>
              </w:rPr>
              <w:t>202.2</w:t>
            </w:r>
            <w:r>
              <w:rPr>
                <w:rFonts w:hint="eastAsia" w:ascii="宋体" w:hAnsi="宋体" w:eastAsia="宋体" w:cs="宋体"/>
                <w:iCs/>
                <w:color w:val="auto"/>
                <w:sz w:val="24"/>
                <w:szCs w:val="24"/>
                <w:highlight w:val="none"/>
              </w:rPr>
              <w:t>万元</w:t>
            </w: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rPr>
              <w:t>各投标人的投标报价不得超过招标文件规定的最高投标限价，否则按无效投标文件处理。</w:t>
            </w:r>
          </w:p>
        </w:tc>
      </w:tr>
      <w:tr w14:paraId="6C9EA6E8">
        <w:tblPrEx>
          <w:tblCellMar>
            <w:top w:w="0" w:type="dxa"/>
            <w:left w:w="28" w:type="dxa"/>
            <w:bottom w:w="0" w:type="dxa"/>
            <w:right w:w="28" w:type="dxa"/>
          </w:tblCellMar>
        </w:tblPrEx>
        <w:trPr>
          <w:trHeight w:val="491"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E5B7E17">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6CC6B0A0">
            <w:pPr>
              <w:rPr>
                <w:rFonts w:ascii="宋体" w:hAnsi="宋体" w:cs="宋体"/>
                <w:color w:val="auto"/>
                <w:spacing w:val="15"/>
                <w:sz w:val="24"/>
                <w:szCs w:val="24"/>
                <w:highlight w:val="none"/>
              </w:rPr>
            </w:pPr>
            <w:r>
              <w:rPr>
                <w:rFonts w:ascii="宋体" w:hAnsi="宋体" w:cs="宋体"/>
                <w:color w:val="auto"/>
                <w:sz w:val="24"/>
                <w:szCs w:val="24"/>
                <w:highlight w:val="none"/>
                <w:lang w:val="zh-CN"/>
              </w:rPr>
              <w:t>投标有效期：90天</w:t>
            </w:r>
          </w:p>
        </w:tc>
      </w:tr>
      <w:tr w14:paraId="10E66587">
        <w:tblPrEx>
          <w:tblCellMar>
            <w:top w:w="0" w:type="dxa"/>
            <w:left w:w="28" w:type="dxa"/>
            <w:bottom w:w="0" w:type="dxa"/>
            <w:right w:w="28" w:type="dxa"/>
          </w:tblCellMar>
        </w:tblPrEx>
        <w:trPr>
          <w:trHeight w:val="491"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09708D5">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5B01A066">
            <w:pPr>
              <w:rPr>
                <w:rFonts w:ascii="宋体" w:hAnsi="宋体" w:cs="宋体"/>
                <w:color w:val="auto"/>
                <w:sz w:val="24"/>
                <w:szCs w:val="24"/>
                <w:highlight w:val="none"/>
              </w:rPr>
            </w:pPr>
            <w:r>
              <w:rPr>
                <w:rFonts w:ascii="宋体" w:hAnsi="宋体" w:cs="宋体"/>
                <w:color w:val="auto"/>
                <w:sz w:val="24"/>
                <w:szCs w:val="24"/>
                <w:highlight w:val="none"/>
                <w:lang w:val="zh-CN"/>
              </w:rPr>
              <w:t>投标保证金：本项目无需递交</w:t>
            </w:r>
          </w:p>
        </w:tc>
      </w:tr>
      <w:tr w14:paraId="0DB095BC">
        <w:tblPrEx>
          <w:tblCellMar>
            <w:top w:w="0" w:type="dxa"/>
            <w:left w:w="28" w:type="dxa"/>
            <w:bottom w:w="0" w:type="dxa"/>
            <w:right w:w="28" w:type="dxa"/>
          </w:tblCellMar>
        </w:tblPrEx>
        <w:trPr>
          <w:trHeight w:val="68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6C6E7C4">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2DAAD83B">
            <w:pPr>
              <w:rPr>
                <w:rFonts w:ascii="宋体" w:hAnsi="宋体" w:cs="宋体"/>
                <w:color w:val="auto"/>
                <w:sz w:val="24"/>
                <w:szCs w:val="24"/>
                <w:highlight w:val="none"/>
              </w:rPr>
            </w:pPr>
            <w:r>
              <w:rPr>
                <w:rFonts w:ascii="宋体" w:hAnsi="宋体" w:cs="宋体"/>
                <w:color w:val="auto"/>
                <w:sz w:val="24"/>
                <w:szCs w:val="24"/>
                <w:highlight w:val="none"/>
              </w:rPr>
              <w:t>提交投标</w:t>
            </w:r>
            <w:r>
              <w:rPr>
                <w:rFonts w:ascii="宋体" w:hAnsi="宋体" w:cs="宋体"/>
                <w:color w:val="auto"/>
                <w:sz w:val="24"/>
                <w:szCs w:val="24"/>
                <w:highlight w:val="none"/>
                <w:lang w:val="zh-CN"/>
              </w:rPr>
              <w:t>文件截止时间：</w:t>
            </w:r>
            <w:r>
              <w:rPr>
                <w:rFonts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ascii="宋体" w:hAnsi="宋体" w:cs="宋体"/>
                <w:bCs/>
                <w:color w:val="auto"/>
                <w:sz w:val="24"/>
                <w:szCs w:val="24"/>
                <w:highlight w:val="none"/>
              </w:rPr>
              <w:t>年</w:t>
            </w:r>
            <w:r>
              <w:rPr>
                <w:rFonts w:hint="eastAsia" w:ascii="宋体" w:hAnsi="宋体" w:cs="宋体"/>
                <w:bCs/>
                <w:color w:val="auto"/>
                <w:sz w:val="24"/>
                <w:szCs w:val="24"/>
                <w:highlight w:val="none"/>
                <w:lang w:val="en-US" w:eastAsia="zh-CN"/>
              </w:rPr>
              <w:t>11</w:t>
            </w:r>
            <w:r>
              <w:rPr>
                <w:rFonts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04</w:t>
            </w:r>
            <w:r>
              <w:rPr>
                <w:rFonts w:ascii="宋体" w:hAnsi="宋体" w:cs="宋体"/>
                <w:bCs/>
                <w:color w:val="auto"/>
                <w:sz w:val="24"/>
                <w:szCs w:val="24"/>
                <w:highlight w:val="none"/>
              </w:rPr>
              <w:t>日</w:t>
            </w:r>
            <w:r>
              <w:rPr>
                <w:rFonts w:ascii="宋体" w:hAnsi="宋体" w:cs="宋体"/>
                <w:color w:val="auto"/>
                <w:sz w:val="24"/>
                <w:szCs w:val="24"/>
                <w:highlight w:val="none"/>
                <w:lang w:val="zh-CN"/>
              </w:rPr>
              <w:t>09点30分（北京时间）</w:t>
            </w:r>
          </w:p>
          <w:p w14:paraId="6B6C880B">
            <w:pPr>
              <w:rPr>
                <w:rFonts w:ascii="宋体" w:hAnsi="宋体" w:cs="宋体"/>
                <w:color w:val="auto"/>
                <w:sz w:val="24"/>
                <w:szCs w:val="24"/>
                <w:highlight w:val="none"/>
              </w:rPr>
            </w:pPr>
            <w:r>
              <w:rPr>
                <w:rFonts w:ascii="宋体" w:hAnsi="宋体" w:cs="宋体"/>
                <w:color w:val="auto"/>
                <w:spacing w:val="15"/>
                <w:sz w:val="24"/>
                <w:szCs w:val="24"/>
                <w:highlight w:val="none"/>
              </w:rPr>
              <w:t>投标文件递交地点：“苏采云”</w:t>
            </w:r>
            <w:r>
              <w:rPr>
                <w:rFonts w:ascii="宋体" w:hAnsi="宋体"/>
                <w:bCs/>
                <w:color w:val="auto"/>
                <w:sz w:val="24"/>
                <w:szCs w:val="24"/>
                <w:highlight w:val="none"/>
              </w:rPr>
              <w:t>（http://jszfcg.jsczt.cn/）</w:t>
            </w:r>
            <w:r>
              <w:rPr>
                <w:rFonts w:ascii="宋体" w:hAnsi="宋体" w:cs="宋体"/>
                <w:color w:val="auto"/>
                <w:spacing w:val="15"/>
                <w:sz w:val="24"/>
                <w:szCs w:val="24"/>
                <w:highlight w:val="none"/>
              </w:rPr>
              <w:t>不见面开标大厅</w:t>
            </w:r>
          </w:p>
        </w:tc>
      </w:tr>
      <w:tr w14:paraId="094E327E">
        <w:tblPrEx>
          <w:tblCellMar>
            <w:top w:w="0" w:type="dxa"/>
            <w:left w:w="28" w:type="dxa"/>
            <w:bottom w:w="0" w:type="dxa"/>
            <w:right w:w="28" w:type="dxa"/>
          </w:tblCellMar>
        </w:tblPrEx>
        <w:trPr>
          <w:trHeight w:val="68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69C3FD63">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4090777D">
            <w:pPr>
              <w:rPr>
                <w:rFonts w:ascii="宋体" w:hAnsi="宋体" w:cs="宋体"/>
                <w:color w:val="auto"/>
                <w:sz w:val="24"/>
                <w:szCs w:val="24"/>
                <w:highlight w:val="none"/>
              </w:rPr>
            </w:pPr>
            <w:r>
              <w:rPr>
                <w:rFonts w:ascii="宋体" w:hAnsi="宋体" w:cs="宋体"/>
                <w:color w:val="auto"/>
                <w:sz w:val="24"/>
                <w:szCs w:val="24"/>
                <w:highlight w:val="none"/>
              </w:rPr>
              <w:t>开标时间：同投标截止时间</w:t>
            </w:r>
          </w:p>
          <w:p w14:paraId="4943D7F0">
            <w:pPr>
              <w:pStyle w:val="214"/>
              <w:tabs>
                <w:tab w:val="left" w:pos="2610"/>
                <w:tab w:val="left" w:pos="2888"/>
              </w:tabs>
              <w:ind w:right="482"/>
              <w:rPr>
                <w:color w:val="auto"/>
                <w:spacing w:val="-1"/>
                <w:sz w:val="24"/>
                <w:szCs w:val="24"/>
                <w:highlight w:val="none"/>
              </w:rPr>
            </w:pPr>
            <w:r>
              <w:rPr>
                <w:color w:val="auto"/>
                <w:sz w:val="24"/>
                <w:szCs w:val="24"/>
                <w:highlight w:val="none"/>
              </w:rPr>
              <w:t>开标形式：</w:t>
            </w:r>
            <w:r>
              <w:rPr>
                <w:color w:val="auto"/>
                <w:spacing w:val="-1"/>
                <w:sz w:val="24"/>
                <w:szCs w:val="24"/>
                <w:highlight w:val="none"/>
                <w:lang w:val="en-US"/>
              </w:rPr>
              <w:t>不见面开标</w:t>
            </w:r>
          </w:p>
          <w:p w14:paraId="026E8E52">
            <w:pPr>
              <w:pStyle w:val="179"/>
              <w:ind w:firstLine="0"/>
              <w:rPr>
                <w:rFonts w:ascii="宋体" w:hAnsi="宋体" w:cs="宋体"/>
                <w:color w:val="auto"/>
                <w:sz w:val="24"/>
                <w:szCs w:val="24"/>
                <w:highlight w:val="none"/>
              </w:rPr>
            </w:pPr>
            <w:r>
              <w:rPr>
                <w:rFonts w:ascii="宋体" w:hAnsi="宋体" w:cs="宋体"/>
                <w:color w:val="auto"/>
                <w:spacing w:val="-1"/>
                <w:sz w:val="24"/>
                <w:szCs w:val="24"/>
                <w:highlight w:val="none"/>
              </w:rPr>
              <w:t>开标地点：</w:t>
            </w:r>
            <w:r>
              <w:rPr>
                <w:rFonts w:ascii="宋体" w:hAnsi="宋体" w:cs="宋体"/>
                <w:color w:val="auto"/>
                <w:spacing w:val="15"/>
                <w:sz w:val="24"/>
                <w:szCs w:val="24"/>
                <w:highlight w:val="none"/>
              </w:rPr>
              <w:t>“苏采云”</w:t>
            </w:r>
            <w:r>
              <w:rPr>
                <w:rFonts w:ascii="宋体" w:hAnsi="宋体"/>
                <w:bCs/>
                <w:color w:val="auto"/>
                <w:sz w:val="24"/>
                <w:szCs w:val="24"/>
                <w:highlight w:val="none"/>
              </w:rPr>
              <w:t>（http://jszfcg.jsczt.cn/）</w:t>
            </w:r>
            <w:r>
              <w:rPr>
                <w:rFonts w:ascii="宋体" w:hAnsi="宋体" w:cs="宋体"/>
                <w:color w:val="auto"/>
                <w:spacing w:val="15"/>
                <w:sz w:val="24"/>
                <w:szCs w:val="24"/>
                <w:highlight w:val="none"/>
              </w:rPr>
              <w:t>不见面开标大厅</w:t>
            </w:r>
          </w:p>
        </w:tc>
      </w:tr>
      <w:tr w14:paraId="5F94B0C6">
        <w:tblPrEx>
          <w:tblCellMar>
            <w:top w:w="0" w:type="dxa"/>
            <w:left w:w="28" w:type="dxa"/>
            <w:bottom w:w="0" w:type="dxa"/>
            <w:right w:w="28" w:type="dxa"/>
          </w:tblCellMar>
        </w:tblPrEx>
        <w:trPr>
          <w:trHeight w:val="68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40E5DFE3">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6C052B99">
            <w:pPr>
              <w:pStyle w:val="179"/>
              <w:ind w:firstLine="0"/>
              <w:rPr>
                <w:rFonts w:ascii="宋体" w:hAnsi="宋体" w:cs="宋体"/>
                <w:color w:val="auto"/>
                <w:sz w:val="24"/>
                <w:szCs w:val="24"/>
                <w:highlight w:val="none"/>
              </w:rPr>
            </w:pPr>
            <w:r>
              <w:rPr>
                <w:rFonts w:ascii="宋体" w:hAnsi="宋体" w:cs="宋体"/>
                <w:color w:val="auto"/>
                <w:sz w:val="24"/>
                <w:szCs w:val="24"/>
                <w:highlight w:val="none"/>
                <w:lang w:val="zh-CN"/>
              </w:rPr>
              <w:t>电子投标文件的递交：</w:t>
            </w:r>
            <w:r>
              <w:rPr>
                <w:rFonts w:ascii="宋体" w:hAnsi="宋体" w:cs="宋体"/>
                <w:color w:val="auto"/>
                <w:sz w:val="24"/>
                <w:szCs w:val="24"/>
                <w:highlight w:val="none"/>
              </w:rPr>
              <w:t>本次</w:t>
            </w:r>
            <w:r>
              <w:rPr>
                <w:rFonts w:hint="eastAsia" w:ascii="宋体" w:hAnsi="宋体" w:cs="宋体"/>
                <w:color w:val="auto"/>
                <w:sz w:val="24"/>
                <w:szCs w:val="24"/>
                <w:highlight w:val="none"/>
              </w:rPr>
              <w:t>招标</w:t>
            </w:r>
            <w:r>
              <w:rPr>
                <w:rFonts w:ascii="宋体" w:hAnsi="宋体" w:cs="宋体"/>
                <w:color w:val="auto"/>
                <w:sz w:val="24"/>
                <w:szCs w:val="24"/>
                <w:highlight w:val="none"/>
              </w:rPr>
              <w:t>采用不见面开标模式，</w:t>
            </w:r>
            <w:r>
              <w:rPr>
                <w:rFonts w:hint="eastAsia" w:ascii="宋体" w:hAnsi="宋体" w:cs="宋体"/>
                <w:color w:val="auto"/>
                <w:sz w:val="24"/>
                <w:szCs w:val="24"/>
                <w:highlight w:val="none"/>
                <w:lang w:val="en-US" w:eastAsia="zh-CN"/>
              </w:rPr>
              <w:t>投标人</w:t>
            </w:r>
            <w:r>
              <w:rPr>
                <w:rFonts w:ascii="宋体" w:hAnsi="宋体" w:cs="宋体"/>
                <w:bCs/>
                <w:color w:val="auto"/>
                <w:sz w:val="24"/>
                <w:szCs w:val="24"/>
                <w:highlight w:val="none"/>
              </w:rPr>
              <w:t>应按《操作手册》规定</w:t>
            </w:r>
            <w:r>
              <w:rPr>
                <w:rFonts w:ascii="宋体" w:hAnsi="宋体" w:cs="宋体"/>
                <w:color w:val="auto"/>
                <w:sz w:val="24"/>
                <w:szCs w:val="24"/>
                <w:highlight w:val="none"/>
              </w:rPr>
              <w:t>参加投标活动。</w:t>
            </w:r>
            <w:r>
              <w:rPr>
                <w:rFonts w:ascii="宋体" w:hAnsi="宋体" w:cs="宋体"/>
                <w:color w:val="auto"/>
                <w:sz w:val="24"/>
                <w:szCs w:val="24"/>
                <w:highlight w:val="none"/>
                <w:lang w:val="zh-CN"/>
              </w:rPr>
              <w:t>投标人应充分考虑网络环境、网络带宽等风险因素，如因投标人自身设备故障或自身原因造成</w:t>
            </w:r>
            <w:r>
              <w:rPr>
                <w:rFonts w:ascii="宋体" w:hAnsi="宋体" w:cs="宋体"/>
                <w:color w:val="auto"/>
                <w:sz w:val="24"/>
                <w:szCs w:val="24"/>
                <w:highlight w:val="none"/>
              </w:rPr>
              <w:t>无法完成投标、解密的，</w:t>
            </w:r>
            <w:r>
              <w:rPr>
                <w:rFonts w:ascii="宋体" w:hAnsi="宋体" w:cs="宋体"/>
                <w:color w:val="auto"/>
                <w:sz w:val="24"/>
                <w:szCs w:val="24"/>
                <w:highlight w:val="none"/>
                <w:lang w:val="zh-CN"/>
              </w:rPr>
              <w:t>由此所产生的风险由投标人自行承担。</w:t>
            </w:r>
          </w:p>
        </w:tc>
      </w:tr>
      <w:tr w14:paraId="64AE908C">
        <w:tblPrEx>
          <w:tblCellMar>
            <w:top w:w="0" w:type="dxa"/>
            <w:left w:w="28" w:type="dxa"/>
            <w:bottom w:w="0" w:type="dxa"/>
            <w:right w:w="28" w:type="dxa"/>
          </w:tblCellMar>
        </w:tblPrEx>
        <w:trPr>
          <w:trHeight w:val="68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4362DB26">
            <w:pPr>
              <w:jc w:val="cente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4AC85C0C">
            <w:pPr>
              <w:rPr>
                <w:rFonts w:ascii="宋体" w:hAnsi="宋体" w:cs="宋体"/>
                <w:color w:val="auto"/>
                <w:sz w:val="24"/>
                <w:szCs w:val="24"/>
                <w:highlight w:val="none"/>
              </w:rPr>
            </w:pPr>
            <w:r>
              <w:rPr>
                <w:rFonts w:ascii="宋体" w:hAnsi="宋体" w:cs="宋体"/>
                <w:color w:val="auto"/>
                <w:sz w:val="24"/>
                <w:szCs w:val="24"/>
                <w:highlight w:val="none"/>
              </w:rPr>
              <w:t>履约保证金：</w:t>
            </w:r>
          </w:p>
          <w:p w14:paraId="17E17D2B">
            <w:pPr>
              <w:rPr>
                <w:rFonts w:ascii="宋体" w:hAnsi="宋体" w:cs="宋体"/>
                <w:color w:val="auto"/>
                <w:sz w:val="24"/>
                <w:szCs w:val="24"/>
                <w:highlight w:val="none"/>
              </w:rPr>
            </w:pPr>
            <w:r>
              <w:rPr>
                <w:rFonts w:ascii="宋体" w:hAnsi="宋体" w:cs="宋体"/>
                <w:color w:val="auto"/>
                <w:sz w:val="24"/>
                <w:szCs w:val="24"/>
                <w:highlight w:val="none"/>
              </w:rPr>
              <w:t>金额：中标价的5%</w:t>
            </w:r>
          </w:p>
          <w:p w14:paraId="6C78FEAD">
            <w:pPr>
              <w:rPr>
                <w:rFonts w:ascii="宋体" w:hAnsi="宋体" w:cs="宋体"/>
                <w:color w:val="auto"/>
                <w:sz w:val="24"/>
                <w:szCs w:val="24"/>
                <w:highlight w:val="none"/>
              </w:rPr>
            </w:pPr>
            <w:r>
              <w:rPr>
                <w:rFonts w:ascii="宋体" w:hAnsi="宋体" w:cs="宋体"/>
                <w:color w:val="auto"/>
                <w:sz w:val="24"/>
                <w:szCs w:val="24"/>
                <w:highlight w:val="none"/>
              </w:rPr>
              <w:t>递交时间：中标后签订合同前</w:t>
            </w:r>
          </w:p>
          <w:p w14:paraId="2EF5DC9F">
            <w:pPr>
              <w:rPr>
                <w:rFonts w:ascii="宋体" w:hAnsi="宋体" w:cs="宋体"/>
                <w:color w:val="auto"/>
                <w:sz w:val="24"/>
                <w:szCs w:val="24"/>
                <w:highlight w:val="none"/>
              </w:rPr>
            </w:pPr>
            <w:r>
              <w:rPr>
                <w:rFonts w:ascii="宋体" w:hAnsi="宋体" w:cs="宋体"/>
                <w:color w:val="auto"/>
                <w:sz w:val="24"/>
                <w:szCs w:val="24"/>
                <w:highlight w:val="none"/>
              </w:rPr>
              <w:t>递交方式：银行转账、支票、汇票、本票或者金融机构、担保机构出具的保函、保险等非现金方式递交。</w:t>
            </w:r>
          </w:p>
          <w:p w14:paraId="141A679B">
            <w:pPr>
              <w:rPr>
                <w:rFonts w:ascii="宋体" w:hAnsi="宋体" w:cs="宋体"/>
                <w:color w:val="auto"/>
                <w:sz w:val="24"/>
                <w:szCs w:val="24"/>
                <w:highlight w:val="none"/>
              </w:rPr>
            </w:pPr>
            <w:r>
              <w:rPr>
                <w:rFonts w:hint="eastAsia" w:ascii="宋体" w:hAnsi="宋体" w:cs="宋体"/>
                <w:color w:val="auto"/>
                <w:sz w:val="24"/>
                <w:szCs w:val="24"/>
                <w:highlight w:val="none"/>
              </w:rPr>
              <w:t>退还时间：项目全部安装、调试、验收合格，采购人无息退还履约保证金。</w:t>
            </w:r>
          </w:p>
        </w:tc>
      </w:tr>
      <w:tr w14:paraId="0250AEBD">
        <w:tblPrEx>
          <w:tblCellMar>
            <w:top w:w="0" w:type="dxa"/>
            <w:left w:w="28" w:type="dxa"/>
            <w:bottom w:w="0" w:type="dxa"/>
            <w:right w:w="28" w:type="dxa"/>
          </w:tblCellMar>
        </w:tblPrEx>
        <w:trPr>
          <w:trHeight w:val="51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6D28C699">
            <w:pPr>
              <w:jc w:val="cente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2062CB38">
            <w:pPr>
              <w:ind w:right="113"/>
              <w:rPr>
                <w:rFonts w:ascii="宋体" w:hAnsi="宋体" w:cs="宋体"/>
                <w:color w:val="auto"/>
                <w:sz w:val="24"/>
                <w:szCs w:val="24"/>
                <w:highlight w:val="none"/>
              </w:rPr>
            </w:pPr>
            <w:r>
              <w:rPr>
                <w:rFonts w:ascii="宋体" w:hAnsi="宋体" w:cs="宋体"/>
                <w:color w:val="auto"/>
                <w:sz w:val="24"/>
                <w:szCs w:val="24"/>
                <w:highlight w:val="none"/>
              </w:rPr>
              <w:t>踏勘现场：不组织，各投标人自行踏勘</w:t>
            </w:r>
          </w:p>
          <w:p w14:paraId="0D9A6F25">
            <w:pPr>
              <w:ind w:right="113"/>
              <w:rPr>
                <w:rFonts w:hint="eastAsia" w:ascii="宋体" w:hAnsi="宋体" w:cs="宋体"/>
                <w:color w:val="auto"/>
                <w:sz w:val="24"/>
                <w:szCs w:val="24"/>
                <w:highlight w:val="none"/>
              </w:rPr>
            </w:pPr>
            <w:r>
              <w:rPr>
                <w:rFonts w:hint="eastAsia" w:ascii="宋体" w:hAnsi="宋体" w:cs="宋体"/>
                <w:color w:val="auto"/>
                <w:sz w:val="24"/>
                <w:szCs w:val="24"/>
                <w:highlight w:val="none"/>
              </w:rPr>
              <w:t>投标人应自行踏勘现场，了解一切可能影响投标报价的因素，且投标人应对自行获得的资料、信息的正确性负全部责任，所需费用自行承担。未踏勘现场或踏勘工作不详细的投标人中标后，不得以不完全了解现场情况为理由而向采购人提出任何索赔或其他要求，对此采购人不承担任何责任并将不作任何答复。</w:t>
            </w:r>
          </w:p>
          <w:p w14:paraId="67F79D47">
            <w:pPr>
              <w:spacing w:line="378" w:lineRule="exact"/>
              <w:ind w:firstLine="210"/>
              <w:jc w:val="left"/>
              <w:rPr>
                <w:rFonts w:ascii="宋体" w:hAnsi="宋体" w:cs="宋体"/>
                <w:color w:val="auto"/>
                <w:sz w:val="24"/>
                <w:szCs w:val="24"/>
                <w:highlight w:val="none"/>
              </w:rPr>
            </w:pPr>
            <w:r>
              <w:rPr>
                <w:rFonts w:hint="eastAsia" w:ascii="宋体" w:hAnsi="宋体" w:cs="宋体"/>
                <w:color w:val="auto"/>
                <w:sz w:val="24"/>
                <w:szCs w:val="24"/>
                <w:highlight w:val="none"/>
              </w:rPr>
              <w:t>采购人在踏勘现场中介绍的</w:t>
            </w:r>
            <w:r>
              <w:rPr>
                <w:rFonts w:hint="eastAsia" w:ascii="宋体" w:hAnsi="宋体" w:cs="宋体"/>
                <w:color w:val="auto"/>
                <w:sz w:val="24"/>
                <w:szCs w:val="24"/>
                <w:highlight w:val="none"/>
                <w:lang w:val="en-US" w:eastAsia="zh-CN"/>
              </w:rPr>
              <w:t>现场</w:t>
            </w:r>
            <w:r>
              <w:rPr>
                <w:rFonts w:hint="eastAsia" w:ascii="宋体" w:hAnsi="宋体" w:cs="宋体"/>
                <w:color w:val="auto"/>
                <w:sz w:val="24"/>
                <w:szCs w:val="24"/>
                <w:highlight w:val="none"/>
              </w:rPr>
              <w:t>和相关的周边环境情况，供投标人在编制投标文件时参考，采购人不对投标人据此作出的判断和决策负责。投标人自行承担由于踏勘现场产生的一切费用。</w:t>
            </w:r>
          </w:p>
        </w:tc>
      </w:tr>
      <w:tr w14:paraId="0FFCC0C0">
        <w:tblPrEx>
          <w:tblCellMar>
            <w:top w:w="0" w:type="dxa"/>
            <w:left w:w="28" w:type="dxa"/>
            <w:bottom w:w="0" w:type="dxa"/>
            <w:right w:w="28" w:type="dxa"/>
          </w:tblCellMar>
        </w:tblPrEx>
        <w:trPr>
          <w:trHeight w:val="49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A3F3F11">
            <w:pPr>
              <w:jc w:val="cente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3473827F">
            <w:pPr>
              <w:ind w:right="113"/>
              <w:rPr>
                <w:rFonts w:ascii="宋体" w:hAnsi="宋体" w:cs="宋体"/>
                <w:color w:val="auto"/>
                <w:sz w:val="24"/>
                <w:szCs w:val="24"/>
                <w:highlight w:val="none"/>
              </w:rPr>
            </w:pPr>
            <w:r>
              <w:rPr>
                <w:rFonts w:ascii="宋体" w:hAnsi="宋体" w:cs="宋体"/>
                <w:color w:val="auto"/>
                <w:sz w:val="24"/>
                <w:szCs w:val="24"/>
                <w:highlight w:val="none"/>
              </w:rPr>
              <w:t>投标预备会：不召开</w:t>
            </w:r>
          </w:p>
        </w:tc>
      </w:tr>
      <w:tr w14:paraId="0D1D6AF6">
        <w:tblPrEx>
          <w:tblCellMar>
            <w:top w:w="0" w:type="dxa"/>
            <w:left w:w="28" w:type="dxa"/>
            <w:bottom w:w="0" w:type="dxa"/>
            <w:right w:w="28" w:type="dxa"/>
          </w:tblCellMar>
        </w:tblPrEx>
        <w:trPr>
          <w:trHeight w:val="330"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52774B6">
            <w:pPr>
              <w:jc w:val="center"/>
              <w:rPr>
                <w:rFonts w:hint="eastAsia" w:ascii="宋体" w:hAnsi="宋体" w:eastAsia="宋体" w:cs="宋体"/>
                <w:color w:val="auto"/>
                <w:sz w:val="24"/>
                <w:szCs w:val="24"/>
                <w:highlight w:val="none"/>
                <w:lang w:val="en-US" w:eastAsia="zh-CN"/>
              </w:rPr>
            </w:pPr>
            <w:r>
              <w:rPr>
                <w:rFonts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4DEC9FC9">
            <w:pPr>
              <w:keepNext w:val="0"/>
              <w:keepLines w:val="0"/>
              <w:pageBreakBefore w:val="0"/>
              <w:widowControl w:val="0"/>
              <w:kinsoku/>
              <w:wordWrap/>
              <w:overflowPunct/>
              <w:topLinePunct w:val="0"/>
              <w:autoSpaceDE/>
              <w:autoSpaceDN/>
              <w:bidi w:val="0"/>
              <w:adjustRightInd/>
              <w:snapToGrid/>
              <w:spacing w:line="240" w:lineRule="auto"/>
              <w:ind w:right="113"/>
              <w:textAlignment w:val="auto"/>
              <w:rPr>
                <w:rFonts w:hint="eastAsia" w:ascii="宋体" w:hAnsi="宋体" w:eastAsia="宋体" w:cs="宋体"/>
                <w:color w:val="auto"/>
                <w:spacing w:val="15"/>
                <w:sz w:val="24"/>
                <w:szCs w:val="24"/>
                <w:highlight w:val="none"/>
                <w:lang w:eastAsia="zh-CN"/>
              </w:rPr>
            </w:pPr>
            <w:r>
              <w:rPr>
                <w:rFonts w:ascii="宋体" w:hAnsi="宋体" w:cs="宋体"/>
                <w:color w:val="auto"/>
                <w:sz w:val="24"/>
                <w:szCs w:val="24"/>
                <w:highlight w:val="none"/>
                <w:lang w:val="zh-CN"/>
              </w:rPr>
              <w:t>签订合同地点：</w:t>
            </w:r>
            <w:r>
              <w:rPr>
                <w:rFonts w:hint="eastAsia" w:ascii="宋体" w:hAnsi="宋体" w:cs="宋体"/>
                <w:color w:val="auto"/>
                <w:spacing w:val="15"/>
                <w:sz w:val="24"/>
                <w:szCs w:val="24"/>
                <w:highlight w:val="none"/>
                <w:lang w:eastAsia="zh-CN"/>
              </w:rPr>
              <w:t>泰州实验中学</w:t>
            </w:r>
          </w:p>
          <w:p w14:paraId="386DB4B9">
            <w:pPr>
              <w:keepNext w:val="0"/>
              <w:keepLines w:val="0"/>
              <w:pageBreakBefore w:val="0"/>
              <w:widowControl w:val="0"/>
              <w:kinsoku/>
              <w:wordWrap/>
              <w:overflowPunct/>
              <w:topLinePunct w:val="0"/>
              <w:autoSpaceDE/>
              <w:autoSpaceDN/>
              <w:bidi w:val="0"/>
              <w:adjustRightInd/>
              <w:snapToGrid/>
              <w:spacing w:line="240" w:lineRule="auto"/>
              <w:ind w:right="113"/>
              <w:textAlignment w:val="auto"/>
              <w:rPr>
                <w:rFonts w:ascii="宋体" w:hAnsi="宋体" w:cs="宋体"/>
                <w:bCs/>
                <w:color w:val="auto"/>
                <w:sz w:val="24"/>
                <w:szCs w:val="24"/>
                <w:highlight w:val="none"/>
              </w:rPr>
            </w:pPr>
            <w:r>
              <w:rPr>
                <w:rFonts w:ascii="宋体" w:hAnsi="宋体" w:cs="宋体"/>
                <w:color w:val="auto"/>
                <w:spacing w:val="15"/>
                <w:sz w:val="24"/>
                <w:szCs w:val="24"/>
                <w:highlight w:val="none"/>
              </w:rPr>
              <w:t>合同形式：固定单价合同</w:t>
            </w:r>
          </w:p>
          <w:p w14:paraId="15430EAF">
            <w:pPr>
              <w:keepNext w:val="0"/>
              <w:keepLines w:val="0"/>
              <w:pageBreakBefore w:val="0"/>
              <w:widowControl w:val="0"/>
              <w:kinsoku/>
              <w:wordWrap/>
              <w:overflowPunct/>
              <w:topLinePunct w:val="0"/>
              <w:autoSpaceDE/>
              <w:autoSpaceDN/>
              <w:bidi w:val="0"/>
              <w:adjustRightInd/>
              <w:snapToGrid/>
              <w:spacing w:line="240" w:lineRule="auto"/>
              <w:ind w:right="113"/>
              <w:textAlignment w:val="auto"/>
              <w:rPr>
                <w:rFonts w:ascii="宋体" w:hAnsi="宋体" w:cs="宋体"/>
                <w:color w:val="auto"/>
                <w:sz w:val="24"/>
                <w:szCs w:val="24"/>
                <w:highlight w:val="none"/>
              </w:rPr>
            </w:pPr>
            <w:r>
              <w:rPr>
                <w:rFonts w:ascii="宋体" w:hAnsi="宋体" w:cs="宋体"/>
                <w:bCs/>
                <w:color w:val="auto"/>
                <w:sz w:val="24"/>
                <w:szCs w:val="24"/>
                <w:highlight w:val="none"/>
              </w:rPr>
              <w:t>付款方式：</w:t>
            </w:r>
            <w:r>
              <w:rPr>
                <w:rFonts w:hint="eastAsia" w:ascii="宋体" w:hAnsi="宋体" w:cs="宋体"/>
                <w:bCs/>
                <w:color w:val="auto"/>
                <w:sz w:val="24"/>
                <w:szCs w:val="24"/>
                <w:highlight w:val="none"/>
              </w:rPr>
              <w:t>在全部货物安装、调试并经甲方验收合格完毕后，付至合同价款的80%，余款待决算审计后付至审定价的100%（无息）。</w:t>
            </w:r>
          </w:p>
        </w:tc>
      </w:tr>
      <w:tr w14:paraId="3F57AA81">
        <w:tblPrEx>
          <w:tblCellMar>
            <w:top w:w="0" w:type="dxa"/>
            <w:left w:w="28" w:type="dxa"/>
            <w:bottom w:w="0" w:type="dxa"/>
            <w:right w:w="28" w:type="dxa"/>
          </w:tblCellMar>
        </w:tblPrEx>
        <w:trPr>
          <w:trHeight w:val="849" w:hRule="atLeast"/>
          <w:jc w:val="center"/>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1A809DB9">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w:t>
            </w:r>
          </w:p>
        </w:tc>
        <w:tc>
          <w:tcPr>
            <w:tcW w:w="8582" w:type="dxa"/>
            <w:tcBorders>
              <w:top w:val="single" w:color="000000" w:sz="4" w:space="0"/>
              <w:left w:val="single" w:color="000000" w:sz="4" w:space="0"/>
              <w:bottom w:val="single" w:color="000000" w:sz="4" w:space="0"/>
              <w:right w:val="single" w:color="000000" w:sz="4" w:space="0"/>
            </w:tcBorders>
            <w:noWrap w:val="0"/>
            <w:vAlign w:val="center"/>
          </w:tcPr>
          <w:p w14:paraId="39AA426D">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cs="宋体"/>
                <w:bCs/>
                <w:color w:val="auto"/>
                <w:sz w:val="24"/>
                <w:szCs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代理服务费由</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rPr>
              <w:t>支付。</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代理服务费按照苏政采协【2024】20号文件的标准50%收取（差额定率分档累进费率）</w:t>
            </w:r>
            <w:r>
              <w:rPr>
                <w:rFonts w:ascii="宋体" w:hAnsi="宋体" w:cs="宋体"/>
                <w:color w:val="auto"/>
                <w:sz w:val="24"/>
                <w:highlight w:val="none"/>
              </w:rPr>
              <w:t>。</w:t>
            </w:r>
          </w:p>
        </w:tc>
      </w:tr>
    </w:tbl>
    <w:p w14:paraId="45B7D6B5">
      <w:pPr>
        <w:spacing w:line="360" w:lineRule="auto"/>
        <w:jc w:val="center"/>
        <w:rPr>
          <w:rFonts w:ascii="宋体" w:hAnsi="宋体" w:cs="宋体"/>
          <w:b/>
          <w:color w:val="auto"/>
          <w:spacing w:val="20"/>
          <w:sz w:val="32"/>
          <w:szCs w:val="32"/>
          <w:highlight w:val="none"/>
        </w:rPr>
      </w:pPr>
      <w:r>
        <w:rPr>
          <w:color w:val="auto"/>
          <w:highlight w:val="none"/>
        </w:rPr>
        <w:br w:type="page" w:clear="all"/>
      </w:r>
      <w:r>
        <w:rPr>
          <w:rFonts w:ascii="宋体" w:hAnsi="宋体" w:cs="宋体"/>
          <w:color w:val="auto"/>
          <w:spacing w:val="20"/>
          <w:sz w:val="32"/>
          <w:szCs w:val="16"/>
          <w:highlight w:val="none"/>
        </w:rPr>
        <w:t>（一）</w:t>
      </w:r>
      <w:r>
        <w:rPr>
          <w:rFonts w:ascii="宋体" w:hAnsi="宋体" w:cs="宋体"/>
          <w:b/>
          <w:color w:val="auto"/>
          <w:spacing w:val="20"/>
          <w:sz w:val="32"/>
          <w:szCs w:val="32"/>
          <w:highlight w:val="none"/>
        </w:rPr>
        <w:t>投标须知</w:t>
      </w:r>
    </w:p>
    <w:p w14:paraId="4A9C6DCB">
      <w:pPr>
        <w:shd w:val="clear" w:color="auto" w:fill="FFFFFF"/>
        <w:spacing w:line="360" w:lineRule="auto"/>
        <w:rPr>
          <w:rFonts w:ascii="宋体" w:hAnsi="宋体" w:cs="宋体"/>
          <w:b/>
          <w:bCs/>
          <w:color w:val="auto"/>
          <w:spacing w:val="15"/>
          <w:sz w:val="24"/>
          <w:szCs w:val="24"/>
          <w:highlight w:val="none"/>
        </w:rPr>
      </w:pPr>
      <w:r>
        <w:rPr>
          <w:rFonts w:ascii="宋体" w:hAnsi="宋体" w:cs="宋体"/>
          <w:b/>
          <w:bCs/>
          <w:color w:val="auto"/>
          <w:sz w:val="24"/>
          <w:szCs w:val="24"/>
          <w:highlight w:val="none"/>
        </w:rPr>
        <w:t>一、</w:t>
      </w:r>
      <w:r>
        <w:rPr>
          <w:rFonts w:ascii="宋体" w:hAnsi="宋体" w:cs="宋体"/>
          <w:b/>
          <w:bCs/>
          <w:color w:val="auto"/>
          <w:spacing w:val="15"/>
          <w:sz w:val="24"/>
          <w:szCs w:val="24"/>
          <w:highlight w:val="none"/>
        </w:rPr>
        <w:t>合格的投标人必须具备的条件及资格：</w:t>
      </w:r>
    </w:p>
    <w:p w14:paraId="566CDB57">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1.满足《中华人民共和国政府采购法》第二十二条规定：</w:t>
      </w:r>
    </w:p>
    <w:p w14:paraId="4B58CE1B">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（1）具有独立承担民事责任的能力；</w:t>
      </w:r>
    </w:p>
    <w:p w14:paraId="44F0D1AE">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（2）具有良好的商业信誉和健全的财务会计制度；</w:t>
      </w:r>
    </w:p>
    <w:p w14:paraId="61443EBF">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（3）具有履行合同所必需的设备和专业技术能力；</w:t>
      </w:r>
    </w:p>
    <w:p w14:paraId="68F42963">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（4）有依法缴纳税收和社会保障资金的良好记录；</w:t>
      </w:r>
    </w:p>
    <w:p w14:paraId="751402D3">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（5）参加政府采购活动前三年内，在经营活动中没有重大违法记录；</w:t>
      </w:r>
    </w:p>
    <w:p w14:paraId="5C701CD3">
      <w:pPr>
        <w:spacing w:line="360" w:lineRule="auto"/>
        <w:ind w:firstLine="480"/>
        <w:rPr>
          <w:rFonts w:ascii="宋体" w:hAnsi="宋体" w:cs="宋体"/>
          <w:b/>
          <w:bCs/>
          <w:color w:val="auto"/>
          <w:sz w:val="24"/>
          <w:szCs w:val="24"/>
          <w:highlight w:val="none"/>
          <w:u w:val="none"/>
        </w:rPr>
      </w:pPr>
      <w:r>
        <w:rPr>
          <w:rFonts w:ascii="宋体" w:hAnsi="宋体" w:cs="宋体"/>
          <w:b/>
          <w:bCs/>
          <w:color w:val="auto"/>
          <w:sz w:val="24"/>
          <w:szCs w:val="24"/>
          <w:highlight w:val="none"/>
          <w:u w:val="none"/>
        </w:rPr>
        <w:t>2.落实政府采购政策需满足的资格要求：</w:t>
      </w:r>
    </w:p>
    <w:p w14:paraId="42F6F45B">
      <w:pPr>
        <w:spacing w:line="360" w:lineRule="auto"/>
        <w:ind w:firstLine="480"/>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lang w:eastAsia="zh-CN"/>
        </w:rPr>
        <w:t>（</w:t>
      </w:r>
      <w:r>
        <w:rPr>
          <w:rFonts w:hint="eastAsia" w:ascii="宋体" w:hAnsi="宋体" w:cs="宋体"/>
          <w:b/>
          <w:bCs/>
          <w:color w:val="auto"/>
          <w:sz w:val="24"/>
          <w:szCs w:val="24"/>
          <w:highlight w:val="none"/>
          <w:u w:val="none"/>
          <w:lang w:val="en-US" w:eastAsia="zh-CN"/>
        </w:rPr>
        <w:t>1</w:t>
      </w:r>
      <w:r>
        <w:rPr>
          <w:rFonts w:hint="eastAsia" w:ascii="宋体" w:hAnsi="宋体" w:cs="宋体"/>
          <w:b/>
          <w:bCs/>
          <w:color w:val="auto"/>
          <w:sz w:val="24"/>
          <w:szCs w:val="24"/>
          <w:highlight w:val="none"/>
          <w:u w:val="none"/>
          <w:lang w:eastAsia="zh-CN"/>
        </w:rPr>
        <w:t>）</w:t>
      </w:r>
      <w:r>
        <w:rPr>
          <w:rFonts w:hint="eastAsia" w:ascii="宋体" w:hAnsi="宋体" w:cs="宋体"/>
          <w:b/>
          <w:bCs/>
          <w:color w:val="auto"/>
          <w:sz w:val="24"/>
          <w:szCs w:val="24"/>
          <w:highlight w:val="none"/>
          <w:u w:val="none"/>
        </w:rPr>
        <w:t>本项目不专门面向中小微企业、监狱企业、残疾人福利性单位采购。本项目所投产品货物制造商符合小型和微型企业、监狱企业、残疾人福利性单位条件的给予10%的扣除价格，用扣除后的价格参与评审。</w:t>
      </w:r>
    </w:p>
    <w:p w14:paraId="5E225364">
      <w:pPr>
        <w:spacing w:line="360" w:lineRule="auto"/>
        <w:ind w:firstLine="480"/>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none"/>
          <w:lang w:eastAsia="zh-CN"/>
        </w:rPr>
        <w:t>（</w:t>
      </w:r>
      <w:r>
        <w:rPr>
          <w:rFonts w:hint="eastAsia" w:ascii="宋体" w:hAnsi="宋体" w:cs="宋体"/>
          <w:b/>
          <w:bCs/>
          <w:color w:val="auto"/>
          <w:sz w:val="24"/>
          <w:szCs w:val="24"/>
          <w:highlight w:val="none"/>
          <w:u w:val="none"/>
          <w:lang w:val="en-US" w:eastAsia="zh-CN"/>
        </w:rPr>
        <w:t>2</w:t>
      </w:r>
      <w:r>
        <w:rPr>
          <w:rFonts w:hint="eastAsia" w:ascii="宋体" w:hAnsi="宋体" w:cs="宋体"/>
          <w:b/>
          <w:bCs/>
          <w:color w:val="auto"/>
          <w:sz w:val="24"/>
          <w:szCs w:val="24"/>
          <w:highlight w:val="none"/>
          <w:u w:val="none"/>
          <w:lang w:eastAsia="zh-CN"/>
        </w:rPr>
        <w:t>）</w:t>
      </w:r>
      <w:r>
        <w:rPr>
          <w:rFonts w:hint="eastAsia" w:ascii="宋体" w:hAnsi="宋体" w:cs="宋体"/>
          <w:b/>
          <w:bCs/>
          <w:color w:val="auto"/>
          <w:sz w:val="24"/>
          <w:szCs w:val="24"/>
          <w:highlight w:val="none"/>
          <w:u w:val="none"/>
        </w:rPr>
        <w:t>根据《国务院办公厅关于在政府采购中实施本国产品标准及相关政策的通知》（国办发〔2025〕34号）和《关于贯彻落实《国务院办公厅关于在政府采购中实施本国产品标准及相关政策的通知》的意见》（财库〔2025〕30号）的规定，本项目政府采购活动中既有本国产品又有非本国产品参与竞争的，对本国产品给予20%的价格扣除，用扣除后的价格参与评审。</w:t>
      </w:r>
    </w:p>
    <w:p w14:paraId="651AFA82">
      <w:pPr>
        <w:spacing w:line="360" w:lineRule="auto"/>
        <w:ind w:firstLine="480"/>
        <w:rPr>
          <w:rFonts w:ascii="宋体" w:hAnsi="宋体" w:cs="宋体"/>
          <w:b/>
          <w:bCs/>
          <w:color w:val="auto"/>
          <w:sz w:val="24"/>
          <w:szCs w:val="24"/>
          <w:highlight w:val="none"/>
          <w:u w:val="none"/>
        </w:rPr>
      </w:pPr>
      <w:r>
        <w:rPr>
          <w:rFonts w:ascii="宋体" w:hAnsi="宋体" w:cs="宋体"/>
          <w:b/>
          <w:bCs/>
          <w:color w:val="auto"/>
          <w:sz w:val="24"/>
          <w:szCs w:val="24"/>
          <w:highlight w:val="none"/>
          <w:u w:val="none"/>
        </w:rPr>
        <w:t>3.本项目的特定资格要求：</w:t>
      </w:r>
      <w:r>
        <w:rPr>
          <w:rFonts w:hint="eastAsia" w:ascii="宋体" w:hAnsi="宋体" w:cs="宋体"/>
          <w:b/>
          <w:bCs/>
          <w:color w:val="auto"/>
          <w:sz w:val="24"/>
          <w:szCs w:val="24"/>
          <w:highlight w:val="none"/>
          <w:u w:val="none"/>
          <w:lang w:val="en-US" w:eastAsia="zh-CN"/>
        </w:rPr>
        <w:t>无</w:t>
      </w:r>
      <w:r>
        <w:rPr>
          <w:rFonts w:hint="eastAsia" w:ascii="宋体" w:hAnsi="宋体" w:cs="宋体"/>
          <w:b/>
          <w:bCs/>
          <w:color w:val="auto"/>
          <w:sz w:val="24"/>
          <w:szCs w:val="24"/>
          <w:highlight w:val="none"/>
          <w:u w:val="none"/>
        </w:rPr>
        <w:t>。</w:t>
      </w:r>
    </w:p>
    <w:p w14:paraId="425C5C8F">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4.拒绝下述供应商参加本次采购活动：</w:t>
      </w:r>
    </w:p>
    <w:p w14:paraId="08841AB3">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（1）单位负责人为同一人或者存在直接控股、管理关系的不同供应商，不得参加同一合同项下的政府采购活动；</w:t>
      </w:r>
    </w:p>
    <w:p w14:paraId="54FB8A4D">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（2）</w:t>
      </w:r>
      <w:r>
        <w:rPr>
          <w:rFonts w:hint="eastAsia" w:ascii="宋体" w:hAnsi="宋体" w:cs="宋体"/>
          <w:b/>
          <w:bCs/>
          <w:color w:val="auto"/>
          <w:sz w:val="24"/>
          <w:szCs w:val="24"/>
          <w:highlight w:val="none"/>
          <w:u w:val="single"/>
          <w:lang w:val="en-US" w:eastAsia="zh-CN"/>
        </w:rPr>
        <w:t>除单一来源采购项目外，</w:t>
      </w:r>
      <w:r>
        <w:rPr>
          <w:rFonts w:ascii="宋体" w:hAnsi="宋体" w:cs="宋体"/>
          <w:b/>
          <w:bCs/>
          <w:color w:val="auto"/>
          <w:sz w:val="24"/>
          <w:szCs w:val="24"/>
          <w:highlight w:val="none"/>
          <w:u w:val="single"/>
        </w:rPr>
        <w:t>为采购项目提供整体设计、规范编制或者项目管理、监理、检测等服务的供应商，不得再参加该采购项目的其他采购活动；</w:t>
      </w:r>
    </w:p>
    <w:p w14:paraId="18FDE2A6">
      <w:pPr>
        <w:spacing w:line="360" w:lineRule="auto"/>
        <w:ind w:firstLine="480"/>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（3）被“信用中国”网站（www.creditchina.gov.cn）列入失信被执行人、重大税收违法</w:t>
      </w:r>
      <w:r>
        <w:rPr>
          <w:rFonts w:hint="eastAsia" w:ascii="宋体" w:hAnsi="宋体" w:cs="宋体"/>
          <w:b/>
          <w:bCs/>
          <w:color w:val="auto"/>
          <w:sz w:val="24"/>
          <w:szCs w:val="24"/>
          <w:highlight w:val="none"/>
          <w:u w:val="single"/>
          <w:lang w:val="en-US" w:eastAsia="zh-CN"/>
        </w:rPr>
        <w:t>失信主体</w:t>
      </w:r>
      <w:r>
        <w:rPr>
          <w:rFonts w:ascii="宋体" w:hAnsi="宋体" w:cs="宋体"/>
          <w:b/>
          <w:bCs/>
          <w:color w:val="auto"/>
          <w:sz w:val="24"/>
          <w:szCs w:val="24"/>
          <w:highlight w:val="none"/>
          <w:u w:val="single"/>
        </w:rPr>
        <w:t>名单、政府采购严重</w:t>
      </w:r>
      <w:r>
        <w:rPr>
          <w:rFonts w:hint="eastAsia" w:ascii="宋体" w:hAnsi="宋体" w:cs="宋体"/>
          <w:b/>
          <w:bCs/>
          <w:color w:val="auto"/>
          <w:sz w:val="24"/>
          <w:szCs w:val="24"/>
          <w:highlight w:val="none"/>
          <w:u w:val="single"/>
          <w:lang w:val="en-US" w:eastAsia="zh-CN"/>
        </w:rPr>
        <w:t>违法</w:t>
      </w:r>
      <w:r>
        <w:rPr>
          <w:rFonts w:ascii="宋体" w:hAnsi="宋体" w:cs="宋体"/>
          <w:b/>
          <w:bCs/>
          <w:color w:val="auto"/>
          <w:sz w:val="24"/>
          <w:szCs w:val="24"/>
          <w:highlight w:val="none"/>
          <w:u w:val="single"/>
        </w:rPr>
        <w:t>失信行为记录名单。</w:t>
      </w:r>
    </w:p>
    <w:p w14:paraId="03DBBC09">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二、投标费用：</w:t>
      </w:r>
    </w:p>
    <w:p w14:paraId="65FD973A">
      <w:pPr>
        <w:spacing w:line="360" w:lineRule="auto"/>
        <w:ind w:firstLine="480"/>
        <w:rPr>
          <w:rFonts w:ascii="宋体" w:hAnsi="宋体" w:cs="宋体"/>
          <w:color w:val="auto"/>
          <w:sz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采购代理</w:t>
      </w:r>
      <w:r>
        <w:rPr>
          <w:rFonts w:ascii="宋体" w:hAnsi="宋体" w:cs="宋体"/>
          <w:color w:val="auto"/>
          <w:sz w:val="24"/>
          <w:szCs w:val="24"/>
          <w:highlight w:val="none"/>
        </w:rPr>
        <w:t>费用：</w:t>
      </w: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代理服务费由</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rPr>
        <w:t>支付。</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代理服务费按照苏政采协【2024】20号文件的标准50%收取（差额定率分档累进费率）</w:t>
      </w:r>
      <w:r>
        <w:rPr>
          <w:rFonts w:ascii="宋体" w:hAnsi="宋体" w:cs="宋体"/>
          <w:color w:val="auto"/>
          <w:sz w:val="24"/>
          <w:highlight w:val="none"/>
        </w:rPr>
        <w:t>。</w:t>
      </w:r>
    </w:p>
    <w:p w14:paraId="0063E761">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2．投标人应自行承担所有与参加投标有关的费用。不论投标的结果如何，采购人在任何情况下均无义务和责任承担这些费用。</w:t>
      </w:r>
    </w:p>
    <w:p w14:paraId="787F3E21">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三、投标有效期：</w:t>
      </w:r>
    </w:p>
    <w:p w14:paraId="592E3C4B">
      <w:pPr>
        <w:spacing w:line="360" w:lineRule="auto"/>
        <w:ind w:firstLine="480"/>
        <w:rPr>
          <w:rFonts w:ascii="宋体" w:hAnsi="宋体" w:cs="宋体"/>
          <w:color w:val="auto"/>
          <w:sz w:val="24"/>
          <w:highlight w:val="none"/>
        </w:rPr>
      </w:pPr>
      <w:r>
        <w:rPr>
          <w:rFonts w:ascii="宋体" w:hAnsi="宋体" w:cs="宋体"/>
          <w:color w:val="auto"/>
          <w:sz w:val="24"/>
          <w:highlight w:val="none"/>
        </w:rPr>
        <w:t>1．投标有效期为90天。</w:t>
      </w:r>
    </w:p>
    <w:p w14:paraId="525A9234">
      <w:pPr>
        <w:spacing w:line="360" w:lineRule="auto"/>
        <w:ind w:firstLine="480"/>
        <w:contextualSpacing/>
        <w:jc w:val="left"/>
        <w:rPr>
          <w:rFonts w:ascii="宋体" w:hAnsi="宋体" w:cs="宋体"/>
          <w:color w:val="auto"/>
          <w:sz w:val="24"/>
          <w:highlight w:val="none"/>
        </w:rPr>
      </w:pPr>
      <w:r>
        <w:rPr>
          <w:rFonts w:ascii="宋体" w:hAnsi="宋体" w:cs="宋体"/>
          <w:color w:val="auto"/>
          <w:sz w:val="24"/>
          <w:highlight w:val="none"/>
        </w:rPr>
        <w:t>2．</w:t>
      </w:r>
      <w:r>
        <w:rPr>
          <w:rFonts w:ascii="宋体" w:hAnsi="宋体" w:cs="宋体"/>
          <w:color w:val="auto"/>
          <w:sz w:val="24"/>
          <w:szCs w:val="24"/>
          <w:highlight w:val="none"/>
        </w:rPr>
        <w:t>出现特殊情况需要延长投标有效期的，</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应通知所有投标人延长投标有效期，但不得要求或被允许修改或撤销其投标文件；投标人拒绝延长的，其投标</w:t>
      </w:r>
      <w:r>
        <w:rPr>
          <w:rFonts w:hint="eastAsia" w:ascii="宋体" w:hAnsi="宋体" w:cs="宋体"/>
          <w:color w:val="auto"/>
          <w:sz w:val="24"/>
          <w:szCs w:val="24"/>
          <w:highlight w:val="none"/>
        </w:rPr>
        <w:t>文件</w:t>
      </w:r>
      <w:r>
        <w:rPr>
          <w:rFonts w:ascii="宋体" w:hAnsi="宋体" w:cs="宋体"/>
          <w:color w:val="auto"/>
          <w:sz w:val="24"/>
          <w:szCs w:val="24"/>
          <w:highlight w:val="none"/>
        </w:rPr>
        <w:t>失效。</w:t>
      </w:r>
    </w:p>
    <w:p w14:paraId="3BF2F6AB">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四、履约保证金：</w:t>
      </w:r>
    </w:p>
    <w:p w14:paraId="7509B972">
      <w:pPr>
        <w:spacing w:line="360" w:lineRule="auto"/>
        <w:ind w:firstLine="480"/>
        <w:rPr>
          <w:rFonts w:ascii="宋体" w:hAnsi="宋体" w:cs="宋体"/>
          <w:color w:val="auto"/>
          <w:sz w:val="24"/>
          <w:highlight w:val="none"/>
        </w:rPr>
      </w:pPr>
      <w:r>
        <w:rPr>
          <w:rFonts w:ascii="宋体" w:hAnsi="宋体" w:cs="宋体"/>
          <w:color w:val="auto"/>
          <w:sz w:val="24"/>
          <w:highlight w:val="none"/>
        </w:rPr>
        <w:t>1．履约保证金：</w:t>
      </w:r>
    </w:p>
    <w:p w14:paraId="658919A5">
      <w:pPr>
        <w:spacing w:line="360" w:lineRule="auto"/>
        <w:ind w:firstLine="480"/>
        <w:rPr>
          <w:rFonts w:ascii="宋体" w:hAnsi="宋体" w:cs="宋体"/>
          <w:color w:val="auto"/>
          <w:sz w:val="24"/>
          <w:highlight w:val="none"/>
        </w:rPr>
      </w:pPr>
      <w:r>
        <w:rPr>
          <w:rFonts w:ascii="宋体" w:hAnsi="宋体" w:cs="宋体"/>
          <w:color w:val="auto"/>
          <w:sz w:val="24"/>
          <w:highlight w:val="none"/>
        </w:rPr>
        <w:t>（1）金额：</w:t>
      </w:r>
      <w:r>
        <w:rPr>
          <w:rFonts w:ascii="宋体" w:hAnsi="宋体" w:cs="宋体"/>
          <w:color w:val="auto"/>
          <w:sz w:val="24"/>
          <w:highlight w:val="none"/>
          <w:u w:val="none"/>
        </w:rPr>
        <w:t>中标总价的5%</w:t>
      </w:r>
    </w:p>
    <w:p w14:paraId="46F13250">
      <w:pPr>
        <w:spacing w:line="360" w:lineRule="auto"/>
        <w:ind w:firstLine="480"/>
        <w:rPr>
          <w:rFonts w:ascii="宋体" w:hAnsi="宋体" w:cs="宋体"/>
          <w:color w:val="auto"/>
          <w:sz w:val="24"/>
          <w:highlight w:val="none"/>
        </w:rPr>
      </w:pPr>
      <w:r>
        <w:rPr>
          <w:rFonts w:ascii="宋体" w:hAnsi="宋体" w:cs="宋体"/>
          <w:color w:val="auto"/>
          <w:sz w:val="24"/>
          <w:highlight w:val="none"/>
        </w:rPr>
        <w:t>（2）递交时间：中标后签订合同前</w:t>
      </w:r>
    </w:p>
    <w:p w14:paraId="2A161CAE">
      <w:pPr>
        <w:tabs>
          <w:tab w:val="left" w:pos="525"/>
          <w:tab w:val="left" w:pos="552"/>
          <w:tab w:val="left" w:pos="945"/>
          <w:tab w:val="left" w:pos="1050"/>
        </w:tabs>
        <w:spacing w:line="360" w:lineRule="auto"/>
        <w:ind w:firstLine="480"/>
        <w:rPr>
          <w:rFonts w:ascii="宋体" w:hAnsi="宋体" w:cs="宋体"/>
          <w:color w:val="auto"/>
          <w:sz w:val="24"/>
          <w:highlight w:val="none"/>
        </w:rPr>
      </w:pPr>
      <w:r>
        <w:rPr>
          <w:rFonts w:ascii="宋体" w:hAnsi="宋体" w:cs="宋体"/>
          <w:color w:val="auto"/>
          <w:sz w:val="24"/>
          <w:highlight w:val="none"/>
        </w:rPr>
        <w:t>（3）递交方式：</w:t>
      </w:r>
      <w:r>
        <w:rPr>
          <w:rFonts w:ascii="宋体" w:hAnsi="宋体" w:cs="宋体"/>
          <w:bCs/>
          <w:color w:val="auto"/>
          <w:sz w:val="24"/>
          <w:highlight w:val="none"/>
        </w:rPr>
        <w:t>银行转账、支票、汇票、本票或者金融机构、担保机构出具的保函、</w:t>
      </w:r>
      <w:r>
        <w:rPr>
          <w:rFonts w:ascii="宋体" w:hAnsi="宋体" w:cs="宋体"/>
          <w:color w:val="auto"/>
          <w:sz w:val="24"/>
          <w:highlight w:val="none"/>
        </w:rPr>
        <w:t>保险等非现金方式递交。</w:t>
      </w:r>
    </w:p>
    <w:p w14:paraId="5AA32CFD">
      <w:pPr>
        <w:spacing w:line="360" w:lineRule="auto"/>
        <w:ind w:firstLine="480"/>
        <w:rPr>
          <w:rFonts w:ascii="宋体" w:hAnsi="宋体" w:cs="宋体"/>
          <w:color w:val="auto"/>
          <w:sz w:val="24"/>
          <w:highlight w:val="none"/>
        </w:rPr>
      </w:pPr>
      <w:r>
        <w:rPr>
          <w:rFonts w:ascii="宋体" w:hAnsi="宋体" w:cs="宋体"/>
          <w:color w:val="auto"/>
          <w:sz w:val="24"/>
          <w:highlight w:val="none"/>
        </w:rPr>
        <w:t>（4）退还时间：</w:t>
      </w:r>
      <w:r>
        <w:rPr>
          <w:rFonts w:hint="eastAsia" w:ascii="宋体" w:hAnsi="宋体" w:cs="宋体"/>
          <w:color w:val="auto"/>
          <w:sz w:val="24"/>
          <w:highlight w:val="none"/>
        </w:rPr>
        <w:t>项目全部安装、调试、验收合格</w:t>
      </w:r>
      <w:r>
        <w:rPr>
          <w:rFonts w:hint="eastAsia" w:ascii="宋体" w:hAnsi="宋体" w:cs="宋体"/>
          <w:color w:val="auto"/>
          <w:sz w:val="24"/>
          <w:szCs w:val="24"/>
          <w:highlight w:val="none"/>
        </w:rPr>
        <w:t>，采购人无息退还履约保证金</w:t>
      </w:r>
      <w:r>
        <w:rPr>
          <w:rFonts w:ascii="宋体" w:hAnsi="宋体" w:cs="宋体"/>
          <w:color w:val="auto"/>
          <w:sz w:val="24"/>
          <w:highlight w:val="none"/>
        </w:rPr>
        <w:t>。</w:t>
      </w:r>
    </w:p>
    <w:p w14:paraId="1228C0DD">
      <w:pPr>
        <w:spacing w:line="360" w:lineRule="auto"/>
        <w:ind w:firstLine="480"/>
        <w:rPr>
          <w:rFonts w:ascii="宋体" w:hAnsi="宋体" w:cs="宋体"/>
          <w:color w:val="auto"/>
          <w:sz w:val="24"/>
          <w:highlight w:val="none"/>
        </w:rPr>
      </w:pPr>
      <w:r>
        <w:rPr>
          <w:rFonts w:ascii="宋体" w:hAnsi="宋体" w:cs="宋体"/>
          <w:color w:val="auto"/>
          <w:sz w:val="24"/>
          <w:highlight w:val="none"/>
        </w:rPr>
        <w:t>2．中标人出现下列情况之一</w:t>
      </w:r>
      <w:r>
        <w:rPr>
          <w:rFonts w:hint="eastAsia" w:ascii="宋体" w:hAnsi="宋体" w:cs="宋体"/>
          <w:color w:val="auto"/>
          <w:sz w:val="24"/>
          <w:highlight w:val="none"/>
        </w:rPr>
        <w:t>的</w:t>
      </w:r>
      <w:r>
        <w:rPr>
          <w:rFonts w:ascii="宋体" w:hAnsi="宋体" w:cs="宋体"/>
          <w:color w:val="auto"/>
          <w:sz w:val="24"/>
          <w:highlight w:val="none"/>
        </w:rPr>
        <w:t>，采购人有权取消其中标资格：</w:t>
      </w:r>
    </w:p>
    <w:p w14:paraId="3267CC27">
      <w:pPr>
        <w:pStyle w:val="21"/>
        <w:spacing w:line="360" w:lineRule="auto"/>
        <w:ind w:firstLine="480"/>
        <w:jc w:val="left"/>
        <w:rPr>
          <w:rFonts w:ascii="宋体" w:hAnsi="宋体" w:cs="宋体"/>
          <w:color w:val="auto"/>
          <w:sz w:val="24"/>
          <w:highlight w:val="none"/>
        </w:rPr>
      </w:pPr>
      <w:r>
        <w:rPr>
          <w:rFonts w:ascii="宋体" w:hAnsi="宋体" w:cs="宋体"/>
          <w:color w:val="auto"/>
          <w:sz w:val="24"/>
          <w:highlight w:val="none"/>
        </w:rPr>
        <w:t>（1）中标人在投标有效期内撤回其投标文件；</w:t>
      </w:r>
    </w:p>
    <w:p w14:paraId="4E2A46A1">
      <w:pPr>
        <w:pStyle w:val="21"/>
        <w:spacing w:line="360" w:lineRule="auto"/>
        <w:ind w:firstLine="480"/>
        <w:jc w:val="left"/>
        <w:rPr>
          <w:rFonts w:ascii="宋体" w:hAnsi="宋体" w:cs="宋体"/>
          <w:color w:val="auto"/>
          <w:sz w:val="24"/>
          <w:highlight w:val="none"/>
        </w:rPr>
      </w:pPr>
      <w:r>
        <w:rPr>
          <w:rFonts w:ascii="宋体" w:hAnsi="宋体" w:cs="宋体"/>
          <w:color w:val="auto"/>
          <w:sz w:val="24"/>
          <w:highlight w:val="none"/>
        </w:rPr>
        <w:t>（2）中标人未按招标文件规定缴纳履约保证金的；</w:t>
      </w:r>
    </w:p>
    <w:p w14:paraId="46EFA045">
      <w:pPr>
        <w:pStyle w:val="21"/>
        <w:spacing w:line="360" w:lineRule="auto"/>
        <w:ind w:firstLine="480"/>
        <w:jc w:val="left"/>
        <w:rPr>
          <w:rFonts w:ascii="宋体" w:hAnsi="宋体" w:cs="宋体"/>
          <w:color w:val="auto"/>
          <w:sz w:val="24"/>
          <w:highlight w:val="none"/>
        </w:rPr>
      </w:pPr>
      <w:r>
        <w:rPr>
          <w:rFonts w:ascii="宋体" w:hAnsi="宋体" w:cs="宋体"/>
          <w:color w:val="auto"/>
          <w:sz w:val="24"/>
          <w:highlight w:val="none"/>
        </w:rPr>
        <w:t>（3）中标人无正当理由拒绝签订合同；</w:t>
      </w:r>
    </w:p>
    <w:p w14:paraId="3A627A38">
      <w:pPr>
        <w:pStyle w:val="21"/>
        <w:spacing w:line="360" w:lineRule="auto"/>
        <w:ind w:firstLine="480"/>
        <w:jc w:val="left"/>
        <w:rPr>
          <w:rFonts w:ascii="宋体" w:hAnsi="宋体" w:cs="宋体"/>
          <w:color w:val="auto"/>
          <w:sz w:val="24"/>
          <w:highlight w:val="none"/>
        </w:rPr>
      </w:pPr>
      <w:r>
        <w:rPr>
          <w:rFonts w:ascii="宋体" w:hAnsi="宋体" w:cs="宋体"/>
          <w:color w:val="auto"/>
          <w:sz w:val="24"/>
          <w:highlight w:val="none"/>
        </w:rPr>
        <w:t>（4）中标人相互串通投标或有其他违法违规行为。</w:t>
      </w:r>
    </w:p>
    <w:p w14:paraId="41D3DFE8">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五、招标文件的组成：</w:t>
      </w:r>
    </w:p>
    <w:p w14:paraId="17B95A1A">
      <w:pPr>
        <w:pStyle w:val="21"/>
        <w:spacing w:line="360" w:lineRule="auto"/>
        <w:ind w:firstLine="480"/>
        <w:jc w:val="left"/>
        <w:rPr>
          <w:rFonts w:ascii="宋体" w:hAnsi="宋体" w:cs="宋体"/>
          <w:color w:val="auto"/>
          <w:sz w:val="24"/>
          <w:highlight w:val="none"/>
        </w:rPr>
      </w:pPr>
      <w:r>
        <w:rPr>
          <w:rFonts w:ascii="宋体" w:hAnsi="宋体" w:cs="宋体"/>
          <w:color w:val="auto"/>
          <w:sz w:val="24"/>
          <w:highlight w:val="none"/>
        </w:rPr>
        <w:t>1．本文件及招标答疑文件和所有按第（七）条发出的补充通知。</w:t>
      </w:r>
    </w:p>
    <w:p w14:paraId="6F18075C">
      <w:pPr>
        <w:pStyle w:val="21"/>
        <w:spacing w:line="360" w:lineRule="auto"/>
        <w:ind w:firstLine="480"/>
        <w:jc w:val="left"/>
        <w:rPr>
          <w:rFonts w:ascii="宋体" w:hAnsi="宋体" w:cs="宋体"/>
          <w:color w:val="auto"/>
          <w:sz w:val="24"/>
          <w:highlight w:val="none"/>
        </w:rPr>
      </w:pPr>
      <w:r>
        <w:rPr>
          <w:rFonts w:ascii="宋体" w:hAnsi="宋体" w:cs="宋体"/>
          <w:color w:val="auto"/>
          <w:sz w:val="24"/>
          <w:highlight w:val="none"/>
        </w:rPr>
        <w:t>2．招标文件及招标答疑文件以采购人发出的书面材料为准，口头答复一律无效。</w:t>
      </w:r>
    </w:p>
    <w:p w14:paraId="071F44BF">
      <w:pPr>
        <w:pStyle w:val="21"/>
        <w:spacing w:line="360" w:lineRule="auto"/>
        <w:ind w:firstLine="480"/>
        <w:jc w:val="left"/>
        <w:rPr>
          <w:rFonts w:ascii="宋体" w:hAnsi="宋体" w:cs="宋体"/>
          <w:b/>
          <w:bCs/>
          <w:color w:val="auto"/>
          <w:sz w:val="24"/>
          <w:highlight w:val="none"/>
        </w:rPr>
      </w:pPr>
      <w:r>
        <w:rPr>
          <w:rFonts w:ascii="宋体" w:hAnsi="宋体" w:cs="宋体"/>
          <w:color w:val="auto"/>
          <w:sz w:val="24"/>
          <w:highlight w:val="none"/>
        </w:rPr>
        <w:t>3．如标书制作工具中的格式和内容与“江苏政府采购网”发布的招标文件不一致，请以“江苏政府采购网”发布的招标文件为准。</w:t>
      </w:r>
    </w:p>
    <w:p w14:paraId="102DBC8E">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六、招标文件的澄清：</w:t>
      </w:r>
    </w:p>
    <w:p w14:paraId="4E5F385C">
      <w:pPr>
        <w:pStyle w:val="21"/>
        <w:spacing w:line="360" w:lineRule="auto"/>
        <w:ind w:firstLine="480"/>
        <w:jc w:val="left"/>
        <w:rPr>
          <w:rFonts w:ascii="宋体" w:hAnsi="宋体" w:cs="宋体"/>
          <w:color w:val="auto"/>
          <w:sz w:val="24"/>
          <w:highlight w:val="none"/>
        </w:rPr>
      </w:pPr>
      <w:r>
        <w:rPr>
          <w:rFonts w:ascii="宋体" w:hAnsi="宋体" w:cs="宋体"/>
          <w:color w:val="auto"/>
          <w:sz w:val="24"/>
          <w:highlight w:val="none"/>
        </w:rPr>
        <w:t>1．投标人在收到招标文件后，如有疑问需要澄清，应在2日内以书面形式向采购人提出，采购人将以书面解答的形式分发给所有投标人。</w:t>
      </w:r>
    </w:p>
    <w:p w14:paraId="2C53814D">
      <w:pPr>
        <w:pStyle w:val="21"/>
        <w:spacing w:line="360" w:lineRule="auto"/>
        <w:ind w:firstLine="480"/>
        <w:jc w:val="left"/>
        <w:rPr>
          <w:rFonts w:ascii="宋体" w:hAnsi="宋体" w:cs="宋体"/>
          <w:color w:val="auto"/>
          <w:sz w:val="24"/>
          <w:highlight w:val="none"/>
        </w:rPr>
      </w:pPr>
      <w:r>
        <w:rPr>
          <w:rFonts w:ascii="宋体" w:hAnsi="宋体" w:cs="宋体"/>
          <w:color w:val="auto"/>
          <w:sz w:val="24"/>
          <w:highlight w:val="none"/>
        </w:rPr>
        <w:t>2．投标人对采购人提供的招标文件所做出的推论、解释和结论，采购人概不负责。投标人对招标文件的任何推论和误解以及采购人对有关问题的口头解释所造成的后果，均由投标人自负。</w:t>
      </w:r>
    </w:p>
    <w:p w14:paraId="39B4BE5D">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七、招标文件的修改：</w:t>
      </w:r>
    </w:p>
    <w:p w14:paraId="0E4EAE32">
      <w:pPr>
        <w:pStyle w:val="21"/>
        <w:spacing w:line="360" w:lineRule="auto"/>
        <w:ind w:firstLine="480"/>
        <w:jc w:val="left"/>
        <w:rPr>
          <w:rFonts w:ascii="宋体" w:hAnsi="宋体" w:cs="宋体"/>
          <w:color w:val="auto"/>
          <w:sz w:val="24"/>
          <w:highlight w:val="none"/>
        </w:rPr>
      </w:pPr>
      <w:r>
        <w:rPr>
          <w:rFonts w:ascii="宋体" w:hAnsi="宋体" w:cs="宋体"/>
          <w:color w:val="auto"/>
          <w:sz w:val="24"/>
          <w:highlight w:val="none"/>
        </w:rPr>
        <w:t>1．投标截止时间前，采购人可能会以补充通知的方式修改招标文件，补充通知将作为招标文件的组成部分，具有与招标文件同等效力。</w:t>
      </w:r>
    </w:p>
    <w:p w14:paraId="2487A2F1">
      <w:pPr>
        <w:spacing w:line="360" w:lineRule="auto"/>
        <w:ind w:firstLine="480"/>
        <w:rPr>
          <w:rFonts w:ascii="宋体" w:hAnsi="宋体" w:cs="宋体"/>
          <w:color w:val="auto"/>
          <w:sz w:val="24"/>
          <w:highlight w:val="none"/>
        </w:rPr>
      </w:pPr>
      <w:r>
        <w:rPr>
          <w:rFonts w:ascii="宋体" w:hAnsi="宋体" w:cs="宋体"/>
          <w:color w:val="auto"/>
          <w:sz w:val="24"/>
          <w:highlight w:val="none"/>
        </w:rPr>
        <w:t>2．澄清或者修改的内容可能影响投标文件编制的，采购人将在投标截止时间15日前，以书面形式通知所有获取招标文件的潜在投标人；不足15日的，采购人将顺延提交投标文件的截止时间（顺延时间在补充通知中注明）。</w:t>
      </w:r>
    </w:p>
    <w:p w14:paraId="117AD6F6">
      <w:pPr>
        <w:spacing w:line="360" w:lineRule="auto"/>
        <w:ind w:firstLine="480"/>
        <w:rPr>
          <w:rFonts w:ascii="宋体" w:hAnsi="宋体" w:cs="宋体"/>
          <w:color w:val="auto"/>
          <w:sz w:val="24"/>
          <w:highlight w:val="none"/>
        </w:rPr>
      </w:pPr>
      <w:r>
        <w:rPr>
          <w:rFonts w:ascii="宋体" w:hAnsi="宋体" w:cs="宋体"/>
          <w:color w:val="auto"/>
          <w:sz w:val="24"/>
          <w:highlight w:val="none"/>
        </w:rPr>
        <w:t>3．投标人应及时登录“苏采云”系统获取澄清答疑文件，如因投标人原因未能及时下载澄清和修改后的招标文件，由此造成的相关责任，由投标人自行承担。</w:t>
      </w:r>
    </w:p>
    <w:p w14:paraId="2DC6619A">
      <w:pPr>
        <w:spacing w:line="360" w:lineRule="auto"/>
        <w:jc w:val="center"/>
        <w:rPr>
          <w:rFonts w:ascii="宋体" w:hAnsi="宋体" w:cs="宋体"/>
          <w:b/>
          <w:color w:val="auto"/>
          <w:spacing w:val="20"/>
          <w:sz w:val="32"/>
          <w:szCs w:val="32"/>
          <w:highlight w:val="none"/>
        </w:rPr>
      </w:pPr>
      <w:r>
        <w:rPr>
          <w:rFonts w:ascii="宋体" w:hAnsi="宋体" w:cs="宋体"/>
          <w:b/>
          <w:color w:val="auto"/>
          <w:spacing w:val="20"/>
          <w:sz w:val="32"/>
          <w:szCs w:val="32"/>
          <w:highlight w:val="none"/>
        </w:rPr>
        <w:t>（二）招标要求</w:t>
      </w:r>
    </w:p>
    <w:p w14:paraId="678F8812">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八、招标要求：</w:t>
      </w:r>
    </w:p>
    <w:p w14:paraId="122FD674">
      <w:pPr>
        <w:spacing w:line="360" w:lineRule="auto"/>
        <w:ind w:firstLine="480"/>
        <w:rPr>
          <w:rFonts w:ascii="宋体" w:hAnsi="宋体" w:cs="宋体"/>
          <w:color w:val="auto"/>
          <w:spacing w:val="15"/>
          <w:sz w:val="24"/>
          <w:szCs w:val="24"/>
          <w:highlight w:val="none"/>
        </w:rPr>
      </w:pPr>
      <w:r>
        <w:rPr>
          <w:rFonts w:ascii="宋体" w:hAnsi="宋体" w:cs="宋体"/>
          <w:color w:val="auto"/>
          <w:spacing w:val="15"/>
          <w:sz w:val="24"/>
          <w:szCs w:val="24"/>
          <w:highlight w:val="none"/>
        </w:rPr>
        <w:t>1．招标内容：</w:t>
      </w:r>
      <w:r>
        <w:rPr>
          <w:rFonts w:hint="eastAsia" w:ascii="宋体" w:hAnsi="宋体" w:cs="宋体"/>
          <w:color w:val="auto"/>
          <w:sz w:val="24"/>
          <w:szCs w:val="24"/>
          <w:highlight w:val="none"/>
        </w:rPr>
        <w:t>泰州实验中学新建教学楼宿舍楼及生活设施项目录播设备采购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具体详见第三章项目需求。</w:t>
      </w:r>
    </w:p>
    <w:p w14:paraId="08B2281C">
      <w:pPr>
        <w:spacing w:line="360" w:lineRule="auto"/>
        <w:ind w:firstLine="480"/>
        <w:rPr>
          <w:rFonts w:ascii="宋体" w:hAnsi="宋体" w:cs="宋体"/>
          <w:color w:val="auto"/>
          <w:spacing w:val="15"/>
          <w:sz w:val="24"/>
          <w:szCs w:val="24"/>
          <w:highlight w:val="none"/>
        </w:rPr>
      </w:pPr>
      <w:r>
        <w:rPr>
          <w:rFonts w:ascii="宋体" w:hAnsi="宋体" w:cs="宋体"/>
          <w:color w:val="auto"/>
          <w:spacing w:val="15"/>
          <w:sz w:val="24"/>
          <w:szCs w:val="24"/>
          <w:highlight w:val="none"/>
        </w:rPr>
        <w:t>2．合同履行期限：</w:t>
      </w:r>
      <w:r>
        <w:rPr>
          <w:rFonts w:hint="eastAsia" w:ascii="宋体" w:hAnsi="宋体" w:cs="宋体"/>
          <w:color w:val="auto"/>
          <w:spacing w:val="15"/>
          <w:sz w:val="24"/>
          <w:szCs w:val="24"/>
          <w:highlight w:val="none"/>
          <w:lang w:val="en-US" w:eastAsia="zh-CN"/>
        </w:rPr>
        <w:t>合同签订后40天内</w:t>
      </w:r>
      <w:r>
        <w:rPr>
          <w:rFonts w:ascii="宋体" w:hAnsi="宋体" w:cs="宋体"/>
          <w:color w:val="auto"/>
          <w:spacing w:val="15"/>
          <w:sz w:val="24"/>
          <w:szCs w:val="24"/>
          <w:highlight w:val="none"/>
        </w:rPr>
        <w:t>。</w:t>
      </w:r>
    </w:p>
    <w:p w14:paraId="77DE400C">
      <w:pPr>
        <w:spacing w:line="360" w:lineRule="auto"/>
        <w:ind w:firstLine="480"/>
        <w:jc w:val="left"/>
        <w:rPr>
          <w:rFonts w:cs="宋体"/>
          <w:color w:val="auto"/>
          <w:sz w:val="24"/>
          <w:szCs w:val="24"/>
          <w:highlight w:val="none"/>
        </w:rPr>
      </w:pPr>
      <w:r>
        <w:rPr>
          <w:rFonts w:ascii="宋体" w:hAnsi="宋体" w:cs="宋体"/>
          <w:color w:val="auto"/>
          <w:spacing w:val="15"/>
          <w:sz w:val="24"/>
          <w:szCs w:val="24"/>
          <w:highlight w:val="none"/>
        </w:rPr>
        <w:t>3．投标报价中应包含</w:t>
      </w:r>
      <w:r>
        <w:rPr>
          <w:rFonts w:hint="eastAsia" w:ascii="宋体" w:hAnsi="宋体" w:cs="宋体"/>
          <w:color w:val="auto"/>
          <w:spacing w:val="15"/>
          <w:sz w:val="24"/>
          <w:szCs w:val="24"/>
          <w:highlight w:val="none"/>
        </w:rPr>
        <w:t>设备购置费、材料费、运输费、施工机具使用费、安装调试费、培训费、企业管理费、利润、措施项目费、其</w:t>
      </w:r>
      <w:r>
        <w:rPr>
          <w:rFonts w:hint="eastAsia" w:ascii="宋体" w:hAnsi="宋体" w:cs="宋体"/>
          <w:color w:val="auto"/>
          <w:spacing w:val="15"/>
          <w:sz w:val="24"/>
          <w:szCs w:val="24"/>
          <w:highlight w:val="none"/>
          <w:lang w:val="en-US" w:eastAsia="zh-CN"/>
        </w:rPr>
        <w:t>他</w:t>
      </w:r>
      <w:r>
        <w:rPr>
          <w:rFonts w:hint="eastAsia" w:ascii="宋体" w:hAnsi="宋体" w:cs="宋体"/>
          <w:color w:val="auto"/>
          <w:spacing w:val="15"/>
          <w:sz w:val="24"/>
          <w:szCs w:val="24"/>
          <w:highlight w:val="none"/>
        </w:rPr>
        <w:t>项目费、规费、税金、有关文件规定的政策性调价等以及各种可能发生的风险费用以及招标文件约定的其他等各项费用</w:t>
      </w:r>
      <w:r>
        <w:rPr>
          <w:rFonts w:hint="eastAsia" w:ascii="宋体" w:hAnsi="宋体" w:cs="宋体"/>
          <w:color w:val="auto"/>
          <w:spacing w:val="15"/>
          <w:sz w:val="24"/>
          <w:szCs w:val="24"/>
          <w:highlight w:val="none"/>
          <w:lang w:eastAsia="zh-CN"/>
        </w:rPr>
        <w:t>。</w:t>
      </w:r>
      <w:r>
        <w:rPr>
          <w:rFonts w:ascii="宋体" w:hAnsi="宋体" w:cs="宋体"/>
          <w:color w:val="auto"/>
          <w:spacing w:val="15"/>
          <w:sz w:val="24"/>
          <w:szCs w:val="24"/>
          <w:highlight w:val="none"/>
        </w:rPr>
        <w:t>无论材料如何涨跌、人工工资、福利、保险如何调整等市场或政策性因素而造成</w:t>
      </w:r>
      <w:r>
        <w:rPr>
          <w:rFonts w:hint="eastAsia" w:cs="宋体"/>
          <w:color w:val="auto"/>
          <w:sz w:val="24"/>
          <w:szCs w:val="24"/>
          <w:highlight w:val="none"/>
          <w:lang w:val="en-US" w:eastAsia="zh-CN"/>
        </w:rPr>
        <w:t>中标人</w:t>
      </w:r>
      <w:r>
        <w:rPr>
          <w:rFonts w:cs="宋体"/>
          <w:color w:val="auto"/>
          <w:sz w:val="24"/>
          <w:szCs w:val="24"/>
          <w:highlight w:val="none"/>
        </w:rPr>
        <w:t>的成本波动，单价均为固定单价，即在合同履行期间不作任何调整，采购人不再支付</w:t>
      </w:r>
      <w:r>
        <w:rPr>
          <w:rFonts w:hint="eastAsia" w:cs="宋体"/>
          <w:color w:val="auto"/>
          <w:sz w:val="24"/>
          <w:szCs w:val="24"/>
          <w:highlight w:val="none"/>
          <w:lang w:val="en-US" w:eastAsia="zh-CN"/>
        </w:rPr>
        <w:t>除</w:t>
      </w:r>
      <w:r>
        <w:rPr>
          <w:rFonts w:cs="宋体"/>
          <w:color w:val="auto"/>
          <w:sz w:val="24"/>
          <w:szCs w:val="24"/>
          <w:highlight w:val="none"/>
        </w:rPr>
        <w:t>报价以外的任何费用。</w:t>
      </w:r>
    </w:p>
    <w:p w14:paraId="12D849C4">
      <w:pPr>
        <w:spacing w:line="360" w:lineRule="auto"/>
        <w:ind w:firstLine="480"/>
        <w:rPr>
          <w:rFonts w:ascii="宋体" w:hAnsi="宋体" w:cs="宋体"/>
          <w:color w:val="auto"/>
          <w:sz w:val="24"/>
          <w:szCs w:val="22"/>
          <w:highlight w:val="none"/>
        </w:rPr>
      </w:pPr>
      <w:r>
        <w:rPr>
          <w:rFonts w:ascii="宋体" w:hAnsi="宋体" w:cs="宋体"/>
          <w:b/>
          <w:bCs/>
          <w:i w:val="0"/>
          <w:iCs w:val="0"/>
          <w:color w:val="auto"/>
          <w:sz w:val="24"/>
          <w:highlight w:val="none"/>
          <w:u w:val="single"/>
        </w:rPr>
        <w:t>4．本次</w:t>
      </w:r>
      <w:r>
        <w:rPr>
          <w:rFonts w:hint="eastAsia" w:ascii="宋体" w:hAnsi="宋体" w:cs="宋体"/>
          <w:b/>
          <w:bCs/>
          <w:i w:val="0"/>
          <w:iCs w:val="0"/>
          <w:color w:val="auto"/>
          <w:sz w:val="24"/>
          <w:highlight w:val="none"/>
          <w:u w:val="single"/>
          <w:lang w:val="en-US" w:eastAsia="zh-CN"/>
        </w:rPr>
        <w:t>招</w:t>
      </w:r>
      <w:r>
        <w:rPr>
          <w:rFonts w:ascii="宋体" w:hAnsi="宋体" w:cs="宋体"/>
          <w:b/>
          <w:bCs/>
          <w:i w:val="0"/>
          <w:iCs w:val="0"/>
          <w:color w:val="auto"/>
          <w:sz w:val="24"/>
          <w:highlight w:val="none"/>
          <w:u w:val="single"/>
        </w:rPr>
        <w:t>标设最高限价为</w:t>
      </w:r>
      <w:r>
        <w:rPr>
          <w:rFonts w:hint="eastAsia" w:ascii="宋体" w:hAnsi="宋体" w:cs="宋体"/>
          <w:b/>
          <w:bCs/>
          <w:i w:val="0"/>
          <w:iCs w:val="0"/>
          <w:color w:val="auto"/>
          <w:sz w:val="24"/>
          <w:highlight w:val="none"/>
          <w:u w:val="single"/>
          <w:lang w:val="en-US" w:eastAsia="zh-CN"/>
        </w:rPr>
        <w:t>202.2</w:t>
      </w:r>
      <w:r>
        <w:rPr>
          <w:rFonts w:ascii="宋体" w:hAnsi="宋体" w:cs="宋体"/>
          <w:b/>
          <w:bCs/>
          <w:i w:val="0"/>
          <w:iCs w:val="0"/>
          <w:color w:val="auto"/>
          <w:sz w:val="24"/>
          <w:highlight w:val="none"/>
          <w:u w:val="single"/>
        </w:rPr>
        <w:t>万元，各投标人的投标报价不得高于此限价，</w:t>
      </w:r>
      <w:r>
        <w:rPr>
          <w:rFonts w:ascii="宋体" w:hAnsi="宋体" w:cs="宋体"/>
          <w:b/>
          <w:bCs/>
          <w:i w:val="0"/>
          <w:iCs w:val="0"/>
          <w:color w:val="auto"/>
          <w:sz w:val="24"/>
          <w:szCs w:val="22"/>
          <w:highlight w:val="none"/>
          <w:u w:val="single"/>
        </w:rPr>
        <w:t>否则作为无效投标文件处理，请各投标人详细踏勘现场后慎重报价。</w:t>
      </w:r>
    </w:p>
    <w:p w14:paraId="4FCA0AE2">
      <w:pPr>
        <w:tabs>
          <w:tab w:val="left" w:pos="0"/>
        </w:tabs>
        <w:spacing w:line="360" w:lineRule="auto"/>
        <w:ind w:firstLine="480"/>
        <w:rPr>
          <w:rFonts w:ascii="宋体" w:hAnsi="宋体" w:cs="宋体"/>
          <w:color w:val="auto"/>
          <w:sz w:val="24"/>
          <w:szCs w:val="22"/>
          <w:highlight w:val="none"/>
        </w:rPr>
      </w:pPr>
      <w:r>
        <w:rPr>
          <w:rFonts w:ascii="宋体" w:hAnsi="宋体" w:cs="宋体"/>
          <w:color w:val="auto"/>
          <w:sz w:val="24"/>
          <w:szCs w:val="22"/>
          <w:highlight w:val="none"/>
        </w:rPr>
        <w:t>5．合同形式：固定单价合同。</w:t>
      </w:r>
    </w:p>
    <w:p w14:paraId="42880F82">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20E3AAA4">
      <w:pPr>
        <w:spacing w:line="360" w:lineRule="auto"/>
        <w:jc w:val="center"/>
        <w:rPr>
          <w:rFonts w:ascii="宋体" w:hAnsi="宋体" w:cs="宋体"/>
          <w:b/>
          <w:color w:val="auto"/>
          <w:spacing w:val="20"/>
          <w:sz w:val="32"/>
          <w:szCs w:val="32"/>
          <w:highlight w:val="none"/>
        </w:rPr>
      </w:pPr>
      <w:r>
        <w:rPr>
          <w:rFonts w:ascii="宋体" w:hAnsi="宋体" w:cs="宋体"/>
          <w:b/>
          <w:color w:val="auto"/>
          <w:spacing w:val="20"/>
          <w:sz w:val="32"/>
          <w:szCs w:val="32"/>
          <w:highlight w:val="none"/>
        </w:rPr>
        <w:t>（三）投标文件</w:t>
      </w:r>
    </w:p>
    <w:p w14:paraId="184668B3">
      <w:pPr>
        <w:spacing w:line="360" w:lineRule="auto"/>
        <w:ind w:firstLine="480"/>
        <w:contextualSpacing/>
        <w:jc w:val="left"/>
        <w:rPr>
          <w:rFonts w:ascii="宋体" w:hAnsi="宋体" w:cs="宋体"/>
          <w:color w:val="auto"/>
          <w:sz w:val="24"/>
          <w:highlight w:val="none"/>
        </w:rPr>
      </w:pPr>
      <w:r>
        <w:rPr>
          <w:rFonts w:ascii="宋体" w:hAnsi="宋体" w:cs="宋体"/>
          <w:color w:val="auto"/>
          <w:sz w:val="24"/>
          <w:highlight w:val="none"/>
        </w:rPr>
        <w:t>九、投标文件的编制</w:t>
      </w:r>
    </w:p>
    <w:p w14:paraId="6850DE08">
      <w:pPr>
        <w:spacing w:line="360" w:lineRule="auto"/>
        <w:ind w:firstLine="480"/>
        <w:contextualSpacing/>
        <w:jc w:val="left"/>
        <w:rPr>
          <w:rFonts w:ascii="宋体" w:hAnsi="宋体" w:cs="宋体"/>
          <w:color w:val="auto"/>
          <w:sz w:val="24"/>
          <w:szCs w:val="24"/>
          <w:highlight w:val="none"/>
        </w:rPr>
      </w:pPr>
      <w:r>
        <w:rPr>
          <w:rFonts w:ascii="宋体" w:hAnsi="宋体" w:cs="宋体"/>
          <w:color w:val="auto"/>
          <w:sz w:val="24"/>
          <w:szCs w:val="24"/>
          <w:highlight w:val="none"/>
        </w:rPr>
        <w:t>1．投标文件电子投标文件应当按照系统提供的格式编写，纸质投标文件应按第五章“投标文件格式”进行编写，如有必要可自行增加，作为投标文件的组成部分。</w:t>
      </w:r>
    </w:p>
    <w:p w14:paraId="0A99CB86">
      <w:pPr>
        <w:spacing w:line="360" w:lineRule="auto"/>
        <w:ind w:firstLine="480"/>
        <w:contextualSpacing/>
        <w:jc w:val="left"/>
        <w:rPr>
          <w:rFonts w:ascii="宋体" w:hAnsi="宋体" w:cs="宋体"/>
          <w:color w:val="auto"/>
          <w:sz w:val="24"/>
          <w:szCs w:val="24"/>
          <w:highlight w:val="none"/>
        </w:rPr>
      </w:pPr>
      <w:r>
        <w:rPr>
          <w:rFonts w:ascii="宋体" w:hAnsi="宋体" w:cs="宋体"/>
          <w:color w:val="auto"/>
          <w:sz w:val="24"/>
          <w:szCs w:val="24"/>
          <w:highlight w:val="none"/>
        </w:rPr>
        <w:t>2．投标文件应当对招标文件有关</w:t>
      </w:r>
      <w:r>
        <w:rPr>
          <w:rFonts w:hint="eastAsia" w:ascii="宋体" w:hAnsi="宋体" w:cs="宋体"/>
          <w:color w:val="auto"/>
          <w:sz w:val="24"/>
          <w:szCs w:val="24"/>
          <w:highlight w:val="none"/>
          <w:lang w:val="en-US" w:eastAsia="zh-CN"/>
        </w:rPr>
        <w:t>合同履行期限</w:t>
      </w:r>
      <w:r>
        <w:rPr>
          <w:rFonts w:ascii="宋体" w:hAnsi="宋体" w:cs="宋体"/>
          <w:color w:val="auto"/>
          <w:sz w:val="24"/>
          <w:szCs w:val="24"/>
          <w:highlight w:val="none"/>
        </w:rPr>
        <w:t>、投标有效期、付款方式</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履约保证</w:t>
      </w:r>
      <w:r>
        <w:rPr>
          <w:rFonts w:hint="eastAsia" w:ascii="宋体" w:hAnsi="宋体" w:cs="宋体"/>
          <w:color w:val="auto"/>
          <w:sz w:val="24"/>
          <w:szCs w:val="24"/>
          <w:highlight w:val="none"/>
          <w:lang w:val="en-US" w:eastAsia="zh-CN"/>
        </w:rPr>
        <w:t>金</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质量要求、技术标准和要求等实质性内容作出响应。</w:t>
      </w:r>
    </w:p>
    <w:p w14:paraId="3544F046">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十、投标文件的组成：</w:t>
      </w:r>
    </w:p>
    <w:p w14:paraId="16E20009">
      <w:pPr>
        <w:spacing w:line="360" w:lineRule="auto"/>
        <w:ind w:firstLine="480"/>
        <w:rPr>
          <w:rFonts w:ascii="宋体" w:hAnsi="宋体" w:cs="宋体"/>
          <w:color w:val="auto"/>
          <w:sz w:val="24"/>
          <w:szCs w:val="24"/>
          <w:highlight w:val="none"/>
        </w:rPr>
      </w:pPr>
      <w:r>
        <w:rPr>
          <w:rFonts w:ascii="宋体" w:hAnsi="宋体" w:cs="宋体"/>
          <w:color w:val="auto"/>
          <w:sz w:val="24"/>
          <w:highlight w:val="none"/>
        </w:rPr>
        <w:t>1．投标函</w:t>
      </w:r>
      <w:r>
        <w:rPr>
          <w:rFonts w:ascii="宋体" w:hAnsi="宋体" w:cs="宋体"/>
          <w:color w:val="auto"/>
          <w:sz w:val="24"/>
          <w:szCs w:val="24"/>
          <w:highlight w:val="none"/>
        </w:rPr>
        <w:t>；</w:t>
      </w:r>
    </w:p>
    <w:p w14:paraId="0EA169CA">
      <w:pPr>
        <w:spacing w:line="360" w:lineRule="auto"/>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2．开标一览表、投标分项报价表</w:t>
      </w:r>
      <w:r>
        <w:rPr>
          <w:rFonts w:hint="eastAsia" w:ascii="宋体" w:hAnsi="宋体" w:cs="宋体"/>
          <w:color w:val="auto"/>
          <w:sz w:val="24"/>
          <w:szCs w:val="24"/>
          <w:highlight w:val="none"/>
          <w:lang w:eastAsia="zh-CN"/>
        </w:rPr>
        <w:t>；</w:t>
      </w:r>
    </w:p>
    <w:p w14:paraId="6A314EB3">
      <w:pPr>
        <w:spacing w:line="360" w:lineRule="auto"/>
        <w:ind w:firstLine="480"/>
        <w:rPr>
          <w:rFonts w:hint="eastAsia" w:ascii="宋体" w:hAnsi="宋体" w:eastAsia="宋体" w:cs="宋体"/>
          <w:color w:val="auto"/>
          <w:sz w:val="24"/>
          <w:highlight w:val="none"/>
          <w:lang w:eastAsia="zh-CN"/>
        </w:rPr>
      </w:pPr>
      <w:r>
        <w:rPr>
          <w:rFonts w:ascii="宋体" w:hAnsi="宋体" w:cs="宋体"/>
          <w:color w:val="auto"/>
          <w:sz w:val="24"/>
          <w:szCs w:val="24"/>
          <w:highlight w:val="none"/>
        </w:rPr>
        <w:t>3．</w:t>
      </w:r>
      <w:r>
        <w:rPr>
          <w:rFonts w:ascii="宋体" w:hAnsi="宋体" w:cs="宋体"/>
          <w:color w:val="auto"/>
          <w:sz w:val="24"/>
          <w:highlight w:val="none"/>
        </w:rPr>
        <w:t>法定代表人身份证明</w:t>
      </w:r>
      <w:r>
        <w:rPr>
          <w:rFonts w:hint="eastAsia" w:ascii="宋体" w:hAnsi="宋体" w:cs="宋体"/>
          <w:color w:val="auto"/>
          <w:sz w:val="24"/>
          <w:highlight w:val="none"/>
          <w:lang w:eastAsia="zh-CN"/>
        </w:rPr>
        <w:t>；</w:t>
      </w:r>
    </w:p>
    <w:p w14:paraId="1CAC56D1">
      <w:pPr>
        <w:spacing w:line="360" w:lineRule="auto"/>
        <w:ind w:firstLine="480"/>
        <w:rPr>
          <w:rFonts w:ascii="宋体" w:hAnsi="宋体" w:cs="宋体"/>
          <w:color w:val="auto"/>
          <w:sz w:val="24"/>
          <w:szCs w:val="24"/>
          <w:highlight w:val="none"/>
        </w:rPr>
      </w:pPr>
      <w:r>
        <w:rPr>
          <w:rFonts w:ascii="宋体" w:hAnsi="宋体" w:cs="宋体"/>
          <w:color w:val="auto"/>
          <w:sz w:val="24"/>
          <w:highlight w:val="none"/>
        </w:rPr>
        <w:t>4</w:t>
      </w:r>
      <w:r>
        <w:rPr>
          <w:rFonts w:ascii="宋体" w:hAnsi="宋体" w:cs="宋体"/>
          <w:color w:val="auto"/>
          <w:sz w:val="24"/>
          <w:szCs w:val="24"/>
          <w:highlight w:val="none"/>
        </w:rPr>
        <w:t>．</w:t>
      </w:r>
      <w:r>
        <w:rPr>
          <w:rFonts w:ascii="宋体" w:hAnsi="宋体" w:cs="宋体"/>
          <w:color w:val="auto"/>
          <w:sz w:val="24"/>
          <w:highlight w:val="none"/>
        </w:rPr>
        <w:t>法定代表人授权书；</w:t>
      </w:r>
    </w:p>
    <w:p w14:paraId="66285954">
      <w:pPr>
        <w:spacing w:line="360" w:lineRule="auto"/>
        <w:ind w:firstLine="480"/>
        <w:rPr>
          <w:rFonts w:ascii="宋体" w:hAnsi="宋体" w:cs="宋体"/>
          <w:color w:val="auto"/>
          <w:sz w:val="24"/>
          <w:highlight w:val="none"/>
        </w:rPr>
      </w:pPr>
      <w:r>
        <w:rPr>
          <w:rFonts w:ascii="宋体" w:hAnsi="宋体" w:cs="宋体"/>
          <w:color w:val="auto"/>
          <w:sz w:val="24"/>
          <w:highlight w:val="none"/>
        </w:rPr>
        <w:t>5．投标人基本情况一览表；</w:t>
      </w:r>
    </w:p>
    <w:p w14:paraId="302F07ED">
      <w:pPr>
        <w:spacing w:line="360" w:lineRule="auto"/>
        <w:ind w:firstLine="480"/>
        <w:rPr>
          <w:rFonts w:ascii="宋体" w:hAnsi="宋体" w:cs="宋体"/>
          <w:b/>
          <w:bCs/>
          <w:color w:val="auto"/>
          <w:sz w:val="24"/>
          <w:szCs w:val="24"/>
          <w:highlight w:val="none"/>
        </w:rPr>
      </w:pPr>
      <w:r>
        <w:rPr>
          <w:rFonts w:ascii="宋体" w:hAnsi="宋体" w:cs="宋体"/>
          <w:b/>
          <w:bCs/>
          <w:color w:val="auto"/>
          <w:sz w:val="24"/>
          <w:szCs w:val="24"/>
          <w:highlight w:val="none"/>
        </w:rPr>
        <w:t>6．商务条款偏离表；</w:t>
      </w:r>
    </w:p>
    <w:p w14:paraId="2B126384">
      <w:pPr>
        <w:spacing w:line="360" w:lineRule="auto"/>
        <w:ind w:firstLine="480"/>
        <w:rPr>
          <w:rFonts w:ascii="宋体" w:hAnsi="宋体" w:cs="宋体"/>
          <w:color w:val="auto"/>
          <w:sz w:val="24"/>
          <w:szCs w:val="24"/>
          <w:highlight w:val="none"/>
        </w:rPr>
      </w:pPr>
      <w:r>
        <w:rPr>
          <w:rFonts w:ascii="宋体" w:hAnsi="宋体" w:cs="宋体"/>
          <w:b/>
          <w:bCs/>
          <w:color w:val="auto"/>
          <w:sz w:val="24"/>
          <w:szCs w:val="24"/>
          <w:highlight w:val="none"/>
        </w:rPr>
        <w:t>7．技术条款偏离表；</w:t>
      </w:r>
    </w:p>
    <w:p w14:paraId="4DF5B79D">
      <w:pPr>
        <w:spacing w:line="360" w:lineRule="auto"/>
        <w:ind w:firstLine="480"/>
        <w:rPr>
          <w:rFonts w:ascii="宋体" w:hAnsi="宋体" w:cs="宋体"/>
          <w:b/>
          <w:bCs/>
          <w:color w:val="auto"/>
          <w:sz w:val="24"/>
          <w:szCs w:val="22"/>
          <w:highlight w:val="none"/>
        </w:rPr>
      </w:pPr>
      <w:r>
        <w:rPr>
          <w:rFonts w:ascii="宋体" w:hAnsi="宋体" w:cs="宋体"/>
          <w:color w:val="auto"/>
          <w:sz w:val="24"/>
          <w:szCs w:val="24"/>
          <w:highlight w:val="none"/>
        </w:rPr>
        <w:t>8</w:t>
      </w:r>
      <w:r>
        <w:rPr>
          <w:rFonts w:ascii="宋体" w:hAnsi="宋体" w:cs="宋体"/>
          <w:b/>
          <w:bCs/>
          <w:color w:val="auto"/>
          <w:sz w:val="24"/>
          <w:szCs w:val="24"/>
          <w:highlight w:val="none"/>
        </w:rPr>
        <w:t>．</w:t>
      </w:r>
      <w:r>
        <w:rPr>
          <w:rFonts w:ascii="宋体" w:hAnsi="宋体" w:cs="宋体"/>
          <w:b/>
          <w:bCs/>
          <w:color w:val="auto"/>
          <w:sz w:val="24"/>
          <w:szCs w:val="22"/>
          <w:highlight w:val="none"/>
        </w:rPr>
        <w:t>资格审查材料：</w:t>
      </w:r>
    </w:p>
    <w:p w14:paraId="610AB1FB">
      <w:pPr>
        <w:spacing w:line="360" w:lineRule="auto"/>
        <w:ind w:firstLine="480"/>
        <w:rPr>
          <w:rFonts w:ascii="宋体" w:hAnsi="宋体" w:cs="宋体"/>
          <w:b/>
          <w:bCs/>
          <w:color w:val="auto"/>
          <w:sz w:val="24"/>
          <w:szCs w:val="22"/>
          <w:highlight w:val="none"/>
        </w:rPr>
      </w:pPr>
      <w:r>
        <w:rPr>
          <w:rFonts w:ascii="宋体" w:hAnsi="宋体" w:cs="宋体"/>
          <w:b/>
          <w:bCs/>
          <w:color w:val="auto"/>
          <w:sz w:val="24"/>
          <w:szCs w:val="22"/>
          <w:highlight w:val="none"/>
        </w:rPr>
        <w:t>（1）具有独立承担民事责任的能力；（提供法人或者其他组织的营业执照等证明文件，自然人的身份证明）</w:t>
      </w:r>
    </w:p>
    <w:p w14:paraId="473BF945">
      <w:pPr>
        <w:spacing w:line="360" w:lineRule="auto"/>
        <w:ind w:firstLine="480"/>
        <w:rPr>
          <w:rFonts w:hint="eastAsia" w:ascii="宋体" w:hAnsi="宋体" w:eastAsia="宋体" w:cs="宋体"/>
          <w:b/>
          <w:bCs/>
          <w:color w:val="auto"/>
          <w:sz w:val="24"/>
          <w:szCs w:val="22"/>
          <w:highlight w:val="none"/>
          <w:lang w:eastAsia="zh-CN"/>
        </w:rPr>
      </w:pPr>
      <w:r>
        <w:rPr>
          <w:rFonts w:ascii="宋体" w:hAnsi="宋体" w:cs="宋体"/>
          <w:b/>
          <w:bCs/>
          <w:color w:val="auto"/>
          <w:sz w:val="24"/>
          <w:szCs w:val="22"/>
          <w:highlight w:val="none"/>
        </w:rPr>
        <w:t>（2）具有良好的商业信誉和健全的财务会计制度；</w:t>
      </w:r>
      <w:r>
        <w:rPr>
          <w:rFonts w:hint="eastAsia" w:ascii="宋体" w:hAnsi="宋体" w:cs="宋体"/>
          <w:b/>
          <w:bCs/>
          <w:color w:val="auto"/>
          <w:sz w:val="24"/>
          <w:szCs w:val="22"/>
          <w:highlight w:val="none"/>
          <w:lang w:val="en-US" w:eastAsia="zh-CN"/>
        </w:rPr>
        <w:t>[</w:t>
      </w:r>
      <w:r>
        <w:rPr>
          <w:rFonts w:ascii="宋体" w:hAnsi="宋体" w:cs="宋体"/>
          <w:b/>
          <w:bCs/>
          <w:color w:val="auto"/>
          <w:sz w:val="24"/>
          <w:szCs w:val="22"/>
          <w:highlight w:val="none"/>
        </w:rPr>
        <w:t>提供近</w:t>
      </w:r>
      <w:r>
        <w:rPr>
          <w:rFonts w:hint="eastAsia" w:ascii="宋体" w:hAnsi="宋体" w:cs="宋体"/>
          <w:b/>
          <w:bCs/>
          <w:color w:val="auto"/>
          <w:sz w:val="24"/>
          <w:szCs w:val="22"/>
          <w:highlight w:val="none"/>
          <w:lang w:val="en-US" w:eastAsia="zh-CN"/>
        </w:rPr>
        <w:t>六</w:t>
      </w:r>
      <w:r>
        <w:rPr>
          <w:rFonts w:ascii="宋体" w:hAnsi="宋体" w:cs="宋体"/>
          <w:b/>
          <w:bCs/>
          <w:color w:val="auto"/>
          <w:sz w:val="24"/>
          <w:szCs w:val="22"/>
          <w:highlight w:val="none"/>
        </w:rPr>
        <w:t>个月中任意一个月份（不含投标当月）的财务状况报告（含资产负债表和利润表）或会计师事务所出具的近两年（不含投标当</w:t>
      </w:r>
      <w:r>
        <w:rPr>
          <w:rFonts w:hint="eastAsia" w:ascii="宋体" w:hAnsi="宋体" w:cs="宋体"/>
          <w:b/>
          <w:bCs/>
          <w:color w:val="auto"/>
          <w:sz w:val="24"/>
          <w:szCs w:val="22"/>
          <w:highlight w:val="none"/>
          <w:lang w:val="en-US" w:eastAsia="zh-CN"/>
        </w:rPr>
        <w:t>年</w:t>
      </w:r>
      <w:r>
        <w:rPr>
          <w:rFonts w:ascii="宋体" w:hAnsi="宋体" w:cs="宋体"/>
          <w:b/>
          <w:bCs/>
          <w:color w:val="auto"/>
          <w:sz w:val="24"/>
          <w:szCs w:val="22"/>
          <w:highlight w:val="none"/>
        </w:rPr>
        <w:t>）中任意一个年度的财务审计报告</w:t>
      </w:r>
      <w:r>
        <w:rPr>
          <w:rFonts w:hint="eastAsia" w:ascii="宋体" w:hAnsi="宋体" w:cs="宋体"/>
          <w:b/>
          <w:bCs/>
          <w:color w:val="auto"/>
          <w:sz w:val="24"/>
          <w:szCs w:val="22"/>
          <w:highlight w:val="none"/>
          <w:lang w:val="en-US" w:eastAsia="zh-CN"/>
        </w:rPr>
        <w:t>]</w:t>
      </w:r>
    </w:p>
    <w:p w14:paraId="51AA22DB">
      <w:pPr>
        <w:spacing w:line="360" w:lineRule="auto"/>
        <w:ind w:firstLine="480"/>
        <w:rPr>
          <w:rFonts w:ascii="宋体" w:hAnsi="宋体" w:cs="宋体"/>
          <w:b/>
          <w:bCs/>
          <w:color w:val="auto"/>
          <w:sz w:val="24"/>
          <w:szCs w:val="22"/>
          <w:highlight w:val="none"/>
        </w:rPr>
      </w:pPr>
      <w:r>
        <w:rPr>
          <w:rFonts w:ascii="宋体" w:hAnsi="宋体" w:cs="宋体"/>
          <w:b/>
          <w:bCs/>
          <w:color w:val="auto"/>
          <w:sz w:val="24"/>
          <w:szCs w:val="22"/>
          <w:highlight w:val="none"/>
        </w:rPr>
        <w:t>（3）具有履行合同所必需的设备和专业技术能力；（详见响应文件格式）</w:t>
      </w:r>
    </w:p>
    <w:p w14:paraId="2A20EF5A">
      <w:pPr>
        <w:spacing w:line="360" w:lineRule="auto"/>
        <w:ind w:firstLine="480"/>
        <w:rPr>
          <w:rFonts w:hint="eastAsia" w:ascii="宋体" w:hAnsi="宋体" w:eastAsia="宋体" w:cs="宋体"/>
          <w:b/>
          <w:bCs/>
          <w:color w:val="auto"/>
          <w:sz w:val="24"/>
          <w:szCs w:val="22"/>
          <w:highlight w:val="none"/>
          <w:lang w:eastAsia="zh-CN"/>
        </w:rPr>
      </w:pPr>
      <w:r>
        <w:rPr>
          <w:rFonts w:ascii="宋体" w:hAnsi="宋体" w:cs="宋体"/>
          <w:b/>
          <w:bCs/>
          <w:color w:val="auto"/>
          <w:sz w:val="24"/>
          <w:szCs w:val="22"/>
          <w:highlight w:val="none"/>
        </w:rPr>
        <w:t>（4）有依法缴纳税收和社会保障资金的良好记录；</w:t>
      </w:r>
      <w:r>
        <w:rPr>
          <w:rFonts w:hint="eastAsia" w:ascii="宋体" w:hAnsi="宋体" w:cs="宋体"/>
          <w:b/>
          <w:bCs/>
          <w:color w:val="auto"/>
          <w:sz w:val="24"/>
          <w:szCs w:val="22"/>
          <w:highlight w:val="none"/>
          <w:lang w:val="en-US" w:eastAsia="zh-CN"/>
        </w:rPr>
        <w:t>[</w:t>
      </w:r>
      <w:r>
        <w:rPr>
          <w:rFonts w:ascii="宋体" w:hAnsi="宋体" w:cs="宋体"/>
          <w:b/>
          <w:bCs/>
          <w:color w:val="auto"/>
          <w:sz w:val="24"/>
          <w:szCs w:val="22"/>
          <w:highlight w:val="none"/>
        </w:rPr>
        <w:t>提供近</w:t>
      </w:r>
      <w:r>
        <w:rPr>
          <w:rFonts w:hint="eastAsia" w:ascii="宋体" w:hAnsi="宋体" w:cs="宋体"/>
          <w:b/>
          <w:bCs/>
          <w:color w:val="auto"/>
          <w:sz w:val="24"/>
          <w:szCs w:val="22"/>
          <w:highlight w:val="none"/>
          <w:lang w:val="en-US" w:eastAsia="zh-CN"/>
        </w:rPr>
        <w:t>六</w:t>
      </w:r>
      <w:r>
        <w:rPr>
          <w:rFonts w:ascii="宋体" w:hAnsi="宋体" w:cs="宋体"/>
          <w:b/>
          <w:bCs/>
          <w:color w:val="auto"/>
          <w:sz w:val="24"/>
          <w:szCs w:val="22"/>
          <w:highlight w:val="none"/>
        </w:rPr>
        <w:t>个月中任意一个月份（不含投标当月）的依法缴纳税收和社会保障资金的相关材料</w:t>
      </w:r>
      <w:r>
        <w:rPr>
          <w:rFonts w:hint="eastAsia" w:ascii="宋体" w:hAnsi="宋体" w:cs="宋体"/>
          <w:b/>
          <w:bCs/>
          <w:color w:val="auto"/>
          <w:sz w:val="24"/>
          <w:szCs w:val="22"/>
          <w:highlight w:val="none"/>
          <w:lang w:val="en-US" w:eastAsia="zh-CN"/>
        </w:rPr>
        <w:t>]</w:t>
      </w:r>
    </w:p>
    <w:p w14:paraId="62A0512C">
      <w:pPr>
        <w:spacing w:line="360" w:lineRule="auto"/>
        <w:ind w:firstLine="480"/>
        <w:rPr>
          <w:rFonts w:ascii="宋体" w:hAnsi="宋体" w:cs="宋体"/>
          <w:b/>
          <w:bCs/>
          <w:color w:val="auto"/>
          <w:sz w:val="24"/>
          <w:szCs w:val="22"/>
          <w:highlight w:val="none"/>
        </w:rPr>
      </w:pPr>
      <w:r>
        <w:rPr>
          <w:rFonts w:ascii="宋体" w:hAnsi="宋体" w:cs="宋体"/>
          <w:b/>
          <w:bCs/>
          <w:color w:val="auto"/>
          <w:sz w:val="24"/>
          <w:szCs w:val="22"/>
          <w:highlight w:val="none"/>
        </w:rPr>
        <w:t>（5）参加政府采购活动前三年内，在经营活动中没有重大违法记录；（详见响应文件格式）</w:t>
      </w:r>
    </w:p>
    <w:p w14:paraId="12DD49F5">
      <w:pPr>
        <w:spacing w:line="360" w:lineRule="auto"/>
        <w:ind w:firstLine="480"/>
        <w:rPr>
          <w:rFonts w:ascii="宋体" w:hAnsi="宋体" w:cs="宋体"/>
          <w:b/>
          <w:bCs/>
          <w:color w:val="auto"/>
          <w:sz w:val="24"/>
          <w:szCs w:val="22"/>
          <w:highlight w:val="none"/>
        </w:rPr>
      </w:pPr>
      <w:r>
        <w:rPr>
          <w:rFonts w:ascii="宋体" w:hAnsi="宋体" w:cs="宋体"/>
          <w:b/>
          <w:bCs/>
          <w:color w:val="auto"/>
          <w:sz w:val="24"/>
          <w:szCs w:val="22"/>
          <w:highlight w:val="none"/>
        </w:rPr>
        <w:t>（6）拒绝下述供应商参加本次采购活动：</w:t>
      </w:r>
    </w:p>
    <w:p w14:paraId="23E57AD4">
      <w:pPr>
        <w:spacing w:line="360" w:lineRule="auto"/>
        <w:ind w:firstLine="480"/>
        <w:rPr>
          <w:rFonts w:ascii="宋体" w:hAnsi="宋体" w:cs="宋体"/>
          <w:b/>
          <w:bCs/>
          <w:color w:val="auto"/>
          <w:sz w:val="24"/>
          <w:szCs w:val="22"/>
          <w:highlight w:val="none"/>
        </w:rPr>
      </w:pPr>
      <w:r>
        <w:rPr>
          <w:rFonts w:ascii="宋体" w:hAnsi="宋体" w:cs="宋体"/>
          <w:b/>
          <w:bCs/>
          <w:color w:val="auto"/>
          <w:sz w:val="24"/>
          <w:szCs w:val="22"/>
          <w:highlight w:val="none"/>
        </w:rPr>
        <w:t>1）单位负责人为同一人或者存在直接控股、管理关系的不同供应商，不得参加同一合同项下的政府采购活动；</w:t>
      </w:r>
      <w:r>
        <w:rPr>
          <w:rFonts w:ascii="宋体" w:hAnsi="宋体" w:cs="宋体"/>
          <w:b/>
          <w:bCs/>
          <w:color w:val="auto"/>
          <w:sz w:val="24"/>
          <w:szCs w:val="24"/>
          <w:highlight w:val="none"/>
        </w:rPr>
        <w:t>（提供承诺书，格式</w:t>
      </w:r>
      <w:r>
        <w:rPr>
          <w:rFonts w:hint="eastAsia" w:ascii="宋体" w:hAnsi="宋体" w:cs="宋体"/>
          <w:b/>
          <w:bCs/>
          <w:color w:val="auto"/>
          <w:sz w:val="24"/>
          <w:szCs w:val="24"/>
          <w:highlight w:val="none"/>
          <w:lang w:val="en-US" w:eastAsia="zh-CN"/>
        </w:rPr>
        <w:t>详见附件</w:t>
      </w:r>
      <w:r>
        <w:rPr>
          <w:rFonts w:ascii="宋体" w:hAnsi="宋体" w:cs="宋体"/>
          <w:b/>
          <w:bCs/>
          <w:color w:val="auto"/>
          <w:sz w:val="24"/>
          <w:szCs w:val="24"/>
          <w:highlight w:val="none"/>
        </w:rPr>
        <w:t>）</w:t>
      </w:r>
    </w:p>
    <w:p w14:paraId="75CBF127">
      <w:pPr>
        <w:spacing w:line="360" w:lineRule="auto"/>
        <w:ind w:firstLine="480"/>
        <w:rPr>
          <w:rFonts w:ascii="宋体" w:hAnsi="宋体" w:cs="宋体"/>
          <w:b/>
          <w:bCs/>
          <w:color w:val="auto"/>
          <w:sz w:val="24"/>
          <w:szCs w:val="22"/>
          <w:highlight w:val="none"/>
        </w:rPr>
      </w:pPr>
      <w:r>
        <w:rPr>
          <w:rFonts w:ascii="宋体" w:hAnsi="宋体" w:cs="宋体"/>
          <w:b/>
          <w:bCs/>
          <w:color w:val="auto"/>
          <w:sz w:val="24"/>
          <w:szCs w:val="22"/>
          <w:highlight w:val="none"/>
        </w:rPr>
        <w:t>2）</w:t>
      </w:r>
      <w:r>
        <w:rPr>
          <w:rFonts w:hint="eastAsia" w:ascii="宋体" w:hAnsi="宋体" w:cs="宋体"/>
          <w:b/>
          <w:bCs/>
          <w:color w:val="auto"/>
          <w:sz w:val="24"/>
          <w:szCs w:val="22"/>
          <w:highlight w:val="none"/>
          <w:lang w:val="en-US" w:eastAsia="zh-CN"/>
        </w:rPr>
        <w:t>除单一来源采购项目外，</w:t>
      </w:r>
      <w:r>
        <w:rPr>
          <w:rFonts w:ascii="宋体" w:hAnsi="宋体" w:cs="宋体"/>
          <w:b/>
          <w:bCs/>
          <w:color w:val="auto"/>
          <w:sz w:val="24"/>
          <w:szCs w:val="22"/>
          <w:highlight w:val="none"/>
        </w:rPr>
        <w:t>为采购项目提供整体设计、规范编制或者项目管理、监理、检测等服务的供应商，不得再参加该采购项目的其他采购活动；</w:t>
      </w:r>
      <w:r>
        <w:rPr>
          <w:rFonts w:ascii="宋体" w:hAnsi="宋体" w:cs="宋体"/>
          <w:b/>
          <w:bCs/>
          <w:color w:val="auto"/>
          <w:sz w:val="24"/>
          <w:szCs w:val="24"/>
          <w:highlight w:val="none"/>
        </w:rPr>
        <w:t>（提供承诺书，格式</w:t>
      </w:r>
      <w:r>
        <w:rPr>
          <w:rFonts w:hint="eastAsia" w:ascii="宋体" w:hAnsi="宋体" w:cs="宋体"/>
          <w:b/>
          <w:bCs/>
          <w:color w:val="auto"/>
          <w:sz w:val="24"/>
          <w:szCs w:val="24"/>
          <w:highlight w:val="none"/>
          <w:lang w:val="en-US" w:eastAsia="zh-CN"/>
        </w:rPr>
        <w:t>详见附件</w:t>
      </w:r>
      <w:r>
        <w:rPr>
          <w:rFonts w:ascii="宋体" w:hAnsi="宋体" w:cs="宋体"/>
          <w:b/>
          <w:bCs/>
          <w:color w:val="auto"/>
          <w:sz w:val="24"/>
          <w:szCs w:val="24"/>
          <w:highlight w:val="none"/>
        </w:rPr>
        <w:t>）</w:t>
      </w:r>
    </w:p>
    <w:p w14:paraId="6317DAF1">
      <w:pPr>
        <w:spacing w:line="360" w:lineRule="auto"/>
        <w:ind w:firstLine="480"/>
        <w:rPr>
          <w:rFonts w:ascii="宋体" w:hAnsi="宋体" w:cs="宋体"/>
          <w:b/>
          <w:bCs/>
          <w:color w:val="auto"/>
          <w:sz w:val="24"/>
          <w:szCs w:val="22"/>
          <w:highlight w:val="none"/>
        </w:rPr>
      </w:pPr>
      <w:r>
        <w:rPr>
          <w:rFonts w:ascii="宋体" w:hAnsi="宋体" w:cs="宋体"/>
          <w:b/>
          <w:bCs/>
          <w:color w:val="auto"/>
          <w:sz w:val="24"/>
          <w:szCs w:val="22"/>
          <w:highlight w:val="none"/>
        </w:rPr>
        <w:t>3）被“信用中国”网站（www.creditchina.gov.cn）列入失信被执行人、</w:t>
      </w:r>
      <w:r>
        <w:rPr>
          <w:rFonts w:ascii="宋体" w:hAnsi="宋体" w:cs="宋体"/>
          <w:b/>
          <w:bCs/>
          <w:color w:val="auto"/>
          <w:sz w:val="24"/>
          <w:szCs w:val="24"/>
          <w:highlight w:val="none"/>
        </w:rPr>
        <w:t>重大税收违法</w:t>
      </w:r>
      <w:r>
        <w:rPr>
          <w:rFonts w:hint="eastAsia" w:ascii="宋体" w:hAnsi="宋体" w:cs="宋体"/>
          <w:b/>
          <w:bCs/>
          <w:color w:val="auto"/>
          <w:sz w:val="24"/>
          <w:szCs w:val="24"/>
          <w:highlight w:val="none"/>
          <w:lang w:val="en-US" w:eastAsia="zh-CN"/>
        </w:rPr>
        <w:t>失信主体</w:t>
      </w:r>
      <w:r>
        <w:rPr>
          <w:rFonts w:ascii="宋体" w:hAnsi="宋体" w:cs="宋体"/>
          <w:b/>
          <w:bCs/>
          <w:color w:val="auto"/>
          <w:sz w:val="24"/>
          <w:szCs w:val="24"/>
          <w:highlight w:val="none"/>
        </w:rPr>
        <w:t>名单、政府采购严重</w:t>
      </w:r>
      <w:r>
        <w:rPr>
          <w:rFonts w:hint="eastAsia" w:ascii="宋体" w:hAnsi="宋体" w:cs="宋体"/>
          <w:b/>
          <w:bCs/>
          <w:color w:val="auto"/>
          <w:sz w:val="24"/>
          <w:szCs w:val="24"/>
          <w:highlight w:val="none"/>
          <w:lang w:val="en-US" w:eastAsia="zh-CN"/>
        </w:rPr>
        <w:t>违法</w:t>
      </w:r>
      <w:r>
        <w:rPr>
          <w:rFonts w:ascii="宋体" w:hAnsi="宋体" w:cs="宋体"/>
          <w:b/>
          <w:bCs/>
          <w:color w:val="auto"/>
          <w:sz w:val="24"/>
          <w:szCs w:val="24"/>
          <w:highlight w:val="none"/>
        </w:rPr>
        <w:t>失信行为记录名单</w:t>
      </w:r>
      <w:r>
        <w:rPr>
          <w:rFonts w:ascii="宋体" w:hAnsi="宋体" w:cs="宋体"/>
          <w:b/>
          <w:bCs/>
          <w:color w:val="auto"/>
          <w:sz w:val="24"/>
          <w:szCs w:val="22"/>
          <w:highlight w:val="none"/>
        </w:rPr>
        <w:t>。</w:t>
      </w:r>
      <w:r>
        <w:rPr>
          <w:rFonts w:ascii="宋体" w:hAnsi="宋体" w:cs="宋体"/>
          <w:b/>
          <w:bCs/>
          <w:color w:val="auto"/>
          <w:sz w:val="24"/>
          <w:szCs w:val="24"/>
          <w:highlight w:val="none"/>
        </w:rPr>
        <w:t>（提供承诺书，格式</w:t>
      </w:r>
      <w:r>
        <w:rPr>
          <w:rFonts w:hint="eastAsia" w:ascii="宋体" w:hAnsi="宋体" w:cs="宋体"/>
          <w:b/>
          <w:bCs/>
          <w:color w:val="auto"/>
          <w:sz w:val="24"/>
          <w:szCs w:val="24"/>
          <w:highlight w:val="none"/>
          <w:lang w:val="en-US" w:eastAsia="zh-CN"/>
        </w:rPr>
        <w:t>详见附件</w:t>
      </w:r>
      <w:r>
        <w:rPr>
          <w:rFonts w:ascii="宋体" w:hAnsi="宋体" w:cs="宋体"/>
          <w:b/>
          <w:bCs/>
          <w:color w:val="auto"/>
          <w:sz w:val="24"/>
          <w:szCs w:val="24"/>
          <w:highlight w:val="none"/>
        </w:rPr>
        <w:t>）</w:t>
      </w:r>
    </w:p>
    <w:p w14:paraId="6D12D1C5">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9.</w:t>
      </w:r>
      <w:r>
        <w:rPr>
          <w:rFonts w:ascii="宋体" w:hAnsi="宋体" w:cs="宋体"/>
          <w:color w:val="auto"/>
          <w:sz w:val="24"/>
          <w:szCs w:val="22"/>
          <w:highlight w:val="none"/>
        </w:rPr>
        <w:t>中小企业声明函或残疾人福利性单位声明函或监狱或戒毒企业的证明资料（如有）</w:t>
      </w:r>
    </w:p>
    <w:p w14:paraId="342E6879">
      <w:pPr>
        <w:spacing w:line="360" w:lineRule="auto"/>
        <w:ind w:firstLine="480"/>
        <w:rPr>
          <w:rFonts w:ascii="宋体" w:hAnsi="宋体" w:cs="宋体"/>
          <w:color w:val="auto"/>
          <w:sz w:val="24"/>
          <w:szCs w:val="22"/>
          <w:highlight w:val="none"/>
        </w:rPr>
      </w:pPr>
      <w:r>
        <w:rPr>
          <w:rFonts w:ascii="宋体" w:hAnsi="宋体" w:cs="宋体"/>
          <w:color w:val="auto"/>
          <w:sz w:val="24"/>
          <w:szCs w:val="22"/>
          <w:highlight w:val="none"/>
        </w:rPr>
        <w:t>1</w:t>
      </w:r>
      <w:r>
        <w:rPr>
          <w:rFonts w:hint="eastAsia" w:ascii="宋体" w:hAnsi="宋体" w:cs="宋体"/>
          <w:color w:val="auto"/>
          <w:sz w:val="24"/>
          <w:szCs w:val="22"/>
          <w:highlight w:val="none"/>
        </w:rPr>
        <w:t>0</w:t>
      </w:r>
      <w:r>
        <w:rPr>
          <w:rFonts w:ascii="宋体" w:hAnsi="宋体" w:cs="宋体"/>
          <w:color w:val="auto"/>
          <w:sz w:val="24"/>
          <w:szCs w:val="22"/>
          <w:highlight w:val="none"/>
        </w:rPr>
        <w:t>．</w:t>
      </w:r>
      <w:r>
        <w:rPr>
          <w:rFonts w:hint="eastAsia" w:ascii="宋体" w:hAnsi="宋体" w:eastAsia="宋体" w:cs="宋体"/>
          <w:bCs/>
          <w:color w:val="auto"/>
          <w:sz w:val="24"/>
          <w:highlight w:val="none"/>
          <w:lang w:eastAsia="zh-CN"/>
        </w:rPr>
        <w:t>关于符合本国产品标准的声明函</w:t>
      </w:r>
      <w:r>
        <w:rPr>
          <w:rFonts w:hint="eastAsia" w:ascii="宋体" w:hAnsi="宋体" w:eastAsia="宋体" w:cs="宋体"/>
          <w:bCs/>
          <w:color w:val="auto"/>
          <w:sz w:val="24"/>
          <w:highlight w:val="none"/>
        </w:rPr>
        <w:t>（</w:t>
      </w:r>
      <w:r>
        <w:rPr>
          <w:rFonts w:ascii="宋体" w:hAnsi="宋体" w:cs="宋体"/>
          <w:color w:val="auto"/>
          <w:sz w:val="24"/>
          <w:szCs w:val="22"/>
          <w:highlight w:val="none"/>
        </w:rPr>
        <w:t>如有</w:t>
      </w:r>
      <w:r>
        <w:rPr>
          <w:rFonts w:hint="eastAsia" w:ascii="宋体" w:hAnsi="宋体" w:eastAsia="宋体" w:cs="宋体"/>
          <w:bCs/>
          <w:color w:val="auto"/>
          <w:sz w:val="24"/>
          <w:highlight w:val="none"/>
        </w:rPr>
        <w:t>）</w:t>
      </w:r>
    </w:p>
    <w:p w14:paraId="07BAFD8E">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lang w:val="en-US" w:eastAsia="zh-CN"/>
        </w:rPr>
        <w:t>11.</w:t>
      </w:r>
      <w:r>
        <w:rPr>
          <w:rFonts w:ascii="宋体" w:hAnsi="宋体" w:cs="宋体"/>
          <w:color w:val="auto"/>
          <w:sz w:val="24"/>
          <w:szCs w:val="22"/>
          <w:highlight w:val="none"/>
        </w:rPr>
        <w:t>根据招标文件及评标办法投标人认为应该提供的其他相关资料。</w:t>
      </w:r>
    </w:p>
    <w:p w14:paraId="134A5C34">
      <w:pPr>
        <w:spacing w:line="360" w:lineRule="auto"/>
        <w:ind w:firstLine="480"/>
        <w:rPr>
          <w:rFonts w:ascii="宋体" w:hAnsi="宋体" w:cs="宋体"/>
          <w:color w:val="auto"/>
          <w:sz w:val="24"/>
          <w:szCs w:val="22"/>
          <w:highlight w:val="none"/>
        </w:rPr>
      </w:pPr>
      <w:r>
        <w:rPr>
          <w:rFonts w:ascii="宋体" w:hAnsi="宋体" w:cs="宋体"/>
          <w:b/>
          <w:bCs/>
          <w:color w:val="auto"/>
          <w:sz w:val="24"/>
          <w:szCs w:val="22"/>
          <w:highlight w:val="none"/>
        </w:rPr>
        <w:t>1</w:t>
      </w:r>
      <w:r>
        <w:rPr>
          <w:rFonts w:hint="eastAsia" w:ascii="宋体" w:hAnsi="宋体" w:cs="宋体"/>
          <w:b/>
          <w:bCs/>
          <w:color w:val="auto"/>
          <w:sz w:val="24"/>
          <w:szCs w:val="22"/>
          <w:highlight w:val="none"/>
          <w:lang w:val="en-US" w:eastAsia="zh-CN"/>
        </w:rPr>
        <w:t>2</w:t>
      </w:r>
      <w:r>
        <w:rPr>
          <w:rFonts w:ascii="宋体" w:hAnsi="宋体" w:cs="宋体"/>
          <w:b/>
          <w:bCs/>
          <w:color w:val="auto"/>
          <w:sz w:val="24"/>
          <w:szCs w:val="22"/>
          <w:highlight w:val="none"/>
        </w:rPr>
        <w:t>．投标人</w:t>
      </w:r>
      <w:r>
        <w:rPr>
          <w:rFonts w:hint="eastAsia" w:ascii="宋体" w:hAnsi="宋体" w:cs="宋体"/>
          <w:b/>
          <w:bCs/>
          <w:color w:val="auto"/>
          <w:sz w:val="24"/>
          <w:szCs w:val="22"/>
          <w:highlight w:val="none"/>
        </w:rPr>
        <w:t>在</w:t>
      </w:r>
      <w:r>
        <w:rPr>
          <w:rFonts w:ascii="宋体" w:hAnsi="宋体" w:cs="宋体"/>
          <w:b/>
          <w:bCs/>
          <w:color w:val="auto"/>
          <w:sz w:val="24"/>
          <w:szCs w:val="22"/>
          <w:highlight w:val="none"/>
        </w:rPr>
        <w:t>投标文件中提供的资料必须</w:t>
      </w:r>
      <w:r>
        <w:rPr>
          <w:rFonts w:ascii="宋体" w:hAnsi="宋体" w:cs="宋体"/>
          <w:b/>
          <w:bCs/>
          <w:color w:val="auto"/>
          <w:sz w:val="24"/>
          <w:szCs w:val="22"/>
          <w:highlight w:val="none"/>
          <w:u w:val="none"/>
        </w:rPr>
        <w:t>为原件彩色扫描件，</w:t>
      </w:r>
      <w:r>
        <w:rPr>
          <w:rFonts w:ascii="宋体" w:hAnsi="宋体" w:cs="宋体"/>
          <w:b/>
          <w:bCs/>
          <w:color w:val="auto"/>
          <w:sz w:val="24"/>
          <w:szCs w:val="22"/>
          <w:highlight w:val="none"/>
        </w:rPr>
        <w:t>关键信息齐全、清晰可辨（钢印除外)。</w:t>
      </w:r>
    </w:p>
    <w:p w14:paraId="28C290C1">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十一、投标文件签署：</w:t>
      </w:r>
    </w:p>
    <w:p w14:paraId="7E987735">
      <w:pPr>
        <w:spacing w:line="360" w:lineRule="auto"/>
        <w:rPr>
          <w:rFonts w:ascii="宋体" w:hAnsi="宋体" w:cs="宋体"/>
          <w:color w:val="auto"/>
          <w:highlight w:val="none"/>
        </w:rPr>
      </w:pPr>
      <w:r>
        <w:rPr>
          <w:rFonts w:ascii="宋体" w:hAnsi="宋体" w:cs="宋体"/>
          <w:b/>
          <w:bCs/>
          <w:color w:val="auto"/>
          <w:sz w:val="24"/>
          <w:szCs w:val="24"/>
          <w:highlight w:val="none"/>
        </w:rPr>
        <w:t xml:space="preserve">    1．投标人应按照投标人须知准备电子投标文件，若</w:t>
      </w:r>
      <w:r>
        <w:rPr>
          <w:rFonts w:hint="eastAsia" w:ascii="宋体" w:hAnsi="宋体" w:cs="宋体"/>
          <w:b/>
          <w:bCs/>
          <w:color w:val="auto"/>
          <w:sz w:val="24"/>
          <w:szCs w:val="24"/>
          <w:highlight w:val="none"/>
        </w:rPr>
        <w:t>需</w:t>
      </w:r>
      <w:r>
        <w:rPr>
          <w:rFonts w:ascii="宋体" w:hAnsi="宋体" w:cs="宋体"/>
          <w:b/>
          <w:bCs/>
          <w:color w:val="auto"/>
          <w:sz w:val="24"/>
          <w:szCs w:val="24"/>
          <w:highlight w:val="none"/>
        </w:rPr>
        <w:t>补充、修改投标文件的，须先</w:t>
      </w:r>
      <w:r>
        <w:rPr>
          <w:rFonts w:ascii="宋体" w:hAnsi="宋体" w:cs="宋体"/>
          <w:color w:val="auto"/>
          <w:sz w:val="24"/>
          <w:highlight w:val="none"/>
        </w:rPr>
        <w:t>撤回投标文件，重新编制（即补充、修改）投标文件，在投标截止时间前完成投标文件的传输提交，以最终上传版本为准</w:t>
      </w:r>
      <w:r>
        <w:rPr>
          <w:rFonts w:ascii="宋体" w:hAnsi="宋体" w:cs="宋体"/>
          <w:color w:val="auto"/>
          <w:sz w:val="24"/>
          <w:szCs w:val="24"/>
          <w:highlight w:val="none"/>
        </w:rPr>
        <w:t>。</w:t>
      </w:r>
    </w:p>
    <w:p w14:paraId="0BFDC3A9">
      <w:pPr>
        <w:spacing w:line="360" w:lineRule="auto"/>
        <w:ind w:firstLine="480"/>
        <w:rPr>
          <w:rFonts w:ascii="宋体" w:hAnsi="宋体" w:cs="宋体"/>
          <w:b/>
          <w:bCs/>
          <w:color w:val="auto"/>
          <w:sz w:val="32"/>
          <w:highlight w:val="none"/>
        </w:rPr>
      </w:pPr>
      <w:r>
        <w:rPr>
          <w:rFonts w:ascii="宋体" w:hAnsi="宋体" w:cs="宋体"/>
          <w:color w:val="auto"/>
          <w:sz w:val="24"/>
          <w:szCs w:val="24"/>
          <w:highlight w:val="none"/>
        </w:rPr>
        <w:t>2．投标文件须加盖电子签章之处，应按要求加盖投标人数字证书的电子签章。其他需要盖章但未明确要求电子签章的，投标人可按要求加盖公章后上传材料电子</w:t>
      </w:r>
      <w:r>
        <w:rPr>
          <w:rFonts w:hint="eastAsia" w:ascii="宋体" w:hAnsi="宋体" w:cs="宋体"/>
          <w:color w:val="auto"/>
          <w:sz w:val="24"/>
          <w:szCs w:val="24"/>
          <w:highlight w:val="none"/>
        </w:rPr>
        <w:t>版</w:t>
      </w:r>
      <w:r>
        <w:rPr>
          <w:rFonts w:ascii="宋体" w:hAnsi="宋体" w:cs="宋体"/>
          <w:color w:val="auto"/>
          <w:sz w:val="24"/>
          <w:szCs w:val="24"/>
          <w:highlight w:val="none"/>
        </w:rPr>
        <w:t>或直接加盖电子签章。</w:t>
      </w:r>
    </w:p>
    <w:p w14:paraId="125976A6">
      <w:pPr>
        <w:spacing w:line="360" w:lineRule="auto"/>
        <w:jc w:val="center"/>
        <w:rPr>
          <w:rFonts w:ascii="宋体" w:hAnsi="宋体" w:cs="宋体"/>
          <w:color w:val="auto"/>
          <w:sz w:val="24"/>
          <w:szCs w:val="24"/>
          <w:highlight w:val="none"/>
        </w:rPr>
      </w:pPr>
      <w:r>
        <w:rPr>
          <w:rFonts w:ascii="宋体" w:hAnsi="宋体" w:cs="宋体"/>
          <w:b/>
          <w:bCs/>
          <w:color w:val="auto"/>
          <w:sz w:val="32"/>
          <w:highlight w:val="none"/>
        </w:rPr>
        <w:t>（四）投标文件递交</w:t>
      </w:r>
    </w:p>
    <w:p w14:paraId="339D7F4A">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十二、投标文件的递交：</w:t>
      </w:r>
    </w:p>
    <w:p w14:paraId="121BD01D">
      <w:pPr>
        <w:spacing w:line="360" w:lineRule="auto"/>
        <w:ind w:firstLine="480"/>
        <w:contextualSpacing/>
        <w:jc w:val="left"/>
        <w:rPr>
          <w:rFonts w:ascii="宋体" w:hAnsi="宋体" w:cs="宋体"/>
          <w:color w:val="auto"/>
          <w:sz w:val="24"/>
          <w:szCs w:val="24"/>
          <w:highlight w:val="none"/>
        </w:rPr>
      </w:pPr>
      <w:r>
        <w:rPr>
          <w:rFonts w:ascii="宋体" w:hAnsi="宋体" w:cs="宋体"/>
          <w:color w:val="auto"/>
          <w:sz w:val="24"/>
          <w:szCs w:val="24"/>
          <w:highlight w:val="none"/>
        </w:rPr>
        <w:t>1.投标人应在招标文件规定的投标文件提交截止时间前完成投标文件的提交。电子档投标文件的提交是指</w:t>
      </w:r>
      <w:r>
        <w:rPr>
          <w:rFonts w:hint="eastAsia" w:ascii="宋体" w:hAnsi="宋体" w:cs="宋体"/>
          <w:color w:val="auto"/>
          <w:sz w:val="24"/>
          <w:szCs w:val="24"/>
          <w:highlight w:val="none"/>
        </w:rPr>
        <w:t>在</w:t>
      </w:r>
      <w:r>
        <w:rPr>
          <w:rFonts w:ascii="宋体" w:hAnsi="宋体" w:cs="宋体"/>
          <w:color w:val="auto"/>
          <w:sz w:val="24"/>
          <w:szCs w:val="24"/>
          <w:highlight w:val="none"/>
        </w:rPr>
        <w:t>截止时间前完成投标文件的上传。</w:t>
      </w:r>
    </w:p>
    <w:p w14:paraId="10D74011">
      <w:pPr>
        <w:spacing w:line="360" w:lineRule="auto"/>
        <w:ind w:firstLine="480"/>
        <w:contextualSpacing/>
        <w:jc w:val="left"/>
        <w:rPr>
          <w:rFonts w:ascii="宋体" w:hAnsi="宋体" w:cs="宋体"/>
          <w:color w:val="auto"/>
          <w:sz w:val="24"/>
          <w:szCs w:val="24"/>
          <w:highlight w:val="none"/>
        </w:rPr>
      </w:pPr>
      <w:r>
        <w:rPr>
          <w:rFonts w:ascii="宋体" w:hAnsi="宋体" w:cs="宋体"/>
          <w:color w:val="auto"/>
          <w:sz w:val="24"/>
          <w:szCs w:val="24"/>
          <w:highlight w:val="none"/>
        </w:rPr>
        <w:t>2.投标人提交投标文件的地点：见投标人须知前附表。</w:t>
      </w:r>
    </w:p>
    <w:p w14:paraId="44D1C07C">
      <w:pPr>
        <w:spacing w:line="360" w:lineRule="auto"/>
        <w:ind w:firstLine="480"/>
        <w:contextualSpacing/>
        <w:jc w:val="left"/>
        <w:rPr>
          <w:rFonts w:ascii="宋体" w:hAnsi="宋体" w:cs="宋体"/>
          <w:color w:val="auto"/>
          <w:sz w:val="24"/>
          <w:szCs w:val="24"/>
          <w:highlight w:val="none"/>
        </w:rPr>
      </w:pPr>
      <w:r>
        <w:rPr>
          <w:rFonts w:ascii="宋体" w:hAnsi="宋体" w:cs="宋体"/>
          <w:color w:val="auto"/>
          <w:sz w:val="24"/>
          <w:szCs w:val="24"/>
          <w:highlight w:val="none"/>
        </w:rPr>
        <w:t>3.除招标文件另有规定外，投标人所提交的投标文件不予退还。</w:t>
      </w:r>
    </w:p>
    <w:p w14:paraId="35D11387">
      <w:pPr>
        <w:spacing w:line="360" w:lineRule="auto"/>
        <w:ind w:firstLine="480"/>
        <w:contextualSpacing/>
        <w:jc w:val="left"/>
        <w:rPr>
          <w:rFonts w:ascii="宋体" w:hAnsi="宋体" w:cs="宋体"/>
          <w:b/>
          <w:bCs/>
          <w:color w:val="auto"/>
          <w:sz w:val="24"/>
          <w:szCs w:val="24"/>
          <w:highlight w:val="none"/>
        </w:rPr>
      </w:pPr>
      <w:r>
        <w:rPr>
          <w:rFonts w:ascii="宋体" w:hAnsi="宋体" w:cs="宋体"/>
          <w:color w:val="auto"/>
          <w:sz w:val="24"/>
          <w:szCs w:val="24"/>
          <w:highlight w:val="none"/>
        </w:rPr>
        <w:t>4.</w:t>
      </w:r>
      <w:r>
        <w:rPr>
          <w:rFonts w:ascii="宋体" w:hAnsi="宋体" w:cs="宋体"/>
          <w:b/>
          <w:bCs/>
          <w:color w:val="auto"/>
          <w:sz w:val="24"/>
          <w:szCs w:val="24"/>
          <w:highlight w:val="none"/>
        </w:rPr>
        <w:t>中标单位在中标结果公告后、领取中标通知书前必须提供与投标文件电子标书一致的纸质投标文件加盖投标人单位公章并装订成册（共</w:t>
      </w:r>
      <w:r>
        <w:rPr>
          <w:rFonts w:hint="eastAsia" w:ascii="宋体" w:hAnsi="宋体" w:cs="宋体"/>
          <w:b/>
          <w:bCs/>
          <w:color w:val="auto"/>
          <w:sz w:val="24"/>
          <w:szCs w:val="24"/>
          <w:highlight w:val="none"/>
          <w:lang w:val="en-US" w:eastAsia="zh-CN"/>
        </w:rPr>
        <w:t>三</w:t>
      </w:r>
      <w:r>
        <w:rPr>
          <w:rFonts w:ascii="宋体" w:hAnsi="宋体" w:cs="宋体"/>
          <w:b/>
          <w:bCs/>
          <w:color w:val="auto"/>
          <w:sz w:val="24"/>
          <w:szCs w:val="24"/>
          <w:highlight w:val="none"/>
        </w:rPr>
        <w:t>套：正本一套、副本</w:t>
      </w:r>
      <w:r>
        <w:rPr>
          <w:rFonts w:hint="eastAsia" w:ascii="宋体" w:hAnsi="宋体" w:cs="宋体"/>
          <w:b/>
          <w:bCs/>
          <w:color w:val="auto"/>
          <w:sz w:val="24"/>
          <w:szCs w:val="24"/>
          <w:highlight w:val="none"/>
          <w:lang w:val="en-US" w:eastAsia="zh-CN"/>
        </w:rPr>
        <w:t>两</w:t>
      </w:r>
      <w:r>
        <w:rPr>
          <w:rFonts w:ascii="宋体" w:hAnsi="宋体" w:cs="宋体"/>
          <w:b/>
          <w:bCs/>
          <w:color w:val="auto"/>
          <w:sz w:val="24"/>
          <w:szCs w:val="24"/>
          <w:highlight w:val="none"/>
        </w:rPr>
        <w:t>套）以供</w:t>
      </w:r>
      <w:r>
        <w:rPr>
          <w:rFonts w:hint="eastAsia" w:ascii="宋体" w:hAnsi="宋体" w:cs="宋体"/>
          <w:b/>
          <w:bCs/>
          <w:color w:val="auto"/>
          <w:sz w:val="24"/>
          <w:szCs w:val="24"/>
          <w:highlight w:val="none"/>
          <w:lang w:eastAsia="zh-CN"/>
        </w:rPr>
        <w:t>采购人</w:t>
      </w:r>
      <w:r>
        <w:rPr>
          <w:rFonts w:ascii="宋体" w:hAnsi="宋体" w:cs="宋体"/>
          <w:b/>
          <w:bCs/>
          <w:color w:val="auto"/>
          <w:sz w:val="24"/>
          <w:szCs w:val="24"/>
          <w:highlight w:val="none"/>
        </w:rPr>
        <w:t>、</w:t>
      </w:r>
      <w:r>
        <w:rPr>
          <w:rFonts w:hint="eastAsia" w:ascii="宋体" w:hAnsi="宋体" w:cs="宋体"/>
          <w:b/>
          <w:bCs/>
          <w:color w:val="auto"/>
          <w:sz w:val="24"/>
          <w:szCs w:val="24"/>
          <w:highlight w:val="none"/>
          <w:lang w:eastAsia="zh-CN"/>
        </w:rPr>
        <w:t>采购代理</w:t>
      </w:r>
      <w:r>
        <w:rPr>
          <w:rFonts w:ascii="宋体" w:hAnsi="宋体" w:cs="宋体"/>
          <w:b/>
          <w:bCs/>
          <w:color w:val="auto"/>
          <w:sz w:val="24"/>
          <w:szCs w:val="24"/>
          <w:highlight w:val="none"/>
        </w:rPr>
        <w:t>机构存档。纸质投标文件必须保证与评标时的电子标书完全一致。</w:t>
      </w:r>
    </w:p>
    <w:p w14:paraId="050AAE2C">
      <w:pPr>
        <w:spacing w:line="360" w:lineRule="auto"/>
        <w:contextualSpacing/>
        <w:jc w:val="left"/>
        <w:rPr>
          <w:rFonts w:ascii="宋体" w:hAnsi="宋体" w:cs="宋体"/>
          <w:b/>
          <w:bCs/>
          <w:color w:val="auto"/>
          <w:sz w:val="24"/>
          <w:szCs w:val="24"/>
          <w:highlight w:val="none"/>
        </w:rPr>
      </w:pPr>
      <w:r>
        <w:rPr>
          <w:rFonts w:ascii="宋体" w:hAnsi="宋体" w:cs="宋体"/>
          <w:b/>
          <w:bCs/>
          <w:color w:val="auto"/>
          <w:sz w:val="24"/>
          <w:szCs w:val="24"/>
          <w:highlight w:val="none"/>
        </w:rPr>
        <w:t>十三、投标文件的拒收：</w:t>
      </w:r>
    </w:p>
    <w:p w14:paraId="7951C07D">
      <w:pPr>
        <w:spacing w:line="360" w:lineRule="auto"/>
        <w:ind w:firstLine="480"/>
        <w:rPr>
          <w:rFonts w:ascii="宋体" w:hAnsi="宋体" w:cs="宋体"/>
          <w:color w:val="auto"/>
          <w:sz w:val="24"/>
          <w:highlight w:val="none"/>
        </w:rPr>
      </w:pPr>
      <w:r>
        <w:rPr>
          <w:rFonts w:ascii="宋体" w:hAnsi="宋体" w:cs="宋体"/>
          <w:color w:val="auto"/>
          <w:sz w:val="24"/>
          <w:highlight w:val="none"/>
        </w:rPr>
        <w:t>拒绝接收在规定的投标截止时间后上传的任何投标文件。</w:t>
      </w:r>
    </w:p>
    <w:p w14:paraId="22D5DF71">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十四、投标文件的修改与撤回：</w:t>
      </w:r>
    </w:p>
    <w:p w14:paraId="5B2FD055">
      <w:pPr>
        <w:spacing w:line="360" w:lineRule="auto"/>
        <w:ind w:firstLine="480"/>
        <w:rPr>
          <w:rFonts w:ascii="宋体" w:hAnsi="宋体" w:cs="宋体"/>
          <w:color w:val="auto"/>
          <w:sz w:val="24"/>
          <w:highlight w:val="none"/>
        </w:rPr>
      </w:pPr>
      <w:r>
        <w:rPr>
          <w:rFonts w:ascii="宋体" w:hAnsi="宋体" w:cs="宋体"/>
          <w:color w:val="auto"/>
          <w:sz w:val="24"/>
          <w:highlight w:val="none"/>
        </w:rPr>
        <w:t>1．投标文件的撤回</w:t>
      </w:r>
    </w:p>
    <w:p w14:paraId="4BC62E01">
      <w:pPr>
        <w:spacing w:line="360" w:lineRule="auto"/>
        <w:ind w:firstLine="480"/>
        <w:rPr>
          <w:rFonts w:ascii="宋体" w:hAnsi="宋体" w:cs="宋体"/>
          <w:color w:val="auto"/>
          <w:sz w:val="24"/>
          <w:highlight w:val="none"/>
        </w:rPr>
      </w:pPr>
      <w:r>
        <w:rPr>
          <w:rFonts w:ascii="宋体" w:hAnsi="宋体" w:cs="宋体"/>
          <w:color w:val="auto"/>
          <w:sz w:val="24"/>
          <w:highlight w:val="none"/>
        </w:rPr>
        <w:t>（1）电子投标文件的撤回</w:t>
      </w:r>
    </w:p>
    <w:p w14:paraId="4B1B831D">
      <w:pPr>
        <w:spacing w:line="360" w:lineRule="auto"/>
        <w:ind w:firstLine="480"/>
        <w:rPr>
          <w:rFonts w:ascii="宋体" w:hAnsi="宋体" w:cs="宋体"/>
          <w:color w:val="auto"/>
          <w:sz w:val="24"/>
          <w:highlight w:val="none"/>
        </w:rPr>
      </w:pPr>
      <w:r>
        <w:rPr>
          <w:rFonts w:ascii="宋体" w:hAnsi="宋体" w:cs="宋体"/>
          <w:color w:val="auto"/>
          <w:sz w:val="24"/>
          <w:highlight w:val="none"/>
        </w:rPr>
        <w:t>投标人可在投标截止时间前，撤回其电子投标文件，具体操作方法见《操作手册》。</w:t>
      </w:r>
    </w:p>
    <w:p w14:paraId="6980BAC6">
      <w:pPr>
        <w:spacing w:line="360" w:lineRule="auto"/>
        <w:ind w:firstLine="480"/>
        <w:rPr>
          <w:rFonts w:ascii="宋体" w:hAnsi="宋体" w:cs="宋体"/>
          <w:color w:val="auto"/>
          <w:sz w:val="24"/>
          <w:highlight w:val="none"/>
        </w:rPr>
      </w:pPr>
      <w:r>
        <w:rPr>
          <w:rFonts w:ascii="宋体" w:hAnsi="宋体" w:cs="宋体"/>
          <w:color w:val="auto"/>
          <w:sz w:val="24"/>
          <w:highlight w:val="none"/>
        </w:rPr>
        <w:t>（2）投标人撤回电子投标文件，则</w:t>
      </w:r>
      <w:r>
        <w:rPr>
          <w:rFonts w:hint="eastAsia" w:ascii="宋体" w:hAnsi="宋体" w:cs="宋体"/>
          <w:color w:val="auto"/>
          <w:sz w:val="24"/>
          <w:highlight w:val="none"/>
        </w:rPr>
        <w:t>视为</w:t>
      </w:r>
      <w:r>
        <w:rPr>
          <w:rFonts w:ascii="宋体" w:hAnsi="宋体" w:cs="宋体"/>
          <w:color w:val="auto"/>
          <w:sz w:val="24"/>
          <w:highlight w:val="none"/>
        </w:rPr>
        <w:t>其不再参与本项目投标活动。</w:t>
      </w:r>
    </w:p>
    <w:p w14:paraId="2883EFF5">
      <w:pPr>
        <w:spacing w:line="360" w:lineRule="auto"/>
        <w:ind w:firstLine="480"/>
        <w:rPr>
          <w:rFonts w:ascii="宋体" w:hAnsi="宋体" w:cs="宋体"/>
          <w:color w:val="auto"/>
          <w:sz w:val="24"/>
          <w:highlight w:val="none"/>
        </w:rPr>
      </w:pPr>
      <w:r>
        <w:rPr>
          <w:rFonts w:ascii="宋体" w:hAnsi="宋体" w:cs="宋体"/>
          <w:color w:val="auto"/>
          <w:sz w:val="24"/>
          <w:highlight w:val="none"/>
        </w:rPr>
        <w:t>2．投标文件的修改</w:t>
      </w:r>
    </w:p>
    <w:p w14:paraId="32EABC2B">
      <w:pPr>
        <w:spacing w:line="360" w:lineRule="auto"/>
        <w:ind w:firstLine="480"/>
        <w:rPr>
          <w:rFonts w:ascii="宋体" w:hAnsi="宋体" w:cs="宋体"/>
          <w:color w:val="auto"/>
          <w:sz w:val="24"/>
          <w:highlight w:val="none"/>
        </w:rPr>
      </w:pPr>
      <w:r>
        <w:rPr>
          <w:rFonts w:ascii="宋体" w:hAnsi="宋体" w:cs="宋体"/>
          <w:color w:val="auto"/>
          <w:sz w:val="24"/>
          <w:highlight w:val="none"/>
        </w:rPr>
        <w:t>（1）投标人可在投标截止时间前，对其电子投标文件进行修改，具体操作方法见《操作手册》。</w:t>
      </w:r>
    </w:p>
    <w:p w14:paraId="2D835A66">
      <w:pPr>
        <w:spacing w:line="360" w:lineRule="auto"/>
        <w:ind w:firstLine="480"/>
        <w:rPr>
          <w:rFonts w:ascii="宋体" w:hAnsi="宋体" w:cs="宋体"/>
          <w:color w:val="auto"/>
          <w:sz w:val="24"/>
          <w:szCs w:val="24"/>
          <w:highlight w:val="none"/>
        </w:rPr>
      </w:pPr>
      <w:r>
        <w:rPr>
          <w:rFonts w:ascii="宋体" w:hAnsi="宋体" w:cs="宋体"/>
          <w:color w:val="auto"/>
          <w:sz w:val="24"/>
          <w:highlight w:val="none"/>
        </w:rPr>
        <w:t>（2）</w:t>
      </w:r>
      <w:r>
        <w:rPr>
          <w:rFonts w:ascii="宋体" w:hAnsi="宋体" w:cs="宋体"/>
          <w:color w:val="auto"/>
          <w:sz w:val="24"/>
          <w:szCs w:val="24"/>
          <w:highlight w:val="none"/>
        </w:rPr>
        <w:t>在投标截止时间之后，投标人不得对其电子投标文件作任何修改。</w:t>
      </w:r>
    </w:p>
    <w:p w14:paraId="2386E868">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（3）在投标截止时间至招标文件中规定的投标有效期</w:t>
      </w:r>
      <w:r>
        <w:rPr>
          <w:rFonts w:hint="eastAsia" w:ascii="宋体" w:hAnsi="宋体" w:cs="宋体"/>
          <w:color w:val="auto"/>
          <w:sz w:val="24"/>
          <w:szCs w:val="24"/>
          <w:highlight w:val="none"/>
        </w:rPr>
        <w:t>届</w:t>
      </w:r>
      <w:r>
        <w:rPr>
          <w:rFonts w:ascii="宋体" w:hAnsi="宋体" w:cs="宋体"/>
          <w:color w:val="auto"/>
          <w:sz w:val="24"/>
          <w:szCs w:val="24"/>
          <w:highlight w:val="none"/>
        </w:rPr>
        <w:t>满之间的这段时间内，投标人不得撤回其投标。</w:t>
      </w:r>
    </w:p>
    <w:p w14:paraId="6BE6C145">
      <w:pPr>
        <w:spacing w:line="360" w:lineRule="auto"/>
        <w:jc w:val="center"/>
        <w:rPr>
          <w:rFonts w:ascii="宋体" w:hAnsi="宋体" w:cs="宋体"/>
          <w:b/>
          <w:bCs/>
          <w:color w:val="auto"/>
          <w:sz w:val="32"/>
          <w:szCs w:val="22"/>
          <w:highlight w:val="none"/>
        </w:rPr>
      </w:pPr>
      <w:r>
        <w:rPr>
          <w:rFonts w:ascii="宋体" w:hAnsi="宋体" w:cs="宋体"/>
          <w:b/>
          <w:bCs/>
          <w:color w:val="auto"/>
          <w:sz w:val="32"/>
          <w:szCs w:val="22"/>
          <w:highlight w:val="none"/>
        </w:rPr>
        <w:t>（五）开标、评标、定标</w:t>
      </w:r>
    </w:p>
    <w:p w14:paraId="0F323E6A">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十五、开标</w:t>
      </w:r>
    </w:p>
    <w:p w14:paraId="0D0B6AE4">
      <w:pPr>
        <w:spacing w:line="360" w:lineRule="auto"/>
        <w:ind w:firstLine="360"/>
        <w:rPr>
          <w:rFonts w:ascii="宋体" w:hAnsi="宋体" w:cs="宋体"/>
          <w:color w:val="auto"/>
          <w:highlight w:val="none"/>
        </w:rPr>
      </w:pPr>
      <w:r>
        <w:rPr>
          <w:rFonts w:ascii="宋体" w:hAnsi="宋体" w:cs="宋体"/>
          <w:bCs/>
          <w:color w:val="auto"/>
          <w:sz w:val="24"/>
          <w:highlight w:val="none"/>
        </w:rPr>
        <w:t>1．开标按招标文件规定的时间、地点公开进行，开标会议由</w:t>
      </w:r>
      <w:r>
        <w:rPr>
          <w:rFonts w:ascii="宋体" w:hAnsi="宋体" w:cs="宋体"/>
          <w:bCs/>
          <w:color w:val="auto"/>
          <w:sz w:val="24"/>
          <w:szCs w:val="24"/>
          <w:highlight w:val="none"/>
        </w:rPr>
        <w:t>采购</w:t>
      </w:r>
      <w:r>
        <w:rPr>
          <w:rFonts w:ascii="宋体" w:hAnsi="宋体" w:cs="宋体"/>
          <w:bCs/>
          <w:color w:val="auto"/>
          <w:sz w:val="24"/>
          <w:highlight w:val="none"/>
        </w:rPr>
        <w:t>代理主持，邀请所有投标人参加</w:t>
      </w:r>
      <w:r>
        <w:rPr>
          <w:rFonts w:ascii="宋体" w:hAnsi="宋体" w:cs="宋体"/>
          <w:color w:val="auto"/>
          <w:sz w:val="24"/>
          <w:szCs w:val="24"/>
          <w:highlight w:val="none"/>
        </w:rPr>
        <w:t>。投标人应当按照《操作手册》规定参加开标活动并在苏采云系统规定的时间内对投标文件进行解密。</w:t>
      </w:r>
    </w:p>
    <w:p w14:paraId="381116A9">
      <w:pPr>
        <w:spacing w:line="360" w:lineRule="auto"/>
        <w:ind w:firstLine="480"/>
        <w:rPr>
          <w:rFonts w:ascii="宋体" w:hAnsi="宋体" w:cs="宋体"/>
          <w:color w:val="auto"/>
          <w:sz w:val="24"/>
          <w:szCs w:val="24"/>
          <w:highlight w:val="none"/>
        </w:rPr>
      </w:pPr>
      <w:r>
        <w:rPr>
          <w:rFonts w:ascii="宋体" w:hAnsi="宋体" w:cs="宋体"/>
          <w:bCs/>
          <w:color w:val="auto"/>
          <w:sz w:val="24"/>
          <w:szCs w:val="24"/>
          <w:highlight w:val="none"/>
        </w:rPr>
        <w:t>2．开标仪式由采购代理机构组织</w:t>
      </w:r>
      <w:r>
        <w:rPr>
          <w:rFonts w:ascii="宋体" w:hAnsi="宋体" w:cs="宋体"/>
          <w:color w:val="auto"/>
          <w:sz w:val="24"/>
          <w:szCs w:val="24"/>
          <w:highlight w:val="none"/>
        </w:rPr>
        <w:t>。苏采云系统将自动对项目进行开标，并宣读各投标人的《开标一览表》。</w:t>
      </w:r>
    </w:p>
    <w:p w14:paraId="37ED246E">
      <w:pPr>
        <w:spacing w:line="360" w:lineRule="auto"/>
        <w:ind w:firstLine="480"/>
        <w:rPr>
          <w:rFonts w:ascii="宋体" w:hAnsi="宋体" w:cs="宋体"/>
          <w:color w:val="auto"/>
          <w:sz w:val="24"/>
          <w:szCs w:val="24"/>
          <w:highlight w:val="none"/>
        </w:rPr>
      </w:pPr>
      <w:r>
        <w:rPr>
          <w:rFonts w:ascii="宋体" w:hAnsi="宋体" w:cs="宋体"/>
          <w:bCs/>
          <w:color w:val="auto"/>
          <w:sz w:val="24"/>
          <w:highlight w:val="none"/>
        </w:rPr>
        <w:t>3．投标人在开标过程中涉及的投标文件解密、开标结果确认等工作，应按照《操作手册》规定执行。</w:t>
      </w:r>
    </w:p>
    <w:p w14:paraId="616921FC">
      <w:pPr>
        <w:spacing w:line="360" w:lineRule="auto"/>
        <w:ind w:firstLine="480"/>
        <w:rPr>
          <w:rFonts w:ascii="宋体" w:hAnsi="宋体" w:cs="宋体"/>
          <w:bCs/>
          <w:color w:val="auto"/>
          <w:sz w:val="24"/>
          <w:szCs w:val="24"/>
          <w:highlight w:val="none"/>
        </w:rPr>
      </w:pPr>
      <w:r>
        <w:rPr>
          <w:rFonts w:ascii="宋体" w:hAnsi="宋体" w:cs="宋体"/>
          <w:bCs/>
          <w:color w:val="auto"/>
          <w:sz w:val="24"/>
          <w:szCs w:val="24"/>
          <w:highlight w:val="none"/>
        </w:rPr>
        <w:t>4．投标人如果对开标过程和开标记录有疑义，应当根据《操作手册》规定提出，如苏采云系统中《开标记录表》宣布后5分钟内未提出的，视同认可开标结果。</w:t>
      </w:r>
    </w:p>
    <w:p w14:paraId="7DFF5838">
      <w:pPr>
        <w:spacing w:line="360" w:lineRule="auto"/>
        <w:ind w:firstLine="480"/>
        <w:rPr>
          <w:rFonts w:ascii="宋体" w:hAnsi="宋体" w:cs="宋体"/>
          <w:bCs/>
          <w:color w:val="auto"/>
          <w:sz w:val="24"/>
          <w:szCs w:val="24"/>
          <w:highlight w:val="none"/>
        </w:rPr>
      </w:pPr>
      <w:r>
        <w:rPr>
          <w:rFonts w:ascii="宋体" w:hAnsi="宋体" w:cs="宋体"/>
          <w:bCs/>
          <w:color w:val="auto"/>
          <w:sz w:val="24"/>
          <w:szCs w:val="24"/>
          <w:highlight w:val="none"/>
        </w:rPr>
        <w:t>5．开标时，投标文件中开标一览表内容与投标文件中明细表内容不一致的，以开标一览表为准。</w:t>
      </w:r>
    </w:p>
    <w:p w14:paraId="666E283E">
      <w:pPr>
        <w:spacing w:line="360" w:lineRule="auto"/>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6．投标人未参加开标的，视同认可开标结果。 </w:t>
      </w:r>
    </w:p>
    <w:p w14:paraId="1D2F22A6">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十六、有下列情形之一的，采购人将不予受理：</w:t>
      </w:r>
    </w:p>
    <w:p w14:paraId="59EF4C74">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1．未按照招标文件要求逾期递交电子投标文件。</w:t>
      </w:r>
    </w:p>
    <w:p w14:paraId="3C886394">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十七、投标人或投标文件存在重大偏差的，应作无效投标文件处理。下列情况属于重大偏差：</w:t>
      </w:r>
    </w:p>
    <w:p w14:paraId="47D3CEF2">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投标人在苏采云系统规定的时间内未成功解密电子投标文件的；</w:t>
      </w:r>
    </w:p>
    <w:p w14:paraId="40213C6A">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投标人未按照招标文件要求上传电子投标文件的；</w:t>
      </w:r>
    </w:p>
    <w:p w14:paraId="517384DA">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投标文件中有招标文件未允许提供的选择性内容；</w:t>
      </w:r>
    </w:p>
    <w:p w14:paraId="4073A48F">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投标人不具备本招标文件中规定的资格要求的；</w:t>
      </w:r>
    </w:p>
    <w:p w14:paraId="44695CB6">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投标人的报价超过了采购预算或最高限价的；</w:t>
      </w:r>
    </w:p>
    <w:p w14:paraId="32567D19">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未通过符合性审查的；</w:t>
      </w:r>
    </w:p>
    <w:p w14:paraId="38555C3B">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不符合招标文件中规定的实质性要求和条件的（本招标文件中有下划线部分为实质性要求和条件）；</w:t>
      </w:r>
    </w:p>
    <w:p w14:paraId="5156A1AA">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8.</w:t>
      </w:r>
      <w:r>
        <w:rPr>
          <w:rFonts w:hint="eastAsia" w:ascii="宋体" w:hAnsi="宋体" w:cs="宋体"/>
          <w:b/>
          <w:bCs/>
          <w:color w:val="auto"/>
          <w:sz w:val="24"/>
          <w:szCs w:val="24"/>
          <w:highlight w:val="none"/>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B054719">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投标文件中含有采购人不能接受的附加条件的；</w:t>
      </w:r>
    </w:p>
    <w:p w14:paraId="32C74A24">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10.</w:t>
      </w:r>
      <w:r>
        <w:rPr>
          <w:rFonts w:hint="eastAsia" w:ascii="宋体" w:hAnsi="宋体" w:cs="宋体"/>
          <w:b/>
          <w:bCs/>
          <w:color w:val="auto"/>
          <w:sz w:val="24"/>
          <w:szCs w:val="24"/>
          <w:highlight w:val="none"/>
        </w:rPr>
        <w:t>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p>
    <w:p w14:paraId="630CAAAD">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11.</w:t>
      </w:r>
      <w:r>
        <w:rPr>
          <w:rFonts w:hint="eastAsia" w:ascii="宋体" w:hAnsi="宋体" w:cs="宋体"/>
          <w:b/>
          <w:bCs/>
          <w:color w:val="auto"/>
          <w:sz w:val="24"/>
          <w:szCs w:val="24"/>
          <w:highlight w:val="none"/>
        </w:rPr>
        <w:t>评标委员会认定投标人的报价为异常低价，应当要求相关投标人在规定时间内，提供项目具体成本测算等与报价合理性相关的书面说明及相关证明材料，对投标价格作出解释；投标人不提供书面说明、证明材料，或者提供的书面说明、证明材料不能证明其报价合理性的，评标委员会应当将其作为无效投标处理；</w:t>
      </w:r>
    </w:p>
    <w:p w14:paraId="117A5AD9">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12.</w:t>
      </w:r>
      <w:r>
        <w:rPr>
          <w:rFonts w:hint="eastAsia" w:ascii="宋体" w:hAnsi="宋体" w:cs="宋体"/>
          <w:b/>
          <w:bCs/>
          <w:color w:val="auto"/>
          <w:sz w:val="24"/>
          <w:szCs w:val="24"/>
          <w:highlight w:val="none"/>
        </w:rPr>
        <w:t>投标文件未按照招标文件要求加盖电子签章或签署的；</w:t>
      </w:r>
    </w:p>
    <w:p w14:paraId="71F269B3">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13.</w:t>
      </w:r>
      <w:r>
        <w:rPr>
          <w:rFonts w:hint="eastAsia" w:ascii="宋体" w:hAnsi="宋体" w:cs="宋体"/>
          <w:b/>
          <w:bCs/>
          <w:color w:val="auto"/>
          <w:sz w:val="24"/>
          <w:szCs w:val="24"/>
          <w:highlight w:val="none"/>
        </w:rPr>
        <w:t>提供虚假材料的（包括工商营业执照、财务报表、资格证明文件等）；</w:t>
      </w:r>
    </w:p>
    <w:p w14:paraId="6FB7C1F1">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14.</w:t>
      </w:r>
      <w:r>
        <w:rPr>
          <w:rFonts w:hint="eastAsia" w:ascii="宋体" w:hAnsi="宋体" w:cs="宋体"/>
          <w:b/>
          <w:bCs/>
          <w:color w:val="auto"/>
          <w:sz w:val="24"/>
          <w:szCs w:val="24"/>
          <w:highlight w:val="none"/>
        </w:rPr>
        <w:t>投标文件未按招标文件规定的内容和要求填写的；</w:t>
      </w:r>
    </w:p>
    <w:p w14:paraId="77F2DA1E">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15.</w:t>
      </w:r>
      <w:r>
        <w:rPr>
          <w:rFonts w:hint="eastAsia" w:ascii="宋体" w:hAnsi="宋体" w:cs="宋体"/>
          <w:b/>
          <w:bCs/>
          <w:color w:val="auto"/>
          <w:sz w:val="24"/>
          <w:szCs w:val="24"/>
          <w:highlight w:val="none"/>
        </w:rPr>
        <w:t>改变招标文件清单给出的类型、技术参数、数量、不可改变的金额等；</w:t>
      </w:r>
    </w:p>
    <w:p w14:paraId="2BC2A8B9">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16.</w:t>
      </w:r>
      <w:r>
        <w:rPr>
          <w:rFonts w:hint="eastAsia" w:ascii="宋体" w:hAnsi="宋体" w:cs="宋体"/>
          <w:b/>
          <w:bCs/>
          <w:color w:val="auto"/>
          <w:sz w:val="24"/>
          <w:szCs w:val="24"/>
          <w:highlight w:val="none"/>
        </w:rPr>
        <w:t>不同投标人的投标文件由同一单位或者个人编制的；</w:t>
      </w:r>
    </w:p>
    <w:p w14:paraId="15935620">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17.</w:t>
      </w:r>
      <w:r>
        <w:rPr>
          <w:rFonts w:hint="eastAsia" w:ascii="宋体" w:hAnsi="宋体" w:cs="宋体"/>
          <w:b/>
          <w:bCs/>
          <w:color w:val="auto"/>
          <w:sz w:val="24"/>
          <w:szCs w:val="24"/>
          <w:highlight w:val="none"/>
        </w:rPr>
        <w:t>不同投标人委托同一单位或者个人办理投标事宜的（包含使用同一MAC地址的计算机提交或者解密电子响应文件的情形）；</w:t>
      </w:r>
    </w:p>
    <w:p w14:paraId="7E6DD8E6">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18.</w:t>
      </w:r>
      <w:r>
        <w:rPr>
          <w:rFonts w:hint="eastAsia" w:ascii="宋体" w:hAnsi="宋体" w:cs="宋体"/>
          <w:b/>
          <w:bCs/>
          <w:color w:val="auto"/>
          <w:sz w:val="24"/>
          <w:szCs w:val="24"/>
          <w:highlight w:val="none"/>
        </w:rPr>
        <w:t>不同的投标人响应文件制作的MAC地址一致的；</w:t>
      </w:r>
    </w:p>
    <w:p w14:paraId="1D2BA53E">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19.</w:t>
      </w:r>
      <w:r>
        <w:rPr>
          <w:rFonts w:hint="eastAsia" w:ascii="宋体" w:hAnsi="宋体" w:cs="宋体"/>
          <w:b/>
          <w:bCs/>
          <w:color w:val="auto"/>
          <w:sz w:val="24"/>
          <w:szCs w:val="24"/>
          <w:highlight w:val="none"/>
        </w:rPr>
        <w:t>不同投标人的投标文件载明的项目管理成员为同一人的；</w:t>
      </w:r>
    </w:p>
    <w:p w14:paraId="2941D748">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20.</w:t>
      </w:r>
      <w:r>
        <w:rPr>
          <w:rFonts w:hint="eastAsia" w:ascii="宋体" w:hAnsi="宋体" w:cs="宋体"/>
          <w:b/>
          <w:bCs/>
          <w:color w:val="auto"/>
          <w:sz w:val="24"/>
          <w:szCs w:val="24"/>
          <w:highlight w:val="none"/>
        </w:rPr>
        <w:t>不同投标人的投标文件异常一致或者投标报价呈规律性差异的；</w:t>
      </w:r>
    </w:p>
    <w:p w14:paraId="25ECA321">
      <w:pPr>
        <w:spacing w:line="360" w:lineRule="auto"/>
        <w:ind w:firstLine="482"/>
        <w:contextualSpacing/>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21.</w:t>
      </w:r>
      <w:r>
        <w:rPr>
          <w:rFonts w:hint="eastAsia" w:ascii="宋体" w:hAnsi="宋体" w:cs="宋体"/>
          <w:b/>
          <w:bCs/>
          <w:color w:val="auto"/>
          <w:sz w:val="24"/>
          <w:szCs w:val="24"/>
          <w:highlight w:val="none"/>
        </w:rPr>
        <w:t>不同投标人的单位负责人为同一人或者存在直接控股、管理关系的；</w:t>
      </w:r>
    </w:p>
    <w:p w14:paraId="28A29DFA">
      <w:pPr>
        <w:spacing w:line="360" w:lineRule="auto"/>
        <w:ind w:firstLine="482"/>
        <w:contextualSpacing/>
        <w:jc w:val="left"/>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22.</w:t>
      </w:r>
      <w:r>
        <w:rPr>
          <w:rFonts w:hint="eastAsia" w:ascii="宋体" w:hAnsi="宋体" w:cs="宋体"/>
          <w:b/>
          <w:bCs/>
          <w:color w:val="auto"/>
          <w:sz w:val="24"/>
          <w:szCs w:val="24"/>
          <w:highlight w:val="none"/>
        </w:rPr>
        <w:t>其他法律法规及本招标文件规定的属于无效投标的情形。</w:t>
      </w:r>
    </w:p>
    <w:p w14:paraId="1B71688C">
      <w:pPr>
        <w:spacing w:line="360" w:lineRule="auto"/>
        <w:ind w:firstLine="482"/>
        <w:contextualSpacing/>
        <w:jc w:val="left"/>
        <w:rPr>
          <w:rFonts w:ascii="宋体" w:hAnsi="宋体" w:cs="宋体"/>
          <w:b/>
          <w:color w:val="auto"/>
          <w:sz w:val="24"/>
          <w:szCs w:val="24"/>
          <w:highlight w:val="none"/>
        </w:rPr>
      </w:pPr>
      <w:r>
        <w:rPr>
          <w:rFonts w:ascii="宋体" w:hAnsi="宋体" w:cs="宋体"/>
          <w:b/>
          <w:bCs/>
          <w:color w:val="auto"/>
          <w:sz w:val="24"/>
          <w:szCs w:val="24"/>
          <w:highlight w:val="none"/>
        </w:rPr>
        <w:t>凡招标文件未明确的无效标条件，评标委员会不得作为判定无效标的依据，评标委员会也不得以不符合招标文件中规定的其他实质性要求作为判定无效标的依据。</w:t>
      </w:r>
    </w:p>
    <w:p w14:paraId="16D75487">
      <w:pPr>
        <w:spacing w:line="360" w:lineRule="auto"/>
        <w:rPr>
          <w:rFonts w:ascii="宋体" w:hAnsi="宋体" w:cs="宋体"/>
          <w:color w:val="auto"/>
          <w:sz w:val="24"/>
          <w:highlight w:val="none"/>
        </w:rPr>
      </w:pPr>
      <w:r>
        <w:rPr>
          <w:rFonts w:ascii="宋体" w:hAnsi="宋体" w:cs="宋体"/>
          <w:color w:val="auto"/>
          <w:sz w:val="24"/>
          <w:highlight w:val="none"/>
        </w:rPr>
        <w:t>十八、</w:t>
      </w:r>
      <w:r>
        <w:rPr>
          <w:rFonts w:ascii="宋体" w:hAnsi="宋体" w:cs="宋体"/>
          <w:color w:val="auto"/>
          <w:sz w:val="24"/>
          <w:szCs w:val="24"/>
          <w:highlight w:val="none"/>
        </w:rPr>
        <w:t>评标活动依法进行，遵循公平、公正、科学、择优的原则，并且在严格保密的情况下进行。本项目采用</w:t>
      </w:r>
      <w:r>
        <w:rPr>
          <w:rFonts w:ascii="宋体" w:hAnsi="宋体" w:cs="宋体"/>
          <w:b w:val="0"/>
          <w:bCs/>
          <w:color w:val="auto"/>
          <w:sz w:val="24"/>
          <w:szCs w:val="28"/>
          <w:highlight w:val="none"/>
        </w:rPr>
        <w:t>“综合评分法”的</w:t>
      </w:r>
      <w:r>
        <w:rPr>
          <w:rFonts w:ascii="宋体" w:hAnsi="宋体" w:cs="宋体"/>
          <w:color w:val="auto"/>
          <w:sz w:val="24"/>
          <w:szCs w:val="28"/>
          <w:highlight w:val="none"/>
        </w:rPr>
        <w:t>评标方法</w:t>
      </w:r>
      <w:r>
        <w:rPr>
          <w:rFonts w:ascii="宋体" w:hAnsi="宋体" w:cs="宋体"/>
          <w:color w:val="auto"/>
          <w:sz w:val="24"/>
          <w:szCs w:val="24"/>
          <w:highlight w:val="none"/>
        </w:rPr>
        <w:t>，具体见第四章“评标定标办法”。</w:t>
      </w:r>
    </w:p>
    <w:p w14:paraId="6E82AAFF">
      <w:pPr>
        <w:shd w:val="clear" w:color="auto" w:fill="FFFFFF"/>
        <w:spacing w:line="360" w:lineRule="auto"/>
        <w:rPr>
          <w:rFonts w:hint="eastAsia" w:ascii="宋体" w:hAnsi="宋体" w:eastAsia="宋体" w:cs="宋体"/>
          <w:b/>
          <w:bCs/>
          <w:color w:val="auto"/>
          <w:sz w:val="24"/>
          <w:szCs w:val="24"/>
          <w:highlight w:val="none"/>
          <w:lang w:val="en-US" w:eastAsia="zh-CN"/>
        </w:rPr>
      </w:pPr>
      <w:r>
        <w:rPr>
          <w:rFonts w:ascii="宋体" w:hAnsi="宋体" w:cs="宋体"/>
          <w:b/>
          <w:bCs/>
          <w:color w:val="auto"/>
          <w:sz w:val="24"/>
          <w:szCs w:val="24"/>
          <w:highlight w:val="none"/>
        </w:rPr>
        <w:t>十九、</w:t>
      </w:r>
      <w:r>
        <w:rPr>
          <w:rFonts w:hint="eastAsia" w:ascii="宋体" w:hAnsi="宋体" w:cs="宋体"/>
          <w:b/>
          <w:bCs/>
          <w:color w:val="auto"/>
          <w:sz w:val="24"/>
          <w:szCs w:val="24"/>
          <w:highlight w:val="none"/>
          <w:lang w:val="en-US" w:eastAsia="zh-CN"/>
        </w:rPr>
        <w:t>废标</w:t>
      </w:r>
    </w:p>
    <w:p w14:paraId="5395EB7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在招标采购中，出现下列情形之一的，应予废标：</w:t>
      </w:r>
    </w:p>
    <w:p w14:paraId="2AB5D55B">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1.符合专业条件的投标人或者对招标文件作出实质性响应的投标人不足三家；</w:t>
      </w:r>
    </w:p>
    <w:p w14:paraId="14CE8E6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2.出现影响采购公正的违法、违规行为；</w:t>
      </w:r>
    </w:p>
    <w:p w14:paraId="168F156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3.投标人的报价均超过采购预算，采购人不能支付的；</w:t>
      </w:r>
    </w:p>
    <w:p w14:paraId="0933E64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4.因重大变故，采购任务取消；</w:t>
      </w:r>
    </w:p>
    <w:p w14:paraId="786039FB">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5.因“江苏政府采购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苏采云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系统”系统重大故障原因无法继续开评标的。</w:t>
      </w:r>
    </w:p>
    <w:p w14:paraId="2A784FFB">
      <w:pPr>
        <w:shd w:val="clear" w:color="auto" w:fill="FFFFFF"/>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二十、</w:t>
      </w:r>
      <w:r>
        <w:rPr>
          <w:rFonts w:ascii="宋体" w:hAnsi="宋体" w:cs="宋体"/>
          <w:b/>
          <w:bCs/>
          <w:color w:val="auto"/>
          <w:sz w:val="24"/>
          <w:szCs w:val="24"/>
          <w:highlight w:val="none"/>
        </w:rPr>
        <w:t>评标委员会：</w:t>
      </w:r>
    </w:p>
    <w:p w14:paraId="3E0F736E">
      <w:pPr>
        <w:spacing w:line="360" w:lineRule="auto"/>
        <w:ind w:firstLine="480"/>
        <w:rPr>
          <w:rFonts w:ascii="宋体" w:hAnsi="宋体" w:cs="宋体"/>
          <w:b/>
          <w:color w:val="auto"/>
          <w:sz w:val="24"/>
          <w:szCs w:val="24"/>
          <w:highlight w:val="none"/>
        </w:rPr>
      </w:pPr>
      <w:r>
        <w:rPr>
          <w:rFonts w:ascii="宋体" w:hAnsi="宋体" w:cs="宋体"/>
          <w:color w:val="auto"/>
          <w:sz w:val="24"/>
          <w:szCs w:val="24"/>
          <w:highlight w:val="none"/>
        </w:rPr>
        <w:t>1．开标后，</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将立即组织评标委员会（以下简称评委会）进行评标。</w:t>
      </w:r>
    </w:p>
    <w:p w14:paraId="3FF09AE0">
      <w:pPr>
        <w:tabs>
          <w:tab w:val="left" w:pos="945"/>
        </w:tabs>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2．评委会由</w:t>
      </w:r>
      <w:r>
        <w:rPr>
          <w:rFonts w:ascii="宋体" w:hAnsi="宋体"/>
          <w:bCs/>
          <w:color w:val="auto"/>
          <w:sz w:val="24"/>
          <w:highlight w:val="none"/>
        </w:rPr>
        <w:t>采购人代表和有关技术、经济等方面的专家组成</w:t>
      </w:r>
      <w:r>
        <w:rPr>
          <w:rFonts w:ascii="宋体" w:hAnsi="宋体" w:cs="宋体"/>
          <w:color w:val="auto"/>
          <w:sz w:val="24"/>
          <w:szCs w:val="24"/>
          <w:highlight w:val="none"/>
        </w:rPr>
        <w:t>，且人员构成符合政府采购有关规定，</w:t>
      </w:r>
      <w:r>
        <w:rPr>
          <w:rFonts w:ascii="宋体" w:hAnsi="宋体" w:cs="宋体"/>
          <w:color w:val="auto"/>
          <w:sz w:val="24"/>
          <w:highlight w:val="none"/>
        </w:rPr>
        <w:t>具体评标事务由依法组建的评标委员会负责。</w:t>
      </w:r>
    </w:p>
    <w:p w14:paraId="33E8E991">
      <w:pPr>
        <w:spacing w:line="360" w:lineRule="auto"/>
        <w:ind w:firstLine="482"/>
        <w:rPr>
          <w:rFonts w:ascii="宋体" w:hAnsi="宋体" w:cs="宋体"/>
          <w:color w:val="auto"/>
          <w:sz w:val="24"/>
          <w:szCs w:val="24"/>
          <w:highlight w:val="none"/>
        </w:rPr>
      </w:pPr>
      <w:r>
        <w:rPr>
          <w:rFonts w:ascii="宋体" w:hAnsi="宋体" w:cs="宋体"/>
          <w:color w:val="auto"/>
          <w:sz w:val="24"/>
          <w:szCs w:val="24"/>
          <w:highlight w:val="none"/>
        </w:rPr>
        <w:t>3．评委会独立开展工作，负责评审所有投标文件并推荐中标候选人。评委会将对投标人的商业</w:t>
      </w:r>
      <w:r>
        <w:rPr>
          <w:rFonts w:hint="eastAsia" w:ascii="宋体" w:hAnsi="宋体" w:cs="宋体"/>
          <w:color w:val="auto"/>
          <w:sz w:val="24"/>
          <w:szCs w:val="24"/>
          <w:highlight w:val="none"/>
        </w:rPr>
        <w:t>秘密</w:t>
      </w:r>
      <w:r>
        <w:rPr>
          <w:rFonts w:ascii="宋体" w:hAnsi="宋体" w:cs="宋体"/>
          <w:color w:val="auto"/>
          <w:sz w:val="24"/>
          <w:szCs w:val="24"/>
          <w:highlight w:val="none"/>
        </w:rPr>
        <w:t>、技术秘密予以保密。</w:t>
      </w:r>
    </w:p>
    <w:p w14:paraId="10AAB8D8">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二十</w:t>
      </w:r>
      <w:r>
        <w:rPr>
          <w:rFonts w:hint="eastAsia" w:ascii="宋体" w:hAnsi="宋体" w:cs="宋体"/>
          <w:b/>
          <w:bCs/>
          <w:color w:val="auto"/>
          <w:sz w:val="24"/>
          <w:szCs w:val="24"/>
          <w:highlight w:val="none"/>
          <w:lang w:val="en-US" w:eastAsia="zh-CN"/>
        </w:rPr>
        <w:t>一</w:t>
      </w:r>
      <w:r>
        <w:rPr>
          <w:rFonts w:ascii="宋体" w:hAnsi="宋体" w:cs="宋体"/>
          <w:b/>
          <w:bCs/>
          <w:color w:val="auto"/>
          <w:sz w:val="24"/>
          <w:szCs w:val="24"/>
          <w:highlight w:val="none"/>
        </w:rPr>
        <w:t>、对投标文件的初审：</w:t>
      </w:r>
    </w:p>
    <w:p w14:paraId="3DFB802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投标文件初审分为资格性检查和符合性检查。</w:t>
      </w:r>
    </w:p>
    <w:p w14:paraId="3B1B8EA0">
      <w:pPr>
        <w:spacing w:line="360" w:lineRule="auto"/>
        <w:ind w:firstLine="547"/>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资格性检查。依据法律法规和招标文件的规定，对投标文件中的资格证明、投标保证金等进行审查，以确定投标供应商是否具备投标资格。</w:t>
      </w:r>
    </w:p>
    <w:p w14:paraId="15DA643B">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符合性检查。依据招标文件的规定，从投标文件的有效性、完整性和对招标文件的响应程度进行审查，以确定是否对招标文件的实质性要求作出响应。</w:t>
      </w:r>
    </w:p>
    <w:p w14:paraId="128803B6">
      <w:pPr>
        <w:spacing w:line="360" w:lineRule="auto"/>
        <w:ind w:firstLine="480"/>
        <w:rPr>
          <w:rFonts w:ascii="宋体" w:hAnsi="宋体" w:cs="宋体"/>
          <w:color w:val="auto"/>
          <w:sz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开标后，评标委员会将审查投标文件是否实质性响应招标文件的要求、内容是否完整、价格构成有无计算错误、文件签署是否齐全等。</w:t>
      </w:r>
    </w:p>
    <w:p w14:paraId="44291F15">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2．评委会将审查投标文件是否完整，有无计算上的错误，文件签署是否合格，投标文件是否大体编排有序且基本符合招标文件要求。</w:t>
      </w:r>
    </w:p>
    <w:p w14:paraId="7003E057">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3．初审中，对价格计算错误按下述原则修正：</w:t>
      </w:r>
    </w:p>
    <w:p w14:paraId="541E0926">
      <w:pPr>
        <w:spacing w:line="360" w:lineRule="auto"/>
        <w:ind w:firstLine="480"/>
        <w:rPr>
          <w:rFonts w:hint="eastAsia"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开标时，投标文件中开标一览表内容与投标文件中明细表内容不一致的，以开标一览表为准。</w:t>
      </w:r>
    </w:p>
    <w:p w14:paraId="0D9A6E6E">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投标文件的大写金额和小写金额不一致的，以大写金额为准</w:t>
      </w:r>
      <w:r>
        <w:rPr>
          <w:rFonts w:hint="eastAsia" w:ascii="宋体" w:hAnsi="宋体" w:cs="宋体"/>
          <w:color w:val="auto"/>
          <w:sz w:val="24"/>
          <w:szCs w:val="24"/>
          <w:highlight w:val="none"/>
          <w:lang w:eastAsia="zh-CN"/>
        </w:rPr>
        <w:t>。</w:t>
      </w:r>
    </w:p>
    <w:p w14:paraId="3D3EA5D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总价金额与按单价汇总金额不一致的，以单价金额计算结果为准</w:t>
      </w:r>
      <w:r>
        <w:rPr>
          <w:rFonts w:hint="eastAsia" w:ascii="宋体" w:hAnsi="宋体" w:cs="宋体"/>
          <w:color w:val="auto"/>
          <w:sz w:val="24"/>
          <w:szCs w:val="24"/>
          <w:highlight w:val="none"/>
          <w:lang w:eastAsia="zh-CN"/>
        </w:rPr>
        <w:t>。</w:t>
      </w:r>
    </w:p>
    <w:p w14:paraId="5D07637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单价金额小数点有明显错位的，应以总价为准，并修改单价</w:t>
      </w:r>
      <w:r>
        <w:rPr>
          <w:rFonts w:hint="eastAsia" w:ascii="宋体" w:hAnsi="宋体" w:cs="宋体"/>
          <w:color w:val="auto"/>
          <w:sz w:val="24"/>
          <w:szCs w:val="24"/>
          <w:highlight w:val="none"/>
          <w:lang w:eastAsia="zh-CN"/>
        </w:rPr>
        <w:t>。</w:t>
      </w:r>
    </w:p>
    <w:p w14:paraId="25BB80B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对不同文字文本投标文件的解释发生异议的，以中文文本为准。</w:t>
      </w:r>
    </w:p>
    <w:p w14:paraId="1F8FA4D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单价乘数量不等于总价，应以单价为准修正总价。</w:t>
      </w:r>
    </w:p>
    <w:p w14:paraId="0000A8D6">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lang w:val="en-US" w:eastAsia="zh-CN"/>
        </w:rPr>
        <w:t>7</w:t>
      </w:r>
      <w:r>
        <w:rPr>
          <w:rFonts w:ascii="宋体" w:hAnsi="宋体" w:cs="宋体"/>
          <w:color w:val="auto"/>
          <w:sz w:val="24"/>
          <w:szCs w:val="24"/>
          <w:highlight w:val="none"/>
        </w:rPr>
        <w:t>）投标人不同意以上修正，则其投标将被否决。</w:t>
      </w:r>
    </w:p>
    <w:p w14:paraId="01B6EBF1">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4．在详细评标之前，评委会将首先审查每份投标文件是否实质性</w:t>
      </w:r>
      <w:r>
        <w:rPr>
          <w:rFonts w:hint="eastAsia" w:ascii="宋体" w:hAnsi="宋体" w:cs="宋体"/>
          <w:color w:val="auto"/>
          <w:sz w:val="24"/>
          <w:szCs w:val="24"/>
          <w:highlight w:val="none"/>
        </w:rPr>
        <w:t>地</w:t>
      </w:r>
      <w:r>
        <w:rPr>
          <w:rFonts w:ascii="宋体" w:hAnsi="宋体" w:cs="宋体"/>
          <w:color w:val="auto"/>
          <w:sz w:val="24"/>
          <w:szCs w:val="24"/>
          <w:highlight w:val="none"/>
        </w:rPr>
        <w:t>响应了招标文件的要求。实质性响应的投标应该是与招标文件要求的全部条款、条件和规格相符，没有重大偏离或保留的投标。所谓重大偏离或保留是指影响到招标文件规定的合同内容、服务质量，或者在实质上与招标文件不一致，</w:t>
      </w:r>
      <w:r>
        <w:rPr>
          <w:rFonts w:hint="eastAsia" w:ascii="宋体" w:hAnsi="宋体" w:cs="宋体"/>
          <w:color w:val="auto"/>
          <w:sz w:val="24"/>
          <w:szCs w:val="24"/>
          <w:highlight w:val="none"/>
        </w:rPr>
        <w:t>并且</w:t>
      </w:r>
      <w:r>
        <w:rPr>
          <w:rFonts w:ascii="宋体" w:hAnsi="宋体" w:cs="宋体"/>
          <w:color w:val="auto"/>
          <w:sz w:val="24"/>
          <w:szCs w:val="24"/>
          <w:highlight w:val="none"/>
        </w:rPr>
        <w:t>限制了合同中采购人与中标单位的权利或投标人的义务，纠正这些偏离或保留将会对其他实质性响应要求的投标人的竞争地位产生不公正的影响。评委会决定投标文件的响应性只根据投标文件本身的内容，而不寻求外部证据。</w:t>
      </w:r>
    </w:p>
    <w:p w14:paraId="6C0D353D">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5．如果投标文件实质上没有响应招标文件的要求，评委会将予以拒绝，投标人不得通过修改或撤销不合要求的偏离或保留而使其投标成为实质性响应的投标。</w:t>
      </w:r>
    </w:p>
    <w:p w14:paraId="2BE179A3">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6．评委会将允许修正投标文件中不构成重大偏离的、微小的、非正规的、不一致的或不规则的地方。</w:t>
      </w:r>
    </w:p>
    <w:p w14:paraId="7614DC3A">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二十</w:t>
      </w:r>
      <w:r>
        <w:rPr>
          <w:rFonts w:hint="eastAsia" w:ascii="宋体" w:hAnsi="宋体" w:cs="宋体"/>
          <w:b/>
          <w:bCs/>
          <w:color w:val="auto"/>
          <w:sz w:val="24"/>
          <w:szCs w:val="24"/>
          <w:highlight w:val="none"/>
          <w:lang w:val="en-US" w:eastAsia="zh-CN"/>
        </w:rPr>
        <w:t>二</w:t>
      </w:r>
      <w:r>
        <w:rPr>
          <w:rFonts w:ascii="宋体" w:hAnsi="宋体" w:cs="宋体"/>
          <w:b/>
          <w:bCs/>
          <w:color w:val="auto"/>
          <w:sz w:val="24"/>
          <w:szCs w:val="24"/>
          <w:highlight w:val="none"/>
        </w:rPr>
        <w:t>、投标文件的澄清：</w:t>
      </w:r>
    </w:p>
    <w:p w14:paraId="3136B8BB">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1．评标期间，评委会对投标文件中含义不明确、同类问题表述不一致或者有明显文字和计算错误的内容，有权要求投标人作出必要的澄清、说明或者补正。</w:t>
      </w:r>
    </w:p>
    <w:p w14:paraId="70AB54AD">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投标人的澄清、说明或者补正不得超出投标文件的范围或者改变投标文件的实质性内容。</w:t>
      </w:r>
    </w:p>
    <w:p w14:paraId="5F2E8B32">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评标委员会并非对每个投标人都做澄清要求。</w:t>
      </w:r>
    </w:p>
    <w:p w14:paraId="5DAC40CD">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2．需要</w:t>
      </w:r>
      <w:r>
        <w:rPr>
          <w:rFonts w:hint="eastAsia" w:ascii="宋体" w:hAnsi="宋体" w:cs="宋体"/>
          <w:color w:val="auto"/>
          <w:sz w:val="24"/>
          <w:szCs w:val="24"/>
          <w:highlight w:val="none"/>
          <w:lang w:val="en-US" w:eastAsia="zh-CN"/>
        </w:rPr>
        <w:t>投标人</w:t>
      </w:r>
      <w:r>
        <w:rPr>
          <w:rFonts w:ascii="宋体" w:hAnsi="宋体" w:cs="宋体"/>
          <w:color w:val="auto"/>
          <w:sz w:val="24"/>
          <w:szCs w:val="24"/>
          <w:highlight w:val="none"/>
        </w:rPr>
        <w:t>进行澄清、说明和补正的，评委会将通过苏采云系统向</w:t>
      </w:r>
      <w:r>
        <w:rPr>
          <w:rFonts w:hint="eastAsia" w:ascii="宋体" w:hAnsi="宋体" w:cs="宋体"/>
          <w:color w:val="auto"/>
          <w:sz w:val="24"/>
          <w:szCs w:val="24"/>
          <w:highlight w:val="none"/>
          <w:lang w:val="en-US" w:eastAsia="zh-CN"/>
        </w:rPr>
        <w:t>投标人</w:t>
      </w:r>
      <w:r>
        <w:rPr>
          <w:rFonts w:ascii="宋体" w:hAnsi="宋体" w:cs="宋体"/>
          <w:color w:val="auto"/>
          <w:sz w:val="24"/>
          <w:szCs w:val="24"/>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499B965C">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3．接到评委会澄清、说明和补正要求的投标人如未按规定作出澄清、说明和补正，其风险由投标人自行承担。</w:t>
      </w:r>
    </w:p>
    <w:p w14:paraId="779C85D9">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二十</w:t>
      </w:r>
      <w:r>
        <w:rPr>
          <w:rFonts w:hint="eastAsia" w:ascii="宋体" w:hAnsi="宋体" w:cs="宋体"/>
          <w:b/>
          <w:bCs/>
          <w:color w:val="auto"/>
          <w:sz w:val="24"/>
          <w:szCs w:val="24"/>
          <w:highlight w:val="none"/>
          <w:lang w:val="en-US" w:eastAsia="zh-CN"/>
        </w:rPr>
        <w:t>三</w:t>
      </w:r>
      <w:r>
        <w:rPr>
          <w:rFonts w:ascii="宋体" w:hAnsi="宋体" w:cs="宋体"/>
          <w:b/>
          <w:bCs/>
          <w:color w:val="auto"/>
          <w:sz w:val="24"/>
          <w:szCs w:val="24"/>
          <w:highlight w:val="none"/>
        </w:rPr>
        <w:t>、评标过程保密：</w:t>
      </w:r>
    </w:p>
    <w:p w14:paraId="1D0A6B80">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1．开标之后，直到授予投标人合同止，凡是属于审查、澄清、评价和比较投标的有关资料以及授标意向等，均不得向投标人或其他无关的人员透露。</w:t>
      </w:r>
    </w:p>
    <w:p w14:paraId="78A96AFB">
      <w:pPr>
        <w:spacing w:line="360" w:lineRule="auto"/>
        <w:ind w:firstLine="480"/>
        <w:rPr>
          <w:rFonts w:ascii="宋体" w:hAnsi="宋体" w:cs="宋体"/>
          <w:color w:val="auto"/>
          <w:sz w:val="24"/>
          <w:highlight w:val="none"/>
        </w:rPr>
      </w:pPr>
      <w:r>
        <w:rPr>
          <w:rFonts w:ascii="宋体" w:hAnsi="宋体" w:cs="宋体"/>
          <w:color w:val="auto"/>
          <w:sz w:val="24"/>
          <w:szCs w:val="24"/>
          <w:highlight w:val="none"/>
        </w:rPr>
        <w:t>2．在评标期间，投标人企图影响采购人的任何活动，将导致投标被拒绝，并承担相应的法律责任。</w:t>
      </w:r>
    </w:p>
    <w:p w14:paraId="2717D814">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二十</w:t>
      </w:r>
      <w:r>
        <w:rPr>
          <w:rFonts w:hint="eastAsia" w:ascii="宋体" w:hAnsi="宋体" w:cs="宋体"/>
          <w:b/>
          <w:bCs/>
          <w:color w:val="auto"/>
          <w:sz w:val="24"/>
          <w:szCs w:val="24"/>
          <w:highlight w:val="none"/>
          <w:lang w:val="en-US" w:eastAsia="zh-CN"/>
        </w:rPr>
        <w:t>四</w:t>
      </w:r>
      <w:r>
        <w:rPr>
          <w:rFonts w:ascii="宋体" w:hAnsi="宋体" w:cs="宋体"/>
          <w:b/>
          <w:bCs/>
          <w:color w:val="auto"/>
          <w:sz w:val="24"/>
          <w:szCs w:val="24"/>
          <w:highlight w:val="none"/>
        </w:rPr>
        <w:t>、在公告中标结果的同时，采购人或者采购代理机构向中标人发出中标通知书。中标结果将在泰州市政府采购网、江苏省政府采购网上</w:t>
      </w:r>
      <w:r>
        <w:rPr>
          <w:rFonts w:hint="eastAsia" w:ascii="宋体" w:hAnsi="宋体" w:cs="宋体"/>
          <w:b/>
          <w:bCs/>
          <w:color w:val="auto"/>
          <w:sz w:val="24"/>
          <w:szCs w:val="24"/>
          <w:highlight w:val="none"/>
          <w:lang w:val="en-US" w:eastAsia="zh-CN"/>
        </w:rPr>
        <w:t>进行</w:t>
      </w:r>
      <w:r>
        <w:rPr>
          <w:rFonts w:ascii="宋体" w:hAnsi="宋体" w:cs="宋体"/>
          <w:b/>
          <w:bCs/>
          <w:color w:val="auto"/>
          <w:sz w:val="24"/>
          <w:szCs w:val="24"/>
          <w:highlight w:val="none"/>
        </w:rPr>
        <w:t>公示。</w:t>
      </w:r>
    </w:p>
    <w:p w14:paraId="5E3AD6F4">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二十</w:t>
      </w:r>
      <w:r>
        <w:rPr>
          <w:rFonts w:hint="eastAsia" w:ascii="宋体" w:hAnsi="宋体" w:cs="宋体"/>
          <w:b/>
          <w:bCs/>
          <w:color w:val="auto"/>
          <w:sz w:val="24"/>
          <w:szCs w:val="24"/>
          <w:highlight w:val="none"/>
          <w:lang w:val="en-US" w:eastAsia="zh-CN"/>
        </w:rPr>
        <w:t>五</w:t>
      </w:r>
      <w:r>
        <w:rPr>
          <w:rFonts w:ascii="宋体" w:hAnsi="宋体" w:cs="宋体"/>
          <w:b/>
          <w:bCs/>
          <w:color w:val="auto"/>
          <w:sz w:val="24"/>
          <w:szCs w:val="24"/>
          <w:highlight w:val="none"/>
        </w:rPr>
        <w:t>、质疑处理：</w:t>
      </w:r>
    </w:p>
    <w:p w14:paraId="4D1392C8">
      <w:pPr>
        <w:tabs>
          <w:tab w:val="left" w:pos="900"/>
        </w:tabs>
        <w:spacing w:line="360" w:lineRule="auto"/>
        <w:ind w:firstLine="480"/>
        <w:rPr>
          <w:rFonts w:hint="eastAsia"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供应商认为采购文件、采购过程和中标、成交结果使自己的权益受到损害的，可以在知道或者应知其权益受到损害之日起七个工作日内，以书面形式向采购人提出质疑。</w:t>
      </w:r>
    </w:p>
    <w:p w14:paraId="418151EA">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上述应知其权益受到损害之日，是指：</w:t>
      </w:r>
    </w:p>
    <w:p w14:paraId="7A195D3E">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（1）对可以质疑的招标文件提出质疑的，为收到招标文件之日或者招标公告期限届满之日；</w:t>
      </w:r>
    </w:p>
    <w:p w14:paraId="2FB30F8E">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（2）对采购过程提出质疑的，为各采购程序环节结束之日；</w:t>
      </w:r>
    </w:p>
    <w:p w14:paraId="2DA37EA1">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（3）对中标结果提出质疑的，为中标结果公告期限届满之日。</w:t>
      </w:r>
    </w:p>
    <w:p w14:paraId="17336438">
      <w:pPr>
        <w:tabs>
          <w:tab w:val="left" w:pos="900"/>
        </w:tabs>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应当在法定质疑期内一次性提出针对同一采购程序环节的质疑。</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如在法定质疑期内对同一采购程序环节提出多次质疑的，</w:t>
      </w:r>
      <w:r>
        <w:rPr>
          <w:rFonts w:hint="eastAsia" w:ascii="宋体" w:hAnsi="宋体" w:cs="宋体"/>
          <w:color w:val="auto"/>
          <w:sz w:val="24"/>
          <w:highlight w:val="none"/>
          <w:lang w:val="en-US" w:eastAsia="zh-CN"/>
        </w:rPr>
        <w:t>采购代理</w:t>
      </w:r>
      <w:r>
        <w:rPr>
          <w:rFonts w:hint="eastAsia" w:ascii="宋体" w:hAnsi="宋体" w:cs="宋体"/>
          <w:color w:val="auto"/>
          <w:sz w:val="24"/>
          <w:highlight w:val="none"/>
        </w:rPr>
        <w:t>机构、采购人将只对</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第一次质疑作出答复。</w:t>
      </w:r>
    </w:p>
    <w:p w14:paraId="26D92D2B">
      <w:pPr>
        <w:shd w:val="clear" w:color="auto" w:fill="FFFFFF"/>
        <w:spacing w:line="360" w:lineRule="auto"/>
        <w:ind w:firstLine="480"/>
        <w:rPr>
          <w:rFonts w:ascii="宋体" w:hAnsi="宋体" w:cs="宋体"/>
          <w:color w:val="auto"/>
          <w:sz w:val="24"/>
          <w:highlight w:val="none"/>
        </w:rPr>
      </w:pPr>
      <w:r>
        <w:rPr>
          <w:rFonts w:ascii="宋体" w:hAnsi="宋体" w:cs="宋体"/>
          <w:color w:val="auto"/>
          <w:sz w:val="24"/>
          <w:highlight w:val="none"/>
        </w:rPr>
        <w:t>2．质疑</w:t>
      </w:r>
      <w:r>
        <w:rPr>
          <w:rFonts w:hint="eastAsia" w:ascii="宋体" w:hAnsi="宋体" w:cs="宋体"/>
          <w:color w:val="auto"/>
          <w:sz w:val="24"/>
          <w:highlight w:val="none"/>
        </w:rPr>
        <w:t>函</w:t>
      </w:r>
      <w:r>
        <w:rPr>
          <w:rFonts w:ascii="宋体" w:hAnsi="宋体" w:cs="宋体"/>
          <w:color w:val="auto"/>
          <w:sz w:val="24"/>
          <w:highlight w:val="none"/>
        </w:rPr>
        <w:t>必须由投标人法定代表人或授权代表</w:t>
      </w:r>
      <w:r>
        <w:rPr>
          <w:rFonts w:hint="eastAsia" w:ascii="宋体" w:hAnsi="宋体" w:cs="宋体"/>
          <w:color w:val="auto"/>
          <w:sz w:val="24"/>
          <w:highlight w:val="none"/>
        </w:rPr>
        <w:t>人</w:t>
      </w:r>
      <w:r>
        <w:rPr>
          <w:rFonts w:ascii="宋体" w:hAnsi="宋体" w:cs="宋体"/>
          <w:color w:val="auto"/>
          <w:sz w:val="24"/>
          <w:highlight w:val="none"/>
        </w:rPr>
        <w:t>（投标文件中所确定的）以原件送达的方式提交，未按上述要求提交的质疑函（含传真、电子邮件等）采购人有权不</w:t>
      </w:r>
      <w:r>
        <w:rPr>
          <w:rFonts w:ascii="宋体" w:hAnsi="宋体" w:cs="宋体"/>
          <w:b w:val="0"/>
          <w:bCs w:val="0"/>
          <w:color w:val="auto"/>
          <w:sz w:val="24"/>
          <w:highlight w:val="none"/>
        </w:rPr>
        <w:t>予</w:t>
      </w:r>
      <w:r>
        <w:rPr>
          <w:rFonts w:ascii="宋体" w:hAnsi="宋体" w:cs="宋体"/>
          <w:b w:val="0"/>
          <w:bCs w:val="0"/>
          <w:color w:val="auto"/>
          <w:sz w:val="24"/>
          <w:szCs w:val="24"/>
          <w:highlight w:val="none"/>
        </w:rPr>
        <w:t>受理</w:t>
      </w:r>
      <w:r>
        <w:rPr>
          <w:rFonts w:ascii="宋体" w:hAnsi="宋体" w:cs="宋体"/>
          <w:b w:val="0"/>
          <w:bCs w:val="0"/>
          <w:color w:val="auto"/>
          <w:sz w:val="24"/>
          <w:highlight w:val="none"/>
        </w:rPr>
        <w:t>。</w:t>
      </w:r>
    </w:p>
    <w:p w14:paraId="1D58E441">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3．未参加采购活动的单位或在采购活动中自身权益未受到损害的投标人所提出的质疑不予受理。</w:t>
      </w:r>
    </w:p>
    <w:p w14:paraId="32C70C3E">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4．质疑函应当包括下列内容：</w:t>
      </w:r>
    </w:p>
    <w:p w14:paraId="4FDB1700">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（1）质疑人的名称、地址、邮编、联系人、联系电话；</w:t>
      </w:r>
    </w:p>
    <w:p w14:paraId="5ED4FA5E">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（2）具体的质疑事项及明确的质疑请求；</w:t>
      </w:r>
    </w:p>
    <w:p w14:paraId="22DE3D28">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（3）认为自己合法权益受到损害或可能受到损害的相关证据材料；</w:t>
      </w:r>
    </w:p>
    <w:p w14:paraId="762F8A5B">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（4）提起质疑的日期；</w:t>
      </w:r>
    </w:p>
    <w:p w14:paraId="590B0E61">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5）质疑函应当署名：质疑人为自然人的，应当由本人签字并附有效身份证明；质疑人为法人或其他组织的，应当由法定代表人签字并加盖单位公章。质疑人委托代理质疑的，应当向采购人提交授权委托书，并载明委托代理的具体权限和事项。</w:t>
      </w:r>
    </w:p>
    <w:p w14:paraId="1D2E94D9">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5．采购人收到质疑函后，将对质疑</w:t>
      </w:r>
      <w:r>
        <w:rPr>
          <w:rFonts w:hint="eastAsia" w:ascii="宋体" w:hAnsi="宋体" w:cs="宋体"/>
          <w:color w:val="auto"/>
          <w:sz w:val="24"/>
          <w:highlight w:val="none"/>
        </w:rPr>
        <w:t>函</w:t>
      </w:r>
      <w:r>
        <w:rPr>
          <w:rFonts w:ascii="宋体" w:hAnsi="宋体" w:cs="宋体"/>
          <w:color w:val="auto"/>
          <w:sz w:val="24"/>
          <w:highlight w:val="none"/>
        </w:rPr>
        <w:t>的形式和内容进行审查，如质疑函内容、格式不符合规定，采购人将告知质疑人进行补正。</w:t>
      </w:r>
    </w:p>
    <w:p w14:paraId="29064950">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6．质疑人应当在法定质疑期限内进行补正并重新提交质疑函，拒不补正或者在法定期限内未重新提交质疑函的，为无效质疑，采购人有权不予受理。</w:t>
      </w:r>
    </w:p>
    <w:p w14:paraId="5DD1C1EF">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7．对于内容、格式符合规定的质疑函，采购人将在收到参加投标人的书面质疑后七个工作日内作出答复，并以书面形式通知质疑单位和其他相关投标人，答复的内容不涉及商业秘密。</w:t>
      </w:r>
    </w:p>
    <w:p w14:paraId="743EA8D9">
      <w:pPr>
        <w:tabs>
          <w:tab w:val="left" w:pos="900"/>
        </w:tabs>
        <w:spacing w:line="360" w:lineRule="auto"/>
        <w:ind w:firstLine="480"/>
        <w:rPr>
          <w:rFonts w:ascii="宋体" w:hAnsi="宋体" w:cs="宋体"/>
          <w:color w:val="auto"/>
          <w:sz w:val="24"/>
          <w:highlight w:val="none"/>
        </w:rPr>
      </w:pPr>
      <w:r>
        <w:rPr>
          <w:rFonts w:ascii="宋体" w:hAnsi="宋体" w:cs="宋体"/>
          <w:color w:val="auto"/>
          <w:sz w:val="24"/>
          <w:highlight w:val="none"/>
        </w:rPr>
        <w:t>8．投标人提出书面质疑必须有理、有据，不得恶意质疑或提交虚假质疑。否则，一经查实，采购人有权依据政府采购的有关规定，报请政府采购监管部门对该投标人进行相应的行政处罚。</w:t>
      </w:r>
    </w:p>
    <w:p w14:paraId="0D4E369B">
      <w:pPr>
        <w:tabs>
          <w:tab w:val="left" w:pos="900"/>
        </w:tabs>
        <w:spacing w:line="360" w:lineRule="auto"/>
        <w:ind w:firstLine="480"/>
        <w:rPr>
          <w:rFonts w:ascii="宋体" w:hAnsi="宋体" w:cs="宋体"/>
          <w:color w:val="auto"/>
          <w:sz w:val="24"/>
          <w:highlight w:val="none"/>
        </w:rPr>
      </w:pPr>
    </w:p>
    <w:p w14:paraId="1D97B94A">
      <w:pPr>
        <w:spacing w:line="360" w:lineRule="auto"/>
        <w:jc w:val="center"/>
        <w:rPr>
          <w:rFonts w:ascii="宋体" w:hAnsi="宋体" w:cs="宋体"/>
          <w:b/>
          <w:bCs/>
          <w:color w:val="auto"/>
          <w:sz w:val="32"/>
          <w:highlight w:val="none"/>
        </w:rPr>
      </w:pPr>
      <w:r>
        <w:rPr>
          <w:rFonts w:ascii="宋体" w:hAnsi="宋体" w:cs="宋体"/>
          <w:b/>
          <w:bCs/>
          <w:color w:val="auto"/>
          <w:sz w:val="32"/>
          <w:highlight w:val="none"/>
        </w:rPr>
        <w:t>（六）授予合同</w:t>
      </w:r>
    </w:p>
    <w:p w14:paraId="2C6C34D2">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二十</w:t>
      </w:r>
      <w:r>
        <w:rPr>
          <w:rFonts w:hint="eastAsia" w:ascii="宋体" w:hAnsi="宋体" w:cs="宋体"/>
          <w:b/>
          <w:bCs/>
          <w:color w:val="auto"/>
          <w:sz w:val="24"/>
          <w:szCs w:val="24"/>
          <w:highlight w:val="none"/>
          <w:lang w:val="en-US" w:eastAsia="zh-CN"/>
        </w:rPr>
        <w:t>六</w:t>
      </w:r>
      <w:r>
        <w:rPr>
          <w:rFonts w:ascii="宋体" w:hAnsi="宋体" w:cs="宋体"/>
          <w:b/>
          <w:bCs/>
          <w:color w:val="auto"/>
          <w:sz w:val="24"/>
          <w:szCs w:val="24"/>
          <w:highlight w:val="none"/>
        </w:rPr>
        <w:t>、合同授予标准：</w:t>
      </w:r>
    </w:p>
    <w:p w14:paraId="728378C9">
      <w:pPr>
        <w:spacing w:line="360" w:lineRule="auto"/>
        <w:ind w:firstLine="48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依据评标委员会推荐的中标候选人确定中标人。</w:t>
      </w:r>
    </w:p>
    <w:p w14:paraId="4C18A6CF">
      <w:pPr>
        <w:spacing w:line="360" w:lineRule="auto"/>
        <w:ind w:firstLine="480"/>
        <w:contextualSpacing/>
        <w:jc w:val="left"/>
        <w:rPr>
          <w:rFonts w:ascii="宋体" w:hAnsi="宋体" w:cs="宋体"/>
          <w:color w:val="auto"/>
          <w:sz w:val="24"/>
          <w:szCs w:val="24"/>
          <w:highlight w:val="none"/>
        </w:rPr>
      </w:pPr>
      <w:r>
        <w:rPr>
          <w:rFonts w:ascii="宋体" w:hAnsi="宋体" w:cs="宋体"/>
          <w:color w:val="auto"/>
          <w:sz w:val="24"/>
          <w:szCs w:val="24"/>
          <w:highlight w:val="none"/>
        </w:rPr>
        <w:t>中标人放弃中标、因不可抗力不能履行合同、不按照招标文件要求提交履约保证金，或者被查实存在影响中标结果的违法行为等情形，不符合中标条件的，</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可以按照评标委员会提出的中标候选人名单排序依次确定其他中标候选人为中标人，也可以重新招标。</w:t>
      </w:r>
    </w:p>
    <w:p w14:paraId="7B620D68">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二十</w:t>
      </w:r>
      <w:r>
        <w:rPr>
          <w:rFonts w:hint="eastAsia" w:ascii="宋体" w:hAnsi="宋体" w:cs="宋体"/>
          <w:b/>
          <w:bCs/>
          <w:color w:val="auto"/>
          <w:sz w:val="24"/>
          <w:szCs w:val="24"/>
          <w:highlight w:val="none"/>
          <w:lang w:val="en-US" w:eastAsia="zh-CN"/>
        </w:rPr>
        <w:t>七</w:t>
      </w:r>
      <w:r>
        <w:rPr>
          <w:rFonts w:ascii="宋体" w:hAnsi="宋体" w:cs="宋体"/>
          <w:b/>
          <w:bCs/>
          <w:color w:val="auto"/>
          <w:sz w:val="24"/>
          <w:szCs w:val="24"/>
          <w:highlight w:val="none"/>
        </w:rPr>
        <w:t>、中标通知书：</w:t>
      </w:r>
    </w:p>
    <w:p w14:paraId="4D7DC416">
      <w:pPr>
        <w:spacing w:line="360" w:lineRule="auto"/>
        <w:ind w:firstLine="480"/>
        <w:rPr>
          <w:rFonts w:ascii="宋体" w:hAnsi="宋体" w:cs="宋体"/>
          <w:color w:val="auto"/>
          <w:sz w:val="24"/>
          <w:highlight w:val="none"/>
        </w:rPr>
      </w:pPr>
      <w:r>
        <w:rPr>
          <w:rFonts w:ascii="宋体" w:hAnsi="宋体" w:cs="宋体"/>
          <w:color w:val="auto"/>
          <w:sz w:val="24"/>
          <w:highlight w:val="none"/>
        </w:rPr>
        <w:t>1．</w:t>
      </w:r>
      <w:r>
        <w:rPr>
          <w:rFonts w:ascii="宋体" w:hAnsi="宋体" w:cs="宋体"/>
          <w:color w:val="auto"/>
          <w:sz w:val="24"/>
          <w:szCs w:val="24"/>
          <w:highlight w:val="none"/>
        </w:rPr>
        <w:t>中标结果确定后，</w:t>
      </w:r>
      <w:r>
        <w:rPr>
          <w:rFonts w:hint="eastAsia" w:ascii="宋体" w:hAnsi="宋体" w:cs="宋体"/>
          <w:color w:val="auto"/>
          <w:sz w:val="24"/>
          <w:szCs w:val="24"/>
          <w:highlight w:val="none"/>
          <w:lang w:eastAsia="zh-CN"/>
        </w:rPr>
        <w:t>江苏华盛建设管理咨询有限公司</w:t>
      </w:r>
      <w:r>
        <w:rPr>
          <w:rFonts w:ascii="宋体" w:hAnsi="宋体" w:cs="宋体"/>
          <w:color w:val="auto"/>
          <w:sz w:val="24"/>
          <w:szCs w:val="24"/>
          <w:highlight w:val="none"/>
        </w:rPr>
        <w:t>将向中标人发出中标通知书。</w:t>
      </w:r>
      <w:r>
        <w:rPr>
          <w:rFonts w:ascii="宋体" w:hAnsi="宋体" w:cs="宋体"/>
          <w:color w:val="auto"/>
          <w:sz w:val="24"/>
          <w:highlight w:val="none"/>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0180061">
      <w:pPr>
        <w:spacing w:line="360" w:lineRule="auto"/>
        <w:ind w:firstLine="480"/>
        <w:rPr>
          <w:rFonts w:ascii="宋体" w:hAnsi="宋体" w:cs="宋体"/>
          <w:color w:val="auto"/>
          <w:sz w:val="24"/>
          <w:highlight w:val="none"/>
        </w:rPr>
      </w:pPr>
      <w:r>
        <w:rPr>
          <w:rFonts w:ascii="宋体" w:hAnsi="宋体" w:cs="宋体"/>
          <w:color w:val="auto"/>
          <w:sz w:val="24"/>
          <w:highlight w:val="none"/>
        </w:rPr>
        <w:t>2．合同签订前，采购人有权对中标人的履约能力进行最后审查，审查方式包括询问、调查和实地考察，如发现中标人提供的材料虚假或对标书所说明的情况存在故意隐瞒或虚报的，则采购人有权取消其签约资格，并在标书有效期内按投标人的评标综合得分由高到低的顺序，选择下一投标人按原投标价格承接本项目。</w:t>
      </w:r>
    </w:p>
    <w:p w14:paraId="02ED2F21">
      <w:pPr>
        <w:widowControl/>
        <w:shd w:val="clear" w:color="auto" w:fill="FFFFFF"/>
        <w:spacing w:line="360" w:lineRule="auto"/>
        <w:ind w:firstLine="420"/>
        <w:rPr>
          <w:rFonts w:ascii="宋体" w:hAnsi="宋体" w:cs="宋体"/>
          <w:b w:val="0"/>
          <w:bCs w:val="0"/>
          <w:color w:val="auto"/>
          <w:sz w:val="24"/>
          <w:highlight w:val="none"/>
        </w:rPr>
      </w:pPr>
      <w:r>
        <w:rPr>
          <w:rFonts w:ascii="宋体" w:hAnsi="宋体" w:cs="宋体"/>
          <w:color w:val="auto"/>
          <w:sz w:val="24"/>
          <w:highlight w:val="none"/>
        </w:rPr>
        <w:t>3.</w:t>
      </w:r>
      <w:r>
        <w:rPr>
          <w:rFonts w:hint="eastAsia" w:ascii="宋体" w:hAnsi="宋体"/>
          <w:color w:val="auto"/>
          <w:sz w:val="24"/>
          <w:highlight w:val="none"/>
        </w:rPr>
        <w:t>中标通知书将是合同的一个组成部分。</w:t>
      </w:r>
      <w:r>
        <w:rPr>
          <w:rFonts w:ascii="宋体" w:hAnsi="宋体" w:cs="宋体"/>
          <w:color w:val="auto"/>
          <w:sz w:val="24"/>
          <w:highlight w:val="none"/>
        </w:rPr>
        <w:t>中标通知书对采购人和中标人具有</w:t>
      </w:r>
      <w:r>
        <w:rPr>
          <w:rFonts w:hint="eastAsia" w:ascii="宋体" w:hAnsi="宋体" w:cs="宋体"/>
          <w:color w:val="auto"/>
          <w:sz w:val="24"/>
          <w:highlight w:val="none"/>
          <w:lang w:val="en-US" w:eastAsia="zh-CN"/>
        </w:rPr>
        <w:t>同等</w:t>
      </w:r>
      <w:r>
        <w:rPr>
          <w:rFonts w:ascii="宋体" w:hAnsi="宋体" w:cs="宋体"/>
          <w:color w:val="auto"/>
          <w:sz w:val="24"/>
          <w:highlight w:val="none"/>
        </w:rPr>
        <w:t>法</w:t>
      </w:r>
      <w:r>
        <w:rPr>
          <w:rFonts w:ascii="宋体" w:hAnsi="宋体" w:cs="宋体"/>
          <w:b w:val="0"/>
          <w:bCs w:val="0"/>
          <w:color w:val="auto"/>
          <w:sz w:val="24"/>
          <w:highlight w:val="none"/>
        </w:rPr>
        <w:t>律约</w:t>
      </w:r>
      <w:r>
        <w:rPr>
          <w:rFonts w:ascii="宋体" w:hAnsi="宋体" w:cs="宋体"/>
          <w:color w:val="auto"/>
          <w:sz w:val="24"/>
          <w:highlight w:val="none"/>
        </w:rPr>
        <w:t>束力。</w:t>
      </w:r>
      <w:r>
        <w:rPr>
          <w:rFonts w:hint="eastAsia" w:ascii="宋体" w:hAnsi="宋体" w:cs="宋体"/>
          <w:b w:val="0"/>
          <w:bCs w:val="0"/>
          <w:color w:val="auto"/>
          <w:sz w:val="24"/>
          <w:highlight w:val="none"/>
        </w:rPr>
        <w:t>中标通知书发出后，采购人不得违法改变中标结果，中标人无正当理由不得放弃中标。</w:t>
      </w:r>
    </w:p>
    <w:p w14:paraId="4E3F58F3">
      <w:pPr>
        <w:spacing w:line="360" w:lineRule="auto"/>
        <w:ind w:firstLine="480"/>
        <w:rPr>
          <w:rFonts w:ascii="宋体" w:hAnsi="宋体" w:cs="宋体"/>
          <w:color w:val="auto"/>
          <w:sz w:val="24"/>
          <w:highlight w:val="none"/>
        </w:rPr>
      </w:pPr>
    </w:p>
    <w:p w14:paraId="3FD3C89F">
      <w:pPr>
        <w:shd w:val="clear" w:color="auto" w:fill="FFFFFF"/>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二十</w:t>
      </w:r>
      <w:r>
        <w:rPr>
          <w:rFonts w:hint="eastAsia" w:ascii="宋体" w:hAnsi="宋体" w:cs="宋体"/>
          <w:b/>
          <w:bCs/>
          <w:color w:val="auto"/>
          <w:sz w:val="24"/>
          <w:szCs w:val="24"/>
          <w:highlight w:val="none"/>
          <w:lang w:val="en-US" w:eastAsia="zh-CN"/>
        </w:rPr>
        <w:t>八</w:t>
      </w:r>
      <w:r>
        <w:rPr>
          <w:rFonts w:ascii="宋体" w:hAnsi="宋体" w:cs="宋体"/>
          <w:b/>
          <w:bCs/>
          <w:color w:val="auto"/>
          <w:sz w:val="24"/>
          <w:szCs w:val="24"/>
          <w:highlight w:val="none"/>
        </w:rPr>
        <w:t>、签订合同：</w:t>
      </w:r>
    </w:p>
    <w:p w14:paraId="3303BD8F">
      <w:pPr>
        <w:tabs>
          <w:tab w:val="left" w:pos="525"/>
          <w:tab w:val="left" w:pos="552"/>
          <w:tab w:val="left" w:pos="945"/>
          <w:tab w:val="left" w:pos="1050"/>
        </w:tabs>
        <w:spacing w:line="360" w:lineRule="auto"/>
        <w:ind w:firstLine="48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lang w:eastAsia="zh-CN"/>
        </w:rPr>
        <w:t>采购人</w:t>
      </w:r>
      <w:r>
        <w:rPr>
          <w:rFonts w:ascii="宋体" w:hAnsi="宋体" w:cs="宋体"/>
          <w:color w:val="auto"/>
          <w:sz w:val="24"/>
          <w:highlight w:val="none"/>
        </w:rPr>
        <w:t>应当自中标通知书发出之日起三十日内，按照招标文件和中标单位投标文件的约定，与中标单位签订书面合同。所签订的合同不得对招标文件和中标单位</w:t>
      </w:r>
      <w:r>
        <w:rPr>
          <w:rFonts w:hint="eastAsia" w:ascii="宋体" w:hAnsi="宋体" w:cs="宋体"/>
          <w:color w:val="auto"/>
          <w:sz w:val="24"/>
          <w:highlight w:val="none"/>
          <w:lang w:val="en-US" w:eastAsia="zh-CN"/>
        </w:rPr>
        <w:t>的</w:t>
      </w:r>
      <w:r>
        <w:rPr>
          <w:rFonts w:ascii="宋体" w:hAnsi="宋体" w:cs="宋体"/>
          <w:color w:val="auto"/>
          <w:sz w:val="24"/>
          <w:highlight w:val="none"/>
        </w:rPr>
        <w:t>投标文件作实质性修改。</w:t>
      </w:r>
      <w:r>
        <w:rPr>
          <w:rFonts w:hint="eastAsia" w:ascii="宋体" w:hAnsi="宋体" w:cs="宋体"/>
          <w:color w:val="auto"/>
          <w:sz w:val="24"/>
          <w:highlight w:val="none"/>
          <w:lang w:eastAsia="zh-CN"/>
        </w:rPr>
        <w:t>采购人</w:t>
      </w:r>
      <w:r>
        <w:rPr>
          <w:rFonts w:ascii="宋体" w:hAnsi="宋体" w:cs="宋体"/>
          <w:color w:val="auto"/>
          <w:sz w:val="24"/>
          <w:highlight w:val="none"/>
        </w:rPr>
        <w:t>不得向中标单位提出任何不合理的要求，作为签订合同的条件，不得与中标单位私下订立背离合同实质性内容的协议。</w:t>
      </w:r>
      <w:r>
        <w:rPr>
          <w:rFonts w:hint="eastAsia" w:ascii="宋体" w:hAnsi="宋体" w:cs="宋体"/>
          <w:color w:val="auto"/>
          <w:sz w:val="24"/>
          <w:highlight w:val="none"/>
          <w:lang w:eastAsia="zh-CN"/>
        </w:rPr>
        <w:t>采购人</w:t>
      </w:r>
      <w:r>
        <w:rPr>
          <w:rFonts w:ascii="宋体" w:hAnsi="宋体" w:cs="宋体"/>
          <w:color w:val="auto"/>
          <w:sz w:val="24"/>
          <w:highlight w:val="none"/>
        </w:rPr>
        <w:t>应当自政府采购合同签订之日起2个工作日内，将政府采购合同在省级以上人民政府财政部门指定的媒体上公告，但政府采购合同中涉及国家秘密、商业秘密的内容除外。</w:t>
      </w:r>
    </w:p>
    <w:p w14:paraId="5ED4E34F">
      <w:pPr>
        <w:tabs>
          <w:tab w:val="left" w:pos="525"/>
          <w:tab w:val="left" w:pos="552"/>
          <w:tab w:val="left" w:pos="945"/>
          <w:tab w:val="left" w:pos="1050"/>
        </w:tabs>
        <w:spacing w:line="360" w:lineRule="auto"/>
        <w:ind w:firstLine="480"/>
        <w:rPr>
          <w:rFonts w:ascii="宋体" w:hAnsi="宋体" w:cs="宋体"/>
          <w:color w:val="auto"/>
          <w:sz w:val="24"/>
          <w:szCs w:val="24"/>
          <w:highlight w:val="none"/>
        </w:rPr>
      </w:pPr>
      <w:r>
        <w:rPr>
          <w:rFonts w:ascii="宋体" w:hAnsi="宋体" w:cs="宋体"/>
          <w:color w:val="auto"/>
          <w:sz w:val="24"/>
          <w:highlight w:val="none"/>
        </w:rPr>
        <w:t>2.</w:t>
      </w:r>
      <w:r>
        <w:rPr>
          <w:rFonts w:ascii="宋体" w:hAnsi="宋体" w:cs="宋体"/>
          <w:color w:val="auto"/>
          <w:sz w:val="24"/>
          <w:szCs w:val="24"/>
          <w:highlight w:val="none"/>
        </w:rPr>
        <w:t>招标文件、中标方的投标文件及评标过程中有关澄清文件均应作为合同附件。</w:t>
      </w:r>
    </w:p>
    <w:p w14:paraId="2F3B83B0">
      <w:pPr>
        <w:spacing w:line="360" w:lineRule="auto"/>
        <w:ind w:firstLine="480"/>
        <w:rPr>
          <w:rFonts w:cs="宋体"/>
          <w:color w:val="auto"/>
          <w:sz w:val="24"/>
          <w:highlight w:val="none"/>
        </w:rPr>
      </w:pPr>
      <w:r>
        <w:rPr>
          <w:rFonts w:hint="eastAsia" w:ascii="宋体" w:hAnsi="宋体" w:cs="宋体"/>
          <w:color w:val="auto"/>
          <w:sz w:val="24"/>
          <w:highlight w:val="none"/>
          <w:lang w:val="en-US" w:eastAsia="zh-CN"/>
        </w:rPr>
        <w:t>3</w:t>
      </w:r>
      <w:r>
        <w:rPr>
          <w:rFonts w:ascii="宋体" w:hAnsi="宋体" w:cs="宋体"/>
          <w:color w:val="auto"/>
          <w:sz w:val="24"/>
          <w:highlight w:val="none"/>
        </w:rPr>
        <w:t>.违约条款：由于中标方责任造成的项目违约，由中标方向采购人支付合同最高金额的10%作为违约金。</w:t>
      </w:r>
      <w:r>
        <w:rPr>
          <w:rFonts w:cs="宋体"/>
          <w:color w:val="auto"/>
          <w:sz w:val="24"/>
          <w:highlight w:val="none"/>
        </w:rPr>
        <w:t xml:space="preserve">  </w:t>
      </w:r>
    </w:p>
    <w:p w14:paraId="28C18591">
      <w:pPr>
        <w:widowControl/>
        <w:jc w:val="left"/>
        <w:rPr>
          <w:rFonts w:ascii="宋体" w:hAnsi="宋体" w:cs="宋体"/>
          <w:b/>
          <w:color w:val="auto"/>
          <w:sz w:val="44"/>
          <w:highlight w:val="none"/>
        </w:rPr>
      </w:pPr>
      <w:r>
        <w:rPr>
          <w:color w:val="auto"/>
          <w:highlight w:val="none"/>
        </w:rPr>
        <w:br w:type="page" w:clear="all"/>
      </w:r>
    </w:p>
    <w:p w14:paraId="2319B5B6">
      <w:pPr>
        <w:pStyle w:val="2"/>
        <w:rPr>
          <w:rFonts w:ascii="宋体" w:hAnsi="宋体" w:cs="宋体"/>
          <w:color w:val="auto"/>
          <w:highlight w:val="none"/>
        </w:rPr>
      </w:pPr>
      <w:bookmarkStart w:id="27" w:name="_Toc319330154"/>
      <w:bookmarkStart w:id="28" w:name="_Toc182078116"/>
      <w:r>
        <w:rPr>
          <w:rFonts w:ascii="宋体" w:hAnsi="宋体" w:cs="宋体"/>
          <w:color w:val="auto"/>
          <w:highlight w:val="none"/>
        </w:rPr>
        <w:t xml:space="preserve">第三章 </w:t>
      </w:r>
      <w:bookmarkEnd w:id="27"/>
      <w:r>
        <w:rPr>
          <w:rFonts w:ascii="宋体" w:hAnsi="宋体" w:cs="宋体"/>
          <w:color w:val="auto"/>
          <w:highlight w:val="none"/>
        </w:rPr>
        <w:t>项目需求</w:t>
      </w:r>
      <w:bookmarkEnd w:id="28"/>
    </w:p>
    <w:p w14:paraId="525CCC0B">
      <w:pPr>
        <w:pStyle w:val="21"/>
        <w:spacing w:line="360" w:lineRule="auto"/>
        <w:ind w:firstLine="170"/>
        <w:rPr>
          <w:rFonts w:ascii="宋体" w:hAnsi="宋体" w:cs="宋体"/>
          <w:b/>
          <w:bCs/>
          <w:color w:val="auto"/>
          <w:sz w:val="24"/>
          <w:szCs w:val="24"/>
          <w:highlight w:val="none"/>
          <w:u w:val="single"/>
        </w:rPr>
      </w:pPr>
      <w:bookmarkStart w:id="29" w:name="bookmark28"/>
      <w:bookmarkEnd w:id="29"/>
      <w:bookmarkStart w:id="30" w:name="bookmark29"/>
      <w:bookmarkEnd w:id="30"/>
      <w:bookmarkStart w:id="31" w:name="bookmark27"/>
      <w:bookmarkEnd w:id="31"/>
      <w:r>
        <w:rPr>
          <w:rFonts w:ascii="宋体" w:hAnsi="宋体" w:cs="宋体"/>
          <w:b/>
          <w:bCs/>
          <w:color w:val="auto"/>
          <w:sz w:val="24"/>
          <w:szCs w:val="24"/>
          <w:highlight w:val="none"/>
          <w:u w:val="single"/>
        </w:rPr>
        <w:t>加★项目若有缺失或无效，将导致该投标文件作无效投标文件评定，且不允许在投标截止时间后补正。</w:t>
      </w:r>
    </w:p>
    <w:p w14:paraId="403EA53E">
      <w:pPr>
        <w:pStyle w:val="22"/>
        <w:keepNext w:val="0"/>
        <w:keepLines w:val="0"/>
        <w:pageBreakBefore w:val="0"/>
        <w:widowControl w:val="0"/>
        <w:kinsoku/>
        <w:wordWrap/>
        <w:overflowPunct/>
        <w:topLinePunct w:val="0"/>
        <w:autoSpaceDE/>
        <w:autoSpaceDN/>
        <w:bidi w:val="0"/>
        <w:adjustRightInd/>
        <w:snapToGrid/>
        <w:spacing w:before="181" w:beforeLines="50" w:after="181" w:afterLines="5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1.本项目核心产品为：录播主机</w:t>
      </w:r>
    </w:p>
    <w:p w14:paraId="12C721BF">
      <w:pPr>
        <w:pStyle w:val="22"/>
        <w:keepNext w:val="0"/>
        <w:keepLines w:val="0"/>
        <w:pageBreakBefore w:val="0"/>
        <w:widowControl w:val="0"/>
        <w:kinsoku/>
        <w:wordWrap/>
        <w:overflowPunct/>
        <w:topLinePunct w:val="0"/>
        <w:autoSpaceDE/>
        <w:autoSpaceDN/>
        <w:bidi w:val="0"/>
        <w:adjustRightInd/>
        <w:snapToGrid/>
        <w:spacing w:before="181" w:beforeLines="50" w:after="181" w:afterLines="50"/>
        <w:textAlignment w:val="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2.质保期为自交货验收合格之日起3年，以投标人实际投标承诺的质保期为准。</w:t>
      </w:r>
    </w:p>
    <w:tbl>
      <w:tblPr>
        <w:tblStyle w:val="47"/>
        <w:tblW w:w="862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736"/>
        <w:gridCol w:w="5663"/>
        <w:gridCol w:w="748"/>
        <w:gridCol w:w="735"/>
      </w:tblGrid>
      <w:tr w14:paraId="399F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622" w:type="dxa"/>
            <w:gridSpan w:val="5"/>
            <w:shd w:val="clear" w:color="auto" w:fill="FFFFFF"/>
            <w:vAlign w:val="center"/>
          </w:tcPr>
          <w:p w14:paraId="0C537F74">
            <w:pPr>
              <w:widowControl/>
              <w:jc w:val="center"/>
              <w:textAlignment w:val="center"/>
              <w:rPr>
                <w:rFonts w:hint="eastAsia" w:ascii="宋体" w:hAnsi="宋体" w:eastAsia="宋体" w:cs="宋体"/>
                <w:b/>
                <w:bCs/>
                <w:color w:val="auto"/>
                <w:sz w:val="21"/>
                <w:szCs w:val="21"/>
                <w:highlight w:val="none"/>
              </w:rPr>
            </w:pPr>
            <w:bookmarkStart w:id="32" w:name="_Toc182078117"/>
            <w:r>
              <w:rPr>
                <w:rFonts w:hint="eastAsia" w:ascii="宋体" w:hAnsi="宋体" w:eastAsia="宋体" w:cs="宋体"/>
                <w:b/>
                <w:bCs/>
                <w:color w:val="auto"/>
                <w:kern w:val="0"/>
                <w:sz w:val="21"/>
                <w:szCs w:val="21"/>
                <w:highlight w:val="none"/>
                <w:lang w:bidi="ar"/>
              </w:rPr>
              <w:t>AI录播管理系统清单</w:t>
            </w:r>
          </w:p>
        </w:tc>
      </w:tr>
      <w:tr w14:paraId="702B7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40" w:type="dxa"/>
            <w:vAlign w:val="center"/>
          </w:tcPr>
          <w:p w14:paraId="136CCE76">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736" w:type="dxa"/>
            <w:vAlign w:val="center"/>
          </w:tcPr>
          <w:p w14:paraId="4041AEAA">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设备名称</w:t>
            </w:r>
          </w:p>
        </w:tc>
        <w:tc>
          <w:tcPr>
            <w:tcW w:w="5663" w:type="dxa"/>
            <w:vAlign w:val="center"/>
          </w:tcPr>
          <w:p w14:paraId="52D41D0B">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技术规格</w:t>
            </w:r>
          </w:p>
        </w:tc>
        <w:tc>
          <w:tcPr>
            <w:tcW w:w="748" w:type="dxa"/>
            <w:vAlign w:val="center"/>
          </w:tcPr>
          <w:p w14:paraId="3D7DE8E4">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数量</w:t>
            </w:r>
          </w:p>
        </w:tc>
        <w:tc>
          <w:tcPr>
            <w:tcW w:w="735" w:type="dxa"/>
            <w:vAlign w:val="center"/>
          </w:tcPr>
          <w:p w14:paraId="123451C7">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单位</w:t>
            </w:r>
          </w:p>
        </w:tc>
      </w:tr>
      <w:tr w14:paraId="6ACE4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622" w:type="dxa"/>
            <w:gridSpan w:val="5"/>
            <w:shd w:val="clear" w:color="auto" w:fill="FFFFFF"/>
            <w:vAlign w:val="center"/>
          </w:tcPr>
          <w:p w14:paraId="050F761C">
            <w:pPr>
              <w:widowControl/>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一、常态化智慧录播系统</w:t>
            </w:r>
          </w:p>
        </w:tc>
      </w:tr>
      <w:tr w14:paraId="36CA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740" w:type="dxa"/>
            <w:shd w:val="clear" w:color="auto" w:fill="FFFFFF"/>
            <w:vAlign w:val="center"/>
          </w:tcPr>
          <w:p w14:paraId="7B31455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6" w:type="dxa"/>
            <w:shd w:val="clear" w:color="auto" w:fill="FFFFFF"/>
            <w:vAlign w:val="center"/>
          </w:tcPr>
          <w:p w14:paraId="60527DF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AI智能录播主机(含管理控制系统)</w:t>
            </w:r>
          </w:p>
        </w:tc>
        <w:tc>
          <w:tcPr>
            <w:tcW w:w="5663" w:type="dxa"/>
            <w:shd w:val="clear" w:color="auto" w:fill="FFFFFF"/>
            <w:vAlign w:val="center"/>
          </w:tcPr>
          <w:p w14:paraId="74C9DD1F">
            <w:pPr>
              <w:widowControl/>
              <w:numPr>
                <w:ilvl w:val="0"/>
                <w:numId w:val="3"/>
              </w:numPr>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录播主机</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b w:val="0"/>
                <w:bCs w:val="0"/>
                <w:color w:val="auto"/>
                <w:kern w:val="0"/>
                <w:sz w:val="21"/>
                <w:szCs w:val="21"/>
                <w:highlight w:val="none"/>
                <w:lang w:bidi="ar"/>
              </w:rPr>
              <w:t>.主机采用ARM架构处理器，CPU核心数≥8核，主频≥2.4GHz</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b w:val="0"/>
                <w:bCs w:val="0"/>
                <w:color w:val="auto"/>
                <w:kern w:val="0"/>
                <w:sz w:val="21"/>
                <w:szCs w:val="21"/>
                <w:highlight w:val="none"/>
                <w:lang w:bidi="ar"/>
              </w:rPr>
              <w:t>2.▲接口：RI45≥4个，其中POE接口≥3，HDMI输入≥1，HDMI输出≥2路，且输入输出分辨率均支持1080P@30fps;主机支持≥1数字音频DMIC输入，≥1路3.5mmMICIN输入，≥1路3.5mmLINEIN输入，≥2路3.5mmLINEOUT输出，支持回声抑制.增益.噪声抑制与音频均衡功能；</w:t>
            </w:r>
            <w:r>
              <w:rPr>
                <w:rFonts w:hint="eastAsia" w:ascii="宋体" w:hAnsi="宋体" w:eastAsia="宋体" w:cs="宋体"/>
                <w:b w:val="0"/>
                <w:bCs w:val="0"/>
                <w:color w:val="auto"/>
                <w:kern w:val="0"/>
                <w:sz w:val="21"/>
                <w:szCs w:val="21"/>
                <w:highlight w:val="none"/>
                <w:lang w:bidi="ar"/>
              </w:rPr>
              <w:br w:type="textWrapping"/>
            </w:r>
            <w:r>
              <w:rPr>
                <w:rFonts w:hint="eastAsia" w:ascii="宋体" w:hAnsi="宋体" w:eastAsia="宋体" w:cs="宋体"/>
                <w:b w:val="0"/>
                <w:bCs w:val="0"/>
                <w:color w:val="auto"/>
                <w:kern w:val="0"/>
                <w:sz w:val="21"/>
                <w:szCs w:val="21"/>
                <w:highlight w:val="none"/>
                <w:lang w:bidi="ar"/>
              </w:rPr>
              <w:t>3.★主机配备≥15英寸触控式屏幕实现录播控制（或通过主机+触控屏录制面板来实现此功能），</w:t>
            </w:r>
            <w:r>
              <w:rPr>
                <w:rFonts w:hint="eastAsia" w:ascii="宋体" w:hAnsi="宋体" w:eastAsia="宋体" w:cs="宋体"/>
                <w:color w:val="auto"/>
                <w:kern w:val="0"/>
                <w:sz w:val="21"/>
                <w:szCs w:val="21"/>
                <w:highlight w:val="none"/>
                <w:lang w:bidi="ar"/>
              </w:rPr>
              <w:t>显示分辨率1920×1080，一体式设计，非外接。整体采用嵌入式设计.非PC与服务器工作站等架构，以保障系统运行稳定</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4.系统存储≥1T；支持内置原生SATA数据接口≥2个；</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5.为保证对教室内现有设备及新建设备的控制，需具备≥1路控制接口，支持RS232串行通信协议进行外接控制；</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6.支持摄像机与主机之间仅通过网线即可同时实现供电、控制和视频信号的同步传输，不接受使用转接器的方式；</w:t>
            </w:r>
          </w:p>
          <w:p w14:paraId="15EDBA60">
            <w:pPr>
              <w:widowControl/>
              <w:numPr>
                <w:ilvl w:val="0"/>
                <w:numId w:val="0"/>
              </w:numPr>
              <w:jc w:val="left"/>
              <w:textAlignment w:val="center"/>
              <w:rPr>
                <w:rFonts w:hint="default"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w:t>
            </w:r>
            <w:r>
              <w:rPr>
                <w:rFonts w:hint="eastAsia" w:ascii="宋体" w:hAnsi="宋体" w:cs="宋体"/>
                <w:b w:val="0"/>
                <w:bCs w:val="0"/>
                <w:color w:val="auto"/>
                <w:kern w:val="0"/>
                <w:sz w:val="21"/>
                <w:szCs w:val="21"/>
                <w:highlight w:val="none"/>
                <w:lang w:val="en-US" w:eastAsia="zh-CN" w:bidi="ar"/>
              </w:rPr>
              <w:t>.</w:t>
            </w:r>
            <w:r>
              <w:rPr>
                <w:rFonts w:hint="eastAsia" w:ascii="宋体" w:hAnsi="宋体" w:eastAsia="宋体" w:cs="宋体"/>
                <w:b w:val="0"/>
                <w:bCs w:val="0"/>
                <w:color w:val="auto"/>
                <w:kern w:val="0"/>
                <w:sz w:val="21"/>
                <w:szCs w:val="21"/>
                <w:highlight w:val="none"/>
                <w:lang w:val="en-US" w:eastAsia="zh-CN" w:bidi="ar"/>
              </w:rPr>
              <w:t>支持接入AI资源管理平台，实现资源统一管理、设备集中管控。</w:t>
            </w:r>
          </w:p>
          <w:p w14:paraId="5228423B">
            <w:pPr>
              <w:widowControl/>
              <w:jc w:val="left"/>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color w:val="auto"/>
                <w:kern w:val="0"/>
                <w:sz w:val="21"/>
                <w:szCs w:val="21"/>
                <w:highlight w:val="none"/>
                <w:lang w:bidi="ar"/>
              </w:rPr>
              <w:t>二、管理控制系统</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1.录播主机在不接入互联网的情况下也可以进行视频录制，且支持1080P高清分辨率录制，用MP4视频格式封装自动归档至录播内置的硬盘当中存储；</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2.多流录制：支持教师画面、学生全景画面、学生特写画面等不少于3路摄像机画面和电脑画面的独立录制封装；</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支持互动过程中，进行性能监控，可监控网络丢包率.上行带宽.下行带宽.最大虚拟内存.当前虚拟内存.当前物理内存.当前句柄数量.当前进程数量.当前CPU使用率。支持互动过程中，进行推流质量查看。可查看视频分辨率.视频质量.延时.丢包率.视频帧率.视频码率.音频帧率.音频码率；</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4.要求录播主机支持插入U盘后另存一份视频文件到U盘中；</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录播主机支持B/S软件架构无需下载相关软件APP，以满足低配电脑也可通过浏览器访问录播主机导播界面，在导播界面实现对所有录制画面的实时预览，并支持在手动导播模式下点击预览画面窗口进行录制画面切换；</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b w:val="0"/>
                <w:bCs w:val="0"/>
                <w:color w:val="auto"/>
                <w:kern w:val="0"/>
                <w:sz w:val="21"/>
                <w:szCs w:val="21"/>
                <w:highlight w:val="none"/>
                <w:lang w:bidi="ar"/>
              </w:rPr>
              <w:t>6.▲支持≥10路导播通道显示，显示画面包括教师全景、学生全景、教师特写、学生特写、教学电脑画面、远程互动画面、板书画面等其他素材；</w:t>
            </w:r>
          </w:p>
          <w:p w14:paraId="1DC8BDA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7.支持手动导播自动导播切换，支持资源模式电影模式切换，支持≥5路资源模式及≥1路电影模式同时录制；</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8.</w:t>
            </w:r>
            <w:r>
              <w:rPr>
                <w:rFonts w:hint="eastAsia" w:ascii="宋体" w:hAnsi="宋体" w:eastAsia="宋体" w:cs="宋体"/>
                <w:color w:val="auto"/>
                <w:kern w:val="0"/>
                <w:sz w:val="21"/>
                <w:szCs w:val="21"/>
                <w:highlight w:val="none"/>
                <w:lang w:val="en-US" w:eastAsia="zh-CN" w:bidi="ar"/>
              </w:rPr>
              <w:t>支持高清摄像机的通用视频传输协议，允许不同品牌设备兼容接入。支持摄像机到录播主机端的视频采集和传输过程无需编解码、无画质损耗的音视频同步，保障录制视频效果</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9.▲要求录播主机支持AI人工智能课堂行为分析能力，无需添加任何设备即可实现基于课堂上师生的行为、表情、语音等相关数据，同时可以根据教学行为完成教师与学生的全景特写画面全自动跟踪切换；</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10.支持多种画面模式，支持单画面.2种画中画.左右等分.三画面.四画面等6种画面合成模式；</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11.支持H.323、SIP、BFCP、WebRTC等视音频互动协议技术，便捷进行远程互动教学应用；</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12.支持通过手机扫码</w:t>
            </w:r>
            <w:r>
              <w:rPr>
                <w:rFonts w:hint="eastAsia" w:ascii="宋体" w:hAnsi="宋体" w:eastAsia="宋体" w:cs="宋体"/>
                <w:color w:val="auto"/>
                <w:kern w:val="0"/>
                <w:sz w:val="21"/>
                <w:szCs w:val="21"/>
                <w:highlight w:val="none"/>
                <w:lang w:val="en-US" w:eastAsia="zh-CN" w:bidi="ar"/>
              </w:rPr>
              <w:t>或后台管理修改</w:t>
            </w:r>
            <w:r>
              <w:rPr>
                <w:rFonts w:hint="eastAsia" w:ascii="宋体" w:hAnsi="宋体" w:eastAsia="宋体" w:cs="宋体"/>
                <w:color w:val="auto"/>
                <w:kern w:val="0"/>
                <w:sz w:val="21"/>
                <w:szCs w:val="21"/>
                <w:highlight w:val="none"/>
                <w:lang w:bidi="ar"/>
              </w:rPr>
              <w:t>实现字幕输入，可输入≥50个字符。导入后支持显示/隐藏控制，支持拖拽调节字幕任意位置，或通过≥6个预设位置调整字体位置；支持通过≥3个预设字号调整字体大小；支持通过≥5种预设颜色调整字体颜色。支持批量管理字幕，可批量勾选并删除。</w:t>
            </w:r>
          </w:p>
        </w:tc>
        <w:tc>
          <w:tcPr>
            <w:tcW w:w="748" w:type="dxa"/>
            <w:shd w:val="clear" w:color="auto" w:fill="FFFFFF"/>
            <w:vAlign w:val="center"/>
          </w:tcPr>
          <w:p w14:paraId="4A53D1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735" w:type="dxa"/>
            <w:shd w:val="clear" w:color="auto" w:fill="FFFFFF"/>
            <w:vAlign w:val="center"/>
          </w:tcPr>
          <w:p w14:paraId="07B524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r>
      <w:tr w14:paraId="0EF8A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740" w:type="dxa"/>
            <w:shd w:val="clear" w:color="auto" w:fill="FFFFFF"/>
            <w:vAlign w:val="center"/>
          </w:tcPr>
          <w:p w14:paraId="75741BC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w:t>
            </w:r>
          </w:p>
        </w:tc>
        <w:tc>
          <w:tcPr>
            <w:tcW w:w="736" w:type="dxa"/>
            <w:shd w:val="clear" w:color="auto" w:fill="FFFFFF"/>
            <w:vAlign w:val="center"/>
          </w:tcPr>
          <w:p w14:paraId="2321BB5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4K教师摄像机（含教师摄像机图像处理系统）</w:t>
            </w:r>
          </w:p>
        </w:tc>
        <w:tc>
          <w:tcPr>
            <w:tcW w:w="5663" w:type="dxa"/>
            <w:shd w:val="clear" w:color="auto" w:fill="FFFFFF"/>
            <w:vAlign w:val="center"/>
          </w:tcPr>
          <w:p w14:paraId="24F3B4AE">
            <w:pPr>
              <w:widowControl/>
              <w:numPr>
                <w:ilvl w:val="0"/>
                <w:numId w:val="0"/>
              </w:numPr>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一、</w:t>
            </w:r>
            <w:r>
              <w:rPr>
                <w:rFonts w:hint="eastAsia" w:ascii="宋体" w:hAnsi="宋体" w:eastAsia="宋体" w:cs="宋体"/>
                <w:color w:val="auto"/>
                <w:kern w:val="0"/>
                <w:sz w:val="21"/>
                <w:szCs w:val="21"/>
                <w:highlight w:val="none"/>
                <w:lang w:bidi="ar"/>
              </w:rPr>
              <w:t>摄像机</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1.★采用双镜头设计，全景镜头水平视场角≥40°，特写镜头水平视场角≥20°。摄像机采用一体化集成设计，支持4K超高清，同时兼容1920×1080和1280×720分辨率</w:t>
            </w:r>
            <w:r>
              <w:rPr>
                <w:rFonts w:hint="eastAsia" w:ascii="宋体" w:hAnsi="宋体" w:cs="宋体"/>
                <w:color w:val="auto"/>
                <w:kern w:val="0"/>
                <w:sz w:val="21"/>
                <w:szCs w:val="21"/>
                <w:highlight w:val="none"/>
                <w:lang w:eastAsia="zh-CN" w:bidi="ar"/>
              </w:rPr>
              <w:t>；</w:t>
            </w:r>
          </w:p>
          <w:p w14:paraId="05056AC6">
            <w:pPr>
              <w:widowControl/>
              <w:numPr>
                <w:ilvl w:val="0"/>
                <w:numId w:val="0"/>
              </w:numPr>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2.传感器尺寸CMOS≥1/2.8英寸。全景图像传感器有效像素≥400万，特写图像传感器有效像素≥800万</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3.内置图像识别跟踪算法，搭配隐藏式微型云台，保证清晰度的同时，也减小对课堂的干扰；</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4.全景画面与特写画面采用同系列图像传感器和图像处理器，确保两者图像输出亮度、颜色、风格等保持一致；供电只需要1路网线即可实现供电及信号传输；支持同时输出特写和全景等多路画面。</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二、教师摄像机图像处理系统</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1.无需单独安装定位跟踪主机及其他任何辅助拍摄设备，即可实现跟踪定位控制功能；</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2.系统应采用智能图像识别算法，高清摄像机同时输出2路场景画面并分析计算，实现1台摄像机的2景位拍摄，通过导播跟踪系统，实现所有画面的自动导播切换；</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3.支持RTMP推流，推流地址可设置；支持RTSP拉流，拉流地址可设置；支持ONVIF协议，可预览ONVIF画面；支持GB28181协议，可使用GB28181协议设置</w:t>
            </w:r>
            <w:r>
              <w:rPr>
                <w:rFonts w:hint="eastAsia" w:ascii="宋体" w:hAnsi="宋体" w:cs="宋体"/>
                <w:color w:val="auto"/>
                <w:kern w:val="0"/>
                <w:sz w:val="21"/>
                <w:szCs w:val="21"/>
                <w:highlight w:val="none"/>
                <w:lang w:eastAsia="zh-CN" w:bidi="ar"/>
              </w:rPr>
              <w:t>；</w:t>
            </w:r>
          </w:p>
          <w:p w14:paraId="08A22820">
            <w:pPr>
              <w:widowControl/>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4.▲支持标准USB音视频信号输出，可以同时支持UVC和UAC协议，通过主机TypeC接口可以实现图像和声音同步输出，最大支持4K@30fps输出，兼容主流视频会议软件。</w:t>
            </w:r>
          </w:p>
        </w:tc>
        <w:tc>
          <w:tcPr>
            <w:tcW w:w="748" w:type="dxa"/>
            <w:shd w:val="clear" w:color="auto" w:fill="FFFFFF"/>
            <w:vAlign w:val="center"/>
          </w:tcPr>
          <w:p w14:paraId="0D3FB7F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735" w:type="dxa"/>
            <w:shd w:val="clear" w:color="auto" w:fill="FFFFFF"/>
            <w:vAlign w:val="center"/>
          </w:tcPr>
          <w:p w14:paraId="5CAB236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r>
      <w:tr w14:paraId="0D85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740" w:type="dxa"/>
            <w:shd w:val="clear" w:color="auto" w:fill="FFFFFF"/>
            <w:vAlign w:val="center"/>
          </w:tcPr>
          <w:p w14:paraId="151CC5A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w:t>
            </w:r>
          </w:p>
        </w:tc>
        <w:tc>
          <w:tcPr>
            <w:tcW w:w="736" w:type="dxa"/>
            <w:shd w:val="clear" w:color="auto" w:fill="FFFFFF"/>
            <w:vAlign w:val="center"/>
          </w:tcPr>
          <w:p w14:paraId="04ACCE4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学生摄像机（含学生摄像机图像处理系统）</w:t>
            </w:r>
          </w:p>
        </w:tc>
        <w:tc>
          <w:tcPr>
            <w:tcW w:w="5663" w:type="dxa"/>
            <w:shd w:val="clear" w:color="auto" w:fill="FFFFFF"/>
            <w:vAlign w:val="center"/>
          </w:tcPr>
          <w:p w14:paraId="7653B6C3">
            <w:pPr>
              <w:widowControl/>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一、摄像机</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1.★内部集成高清定焦镜头数量≥2个，每个镜头具有独立CMOS传感器，传感器尺寸1/2.8英寸≥2个，全景图像传感器有效像素≥400万，特写图像传感器有效像素≥800万；</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2.摄像机采用一体化集成设计，支持4K超高清，最大可提供4K图像编码输出，同时向下兼容1080p，720p分辨率；</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3.内置图像识别跟踪算法，搭配隐藏式微型云台，保证清晰度的同时，也减小对课堂的干扰；</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4.全景画面与特写画面采用同系列图像传感器和图像处理器，确保两者图像输出亮度、颜色、风格等保持一致；供电只需要1路网线即可实现供电及信号传输；支持同时输出特写和全景等多路画面；</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二、学生摄像机图像处理系统</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1.整机具备≥2个摄像头，支持同时输出画面路数≥4路。画面包括全景主码流，全景辅码流，特写主码流，特写辅码流；</w:t>
            </w:r>
            <w:r>
              <w:rPr>
                <w:rFonts w:hint="eastAsia" w:ascii="宋体" w:hAnsi="宋体" w:eastAsia="宋体" w:cs="宋体"/>
                <w:color w:val="auto"/>
                <w:kern w:val="0"/>
                <w:sz w:val="21"/>
                <w:szCs w:val="21"/>
                <w:highlight w:val="none"/>
                <w:lang w:bidi="ar"/>
              </w:rPr>
              <w:br w:type="textWrapping"/>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.需支持抗闪烁频率、动态范围、光圈、快门参数设置；</w:t>
            </w:r>
            <w:r>
              <w:rPr>
                <w:rFonts w:hint="eastAsia" w:ascii="宋体" w:hAnsi="宋体" w:eastAsia="宋体" w:cs="宋体"/>
                <w:color w:val="auto"/>
                <w:kern w:val="0"/>
                <w:sz w:val="21"/>
                <w:szCs w:val="21"/>
                <w:highlight w:val="none"/>
                <w:lang w:bidi="ar"/>
              </w:rPr>
              <w:br w:type="textWrapping"/>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.需支持自动白平衡设置功能，红、蓝增益可调；</w:t>
            </w:r>
            <w:r>
              <w:rPr>
                <w:rFonts w:hint="eastAsia" w:ascii="宋体" w:hAnsi="宋体" w:eastAsia="宋体" w:cs="宋体"/>
                <w:color w:val="auto"/>
                <w:kern w:val="0"/>
                <w:sz w:val="21"/>
                <w:szCs w:val="21"/>
                <w:highlight w:val="none"/>
                <w:lang w:bidi="ar"/>
              </w:rPr>
              <w:br w:type="textWrapping"/>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.需支持噪声抑制设置功能，支持2D、3D降噪；</w:t>
            </w:r>
            <w:r>
              <w:rPr>
                <w:rFonts w:hint="eastAsia" w:ascii="宋体" w:hAnsi="宋体" w:eastAsia="宋体" w:cs="宋体"/>
                <w:color w:val="auto"/>
                <w:kern w:val="0"/>
                <w:sz w:val="21"/>
                <w:szCs w:val="21"/>
                <w:highlight w:val="none"/>
                <w:lang w:bidi="ar"/>
              </w:rPr>
              <w:br w:type="textWrapping"/>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bidi="ar"/>
              </w:rPr>
              <w:t>.需支持摄像机图像质量调节功能，包括亮度、对比度、色调、饱和度；</w:t>
            </w:r>
            <w:r>
              <w:rPr>
                <w:rFonts w:hint="eastAsia" w:ascii="宋体" w:hAnsi="宋体" w:eastAsia="宋体" w:cs="宋体"/>
                <w:color w:val="auto"/>
                <w:kern w:val="0"/>
                <w:sz w:val="21"/>
                <w:szCs w:val="21"/>
                <w:highlight w:val="none"/>
                <w:lang w:bidi="ar"/>
              </w:rPr>
              <w:br w:type="textWrapping"/>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bidi="ar"/>
              </w:rPr>
              <w:t>.需支持图像水平、垂直翻转，适应摄像机不同的安装方式要求；</w:t>
            </w:r>
            <w:r>
              <w:rPr>
                <w:rFonts w:hint="eastAsia" w:ascii="宋体" w:hAnsi="宋体" w:eastAsia="宋体" w:cs="宋体"/>
                <w:color w:val="auto"/>
                <w:kern w:val="0"/>
                <w:sz w:val="21"/>
                <w:szCs w:val="21"/>
                <w:highlight w:val="none"/>
                <w:lang w:bidi="ar"/>
              </w:rPr>
              <w:br w:type="textWrapping"/>
            </w: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bidi="ar"/>
              </w:rPr>
              <w:t>.需支持摄像机控制功能，包括云台控制、预置位设置与调用、焦距调节等，预置位数≥255；</w:t>
            </w:r>
            <w:r>
              <w:rPr>
                <w:rFonts w:hint="eastAsia" w:ascii="宋体" w:hAnsi="宋体" w:eastAsia="宋体" w:cs="宋体"/>
                <w:color w:val="auto"/>
                <w:kern w:val="0"/>
                <w:sz w:val="21"/>
                <w:szCs w:val="21"/>
                <w:highlight w:val="none"/>
                <w:lang w:bidi="ar"/>
              </w:rPr>
              <w:br w:type="textWrapping"/>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bidi="ar"/>
              </w:rPr>
              <w:t>.摄像机内嵌智能跟踪算法，无需单独安装定位跟踪主机及其他任何辅助拍摄设备，即可实现跟踪定位控制功能；支持跟踪区域划定方式为任意两个边缘点连线。</w:t>
            </w:r>
          </w:p>
        </w:tc>
        <w:tc>
          <w:tcPr>
            <w:tcW w:w="748" w:type="dxa"/>
            <w:shd w:val="clear" w:color="auto" w:fill="FFFFFF"/>
            <w:vAlign w:val="center"/>
          </w:tcPr>
          <w:p w14:paraId="57A3BCD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735" w:type="dxa"/>
            <w:shd w:val="clear" w:color="auto" w:fill="FFFFFF"/>
            <w:vAlign w:val="center"/>
          </w:tcPr>
          <w:p w14:paraId="222848B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r>
      <w:tr w14:paraId="71515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394026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w:t>
            </w:r>
          </w:p>
        </w:tc>
        <w:tc>
          <w:tcPr>
            <w:tcW w:w="736" w:type="dxa"/>
            <w:shd w:val="clear" w:color="auto" w:fill="FFFFFF"/>
            <w:vAlign w:val="center"/>
          </w:tcPr>
          <w:p w14:paraId="3D47286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数字音频处理器</w:t>
            </w:r>
          </w:p>
        </w:tc>
        <w:tc>
          <w:tcPr>
            <w:tcW w:w="5663" w:type="dxa"/>
            <w:shd w:val="clear" w:color="auto" w:fill="FFFFFF"/>
            <w:vAlign w:val="center"/>
          </w:tcPr>
          <w:p w14:paraId="46F3879B">
            <w:pPr>
              <w:widowControl/>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1.采用自适应声场检测算法，系统可根据声学环境自适应设置音频参数</w:t>
            </w:r>
            <w:r>
              <w:rPr>
                <w:rFonts w:hint="eastAsia" w:ascii="宋体" w:hAnsi="宋体" w:cs="宋体"/>
                <w:color w:val="auto"/>
                <w:kern w:val="0"/>
                <w:sz w:val="21"/>
                <w:szCs w:val="21"/>
                <w:highlight w:val="none"/>
                <w:lang w:eastAsia="zh-CN" w:bidi="ar"/>
              </w:rPr>
              <w:t>；</w:t>
            </w:r>
          </w:p>
          <w:p w14:paraId="40439647">
            <w:pPr>
              <w:widowControl/>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2.音频处理器和数字功率放大器一体式设计,纯嵌入式设计</w:t>
            </w:r>
            <w:r>
              <w:rPr>
                <w:rFonts w:hint="eastAsia" w:ascii="宋体" w:hAnsi="宋体" w:cs="宋体"/>
                <w:color w:val="auto"/>
                <w:kern w:val="0"/>
                <w:sz w:val="21"/>
                <w:szCs w:val="21"/>
                <w:highlight w:val="none"/>
                <w:lang w:eastAsia="zh-CN" w:bidi="ar"/>
              </w:rPr>
              <w:t>；</w:t>
            </w:r>
          </w:p>
          <w:p w14:paraId="5861C4C9">
            <w:pPr>
              <w:widowControl/>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3.采用DSP嵌入式音频处理算法。可实现自动混音、自适应反馈抑制、自动增益、自动闪避、自动均衡、混响抑制以及环境降噪功能</w:t>
            </w:r>
            <w:r>
              <w:rPr>
                <w:rFonts w:hint="eastAsia" w:ascii="宋体" w:hAnsi="宋体" w:cs="宋体"/>
                <w:color w:val="auto"/>
                <w:kern w:val="0"/>
                <w:sz w:val="21"/>
                <w:szCs w:val="21"/>
                <w:highlight w:val="none"/>
                <w:lang w:eastAsia="zh-CN" w:bidi="ar"/>
              </w:rPr>
              <w:t>；</w:t>
            </w:r>
          </w:p>
          <w:p w14:paraId="6F67209D">
            <w:pPr>
              <w:widowControl/>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4.音频输入输出：音频输入：支持≥2路立体声插座输入；音频输出：支持≥2路立体声插座输出</w:t>
            </w:r>
            <w:r>
              <w:rPr>
                <w:rFonts w:hint="eastAsia" w:ascii="宋体" w:hAnsi="宋体" w:cs="宋体"/>
                <w:color w:val="auto"/>
                <w:kern w:val="0"/>
                <w:sz w:val="21"/>
                <w:szCs w:val="21"/>
                <w:highlight w:val="none"/>
                <w:lang w:eastAsia="zh-CN" w:bidi="ar"/>
              </w:rPr>
              <w:t>；</w:t>
            </w:r>
          </w:p>
          <w:p w14:paraId="10F21CB4">
            <w:pPr>
              <w:widowControl/>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5.设备具备线路信号检测功能。当LINE IN有音频输入时，麦克风自动静音</w:t>
            </w:r>
            <w:r>
              <w:rPr>
                <w:rFonts w:hint="eastAsia" w:ascii="宋体" w:hAnsi="宋体" w:cs="宋体"/>
                <w:color w:val="auto"/>
                <w:kern w:val="0"/>
                <w:sz w:val="21"/>
                <w:szCs w:val="21"/>
                <w:highlight w:val="none"/>
                <w:lang w:eastAsia="zh-CN" w:bidi="ar"/>
              </w:rPr>
              <w:t>；</w:t>
            </w:r>
          </w:p>
          <w:p w14:paraId="31E085DB">
            <w:pPr>
              <w:widowControl/>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6.内置≥4*30W高效智能数字功放</w:t>
            </w:r>
            <w:r>
              <w:rPr>
                <w:rFonts w:hint="eastAsia" w:ascii="宋体" w:hAnsi="宋体" w:cs="宋体"/>
                <w:color w:val="auto"/>
                <w:kern w:val="0"/>
                <w:sz w:val="21"/>
                <w:szCs w:val="21"/>
                <w:highlight w:val="none"/>
                <w:lang w:eastAsia="zh-CN" w:bidi="ar"/>
              </w:rPr>
              <w:t>；</w:t>
            </w:r>
          </w:p>
          <w:p w14:paraId="5C38887D">
            <w:pPr>
              <w:widowControl/>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7.具备≥7段EQ均衡设置功能，可根据实际效果分别调节低、中、高音；≥7档手动降噪等级设置；</w:t>
            </w:r>
          </w:p>
          <w:p w14:paraId="17445AA7">
            <w:pPr>
              <w:widowControl/>
              <w:jc w:val="left"/>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8.具备智能自动降噪功能，智能识别和抑制背景常态噪音</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支持48V幻象供电</w:t>
            </w:r>
            <w:r>
              <w:rPr>
                <w:rFonts w:hint="eastAsia" w:ascii="宋体" w:hAnsi="宋体" w:eastAsia="宋体" w:cs="宋体"/>
                <w:color w:val="auto"/>
                <w:kern w:val="0"/>
                <w:sz w:val="21"/>
                <w:szCs w:val="21"/>
                <w:highlight w:val="none"/>
                <w:lang w:bidi="ar"/>
              </w:rPr>
              <w:t>。</w:t>
            </w:r>
          </w:p>
        </w:tc>
        <w:tc>
          <w:tcPr>
            <w:tcW w:w="748" w:type="dxa"/>
            <w:shd w:val="clear" w:color="auto" w:fill="FFFFFF"/>
            <w:vAlign w:val="center"/>
          </w:tcPr>
          <w:p w14:paraId="5C76E5C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735" w:type="dxa"/>
            <w:shd w:val="clear" w:color="auto" w:fill="FFFFFF"/>
            <w:vAlign w:val="center"/>
          </w:tcPr>
          <w:p w14:paraId="1909F92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r>
      <w:tr w14:paraId="4B519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76EE4BB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w:t>
            </w:r>
          </w:p>
        </w:tc>
        <w:tc>
          <w:tcPr>
            <w:tcW w:w="736" w:type="dxa"/>
            <w:shd w:val="clear" w:color="auto" w:fill="FFFFFF"/>
            <w:vAlign w:val="center"/>
          </w:tcPr>
          <w:p w14:paraId="74470F0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音箱</w:t>
            </w:r>
          </w:p>
        </w:tc>
        <w:tc>
          <w:tcPr>
            <w:tcW w:w="5663" w:type="dxa"/>
            <w:shd w:val="clear" w:color="auto" w:fill="FFFFFF"/>
            <w:vAlign w:val="center"/>
          </w:tcPr>
          <w:p w14:paraId="303E6AE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1.额定功率：≥30W</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2.最大功率：≥60W</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3.标称阻抗：≤8Ω</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4.频率范围（-10dB）等同或优于100Hz-20kHz</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5.灵敏度：≥90dB±3dB</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6.最大声压级（额定/峰值）：≥104dB/110dB</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7.覆盖角度(-6dB）：水平覆盖角≥100°，垂直覆盖角≥70°</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8.音箱内置1只≥4寸中低音单元和1只≥20芯球顶高音；</w:t>
            </w:r>
          </w:p>
        </w:tc>
        <w:tc>
          <w:tcPr>
            <w:tcW w:w="748" w:type="dxa"/>
            <w:vAlign w:val="center"/>
          </w:tcPr>
          <w:p w14:paraId="56A0452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735" w:type="dxa"/>
            <w:vAlign w:val="center"/>
          </w:tcPr>
          <w:p w14:paraId="2BF2FA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对</w:t>
            </w:r>
          </w:p>
        </w:tc>
      </w:tr>
      <w:tr w14:paraId="6386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6C6E1C4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w:t>
            </w:r>
          </w:p>
        </w:tc>
        <w:tc>
          <w:tcPr>
            <w:tcW w:w="736" w:type="dxa"/>
            <w:shd w:val="clear" w:color="auto" w:fill="FFFFFF"/>
            <w:vAlign w:val="center"/>
          </w:tcPr>
          <w:p w14:paraId="23C0DF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教师</w:t>
            </w:r>
            <w:r>
              <w:rPr>
                <w:rFonts w:hint="eastAsia" w:ascii="宋体" w:hAnsi="宋体" w:eastAsia="宋体" w:cs="宋体"/>
                <w:color w:val="auto"/>
                <w:kern w:val="0"/>
                <w:sz w:val="21"/>
                <w:szCs w:val="21"/>
                <w:highlight w:val="none"/>
                <w:lang w:bidi="ar"/>
              </w:rPr>
              <w:t>吊麦</w:t>
            </w:r>
          </w:p>
        </w:tc>
        <w:tc>
          <w:tcPr>
            <w:tcW w:w="5663" w:type="dxa"/>
            <w:shd w:val="clear" w:color="auto" w:fill="FFFFFF"/>
            <w:vAlign w:val="center"/>
          </w:tcPr>
          <w:p w14:paraId="1110AF90">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采用不锈钢圆柱形设计，内置单一指向性咪头</w:t>
            </w:r>
            <w:r>
              <w:rPr>
                <w:rFonts w:hint="eastAsia" w:ascii="宋体" w:hAnsi="宋体" w:cs="宋体"/>
                <w:color w:val="auto"/>
                <w:sz w:val="21"/>
                <w:szCs w:val="21"/>
                <w:highlight w:val="none"/>
                <w:lang w:eastAsia="zh-CN"/>
              </w:rPr>
              <w:t>；</w:t>
            </w:r>
          </w:p>
          <w:p w14:paraId="05888179">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超宽频响范围高度还原人声，内置48V幻电放大处理电路，可高质量长距离传输，搭配音频处理器使用</w:t>
            </w:r>
            <w:r>
              <w:rPr>
                <w:rFonts w:hint="eastAsia" w:ascii="宋体" w:hAnsi="宋体" w:cs="宋体"/>
                <w:color w:val="auto"/>
                <w:sz w:val="21"/>
                <w:szCs w:val="21"/>
                <w:highlight w:val="none"/>
                <w:lang w:eastAsia="zh-CN"/>
              </w:rPr>
              <w:t>；</w:t>
            </w:r>
          </w:p>
          <w:p w14:paraId="31DFF0D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咪头灵敏度：-38dB；</w:t>
            </w:r>
          </w:p>
          <w:p w14:paraId="6D04FBB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频响：100Hz~15KHz</w:t>
            </w:r>
            <w:r>
              <w:rPr>
                <w:rFonts w:hint="eastAsia" w:ascii="宋体" w:hAnsi="宋体" w:cs="宋体"/>
                <w:color w:val="auto"/>
                <w:sz w:val="21"/>
                <w:szCs w:val="21"/>
                <w:highlight w:val="none"/>
                <w:lang w:eastAsia="zh-CN"/>
              </w:rPr>
              <w:t>；</w:t>
            </w:r>
          </w:p>
          <w:p w14:paraId="13F752A3">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拾音范围：半径约3m</w:t>
            </w:r>
            <w:r>
              <w:rPr>
                <w:rFonts w:hint="eastAsia" w:ascii="宋体" w:hAnsi="宋体" w:cs="宋体"/>
                <w:color w:val="auto"/>
                <w:sz w:val="21"/>
                <w:szCs w:val="21"/>
                <w:highlight w:val="none"/>
                <w:lang w:eastAsia="zh-CN"/>
              </w:rPr>
              <w:t>；</w:t>
            </w:r>
          </w:p>
          <w:p w14:paraId="792F0AA2">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接口：标准平衡输出端子或卡侬接口</w:t>
            </w:r>
            <w:r>
              <w:rPr>
                <w:rFonts w:hint="eastAsia" w:ascii="宋体" w:hAnsi="宋体" w:cs="宋体"/>
                <w:color w:val="auto"/>
                <w:sz w:val="21"/>
                <w:szCs w:val="21"/>
                <w:highlight w:val="none"/>
                <w:lang w:eastAsia="zh-CN"/>
              </w:rPr>
              <w:t>；</w:t>
            </w:r>
          </w:p>
          <w:p w14:paraId="7D22D1E4">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工作电压：DC48V</w:t>
            </w:r>
            <w:r>
              <w:rPr>
                <w:rFonts w:hint="eastAsia" w:ascii="宋体" w:hAnsi="宋体" w:cs="宋体"/>
                <w:color w:val="auto"/>
                <w:sz w:val="21"/>
                <w:szCs w:val="21"/>
                <w:highlight w:val="none"/>
                <w:lang w:eastAsia="zh-CN"/>
              </w:rPr>
              <w:t>；</w:t>
            </w:r>
          </w:p>
          <w:p w14:paraId="6F4D149B">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配套吊麦支架</w:t>
            </w:r>
            <w:r>
              <w:rPr>
                <w:rFonts w:hint="eastAsia" w:ascii="宋体" w:hAnsi="宋体" w:cs="宋体"/>
                <w:color w:val="auto"/>
                <w:sz w:val="21"/>
                <w:szCs w:val="21"/>
                <w:highlight w:val="none"/>
                <w:lang w:eastAsia="zh-CN"/>
              </w:rPr>
              <w:t>。</w:t>
            </w:r>
          </w:p>
        </w:tc>
        <w:tc>
          <w:tcPr>
            <w:tcW w:w="748" w:type="dxa"/>
            <w:vAlign w:val="center"/>
          </w:tcPr>
          <w:p w14:paraId="032C56B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735" w:type="dxa"/>
            <w:vAlign w:val="center"/>
          </w:tcPr>
          <w:p w14:paraId="4BF9B8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支</w:t>
            </w:r>
          </w:p>
        </w:tc>
      </w:tr>
      <w:tr w14:paraId="3DB51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46C56B2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w:t>
            </w:r>
          </w:p>
        </w:tc>
        <w:tc>
          <w:tcPr>
            <w:tcW w:w="736" w:type="dxa"/>
            <w:shd w:val="clear" w:color="auto" w:fill="FFFFFF"/>
            <w:vAlign w:val="center"/>
          </w:tcPr>
          <w:p w14:paraId="6E892E32">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学生吊麦</w:t>
            </w:r>
          </w:p>
        </w:tc>
        <w:tc>
          <w:tcPr>
            <w:tcW w:w="5663" w:type="dxa"/>
            <w:shd w:val="clear" w:color="auto" w:fill="FFFFFF"/>
            <w:vAlign w:val="center"/>
          </w:tcPr>
          <w:p w14:paraId="068C9B23">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采用不锈钢球形设计，内置全向咪头</w:t>
            </w:r>
            <w:r>
              <w:rPr>
                <w:rFonts w:hint="eastAsia" w:ascii="宋体" w:hAnsi="宋体" w:cs="宋体"/>
                <w:color w:val="auto"/>
                <w:sz w:val="21"/>
                <w:szCs w:val="21"/>
                <w:highlight w:val="none"/>
                <w:lang w:eastAsia="zh-CN"/>
              </w:rPr>
              <w:t>；</w:t>
            </w:r>
          </w:p>
          <w:p w14:paraId="4267DC5F">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超宽频响范围高度还原人声，内置48V幻电放大处理电路，可高质量长距离传输，搭配音频处理器使用</w:t>
            </w:r>
            <w:r>
              <w:rPr>
                <w:rFonts w:hint="eastAsia" w:ascii="宋体" w:hAnsi="宋体" w:cs="宋体"/>
                <w:color w:val="auto"/>
                <w:sz w:val="21"/>
                <w:szCs w:val="21"/>
                <w:highlight w:val="none"/>
                <w:lang w:eastAsia="zh-CN"/>
              </w:rPr>
              <w:t>；</w:t>
            </w:r>
          </w:p>
          <w:p w14:paraId="6DA7331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咪头灵敏度：-40dB士2dB；</w:t>
            </w:r>
          </w:p>
          <w:p w14:paraId="6824928D">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频响：100Hz~15KHz</w:t>
            </w:r>
            <w:r>
              <w:rPr>
                <w:rFonts w:hint="eastAsia" w:ascii="宋体" w:hAnsi="宋体" w:cs="宋体"/>
                <w:color w:val="auto"/>
                <w:sz w:val="21"/>
                <w:szCs w:val="21"/>
                <w:highlight w:val="none"/>
                <w:lang w:eastAsia="zh-CN"/>
              </w:rPr>
              <w:t>；</w:t>
            </w:r>
          </w:p>
          <w:p w14:paraId="1A0EDE3F">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拾音范围：半径约3m</w:t>
            </w:r>
            <w:r>
              <w:rPr>
                <w:rFonts w:hint="eastAsia" w:ascii="宋体" w:hAnsi="宋体" w:cs="宋体"/>
                <w:color w:val="auto"/>
                <w:sz w:val="21"/>
                <w:szCs w:val="21"/>
                <w:highlight w:val="none"/>
                <w:lang w:eastAsia="zh-CN"/>
              </w:rPr>
              <w:t>；</w:t>
            </w:r>
          </w:p>
          <w:p w14:paraId="1BE05C28">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接口：标准平衡输出端子或卡侬接口</w:t>
            </w:r>
            <w:r>
              <w:rPr>
                <w:rFonts w:hint="eastAsia" w:ascii="宋体" w:hAnsi="宋体" w:cs="宋体"/>
                <w:color w:val="auto"/>
                <w:sz w:val="21"/>
                <w:szCs w:val="21"/>
                <w:highlight w:val="none"/>
                <w:lang w:eastAsia="zh-CN"/>
              </w:rPr>
              <w:t>；</w:t>
            </w:r>
          </w:p>
          <w:p w14:paraId="113463A5">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产品结构：不锈钢球形设计</w:t>
            </w:r>
            <w:r>
              <w:rPr>
                <w:rFonts w:hint="eastAsia" w:ascii="宋体" w:hAnsi="宋体" w:cs="宋体"/>
                <w:color w:val="auto"/>
                <w:sz w:val="21"/>
                <w:szCs w:val="21"/>
                <w:highlight w:val="none"/>
                <w:lang w:eastAsia="zh-CN"/>
              </w:rPr>
              <w:t>；</w:t>
            </w:r>
          </w:p>
          <w:p w14:paraId="7140B220">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工作电压：DC48V</w:t>
            </w:r>
            <w:r>
              <w:rPr>
                <w:rFonts w:hint="eastAsia" w:ascii="宋体" w:hAnsi="宋体" w:cs="宋体"/>
                <w:color w:val="auto"/>
                <w:sz w:val="21"/>
                <w:szCs w:val="21"/>
                <w:highlight w:val="none"/>
                <w:lang w:eastAsia="zh-CN"/>
              </w:rPr>
              <w:t>；</w:t>
            </w:r>
          </w:p>
          <w:p w14:paraId="5BDC4B7E">
            <w:pPr>
              <w:widowControl/>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配套吊麦支架。</w:t>
            </w:r>
          </w:p>
        </w:tc>
        <w:tc>
          <w:tcPr>
            <w:tcW w:w="748" w:type="dxa"/>
            <w:vAlign w:val="center"/>
          </w:tcPr>
          <w:p w14:paraId="163ED0C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735" w:type="dxa"/>
            <w:noWrap/>
            <w:vAlign w:val="center"/>
          </w:tcPr>
          <w:p w14:paraId="55331F23">
            <w:pPr>
              <w:widowControl/>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支</w:t>
            </w:r>
          </w:p>
        </w:tc>
      </w:tr>
      <w:tr w14:paraId="5E9F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3CD9B26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w:t>
            </w:r>
          </w:p>
        </w:tc>
        <w:tc>
          <w:tcPr>
            <w:tcW w:w="736" w:type="dxa"/>
            <w:shd w:val="clear" w:color="auto" w:fill="FFFFFF"/>
            <w:vAlign w:val="center"/>
          </w:tcPr>
          <w:p w14:paraId="5B1093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线材</w:t>
            </w:r>
          </w:p>
        </w:tc>
        <w:tc>
          <w:tcPr>
            <w:tcW w:w="5663" w:type="dxa"/>
            <w:shd w:val="clear" w:color="auto" w:fill="FFFFFF"/>
            <w:vAlign w:val="center"/>
          </w:tcPr>
          <w:p w14:paraId="547BF7AE">
            <w:pPr>
              <w:widowControl/>
              <w:numPr>
                <w:ilvl w:val="0"/>
                <w:numId w:val="0"/>
              </w:numPr>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1</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包含音箱线、话筒线、网线、高清线</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电源线等安装所需的一切配套材料</w:t>
            </w:r>
            <w:r>
              <w:rPr>
                <w:rFonts w:hint="eastAsia" w:ascii="宋体" w:hAnsi="宋体" w:eastAsia="宋体" w:cs="宋体"/>
                <w:color w:val="auto"/>
                <w:kern w:val="0"/>
                <w:sz w:val="21"/>
                <w:szCs w:val="21"/>
                <w:highlight w:val="none"/>
                <w:lang w:bidi="ar"/>
              </w:rPr>
              <w:t>，设备安装集成费等</w:t>
            </w:r>
            <w:r>
              <w:rPr>
                <w:rFonts w:hint="eastAsia" w:ascii="宋体" w:hAnsi="宋体" w:cs="宋体"/>
                <w:color w:val="auto"/>
                <w:kern w:val="0"/>
                <w:sz w:val="21"/>
                <w:szCs w:val="21"/>
                <w:highlight w:val="none"/>
                <w:lang w:eastAsia="zh-CN" w:bidi="ar"/>
              </w:rPr>
              <w:t>；</w:t>
            </w:r>
          </w:p>
          <w:p w14:paraId="651EC1DF">
            <w:pPr>
              <w:widowControl/>
              <w:numPr>
                <w:ilvl w:val="0"/>
                <w:numId w:val="0"/>
              </w:numPr>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中标人须于进场施工前将网线、高清线、音响线品牌报送采购人进行确认，经采购人确认后方可使用</w:t>
            </w:r>
            <w:r>
              <w:rPr>
                <w:rFonts w:hint="eastAsia" w:ascii="宋体" w:hAnsi="宋体" w:eastAsia="宋体" w:cs="宋体"/>
                <w:color w:val="auto"/>
                <w:kern w:val="0"/>
                <w:sz w:val="21"/>
                <w:szCs w:val="21"/>
                <w:highlight w:val="none"/>
                <w:lang w:eastAsia="zh-CN" w:bidi="ar"/>
              </w:rPr>
              <w:t>；经学校确认后的施工辅材方可入库，在学校指定仓库集中保管。材料入库及出库环节实行统一管理，做好台账记录，全过程留痕备查。</w:t>
            </w:r>
          </w:p>
        </w:tc>
        <w:tc>
          <w:tcPr>
            <w:tcW w:w="748" w:type="dxa"/>
            <w:vAlign w:val="center"/>
          </w:tcPr>
          <w:p w14:paraId="464160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735" w:type="dxa"/>
            <w:vAlign w:val="center"/>
          </w:tcPr>
          <w:p w14:paraId="3088E91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批</w:t>
            </w:r>
          </w:p>
        </w:tc>
      </w:tr>
      <w:tr w14:paraId="79F1A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622" w:type="dxa"/>
            <w:gridSpan w:val="5"/>
            <w:shd w:val="clear" w:color="auto" w:fill="FFFFFF"/>
            <w:vAlign w:val="center"/>
          </w:tcPr>
          <w:p w14:paraId="0724E09D">
            <w:pPr>
              <w:widowControl/>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二、AI精品智慧录播系统</w:t>
            </w:r>
          </w:p>
        </w:tc>
      </w:tr>
      <w:tr w14:paraId="46FD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740" w:type="dxa"/>
            <w:shd w:val="clear" w:color="auto" w:fill="FFFFFF"/>
            <w:vAlign w:val="center"/>
          </w:tcPr>
          <w:p w14:paraId="5D419A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6" w:type="dxa"/>
            <w:shd w:val="clear" w:color="auto" w:fill="FFFFFF"/>
            <w:vAlign w:val="center"/>
          </w:tcPr>
          <w:p w14:paraId="1740E00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4K AI音视频终端</w:t>
            </w:r>
          </w:p>
        </w:tc>
        <w:tc>
          <w:tcPr>
            <w:tcW w:w="5663" w:type="dxa"/>
            <w:shd w:val="clear" w:color="auto" w:fill="FFFFFF"/>
            <w:vAlign w:val="center"/>
          </w:tcPr>
          <w:p w14:paraId="4D422762">
            <w:pPr>
              <w:widowControl/>
              <w:numPr>
                <w:ilvl w:val="0"/>
                <w:numId w:val="4"/>
              </w:numPr>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主机架构：1U机架式设计，整体采用嵌入式设计.非PC与服务器工作站等架构，以保障系统运行稳定.安全；</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2.主机采用ARM架构处理器，CPU核心数≥8核，主频≥2.4GHz；</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输入输出接口：RJ45≥6个，其中POE接口≥4，HDMI输入≥1，HDMI输出≥2路，双向UVC输入输出≥1路，且输入输出分辨率均支持4K@30fps.1080P@30fps。主机支持≥1数字音频DMIC输入，≥1路3.5mmMICIN输入，≥1路3.5mmLINEIN输入，≥2路3.5mmLINEOUT输出，支持回声抑制.增益.噪声抑制与音频均衡功能；</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4.▲算力能力：主机内置独立算力卡，算力≥18TOPs（INT8）。整机所有内置等效算力总和≥24TOPs（INT8）；</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5.控制接口：为方便控制教室设备及后续扩展需求，支持≥4路本地</w:t>
            </w:r>
            <w:r>
              <w:rPr>
                <w:rFonts w:hint="eastAsia" w:ascii="宋体" w:hAnsi="宋体" w:eastAsia="宋体" w:cs="宋体"/>
                <w:color w:val="auto"/>
                <w:kern w:val="0"/>
                <w:sz w:val="21"/>
                <w:szCs w:val="21"/>
                <w:highlight w:val="none"/>
                <w:lang w:val="en-US" w:eastAsia="zh-CN" w:bidi="ar"/>
              </w:rPr>
              <w:t>RS232或者RS485</w:t>
            </w:r>
            <w:r>
              <w:rPr>
                <w:rFonts w:hint="eastAsia" w:ascii="宋体" w:hAnsi="宋体" w:eastAsia="宋体" w:cs="宋体"/>
                <w:color w:val="auto"/>
                <w:kern w:val="0"/>
                <w:sz w:val="21"/>
                <w:szCs w:val="21"/>
                <w:highlight w:val="none"/>
                <w:lang w:bidi="ar"/>
              </w:rPr>
              <w:t>接口；</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6.内置音频处理器：主机内置音频处理器，具备AI降噪功能，具备AI语音识别，支撑课堂分析使用。支持音频采样率的设置，且支持AGC自动增益.ANS噪声抑制.EQ均衡.AEC回声抑制等音频处理功能；</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7.兼容标准H.265、H.264视频编解码能力，要求支持4KP@60fps、1080P@30fps、720P@30fps，以及AAC音频编解码协议标准且内置音频处理功能；</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8.4K视频录制：支持多路4K录制功能，支持</w:t>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bidi="ar"/>
              </w:rPr>
              <w:t>路4K@30fps录制</w:t>
            </w:r>
            <w:r>
              <w:rPr>
                <w:rFonts w:hint="eastAsia" w:ascii="宋体" w:hAnsi="宋体" w:cs="宋体"/>
                <w:color w:val="auto"/>
                <w:kern w:val="0"/>
                <w:sz w:val="21"/>
                <w:szCs w:val="21"/>
                <w:highlight w:val="none"/>
                <w:lang w:eastAsia="zh-CN" w:bidi="ar"/>
              </w:rPr>
              <w:t>；</w:t>
            </w:r>
          </w:p>
          <w:p w14:paraId="22919571">
            <w:pPr>
              <w:widowControl/>
              <w:numPr>
                <w:ilvl w:val="0"/>
                <w:numId w:val="0"/>
              </w:numPr>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b w:val="0"/>
                <w:bCs w:val="0"/>
                <w:color w:val="auto"/>
                <w:kern w:val="0"/>
                <w:sz w:val="21"/>
                <w:szCs w:val="21"/>
                <w:highlight w:val="none"/>
                <w:lang w:val="en-US" w:eastAsia="zh-CN" w:bidi="ar"/>
              </w:rPr>
              <w:t>9</w:t>
            </w:r>
            <w:r>
              <w:rPr>
                <w:rFonts w:hint="eastAsia" w:ascii="宋体" w:hAnsi="宋体" w:cs="宋体"/>
                <w:b w:val="0"/>
                <w:bCs w:val="0"/>
                <w:color w:val="auto"/>
                <w:kern w:val="0"/>
                <w:sz w:val="21"/>
                <w:szCs w:val="21"/>
                <w:highlight w:val="none"/>
                <w:lang w:val="en-US" w:eastAsia="zh-CN" w:bidi="ar"/>
              </w:rPr>
              <w:t>.</w:t>
            </w:r>
            <w:r>
              <w:rPr>
                <w:rFonts w:hint="eastAsia" w:ascii="宋体" w:hAnsi="宋体" w:eastAsia="宋体" w:cs="宋体"/>
                <w:b w:val="0"/>
                <w:bCs w:val="0"/>
                <w:color w:val="auto"/>
                <w:kern w:val="0"/>
                <w:sz w:val="21"/>
                <w:szCs w:val="21"/>
                <w:highlight w:val="none"/>
                <w:lang w:val="en-US" w:eastAsia="zh-CN" w:bidi="ar"/>
              </w:rPr>
              <w:t>支持接入AI资源管理平台，实现资源统一管理、设备集中管控。</w:t>
            </w:r>
          </w:p>
        </w:tc>
        <w:tc>
          <w:tcPr>
            <w:tcW w:w="748" w:type="dxa"/>
            <w:shd w:val="clear" w:color="auto" w:fill="FFFFFF"/>
            <w:vAlign w:val="center"/>
          </w:tcPr>
          <w:p w14:paraId="1E464B9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500F96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r>
      <w:tr w14:paraId="21AE2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3FCB058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w:t>
            </w:r>
          </w:p>
        </w:tc>
        <w:tc>
          <w:tcPr>
            <w:tcW w:w="736" w:type="dxa"/>
            <w:shd w:val="clear" w:color="auto" w:fill="FFFFFF"/>
            <w:vAlign w:val="center"/>
          </w:tcPr>
          <w:p w14:paraId="3795947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专业管理控制系统</w:t>
            </w:r>
          </w:p>
        </w:tc>
        <w:tc>
          <w:tcPr>
            <w:tcW w:w="5663" w:type="dxa"/>
            <w:shd w:val="clear" w:color="auto" w:fill="FFFFFF"/>
            <w:vAlign w:val="center"/>
          </w:tcPr>
          <w:p w14:paraId="31E9E2BF">
            <w:pPr>
              <w:widowControl/>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1.支持主讲教室一键组成互动课堂，听课教室无需任何操作，支持课程预约功能，同时用户可通过点击已预约课程进入互动课堂。也能够根据课表自动开始/结束互动课堂，支持互动权限设置，禁止发言、允许发言等；</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2.支持对视频通道进行配置，对串口进行配置，修改通道名称，通道子码流配置；</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3.▲支持云台摄像机控制，支持PTZ（云台全方位移动及镜头变倍.变焦控制），支持可调用≥9个预置位，可设置预置位≥8个。支持通过手机扫码实现字幕输入，满足教学互动字幕显示与编辑机的基本功能需求</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4.支持本地导播、远程导播，本地导播可通过外接鼠标实现本地导播控制；通过带有触控的显示设备实现对互动录播电脑主机的导播控制；远程导播可通网络配合软件系统对主机进行远程导播控制</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5.支持开始录制、暂停录制、停止录制。录制开始后系统自动计时。支持开启直播或关闭直播</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6.支持多种画面模式，支持单画面、2种画中画、左右等分、三画面、四画面等6种画面合成模式，支持自动导播、手动导播</w:t>
            </w:r>
            <w:r>
              <w:rPr>
                <w:rFonts w:hint="eastAsia"/>
                <w:color w:val="auto"/>
                <w:sz w:val="21"/>
                <w:szCs w:val="21"/>
                <w:highlight w:val="none"/>
                <w:lang w:eastAsia="zh-CN"/>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支持远程互动，支持创建远程互动课堂，编辑课堂名称、课堂时间、视频模式切换，在多方互动时可进行互动画面轮巡播放;支持查看历史互动记录，包括所有已在互动云系统注册的录播账号、录播名称，能够快速重新开始建立互动；</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shd w:val="clear"/>
                <w:lang w:bidi="ar"/>
              </w:rPr>
              <w:t>8.▲支持具有蓝、绿背景抠图功能，通过叠加不同场景，快速实现校园电视台和微课制作。支持普通2D抠图和3D抠图，内置≥16个虚拟场景，实现多维度虚拟场景叠加；支持抠图区域大小和抠图人物位置的自定义设置</w:t>
            </w:r>
            <w:r>
              <w:rPr>
                <w:rFonts w:hint="eastAsia" w:ascii="宋体" w:hAnsi="宋体" w:cs="宋体"/>
                <w:color w:val="auto"/>
                <w:kern w:val="0"/>
                <w:sz w:val="21"/>
                <w:szCs w:val="21"/>
                <w:highlight w:val="none"/>
                <w:shd w:val="clear"/>
                <w:lang w:eastAsia="zh-CN" w:bidi="ar"/>
              </w:rPr>
              <w:t>；</w:t>
            </w:r>
          </w:p>
          <w:p w14:paraId="6E9E3208">
            <w:pPr>
              <w:widowControl/>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9.</w:t>
            </w:r>
            <w:r>
              <w:rPr>
                <w:rFonts w:hint="eastAsia" w:ascii="宋体" w:hAnsi="宋体" w:eastAsia="宋体" w:cs="宋体"/>
                <w:color w:val="auto"/>
                <w:kern w:val="0"/>
                <w:sz w:val="21"/>
                <w:szCs w:val="21"/>
                <w:highlight w:val="none"/>
                <w:lang w:bidi="ar"/>
              </w:rPr>
              <w:t>支持≥</w:t>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bidi="ar"/>
              </w:rPr>
              <w:t>路导播通道显示，显示画面包括教师全景、学生全景、教师特写、学生特写、教学电脑画面、远程互动画面等其他素材；</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0</w:t>
            </w:r>
            <w:r>
              <w:rPr>
                <w:rFonts w:hint="eastAsia" w:ascii="宋体" w:hAnsi="宋体" w:eastAsia="宋体" w:cs="宋体"/>
                <w:color w:val="auto"/>
                <w:kern w:val="0"/>
                <w:sz w:val="21"/>
                <w:szCs w:val="21"/>
                <w:highlight w:val="none"/>
                <w:lang w:bidi="ar"/>
              </w:rPr>
              <w:t>.支持在巡课过程中快速进行评课活动，支持打分评课与打点评课；</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.支持查看主机录制文件，点击文件即可播放课程视频，支持对文作手动上传、下载、重命名、删除等操作；支持对录制文件进行搜索查看文件上传状态；</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.支持自动删除策略，当硬盘空间不足时，自动删除百分比文件；</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.支持</w:t>
            </w:r>
            <w:r>
              <w:rPr>
                <w:rFonts w:hint="eastAsia" w:ascii="宋体" w:hAnsi="宋体" w:eastAsia="宋体" w:cs="宋体"/>
                <w:color w:val="auto"/>
                <w:kern w:val="0"/>
                <w:sz w:val="21"/>
                <w:szCs w:val="21"/>
                <w:highlight w:val="none"/>
                <w:lang w:val="en-US" w:eastAsia="zh-CN" w:bidi="ar"/>
              </w:rPr>
              <w:t>RTMP</w:t>
            </w:r>
            <w:r>
              <w:rPr>
                <w:rFonts w:hint="eastAsia" w:ascii="宋体" w:hAnsi="宋体" w:eastAsia="宋体" w:cs="宋体"/>
                <w:color w:val="auto"/>
                <w:kern w:val="0"/>
                <w:sz w:val="21"/>
                <w:szCs w:val="21"/>
                <w:highlight w:val="none"/>
                <w:lang w:bidi="ar"/>
              </w:rPr>
              <w:t>推送，将教师全景、学生全景、教师特写、学生特写及电脑屏幕画面的视频流进行推送，支持设置编码尺寸及编码质量；</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.支持 RTMP直播设置，支持自动开启直播支持配置推送服务器地址、支持四路RTMP同步推流直播，直播信号可选择主码流或者子码流信号源；</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bidi="ar"/>
              </w:rPr>
              <w:t>.支持UVC和UAC协议，通过主机TypeC接口可以实现图像和声音同步输出，输出音频可通过主机控制软件实现混音，兼容主流视频会议软件；</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bidi="ar"/>
              </w:rPr>
              <w:t>.支持通过语音指令</w:t>
            </w:r>
            <w:r>
              <w:rPr>
                <w:rFonts w:hint="eastAsia" w:ascii="宋体" w:hAnsi="宋体" w:eastAsia="宋体" w:cs="宋体"/>
                <w:color w:val="auto"/>
                <w:kern w:val="0"/>
                <w:sz w:val="21"/>
                <w:szCs w:val="21"/>
                <w:highlight w:val="none"/>
                <w:lang w:val="en-US" w:eastAsia="zh-CN" w:bidi="ar"/>
              </w:rPr>
              <w:t>或</w:t>
            </w:r>
            <w:r>
              <w:rPr>
                <w:rFonts w:hint="eastAsia" w:ascii="宋体" w:hAnsi="宋体" w:eastAsia="宋体" w:cs="宋体"/>
                <w:color w:val="auto"/>
                <w:kern w:val="0"/>
                <w:sz w:val="21"/>
                <w:szCs w:val="21"/>
                <w:highlight w:val="none"/>
                <w:lang w:bidi="ar"/>
              </w:rPr>
              <w:t>导播控制软件软件控制设备操作，提升交互便捷性，如开始直播录制、停止直播录制、画面切换、开启跟踪、导播控制、选择互动教室等；</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bidi="ar"/>
              </w:rPr>
              <w:t>.▲支持敏感词功能，支持手动编写就自动导入敏感词，自动检测并替换敏感词汇为***，确保内容合规</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bidi="ar"/>
              </w:rPr>
              <w:t>.支持自动缓存与教学平台对应的课表数据，支持与教学平台断开连接时也能按照缓存的课表自动录制，待网络恢复后可自动上传录制的课件资源；</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19</w:t>
            </w:r>
            <w:r>
              <w:rPr>
                <w:rFonts w:hint="eastAsia" w:ascii="宋体" w:hAnsi="宋体" w:eastAsia="宋体" w:cs="宋体"/>
                <w:color w:val="auto"/>
                <w:kern w:val="0"/>
                <w:sz w:val="21"/>
                <w:szCs w:val="21"/>
                <w:highlight w:val="none"/>
                <w:lang w:bidi="ar"/>
              </w:rPr>
              <w:t>.支持OCR文字识别、语音识别功能，中英文识别正确率不低于95%；</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w:t>
            </w:r>
            <w:r>
              <w:rPr>
                <w:rFonts w:hint="eastAsia" w:ascii="宋体" w:hAnsi="宋体" w:eastAsia="宋体" w:cs="宋体"/>
                <w:color w:val="auto"/>
                <w:kern w:val="0"/>
                <w:sz w:val="21"/>
                <w:szCs w:val="21"/>
                <w:highlight w:val="none"/>
                <w:lang w:val="en-US" w:eastAsia="zh-CN" w:bidi="ar"/>
              </w:rPr>
              <w:t>0</w:t>
            </w:r>
            <w:r>
              <w:rPr>
                <w:rFonts w:hint="eastAsia" w:ascii="宋体" w:hAnsi="宋体" w:eastAsia="宋体" w:cs="宋体"/>
                <w:color w:val="auto"/>
                <w:kern w:val="0"/>
                <w:sz w:val="21"/>
                <w:szCs w:val="21"/>
                <w:highlight w:val="none"/>
                <w:lang w:bidi="ar"/>
              </w:rPr>
              <w:t>.语音识别完成课堂音频的文字转换，实现课堂教学过程语音全记录，支持输出整节课的文字字幕；实现字幕与视频进度关联，通过点击字幕同步播放对应进度的视频；</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.支持将音频内容实时或离线转写为文字，录制完的课件，在回放的时候，可以在视频下方显示字幕；</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.支持多语言和高准确率字幕生成，包括但不限于中文、英语等。</w:t>
            </w:r>
          </w:p>
        </w:tc>
        <w:tc>
          <w:tcPr>
            <w:tcW w:w="748" w:type="dxa"/>
            <w:shd w:val="clear" w:color="auto" w:fill="FFFFFF"/>
            <w:vAlign w:val="center"/>
          </w:tcPr>
          <w:p w14:paraId="3FFCCDB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0D8BD6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r>
      <w:tr w14:paraId="6DD30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740" w:type="dxa"/>
            <w:shd w:val="clear" w:color="auto" w:fill="FFFFFF"/>
            <w:vAlign w:val="center"/>
          </w:tcPr>
          <w:p w14:paraId="26A0471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w:t>
            </w:r>
          </w:p>
        </w:tc>
        <w:tc>
          <w:tcPr>
            <w:tcW w:w="736" w:type="dxa"/>
            <w:shd w:val="clear" w:color="auto" w:fill="FFFFFF"/>
            <w:vAlign w:val="center"/>
          </w:tcPr>
          <w:p w14:paraId="7B1E75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AI 跟踪分析系统</w:t>
            </w:r>
          </w:p>
        </w:tc>
        <w:tc>
          <w:tcPr>
            <w:tcW w:w="5663" w:type="dxa"/>
            <w:shd w:val="clear" w:color="auto" w:fill="FFFFFF"/>
            <w:vAlign w:val="center"/>
          </w:tcPr>
          <w:p w14:paraId="1F98BBB3">
            <w:pPr>
              <w:widowControl/>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AI 跟踪分析系统（支持两种部署模式，跟踪分析功能既可内置集成于录播主机内部实现，也可外接独立跟踪分析主机完成业务处理。）</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1.支持全自动智能拟人化拍摄，教师、学生无需佩戴任何跟踪设备，无需安装外接元器件、感应设备，跟踪拍摄全程无需人工干涉；采用内置图像定位算法，减少教室布线及设备连接故障点；</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2.支持教师人脸识别开启SOT伴随式跟踪模式，锁定教师目标后伴随移动跟踪，保持目标画面最佳比例，适配讲台内/走下讲台场景；具备抗干扰能力，多目标环境下不丢失已锁定目标；</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3.需支持学生AI跟踪定位，可根据站立学生数量自动调整跟踪策略；</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4.系统自动统计教师授课、师生互动、小组讨论、课堂练习的时间分布情况，支持图形可视化展示不同课堂行为的整体时间占比</w:t>
            </w:r>
            <w:r>
              <w:rPr>
                <w:rFonts w:hint="eastAsia" w:ascii="宋体" w:hAnsi="宋体" w:cs="宋体"/>
                <w:color w:val="auto"/>
                <w:kern w:val="0"/>
                <w:sz w:val="21"/>
                <w:szCs w:val="21"/>
                <w:highlight w:val="none"/>
                <w:lang w:eastAsia="zh-CN" w:bidi="ar"/>
              </w:rPr>
              <w:t>；</w:t>
            </w:r>
          </w:p>
          <w:p w14:paraId="4C96F22A">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bidi="ar"/>
              </w:rPr>
              <w:t>.系统支持查看单个学生的课堂互动数据，包括举手次数、起立次数、回答次数，以及该学生的专注度、情绪状态和对应趋势图</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bidi="ar"/>
              </w:rPr>
              <w:t>.▲课堂质量报告：软件通过分析结果对每个课堂视频自动形成“课堂质量报告”，包含对课堂教情数据（包括教师提问、语速、关键词、轨迹、S-T分析、互动指数、RT-CH等）、课堂学情数据（包括学生出勤、课堂专注曲线、学生动作表情）等数据的多维度分析结果</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bidi="ar"/>
              </w:rPr>
              <w:t>.配合导播规则，实现教学过程全自动4—5机位画面切换，教师全景1路、教师特写1路、学生全景1路、学生特写1路、板书画面1路；</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bidi="ar"/>
              </w:rPr>
              <w:t>.支持有课表模式：教师进入教室，人脸识别启动跟踪，切换教师特写；教师离开教室切换教师全景。学生站立先切换学生全景，特写到位后切换学生特写；学生坐下后切换回教师特写</w:t>
            </w:r>
            <w:r>
              <w:rPr>
                <w:rFonts w:hint="eastAsia" w:ascii="宋体" w:hAnsi="宋体" w:cs="宋体"/>
                <w:color w:val="auto"/>
                <w:kern w:val="0"/>
                <w:sz w:val="21"/>
                <w:szCs w:val="21"/>
                <w:highlight w:val="none"/>
                <w:lang w:eastAsia="zh-CN" w:bidi="ar"/>
              </w:rPr>
              <w:t>。</w:t>
            </w:r>
          </w:p>
        </w:tc>
        <w:tc>
          <w:tcPr>
            <w:tcW w:w="748" w:type="dxa"/>
            <w:shd w:val="clear" w:color="auto" w:fill="FFFFFF"/>
            <w:vAlign w:val="center"/>
          </w:tcPr>
          <w:p w14:paraId="42800C2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003D3A8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r>
      <w:tr w14:paraId="65B5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140539B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w:t>
            </w:r>
          </w:p>
        </w:tc>
        <w:tc>
          <w:tcPr>
            <w:tcW w:w="736" w:type="dxa"/>
            <w:shd w:val="clear" w:color="auto" w:fill="FFFFFF"/>
            <w:vAlign w:val="center"/>
          </w:tcPr>
          <w:p w14:paraId="1A5EAE5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机械云台摄像机（含云台图像处理系统）</w:t>
            </w:r>
          </w:p>
        </w:tc>
        <w:tc>
          <w:tcPr>
            <w:tcW w:w="5663" w:type="dxa"/>
            <w:shd w:val="clear" w:color="auto" w:fill="FFFFFF"/>
            <w:vAlign w:val="center"/>
          </w:tcPr>
          <w:p w14:paraId="2EB7DE5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一、硬件部分</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1.支持全景与特写切换跟踪模式；</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2.摄录设备采用CMOS类型图像传感器，尺寸≥1/2.8英寸.传感器有效像素不低于800万且支持分辨率3840×2160并向下兼容</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支持≥4K60fps（3840×2160，60帧）超高清实时画面输出</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3.云台转动：设备搭载一体化机械云台，支持水平、垂直方向转动</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4.视频编码：要求支持 H.265、H.264 高清视频编码议；</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视频输出：要求具备网络输出口（RJ45）≥1，HDMI视频输出口≥1；</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6.接口：要求具备 RS232/RS422≥1；RJ45 网络接口≥1，Line in 输入口≥1；</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7.数字降噪：支持 2D/3D 数字降噪，信噪比≥55dB；</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8.要求与搭配的录播主机实现基于 RJ45 双绞线的一线通连接，完成摄像机供电、控制以及视频信号传输；</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9.支持对录播主机实现基于数据链路层的数字视频数据传输技术，能实现音视频同步，支持标准网络视频传输协议</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10.需支持对锁定跟拍对象进行人脸特征与肢体双重认证识别，在多人同时进入拍摄画面的情况下，持续锁定跟踪对象，不出现跟丢和误跟的情况；</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11.支持在拍摄画面有显示设备或其他动态视频播放的情况下，自动启用AI抗干扰能力，保障画面始终锁定被跟踪对象，且跟踪效果不受影响；</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12.▲PTZ自适应：需支持PTZ实时跟焦，AI跟踪的状态下能实现摄像机水平旋转、垂直旋转、变焦的实时同步变化，无需等待拍摄对象稳定后再变焦调整画面，移动过程不虚焦，实现拍摄画面的自适应稳定调整；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二、云台图像处理系统</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1.摄像机传输处理软件需采用B/S架构，支持通用浏览器直接访问进行管理</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2.支持自动.一键式.手动白平衡.跟随全景</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支持抗闪烁可调，可适配50hz.60hz工频灯光闪烁，支持曝光优先智能抗闪。在抗闪模式下，画面严重过曝时，会自己解除抗闪烁限制。支持摄像机云台控制，支持云台速度调节。支持对摄像机网络进行管理，包括设置IP地址/网关/DNS等，支持组播协议搜索IP地址，并修改摄像机IP</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4.支持RTMP推流，RTSP拉流，地址可设置;支持ONVIF协议.GB28181协议</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5.摄像机支持Tally灯,当该机位画面为导播画面时，</w:t>
            </w:r>
            <w:r>
              <w:rPr>
                <w:rFonts w:hint="eastAsia" w:ascii="宋体" w:hAnsi="宋体" w:eastAsia="宋体" w:cs="宋体"/>
                <w:color w:val="auto"/>
                <w:kern w:val="0"/>
                <w:sz w:val="21"/>
                <w:szCs w:val="21"/>
                <w:highlight w:val="none"/>
                <w:lang w:val="en-US" w:eastAsia="zh-CN" w:bidi="ar"/>
              </w:rPr>
              <w:t>蓝</w:t>
            </w:r>
            <w:r>
              <w:rPr>
                <w:rFonts w:hint="eastAsia" w:ascii="宋体" w:hAnsi="宋体" w:eastAsia="宋体" w:cs="宋体"/>
                <w:color w:val="auto"/>
                <w:kern w:val="0"/>
                <w:sz w:val="21"/>
                <w:szCs w:val="21"/>
                <w:highlight w:val="none"/>
                <w:lang w:bidi="ar"/>
              </w:rPr>
              <w:t>灯亮起</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6.需支持摄像机图像质量调节功能，包括亮度、对比度、色调、饱和度；</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7.需支持图像水平、垂直翻转，适应摄像机不同的安装方式要求；</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8.需支持摄像机控制功能，包括云台控制、预置位设置与调用、焦距调节等，预置位数≥255；</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9.摄像机内嵌智能跟踪算法，无需单独安装定位跟踪主机及其他任何辅助拍摄设备，即可实现跟踪定位控制功能；支持跟踪区域划定方式为任意两个边缘点连线</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10.支持配合录播主机划分的自动跟踪区域，当锁定跟踪人物走出自动跟踪区域时即停止跟踪，直到重新回到区域出现在画面中为止；</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11.需支持依据录播主机设置的跟踪目标更新周期时间，被跟拍人员脱离跟踪拍摄区域后开始计时，到达更新周期时间后自动解除目标跟拍锁定，回归默认状态，待下一位人员进入画面中开始重新锁定跟踪；</w:t>
            </w:r>
          </w:p>
        </w:tc>
        <w:tc>
          <w:tcPr>
            <w:tcW w:w="748" w:type="dxa"/>
            <w:shd w:val="clear" w:color="auto" w:fill="FFFFFF"/>
            <w:vAlign w:val="center"/>
          </w:tcPr>
          <w:p w14:paraId="2DDB2A0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w:t>
            </w:r>
          </w:p>
        </w:tc>
        <w:tc>
          <w:tcPr>
            <w:tcW w:w="735" w:type="dxa"/>
            <w:shd w:val="clear" w:color="auto" w:fill="FFFFFF"/>
            <w:vAlign w:val="center"/>
          </w:tcPr>
          <w:p w14:paraId="536522E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r>
      <w:tr w14:paraId="29CB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49A8B1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w:t>
            </w:r>
          </w:p>
        </w:tc>
        <w:tc>
          <w:tcPr>
            <w:tcW w:w="736" w:type="dxa"/>
            <w:shd w:val="clear" w:color="auto" w:fill="FFFFFF"/>
            <w:vAlign w:val="center"/>
          </w:tcPr>
          <w:p w14:paraId="57A718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录制面板</w:t>
            </w:r>
          </w:p>
        </w:tc>
        <w:tc>
          <w:tcPr>
            <w:tcW w:w="5663" w:type="dxa"/>
            <w:shd w:val="clear" w:color="auto" w:fill="FFFFFF"/>
            <w:vAlign w:val="center"/>
          </w:tcPr>
          <w:p w14:paraId="6B9BF3A7">
            <w:pPr>
              <w:widowControl/>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1.整机采用≥8英寸液晶触控屏，支持≥10点触摸，可实现放大缩小图片等多点触摸功能；</w:t>
            </w:r>
          </w:p>
          <w:p w14:paraId="418D653A">
            <w:pPr>
              <w:widowControl/>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2.整机为可嵌入式设计，可嵌入讲台.墙壁内安装</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3.整体支持≥19个自定义按键</w:t>
            </w:r>
            <w:r>
              <w:rPr>
                <w:rFonts w:hint="eastAsia" w:ascii="宋体" w:hAnsi="宋体" w:cs="宋体"/>
                <w:color w:val="auto"/>
                <w:kern w:val="0"/>
                <w:sz w:val="21"/>
                <w:szCs w:val="21"/>
                <w:highlight w:val="none"/>
                <w:lang w:eastAsia="zh-CN" w:bidi="ar"/>
              </w:rPr>
              <w:t>；</w:t>
            </w:r>
          </w:p>
          <w:p w14:paraId="7946BBD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4.支持控制录播主机开关机.支持控制录播开启录制.直播和结束录播直播。</w:t>
            </w:r>
          </w:p>
        </w:tc>
        <w:tc>
          <w:tcPr>
            <w:tcW w:w="748" w:type="dxa"/>
            <w:shd w:val="clear" w:color="auto" w:fill="FFFFFF"/>
            <w:vAlign w:val="center"/>
          </w:tcPr>
          <w:p w14:paraId="7A0E0CD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015C6A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r>
      <w:tr w14:paraId="25EB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47E412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w:t>
            </w:r>
          </w:p>
        </w:tc>
        <w:tc>
          <w:tcPr>
            <w:tcW w:w="736" w:type="dxa"/>
            <w:shd w:val="clear" w:color="auto" w:fill="FFFFFF"/>
            <w:vAlign w:val="center"/>
          </w:tcPr>
          <w:p w14:paraId="74A94D4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电源管理器</w:t>
            </w:r>
          </w:p>
        </w:tc>
        <w:tc>
          <w:tcPr>
            <w:tcW w:w="5663" w:type="dxa"/>
            <w:shd w:val="clear" w:color="auto" w:fill="FFFFFF"/>
            <w:vAlign w:val="center"/>
          </w:tcPr>
          <w:p w14:paraId="45E2DAEB">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ar"/>
              </w:rPr>
              <w:t>1.支持定时开关机功能，支持内置时钟芯片，可根据日期时间设定，无需人为操作；</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.支持≥6路通道输出，每路可一键单独开启或关闭；</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.支持每路延时开启和关闭时间可自由设置；</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.支持特设欠压、超压检测及报警功能，总功率6000W，单路功率2000W；</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bidi="ar"/>
              </w:rPr>
              <w:t>.支持RS232接口，支持外部中央控制设备控制</w:t>
            </w:r>
            <w:r>
              <w:rPr>
                <w:rFonts w:hint="eastAsia" w:ascii="宋体" w:hAnsi="宋体" w:cs="宋体"/>
                <w:color w:val="auto"/>
                <w:kern w:val="0"/>
                <w:sz w:val="21"/>
                <w:szCs w:val="21"/>
                <w:highlight w:val="none"/>
                <w:lang w:eastAsia="zh-CN" w:bidi="ar"/>
              </w:rPr>
              <w:t>。</w:t>
            </w:r>
          </w:p>
        </w:tc>
        <w:tc>
          <w:tcPr>
            <w:tcW w:w="748" w:type="dxa"/>
            <w:shd w:val="clear" w:color="auto" w:fill="FFFFFF"/>
            <w:vAlign w:val="center"/>
          </w:tcPr>
          <w:p w14:paraId="36C1467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55F386A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r>
      <w:tr w14:paraId="1FE10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9" w:hRule="atLeast"/>
        </w:trPr>
        <w:tc>
          <w:tcPr>
            <w:tcW w:w="740" w:type="dxa"/>
            <w:shd w:val="clear" w:color="auto" w:fill="FFFFFF"/>
            <w:vAlign w:val="center"/>
          </w:tcPr>
          <w:p w14:paraId="2D269E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w:t>
            </w:r>
          </w:p>
        </w:tc>
        <w:tc>
          <w:tcPr>
            <w:tcW w:w="736" w:type="dxa"/>
            <w:shd w:val="clear" w:color="auto" w:fill="FFFFFF"/>
            <w:vAlign w:val="center"/>
          </w:tcPr>
          <w:p w14:paraId="19C42C6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音频处理器</w:t>
            </w:r>
          </w:p>
        </w:tc>
        <w:tc>
          <w:tcPr>
            <w:tcW w:w="5663" w:type="dxa"/>
            <w:shd w:val="clear" w:color="auto" w:fill="FFFFFF"/>
            <w:vAlign w:val="center"/>
          </w:tcPr>
          <w:p w14:paraId="49258467">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ar"/>
              </w:rPr>
              <w:t>1</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可同时支持吊麦、无线麦克风、桌面麦和课件的扩声，全输入录音，扩声不啸叫，录音高保真，吊麦拾音范围5-8米，做到讲台区域全覆</w:t>
            </w:r>
            <w:r>
              <w:rPr>
                <w:rFonts w:hint="eastAsia" w:ascii="宋体" w:hAnsi="宋体" w:cs="宋体"/>
                <w:color w:val="auto"/>
                <w:kern w:val="0"/>
                <w:sz w:val="21"/>
                <w:szCs w:val="21"/>
                <w:highlight w:val="none"/>
                <w:lang w:val="en-US" w:eastAsia="zh-CN" w:bidi="ar"/>
              </w:rPr>
              <w:t>盖</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具备AGC功能，防止大声讲话或齐声朗读时破音；</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具备嘈杂环境检测，检测到嘈杂声时，可以自动降低或关闭吊麦扩声，以免教室声场嘈杂；</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支持16段EQ调节，满足各种场景应用；</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具有有效过滤教室内的空调、电风扇等发出的噪音干扰功能，过滤噪声不影响扩声效果；</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外部调试接口：满足网络接口以及RS485接口配置；支持软硬件一键恢复出厂设置；</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具备反馈抑制（AFC）：声音增益提升幅度≥15dB；</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8</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前面板支持音量触摸按键调节，每路输入LED灯显示</w:t>
            </w:r>
            <w:r>
              <w:rPr>
                <w:rFonts w:hint="eastAsia" w:ascii="宋体" w:hAnsi="宋体" w:cs="宋体"/>
                <w:color w:val="auto"/>
                <w:kern w:val="0"/>
                <w:sz w:val="21"/>
                <w:szCs w:val="21"/>
                <w:highlight w:val="none"/>
                <w:lang w:eastAsia="zh-CN" w:bidi="ar"/>
              </w:rPr>
              <w:t>。</w:t>
            </w:r>
          </w:p>
        </w:tc>
        <w:tc>
          <w:tcPr>
            <w:tcW w:w="748" w:type="dxa"/>
            <w:shd w:val="clear" w:color="auto" w:fill="FFFFFF"/>
            <w:vAlign w:val="center"/>
          </w:tcPr>
          <w:p w14:paraId="5702D36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066815E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r>
      <w:tr w14:paraId="4BE02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47BF8CB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w:t>
            </w:r>
          </w:p>
        </w:tc>
        <w:tc>
          <w:tcPr>
            <w:tcW w:w="736" w:type="dxa"/>
            <w:shd w:val="clear" w:color="auto" w:fill="FFFFFF"/>
            <w:vAlign w:val="center"/>
          </w:tcPr>
          <w:p w14:paraId="4376FB7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麦克风</w:t>
            </w:r>
          </w:p>
        </w:tc>
        <w:tc>
          <w:tcPr>
            <w:tcW w:w="5663" w:type="dxa"/>
            <w:shd w:val="clear" w:color="auto" w:fill="FFFFFF"/>
            <w:vAlign w:val="center"/>
          </w:tcPr>
          <w:p w14:paraId="1EE8CCE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1.频率响应：20Hz～20KHz；</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2.灵敏度：≥-35dB；</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3.指向特性：超心型 ≤135°；</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4.最大声压级：≥135dB</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5.供电电压：48V幻象电源供电。</w:t>
            </w:r>
          </w:p>
        </w:tc>
        <w:tc>
          <w:tcPr>
            <w:tcW w:w="748" w:type="dxa"/>
            <w:shd w:val="clear" w:color="auto" w:fill="FFFFFF"/>
            <w:vAlign w:val="center"/>
          </w:tcPr>
          <w:p w14:paraId="6D2A5E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w:t>
            </w:r>
          </w:p>
        </w:tc>
        <w:tc>
          <w:tcPr>
            <w:tcW w:w="735" w:type="dxa"/>
            <w:shd w:val="clear" w:color="auto" w:fill="FFFFFF"/>
            <w:vAlign w:val="center"/>
          </w:tcPr>
          <w:p w14:paraId="1CE643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支</w:t>
            </w:r>
          </w:p>
        </w:tc>
      </w:tr>
      <w:tr w14:paraId="01926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16D3A2D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w:t>
            </w:r>
          </w:p>
        </w:tc>
        <w:tc>
          <w:tcPr>
            <w:tcW w:w="736" w:type="dxa"/>
            <w:shd w:val="clear" w:color="auto" w:fill="FFFFFF"/>
            <w:vAlign w:val="center"/>
          </w:tcPr>
          <w:p w14:paraId="1E7363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音箱</w:t>
            </w:r>
          </w:p>
        </w:tc>
        <w:tc>
          <w:tcPr>
            <w:tcW w:w="5663" w:type="dxa"/>
            <w:shd w:val="clear" w:color="auto" w:fill="FFFFFF"/>
            <w:vAlign w:val="center"/>
          </w:tcPr>
          <w:p w14:paraId="3D9C2EA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灵敏度（1W/1m）: 94dB</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频响范围: 60Hz~19KHz</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标称阻抗:8Ω</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额定功率:60W</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低音单元:2×4.5”</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高音单元:1×1”；</w:t>
            </w:r>
          </w:p>
        </w:tc>
        <w:tc>
          <w:tcPr>
            <w:tcW w:w="748" w:type="dxa"/>
            <w:shd w:val="clear" w:color="auto" w:fill="FFFFFF"/>
            <w:vAlign w:val="center"/>
          </w:tcPr>
          <w:p w14:paraId="63B063B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53EFB1F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对</w:t>
            </w:r>
          </w:p>
        </w:tc>
      </w:tr>
      <w:tr w14:paraId="5EC5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238F39D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w:t>
            </w:r>
          </w:p>
        </w:tc>
        <w:tc>
          <w:tcPr>
            <w:tcW w:w="736" w:type="dxa"/>
            <w:shd w:val="clear" w:color="auto" w:fill="FFFFFF"/>
            <w:vAlign w:val="center"/>
          </w:tcPr>
          <w:p w14:paraId="49F68F0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无线麦克风</w:t>
            </w:r>
          </w:p>
        </w:tc>
        <w:tc>
          <w:tcPr>
            <w:tcW w:w="5663" w:type="dxa"/>
            <w:shd w:val="clear" w:color="auto" w:fill="FFFFFF"/>
            <w:vAlign w:val="center"/>
          </w:tcPr>
          <w:p w14:paraId="535EA593">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ar"/>
              </w:rPr>
              <w:t>1</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工作频率范围：UHF 640-690MHz ；</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可调范围：50MHz；</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频道数目：200 ；</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频道间隔：250KHz ；</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音频响应：80HZ-16KHz(±3dB) ；</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无线话筒采用笔形设计，支持手持和挂脖；</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可外接头戴麦、领夹麦,外接麦克风时，自带麦克风无声；</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8</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具有电源开关、静音按键、对频按键和PPT翻页按键</w:t>
            </w:r>
            <w:r>
              <w:rPr>
                <w:rFonts w:hint="eastAsia" w:ascii="宋体" w:hAnsi="宋体" w:cs="宋体"/>
                <w:color w:val="auto"/>
                <w:kern w:val="0"/>
                <w:sz w:val="21"/>
                <w:szCs w:val="21"/>
                <w:highlight w:val="none"/>
                <w:lang w:eastAsia="zh-CN" w:bidi="ar"/>
              </w:rPr>
              <w:t>。</w:t>
            </w:r>
          </w:p>
        </w:tc>
        <w:tc>
          <w:tcPr>
            <w:tcW w:w="748" w:type="dxa"/>
            <w:shd w:val="clear" w:color="auto" w:fill="FFFFFF"/>
            <w:vAlign w:val="center"/>
          </w:tcPr>
          <w:p w14:paraId="5FEE4FB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6CB4AAC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r>
      <w:tr w14:paraId="3BA2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0959E3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w:t>
            </w:r>
          </w:p>
        </w:tc>
        <w:tc>
          <w:tcPr>
            <w:tcW w:w="736" w:type="dxa"/>
            <w:shd w:val="clear" w:color="auto" w:fill="FFFFFF"/>
            <w:vAlign w:val="center"/>
          </w:tcPr>
          <w:p w14:paraId="5B81EA9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线材</w:t>
            </w:r>
          </w:p>
        </w:tc>
        <w:tc>
          <w:tcPr>
            <w:tcW w:w="5663" w:type="dxa"/>
            <w:shd w:val="clear" w:color="auto" w:fill="FFFFFF"/>
            <w:vAlign w:val="center"/>
          </w:tcPr>
          <w:p w14:paraId="08275D37">
            <w:pPr>
              <w:widowControl/>
              <w:numPr>
                <w:ilvl w:val="0"/>
                <w:numId w:val="0"/>
              </w:numPr>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包含音箱线、话筒线、网线、高清线</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电源线等安装所需的一切配套材料</w:t>
            </w:r>
            <w:r>
              <w:rPr>
                <w:rFonts w:hint="eastAsia" w:ascii="宋体" w:hAnsi="宋体" w:eastAsia="宋体" w:cs="宋体"/>
                <w:color w:val="auto"/>
                <w:kern w:val="0"/>
                <w:sz w:val="21"/>
                <w:szCs w:val="21"/>
                <w:highlight w:val="none"/>
                <w:lang w:bidi="ar"/>
              </w:rPr>
              <w:t>，设备安装集成费等</w:t>
            </w:r>
            <w:r>
              <w:rPr>
                <w:rFonts w:hint="eastAsia" w:ascii="宋体" w:hAnsi="宋体" w:cs="宋体"/>
                <w:color w:val="auto"/>
                <w:kern w:val="0"/>
                <w:sz w:val="21"/>
                <w:szCs w:val="21"/>
                <w:highlight w:val="none"/>
                <w:lang w:eastAsia="zh-CN" w:bidi="ar"/>
              </w:rPr>
              <w:t>；</w:t>
            </w:r>
          </w:p>
          <w:p w14:paraId="26C2F6B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中标人须于进场施工前将网线、高清线、音响线品牌报送采购人进行确认，经采购人确认后方可使用</w:t>
            </w:r>
            <w:r>
              <w:rPr>
                <w:rFonts w:hint="eastAsia" w:ascii="宋体" w:hAnsi="宋体" w:eastAsia="宋体" w:cs="宋体"/>
                <w:color w:val="auto"/>
                <w:kern w:val="0"/>
                <w:sz w:val="21"/>
                <w:szCs w:val="21"/>
                <w:highlight w:val="none"/>
                <w:lang w:eastAsia="zh-CN" w:bidi="ar"/>
              </w:rPr>
              <w:t>；经学校确认后的施工辅材方可入库，在学校指定仓库集中保管。材料入库及出库环节实行统一管理，做好台账记录，全过程留痕备查。</w:t>
            </w:r>
          </w:p>
        </w:tc>
        <w:tc>
          <w:tcPr>
            <w:tcW w:w="748" w:type="dxa"/>
            <w:shd w:val="clear" w:color="auto" w:fill="FFFFFF"/>
            <w:vAlign w:val="center"/>
          </w:tcPr>
          <w:p w14:paraId="01ED30C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463DC0C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项</w:t>
            </w:r>
          </w:p>
        </w:tc>
      </w:tr>
      <w:tr w14:paraId="21EA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622" w:type="dxa"/>
            <w:gridSpan w:val="5"/>
            <w:shd w:val="clear" w:color="auto" w:fill="FFFFFF"/>
            <w:vAlign w:val="center"/>
          </w:tcPr>
          <w:p w14:paraId="2F880396">
            <w:pPr>
              <w:widowControl/>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三、AI综合管理平台</w:t>
            </w:r>
          </w:p>
        </w:tc>
      </w:tr>
      <w:tr w14:paraId="7CEE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51B4BB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6" w:type="dxa"/>
            <w:shd w:val="clear" w:color="auto" w:fill="FFFFFF"/>
            <w:vAlign w:val="center"/>
          </w:tcPr>
          <w:p w14:paraId="219D55E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AI</w:t>
            </w:r>
            <w:r>
              <w:rPr>
                <w:rFonts w:hint="eastAsia" w:ascii="宋体" w:hAnsi="宋体" w:eastAsia="宋体" w:cs="宋体"/>
                <w:color w:val="auto"/>
                <w:kern w:val="0"/>
                <w:sz w:val="21"/>
                <w:szCs w:val="21"/>
                <w:highlight w:val="none"/>
                <w:lang w:val="en-US" w:eastAsia="zh-CN" w:bidi="ar"/>
              </w:rPr>
              <w:t>资源</w:t>
            </w:r>
            <w:r>
              <w:rPr>
                <w:rFonts w:hint="eastAsia" w:ascii="宋体" w:hAnsi="宋体" w:eastAsia="宋体" w:cs="宋体"/>
                <w:color w:val="auto"/>
                <w:kern w:val="0"/>
                <w:sz w:val="21"/>
                <w:szCs w:val="21"/>
                <w:highlight w:val="none"/>
                <w:lang w:bidi="ar"/>
              </w:rPr>
              <w:t>管理平台</w:t>
            </w:r>
          </w:p>
        </w:tc>
        <w:tc>
          <w:tcPr>
            <w:tcW w:w="5663" w:type="dxa"/>
            <w:shd w:val="clear" w:color="auto" w:fill="FFFFFF"/>
            <w:vAlign w:val="center"/>
          </w:tcPr>
          <w:p w14:paraId="7B59BA78">
            <w:pPr>
              <w:widowControl/>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一、资源管理</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1.课程直播：支持按照直播地点、直播时间、直播主题、主讲人等多维度查询相关直播资源；支持同步显示课堂名称、授课教师、所属年级、在线人数等；</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2.课程点播：支持用户在线点播课程视频，查看课程信息、关联的课表数据、完整的视频列表；支持对点播视频进行评价；</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资源管理：支持汇聚校内系列课程视频的直播点播，按学年学期、年级、课程类型分类归档；支持按学年学期、所属年级、课程类型、课程名称等进行搜索筛选；支持显示每一门课程的基本信息，包括授课教师、教学班级、授课学期、所属年级、课程简介等；</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资源应用：支持对日常教学过程中产生的录播课程进行结构化处理，形成教师个人课程资源专辑，并支持通过权限设置形成校本课程资源库；提供开放的视频资源上传接口，实现将录播视频资源上传到学校智慧教学平台，实现资源共享；</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支持同时查看不少于20个教室的实时摄像头画面、设备屏幕画面；支持在一个显示界面同时查看单个教室内所有屏幕、所有摄像头的实时画面，以及所有麦克风的声音，其中摄像头画面可直接使用班班通自带摄像头；</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6.支持基于AI技术分析学生课堂状态并生成关注列表及评语</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bidi="ar"/>
              </w:rPr>
              <w:t>.▲答题互动：支持访问平台网页观看线上课程时，直接在平台网页中参与知识配对.选词填空.趣味分类在线互动答题，完成后可直接查看答题用时和答题排行榜，并可选择继续观看视频或再玩一次；</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bidi="ar"/>
              </w:rPr>
              <w:t>.数据统计：支持多维度数据统计，如资源建设、基础数据统计（学生数、教师数），互动数据统计、督导评课统计、教室运行统计等；</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val="en-US" w:eastAsia="zh-CN" w:bidi="ar"/>
              </w:rPr>
              <w:t>9</w:t>
            </w:r>
            <w:r>
              <w:rPr>
                <w:rFonts w:hint="eastAsia" w:ascii="宋体" w:hAnsi="宋体" w:eastAsia="宋体" w:cs="宋体"/>
                <w:color w:val="auto"/>
                <w:kern w:val="0"/>
                <w:sz w:val="21"/>
                <w:szCs w:val="21"/>
                <w:highlight w:val="none"/>
                <w:lang w:bidi="ar"/>
              </w:rPr>
              <w:t>.在线编辑：支持用户通过浏览器对本地上传的视频完成在线剪辑，将视频的无效内容删除。进行剪辑后，用户可通过在线浏览窗口，实时查看剪辑内容；</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二、督导评课</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strike w:val="0"/>
                <w:dstrike w:val="0"/>
                <w:color w:val="auto"/>
                <w:kern w:val="0"/>
                <w:sz w:val="21"/>
                <w:szCs w:val="21"/>
                <w:highlight w:val="none"/>
                <w:lang w:bidi="ar"/>
              </w:rPr>
              <w:t>1.首页提供全校课堂预警汇总数据看板，直观展示当日课堂异常情况。支持展示师生异常数据及趋势统计。支持展示班级学科作业预警数据，自动标注预警等级</w:t>
            </w:r>
            <w:r>
              <w:rPr>
                <w:rFonts w:hint="eastAsia" w:ascii="宋体" w:hAnsi="宋体" w:cs="宋体"/>
                <w:strike w:val="0"/>
                <w:dstrike w:val="0"/>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2.▲支持展示的预警类型包含：学生抬头率低、空视频、</w:t>
            </w:r>
            <w:r>
              <w:rPr>
                <w:rFonts w:hint="eastAsia" w:ascii="宋体" w:hAnsi="宋体" w:cs="宋体"/>
                <w:color w:val="auto"/>
                <w:kern w:val="0"/>
                <w:sz w:val="21"/>
                <w:szCs w:val="21"/>
                <w:highlight w:val="none"/>
                <w:lang w:eastAsia="zh-CN" w:bidi="ar"/>
              </w:rPr>
              <w:t>前排就座</w:t>
            </w:r>
            <w:r>
              <w:rPr>
                <w:rFonts w:hint="eastAsia" w:ascii="宋体" w:hAnsi="宋体" w:eastAsia="宋体" w:cs="宋体"/>
                <w:color w:val="auto"/>
                <w:kern w:val="0"/>
                <w:sz w:val="21"/>
                <w:szCs w:val="21"/>
                <w:highlight w:val="none"/>
                <w:lang w:bidi="ar"/>
              </w:rPr>
              <w:t>率低、PPT依赖度高、学生课后状态异常、长时间播放视频、敏感词、学生出勤率低、学生异常行为等</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strike w:val="0"/>
                <w:color w:val="auto"/>
                <w:kern w:val="0"/>
                <w:sz w:val="21"/>
                <w:szCs w:val="21"/>
                <w:highlight w:val="none"/>
                <w:lang w:bidi="ar"/>
              </w:rPr>
              <w:t>3.所有预警数据卡片支持点击跳转查看对应明细数据。支持根据学校需求定制化预警看板维度显示</w:t>
            </w:r>
            <w:r>
              <w:rPr>
                <w:rFonts w:hint="eastAsia" w:ascii="宋体" w:hAnsi="宋体" w:cs="宋体"/>
                <w:strike w:val="0"/>
                <w:color w:val="auto"/>
                <w:kern w:val="0"/>
                <w:sz w:val="21"/>
                <w:szCs w:val="21"/>
                <w:highlight w:val="none"/>
                <w:lang w:eastAsia="zh-CN" w:bidi="ar"/>
              </w:rPr>
              <w:t>；</w:t>
            </w:r>
            <w:r>
              <w:rPr>
                <w:rFonts w:hint="eastAsia" w:ascii="宋体" w:hAnsi="宋体" w:eastAsia="宋体" w:cs="宋体"/>
                <w:strike w:val="0"/>
                <w:color w:val="auto"/>
                <w:kern w:val="0"/>
                <w:sz w:val="21"/>
                <w:szCs w:val="21"/>
                <w:highlight w:val="none"/>
                <w:lang w:bidi="ar"/>
              </w:rPr>
              <w:br w:type="textWrapping"/>
            </w:r>
            <w:r>
              <w:rPr>
                <w:rFonts w:hint="eastAsia" w:ascii="宋体" w:hAnsi="宋体" w:eastAsia="宋体" w:cs="宋体"/>
                <w:strike w:val="0"/>
                <w:color w:val="auto"/>
                <w:kern w:val="0"/>
                <w:sz w:val="21"/>
                <w:szCs w:val="21"/>
                <w:highlight w:val="none"/>
                <w:lang w:bidi="ar"/>
              </w:rPr>
              <w:t>4.AI自动对每节课堂进行客观评分，列表展示主讲教师、课程名称、上课地点、上课时间、学段学科、报告总数等</w:t>
            </w:r>
            <w:r>
              <w:rPr>
                <w:rFonts w:hint="eastAsia" w:ascii="宋体" w:hAnsi="宋体" w:cs="宋体"/>
                <w:strike w:val="0"/>
                <w:color w:val="auto"/>
                <w:kern w:val="0"/>
                <w:sz w:val="21"/>
                <w:szCs w:val="21"/>
                <w:highlight w:val="none"/>
                <w:lang w:eastAsia="zh-CN" w:bidi="ar"/>
              </w:rPr>
              <w:t>；</w:t>
            </w:r>
            <w:r>
              <w:rPr>
                <w:rFonts w:hint="eastAsia" w:ascii="宋体" w:hAnsi="宋体" w:eastAsia="宋体" w:cs="宋体"/>
                <w:strike w:val="0"/>
                <w:color w:val="auto"/>
                <w:kern w:val="0"/>
                <w:sz w:val="21"/>
                <w:szCs w:val="21"/>
                <w:highlight w:val="none"/>
                <w:lang w:bidi="ar"/>
              </w:rPr>
              <w:br w:type="textWrapping"/>
            </w:r>
            <w:r>
              <w:rPr>
                <w:rFonts w:hint="eastAsia" w:ascii="宋体" w:hAnsi="宋体" w:eastAsia="宋体" w:cs="宋体"/>
                <w:strike w:val="0"/>
                <w:color w:val="auto"/>
                <w:kern w:val="0"/>
                <w:sz w:val="21"/>
                <w:szCs w:val="21"/>
                <w:highlight w:val="none"/>
                <w:lang w:bidi="ar"/>
              </w:rPr>
              <w:t>5.提供课堂教学质量分析看板、同课异构、同课重构、教师个人课程报告多个快捷入口，可一键生成对应评课报告，替代传统人工主观评课，用数据客观衡量每节课的教学质量，快速定位得分低的问题课堂</w:t>
            </w:r>
            <w:r>
              <w:rPr>
                <w:rFonts w:hint="eastAsia" w:ascii="宋体" w:hAnsi="宋体" w:cs="宋体"/>
                <w:strike w:val="0"/>
                <w:color w:val="auto"/>
                <w:kern w:val="0"/>
                <w:sz w:val="21"/>
                <w:szCs w:val="21"/>
                <w:highlight w:val="none"/>
                <w:lang w:eastAsia="zh-CN" w:bidi="ar"/>
              </w:rPr>
              <w:t>；</w:t>
            </w:r>
            <w:r>
              <w:rPr>
                <w:rFonts w:hint="eastAsia" w:ascii="宋体" w:hAnsi="宋体" w:eastAsia="宋体" w:cs="宋体"/>
                <w:strike w:val="0"/>
                <w:color w:val="auto"/>
                <w:kern w:val="0"/>
                <w:sz w:val="21"/>
                <w:szCs w:val="21"/>
                <w:highlight w:val="none"/>
                <w:lang w:bidi="ar"/>
              </w:rPr>
              <w:br w:type="textWrapping"/>
            </w:r>
            <w:r>
              <w:rPr>
                <w:rFonts w:hint="eastAsia" w:ascii="宋体" w:hAnsi="宋体" w:eastAsia="宋体" w:cs="宋体"/>
                <w:strike w:val="0"/>
                <w:color w:val="auto"/>
                <w:kern w:val="0"/>
                <w:sz w:val="21"/>
                <w:szCs w:val="21"/>
                <w:highlight w:val="none"/>
                <w:lang w:bidi="ar"/>
              </w:rPr>
              <w:t>6.自动汇总前端采集的所有课堂数据，按不同周期、不同维度自动生成标准化教学质量报告，所有报告支持在线查看、打印、导出Word格式，替代传统督导人员人工统计数据、手写简报的工作，管理者打开即可直接看到全校教学异常问题和改进建议</w:t>
            </w:r>
            <w:r>
              <w:rPr>
                <w:rFonts w:hint="eastAsia" w:ascii="宋体" w:hAnsi="宋体" w:cs="宋体"/>
                <w:strike w:val="0"/>
                <w:color w:val="auto"/>
                <w:kern w:val="0"/>
                <w:sz w:val="21"/>
                <w:szCs w:val="21"/>
                <w:highlight w:val="none"/>
                <w:lang w:eastAsia="zh-CN" w:bidi="ar"/>
              </w:rPr>
              <w:t>；</w:t>
            </w:r>
            <w:r>
              <w:rPr>
                <w:rFonts w:hint="eastAsia" w:ascii="宋体" w:hAnsi="宋体" w:eastAsia="宋体" w:cs="宋体"/>
                <w:strike w:val="0"/>
                <w:color w:val="auto"/>
                <w:kern w:val="0"/>
                <w:sz w:val="21"/>
                <w:szCs w:val="21"/>
                <w:highlight w:val="none"/>
                <w:lang w:bidi="ar"/>
              </w:rPr>
              <w:br w:type="textWrapping"/>
            </w:r>
            <w:r>
              <w:rPr>
                <w:rFonts w:hint="eastAsia" w:ascii="宋体" w:hAnsi="宋体" w:eastAsia="宋体" w:cs="宋体"/>
                <w:strike w:val="0"/>
                <w:color w:val="auto"/>
                <w:kern w:val="0"/>
                <w:sz w:val="21"/>
                <w:szCs w:val="21"/>
                <w:highlight w:val="none"/>
                <w:lang w:bidi="ar"/>
              </w:rPr>
              <w:t>7.人工督导月度简报：支持汇总人工录入的督导听课记录，统一整理人工督导发现的问题</w:t>
            </w:r>
            <w:r>
              <w:rPr>
                <w:rFonts w:hint="eastAsia" w:ascii="宋体" w:hAnsi="宋体" w:cs="宋体"/>
                <w:strike w:val="0"/>
                <w:color w:val="auto"/>
                <w:kern w:val="0"/>
                <w:sz w:val="21"/>
                <w:szCs w:val="21"/>
                <w:highlight w:val="none"/>
                <w:lang w:eastAsia="zh-CN" w:bidi="ar"/>
              </w:rPr>
              <w:t>；</w:t>
            </w:r>
            <w:r>
              <w:rPr>
                <w:rFonts w:hint="eastAsia" w:ascii="宋体" w:hAnsi="宋体" w:eastAsia="宋体" w:cs="宋体"/>
                <w:strike/>
                <w:color w:val="auto"/>
                <w:kern w:val="0"/>
                <w:sz w:val="21"/>
                <w:szCs w:val="21"/>
                <w:highlight w:val="none"/>
                <w:lang w:bidi="ar"/>
              </w:rPr>
              <w:br w:type="textWrapping"/>
            </w:r>
            <w:r>
              <w:rPr>
                <w:rFonts w:hint="eastAsia" w:ascii="宋体" w:hAnsi="宋体" w:eastAsia="宋体" w:cs="宋体"/>
                <w:strike w:val="0"/>
                <w:color w:val="auto"/>
                <w:kern w:val="0"/>
                <w:sz w:val="21"/>
                <w:szCs w:val="21"/>
                <w:highlight w:val="none"/>
                <w:lang w:bidi="ar"/>
              </w:rPr>
              <w:t>8.</w:t>
            </w:r>
            <w:r>
              <w:rPr>
                <w:rFonts w:hint="eastAsia" w:eastAsia="宋体"/>
                <w:strike w:val="0"/>
                <w:color w:val="auto"/>
                <w:sz w:val="21"/>
                <w:szCs w:val="21"/>
                <w:highlight w:val="none"/>
                <w:lang w:val="en-US" w:eastAsia="zh-CN"/>
              </w:rPr>
              <w:t>按学期课程</w:t>
            </w:r>
            <w:r>
              <w:rPr>
                <w:rFonts w:hint="eastAsia" w:ascii="宋体" w:hAnsi="宋体" w:eastAsia="宋体" w:cs="宋体"/>
                <w:strike w:val="0"/>
                <w:color w:val="auto"/>
                <w:kern w:val="0"/>
                <w:sz w:val="21"/>
                <w:szCs w:val="21"/>
                <w:highlight w:val="none"/>
                <w:lang w:bidi="ar"/>
              </w:rPr>
              <w:t>每月自动生成全校教学质量督导简报，替代督导老师手写月度简报，简报内容可以根据学校需求定制内容</w:t>
            </w:r>
            <w:r>
              <w:rPr>
                <w:rFonts w:hint="eastAsia" w:ascii="宋体" w:hAnsi="宋体" w:cs="宋体"/>
                <w:strike w:val="0"/>
                <w:color w:val="auto"/>
                <w:kern w:val="0"/>
                <w:sz w:val="21"/>
                <w:szCs w:val="21"/>
                <w:highlight w:val="none"/>
                <w:lang w:eastAsia="zh-CN" w:bidi="ar"/>
              </w:rPr>
              <w:t>；</w:t>
            </w:r>
            <w:r>
              <w:rPr>
                <w:rFonts w:hint="eastAsia" w:ascii="宋体" w:hAnsi="宋体" w:eastAsia="宋体" w:cs="宋体"/>
                <w:strike/>
                <w:color w:val="auto"/>
                <w:kern w:val="0"/>
                <w:sz w:val="21"/>
                <w:szCs w:val="21"/>
                <w:highlight w:val="none"/>
                <w:lang w:bidi="ar"/>
              </w:rPr>
              <w:br w:type="textWrapping"/>
            </w:r>
            <w:r>
              <w:rPr>
                <w:rFonts w:hint="eastAsia" w:ascii="宋体" w:hAnsi="宋体" w:eastAsia="宋体" w:cs="宋体"/>
                <w:strike w:val="0"/>
                <w:color w:val="auto"/>
                <w:kern w:val="0"/>
                <w:sz w:val="21"/>
                <w:szCs w:val="21"/>
                <w:highlight w:val="none"/>
                <w:lang w:bidi="ar"/>
              </w:rPr>
              <w:t>9.AI师生考勤周报：每周自动汇总师生考勤数据生成周报，统计教师迟到/缺勤、学生出勤率等指标，对比上周变化，标记考勤异常问题</w:t>
            </w:r>
            <w:r>
              <w:rPr>
                <w:rFonts w:hint="eastAsia" w:ascii="宋体" w:hAnsi="宋体" w:cs="宋体"/>
                <w:strike w:val="0"/>
                <w:color w:val="auto"/>
                <w:kern w:val="0"/>
                <w:sz w:val="21"/>
                <w:szCs w:val="21"/>
                <w:highlight w:val="none"/>
                <w:lang w:eastAsia="zh-CN" w:bidi="ar"/>
              </w:rPr>
              <w:t>；</w:t>
            </w:r>
            <w:r>
              <w:rPr>
                <w:rFonts w:hint="eastAsia" w:ascii="宋体" w:hAnsi="宋体" w:eastAsia="宋体" w:cs="宋体"/>
                <w:strike w:val="0"/>
                <w:color w:val="auto"/>
                <w:kern w:val="0"/>
                <w:sz w:val="21"/>
                <w:szCs w:val="21"/>
                <w:highlight w:val="none"/>
                <w:lang w:bidi="ar"/>
              </w:rPr>
              <w:br w:type="textWrapping"/>
            </w:r>
            <w:r>
              <w:rPr>
                <w:rFonts w:hint="eastAsia" w:ascii="宋体" w:hAnsi="宋体" w:eastAsia="宋体" w:cs="宋体"/>
                <w:strike w:val="0"/>
                <w:color w:val="auto"/>
                <w:kern w:val="0"/>
                <w:sz w:val="21"/>
                <w:szCs w:val="21"/>
                <w:highlight w:val="none"/>
                <w:lang w:bidi="ar"/>
              </w:rPr>
              <w:t>10.AI课堂预警周报：每周自动汇总所有课堂异常预警数据生成周报，分类统计各类预警数量，列出重点预警课堂和问题</w:t>
            </w:r>
            <w:r>
              <w:rPr>
                <w:rFonts w:hint="eastAsia" w:ascii="宋体" w:hAnsi="宋体" w:cs="宋体"/>
                <w:strike w:val="0"/>
                <w:color w:val="auto"/>
                <w:kern w:val="0"/>
                <w:sz w:val="21"/>
                <w:szCs w:val="21"/>
                <w:highlight w:val="none"/>
                <w:lang w:eastAsia="zh-CN" w:bidi="ar"/>
              </w:rPr>
              <w:t>；</w:t>
            </w:r>
            <w:r>
              <w:rPr>
                <w:rFonts w:hint="eastAsia" w:ascii="宋体" w:hAnsi="宋体" w:eastAsia="宋体" w:cs="宋体"/>
                <w:strike/>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11.▲同课异构报告：支持对同一课程不同教师的授课数据进行对比分析，自动生成同课异构对比报告，直观展示不同教师的课堂得分、互动情况、学生参与度差异，帮助开展教研对比；同课重构报告：支持对同一教师同一课程改进前后的授课数据进行对比分析，自动生成同课重构对比报告，展示教学改进效果</w:t>
            </w:r>
            <w:r>
              <w:rPr>
                <w:rFonts w:hint="eastAsia" w:ascii="宋体" w:hAnsi="宋体" w:cs="宋体"/>
                <w:color w:val="auto"/>
                <w:kern w:val="0"/>
                <w:sz w:val="21"/>
                <w:szCs w:val="21"/>
                <w:highlight w:val="none"/>
                <w:lang w:eastAsia="zh-CN" w:bidi="ar"/>
              </w:rPr>
              <w:t>；</w:t>
            </w:r>
            <w:r>
              <w:rPr>
                <w:rFonts w:hint="eastAsia" w:ascii="宋体" w:hAnsi="宋体" w:eastAsia="宋体" w:cs="宋体"/>
                <w:strike/>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12.教师个人课程报告：支持按教师维度汇总其所有授课的课堂数据，自动生成教师个人课程质量报告，展示教师个人平均得分、存在的问题，用于教师教学质量评估。</w:t>
            </w:r>
          </w:p>
          <w:p w14:paraId="411F9717">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三、教研活动</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校级教研活动：支持创建、参与各年级、各学科的网络教研活动，支持自定义每个网络教研活动的展示封面、教研主题、教研内容，支持上传教研相关的视频、文档附件</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模式：支持直播观摩教研、点播观摩教研、互动教研三种方式。直播观摩教研面向实时授课直播画面进行观摩教研；点播观摩教研可获取平台录制教学视频进行点播观摩。互动教研可实现多终端实时音视频互动</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教研会控：进行互动教研会议时，创建者拥有“会控”权限，可在互动教研会议中进行画面、发言、参会人员管理等控制</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教研评分：创建主题教研后，支持自定义评分量表，在教研活动中根据打分量表进行教研观摩打分</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互动：提供教研评论、教研笔记、教研评分、话题研讨四种教研互动方式。用户可在教研过程中发表评论，在线进行评论交互。以教研笔记的方式总结教研过程思想，形成教研总结。教研员可针对每个教研活动指定多个不同的“教研话题”，教研组成员可对话题进行进一步探讨</w:t>
            </w:r>
            <w:r>
              <w:rPr>
                <w:rFonts w:hint="eastAsia" w:ascii="宋体" w:hAnsi="宋体" w:cs="宋体"/>
                <w:color w:val="auto"/>
                <w:kern w:val="0"/>
                <w:sz w:val="21"/>
                <w:szCs w:val="21"/>
                <w:highlight w:val="none"/>
                <w:lang w:eastAsia="zh-CN" w:bidi="ar"/>
              </w:rPr>
              <w:t>；</w:t>
            </w:r>
            <w:r>
              <w:rPr>
                <w:rFonts w:hint="eastAsia" w:ascii="宋体" w:hAnsi="宋体" w:eastAsia="宋体" w:cs="宋体"/>
                <w:strike/>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教研标记：支持在发布教研笔记的时候关联当前观看视频时间作为标识，后续查看教研笔记时点击即可跳转教研视频至对应时间点进行观看，方便教研总结时充分理解笔记发布者的想法</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教研签到记录：支持记录统计教研参与签到人员，形成签到列表，便于教研活动的人员管理。签到列表需支持签到用户名、签到地点、签到时间、签退时间的关联统计展示</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8</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临时用户参与：所有人可见的教研活动支持非本平台的“临时用户”的参与，支持将临时用户参与的评论、话题研讨等数据保留到平台中</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9</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教研收藏：支持在教研活动界面点击收藏教研活动，收藏的教研活动可在个人账号下进行管理</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10</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教研回顾：可以公开教研活动成果供用户对往届教研活动进行回顾。支持用户观看教研视频、查看教研笔记、查看评分结果，并下载各教研附件进行阅读和学习</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11</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教研签到功能：支持手机微信扫描教研活动二维码，填写基本信息以及通过手机定位获取签到地点后完成签到，并记录教研平台签到列表</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12</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教研点评功能：支持对参与的教研互动进行评论发表、教研话题研讨以及评课评分等，便捷实现教研观摩中的评课讨论</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13</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教研历史：支持记录参与的教研活动历史，方便查询回顾，有效保障教研质量</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关键字检索：支持通过关键字搜索相应网络教研活动</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15</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教研活动筛选：支持按照学段、年级、学科分类标识教研活动，在活动列表界面可选择相应分类筛选对应教研活动</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16</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教研排序：支持按照评论数、参与用户数、收藏数三种方式由高到低进行教研活动排序</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17</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教研动态：支持活动首页显示实时教研活动动态，以标题滚动的方式进行循环播放，方便用户实时展示教研应用信息</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18</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教研活动统计：支持活动首页实时统计本校教研活动数据，包括但不限于已开展教研活动数量、已开展评审活动数量、参与用户数、教研员数量等信息。</w:t>
            </w:r>
          </w:p>
        </w:tc>
        <w:tc>
          <w:tcPr>
            <w:tcW w:w="748" w:type="dxa"/>
            <w:shd w:val="clear" w:color="auto" w:fill="FFFFFF"/>
            <w:vAlign w:val="center"/>
          </w:tcPr>
          <w:p w14:paraId="2EC2E39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1E0B2B0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r>
      <w:tr w14:paraId="7ED1A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25897B9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w:t>
            </w:r>
          </w:p>
        </w:tc>
        <w:tc>
          <w:tcPr>
            <w:tcW w:w="736" w:type="dxa"/>
            <w:shd w:val="clear" w:color="auto" w:fill="FFFFFF"/>
            <w:vAlign w:val="center"/>
          </w:tcPr>
          <w:p w14:paraId="57CD869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AI课堂智能分析</w:t>
            </w:r>
          </w:p>
        </w:tc>
        <w:tc>
          <w:tcPr>
            <w:tcW w:w="5663" w:type="dxa"/>
            <w:shd w:val="clear" w:color="auto" w:fill="FFFFFF"/>
            <w:vAlign w:val="center"/>
          </w:tcPr>
          <w:p w14:paraId="2CCB77EB">
            <w:pPr>
              <w:widowControl/>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AI课堂分析：（支持两种部署模式：1</w:t>
            </w:r>
            <w:r>
              <w:rPr>
                <w:rFonts w:hint="eastAsia" w:ascii="宋体" w:hAnsi="宋体" w:cs="宋体"/>
                <w:b w:val="0"/>
                <w:bCs w:val="0"/>
                <w:color w:val="auto"/>
                <w:kern w:val="0"/>
                <w:sz w:val="21"/>
                <w:szCs w:val="21"/>
                <w:highlight w:val="none"/>
                <w:lang w:val="en-US" w:eastAsia="zh-CN" w:bidi="ar"/>
              </w:rPr>
              <w:t>.</w:t>
            </w:r>
            <w:r>
              <w:rPr>
                <w:rFonts w:hint="eastAsia" w:ascii="宋体" w:hAnsi="宋体" w:eastAsia="宋体" w:cs="宋体"/>
                <w:b w:val="0"/>
                <w:bCs w:val="0"/>
                <w:color w:val="auto"/>
                <w:kern w:val="0"/>
                <w:sz w:val="21"/>
                <w:szCs w:val="21"/>
                <w:highlight w:val="none"/>
                <w:lang w:bidi="ar"/>
              </w:rPr>
              <w:t>通过后端进行AI课堂智能分析应用，配置相应分析设备；2</w:t>
            </w:r>
            <w:r>
              <w:rPr>
                <w:rFonts w:hint="eastAsia" w:ascii="宋体" w:hAnsi="宋体" w:cs="宋体"/>
                <w:b w:val="0"/>
                <w:bCs w:val="0"/>
                <w:color w:val="auto"/>
                <w:kern w:val="0"/>
                <w:sz w:val="21"/>
                <w:szCs w:val="21"/>
                <w:highlight w:val="none"/>
                <w:lang w:val="en-US" w:eastAsia="zh-CN" w:bidi="ar"/>
              </w:rPr>
              <w:t>.</w:t>
            </w:r>
            <w:r>
              <w:rPr>
                <w:rFonts w:hint="eastAsia" w:ascii="宋体" w:hAnsi="宋体" w:eastAsia="宋体" w:cs="宋体"/>
                <w:b w:val="0"/>
                <w:bCs w:val="0"/>
                <w:color w:val="auto"/>
                <w:kern w:val="0"/>
                <w:sz w:val="21"/>
                <w:szCs w:val="21"/>
                <w:highlight w:val="none"/>
                <w:lang w:bidi="ar"/>
              </w:rPr>
              <w:t>通过教室前端设备进行AI课堂智能分析应用，系统内嵌入录播主机实现。）</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一、功能要求</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（一）整体要求</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1.兼容对接：支持与视频资源管理平台无缝对接，可将数据通过平台进行分析结果数据展示</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2.多维分析：支持对课堂数据进行综合多维度的分析，包括“课堂三率”、“课堂语言分析”、“教学行为分析”、“教师活动轨迹”、“师生互动频次”、“学生课堂动作表情分析”等维度数据</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3.实时分析：支持对师生出勤率、S-T教学行为、教师活动轨迹、学生课堂动作表情分析等维度数据进行实时统计分析。</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（二）课堂教情分析要求</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1.教学行为分析：支持“教师讲授”、“指导学生”、“学生汇报”、“师生互动”、“生生互动”、“教师巡视”多种维度的教学行为识别</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2.教师轨迹分析：支持统计整个课节时间内授课教师的授课行动轨迹，直观呈现教师授课过程中的授课位置数据</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3.教师巡视分析：要求支持教师巡视情况统计并形成教师巡视数据，分析数据应包括教师课堂巡视次数、时长等数据。</w:t>
            </w:r>
          </w:p>
          <w:p w14:paraId="256493A8">
            <w:pPr>
              <w:widowControl/>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(三)课堂学生分析要求</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1.班级出勤率统计：以班级维度进行班级出勤人数统计，包括应出席人数、实际出席人数、出勤率、迟到人数、缺席人数等</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2.学生听课率分析：支持以课堂时间为轴线，对各个时刻学生的听课率进行分析统计，同时统计峰值和平均值数据</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3.支持学生课堂动作分析，包括趴桌子、举手、站立、抬头等肢体语言，可对各类动作进行实时检测</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4.支持对学生动作的实时统计分析，统计当前每种学生动作的峰值次数和占比</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5.支持学生课堂表情分析，包括积极、平淡、消极等表情。并支持对各类表情进行实时检测，统计课堂中各类表情的学生人数</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6.支持对整节课堂实现学生动作和表情的统计分析，统计每种学生动作和表情的峰值时刻、峰值占比和峰值人数。</w:t>
            </w:r>
          </w:p>
          <w:p w14:paraId="2AC1A9DD">
            <w:pPr>
              <w:widowControl/>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bidi="ar"/>
              </w:rPr>
              <w:t>(四)语音分析：</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1.教师提问情况分析：支持基于课堂语音识别能力进行教师课堂提问行为分析，从提问次数与高频时间段两个核心维度进行数据统计，实现课堂提问情况的清晰回顾</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2.教师语速分析：支持通过语音识别能力进行教师课堂授课语速分析，呈现数据需包括教师课堂说话词数以及平均语速</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3.课堂语音转写：要求基于语音语义识别完成课堂音频的文字转换，实现课堂教学过程语音全纪录，要求平台上可输出整节课的文字字幕。实现字幕与视频进度关联，通过点击字幕同步播放对应进度的视频。</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（五）课程数据分析报告</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支持生成课程数据分析报告，包括但不限于课程信息、内容总结、评课总结、教师教学、学生学习、课堂提问与应答分析、课堂教学内容及过程；课程信息包括但不限于课程基础信息等，支持课堂数据统计支持扫描二维码观看本节课视频，支持通过网页端点击链接快速跳转播放本节课，支持下载本节课分析报告；</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教师教学分析，支持语言分析统计，支持生成语速曲线图，根据语言分析AI自动生成教学语音建议；支持教师行为分析统计，统计各个行为时长及占总行为的百分比，并根据统计的数据进行客观分析，AI自动给出教师行为建议；</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学生学习分析，支持AI自动生成学生应到人数、实到人数、平均抬头率、平均趴桌率、平均玩手机率；支持学生参与度与专注度行为分析，支持通过饼状图的方式呈现各个行为的次数和所占总行为次数的百分比。专注度支持通过曲线图的方式呈现各个行为在各个时间段的数据统计，并显示在该时间的各个行为分析人数；</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4.学生情绪分析，支持学生的表情分析，生成饼状统计图及次数统计，并AI自动生成数据分析及建议；</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支持课堂提问与应答分析，课堂问答情况采用麦卡锡模式分析；支持布鲁姆教育目标分类模式分析，包括但不限于基础认知问题，高级认知问题和其他问题。支持统计各种类型的次数和数量占比，并AI自动生成数据分析及建议。</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二、后端分析主机</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1.硬件结构：采用嵌入式架构设计，采用SOC解决方案，高稳定性、低功耗。采用内置NPU高端处理器，具备智能学习特性，充分保障AI处理能力；</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2.核心数：支持≥八核；内存芯片：支持≥32Gb，存储芯片：支持≥32GB；</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3.接口：支持≥1路RJ45网络接口；</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4.语音分析：支持语音分析能力，包括语音转写、语速分析、高频词分析、敏感词提取、教师提问频次等；</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5.排队机制：支持分析任务排队机制，任务超过并发量自动进行排队等待，逐一进行分析；</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6.分析能力：支持通过AI技术对教学课程质量分析，针对教学课程的音视频结合量规、大模型实现≥80个教学指标分析；</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7.分析数据模式：支持对三路视频画面进行分析，包括但不限于教师画面、学生画面、课件画面，支持在线观看。</w:t>
            </w:r>
          </w:p>
        </w:tc>
        <w:tc>
          <w:tcPr>
            <w:tcW w:w="748" w:type="dxa"/>
            <w:shd w:val="clear" w:color="auto" w:fill="FFFFFF"/>
            <w:vAlign w:val="center"/>
          </w:tcPr>
          <w:p w14:paraId="67F2EBE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5152035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r>
      <w:tr w14:paraId="4A73E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40" w:type="dxa"/>
            <w:shd w:val="clear" w:color="auto" w:fill="FFFFFF"/>
            <w:vAlign w:val="center"/>
          </w:tcPr>
          <w:p w14:paraId="51FE8801">
            <w:pPr>
              <w:widowControl/>
              <w:jc w:val="center"/>
              <w:textAlignment w:val="center"/>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kern w:val="0"/>
                <w:sz w:val="21"/>
                <w:szCs w:val="21"/>
                <w:highlight w:val="none"/>
                <w:lang w:bidi="ar"/>
              </w:rPr>
              <w:t>3</w:t>
            </w:r>
          </w:p>
        </w:tc>
        <w:tc>
          <w:tcPr>
            <w:tcW w:w="736" w:type="dxa"/>
            <w:vAlign w:val="center"/>
          </w:tcPr>
          <w:p w14:paraId="54DCADE1">
            <w:pPr>
              <w:widowControl/>
              <w:jc w:val="center"/>
              <w:textAlignment w:val="center"/>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kern w:val="0"/>
                <w:sz w:val="21"/>
                <w:szCs w:val="21"/>
                <w:highlight w:val="none"/>
                <w:lang w:bidi="ar"/>
              </w:rPr>
              <w:t>平台服务器</w:t>
            </w:r>
          </w:p>
        </w:tc>
        <w:tc>
          <w:tcPr>
            <w:tcW w:w="5663" w:type="dxa"/>
            <w:vAlign w:val="center"/>
          </w:tcPr>
          <w:p w14:paraId="25A83349">
            <w:pPr>
              <w:widowControl/>
              <w:textAlignment w:val="center"/>
              <w:rPr>
                <w:rFonts w:hint="eastAsia" w:ascii="宋体" w:hAnsi="宋体" w:eastAsia="宋体" w:cs="宋体"/>
                <w:strike w:val="0"/>
                <w:dstrike w:val="0"/>
                <w:color w:val="auto"/>
                <w:kern w:val="0"/>
                <w:sz w:val="21"/>
                <w:szCs w:val="21"/>
                <w:highlight w:val="none"/>
                <w:lang w:bidi="ar"/>
              </w:rPr>
            </w:pPr>
            <w:r>
              <w:rPr>
                <w:rFonts w:hint="eastAsia" w:ascii="宋体" w:hAnsi="宋体" w:eastAsia="宋体" w:cs="宋体"/>
                <w:strike w:val="0"/>
                <w:dstrike w:val="0"/>
                <w:color w:val="auto"/>
                <w:kern w:val="0"/>
                <w:sz w:val="21"/>
                <w:szCs w:val="21"/>
                <w:highlight w:val="none"/>
                <w:lang w:bidi="ar"/>
              </w:rPr>
              <w:t>CPU：2颗多核处理器（单颗处理器核心数≥24核，频率≥2.2GHz）</w:t>
            </w:r>
            <w:r>
              <w:rPr>
                <w:rFonts w:hint="eastAsia" w:ascii="宋体" w:hAnsi="宋体" w:eastAsia="宋体" w:cs="宋体"/>
                <w:strike w:val="0"/>
                <w:dstrike w:val="0"/>
                <w:color w:val="auto"/>
                <w:kern w:val="0"/>
                <w:sz w:val="21"/>
                <w:szCs w:val="21"/>
                <w:highlight w:val="none"/>
                <w:lang w:bidi="ar"/>
              </w:rPr>
              <w:br w:type="textWrapping"/>
            </w:r>
            <w:r>
              <w:rPr>
                <w:rFonts w:hint="eastAsia" w:ascii="宋体" w:hAnsi="宋体" w:eastAsia="宋体" w:cs="宋体"/>
                <w:strike w:val="0"/>
                <w:dstrike w:val="0"/>
                <w:color w:val="auto"/>
                <w:kern w:val="0"/>
                <w:sz w:val="21"/>
                <w:szCs w:val="21"/>
                <w:highlight w:val="none"/>
                <w:lang w:bidi="ar"/>
              </w:rPr>
              <w:t>系统盘：960G*2</w:t>
            </w:r>
            <w:r>
              <w:rPr>
                <w:rFonts w:hint="eastAsia" w:ascii="宋体" w:hAnsi="宋体" w:eastAsia="宋体" w:cs="宋体"/>
                <w:strike w:val="0"/>
                <w:dstrike w:val="0"/>
                <w:color w:val="auto"/>
                <w:kern w:val="0"/>
                <w:sz w:val="21"/>
                <w:szCs w:val="21"/>
                <w:highlight w:val="none"/>
                <w:lang w:bidi="ar"/>
              </w:rPr>
              <w:br w:type="textWrapping"/>
            </w:r>
            <w:r>
              <w:rPr>
                <w:rFonts w:hint="eastAsia" w:ascii="宋体" w:hAnsi="宋体" w:eastAsia="宋体" w:cs="宋体"/>
                <w:strike w:val="0"/>
                <w:dstrike w:val="0"/>
                <w:color w:val="auto"/>
                <w:kern w:val="0"/>
                <w:sz w:val="21"/>
                <w:szCs w:val="21"/>
                <w:highlight w:val="none"/>
                <w:lang w:bidi="ar"/>
              </w:rPr>
              <w:t>数据盘：8tb*1</w:t>
            </w:r>
            <w:r>
              <w:rPr>
                <w:rFonts w:hint="eastAsia" w:ascii="宋体" w:hAnsi="宋体" w:eastAsia="宋体" w:cs="宋体"/>
                <w:strike w:val="0"/>
                <w:dstrike w:val="0"/>
                <w:color w:val="auto"/>
                <w:kern w:val="0"/>
                <w:sz w:val="21"/>
                <w:szCs w:val="21"/>
                <w:highlight w:val="none"/>
                <w:lang w:bidi="ar"/>
              </w:rPr>
              <w:br w:type="textWrapping"/>
            </w:r>
            <w:r>
              <w:rPr>
                <w:rFonts w:hint="eastAsia" w:ascii="宋体" w:hAnsi="宋体" w:eastAsia="宋体" w:cs="宋体"/>
                <w:strike w:val="0"/>
                <w:dstrike w:val="0"/>
                <w:color w:val="auto"/>
                <w:kern w:val="0"/>
                <w:sz w:val="21"/>
                <w:szCs w:val="21"/>
                <w:highlight w:val="none"/>
                <w:lang w:bidi="ar"/>
              </w:rPr>
              <w:t>内存：DDR4 32G*4</w:t>
            </w:r>
            <w:r>
              <w:rPr>
                <w:rFonts w:hint="eastAsia" w:ascii="宋体" w:hAnsi="宋体" w:eastAsia="宋体" w:cs="宋体"/>
                <w:strike w:val="0"/>
                <w:dstrike w:val="0"/>
                <w:color w:val="auto"/>
                <w:kern w:val="0"/>
                <w:sz w:val="21"/>
                <w:szCs w:val="21"/>
                <w:highlight w:val="none"/>
                <w:lang w:bidi="ar"/>
              </w:rPr>
              <w:br w:type="textWrapping"/>
            </w:r>
            <w:r>
              <w:rPr>
                <w:rFonts w:hint="eastAsia" w:ascii="宋体" w:hAnsi="宋体" w:eastAsia="宋体" w:cs="宋体"/>
                <w:strike w:val="0"/>
                <w:dstrike w:val="0"/>
                <w:color w:val="auto"/>
                <w:kern w:val="0"/>
                <w:sz w:val="21"/>
                <w:szCs w:val="21"/>
                <w:highlight w:val="none"/>
                <w:lang w:bidi="ar"/>
              </w:rPr>
              <w:t>电源：900W*2</w:t>
            </w:r>
            <w:r>
              <w:rPr>
                <w:rFonts w:hint="eastAsia" w:ascii="宋体" w:hAnsi="宋体" w:eastAsia="宋体" w:cs="宋体"/>
                <w:strike w:val="0"/>
                <w:dstrike w:val="0"/>
                <w:color w:val="auto"/>
                <w:kern w:val="0"/>
                <w:sz w:val="21"/>
                <w:szCs w:val="21"/>
                <w:highlight w:val="none"/>
                <w:lang w:bidi="ar"/>
              </w:rPr>
              <w:br w:type="textWrapping"/>
            </w:r>
            <w:r>
              <w:rPr>
                <w:rFonts w:hint="eastAsia" w:ascii="宋体" w:hAnsi="宋体" w:eastAsia="宋体" w:cs="宋体"/>
                <w:strike w:val="0"/>
                <w:dstrike w:val="0"/>
                <w:color w:val="auto"/>
                <w:kern w:val="0"/>
                <w:sz w:val="21"/>
                <w:szCs w:val="21"/>
                <w:highlight w:val="none"/>
                <w:lang w:bidi="ar"/>
              </w:rPr>
              <w:t>网卡：2口千兆*1 双口万兆*1</w:t>
            </w:r>
            <w:r>
              <w:rPr>
                <w:rFonts w:hint="eastAsia" w:ascii="宋体" w:hAnsi="宋体" w:eastAsia="宋体" w:cs="宋体"/>
                <w:strike w:val="0"/>
                <w:dstrike w:val="0"/>
                <w:color w:val="auto"/>
                <w:kern w:val="0"/>
                <w:sz w:val="21"/>
                <w:szCs w:val="21"/>
                <w:highlight w:val="none"/>
                <w:lang w:bidi="ar"/>
              </w:rPr>
              <w:br w:type="textWrapping"/>
            </w:r>
            <w:r>
              <w:rPr>
                <w:rFonts w:hint="eastAsia" w:ascii="宋体" w:hAnsi="宋体" w:eastAsia="宋体" w:cs="宋体"/>
                <w:strike w:val="0"/>
                <w:dstrike w:val="0"/>
                <w:color w:val="auto"/>
                <w:kern w:val="0"/>
                <w:sz w:val="21"/>
                <w:szCs w:val="21"/>
                <w:highlight w:val="none"/>
                <w:lang w:bidi="ar"/>
              </w:rPr>
              <w:t>阵列卡：1G缓存</w:t>
            </w:r>
          </w:p>
          <w:p w14:paraId="5CE82954">
            <w:pPr>
              <w:widowControl/>
              <w:textAlignment w:val="center"/>
              <w:rPr>
                <w:rFonts w:hint="default" w:ascii="宋体" w:hAnsi="宋体" w:eastAsia="宋体" w:cs="宋体"/>
                <w:strike w:val="0"/>
                <w:dstrike w:val="0"/>
                <w:color w:val="auto"/>
                <w:kern w:val="0"/>
                <w:sz w:val="21"/>
                <w:szCs w:val="21"/>
                <w:highlight w:val="none"/>
                <w:lang w:val="en-US" w:eastAsia="zh-CN" w:bidi="ar"/>
              </w:rPr>
            </w:pPr>
            <w:r>
              <w:rPr>
                <w:rFonts w:hint="eastAsia" w:ascii="宋体" w:hAnsi="宋体" w:eastAsia="宋体" w:cs="宋体"/>
                <w:strike w:val="0"/>
                <w:dstrike w:val="0"/>
                <w:color w:val="auto"/>
                <w:kern w:val="0"/>
                <w:sz w:val="21"/>
                <w:szCs w:val="21"/>
                <w:highlight w:val="none"/>
                <w:lang w:val="en-US" w:eastAsia="zh-CN" w:bidi="ar"/>
              </w:rPr>
              <w:t>显示屏：24寸</w:t>
            </w:r>
          </w:p>
        </w:tc>
        <w:tc>
          <w:tcPr>
            <w:tcW w:w="748" w:type="dxa"/>
            <w:shd w:val="clear" w:color="auto" w:fill="FFFFFF"/>
            <w:vAlign w:val="center"/>
          </w:tcPr>
          <w:p w14:paraId="63F0471D">
            <w:pPr>
              <w:widowControl/>
              <w:jc w:val="center"/>
              <w:textAlignment w:val="center"/>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kern w:val="0"/>
                <w:sz w:val="21"/>
                <w:szCs w:val="21"/>
                <w:highlight w:val="none"/>
                <w:lang w:bidi="ar"/>
              </w:rPr>
              <w:t>1</w:t>
            </w:r>
          </w:p>
        </w:tc>
        <w:tc>
          <w:tcPr>
            <w:tcW w:w="735" w:type="dxa"/>
            <w:shd w:val="clear" w:color="auto" w:fill="FFFFFF"/>
            <w:vAlign w:val="center"/>
          </w:tcPr>
          <w:p w14:paraId="43B94263">
            <w:pPr>
              <w:widowControl/>
              <w:jc w:val="center"/>
              <w:textAlignment w:val="center"/>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kern w:val="0"/>
                <w:sz w:val="21"/>
                <w:szCs w:val="21"/>
                <w:highlight w:val="none"/>
                <w:lang w:bidi="ar"/>
              </w:rPr>
              <w:t>台</w:t>
            </w:r>
          </w:p>
        </w:tc>
      </w:tr>
      <w:tr w14:paraId="3517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7E26BF88">
            <w:pPr>
              <w:widowControl/>
              <w:jc w:val="center"/>
              <w:textAlignment w:val="center"/>
              <w:rPr>
                <w:rFonts w:hint="eastAsia" w:ascii="宋体" w:hAnsi="宋体" w:eastAsia="宋体" w:cs="宋体"/>
                <w:strike w:val="0"/>
                <w:dstrike w:val="0"/>
                <w:color w:val="auto"/>
                <w:kern w:val="0"/>
                <w:sz w:val="21"/>
                <w:szCs w:val="21"/>
                <w:highlight w:val="none"/>
                <w:lang w:val="en-US" w:eastAsia="zh-CN" w:bidi="ar"/>
              </w:rPr>
            </w:pPr>
            <w:r>
              <w:rPr>
                <w:rFonts w:hint="eastAsia" w:ascii="宋体" w:hAnsi="宋体" w:eastAsia="宋体" w:cs="宋体"/>
                <w:strike w:val="0"/>
                <w:dstrike w:val="0"/>
                <w:color w:val="auto"/>
                <w:kern w:val="0"/>
                <w:sz w:val="21"/>
                <w:szCs w:val="21"/>
                <w:highlight w:val="none"/>
                <w:lang w:val="en-US" w:eastAsia="zh-CN" w:bidi="ar"/>
              </w:rPr>
              <w:t>4</w:t>
            </w:r>
          </w:p>
        </w:tc>
        <w:tc>
          <w:tcPr>
            <w:tcW w:w="736" w:type="dxa"/>
            <w:shd w:val="clear" w:color="auto" w:fill="auto"/>
            <w:vAlign w:val="center"/>
          </w:tcPr>
          <w:p w14:paraId="4071CF7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网络存储设备</w:t>
            </w:r>
          </w:p>
        </w:tc>
        <w:tc>
          <w:tcPr>
            <w:tcW w:w="5663" w:type="dxa"/>
            <w:shd w:val="clear" w:color="auto" w:fill="auto"/>
            <w:vAlign w:val="center"/>
          </w:tcPr>
          <w:p w14:paraId="7EDE5354">
            <w:pPr>
              <w:widowControl/>
              <w:textAlignment w:val="center"/>
              <w:rPr>
                <w:rFonts w:hint="eastAsia" w:ascii="宋体" w:hAnsi="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1.处理器：1颗64位多核处理器</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2.系统内存：</w:t>
            </w:r>
            <w:r>
              <w:rPr>
                <w:rFonts w:hint="eastAsia" w:ascii="宋体" w:hAnsi="宋体" w:eastAsia="宋体" w:cs="宋体"/>
                <w:color w:val="auto"/>
                <w:kern w:val="0"/>
                <w:sz w:val="21"/>
                <w:szCs w:val="21"/>
                <w:highlight w:val="none"/>
                <w:lang w:val="en-US" w:eastAsia="zh-CN" w:bidi="ar"/>
              </w:rPr>
              <w:t>64</w:t>
            </w:r>
            <w:r>
              <w:rPr>
                <w:rFonts w:hint="eastAsia" w:ascii="宋体" w:hAnsi="宋体" w:eastAsia="宋体" w:cs="宋体"/>
                <w:color w:val="auto"/>
                <w:kern w:val="0"/>
                <w:sz w:val="21"/>
                <w:szCs w:val="21"/>
                <w:highlight w:val="none"/>
                <w:lang w:bidi="ar"/>
              </w:rPr>
              <w:t>GB</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3.存储接口：16个SATA接口，支持硬盘热插拔；</w:t>
            </w:r>
            <w:r>
              <w:rPr>
                <w:rFonts w:hint="eastAsia" w:ascii="宋体" w:hAnsi="宋体" w:eastAsia="宋体" w:cs="宋体"/>
                <w:color w:val="auto"/>
                <w:kern w:val="0"/>
                <w:sz w:val="21"/>
                <w:szCs w:val="21"/>
                <w:highlight w:val="none"/>
                <w:lang w:val="en-US" w:eastAsia="zh-CN" w:bidi="ar"/>
              </w:rPr>
              <w:t>本次</w:t>
            </w:r>
            <w:r>
              <w:rPr>
                <w:rFonts w:hint="eastAsia" w:ascii="宋体" w:hAnsi="宋体" w:eastAsia="宋体" w:cs="宋体"/>
                <w:color w:val="auto"/>
                <w:kern w:val="0"/>
                <w:sz w:val="21"/>
                <w:szCs w:val="21"/>
                <w:highlight w:val="none"/>
                <w:lang w:bidi="ar"/>
              </w:rPr>
              <w:t>配置16块6T硬盘；</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4.网络接口：2个千兆数据网口及以上；</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5.扩展性：支持2个扩展槽位，支持1GE和10GE扩展，系统最多6个数据网口</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6.整机电源：550W，1+1冗余电源</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7.传输协议：支持IPSAN、NAS协议一体化；</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8.NAS聚合：支持将一台或者多台的存储空间池化为一个统一空间；</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9.多协议互通：支持S3和NAS跨协议访问</w:t>
            </w:r>
            <w:r>
              <w:rPr>
                <w:rFonts w:hint="eastAsia" w:ascii="宋体" w:hAnsi="宋体" w:cs="宋体"/>
                <w:color w:val="auto"/>
                <w:kern w:val="0"/>
                <w:sz w:val="21"/>
                <w:szCs w:val="21"/>
                <w:highlight w:val="none"/>
                <w:lang w:eastAsia="zh-CN" w:bidi="ar"/>
              </w:rPr>
              <w:t>；</w:t>
            </w:r>
          </w:p>
          <w:p w14:paraId="0BBD109A">
            <w:pPr>
              <w:widowControl/>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10.Raid级别：Raid0、1、3、5、6、10等多种模式</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11.热备模式：支持磁盘专属热备、全局热备等多种模式</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12.磁盘管理：支持磁盘交错启动、磁盘漫游、磁盘定位等功能</w:t>
            </w:r>
            <w:r>
              <w:rPr>
                <w:rFonts w:hint="eastAsia" w:ascii="宋体" w:hAnsi="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13.操作系统：Windows、Linux 、Unix、统信UOS，麒麟等</w:t>
            </w:r>
            <w:r>
              <w:rPr>
                <w:rFonts w:hint="eastAsia" w:ascii="宋体" w:hAnsi="宋体" w:cs="宋体"/>
                <w:color w:val="auto"/>
                <w:kern w:val="0"/>
                <w:sz w:val="21"/>
                <w:szCs w:val="21"/>
                <w:highlight w:val="none"/>
                <w:lang w:eastAsia="zh-CN" w:bidi="ar"/>
              </w:rPr>
              <w:t>。</w:t>
            </w:r>
          </w:p>
        </w:tc>
        <w:tc>
          <w:tcPr>
            <w:tcW w:w="748" w:type="dxa"/>
            <w:shd w:val="clear" w:color="auto" w:fill="FFFFFF"/>
            <w:vAlign w:val="center"/>
          </w:tcPr>
          <w:p w14:paraId="72952B5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1</w:t>
            </w:r>
          </w:p>
        </w:tc>
        <w:tc>
          <w:tcPr>
            <w:tcW w:w="735" w:type="dxa"/>
            <w:shd w:val="clear" w:color="auto" w:fill="FFFFFF"/>
            <w:vAlign w:val="center"/>
          </w:tcPr>
          <w:p w14:paraId="5905A59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台</w:t>
            </w:r>
          </w:p>
        </w:tc>
      </w:tr>
      <w:tr w14:paraId="2609D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40" w:type="dxa"/>
            <w:shd w:val="clear" w:color="auto" w:fill="FFFFFF"/>
            <w:vAlign w:val="center"/>
          </w:tcPr>
          <w:p w14:paraId="1080DA01">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36" w:type="dxa"/>
            <w:vAlign w:val="center"/>
          </w:tcPr>
          <w:p w14:paraId="5756F1E3">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服务器专用机柜</w:t>
            </w:r>
          </w:p>
        </w:tc>
        <w:tc>
          <w:tcPr>
            <w:tcW w:w="5663" w:type="dxa"/>
            <w:vAlign w:val="center"/>
          </w:tcPr>
          <w:p w14:paraId="22F4386D">
            <w:pPr>
              <w:widowControl/>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采用标准服务器机柜，整体尺寸约 600mm×1000mm×2000mm</w:t>
            </w:r>
            <w:r>
              <w:rPr>
                <w:rFonts w:hint="eastAsia" w:ascii="宋体" w:hAnsi="宋体" w:cs="宋体"/>
                <w:color w:val="auto"/>
                <w:sz w:val="21"/>
                <w:szCs w:val="21"/>
                <w:highlight w:val="none"/>
                <w:lang w:eastAsia="zh-CN"/>
              </w:rPr>
              <w:t>；</w:t>
            </w:r>
          </w:p>
          <w:p w14:paraId="12544564">
            <w:pPr>
              <w:widowControl/>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机柜采用优质冷轧钢板材质，主立柱加厚设计，结构稳固，静载承重可达 800KG</w:t>
            </w:r>
            <w:r>
              <w:rPr>
                <w:rFonts w:hint="eastAsia" w:ascii="宋体" w:hAnsi="宋体" w:cs="宋体"/>
                <w:color w:val="auto"/>
                <w:sz w:val="21"/>
                <w:szCs w:val="21"/>
                <w:highlight w:val="none"/>
                <w:lang w:eastAsia="zh-CN"/>
              </w:rPr>
              <w:t>；</w:t>
            </w:r>
          </w:p>
          <w:p w14:paraId="595D640B">
            <w:pPr>
              <w:widowControl/>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前门、后门为高密度网孔散热门，</w:t>
            </w:r>
            <w:r>
              <w:rPr>
                <w:rFonts w:hint="eastAsia" w:ascii="宋体" w:hAnsi="宋体" w:eastAsia="宋体" w:cs="宋体"/>
                <w:color w:val="auto"/>
                <w:sz w:val="21"/>
                <w:szCs w:val="21"/>
                <w:highlight w:val="none"/>
                <w:lang w:val="en-US" w:eastAsia="zh-CN"/>
              </w:rPr>
              <w:t>增加</w:t>
            </w:r>
            <w:r>
              <w:rPr>
                <w:rFonts w:hint="eastAsia" w:ascii="宋体" w:hAnsi="宋体" w:eastAsia="宋体" w:cs="宋体"/>
                <w:color w:val="auto"/>
                <w:sz w:val="21"/>
                <w:szCs w:val="21"/>
                <w:highlight w:val="none"/>
              </w:rPr>
              <w:t>通风散热效果</w:t>
            </w:r>
            <w:r>
              <w:rPr>
                <w:rFonts w:hint="eastAsia" w:ascii="宋体" w:hAnsi="宋体" w:cs="宋体"/>
                <w:color w:val="auto"/>
                <w:sz w:val="21"/>
                <w:szCs w:val="21"/>
                <w:highlight w:val="none"/>
                <w:lang w:eastAsia="zh-CN"/>
              </w:rPr>
              <w:t>；</w:t>
            </w:r>
          </w:p>
          <w:p w14:paraId="6ECEB821">
            <w:pPr>
              <w:widowControl/>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中标人须根据管理要求设置单独专用服务器机柜，满足后期使用及升级要求。</w:t>
            </w:r>
          </w:p>
        </w:tc>
        <w:tc>
          <w:tcPr>
            <w:tcW w:w="748" w:type="dxa"/>
            <w:shd w:val="clear" w:color="auto" w:fill="FFFFFF"/>
            <w:vAlign w:val="center"/>
          </w:tcPr>
          <w:p w14:paraId="5BBD2758">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35" w:type="dxa"/>
            <w:shd w:val="clear" w:color="auto" w:fill="FFFFFF"/>
            <w:vAlign w:val="center"/>
          </w:tcPr>
          <w:p w14:paraId="3E877F3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r>
    </w:tbl>
    <w:p w14:paraId="333BC86E">
      <w:pPr>
        <w:rPr>
          <w:color w:val="auto"/>
          <w:highlight w:val="none"/>
        </w:rPr>
      </w:pPr>
    </w:p>
    <w:p w14:paraId="7F7035DE">
      <w:pPr>
        <w:rPr>
          <w:rFonts w:ascii="宋体" w:hAnsi="宋体" w:cs="宋体"/>
          <w:color w:val="auto"/>
          <w:highlight w:val="none"/>
        </w:rPr>
      </w:pPr>
      <w:r>
        <w:rPr>
          <w:rFonts w:ascii="宋体" w:hAnsi="宋体" w:cs="宋体"/>
          <w:color w:val="auto"/>
          <w:highlight w:val="none"/>
        </w:rPr>
        <w:br w:type="page"/>
      </w:r>
    </w:p>
    <w:p w14:paraId="128212C1">
      <w:pPr>
        <w:pStyle w:val="2"/>
        <w:rPr>
          <w:rFonts w:ascii="宋体" w:hAnsi="宋体" w:cs="宋体"/>
          <w:color w:val="auto"/>
          <w:highlight w:val="none"/>
        </w:rPr>
      </w:pPr>
      <w:r>
        <w:rPr>
          <w:rFonts w:ascii="宋体" w:hAnsi="宋体" w:cs="宋体"/>
          <w:color w:val="auto"/>
          <w:highlight w:val="none"/>
        </w:rPr>
        <w:t>第四章  评标定标办法</w:t>
      </w:r>
      <w:bookmarkEnd w:id="32"/>
    </w:p>
    <w:p w14:paraId="0BBA2753">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本项目采用综合评分法进行评分，</w:t>
      </w:r>
      <w:r>
        <w:rPr>
          <w:rFonts w:ascii="宋体" w:hAnsi="宋体" w:cs="宋体"/>
          <w:color w:val="auto"/>
          <w:sz w:val="24"/>
          <w:highlight w:val="none"/>
        </w:rPr>
        <w:t>评标由评标委员会依据招标文件的有关规定进行。评标委员会由</w:t>
      </w:r>
      <w:r>
        <w:rPr>
          <w:rFonts w:hint="eastAsia" w:ascii="宋体" w:hAnsi="宋体" w:cs="宋体"/>
          <w:color w:val="auto"/>
          <w:sz w:val="24"/>
          <w:highlight w:val="none"/>
          <w:lang w:eastAsia="zh-CN"/>
        </w:rPr>
        <w:t>采购人</w:t>
      </w:r>
      <w:r>
        <w:rPr>
          <w:rFonts w:ascii="宋体" w:hAnsi="宋体" w:cs="宋体"/>
          <w:color w:val="auto"/>
          <w:sz w:val="24"/>
          <w:highlight w:val="none"/>
        </w:rPr>
        <w:t>和有关专家组成，人数</w:t>
      </w:r>
      <w:r>
        <w:rPr>
          <w:rFonts w:ascii="宋体" w:hAnsi="宋体" w:cs="宋体"/>
          <w:color w:val="auto"/>
          <w:sz w:val="24"/>
          <w:highlight w:val="none"/>
          <w:u w:val="none"/>
        </w:rPr>
        <w:t>为</w:t>
      </w:r>
      <w:r>
        <w:rPr>
          <w:rFonts w:hint="eastAsia" w:ascii="宋体" w:hAnsi="宋体" w:cs="宋体"/>
          <w:color w:val="auto"/>
          <w:sz w:val="24"/>
          <w:highlight w:val="none"/>
          <w:u w:val="none"/>
          <w:lang w:val="en-US" w:eastAsia="zh-CN"/>
        </w:rPr>
        <w:t>五</w:t>
      </w:r>
      <w:r>
        <w:rPr>
          <w:rFonts w:ascii="宋体" w:hAnsi="宋体" w:cs="宋体"/>
          <w:color w:val="auto"/>
          <w:sz w:val="24"/>
          <w:highlight w:val="none"/>
          <w:u w:val="none"/>
        </w:rPr>
        <w:t>人（含）以上的单</w:t>
      </w:r>
      <w:r>
        <w:rPr>
          <w:rFonts w:ascii="宋体" w:hAnsi="宋体" w:cs="宋体"/>
          <w:color w:val="auto"/>
          <w:sz w:val="24"/>
          <w:highlight w:val="none"/>
        </w:rPr>
        <w:t>数。经评标委员会初步确认为无效的投标文件不参加详细评审，经初步评审合格的投标文件依据招标文件的规定按下列评标标准和方法进行评审。</w:t>
      </w:r>
    </w:p>
    <w:p w14:paraId="609E9560">
      <w:pPr>
        <w:spacing w:line="520" w:lineRule="exact"/>
        <w:ind w:firstLine="480"/>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本项目核心产品为：录播主机</w:t>
      </w:r>
    </w:p>
    <w:p w14:paraId="7AE0DA70">
      <w:pPr>
        <w:spacing w:line="520" w:lineRule="exact"/>
        <w:ind w:firstLine="480"/>
        <w:rPr>
          <w:rFonts w:hint="eastAsia" w:ascii="宋体" w:hAnsi="宋体" w:cs="宋体"/>
          <w:b/>
          <w:bCs/>
          <w:color w:val="auto"/>
          <w:sz w:val="24"/>
          <w:highlight w:val="none"/>
        </w:rPr>
      </w:pPr>
      <w:r>
        <w:rPr>
          <w:rFonts w:hint="eastAsia" w:ascii="宋体" w:hAnsi="宋体" w:cs="宋体"/>
          <w:b/>
          <w:bCs/>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2D333C3">
      <w:pPr>
        <w:spacing w:line="520" w:lineRule="exact"/>
        <w:ind w:firstLine="480"/>
        <w:rPr>
          <w:rFonts w:ascii="宋体" w:hAnsi="宋体" w:cs="宋体"/>
          <w:b/>
          <w:bCs/>
          <w:color w:val="auto"/>
          <w:sz w:val="24"/>
          <w:highlight w:val="none"/>
        </w:rPr>
      </w:pPr>
      <w:r>
        <w:rPr>
          <w:rFonts w:hint="eastAsia" w:ascii="宋体" w:hAnsi="宋体" w:cs="宋体"/>
          <w:b/>
          <w:bCs/>
          <w:color w:val="auto"/>
          <w:sz w:val="24"/>
          <w:highlight w:val="none"/>
        </w:rPr>
        <w:t>非单一产品采购项目，采购人应当根据采购项目技术构成、产品价格比重等合理确定核心产品，并在招标文件中载明。多家投标人提供的核心产品品牌相同的，按前两款规定处理。</w:t>
      </w:r>
    </w:p>
    <w:p w14:paraId="3F760E4B">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t>一、评标总则：</w:t>
      </w:r>
    </w:p>
    <w:tbl>
      <w:tblPr>
        <w:tblStyle w:val="47"/>
        <w:tblW w:w="5465"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819"/>
        <w:gridCol w:w="1358"/>
        <w:gridCol w:w="7005"/>
        <w:gridCol w:w="920"/>
      </w:tblGrid>
      <w:tr w14:paraId="1D30D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0" w:hRule="atLeast"/>
        </w:trPr>
        <w:tc>
          <w:tcPr>
            <w:tcW w:w="819" w:type="dxa"/>
            <w:tcBorders>
              <w:tl2br w:val="nil"/>
              <w:tr2bl w:val="nil"/>
            </w:tcBorders>
            <w:shd w:val="clear" w:color="auto" w:fill="auto"/>
            <w:vAlign w:val="center"/>
          </w:tcPr>
          <w:p w14:paraId="73E3B27C">
            <w:pPr>
              <w:spacing w:line="36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color w:val="auto"/>
                <w:sz w:val="24"/>
                <w:szCs w:val="24"/>
                <w:highlight w:val="none"/>
              </w:rPr>
              <w:t>序号</w:t>
            </w:r>
          </w:p>
        </w:tc>
        <w:tc>
          <w:tcPr>
            <w:tcW w:w="1358" w:type="dxa"/>
            <w:tcBorders>
              <w:tl2br w:val="nil"/>
              <w:tr2bl w:val="nil"/>
            </w:tcBorders>
            <w:shd w:val="clear" w:color="auto" w:fill="auto"/>
            <w:vAlign w:val="center"/>
          </w:tcPr>
          <w:p w14:paraId="6E33FFE7">
            <w:pPr>
              <w:spacing w:line="360" w:lineRule="auto"/>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b/>
                <w:color w:val="auto"/>
                <w:sz w:val="24"/>
                <w:szCs w:val="24"/>
                <w:highlight w:val="none"/>
                <w:lang w:val="en-US" w:eastAsia="zh-CN"/>
              </w:rPr>
              <w:t>评审因素</w:t>
            </w:r>
          </w:p>
        </w:tc>
        <w:tc>
          <w:tcPr>
            <w:tcW w:w="7005" w:type="dxa"/>
            <w:tcBorders>
              <w:tl2br w:val="nil"/>
              <w:tr2bl w:val="nil"/>
            </w:tcBorders>
            <w:shd w:val="clear" w:color="auto" w:fill="auto"/>
            <w:vAlign w:val="center"/>
          </w:tcPr>
          <w:p w14:paraId="076E051F">
            <w:pPr>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color w:val="auto"/>
                <w:sz w:val="24"/>
                <w:szCs w:val="24"/>
                <w:highlight w:val="none"/>
                <w:lang w:val="en-US" w:eastAsia="zh-CN"/>
              </w:rPr>
              <w:t>评分标准说明</w:t>
            </w:r>
          </w:p>
        </w:tc>
        <w:tc>
          <w:tcPr>
            <w:tcW w:w="920" w:type="dxa"/>
            <w:tcBorders>
              <w:tl2br w:val="nil"/>
              <w:tr2bl w:val="nil"/>
            </w:tcBorders>
            <w:shd w:val="clear" w:color="auto" w:fill="auto"/>
            <w:vAlign w:val="center"/>
          </w:tcPr>
          <w:p w14:paraId="0E52F05C">
            <w:pPr>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cs="宋体"/>
                <w:b/>
                <w:color w:val="auto"/>
                <w:sz w:val="24"/>
                <w:szCs w:val="24"/>
                <w:highlight w:val="none"/>
              </w:rPr>
              <w:t>分值</w:t>
            </w:r>
          </w:p>
        </w:tc>
      </w:tr>
      <w:tr w14:paraId="66F2F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0" w:hRule="atLeast"/>
        </w:trPr>
        <w:tc>
          <w:tcPr>
            <w:tcW w:w="819" w:type="dxa"/>
            <w:tcBorders>
              <w:tl2br w:val="nil"/>
              <w:tr2bl w:val="nil"/>
            </w:tcBorders>
            <w:shd w:val="clear" w:color="auto" w:fill="auto"/>
            <w:vAlign w:val="center"/>
          </w:tcPr>
          <w:p w14:paraId="5FAD1BA3">
            <w:pPr>
              <w:spacing w:line="36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1</w:t>
            </w:r>
          </w:p>
        </w:tc>
        <w:tc>
          <w:tcPr>
            <w:tcW w:w="1358" w:type="dxa"/>
            <w:tcBorders>
              <w:tl2br w:val="nil"/>
              <w:tr2bl w:val="nil"/>
            </w:tcBorders>
            <w:shd w:val="clear" w:color="auto" w:fill="auto"/>
            <w:vAlign w:val="center"/>
          </w:tcPr>
          <w:p w14:paraId="4368D70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投标报价</w:t>
            </w:r>
          </w:p>
          <w:p w14:paraId="32C7EE84">
            <w:pPr>
              <w:spacing w:line="36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7005" w:type="dxa"/>
            <w:tcBorders>
              <w:tl2br w:val="nil"/>
              <w:tr2bl w:val="nil"/>
            </w:tcBorders>
            <w:shd w:val="clear" w:color="auto" w:fill="auto"/>
            <w:vAlign w:val="center"/>
          </w:tcPr>
          <w:p w14:paraId="596411AB">
            <w:pPr>
              <w:spacing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投标报价超出最高投标限价的为无效报价，其投标文件均按无效标处理。满足招标文件要求且投标价格最低的投标报价为评标基准价，其价格分为满分。其他投标人的报价得分统一按照下列公式计算：投标报价得分=评标基准价/投标报价*40分（分值保留两位小数）。</w:t>
            </w:r>
          </w:p>
        </w:tc>
        <w:tc>
          <w:tcPr>
            <w:tcW w:w="920" w:type="dxa"/>
            <w:tcBorders>
              <w:tl2br w:val="nil"/>
              <w:tr2bl w:val="nil"/>
            </w:tcBorders>
            <w:shd w:val="clear" w:color="auto" w:fill="auto"/>
            <w:vAlign w:val="center"/>
          </w:tcPr>
          <w:p w14:paraId="7425E9DF">
            <w:pPr>
              <w:spacing w:line="36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Cs/>
                <w:color w:val="auto"/>
                <w:sz w:val="24"/>
                <w:szCs w:val="24"/>
                <w:highlight w:val="none"/>
                <w:lang w:val="en-US" w:eastAsia="zh-CN"/>
              </w:rPr>
              <w:t>40</w:t>
            </w:r>
          </w:p>
        </w:tc>
      </w:tr>
      <w:tr w14:paraId="5D166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819" w:type="dxa"/>
            <w:tcBorders>
              <w:tl2br w:val="nil"/>
              <w:tr2bl w:val="nil"/>
            </w:tcBorders>
            <w:shd w:val="clear" w:color="auto" w:fill="auto"/>
            <w:vAlign w:val="center"/>
          </w:tcPr>
          <w:p w14:paraId="0862B175">
            <w:pPr>
              <w:spacing w:line="360" w:lineRule="auto"/>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2</w:t>
            </w:r>
          </w:p>
        </w:tc>
        <w:tc>
          <w:tcPr>
            <w:tcW w:w="1358" w:type="dxa"/>
            <w:tcBorders>
              <w:tl2br w:val="nil"/>
              <w:tr2bl w:val="nil"/>
            </w:tcBorders>
            <w:shd w:val="clear" w:color="auto" w:fill="auto"/>
            <w:vAlign w:val="center"/>
          </w:tcPr>
          <w:p w14:paraId="628D9E48">
            <w:pPr>
              <w:spacing w:line="360" w:lineRule="auto"/>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rPr>
              <w:t>产品指标</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c>
          <w:tcPr>
            <w:tcW w:w="7005" w:type="dxa"/>
            <w:tcBorders>
              <w:tl2br w:val="nil"/>
              <w:tr2bl w:val="nil"/>
            </w:tcBorders>
            <w:shd w:val="clear" w:color="auto" w:fill="auto"/>
            <w:vAlign w:val="center"/>
          </w:tcPr>
          <w:p w14:paraId="589E36C6">
            <w:pPr>
              <w:pStyle w:val="46"/>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根据各供应商所投产品技术偏离表、投标产品彩图及投标产品技术情况描述由评标委员会进行评分。</w:t>
            </w:r>
          </w:p>
          <w:p w14:paraId="0148CE75">
            <w:pPr>
              <w:pStyle w:val="46"/>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eastAsia="宋体" w:cs="宋体"/>
                <w:color w:val="auto"/>
                <w:sz w:val="24"/>
                <w:szCs w:val="24"/>
                <w:highlight w:val="none"/>
                <w:lang w:val="en-US" w:eastAsia="zh-CN"/>
              </w:rPr>
              <w:t>.</w:t>
            </w:r>
            <w:r>
              <w:rPr>
                <w:rFonts w:hint="eastAsia" w:ascii="宋体" w:hAnsi="宋体" w:eastAsia="宋体" w:cs="宋体"/>
                <w:color w:val="auto"/>
                <w:sz w:val="24"/>
                <w:szCs w:val="24"/>
                <w:highlight w:val="none"/>
              </w:rPr>
              <w:t>标注▲内容为重要指标，有一项负偏离扣1分，扣完为止，本小项满分15分。</w:t>
            </w:r>
          </w:p>
          <w:p w14:paraId="6AF3A3F8">
            <w:pPr>
              <w:pStyle w:val="46"/>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其他参数（除标注★、▲内容），有一项负偏离扣0.5分，扣完为止，本小项满分5分。</w:t>
            </w:r>
          </w:p>
          <w:p w14:paraId="39C80BA4">
            <w:pPr>
              <w:pStyle w:val="46"/>
              <w:ind w:left="0" w:leftChars="0" w:firstLine="0" w:firstLineChars="0"/>
              <w:rPr>
                <w:rFonts w:hint="default" w:eastAsia="宋体"/>
                <w:color w:val="auto"/>
                <w:highlight w:val="none"/>
                <w:lang w:val="en-US" w:eastAsia="zh-CN"/>
              </w:rPr>
            </w:pPr>
            <w:r>
              <w:rPr>
                <w:rFonts w:hint="eastAsia" w:ascii="宋体" w:hAnsi="宋体" w:eastAsia="宋体" w:cs="宋体"/>
                <w:color w:val="auto"/>
                <w:sz w:val="24"/>
                <w:szCs w:val="24"/>
                <w:highlight w:val="none"/>
              </w:rPr>
              <w:t>注：标注★内容为实质性要求，负偏离视为无效投标。</w:t>
            </w:r>
          </w:p>
        </w:tc>
        <w:tc>
          <w:tcPr>
            <w:tcW w:w="920" w:type="dxa"/>
            <w:tcBorders>
              <w:tl2br w:val="nil"/>
              <w:tr2bl w:val="nil"/>
            </w:tcBorders>
            <w:shd w:val="clear" w:color="auto" w:fill="auto"/>
            <w:vAlign w:val="center"/>
          </w:tcPr>
          <w:p w14:paraId="0881EC73">
            <w:pPr>
              <w:widowControl/>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
                <w:color w:val="auto"/>
                <w:sz w:val="24"/>
                <w:szCs w:val="24"/>
                <w:highlight w:val="none"/>
                <w:lang w:val="en-US" w:eastAsia="zh-CN"/>
              </w:rPr>
              <w:t>20</w:t>
            </w:r>
          </w:p>
        </w:tc>
      </w:tr>
      <w:tr w14:paraId="254FE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819" w:type="dxa"/>
            <w:tcBorders>
              <w:tl2br w:val="nil"/>
              <w:tr2bl w:val="nil"/>
            </w:tcBorders>
            <w:shd w:val="clear" w:color="auto" w:fill="auto"/>
            <w:vAlign w:val="center"/>
          </w:tcPr>
          <w:p w14:paraId="392613C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1358" w:type="dxa"/>
            <w:tcBorders>
              <w:tl2br w:val="nil"/>
              <w:tr2bl w:val="nil"/>
            </w:tcBorders>
            <w:shd w:val="clear" w:color="auto" w:fill="auto"/>
            <w:vAlign w:val="center"/>
          </w:tcPr>
          <w:p w14:paraId="606E8D53">
            <w:pPr>
              <w:keepNext w:val="0"/>
              <w:keepLines w:val="0"/>
              <w:widowControl/>
              <w:suppressLineNumbers w:val="0"/>
              <w:tabs>
                <w:tab w:val="left" w:pos="237"/>
              </w:tabs>
              <w:spacing w:line="360" w:lineRule="auto"/>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履约能力（7</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c>
          <w:tcPr>
            <w:tcW w:w="7005" w:type="dxa"/>
            <w:tcBorders>
              <w:tl2br w:val="nil"/>
              <w:tr2bl w:val="nil"/>
            </w:tcBorders>
            <w:shd w:val="clear" w:color="auto" w:fill="auto"/>
            <w:noWrap/>
            <w:vAlign w:val="center"/>
          </w:tcPr>
          <w:p w14:paraId="28D5AA7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1.投标人具有有效的质量管理体系认证、</w:t>
            </w:r>
            <w:r>
              <w:rPr>
                <w:rFonts w:hint="eastAsia" w:ascii="宋体" w:hAnsi="宋体" w:eastAsia="宋体" w:cs="宋体"/>
                <w:color w:val="auto"/>
                <w:sz w:val="24"/>
                <w:szCs w:val="24"/>
                <w:highlight w:val="none"/>
                <w:lang w:eastAsia="zh-CN"/>
              </w:rPr>
              <w:t>信息安全管理体系认证证书</w:t>
            </w:r>
            <w:r>
              <w:rPr>
                <w:rFonts w:hint="eastAsia" w:ascii="宋体" w:hAnsi="宋体" w:eastAsia="宋体" w:cs="宋体"/>
                <w:color w:val="auto"/>
                <w:sz w:val="24"/>
                <w:szCs w:val="24"/>
                <w:highlight w:val="none"/>
                <w:lang w:val="en-US" w:eastAsia="zh-CN"/>
              </w:rPr>
              <w:t>、售后服务评价认证，每提供1项得1分，本项最高得3分。</w:t>
            </w:r>
          </w:p>
          <w:p w14:paraId="6AC04E3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注：须提供有效期内的证书及全国认证认可信息公共服务平台网站（http://cx.cnca.cn）查询截图</w:t>
            </w:r>
            <w:r>
              <w:rPr>
                <w:rFonts w:hint="eastAsia" w:ascii="宋体" w:hAnsi="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zh-CN"/>
              </w:rPr>
              <w:t>加盖</w:t>
            </w:r>
            <w:r>
              <w:rPr>
                <w:rFonts w:hint="eastAsia" w:ascii="宋体" w:hAnsi="宋体" w:cs="宋体"/>
                <w:color w:val="auto"/>
                <w:sz w:val="24"/>
                <w:szCs w:val="24"/>
                <w:highlight w:val="none"/>
                <w:lang w:val="en-US" w:eastAsia="zh-CN"/>
              </w:rPr>
              <w:t>单位</w:t>
            </w:r>
            <w:r>
              <w:rPr>
                <w:rFonts w:hint="eastAsia" w:ascii="宋体" w:hAnsi="宋体" w:eastAsia="宋体" w:cs="宋体"/>
                <w:color w:val="auto"/>
                <w:sz w:val="24"/>
                <w:szCs w:val="24"/>
                <w:highlight w:val="none"/>
                <w:lang w:val="en-US" w:eastAsia="zh-CN"/>
              </w:rPr>
              <w:t>公章，未按要求提供或未提供的不得分。</w:t>
            </w:r>
          </w:p>
          <w:p w14:paraId="0FD86BDB">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w:t>
            </w:r>
            <w:r>
              <w:rPr>
                <w:rFonts w:hint="eastAsia" w:ascii="宋体" w:hAnsi="宋体" w:cs="宋体"/>
                <w:color w:val="auto"/>
                <w:sz w:val="24"/>
                <w:szCs w:val="24"/>
                <w:highlight w:val="none"/>
                <w:lang w:val="en-US" w:eastAsia="zh-CN"/>
              </w:rPr>
              <w:t>拟为本项目配备的</w:t>
            </w:r>
            <w:r>
              <w:rPr>
                <w:rFonts w:hint="eastAsia" w:ascii="宋体" w:hAnsi="宋体" w:eastAsia="宋体" w:cs="宋体"/>
                <w:color w:val="auto"/>
                <w:sz w:val="24"/>
                <w:szCs w:val="24"/>
                <w:highlight w:val="none"/>
                <w:lang w:val="en-US" w:eastAsia="zh-CN"/>
              </w:rPr>
              <w:t>服务团队，其中：</w:t>
            </w:r>
          </w:p>
          <w:p w14:paraId="281930DD">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（1）项目负责人：</w:t>
            </w:r>
          </w:p>
          <w:p w14:paraId="661A4A70">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项目负责人具有人社部门</w:t>
            </w:r>
            <w:r>
              <w:rPr>
                <w:rFonts w:hint="eastAsia" w:ascii="宋体" w:hAnsi="宋体" w:cs="宋体"/>
                <w:color w:val="auto"/>
                <w:sz w:val="24"/>
                <w:szCs w:val="24"/>
                <w:highlight w:val="none"/>
                <w:lang w:val="en-US" w:eastAsia="zh-CN"/>
              </w:rPr>
              <w:t>颁发</w:t>
            </w:r>
            <w:r>
              <w:rPr>
                <w:rFonts w:hint="eastAsia" w:ascii="宋体" w:hAnsi="宋体" w:eastAsia="宋体" w:cs="宋体"/>
                <w:color w:val="auto"/>
                <w:sz w:val="24"/>
                <w:szCs w:val="24"/>
                <w:highlight w:val="none"/>
                <w:lang w:val="en-US" w:eastAsia="zh-CN"/>
              </w:rPr>
              <w:t>的信息系统项目管理师(高级)资格证书</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得1分；</w:t>
            </w:r>
          </w:p>
          <w:p w14:paraId="3EE01F3E">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组</w:t>
            </w:r>
            <w:r>
              <w:rPr>
                <w:rFonts w:hint="eastAsia" w:ascii="宋体" w:hAnsi="宋体" w:eastAsia="宋体" w:cs="宋体"/>
                <w:color w:val="auto"/>
                <w:sz w:val="24"/>
                <w:szCs w:val="24"/>
                <w:highlight w:val="none"/>
                <w:lang w:val="en-US" w:eastAsia="zh-CN"/>
              </w:rPr>
              <w:t>成员</w:t>
            </w:r>
          </w:p>
          <w:p w14:paraId="61BCDD6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成员</w:t>
            </w:r>
            <w:r>
              <w:rPr>
                <w:rFonts w:hint="eastAsia" w:ascii="宋体" w:hAnsi="宋体" w:eastAsia="宋体" w:cs="宋体"/>
                <w:color w:val="auto"/>
                <w:sz w:val="24"/>
                <w:szCs w:val="24"/>
                <w:highlight w:val="none"/>
                <w:lang w:val="en-US" w:eastAsia="zh-CN"/>
              </w:rPr>
              <w:t>具有人社部门</w:t>
            </w:r>
            <w:r>
              <w:rPr>
                <w:rFonts w:hint="eastAsia" w:ascii="宋体" w:hAnsi="宋体" w:cs="宋体"/>
                <w:color w:val="auto"/>
                <w:sz w:val="24"/>
                <w:szCs w:val="24"/>
                <w:highlight w:val="none"/>
                <w:lang w:val="en-US" w:eastAsia="zh-CN"/>
              </w:rPr>
              <w:t>颁发</w:t>
            </w:r>
            <w:r>
              <w:rPr>
                <w:rFonts w:hint="eastAsia" w:ascii="宋体" w:hAnsi="宋体" w:eastAsia="宋体" w:cs="宋体"/>
                <w:color w:val="auto"/>
                <w:sz w:val="24"/>
                <w:szCs w:val="24"/>
                <w:highlight w:val="none"/>
                <w:lang w:val="en-US" w:eastAsia="zh-CN"/>
              </w:rPr>
              <w:t>的计算机网络或电子信息系统类</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lang w:val="en-US" w:eastAsia="zh-CN"/>
              </w:rPr>
              <w:t>级</w:t>
            </w:r>
            <w:r>
              <w:rPr>
                <w:rFonts w:hint="eastAsia" w:ascii="宋体" w:hAnsi="宋体" w:cs="宋体"/>
                <w:color w:val="auto"/>
                <w:sz w:val="24"/>
                <w:szCs w:val="24"/>
                <w:highlight w:val="none"/>
                <w:lang w:val="en-US" w:eastAsia="zh-CN"/>
              </w:rPr>
              <w:t>（含）以上</w:t>
            </w:r>
            <w:r>
              <w:rPr>
                <w:rFonts w:hint="eastAsia" w:ascii="宋体" w:hAnsi="宋体" w:eastAsia="宋体" w:cs="宋体"/>
                <w:color w:val="auto"/>
                <w:sz w:val="24"/>
                <w:szCs w:val="24"/>
                <w:highlight w:val="none"/>
                <w:lang w:val="en-US" w:eastAsia="zh-CN"/>
              </w:rPr>
              <w:t>工程师</w:t>
            </w:r>
            <w:r>
              <w:rPr>
                <w:rFonts w:hint="eastAsia" w:ascii="宋体" w:hAnsi="宋体" w:cs="宋体"/>
                <w:color w:val="auto"/>
                <w:sz w:val="24"/>
                <w:szCs w:val="24"/>
                <w:highlight w:val="none"/>
                <w:lang w:val="en-US" w:eastAsia="zh-CN"/>
              </w:rPr>
              <w:t>职称</w:t>
            </w:r>
            <w:r>
              <w:rPr>
                <w:rFonts w:hint="eastAsia" w:ascii="宋体" w:hAnsi="宋体" w:eastAsia="宋体" w:cs="宋体"/>
                <w:color w:val="auto"/>
                <w:sz w:val="24"/>
                <w:szCs w:val="24"/>
                <w:highlight w:val="none"/>
                <w:lang w:val="en-US" w:eastAsia="zh-CN"/>
              </w:rPr>
              <w:t>证书</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得1分；</w:t>
            </w:r>
          </w:p>
          <w:p w14:paraId="328E580F">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w:t>
            </w:r>
          </w:p>
          <w:p w14:paraId="68AA0BBA">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①本项中同一人员只计一次，人员不得兼职，否则不予计分。</w:t>
            </w:r>
          </w:p>
          <w:p w14:paraId="53E9522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cs="宋体"/>
                <w:color w:val="auto"/>
                <w:sz w:val="24"/>
                <w:szCs w:val="24"/>
                <w:highlight w:val="none"/>
                <w:lang w:val="en-US" w:eastAsia="zh-CN"/>
              </w:rPr>
              <w:t>须</w:t>
            </w:r>
            <w:r>
              <w:rPr>
                <w:rFonts w:hint="eastAsia" w:ascii="宋体" w:hAnsi="宋体" w:eastAsia="宋体" w:cs="宋体"/>
                <w:color w:val="auto"/>
                <w:sz w:val="24"/>
                <w:szCs w:val="24"/>
                <w:highlight w:val="none"/>
                <w:lang w:val="en-US" w:eastAsia="zh-CN"/>
              </w:rPr>
              <w:t>提供人员证书及投标人为</w:t>
            </w:r>
            <w:r>
              <w:rPr>
                <w:rFonts w:hint="eastAsia" w:ascii="宋体" w:hAnsi="宋体" w:cs="宋体"/>
                <w:color w:val="auto"/>
                <w:sz w:val="24"/>
                <w:szCs w:val="24"/>
                <w:highlight w:val="none"/>
                <w:lang w:val="en-US" w:eastAsia="zh-CN"/>
              </w:rPr>
              <w:t>其</w:t>
            </w:r>
            <w:r>
              <w:rPr>
                <w:rFonts w:hint="eastAsia" w:ascii="宋体" w:hAnsi="宋体" w:eastAsia="宋体" w:cs="宋体"/>
                <w:color w:val="auto"/>
                <w:sz w:val="24"/>
                <w:szCs w:val="24"/>
                <w:highlight w:val="none"/>
                <w:lang w:val="en-US" w:eastAsia="zh-CN"/>
              </w:rPr>
              <w:t>缴纳的近</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lang w:val="en-US" w:eastAsia="zh-CN"/>
              </w:rPr>
              <w:t>个月内任意</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个月</w:t>
            </w:r>
            <w:r>
              <w:rPr>
                <w:rFonts w:hint="eastAsia" w:ascii="宋体" w:hAnsi="宋体" w:cs="宋体"/>
                <w:color w:val="auto"/>
                <w:sz w:val="24"/>
                <w:szCs w:val="24"/>
                <w:highlight w:val="none"/>
                <w:lang w:val="en-US" w:eastAsia="zh-CN"/>
              </w:rPr>
              <w:t>（不含投标当月）</w:t>
            </w:r>
            <w:r>
              <w:rPr>
                <w:rFonts w:hint="eastAsia" w:ascii="宋体" w:hAnsi="宋体" w:eastAsia="宋体" w:cs="宋体"/>
                <w:color w:val="auto"/>
                <w:sz w:val="24"/>
                <w:szCs w:val="24"/>
                <w:highlight w:val="none"/>
                <w:lang w:val="en-US" w:eastAsia="zh-CN"/>
              </w:rPr>
              <w:t>养老保险缴纳证明</w:t>
            </w:r>
            <w:r>
              <w:rPr>
                <w:rFonts w:hint="eastAsia" w:ascii="宋体" w:hAnsi="宋体" w:cs="宋体"/>
                <w:color w:val="auto"/>
                <w:sz w:val="24"/>
                <w:szCs w:val="24"/>
                <w:highlight w:val="none"/>
                <w:lang w:val="en-US" w:eastAsia="zh-CN"/>
              </w:rPr>
              <w:t>材料</w:t>
            </w:r>
            <w:r>
              <w:rPr>
                <w:rFonts w:hint="eastAsia" w:ascii="宋体" w:hAnsi="宋体" w:eastAsia="宋体" w:cs="宋体"/>
                <w:color w:val="auto"/>
                <w:sz w:val="24"/>
                <w:szCs w:val="24"/>
                <w:highlight w:val="none"/>
                <w:lang w:val="en-US" w:eastAsia="zh-CN"/>
              </w:rPr>
              <w:t>，未按要求提供或未提供的不得分。</w:t>
            </w:r>
          </w:p>
          <w:p w14:paraId="4EE1BB3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3.为满足国产化需求，本项目资源管理平台提供国产化服务器、操作系统、数据库适配证明材料。材料齐全得1分，不提供或</w:t>
            </w:r>
            <w:r>
              <w:rPr>
                <w:rFonts w:hint="eastAsia" w:ascii="宋体" w:hAnsi="宋体" w:cs="宋体"/>
                <w:color w:val="auto"/>
                <w:sz w:val="24"/>
                <w:szCs w:val="24"/>
                <w:highlight w:val="none"/>
                <w:lang w:val="en-US" w:eastAsia="zh-CN"/>
              </w:rPr>
              <w:t>提供不全的</w:t>
            </w:r>
            <w:r>
              <w:rPr>
                <w:rFonts w:hint="eastAsia" w:ascii="宋体" w:hAnsi="宋体" w:eastAsia="宋体" w:cs="宋体"/>
                <w:color w:val="auto"/>
                <w:sz w:val="24"/>
                <w:szCs w:val="24"/>
                <w:highlight w:val="none"/>
                <w:lang w:val="en-US" w:eastAsia="zh-CN"/>
              </w:rPr>
              <w:t>不得分；</w:t>
            </w:r>
          </w:p>
          <w:p w14:paraId="19BC8684">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注：须提供有效的证明材料扫描件并加盖单位公章</w:t>
            </w:r>
            <w:r>
              <w:rPr>
                <w:rFonts w:hint="eastAsia" w:ascii="宋体" w:hAnsi="宋体" w:eastAsia="宋体" w:cs="宋体"/>
                <w:color w:val="auto"/>
                <w:sz w:val="24"/>
                <w:szCs w:val="24"/>
                <w:highlight w:val="none"/>
                <w:lang w:val="en-US" w:eastAsia="zh-CN"/>
              </w:rPr>
              <w:t>，不提供或提供不全不得分</w:t>
            </w:r>
            <w:r>
              <w:rPr>
                <w:rFonts w:hint="eastAsia" w:ascii="宋体" w:hAnsi="宋体" w:cs="宋体"/>
                <w:color w:val="auto"/>
                <w:sz w:val="24"/>
                <w:szCs w:val="24"/>
                <w:highlight w:val="none"/>
                <w:lang w:val="en-US" w:eastAsia="zh-CN"/>
              </w:rPr>
              <w:t>。</w:t>
            </w:r>
          </w:p>
          <w:p w14:paraId="7D0EA59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4.为满足平台安全需求，本项目资源管理平台提供三级信息系统安全等级保护备案证明和网络安全等级保护评测报告，提供得1分，不提供或提供不全</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不得分</w:t>
            </w:r>
            <w:r>
              <w:rPr>
                <w:rFonts w:hint="eastAsia" w:ascii="宋体" w:hAnsi="宋体" w:cs="宋体"/>
                <w:color w:val="auto"/>
                <w:sz w:val="24"/>
                <w:szCs w:val="24"/>
                <w:highlight w:val="none"/>
                <w:lang w:val="en-US" w:eastAsia="zh-CN"/>
              </w:rPr>
              <w:t>。</w:t>
            </w:r>
          </w:p>
          <w:p w14:paraId="1E26BEB5">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①</w:t>
            </w:r>
            <w:r>
              <w:rPr>
                <w:rFonts w:hint="eastAsia" w:ascii="宋体" w:hAnsi="宋体" w:cs="宋体"/>
                <w:color w:val="auto"/>
                <w:sz w:val="24"/>
                <w:szCs w:val="24"/>
                <w:highlight w:val="none"/>
                <w:lang w:val="en-US" w:eastAsia="zh-CN"/>
              </w:rPr>
              <w:t>所提供证书“软件名称”与评分细则规定的名称不完全一致时，应提供符合上述要求的内容（功能）说明及关键信息，否则不予认可。</w:t>
            </w:r>
          </w:p>
          <w:p w14:paraId="73745C2D">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cs="宋体"/>
                <w:color w:val="auto"/>
                <w:sz w:val="24"/>
                <w:szCs w:val="24"/>
                <w:highlight w:val="none"/>
                <w:lang w:val="en-US" w:eastAsia="zh-CN"/>
              </w:rPr>
              <w:t>须提供有效的备案证明及报告扫描件并加盖单位公章</w:t>
            </w:r>
            <w:r>
              <w:rPr>
                <w:rFonts w:hint="eastAsia" w:ascii="宋体" w:hAnsi="宋体" w:eastAsia="宋体" w:cs="宋体"/>
                <w:color w:val="auto"/>
                <w:sz w:val="24"/>
                <w:szCs w:val="24"/>
                <w:highlight w:val="none"/>
                <w:lang w:val="en-US" w:eastAsia="zh-CN"/>
              </w:rPr>
              <w:t>，不提供或提供不全不得分</w:t>
            </w:r>
            <w:r>
              <w:rPr>
                <w:rFonts w:hint="eastAsia" w:ascii="宋体" w:hAnsi="宋体" w:cs="宋体"/>
                <w:color w:val="auto"/>
                <w:sz w:val="24"/>
                <w:szCs w:val="24"/>
                <w:highlight w:val="none"/>
                <w:lang w:val="en-US" w:eastAsia="zh-CN"/>
              </w:rPr>
              <w:t>。</w:t>
            </w:r>
          </w:p>
        </w:tc>
        <w:tc>
          <w:tcPr>
            <w:tcW w:w="920" w:type="dxa"/>
            <w:tcBorders>
              <w:tl2br w:val="nil"/>
              <w:tr2bl w:val="nil"/>
            </w:tcBorders>
            <w:shd w:val="clear" w:color="auto" w:fill="auto"/>
            <w:vAlign w:val="center"/>
          </w:tcPr>
          <w:p w14:paraId="50B8FADC">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7</w:t>
            </w:r>
          </w:p>
        </w:tc>
      </w:tr>
      <w:tr w14:paraId="30F55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71" w:hRule="atLeast"/>
        </w:trPr>
        <w:tc>
          <w:tcPr>
            <w:tcW w:w="819" w:type="dxa"/>
            <w:tcBorders>
              <w:tl2br w:val="nil"/>
              <w:tr2bl w:val="nil"/>
            </w:tcBorders>
            <w:shd w:val="clear" w:color="auto" w:fill="auto"/>
            <w:vAlign w:val="center"/>
          </w:tcPr>
          <w:p w14:paraId="3BF716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358" w:type="dxa"/>
            <w:tcBorders>
              <w:tl2br w:val="nil"/>
              <w:tr2bl w:val="nil"/>
            </w:tcBorders>
            <w:shd w:val="clear" w:color="auto" w:fill="auto"/>
            <w:vAlign w:val="center"/>
          </w:tcPr>
          <w:p w14:paraId="353368C9">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产品功能演示</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tc>
        <w:tc>
          <w:tcPr>
            <w:tcW w:w="7005" w:type="dxa"/>
            <w:tcBorders>
              <w:tl2br w:val="nil"/>
              <w:tr2bl w:val="nil"/>
            </w:tcBorders>
            <w:shd w:val="clear" w:color="auto" w:fill="auto"/>
            <w:vAlign w:val="center"/>
          </w:tcPr>
          <w:p w14:paraId="1AC73AF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根据投标人提供的演示视频进行综合评分，</w:t>
            </w:r>
            <w:r>
              <w:rPr>
                <w:rFonts w:hint="eastAsia" w:ascii="宋体" w:hAnsi="宋体" w:eastAsia="宋体" w:cs="微软雅黑"/>
                <w:color w:val="auto"/>
                <w:sz w:val="24"/>
                <w:szCs w:val="24"/>
                <w:highlight w:val="none"/>
                <w:lang w:val="en-US" w:eastAsia="zh-CN"/>
              </w:rPr>
              <w:t>功能演示视频包括但不限于：常态化录播平台支持录播资源统一管理、巡课画面集中预览、督导评价预警、AI课堂分析等功能</w:t>
            </w:r>
            <w:r>
              <w:rPr>
                <w:rFonts w:hint="eastAsia" w:ascii="宋体" w:hAnsi="宋体" w:cs="宋体"/>
                <w:color w:val="auto"/>
                <w:sz w:val="24"/>
                <w:szCs w:val="24"/>
                <w:highlight w:val="none"/>
                <w:lang w:val="en-US" w:eastAsia="zh-CN"/>
              </w:rPr>
              <w:t>。</w:t>
            </w:r>
          </w:p>
          <w:p w14:paraId="0A2BAD59">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演示内容完整，功能操作流程连贯</w:t>
            </w:r>
            <w:r>
              <w:rPr>
                <w:rFonts w:hint="eastAsia" w:ascii="宋体" w:hAnsi="宋体" w:cs="宋体"/>
                <w:color w:val="auto"/>
                <w:sz w:val="24"/>
                <w:szCs w:val="24"/>
                <w:highlight w:val="none"/>
                <w:lang w:val="en-US" w:eastAsia="zh-CN"/>
              </w:rPr>
              <w:t>，操作流畅无卡顿</w:t>
            </w:r>
            <w:r>
              <w:rPr>
                <w:rFonts w:hint="eastAsia" w:ascii="宋体" w:hAnsi="宋体" w:eastAsia="宋体" w:cs="宋体"/>
                <w:color w:val="auto"/>
                <w:sz w:val="24"/>
                <w:szCs w:val="24"/>
                <w:highlight w:val="none"/>
                <w:lang w:val="en-US" w:eastAsia="zh-CN"/>
              </w:rPr>
              <w:t>，演示画面高清清晰、声画同步、低延迟，贴合项</w:t>
            </w:r>
            <w:r>
              <w:rPr>
                <w:rFonts w:hint="eastAsia" w:ascii="宋体" w:hAnsi="宋体" w:cs="宋体"/>
                <w:color w:val="auto"/>
                <w:sz w:val="24"/>
                <w:szCs w:val="24"/>
                <w:highlight w:val="none"/>
                <w:lang w:val="en-US" w:eastAsia="zh-CN"/>
              </w:rPr>
              <w:t>目</w:t>
            </w:r>
            <w:r>
              <w:rPr>
                <w:rFonts w:hint="eastAsia" w:ascii="宋体" w:hAnsi="宋体" w:eastAsia="宋体" w:cs="宋体"/>
                <w:color w:val="auto"/>
                <w:sz w:val="24"/>
                <w:szCs w:val="24"/>
                <w:highlight w:val="none"/>
                <w:lang w:val="en-US" w:eastAsia="zh-CN"/>
              </w:rPr>
              <w:t>需求</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08845846">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演示内容</w:t>
            </w:r>
            <w:r>
              <w:rPr>
                <w:rFonts w:hint="eastAsia" w:ascii="宋体" w:hAnsi="宋体" w:cs="宋体"/>
                <w:color w:val="auto"/>
                <w:sz w:val="24"/>
                <w:szCs w:val="24"/>
                <w:highlight w:val="none"/>
                <w:lang w:val="en-US" w:eastAsia="zh-CN"/>
              </w:rPr>
              <w:t>基本</w:t>
            </w:r>
            <w:r>
              <w:rPr>
                <w:rFonts w:hint="eastAsia" w:ascii="宋体" w:hAnsi="宋体" w:eastAsia="宋体" w:cs="宋体"/>
                <w:color w:val="auto"/>
                <w:sz w:val="24"/>
                <w:szCs w:val="24"/>
                <w:highlight w:val="none"/>
                <w:lang w:val="en-US" w:eastAsia="zh-CN"/>
              </w:rPr>
              <w:t>完整，</w:t>
            </w:r>
            <w:r>
              <w:rPr>
                <w:rFonts w:hint="eastAsia" w:ascii="宋体" w:hAnsi="宋体" w:cs="宋体"/>
                <w:color w:val="auto"/>
                <w:sz w:val="24"/>
                <w:szCs w:val="24"/>
                <w:highlight w:val="none"/>
                <w:lang w:val="en-US" w:eastAsia="zh-CN"/>
              </w:rPr>
              <w:t>部分</w:t>
            </w:r>
            <w:r>
              <w:rPr>
                <w:rFonts w:hint="eastAsia" w:ascii="宋体" w:hAnsi="宋体" w:eastAsia="宋体" w:cs="宋体"/>
                <w:color w:val="auto"/>
                <w:sz w:val="24"/>
                <w:szCs w:val="24"/>
                <w:highlight w:val="none"/>
                <w:lang w:val="en-US" w:eastAsia="zh-CN"/>
              </w:rPr>
              <w:t>功能操作流程</w:t>
            </w:r>
            <w:r>
              <w:rPr>
                <w:rFonts w:hint="eastAsia" w:ascii="宋体" w:hAnsi="宋体" w:cs="宋体"/>
                <w:color w:val="auto"/>
                <w:sz w:val="24"/>
                <w:szCs w:val="24"/>
                <w:highlight w:val="none"/>
                <w:lang w:val="en-US" w:eastAsia="zh-CN"/>
              </w:rPr>
              <w:t>不</w:t>
            </w:r>
            <w:r>
              <w:rPr>
                <w:rFonts w:hint="eastAsia" w:ascii="宋体" w:hAnsi="宋体" w:eastAsia="宋体" w:cs="宋体"/>
                <w:color w:val="auto"/>
                <w:sz w:val="24"/>
                <w:szCs w:val="24"/>
                <w:highlight w:val="none"/>
                <w:lang w:val="en-US" w:eastAsia="zh-CN"/>
              </w:rPr>
              <w:t>连贯</w:t>
            </w:r>
            <w:r>
              <w:rPr>
                <w:rFonts w:hint="eastAsia" w:ascii="宋体" w:hAnsi="宋体" w:cs="宋体"/>
                <w:color w:val="auto"/>
                <w:sz w:val="24"/>
                <w:szCs w:val="24"/>
                <w:highlight w:val="none"/>
                <w:lang w:val="en-US" w:eastAsia="zh-CN"/>
              </w:rPr>
              <w:t>，操作较流畅无卡顿</w:t>
            </w:r>
            <w:r>
              <w:rPr>
                <w:rFonts w:hint="eastAsia" w:ascii="宋体" w:hAnsi="宋体" w:eastAsia="宋体" w:cs="宋体"/>
                <w:color w:val="auto"/>
                <w:sz w:val="24"/>
                <w:szCs w:val="24"/>
                <w:highlight w:val="none"/>
                <w:lang w:val="en-US" w:eastAsia="zh-CN"/>
              </w:rPr>
              <w:t>，演示画面轻微瑕疵，不影响功能辨识、低延迟，</w:t>
            </w:r>
            <w:r>
              <w:rPr>
                <w:rFonts w:hint="eastAsia" w:ascii="宋体" w:hAnsi="宋体" w:cs="宋体"/>
                <w:color w:val="auto"/>
                <w:sz w:val="24"/>
                <w:szCs w:val="24"/>
                <w:highlight w:val="none"/>
                <w:lang w:val="en-US" w:eastAsia="zh-CN"/>
              </w:rPr>
              <w:t>较</w:t>
            </w:r>
            <w:r>
              <w:rPr>
                <w:rFonts w:hint="eastAsia" w:ascii="宋体" w:hAnsi="宋体" w:eastAsia="宋体" w:cs="宋体"/>
                <w:color w:val="auto"/>
                <w:sz w:val="24"/>
                <w:szCs w:val="24"/>
                <w:highlight w:val="none"/>
                <w:lang w:val="en-US" w:eastAsia="zh-CN"/>
              </w:rPr>
              <w:t>贴合项目需求</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p w14:paraId="24FA8689">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演示内容</w:t>
            </w:r>
            <w:r>
              <w:rPr>
                <w:rFonts w:hint="eastAsia" w:ascii="宋体" w:hAnsi="宋体" w:cs="宋体"/>
                <w:color w:val="auto"/>
                <w:sz w:val="24"/>
                <w:szCs w:val="24"/>
                <w:highlight w:val="none"/>
                <w:lang w:val="en-US" w:eastAsia="zh-CN"/>
              </w:rPr>
              <w:t>基本</w:t>
            </w:r>
            <w:r>
              <w:rPr>
                <w:rFonts w:hint="eastAsia" w:ascii="宋体" w:hAnsi="宋体" w:eastAsia="宋体" w:cs="宋体"/>
                <w:color w:val="auto"/>
                <w:sz w:val="24"/>
                <w:szCs w:val="24"/>
                <w:highlight w:val="none"/>
                <w:lang w:val="en-US" w:eastAsia="zh-CN"/>
              </w:rPr>
              <w:t>完整，</w:t>
            </w:r>
            <w:r>
              <w:rPr>
                <w:rFonts w:hint="eastAsia" w:ascii="宋体" w:hAnsi="宋体" w:cs="宋体"/>
                <w:color w:val="auto"/>
                <w:sz w:val="24"/>
                <w:szCs w:val="24"/>
                <w:highlight w:val="none"/>
                <w:lang w:val="en-US" w:eastAsia="zh-CN"/>
              </w:rPr>
              <w:t>部分</w:t>
            </w:r>
            <w:r>
              <w:rPr>
                <w:rFonts w:hint="eastAsia" w:ascii="宋体" w:hAnsi="宋体" w:eastAsia="宋体" w:cs="宋体"/>
                <w:color w:val="auto"/>
                <w:sz w:val="24"/>
                <w:szCs w:val="24"/>
                <w:highlight w:val="none"/>
                <w:lang w:val="en-US" w:eastAsia="zh-CN"/>
              </w:rPr>
              <w:t>功能操作流程</w:t>
            </w:r>
            <w:r>
              <w:rPr>
                <w:rFonts w:hint="eastAsia" w:ascii="宋体" w:hAnsi="宋体" w:cs="宋体"/>
                <w:color w:val="auto"/>
                <w:sz w:val="24"/>
                <w:szCs w:val="24"/>
                <w:highlight w:val="none"/>
                <w:lang w:val="en-US" w:eastAsia="zh-CN"/>
              </w:rPr>
              <w:t>不</w:t>
            </w:r>
            <w:r>
              <w:rPr>
                <w:rFonts w:hint="eastAsia" w:ascii="宋体" w:hAnsi="宋体" w:eastAsia="宋体" w:cs="宋体"/>
                <w:color w:val="auto"/>
                <w:sz w:val="24"/>
                <w:szCs w:val="24"/>
                <w:highlight w:val="none"/>
                <w:lang w:val="en-US" w:eastAsia="zh-CN"/>
              </w:rPr>
              <w:t>连贯</w:t>
            </w:r>
            <w:r>
              <w:rPr>
                <w:rFonts w:hint="eastAsia" w:ascii="宋体" w:hAnsi="宋体" w:cs="宋体"/>
                <w:color w:val="auto"/>
                <w:sz w:val="24"/>
                <w:szCs w:val="24"/>
                <w:highlight w:val="none"/>
                <w:lang w:val="en-US" w:eastAsia="zh-CN"/>
              </w:rPr>
              <w:t>，操作较流畅无卡顿不影响功能展示</w:t>
            </w:r>
            <w:r>
              <w:rPr>
                <w:rFonts w:hint="eastAsia" w:ascii="宋体" w:hAnsi="宋体" w:eastAsia="宋体" w:cs="宋体"/>
                <w:color w:val="auto"/>
                <w:sz w:val="24"/>
                <w:szCs w:val="24"/>
                <w:highlight w:val="none"/>
                <w:lang w:val="en-US" w:eastAsia="zh-CN"/>
              </w:rPr>
              <w:t>，演示画面轻微瑕疵</w:t>
            </w:r>
            <w:r>
              <w:rPr>
                <w:rFonts w:hint="eastAsia" w:ascii="宋体" w:hAnsi="宋体" w:cs="宋体"/>
                <w:color w:val="auto"/>
                <w:sz w:val="24"/>
                <w:szCs w:val="24"/>
                <w:highlight w:val="none"/>
                <w:lang w:val="en-US" w:eastAsia="zh-CN"/>
              </w:rPr>
              <w:t>，核心需求匹配，部分细节不符合项目</w:t>
            </w:r>
            <w:r>
              <w:rPr>
                <w:rFonts w:hint="eastAsia" w:ascii="宋体" w:hAnsi="宋体" w:eastAsia="宋体" w:cs="宋体"/>
                <w:color w:val="auto"/>
                <w:sz w:val="24"/>
                <w:szCs w:val="24"/>
                <w:highlight w:val="none"/>
                <w:lang w:val="en-US" w:eastAsia="zh-CN"/>
              </w:rPr>
              <w:t>需求</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015C839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基础功能可演示</w:t>
            </w:r>
            <w:r>
              <w:rPr>
                <w:rFonts w:hint="eastAsia" w:ascii="宋体" w:hAnsi="宋体" w:cs="宋体"/>
                <w:color w:val="auto"/>
                <w:sz w:val="24"/>
                <w:szCs w:val="24"/>
                <w:highlight w:val="none"/>
                <w:lang w:val="en-US" w:eastAsia="zh-CN"/>
              </w:rPr>
              <w:t>，部分功能操作不流畅，画面卡顿严重、声画错乱，无法辨识功能，功能与招标需求严重不符的得4分。</w:t>
            </w:r>
          </w:p>
          <w:p w14:paraId="1E5875FD">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不提供功能演示的，</w:t>
            </w:r>
            <w:r>
              <w:rPr>
                <w:rFonts w:hint="eastAsia" w:ascii="宋体" w:hAnsi="宋体" w:cs="宋体"/>
                <w:color w:val="auto"/>
                <w:sz w:val="24"/>
                <w:szCs w:val="24"/>
                <w:highlight w:val="none"/>
                <w:lang w:val="en-US" w:eastAsia="zh-CN"/>
              </w:rPr>
              <w:t>不得分</w:t>
            </w:r>
            <w:r>
              <w:rPr>
                <w:rFonts w:hint="eastAsia" w:ascii="宋体" w:hAnsi="宋体" w:eastAsia="宋体" w:cs="宋体"/>
                <w:color w:val="auto"/>
                <w:sz w:val="24"/>
                <w:szCs w:val="24"/>
                <w:highlight w:val="none"/>
                <w:lang w:val="en-US" w:eastAsia="zh-CN"/>
              </w:rPr>
              <w:t>。</w:t>
            </w:r>
          </w:p>
          <w:p w14:paraId="56A820E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firstLine="0" w:firstLineChars="0"/>
              <w:textAlignment w:val="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注：1.演示视频文件时间不超过10分钟。</w:t>
            </w:r>
          </w:p>
          <w:p w14:paraId="5D72277D">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cs="微软雅黑"/>
                <w:color w:val="auto"/>
                <w:sz w:val="24"/>
                <w:szCs w:val="24"/>
                <w:highlight w:val="none"/>
                <w:lang w:val="en-US" w:eastAsia="zh-CN"/>
              </w:rPr>
              <w:t>2</w:t>
            </w:r>
            <w:r>
              <w:rPr>
                <w:rFonts w:hint="eastAsia" w:ascii="宋体" w:hAnsi="宋体" w:eastAsia="宋体" w:cs="微软雅黑"/>
                <w:color w:val="auto"/>
                <w:sz w:val="24"/>
                <w:szCs w:val="24"/>
                <w:highlight w:val="none"/>
                <w:lang w:val="en-US" w:eastAsia="zh-CN"/>
              </w:rPr>
              <w:t>.未提供视频文件或因投标人自身原因视频文件无法打开或视频画面不清晰无法辨认的不得分。投标人须将视频文件分段压缩为zip文件上传(单个文件不得大于50M，所有文件总共不得大于300M)。上传的演示视频作为投标文件的组成部分。</w:t>
            </w:r>
          </w:p>
        </w:tc>
        <w:tc>
          <w:tcPr>
            <w:tcW w:w="920" w:type="dxa"/>
            <w:tcBorders>
              <w:tl2br w:val="nil"/>
              <w:tr2bl w:val="nil"/>
            </w:tcBorders>
            <w:shd w:val="clear" w:color="auto" w:fill="auto"/>
            <w:vAlign w:val="center"/>
          </w:tcPr>
          <w:p w14:paraId="4671998A">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10</w:t>
            </w:r>
          </w:p>
        </w:tc>
      </w:tr>
      <w:tr w14:paraId="37536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25" w:hRule="atLeast"/>
        </w:trPr>
        <w:tc>
          <w:tcPr>
            <w:tcW w:w="819" w:type="dxa"/>
            <w:tcBorders>
              <w:tl2br w:val="nil"/>
              <w:tr2bl w:val="nil"/>
            </w:tcBorders>
            <w:shd w:val="clear" w:color="auto" w:fill="auto"/>
            <w:vAlign w:val="center"/>
          </w:tcPr>
          <w:p w14:paraId="2C061E0D">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1358" w:type="dxa"/>
            <w:tcBorders>
              <w:tl2br w:val="nil"/>
              <w:tr2bl w:val="nil"/>
            </w:tcBorders>
            <w:shd w:val="clear" w:color="auto" w:fill="auto"/>
            <w:vAlign w:val="center"/>
          </w:tcPr>
          <w:p w14:paraId="429AE525">
            <w:pPr>
              <w:keepNext w:val="0"/>
              <w:keepLines w:val="0"/>
              <w:widowControl/>
              <w:suppressLineNumbers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项目设计方案</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tc>
        <w:tc>
          <w:tcPr>
            <w:tcW w:w="7005" w:type="dxa"/>
            <w:tcBorders>
              <w:tl2br w:val="nil"/>
              <w:tr2bl w:val="nil"/>
            </w:tcBorders>
            <w:shd w:val="clear" w:color="auto" w:fill="auto"/>
            <w:vAlign w:val="center"/>
          </w:tcPr>
          <w:p w14:paraId="727BEB11">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根据</w:t>
            </w:r>
            <w:r>
              <w:rPr>
                <w:rFonts w:hint="eastAsia" w:ascii="宋体" w:hAnsi="宋体" w:eastAsia="宋体" w:cs="宋体"/>
                <w:color w:val="auto"/>
                <w:sz w:val="24"/>
                <w:szCs w:val="24"/>
                <w:highlight w:val="none"/>
                <w:lang w:val="en-US" w:eastAsia="zh-CN"/>
              </w:rPr>
              <w:t>投标人</w:t>
            </w:r>
            <w:r>
              <w:rPr>
                <w:rFonts w:hint="eastAsia" w:ascii="宋体" w:hAnsi="宋体" w:cs="宋体"/>
                <w:color w:val="auto"/>
                <w:sz w:val="24"/>
                <w:szCs w:val="24"/>
                <w:highlight w:val="none"/>
                <w:lang w:val="en-US" w:eastAsia="zh-CN"/>
              </w:rPr>
              <w:t>提供的针对</w:t>
            </w: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设计方案</w:t>
            </w:r>
            <w:r>
              <w:rPr>
                <w:rFonts w:hint="eastAsia" w:ascii="宋体" w:hAnsi="宋体" w:cs="宋体"/>
                <w:color w:val="auto"/>
                <w:sz w:val="24"/>
                <w:szCs w:val="24"/>
                <w:highlight w:val="none"/>
                <w:lang w:val="en-US" w:eastAsia="zh-CN"/>
              </w:rPr>
              <w:t>进行评分，包括但不限于</w:t>
            </w:r>
            <w:r>
              <w:rPr>
                <w:rFonts w:hint="eastAsia" w:ascii="宋体" w:hAnsi="宋体" w:eastAsia="宋体" w:cs="宋体"/>
                <w:color w:val="auto"/>
                <w:sz w:val="24"/>
                <w:szCs w:val="24"/>
                <w:highlight w:val="none"/>
                <w:lang w:val="en-US" w:eastAsia="zh-CN"/>
              </w:rPr>
              <w:t>项目整体需求规划设计</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结合项目建设目标、教学业务场景，开展项目需求拆解、业务适配，形成完整的系统总体设计思路</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项目功能应用专项设计</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结合学校日常教学应用需求，对系统功能应用、教学场景落地、师生实操适配等内容进行专项方案设计</w:t>
            </w:r>
            <w:r>
              <w:rPr>
                <w:rFonts w:hint="eastAsia" w:ascii="宋体" w:hAnsi="宋体" w:cs="宋体"/>
                <w:color w:val="auto"/>
                <w:sz w:val="24"/>
                <w:szCs w:val="24"/>
                <w:highlight w:val="none"/>
                <w:lang w:val="en-US" w:eastAsia="zh-CN"/>
              </w:rPr>
              <w:t>）、效果图。</w:t>
            </w:r>
          </w:p>
          <w:p w14:paraId="2528CDB9">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方案内容全面合理</w:t>
            </w:r>
            <w:r>
              <w:rPr>
                <w:rFonts w:hint="eastAsia" w:ascii="宋体" w:hAnsi="宋体" w:cs="宋体"/>
                <w:color w:val="auto"/>
                <w:sz w:val="24"/>
                <w:szCs w:val="24"/>
                <w:highlight w:val="none"/>
                <w:lang w:val="en-US" w:eastAsia="zh-CN"/>
              </w:rPr>
              <w:t>，效果图与现场条件契合度高</w:t>
            </w:r>
            <w:r>
              <w:rPr>
                <w:rFonts w:hint="eastAsia" w:ascii="宋体" w:hAnsi="宋体" w:eastAsia="宋体" w:cs="宋体"/>
                <w:color w:val="auto"/>
                <w:sz w:val="24"/>
                <w:szCs w:val="24"/>
                <w:highlight w:val="none"/>
                <w:lang w:val="en-US" w:eastAsia="zh-CN"/>
              </w:rPr>
              <w:t>，包含项目整体需求规划设计</w:t>
            </w:r>
            <w:r>
              <w:rPr>
                <w:rFonts w:hint="eastAsia" w:ascii="宋体"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en-US" w:eastAsia="zh-CN"/>
              </w:rPr>
              <w:t>项目功能应用专项设计</w:t>
            </w:r>
            <w:r>
              <w:rPr>
                <w:rFonts w:hint="eastAsia" w:ascii="宋体" w:hAnsi="宋体" w:cs="宋体"/>
                <w:color w:val="auto"/>
                <w:sz w:val="24"/>
                <w:szCs w:val="24"/>
                <w:highlight w:val="none"/>
                <w:lang w:val="en-US" w:eastAsia="zh-CN"/>
              </w:rPr>
              <w:t>方案、效果图三</w:t>
            </w:r>
            <w:r>
              <w:rPr>
                <w:rFonts w:hint="eastAsia" w:ascii="宋体" w:hAnsi="宋体" w:eastAsia="宋体" w:cs="宋体"/>
                <w:color w:val="auto"/>
                <w:sz w:val="24"/>
                <w:szCs w:val="24"/>
                <w:highlight w:val="none"/>
                <w:lang w:val="en-US" w:eastAsia="zh-CN"/>
              </w:rPr>
              <w:t>项内容，并提出其他与本项目实施相关的方案内容的，得6分。</w:t>
            </w:r>
          </w:p>
          <w:p w14:paraId="75332D1A">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方案内容</w:t>
            </w:r>
            <w:r>
              <w:rPr>
                <w:rFonts w:hint="eastAsia" w:ascii="宋体" w:hAnsi="宋体" w:cs="宋体"/>
                <w:color w:val="auto"/>
                <w:sz w:val="24"/>
                <w:szCs w:val="24"/>
                <w:highlight w:val="none"/>
                <w:lang w:val="en-US" w:eastAsia="zh-CN"/>
              </w:rPr>
              <w:t>仅</w:t>
            </w:r>
            <w:r>
              <w:rPr>
                <w:rFonts w:hint="eastAsia" w:ascii="宋体" w:hAnsi="宋体" w:eastAsia="宋体" w:cs="宋体"/>
                <w:color w:val="auto"/>
                <w:sz w:val="24"/>
                <w:szCs w:val="24"/>
                <w:highlight w:val="none"/>
                <w:lang w:val="en-US" w:eastAsia="zh-CN"/>
              </w:rPr>
              <w:t>包含项目整体需求规划设计</w:t>
            </w:r>
            <w:r>
              <w:rPr>
                <w:rFonts w:hint="eastAsia" w:ascii="宋体"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en-US" w:eastAsia="zh-CN"/>
              </w:rPr>
              <w:t>项目功能应用专项设计</w:t>
            </w:r>
            <w:r>
              <w:rPr>
                <w:rFonts w:hint="eastAsia" w:ascii="宋体" w:hAnsi="宋体" w:cs="宋体"/>
                <w:color w:val="auto"/>
                <w:sz w:val="24"/>
                <w:szCs w:val="24"/>
                <w:highlight w:val="none"/>
                <w:lang w:val="en-US" w:eastAsia="zh-CN"/>
              </w:rPr>
              <w:t>方案、效果图三</w:t>
            </w:r>
            <w:r>
              <w:rPr>
                <w:rFonts w:hint="eastAsia" w:ascii="宋体" w:hAnsi="宋体" w:eastAsia="宋体" w:cs="宋体"/>
                <w:color w:val="auto"/>
                <w:sz w:val="24"/>
                <w:szCs w:val="24"/>
                <w:highlight w:val="none"/>
                <w:lang w:val="en-US" w:eastAsia="zh-CN"/>
              </w:rPr>
              <w:t>项内容，</w:t>
            </w:r>
            <w:r>
              <w:rPr>
                <w:rFonts w:hint="eastAsia" w:ascii="宋体" w:hAnsi="宋体" w:cs="宋体"/>
                <w:color w:val="auto"/>
                <w:sz w:val="24"/>
                <w:szCs w:val="24"/>
                <w:highlight w:val="none"/>
                <w:lang w:val="en-US" w:eastAsia="zh-CN"/>
              </w:rPr>
              <w:t>切实可行</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36B96EE5">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方案描述不全面，且逻辑混乱，</w:t>
            </w:r>
            <w:r>
              <w:rPr>
                <w:rFonts w:hint="eastAsia" w:ascii="宋体" w:hAnsi="宋体" w:cs="宋体"/>
                <w:color w:val="auto"/>
                <w:sz w:val="24"/>
                <w:szCs w:val="24"/>
                <w:highlight w:val="none"/>
                <w:lang w:val="en-US" w:eastAsia="zh-CN"/>
              </w:rPr>
              <w:t>效果图脱离现场实际，</w:t>
            </w:r>
            <w:r>
              <w:rPr>
                <w:rFonts w:hint="eastAsia" w:ascii="宋体" w:hAnsi="宋体" w:eastAsia="宋体" w:cs="宋体"/>
                <w:color w:val="auto"/>
                <w:sz w:val="24"/>
                <w:szCs w:val="24"/>
                <w:highlight w:val="none"/>
                <w:lang w:val="en-US" w:eastAsia="zh-CN"/>
              </w:rPr>
              <w:t>不合理的得2分</w:t>
            </w:r>
            <w:r>
              <w:rPr>
                <w:rFonts w:hint="eastAsia" w:ascii="宋体" w:hAnsi="宋体" w:cs="宋体"/>
                <w:color w:val="auto"/>
                <w:sz w:val="24"/>
                <w:szCs w:val="24"/>
                <w:highlight w:val="none"/>
                <w:lang w:val="en-US" w:eastAsia="zh-CN"/>
              </w:rPr>
              <w:t>。</w:t>
            </w:r>
          </w:p>
          <w:p w14:paraId="67C3492A">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4.不提供不得分。</w:t>
            </w:r>
          </w:p>
        </w:tc>
        <w:tc>
          <w:tcPr>
            <w:tcW w:w="920" w:type="dxa"/>
            <w:tcBorders>
              <w:tl2br w:val="nil"/>
              <w:tr2bl w:val="nil"/>
            </w:tcBorders>
            <w:shd w:val="clear" w:color="auto" w:fill="auto"/>
            <w:noWrap/>
            <w:vAlign w:val="center"/>
          </w:tcPr>
          <w:p w14:paraId="37A8D208">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6</w:t>
            </w:r>
          </w:p>
        </w:tc>
      </w:tr>
      <w:tr w14:paraId="2CD9E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819" w:type="dxa"/>
            <w:tcBorders>
              <w:tl2br w:val="nil"/>
              <w:tr2bl w:val="nil"/>
            </w:tcBorders>
            <w:shd w:val="clear" w:color="auto" w:fill="auto"/>
            <w:vAlign w:val="center"/>
          </w:tcPr>
          <w:p w14:paraId="215F59AB">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1358" w:type="dxa"/>
            <w:tcBorders>
              <w:tl2br w:val="nil"/>
              <w:tr2bl w:val="nil"/>
            </w:tcBorders>
            <w:shd w:val="clear" w:color="auto" w:fill="auto"/>
            <w:vAlign w:val="center"/>
          </w:tcPr>
          <w:p w14:paraId="68632D1E">
            <w:pPr>
              <w:keepNext w:val="0"/>
              <w:keepLines w:val="0"/>
              <w:widowControl/>
              <w:suppressLineNumbers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进度计划方案</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tc>
        <w:tc>
          <w:tcPr>
            <w:tcW w:w="7005" w:type="dxa"/>
            <w:tcBorders>
              <w:tl2br w:val="nil"/>
              <w:tr2bl w:val="nil"/>
            </w:tcBorders>
            <w:shd w:val="clear" w:color="auto" w:fill="auto"/>
            <w:vAlign w:val="center"/>
          </w:tcPr>
          <w:p w14:paraId="0A1A6DA3">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根据投标人提供的针对本项目的进度计划方案（包括但不限于</w:t>
            </w:r>
            <w:r>
              <w:rPr>
                <w:rFonts w:hint="eastAsia" w:ascii="宋体" w:hAnsi="宋体" w:eastAsia="宋体" w:cs="宋体"/>
                <w:color w:val="auto"/>
                <w:sz w:val="24"/>
                <w:szCs w:val="24"/>
                <w:highlight w:val="none"/>
                <w:lang w:val="en-US" w:eastAsia="zh-CN"/>
              </w:rPr>
              <w:t>项目整体实施进度</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生产发货规划及物流所需时间人员安排</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项目安装调试计划</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对项目试运行、交付、验收计划</w:t>
            </w:r>
            <w:r>
              <w:rPr>
                <w:rFonts w:hint="eastAsia" w:ascii="宋体" w:hAnsi="宋体" w:cs="宋体"/>
                <w:color w:val="auto"/>
                <w:sz w:val="24"/>
                <w:szCs w:val="24"/>
                <w:highlight w:val="none"/>
                <w:lang w:val="en-US" w:eastAsia="zh-CN"/>
              </w:rPr>
              <w:t>）进行评分</w:t>
            </w:r>
            <w:r>
              <w:rPr>
                <w:rFonts w:hint="eastAsia" w:ascii="宋体" w:hAnsi="宋体" w:eastAsia="宋体" w:cs="宋体"/>
                <w:color w:val="auto"/>
                <w:sz w:val="24"/>
                <w:szCs w:val="24"/>
                <w:highlight w:val="none"/>
                <w:lang w:val="en-US" w:eastAsia="zh-CN"/>
              </w:rPr>
              <w:t>。</w:t>
            </w:r>
          </w:p>
          <w:p w14:paraId="275BF80D">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进度计划</w:t>
            </w:r>
            <w:r>
              <w:rPr>
                <w:rFonts w:hint="eastAsia" w:ascii="宋体" w:hAnsi="宋体" w:eastAsia="宋体" w:cs="宋体"/>
                <w:color w:val="auto"/>
                <w:sz w:val="24"/>
                <w:szCs w:val="24"/>
                <w:highlight w:val="none"/>
                <w:lang w:val="en-US" w:eastAsia="zh-CN"/>
              </w:rPr>
              <w:t>内容全面合理，包含项目整体实施进度、生产发货规划及物流所需时间</w:t>
            </w:r>
            <w:r>
              <w:rPr>
                <w:rFonts w:hint="eastAsia" w:ascii="宋体" w:hAnsi="宋体" w:cs="宋体"/>
                <w:color w:val="auto"/>
                <w:sz w:val="24"/>
                <w:szCs w:val="24"/>
                <w:highlight w:val="none"/>
                <w:lang w:val="en-US" w:eastAsia="zh-CN"/>
              </w:rPr>
              <w:t>和</w:t>
            </w:r>
            <w:r>
              <w:rPr>
                <w:rFonts w:hint="eastAsia" w:ascii="宋体" w:hAnsi="宋体" w:eastAsia="宋体" w:cs="宋体"/>
                <w:color w:val="auto"/>
                <w:sz w:val="24"/>
                <w:szCs w:val="24"/>
                <w:highlight w:val="none"/>
                <w:lang w:val="en-US" w:eastAsia="zh-CN"/>
              </w:rPr>
              <w:t>人员安排、项目安装调试计划、对项目试运行、交付、验收计划</w:t>
            </w: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lang w:val="en-US" w:eastAsia="zh-CN"/>
              </w:rPr>
              <w:t>项内容，并提出其他与本项目实施相关的方案内容的，得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28942558">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进度计划仅</w:t>
            </w:r>
            <w:r>
              <w:rPr>
                <w:rFonts w:hint="eastAsia" w:ascii="宋体" w:hAnsi="宋体" w:eastAsia="宋体" w:cs="宋体"/>
                <w:color w:val="auto"/>
                <w:sz w:val="24"/>
                <w:szCs w:val="24"/>
                <w:highlight w:val="none"/>
                <w:lang w:val="en-US" w:eastAsia="zh-CN"/>
              </w:rPr>
              <w:t>包含项目整体实施进度、生产发货规划及物流所需时间人员安排、项目安装调试计划、对项目试运行、交付、验收计划</w:t>
            </w: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lang w:val="en-US" w:eastAsia="zh-CN"/>
              </w:rPr>
              <w:t>项内容，</w:t>
            </w:r>
            <w:r>
              <w:rPr>
                <w:rFonts w:hint="eastAsia" w:ascii="宋体" w:hAnsi="宋体" w:cs="宋体"/>
                <w:color w:val="auto"/>
                <w:sz w:val="24"/>
                <w:szCs w:val="24"/>
                <w:highlight w:val="none"/>
                <w:lang w:val="en-US" w:eastAsia="zh-CN"/>
              </w:rPr>
              <w:t>切实可行</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456CBE7C">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进度计划方案描述不全面，且逻辑混乱，不合理的得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1406CE57">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4.不提供不得分。</w:t>
            </w:r>
          </w:p>
        </w:tc>
        <w:tc>
          <w:tcPr>
            <w:tcW w:w="920" w:type="dxa"/>
            <w:tcBorders>
              <w:tl2br w:val="nil"/>
              <w:tr2bl w:val="nil"/>
            </w:tcBorders>
            <w:shd w:val="clear" w:color="auto" w:fill="auto"/>
            <w:noWrap/>
            <w:vAlign w:val="center"/>
          </w:tcPr>
          <w:p w14:paraId="4476C52F">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w:t>
            </w:r>
          </w:p>
        </w:tc>
      </w:tr>
      <w:tr w14:paraId="3835E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22" w:hRule="atLeast"/>
        </w:trPr>
        <w:tc>
          <w:tcPr>
            <w:tcW w:w="819" w:type="dxa"/>
            <w:tcBorders>
              <w:tl2br w:val="nil"/>
              <w:tr2bl w:val="nil"/>
            </w:tcBorders>
            <w:shd w:val="clear" w:color="auto" w:fill="auto"/>
            <w:vAlign w:val="center"/>
          </w:tcPr>
          <w:p w14:paraId="7772BC3B">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7</w:t>
            </w:r>
          </w:p>
        </w:tc>
        <w:tc>
          <w:tcPr>
            <w:tcW w:w="1358" w:type="dxa"/>
            <w:tcBorders>
              <w:tl2br w:val="nil"/>
              <w:tr2bl w:val="nil"/>
            </w:tcBorders>
            <w:shd w:val="clear" w:color="auto" w:fill="auto"/>
            <w:vAlign w:val="center"/>
          </w:tcPr>
          <w:p w14:paraId="677F68E0">
            <w:pPr>
              <w:keepNext w:val="0"/>
              <w:keepLines w:val="0"/>
              <w:widowControl/>
              <w:suppressLineNumbers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实施方案</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tc>
        <w:tc>
          <w:tcPr>
            <w:tcW w:w="7005" w:type="dxa"/>
            <w:tcBorders>
              <w:tl2br w:val="nil"/>
              <w:tr2bl w:val="nil"/>
            </w:tcBorders>
            <w:shd w:val="clear" w:color="auto" w:fill="auto"/>
            <w:vAlign w:val="center"/>
          </w:tcPr>
          <w:p w14:paraId="043A820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根据投标人提供的项目实施方案</w:t>
            </w:r>
            <w:r>
              <w:rPr>
                <w:rFonts w:hint="eastAsia" w:ascii="宋体" w:hAnsi="宋体" w:cs="宋体"/>
                <w:color w:val="auto"/>
                <w:sz w:val="24"/>
                <w:szCs w:val="24"/>
                <w:highlight w:val="none"/>
                <w:lang w:val="en-US" w:eastAsia="zh-CN"/>
              </w:rPr>
              <w:t>（包括但不限于</w:t>
            </w:r>
            <w:r>
              <w:rPr>
                <w:rFonts w:hint="eastAsia" w:ascii="宋体" w:hAnsi="宋体" w:eastAsia="宋体" w:cs="宋体"/>
                <w:color w:val="auto"/>
                <w:sz w:val="24"/>
                <w:szCs w:val="24"/>
                <w:highlight w:val="none"/>
                <w:lang w:val="en-US" w:eastAsia="zh-CN"/>
              </w:rPr>
              <w:t>对整体项目实施方案总述</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对整体项目实施安排做详细规划</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对项目重点内容进行重点安排</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对项目人员做详细安排，明确分工</w:t>
            </w:r>
            <w:r>
              <w:rPr>
                <w:rFonts w:hint="eastAsia" w:ascii="宋体" w:hAnsi="宋体" w:cs="宋体"/>
                <w:color w:val="auto"/>
                <w:sz w:val="24"/>
                <w:szCs w:val="24"/>
                <w:highlight w:val="none"/>
                <w:lang w:val="en-US" w:eastAsia="zh-CN"/>
              </w:rPr>
              <w:t>）进行评分</w:t>
            </w:r>
            <w:r>
              <w:rPr>
                <w:rFonts w:hint="eastAsia" w:ascii="宋体" w:hAnsi="宋体" w:eastAsia="宋体" w:cs="宋体"/>
                <w:color w:val="auto"/>
                <w:sz w:val="24"/>
                <w:szCs w:val="24"/>
                <w:highlight w:val="none"/>
                <w:lang w:val="en-US" w:eastAsia="zh-CN"/>
              </w:rPr>
              <w:t>。</w:t>
            </w:r>
          </w:p>
          <w:p w14:paraId="44E8ADE8">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项目实施方案内容全面合理，包含对整体项目实施方案总述</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对整体项目实施安排做详细规划</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对项目重点内容进行重点安排</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对项目人员做详细安排分工</w:t>
            </w: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lang w:val="en-US" w:eastAsia="zh-CN"/>
              </w:rPr>
              <w:t>项内容，并提出其他与本项目实施相关的方案内容的，得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7AA604E9">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项目实施方案</w:t>
            </w:r>
            <w:r>
              <w:rPr>
                <w:rFonts w:hint="eastAsia" w:ascii="宋体" w:hAnsi="宋体" w:cs="宋体"/>
                <w:color w:val="auto"/>
                <w:sz w:val="24"/>
                <w:szCs w:val="24"/>
                <w:highlight w:val="none"/>
                <w:lang w:val="en-US" w:eastAsia="zh-CN"/>
              </w:rPr>
              <w:t>仅</w:t>
            </w:r>
            <w:r>
              <w:rPr>
                <w:rFonts w:hint="eastAsia" w:ascii="宋体" w:hAnsi="宋体" w:eastAsia="宋体" w:cs="宋体"/>
                <w:color w:val="auto"/>
                <w:sz w:val="24"/>
                <w:szCs w:val="24"/>
                <w:highlight w:val="none"/>
                <w:lang w:val="en-US" w:eastAsia="zh-CN"/>
              </w:rPr>
              <w:t>包含对整体项目实施方案总述</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对整体项目实施安排做详细规划</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对项目重点内容进行重点安排</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对项目人员做详细安排分工</w:t>
            </w: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lang w:val="en-US" w:eastAsia="zh-CN"/>
              </w:rPr>
              <w:t>项内容，</w:t>
            </w:r>
            <w:r>
              <w:rPr>
                <w:rFonts w:hint="eastAsia" w:ascii="宋体" w:hAnsi="宋体" w:cs="宋体"/>
                <w:color w:val="auto"/>
                <w:sz w:val="24"/>
                <w:szCs w:val="24"/>
                <w:highlight w:val="none"/>
                <w:lang w:val="en-US" w:eastAsia="zh-CN"/>
              </w:rPr>
              <w:t>切实可行</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7E08C9FC">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项目实施方案描述不全面，且逻辑混乱，不合理的得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66EA327A">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4.不提供不得分。</w:t>
            </w:r>
          </w:p>
        </w:tc>
        <w:tc>
          <w:tcPr>
            <w:tcW w:w="920" w:type="dxa"/>
            <w:tcBorders>
              <w:tl2br w:val="nil"/>
              <w:tr2bl w:val="nil"/>
            </w:tcBorders>
            <w:shd w:val="clear" w:color="auto" w:fill="auto"/>
            <w:noWrap/>
            <w:vAlign w:val="center"/>
          </w:tcPr>
          <w:p w14:paraId="3326206B">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w:t>
            </w:r>
          </w:p>
        </w:tc>
      </w:tr>
      <w:tr w14:paraId="1D896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0" w:hRule="atLeast"/>
        </w:trPr>
        <w:tc>
          <w:tcPr>
            <w:tcW w:w="819" w:type="dxa"/>
            <w:tcBorders>
              <w:tl2br w:val="nil"/>
              <w:tr2bl w:val="nil"/>
            </w:tcBorders>
            <w:shd w:val="clear" w:color="auto" w:fill="auto"/>
            <w:vAlign w:val="center"/>
          </w:tcPr>
          <w:p w14:paraId="4615BBD5">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8</w:t>
            </w:r>
          </w:p>
        </w:tc>
        <w:tc>
          <w:tcPr>
            <w:tcW w:w="1358" w:type="dxa"/>
            <w:tcBorders>
              <w:tl2br w:val="nil"/>
              <w:tr2bl w:val="nil"/>
            </w:tcBorders>
            <w:shd w:val="clear" w:color="auto" w:fill="auto"/>
            <w:vAlign w:val="center"/>
          </w:tcPr>
          <w:p w14:paraId="002D625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质保服务</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tc>
        <w:tc>
          <w:tcPr>
            <w:tcW w:w="7005" w:type="dxa"/>
            <w:tcBorders>
              <w:tl2br w:val="nil"/>
              <w:tr2bl w:val="nil"/>
            </w:tcBorders>
            <w:shd w:val="clear" w:color="auto" w:fill="auto"/>
            <w:vAlign w:val="center"/>
          </w:tcPr>
          <w:p w14:paraId="2CBC17CD">
            <w:p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投标人所投产品的整机质保年限为4年的得1分，每增加一年质保加1分，本项最高得3分。</w:t>
            </w:r>
          </w:p>
          <w:p w14:paraId="04A203F4">
            <w:p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注：</w:t>
            </w:r>
          </w:p>
          <w:p w14:paraId="1F9C1404">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须提供投标人盖章的整机质保的质保函原件、原厂加盖公章的核心产品原厂质保函原件。</w:t>
            </w:r>
          </w:p>
          <w:p w14:paraId="4CEE541B">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如无法提供核心产品原厂质保函原件，须提供投标人盖章的质保函，质保函内容须体现中标后签订合同前投标人须提供所投核心产品的原厂质保函并加盖原厂公章，如未满足要求，采购人有权取消其中标资格内容。</w:t>
            </w:r>
          </w:p>
          <w:p w14:paraId="0D76696E">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不提供或提供不全不得分。</w:t>
            </w:r>
          </w:p>
        </w:tc>
        <w:tc>
          <w:tcPr>
            <w:tcW w:w="920" w:type="dxa"/>
            <w:tcBorders>
              <w:tl2br w:val="nil"/>
              <w:tr2bl w:val="nil"/>
            </w:tcBorders>
            <w:shd w:val="clear" w:color="auto" w:fill="auto"/>
            <w:noWrap/>
            <w:vAlign w:val="center"/>
          </w:tcPr>
          <w:p w14:paraId="01A445E8">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w:t>
            </w:r>
          </w:p>
        </w:tc>
      </w:tr>
      <w:tr w14:paraId="771BA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11" w:hRule="atLeast"/>
        </w:trPr>
        <w:tc>
          <w:tcPr>
            <w:tcW w:w="819" w:type="dxa"/>
            <w:tcBorders>
              <w:tl2br w:val="nil"/>
              <w:tr2bl w:val="nil"/>
            </w:tcBorders>
            <w:shd w:val="clear" w:color="auto" w:fill="auto"/>
            <w:vAlign w:val="center"/>
          </w:tcPr>
          <w:p w14:paraId="198CE35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9</w:t>
            </w:r>
          </w:p>
        </w:tc>
        <w:tc>
          <w:tcPr>
            <w:tcW w:w="1358" w:type="dxa"/>
            <w:tcBorders>
              <w:tl2br w:val="nil"/>
              <w:tr2bl w:val="nil"/>
            </w:tcBorders>
            <w:shd w:val="clear" w:color="auto" w:fill="auto"/>
            <w:vAlign w:val="center"/>
          </w:tcPr>
          <w:p w14:paraId="2F779EFB">
            <w:pPr>
              <w:widowControl/>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本地化服务</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tc>
        <w:tc>
          <w:tcPr>
            <w:tcW w:w="7005" w:type="dxa"/>
            <w:tcBorders>
              <w:tl2br w:val="nil"/>
              <w:tr2bl w:val="nil"/>
            </w:tcBorders>
            <w:shd w:val="clear" w:color="auto" w:fill="auto"/>
            <w:vAlign w:val="center"/>
          </w:tcPr>
          <w:p w14:paraId="2D11331A">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1.提供24小时的售后服务。在接到采购人电话后，在</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小时内</w:t>
            </w:r>
            <w:r>
              <w:rPr>
                <w:rFonts w:hint="eastAsia" w:ascii="宋体" w:hAnsi="宋体" w:eastAsia="宋体" w:cs="宋体"/>
                <w:color w:val="auto"/>
                <w:sz w:val="24"/>
                <w:szCs w:val="24"/>
                <w:highlight w:val="none"/>
                <w:lang w:val="en-US" w:eastAsia="zh-CN"/>
              </w:rPr>
              <w:t>到达现场确认，提供技术支持、排除故障的得1分，本项最高得1分。</w:t>
            </w:r>
          </w:p>
          <w:p w14:paraId="288B7039">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2.承诺中标后签订合同前能在</w:t>
            </w:r>
            <w:r>
              <w:rPr>
                <w:rFonts w:hint="eastAsia" w:ascii="宋体" w:hAnsi="宋体" w:cs="宋体"/>
                <w:color w:val="auto"/>
                <w:sz w:val="24"/>
                <w:szCs w:val="24"/>
                <w:highlight w:val="none"/>
                <w:lang w:val="en-US" w:eastAsia="zh-CN"/>
              </w:rPr>
              <w:t>项目所在地</w:t>
            </w:r>
            <w:r>
              <w:rPr>
                <w:rFonts w:hint="eastAsia" w:ascii="宋体" w:hAnsi="宋体" w:eastAsia="宋体" w:cs="宋体"/>
                <w:color w:val="auto"/>
                <w:sz w:val="24"/>
                <w:szCs w:val="24"/>
                <w:highlight w:val="none"/>
                <w:lang w:val="en-US" w:eastAsia="zh-CN"/>
              </w:rPr>
              <w:t>设立售后维护点，每周在校驻场服务时间不低于6小时，并进行相关培训、回访的得1分，本项最高得1分。</w:t>
            </w:r>
          </w:p>
          <w:p w14:paraId="7793647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注：投标人需提供本地化服务承诺函原件，格式自拟，否则不得分。</w:t>
            </w:r>
          </w:p>
        </w:tc>
        <w:tc>
          <w:tcPr>
            <w:tcW w:w="920" w:type="dxa"/>
            <w:tcBorders>
              <w:tl2br w:val="nil"/>
              <w:tr2bl w:val="nil"/>
            </w:tcBorders>
            <w:shd w:val="clear" w:color="auto" w:fill="auto"/>
            <w:noWrap/>
            <w:vAlign w:val="center"/>
          </w:tcPr>
          <w:p w14:paraId="4939BFEA">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w:t>
            </w:r>
          </w:p>
        </w:tc>
      </w:tr>
      <w:tr w14:paraId="36770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73" w:hRule="atLeast"/>
        </w:trPr>
        <w:tc>
          <w:tcPr>
            <w:tcW w:w="819" w:type="dxa"/>
            <w:tcBorders>
              <w:tl2br w:val="nil"/>
              <w:tr2bl w:val="nil"/>
            </w:tcBorders>
            <w:shd w:val="clear" w:color="auto" w:fill="auto"/>
            <w:vAlign w:val="center"/>
          </w:tcPr>
          <w:p w14:paraId="3B6354BF">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10</w:t>
            </w:r>
          </w:p>
        </w:tc>
        <w:tc>
          <w:tcPr>
            <w:tcW w:w="1358" w:type="dxa"/>
            <w:tcBorders>
              <w:tl2br w:val="nil"/>
              <w:tr2bl w:val="nil"/>
            </w:tcBorders>
            <w:shd w:val="clear" w:color="auto" w:fill="auto"/>
            <w:vAlign w:val="center"/>
          </w:tcPr>
          <w:p w14:paraId="0A46F043">
            <w:pPr>
              <w:widowControl/>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投标人业绩</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tc>
        <w:tc>
          <w:tcPr>
            <w:tcW w:w="7005" w:type="dxa"/>
            <w:tcBorders>
              <w:tl2br w:val="nil"/>
              <w:tr2bl w:val="nil"/>
            </w:tcBorders>
            <w:shd w:val="clear" w:color="auto" w:fill="auto"/>
            <w:vAlign w:val="center"/>
          </w:tcPr>
          <w:p w14:paraId="11E36F39">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自2023年1月1日以来，投标人</w:t>
            </w:r>
            <w:r>
              <w:rPr>
                <w:rFonts w:hint="eastAsia" w:ascii="宋体" w:hAnsi="宋体" w:cs="宋体"/>
                <w:color w:val="auto"/>
                <w:sz w:val="24"/>
                <w:szCs w:val="24"/>
                <w:highlight w:val="none"/>
                <w:lang w:val="en-US" w:eastAsia="zh-CN"/>
              </w:rPr>
              <w:t>承担过</w:t>
            </w:r>
            <w:r>
              <w:rPr>
                <w:rFonts w:hint="eastAsia" w:ascii="宋体" w:hAnsi="宋体" w:eastAsia="宋体" w:cs="宋体"/>
                <w:color w:val="auto"/>
                <w:sz w:val="24"/>
                <w:szCs w:val="24"/>
                <w:highlight w:val="none"/>
                <w:lang w:val="en-US" w:eastAsia="zh-CN"/>
              </w:rPr>
              <w:t>类似</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lang w:val="en-US" w:eastAsia="zh-CN"/>
              </w:rPr>
              <w:t>业绩的（项目内容含录播相关业绩），</w:t>
            </w:r>
            <w:r>
              <w:rPr>
                <w:rFonts w:hint="eastAsia" w:ascii="宋体" w:hAnsi="宋体" w:cs="宋体"/>
                <w:color w:val="auto"/>
                <w:sz w:val="24"/>
                <w:szCs w:val="24"/>
                <w:highlight w:val="none"/>
                <w:lang w:val="en-US" w:eastAsia="zh-CN"/>
              </w:rPr>
              <w:t>每</w:t>
            </w:r>
            <w:r>
              <w:rPr>
                <w:rFonts w:hint="eastAsia" w:ascii="宋体" w:hAnsi="宋体" w:eastAsia="宋体" w:cs="宋体"/>
                <w:color w:val="auto"/>
                <w:sz w:val="24"/>
                <w:szCs w:val="24"/>
                <w:highlight w:val="none"/>
                <w:lang w:val="en-US" w:eastAsia="zh-CN"/>
              </w:rPr>
              <w:t>提供1个得1分，本项最高得2分。</w:t>
            </w:r>
          </w:p>
          <w:p w14:paraId="6149EB1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p>
          <w:p w14:paraId="593119A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1.须提供合同、验收</w:t>
            </w:r>
            <w:r>
              <w:rPr>
                <w:rFonts w:hint="eastAsia" w:ascii="宋体" w:hAnsi="宋体" w:cs="宋体"/>
                <w:color w:val="auto"/>
                <w:sz w:val="24"/>
                <w:szCs w:val="24"/>
                <w:highlight w:val="none"/>
                <w:lang w:val="en-US" w:eastAsia="zh-CN"/>
              </w:rPr>
              <w:t>资料，二</w:t>
            </w:r>
            <w:r>
              <w:rPr>
                <w:rFonts w:hint="eastAsia" w:ascii="宋体" w:hAnsi="宋体" w:eastAsia="宋体" w:cs="宋体"/>
                <w:color w:val="auto"/>
                <w:sz w:val="24"/>
                <w:szCs w:val="24"/>
                <w:highlight w:val="none"/>
                <w:lang w:val="en-US" w:eastAsia="zh-CN"/>
              </w:rPr>
              <w:t>者缺一不可，否则视为未提供。投标人须提供相关证明材料复印件</w:t>
            </w:r>
            <w:r>
              <w:rPr>
                <w:rFonts w:hint="eastAsia" w:ascii="宋体" w:hAnsi="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zh-CN"/>
              </w:rPr>
              <w:t>加盖单位公章。</w:t>
            </w:r>
          </w:p>
          <w:p w14:paraId="789211F0">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2.时间以合同签订时间为准。</w:t>
            </w:r>
          </w:p>
        </w:tc>
        <w:tc>
          <w:tcPr>
            <w:tcW w:w="920" w:type="dxa"/>
            <w:tcBorders>
              <w:tl2br w:val="nil"/>
              <w:tr2bl w:val="nil"/>
            </w:tcBorders>
            <w:shd w:val="clear" w:color="auto" w:fill="auto"/>
            <w:noWrap/>
            <w:vAlign w:val="center"/>
          </w:tcPr>
          <w:p w14:paraId="7719DF78">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w:t>
            </w:r>
          </w:p>
        </w:tc>
      </w:tr>
    </w:tbl>
    <w:p w14:paraId="6A00D4C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ascii="宋体" w:hAnsi="宋体" w:cs="宋体"/>
          <w:color w:val="auto"/>
          <w:sz w:val="24"/>
          <w:highlight w:val="none"/>
        </w:rPr>
      </w:pPr>
      <w:r>
        <w:rPr>
          <w:rFonts w:ascii="宋体" w:hAnsi="宋体" w:cs="宋体"/>
          <w:b/>
          <w:color w:val="auto"/>
          <w:sz w:val="24"/>
          <w:highlight w:val="none"/>
        </w:rPr>
        <w:t>注：投标人必须保证所提供资料的真实性和完整性，如发现存在骗取中标等虚假行为，将依据法律规定取消其中标资格。</w:t>
      </w:r>
    </w:p>
    <w:p w14:paraId="11AFD1F2">
      <w:pPr>
        <w:keepNext w:val="0"/>
        <w:keepLines w:val="0"/>
        <w:pageBreakBefore w:val="0"/>
        <w:widowControl w:val="0"/>
        <w:shd w:val="clear" w:color="auto" w:fill="FFFFFF"/>
        <w:kinsoku/>
        <w:wordWrap/>
        <w:overflowPunct/>
        <w:topLinePunct w:val="0"/>
        <w:autoSpaceDE/>
        <w:autoSpaceDN/>
        <w:bidi w:val="0"/>
        <w:adjustRightInd/>
        <w:snapToGrid/>
        <w:spacing w:line="520" w:lineRule="exact"/>
        <w:ind w:firstLine="482" w:firstLineChars="200"/>
        <w:textAlignment w:val="auto"/>
        <w:rPr>
          <w:rFonts w:ascii="宋体" w:hAnsi="宋体" w:cs="宋体"/>
          <w:b/>
          <w:bCs/>
          <w:color w:val="auto"/>
          <w:sz w:val="24"/>
          <w:szCs w:val="24"/>
          <w:highlight w:val="none"/>
        </w:rPr>
      </w:pPr>
      <w:r>
        <w:rPr>
          <w:rFonts w:ascii="宋体" w:hAnsi="宋体" w:cs="宋体"/>
          <w:b/>
          <w:bCs/>
          <w:color w:val="auto"/>
          <w:sz w:val="24"/>
          <w:szCs w:val="24"/>
          <w:highlight w:val="none"/>
        </w:rPr>
        <w:t>二、评标步骤：</w:t>
      </w:r>
    </w:p>
    <w:p w14:paraId="471BB6E1">
      <w:pPr>
        <w:keepNext w:val="0"/>
        <w:keepLines w:val="0"/>
        <w:pageBreakBefore w:val="0"/>
        <w:widowControl w:val="0"/>
        <w:shd w:val="clear" w:color="auto" w:fill="FFFFFF"/>
        <w:kinsoku/>
        <w:wordWrap/>
        <w:overflowPunct/>
        <w:topLinePunct w:val="0"/>
        <w:autoSpaceDE/>
        <w:autoSpaceDN/>
        <w:bidi w:val="0"/>
        <w:adjustRightInd/>
        <w:snapToGrid/>
        <w:spacing w:line="520" w:lineRule="exact"/>
        <w:ind w:firstLine="480" w:firstLineChars="200"/>
        <w:textAlignment w:val="auto"/>
        <w:rPr>
          <w:rFonts w:ascii="宋体" w:hAnsi="宋体" w:cs="宋体"/>
          <w:bCs/>
          <w:color w:val="auto"/>
          <w:sz w:val="24"/>
          <w:szCs w:val="24"/>
          <w:highlight w:val="none"/>
        </w:rPr>
      </w:pPr>
      <w:r>
        <w:rPr>
          <w:rFonts w:ascii="宋体" w:hAnsi="宋体" w:cs="宋体"/>
          <w:bCs/>
          <w:color w:val="auto"/>
          <w:sz w:val="24"/>
          <w:szCs w:val="24"/>
          <w:highlight w:val="none"/>
        </w:rPr>
        <w:t>（1）专家审阅：评标委员会成员阅读招标文件，观看投标人提供的有关投标文件。</w:t>
      </w:r>
    </w:p>
    <w:p w14:paraId="609C9F68">
      <w:pPr>
        <w:keepNext w:val="0"/>
        <w:keepLines w:val="0"/>
        <w:pageBreakBefore w:val="0"/>
        <w:widowControl w:val="0"/>
        <w:tabs>
          <w:tab w:val="left" w:pos="1575"/>
        </w:tabs>
        <w:kinsoku/>
        <w:wordWrap/>
        <w:overflowPunct/>
        <w:topLinePunct w:val="0"/>
        <w:autoSpaceDE/>
        <w:autoSpaceDN/>
        <w:bidi w:val="0"/>
        <w:adjustRightInd/>
        <w:snapToGrid/>
        <w:spacing w:line="520" w:lineRule="exact"/>
        <w:ind w:firstLine="480" w:firstLineChars="200"/>
        <w:textAlignment w:val="auto"/>
        <w:rPr>
          <w:rFonts w:ascii="宋体" w:hAnsi="宋体" w:cs="宋体"/>
          <w:color w:val="auto"/>
          <w:sz w:val="24"/>
          <w:highlight w:val="none"/>
        </w:rPr>
      </w:pPr>
      <w:r>
        <w:rPr>
          <w:rFonts w:ascii="宋体" w:hAnsi="宋体" w:cs="宋体"/>
          <w:color w:val="auto"/>
          <w:sz w:val="24"/>
          <w:highlight w:val="none"/>
        </w:rPr>
        <w:t>（2）专家打分：评标委员会成员按本评标办法的打分标准进行打分（分值保留两位小数）。</w:t>
      </w:r>
    </w:p>
    <w:p w14:paraId="49509C55">
      <w:pPr>
        <w:pStyle w:val="17"/>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宋体"/>
          <w:color w:val="auto"/>
          <w:sz w:val="24"/>
          <w:highlight w:val="none"/>
        </w:rPr>
      </w:pPr>
      <w:r>
        <w:rPr>
          <w:rFonts w:ascii="宋体" w:hAnsi="宋体" w:cs="宋体"/>
          <w:color w:val="auto"/>
          <w:sz w:val="24"/>
          <w:highlight w:val="none"/>
        </w:rPr>
        <w:t>三、</w:t>
      </w:r>
      <w:r>
        <w:rPr>
          <w:rFonts w:ascii="宋体" w:hAnsi="宋体" w:cs="宋体"/>
          <w:b/>
          <w:bCs/>
          <w:color w:val="auto"/>
          <w:sz w:val="24"/>
          <w:highlight w:val="none"/>
        </w:rPr>
        <w:t>评标委员会根据综合评分高低进行排序确定中标候选单位。若综合得分相同，</w:t>
      </w:r>
      <w:r>
        <w:rPr>
          <w:rFonts w:hint="eastAsia" w:ascii="宋体" w:hAnsi="宋体" w:cs="宋体"/>
          <w:b/>
          <w:bCs/>
          <w:color w:val="auto"/>
          <w:sz w:val="24"/>
          <w:highlight w:val="none"/>
        </w:rPr>
        <w:t>按投标报价由低到高顺序排列。得分且投标报价相同时，按照技术部分指标优劣顺序推荐。如上述因素均相同，则采用抽签方式确定中标候选人的顺序。</w:t>
      </w:r>
      <w:r>
        <w:rPr>
          <w:rFonts w:hint="eastAsia" w:ascii="宋体" w:hAnsi="宋体" w:cs="宋体"/>
          <w:b/>
          <w:bCs/>
          <w:color w:val="auto"/>
          <w:sz w:val="24"/>
          <w:highlight w:val="none"/>
          <w:lang w:eastAsia="zh-CN"/>
        </w:rPr>
        <w:t>采购人</w:t>
      </w:r>
      <w:r>
        <w:rPr>
          <w:rFonts w:ascii="宋体" w:hAnsi="宋体" w:cs="宋体"/>
          <w:b/>
          <w:bCs/>
          <w:color w:val="auto"/>
          <w:sz w:val="24"/>
          <w:highlight w:val="none"/>
        </w:rPr>
        <w:t>确定排名第一的中标候选单位为本项目中标人。</w:t>
      </w:r>
    </w:p>
    <w:p w14:paraId="388CA520">
      <w:pPr>
        <w:keepNext w:val="0"/>
        <w:keepLines w:val="0"/>
        <w:pageBreakBefore w:val="0"/>
        <w:widowControl w:val="0"/>
        <w:kinsoku/>
        <w:wordWrap/>
        <w:overflowPunct/>
        <w:topLinePunct w:val="0"/>
        <w:autoSpaceDE/>
        <w:autoSpaceDN/>
        <w:bidi w:val="0"/>
        <w:adjustRightInd/>
        <w:snapToGrid/>
        <w:spacing w:line="520" w:lineRule="exact"/>
        <w:ind w:firstLine="480" w:firstLineChars="200"/>
        <w:contextualSpacing/>
        <w:jc w:val="left"/>
        <w:textAlignment w:val="auto"/>
        <w:rPr>
          <w:rFonts w:hint="eastAsia" w:ascii="宋体" w:hAnsi="宋体" w:cs="宋体"/>
          <w:color w:val="auto"/>
          <w:sz w:val="24"/>
          <w:highlight w:val="none"/>
        </w:rPr>
      </w:pPr>
      <w:r>
        <w:rPr>
          <w:rFonts w:ascii="宋体" w:hAnsi="宋体" w:cs="宋体"/>
          <w:color w:val="auto"/>
          <w:sz w:val="24"/>
          <w:highlight w:val="none"/>
        </w:rPr>
        <w:t>四、</w:t>
      </w:r>
      <w:r>
        <w:rPr>
          <w:rFonts w:hint="eastAsia" w:ascii="宋体" w:hAnsi="宋体" w:cs="宋体"/>
          <w:color w:val="auto"/>
          <w:sz w:val="24"/>
          <w:highlight w:val="none"/>
        </w:rPr>
        <w:t>确定中标候选人：根据各投标人的排序，评标委员会应在评标报告中推选前3名作为中标候选人。</w:t>
      </w:r>
    </w:p>
    <w:p w14:paraId="33574ADA">
      <w:pPr>
        <w:keepNext w:val="0"/>
        <w:keepLines w:val="0"/>
        <w:pageBreakBefore w:val="0"/>
        <w:widowControl w:val="0"/>
        <w:kinsoku/>
        <w:wordWrap/>
        <w:overflowPunct/>
        <w:topLinePunct w:val="0"/>
        <w:autoSpaceDE/>
        <w:autoSpaceDN/>
        <w:bidi w:val="0"/>
        <w:adjustRightInd/>
        <w:snapToGrid/>
        <w:spacing w:line="520" w:lineRule="exact"/>
        <w:ind w:firstLine="480" w:firstLineChars="200"/>
        <w:contextualSpacing/>
        <w:jc w:val="left"/>
        <w:textAlignment w:val="auto"/>
        <w:rPr>
          <w:rFonts w:ascii="宋体" w:hAnsi="宋体" w:cs="宋体"/>
          <w:color w:val="auto"/>
          <w:sz w:val="24"/>
          <w:szCs w:val="24"/>
          <w:highlight w:val="none"/>
        </w:rPr>
      </w:pPr>
      <w:r>
        <w:rPr>
          <w:rFonts w:hint="eastAsia" w:ascii="宋体" w:hAnsi="宋体" w:cs="宋体"/>
          <w:color w:val="auto"/>
          <w:sz w:val="24"/>
          <w:highlight w:val="none"/>
        </w:rPr>
        <w:t>确定中标人：</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可以按照评标委员会提出的中标候选人名单排序依次确定其他中标候选人为中标人，也可以重新招标。</w:t>
      </w:r>
    </w:p>
    <w:p w14:paraId="0074CD36">
      <w:pPr>
        <w:keepNext w:val="0"/>
        <w:keepLines w:val="0"/>
        <w:pageBreakBefore w:val="0"/>
        <w:widowControl w:val="0"/>
        <w:kinsoku/>
        <w:wordWrap/>
        <w:overflowPunct/>
        <w:topLinePunct w:val="0"/>
        <w:autoSpaceDE/>
        <w:autoSpaceDN/>
        <w:bidi w:val="0"/>
        <w:adjustRightInd/>
        <w:snapToGrid/>
        <w:spacing w:line="520" w:lineRule="exact"/>
        <w:ind w:firstLine="482" w:firstLineChars="200"/>
        <w:contextualSpacing/>
        <w:jc w:val="left"/>
        <w:textAlignment w:val="auto"/>
        <w:rPr>
          <w:rFonts w:ascii="宋体" w:hAnsi="宋体" w:cs="宋体"/>
          <w:b/>
          <w:bCs/>
          <w:color w:val="auto"/>
          <w:sz w:val="24"/>
          <w:szCs w:val="24"/>
          <w:highlight w:val="none"/>
        </w:rPr>
      </w:pPr>
      <w:r>
        <w:rPr>
          <w:rFonts w:ascii="宋体" w:hAnsi="宋体" w:cs="宋体"/>
          <w:b/>
          <w:color w:val="auto"/>
          <w:sz w:val="24"/>
          <w:highlight w:val="none"/>
        </w:rPr>
        <w:t>五、</w:t>
      </w:r>
      <w:r>
        <w:rPr>
          <w:rFonts w:ascii="宋体" w:hAnsi="宋体" w:cs="宋体"/>
          <w:b/>
          <w:bCs/>
          <w:color w:val="auto"/>
          <w:sz w:val="24"/>
          <w:szCs w:val="24"/>
          <w:highlight w:val="none"/>
        </w:rPr>
        <w:t>政府采购政策功能落实</w:t>
      </w:r>
    </w:p>
    <w:p w14:paraId="7A13F55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ascii="宋体" w:hAnsi="宋体" w:cs="宋体"/>
          <w:b/>
          <w:color w:val="auto"/>
          <w:sz w:val="24"/>
          <w:szCs w:val="24"/>
          <w:highlight w:val="none"/>
        </w:rPr>
      </w:pPr>
      <w:r>
        <w:rPr>
          <w:rFonts w:ascii="宋体" w:hAnsi="宋体" w:cs="宋体"/>
          <w:b/>
          <w:color w:val="auto"/>
          <w:sz w:val="24"/>
          <w:szCs w:val="24"/>
          <w:highlight w:val="none"/>
        </w:rPr>
        <w:t>本项目所属行业为：</w:t>
      </w:r>
      <w:r>
        <w:rPr>
          <w:rFonts w:hint="eastAsia" w:ascii="宋体" w:hAnsi="宋体" w:cs="宋体"/>
          <w:b/>
          <w:color w:val="auto"/>
          <w:sz w:val="24"/>
          <w:szCs w:val="24"/>
          <w:highlight w:val="none"/>
          <w:u w:val="single"/>
        </w:rPr>
        <w:t>工业</w:t>
      </w:r>
      <w:r>
        <w:rPr>
          <w:rFonts w:ascii="宋体" w:hAnsi="宋体" w:cs="宋体"/>
          <w:b/>
          <w:color w:val="auto"/>
          <w:sz w:val="24"/>
          <w:szCs w:val="24"/>
          <w:highlight w:val="none"/>
        </w:rPr>
        <w:t>。</w:t>
      </w:r>
    </w:p>
    <w:p w14:paraId="7B28147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本项目不专门面向中小微企业、监狱企业、残疾人福利性单位采购。本项目所投产品货物制造商符合小型和微型企业、残疾人福利性单位、监狱企业条件的给予10%的扣除价格，用扣除后的价格参与评审。</w:t>
      </w:r>
    </w:p>
    <w:p w14:paraId="4C0583D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本项目所投产品货物制造商符合小型和微型企业</w:t>
      </w:r>
      <w:r>
        <w:rPr>
          <w:rFonts w:ascii="宋体" w:hAnsi="宋体" w:cs="宋体"/>
          <w:color w:val="auto"/>
          <w:sz w:val="24"/>
          <w:szCs w:val="24"/>
          <w:highlight w:val="none"/>
        </w:rPr>
        <w:t>，应当按照《政府采购促进中小企业发展管理办法》（财库〔2020〕46号）规定，出具《中小企业声明函》，中小企业划型依据《关于印发中小企业划型标准规定的通知》（工信部联企业〔2011〕300 号）。</w:t>
      </w:r>
    </w:p>
    <w:p w14:paraId="5C30AFD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本项目所投产品货物制造商符合</w:t>
      </w:r>
      <w:r>
        <w:rPr>
          <w:rFonts w:ascii="宋体" w:hAnsi="宋体" w:cs="宋体"/>
          <w:color w:val="auto"/>
          <w:sz w:val="24"/>
          <w:szCs w:val="24"/>
          <w:highlight w:val="none"/>
        </w:rPr>
        <w:t>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p>
    <w:p w14:paraId="5BF581D5">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本项目所投产品货物制造商符合</w:t>
      </w:r>
      <w:r>
        <w:rPr>
          <w:rFonts w:ascii="宋体" w:hAnsi="宋体" w:cs="宋体"/>
          <w:color w:val="auto"/>
          <w:sz w:val="24"/>
          <w:szCs w:val="24"/>
          <w:highlight w:val="none"/>
        </w:rPr>
        <w:t>残疾人福利性单位，视同小型、微型企业。残疾人福利性单位应当按照《财政部 民政部 中国残疾人联合会关于促进残疾人就业政府采购政策的通知》（财库〔2017〕141号）的规定，提供《残疾人福利性单位声明函》。</w:t>
      </w:r>
    </w:p>
    <w:p w14:paraId="4DC5A229">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残疾人福利单位、监狱企业属于小型、微型企业的，不重复享受政策。</w:t>
      </w:r>
    </w:p>
    <w:p w14:paraId="249504A1">
      <w:pPr>
        <w:spacing w:line="52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）在货物采购项目中，供应商提供的货物既有中型企业制造，也有小微企业制造的，不享受</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lang w:eastAsia="zh-CN"/>
        </w:rPr>
        <w:t>办法规定的小微企业扶持政策。</w:t>
      </w:r>
    </w:p>
    <w:p w14:paraId="682CB499">
      <w:pPr>
        <w:spacing w:line="52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）未按要求提供相关材料的，不享受相关政策。</w:t>
      </w:r>
    </w:p>
    <w:p w14:paraId="3541DB6A">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本项目中如有涉及商品包装、快递包装的，应当按《关于印发〈商品包装政府采购需求标准（试行）〉、〈快递包装政府采购需求标准（试行）〉的通知》（财办库〔2020〕123号）文件执行。</w:t>
      </w:r>
    </w:p>
    <w:p w14:paraId="19950B90">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.节能环保</w:t>
      </w:r>
    </w:p>
    <w:p w14:paraId="43752EB8">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本项目中如有涉及节能环保产品要求的，应当按《财政部、发展改革委、生态环境部、市场监管总局关于调整优化节能产品、环境标志产品政府采购执行机制的通知》(财库〔2019〕9号)</w:t>
      </w:r>
      <w:r>
        <w:rPr>
          <w:rFonts w:hint="eastAsia" w:ascii="宋体" w:hAnsi="宋体" w:cs="宋体"/>
          <w:color w:val="auto"/>
          <w:sz w:val="24"/>
          <w:szCs w:val="24"/>
          <w:highlight w:val="none"/>
          <w:lang w:eastAsia="zh-CN"/>
        </w:rPr>
        <w:t>、《关于印发环境标志产品政府采购品目清单的通知》（财库〔2019〕18号）、《关于印发节能产品政府采购品目清单的通知》（财库〔2019〕19号）、《市场监管总局关于发布参与实施政府采购节能产品、环境标志产品认证机构名录的公告》（2019年第16号）等</w:t>
      </w:r>
      <w:r>
        <w:rPr>
          <w:rFonts w:hint="eastAsia" w:ascii="宋体" w:hAnsi="宋体" w:cs="宋体"/>
          <w:color w:val="auto"/>
          <w:sz w:val="24"/>
          <w:szCs w:val="24"/>
          <w:highlight w:val="none"/>
        </w:rPr>
        <w:t>文件执行。</w:t>
      </w:r>
    </w:p>
    <w:p w14:paraId="72CB4DDB">
      <w:pPr>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4.采购本国产品的支持政策</w:t>
      </w:r>
    </w:p>
    <w:p w14:paraId="31B5845E">
      <w:pPr>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D70E1F3">
      <w:pPr>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本国产品应当在中国境内生产，即在中华人民共和国关境内（含保税区、综合保税区等海关特殊监管区域）完成生产，并实现从原材料、组件到成品的属性改变，即产生具有新名称、特征和用途的全新产品。单纯的贴牌、简单喷涂、分装等细微操作不包含在内。对医疗器械产品，取得药品监督管理部门授予的准字号医疗器械注册证的，属于在中国境内生产的产品；其他产品，根据实际情况判断是否在中国境内生产。</w:t>
      </w:r>
    </w:p>
    <w:p w14:paraId="52208328">
      <w:pPr>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（3）本项目政府采购活动中既有本国产品又有非本国产品参与竞争的，依法对本国产品给予价格评审优惠，对本国产品的报价给予20%的价格扣除，用扣除后的价格参与评审。</w:t>
      </w:r>
    </w:p>
    <w:p w14:paraId="149B2B36">
      <w:pPr>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893974F">
      <w:pPr>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（5）供应商需按照招标文件的要求提供《关于符合本国产品标准的声明函》（以下简称《声明函》），如不提供将不享受本国产品价格评审优惠。</w:t>
      </w:r>
    </w:p>
    <w:p w14:paraId="02767DB2">
      <w:pPr>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CFF6F53">
      <w:pPr>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9FD5133">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可以采用电子履约保函形式代替缴纳履约保证金，具体可登录江苏政府采购网的保险保函模块进行办理。</w:t>
      </w:r>
    </w:p>
    <w:p w14:paraId="17636296">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可凭政府采购合同办理融资贷款，详情请见泰州市政府采购网“政采贷”专栏。</w:t>
      </w:r>
    </w:p>
    <w:p w14:paraId="23D881FF">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7.关于</w:t>
      </w:r>
      <w:r>
        <w:rPr>
          <w:rFonts w:hint="eastAsia" w:ascii="宋体" w:hAnsi="宋体" w:eastAsia="宋体" w:cs="宋体"/>
          <w:bCs/>
          <w:color w:val="auto"/>
          <w:sz w:val="24"/>
          <w:szCs w:val="24"/>
          <w:highlight w:val="none"/>
          <w:lang w:val="en-US" w:eastAsia="zh-CN"/>
        </w:rPr>
        <w:t>异常低价审查规定</w:t>
      </w:r>
    </w:p>
    <w:p w14:paraId="228E8418">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根据财库〔2026〕2号文《财政部关于推动解决政府采购异常低价问题的通知》：</w:t>
      </w:r>
    </w:p>
    <w:p w14:paraId="171B679B">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（1）政府采购评审中出现下列情形之一的，评审委员会应当启动异常低价投标（响应）审查程序：</w:t>
      </w:r>
    </w:p>
    <w:p w14:paraId="7251CC4D">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①投标（响应）报价低于全部通过符合性审查供应商投标（响应）报价平均值50%的，即投标（响应）报价&lt;全部通过符合性审查供应商投标（响应）报价平均值×50%；</w:t>
      </w:r>
    </w:p>
    <w:p w14:paraId="50038E08">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②投标（响应）报价低于通过符合性审查的次低报价供应商投标（响应）报价50%的，即投标（响应）报价&lt;通过符合性审查的次低报价供应商投标（响应）报价×50%；</w:t>
      </w:r>
    </w:p>
    <w:p w14:paraId="41F25B8D">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③投标（响应）报价低于采购项目最高限价45%的，即投标（响应）报价&lt;采购项目最高限价×45%；</w:t>
      </w:r>
    </w:p>
    <w:p w14:paraId="47DDA117">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④评审委员会基于专业判断，认为供应商报价过低，有可能影响产品质量或者不能诚信履约的其他情形。</w:t>
      </w:r>
    </w:p>
    <w:p w14:paraId="0535BC00">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E3DA6B3">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347F6B">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6C48EB6">
      <w:pPr>
        <w:keepNext w:val="0"/>
        <w:keepLines w:val="0"/>
        <w:pageBreakBefore w:val="0"/>
        <w:widowControl w:val="0"/>
        <w:tabs>
          <w:tab w:val="left" w:pos="945"/>
        </w:tabs>
        <w:kinsoku/>
        <w:wordWrap/>
        <w:overflowPunct/>
        <w:topLinePunct w:val="0"/>
        <w:autoSpaceDE/>
        <w:autoSpaceDN/>
        <w:bidi w:val="0"/>
        <w:adjustRightInd/>
        <w:snapToGrid/>
        <w:spacing w:beforeAutospacing="0" w:line="520" w:lineRule="exact"/>
        <w:ind w:right="0" w:righ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BA41F95">
      <w:pPr>
        <w:rPr>
          <w:rStyle w:val="88"/>
          <w:rFonts w:ascii="宋体" w:hAnsi="宋体" w:cs="宋体"/>
          <w:b/>
          <w:color w:val="auto"/>
          <w:highlight w:val="none"/>
        </w:rPr>
      </w:pPr>
      <w:bookmarkStart w:id="33" w:name="_Toc182078118"/>
      <w:r>
        <w:rPr>
          <w:rStyle w:val="88"/>
          <w:rFonts w:ascii="宋体" w:hAnsi="宋体" w:cs="宋体"/>
          <w:b/>
          <w:color w:val="auto"/>
          <w:highlight w:val="none"/>
        </w:rPr>
        <w:br w:type="page"/>
      </w:r>
    </w:p>
    <w:p w14:paraId="0BF34F69">
      <w:pPr>
        <w:pStyle w:val="2"/>
        <w:spacing w:before="361"/>
        <w:rPr>
          <w:rFonts w:ascii="宋体" w:hAnsi="宋体" w:cs="宋体"/>
          <w:color w:val="auto"/>
          <w:sz w:val="42"/>
          <w:szCs w:val="24"/>
          <w:highlight w:val="none"/>
        </w:rPr>
      </w:pPr>
      <w:r>
        <w:rPr>
          <w:rStyle w:val="88"/>
          <w:rFonts w:ascii="宋体" w:hAnsi="宋体" w:cs="宋体"/>
          <w:b/>
          <w:color w:val="auto"/>
          <w:highlight w:val="none"/>
        </w:rPr>
        <w:t>第五章  投标文件格式</w:t>
      </w:r>
      <w:bookmarkEnd w:id="33"/>
    </w:p>
    <w:p w14:paraId="6486F4BA">
      <w:pPr>
        <w:pStyle w:val="21"/>
        <w:spacing w:line="360" w:lineRule="auto"/>
        <w:ind w:firstLine="0"/>
        <w:rPr>
          <w:rFonts w:ascii="宋体" w:hAnsi="宋体" w:cs="宋体"/>
          <w:b/>
          <w:color w:val="auto"/>
          <w:sz w:val="44"/>
          <w:szCs w:val="44"/>
          <w:highlight w:val="none"/>
        </w:rPr>
      </w:pPr>
    </w:p>
    <w:p w14:paraId="4BDDE2C1">
      <w:pPr>
        <w:pStyle w:val="26"/>
        <w:spacing w:line="360" w:lineRule="auto"/>
        <w:jc w:val="center"/>
        <w:rPr>
          <w:rFonts w:hint="eastAsia" w:eastAsia="宋体" w:cs="宋体"/>
          <w:b/>
          <w:color w:val="auto"/>
          <w:sz w:val="44"/>
          <w:szCs w:val="44"/>
          <w:highlight w:val="none"/>
          <w:lang w:eastAsia="zh-CN"/>
        </w:rPr>
      </w:pPr>
      <w:r>
        <w:rPr>
          <w:rFonts w:hint="eastAsia" w:cs="宋体"/>
          <w:b/>
          <w:color w:val="auto"/>
          <w:sz w:val="44"/>
          <w:szCs w:val="44"/>
          <w:highlight w:val="none"/>
          <w:lang w:eastAsia="zh-CN"/>
        </w:rPr>
        <w:t>泰州实验中学新建教学楼宿舍楼及生活设施项目录播设备采购</w:t>
      </w:r>
    </w:p>
    <w:p w14:paraId="4CC74ECF">
      <w:pPr>
        <w:pStyle w:val="7"/>
        <w:rPr>
          <w:rFonts w:ascii="宋体" w:hAnsi="宋体" w:cs="宋体"/>
          <w:b/>
          <w:color w:val="auto"/>
          <w:sz w:val="44"/>
          <w:szCs w:val="44"/>
          <w:highlight w:val="none"/>
        </w:rPr>
      </w:pPr>
    </w:p>
    <w:p w14:paraId="27D2ABB6">
      <w:pPr>
        <w:pStyle w:val="7"/>
        <w:rPr>
          <w:rFonts w:ascii="宋体" w:hAnsi="宋体" w:cs="宋体"/>
          <w:b/>
          <w:color w:val="auto"/>
          <w:sz w:val="44"/>
          <w:szCs w:val="44"/>
          <w:highlight w:val="none"/>
        </w:rPr>
      </w:pPr>
    </w:p>
    <w:p w14:paraId="3F71D3B7">
      <w:pPr>
        <w:rPr>
          <w:rFonts w:ascii="宋体" w:hAnsi="宋体" w:cs="宋体"/>
          <w:color w:val="auto"/>
          <w:sz w:val="20"/>
          <w:szCs w:val="18"/>
          <w:highlight w:val="none"/>
        </w:rPr>
      </w:pPr>
    </w:p>
    <w:p w14:paraId="79E25B45">
      <w:pPr>
        <w:spacing w:line="360" w:lineRule="auto"/>
        <w:jc w:val="center"/>
        <w:rPr>
          <w:rFonts w:ascii="宋体" w:hAnsi="宋体" w:cs="宋体"/>
          <w:b/>
          <w:color w:val="auto"/>
          <w:sz w:val="56"/>
          <w:szCs w:val="56"/>
          <w:highlight w:val="none"/>
        </w:rPr>
      </w:pPr>
      <w:r>
        <w:rPr>
          <w:rFonts w:ascii="宋体" w:hAnsi="宋体" w:cs="宋体"/>
          <w:b/>
          <w:color w:val="auto"/>
          <w:sz w:val="56"/>
          <w:szCs w:val="56"/>
          <w:highlight w:val="none"/>
        </w:rPr>
        <w:t>投标文件</w:t>
      </w:r>
    </w:p>
    <w:p w14:paraId="0BB67B2D">
      <w:pPr>
        <w:jc w:val="center"/>
        <w:rPr>
          <w:rFonts w:ascii="宋体" w:hAnsi="宋体" w:cs="宋体"/>
          <w:b/>
          <w:color w:val="auto"/>
          <w:sz w:val="72"/>
          <w:szCs w:val="72"/>
          <w:highlight w:val="none"/>
        </w:rPr>
      </w:pPr>
      <w:r>
        <w:rPr>
          <w:rFonts w:asciiTheme="minorEastAsia" w:hAnsiTheme="minorEastAsia"/>
          <w:color w:val="auto"/>
          <w:sz w:val="32"/>
          <w:szCs w:val="32"/>
          <w:highlight w:val="none"/>
        </w:rPr>
        <w:t>（除不可变动部分</w:t>
      </w:r>
      <w:r>
        <w:rPr>
          <w:rFonts w:hint="eastAsia" w:asciiTheme="minorEastAsia" w:hAnsiTheme="minorEastAsia"/>
          <w:color w:val="auto"/>
          <w:sz w:val="32"/>
          <w:szCs w:val="32"/>
          <w:highlight w:val="none"/>
        </w:rPr>
        <w:t>外</w:t>
      </w:r>
      <w:r>
        <w:rPr>
          <w:rFonts w:asciiTheme="minorEastAsia" w:hAnsiTheme="minorEastAsia"/>
          <w:color w:val="auto"/>
          <w:sz w:val="32"/>
          <w:szCs w:val="32"/>
          <w:highlight w:val="none"/>
        </w:rPr>
        <w:t>，电子投标文件格式以招标文件为准）</w:t>
      </w:r>
    </w:p>
    <w:p w14:paraId="527B161F">
      <w:pPr>
        <w:spacing w:line="360" w:lineRule="auto"/>
        <w:jc w:val="center"/>
        <w:rPr>
          <w:rFonts w:ascii="宋体" w:hAnsi="宋体" w:cs="宋体"/>
          <w:color w:val="auto"/>
          <w:highlight w:val="none"/>
        </w:rPr>
      </w:pPr>
    </w:p>
    <w:p w14:paraId="471FD386">
      <w:pPr>
        <w:spacing w:line="360" w:lineRule="auto"/>
        <w:jc w:val="center"/>
        <w:rPr>
          <w:rFonts w:ascii="宋体" w:hAnsi="宋体" w:cs="宋体"/>
          <w:b/>
          <w:color w:val="auto"/>
          <w:sz w:val="28"/>
          <w:szCs w:val="28"/>
          <w:highlight w:val="none"/>
        </w:rPr>
      </w:pPr>
    </w:p>
    <w:p w14:paraId="2DBD5A42">
      <w:pPr>
        <w:spacing w:line="360" w:lineRule="auto"/>
        <w:jc w:val="center"/>
        <w:rPr>
          <w:rFonts w:ascii="宋体" w:hAnsi="宋体" w:cs="宋体"/>
          <w:b/>
          <w:color w:val="auto"/>
          <w:sz w:val="28"/>
          <w:szCs w:val="28"/>
          <w:highlight w:val="none"/>
        </w:rPr>
      </w:pPr>
    </w:p>
    <w:p w14:paraId="5E020A96">
      <w:pPr>
        <w:spacing w:line="360" w:lineRule="auto"/>
        <w:jc w:val="center"/>
        <w:rPr>
          <w:rFonts w:ascii="宋体" w:hAnsi="宋体" w:cs="宋体"/>
          <w:b/>
          <w:color w:val="auto"/>
          <w:sz w:val="28"/>
          <w:szCs w:val="28"/>
          <w:highlight w:val="none"/>
        </w:rPr>
      </w:pPr>
    </w:p>
    <w:p w14:paraId="0D4A7962">
      <w:pPr>
        <w:spacing w:line="360" w:lineRule="auto"/>
        <w:jc w:val="center"/>
        <w:rPr>
          <w:rFonts w:ascii="宋体" w:hAnsi="宋体" w:cs="宋体"/>
          <w:b/>
          <w:color w:val="auto"/>
          <w:sz w:val="28"/>
          <w:szCs w:val="28"/>
          <w:highlight w:val="none"/>
        </w:rPr>
      </w:pPr>
    </w:p>
    <w:p w14:paraId="798C93C9">
      <w:pPr>
        <w:spacing w:line="360" w:lineRule="auto"/>
        <w:jc w:val="center"/>
        <w:rPr>
          <w:rFonts w:ascii="宋体" w:hAnsi="宋体" w:cs="宋体"/>
          <w:b/>
          <w:color w:val="auto"/>
          <w:sz w:val="28"/>
          <w:szCs w:val="28"/>
          <w:highlight w:val="none"/>
        </w:rPr>
      </w:pPr>
    </w:p>
    <w:p w14:paraId="6DF028A1">
      <w:pPr>
        <w:spacing w:before="181" w:after="181" w:line="360" w:lineRule="auto"/>
        <w:jc w:val="center"/>
        <w:rPr>
          <w:rFonts w:ascii="宋体" w:hAnsi="宋体" w:cs="宋体"/>
          <w:b/>
          <w:bCs/>
          <w:color w:val="auto"/>
          <w:sz w:val="28"/>
          <w:szCs w:val="28"/>
          <w:highlight w:val="none"/>
          <w:u w:val="single"/>
        </w:rPr>
      </w:pPr>
      <w:r>
        <w:rPr>
          <w:rFonts w:ascii="宋体" w:hAnsi="宋体" w:cs="宋体"/>
          <w:b/>
          <w:color w:val="auto"/>
          <w:sz w:val="28"/>
          <w:szCs w:val="28"/>
          <w:highlight w:val="none"/>
        </w:rPr>
        <w:t>投标人名称：</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w:t>
      </w:r>
      <w:r>
        <w:rPr>
          <w:rFonts w:ascii="宋体" w:hAnsi="宋体" w:cs="宋体"/>
          <w:b/>
          <w:bCs/>
          <w:color w:val="auto"/>
          <w:sz w:val="32"/>
          <w:szCs w:val="32"/>
          <w:highlight w:val="none"/>
          <w:u w:val="single"/>
        </w:rPr>
        <w:t>加盖CA电子公章</w:t>
      </w:r>
      <w:r>
        <w:rPr>
          <w:rFonts w:ascii="宋体" w:hAnsi="宋体" w:cs="宋体"/>
          <w:b/>
          <w:color w:val="auto"/>
          <w:sz w:val="28"/>
          <w:szCs w:val="28"/>
          <w:highlight w:val="none"/>
        </w:rPr>
        <w:t>）</w:t>
      </w:r>
      <w:r>
        <w:rPr>
          <w:rFonts w:ascii="宋体" w:hAnsi="宋体" w:cs="宋体"/>
          <w:b/>
          <w:color w:val="auto"/>
          <w:sz w:val="28"/>
          <w:szCs w:val="28"/>
          <w:highlight w:val="none"/>
          <w:u w:val="single"/>
        </w:rPr>
        <w:t xml:space="preserve">  </w:t>
      </w:r>
    </w:p>
    <w:p w14:paraId="2693C357">
      <w:pPr>
        <w:spacing w:before="181" w:after="181" w:line="360" w:lineRule="auto"/>
        <w:jc w:val="center"/>
        <w:rPr>
          <w:rFonts w:ascii="宋体" w:hAnsi="宋体" w:cs="宋体"/>
          <w:b/>
          <w:bCs/>
          <w:color w:val="auto"/>
          <w:sz w:val="28"/>
          <w:szCs w:val="28"/>
          <w:highlight w:val="none"/>
          <w:u w:val="single"/>
        </w:rPr>
      </w:pPr>
    </w:p>
    <w:p w14:paraId="08EAA0B2">
      <w:pPr>
        <w:spacing w:before="181" w:after="181" w:line="360" w:lineRule="auto"/>
        <w:jc w:val="center"/>
        <w:rPr>
          <w:rFonts w:ascii="宋体" w:hAnsi="宋体" w:cs="宋体"/>
          <w:b/>
          <w:color w:val="auto"/>
          <w:sz w:val="28"/>
          <w:szCs w:val="28"/>
          <w:highlight w:val="none"/>
        </w:rPr>
      </w:pPr>
      <w:r>
        <w:rPr>
          <w:rFonts w:ascii="宋体" w:hAnsi="宋体" w:cs="宋体"/>
          <w:b/>
          <w:color w:val="auto"/>
          <w:sz w:val="28"/>
          <w:szCs w:val="28"/>
          <w:highlight w:val="none"/>
        </w:rPr>
        <w:t>日期：</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年</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月</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日</w:t>
      </w:r>
    </w:p>
    <w:p w14:paraId="625EF183">
      <w:pPr>
        <w:spacing w:line="480" w:lineRule="auto"/>
        <w:rPr>
          <w:rFonts w:ascii="宋体" w:hAnsi="宋体" w:cs="宋体"/>
          <w:b/>
          <w:color w:val="auto"/>
          <w:sz w:val="36"/>
          <w:szCs w:val="36"/>
          <w:highlight w:val="none"/>
        </w:rPr>
      </w:pPr>
    </w:p>
    <w:p w14:paraId="6312B6A6">
      <w:pPr>
        <w:rPr>
          <w:rFonts w:ascii="宋体" w:hAnsi="宋体" w:cs="宋体"/>
          <w:b/>
          <w:color w:val="auto"/>
          <w:sz w:val="36"/>
          <w:szCs w:val="36"/>
          <w:highlight w:val="none"/>
        </w:rPr>
      </w:pPr>
      <w:r>
        <w:rPr>
          <w:rFonts w:ascii="宋体" w:hAnsi="宋体" w:cs="宋体"/>
          <w:b/>
          <w:color w:val="auto"/>
          <w:sz w:val="36"/>
          <w:szCs w:val="36"/>
          <w:highlight w:val="none"/>
        </w:rPr>
        <w:br w:type="page"/>
      </w:r>
    </w:p>
    <w:p w14:paraId="01369FA8">
      <w:pPr>
        <w:spacing w:line="480" w:lineRule="auto"/>
        <w:jc w:val="center"/>
        <w:rPr>
          <w:rFonts w:ascii="宋体" w:hAnsi="宋体" w:cs="宋体"/>
          <w:b/>
          <w:color w:val="auto"/>
          <w:sz w:val="28"/>
          <w:szCs w:val="28"/>
          <w:highlight w:val="none"/>
        </w:rPr>
      </w:pPr>
      <w:r>
        <w:rPr>
          <w:rFonts w:ascii="宋体" w:hAnsi="宋体" w:cs="宋体"/>
          <w:b/>
          <w:color w:val="auto"/>
          <w:sz w:val="36"/>
          <w:szCs w:val="36"/>
          <w:highlight w:val="none"/>
        </w:rPr>
        <w:t>投 标 函</w:t>
      </w:r>
    </w:p>
    <w:p w14:paraId="7134FACF">
      <w:pPr>
        <w:spacing w:line="520" w:lineRule="exact"/>
        <w:rPr>
          <w:rFonts w:ascii="宋体" w:hAnsi="宋体" w:cs="宋体"/>
          <w:color w:val="auto"/>
          <w:sz w:val="24"/>
          <w:szCs w:val="24"/>
          <w:highlight w:val="none"/>
        </w:rPr>
      </w:pPr>
      <w:r>
        <w:rPr>
          <w:rFonts w:ascii="宋体" w:hAnsi="宋体" w:cs="宋体"/>
          <w:color w:val="auto"/>
          <w:sz w:val="24"/>
          <w:szCs w:val="24"/>
          <w:highlight w:val="none"/>
        </w:rPr>
        <w:t>1．我方已仔细研究了</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（项目名称）招标文件的全部内容，愿意以人民币（大写）</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元（¥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）的投标总报价，</w:t>
      </w:r>
      <w:r>
        <w:rPr>
          <w:rFonts w:ascii="宋体" w:hAnsi="宋体" w:cs="宋体"/>
          <w:color w:val="auto"/>
          <w:sz w:val="24"/>
          <w:highlight w:val="none"/>
        </w:rPr>
        <w:t>在</w:t>
      </w:r>
      <w:r>
        <w:rPr>
          <w:rFonts w:ascii="宋体" w:hAnsi="宋体" w:cs="宋体"/>
          <w:color w:val="auto"/>
          <w:sz w:val="24"/>
          <w:szCs w:val="24"/>
          <w:highlight w:val="none"/>
        </w:rPr>
        <w:t>合同履行期限</w:t>
      </w:r>
    </w:p>
    <w:p w14:paraId="4963F46D">
      <w:pPr>
        <w:spacing w:line="520" w:lineRule="exact"/>
        <w:rPr>
          <w:rFonts w:ascii="宋体" w:hAnsi="宋体" w:cs="宋体"/>
          <w:color w:val="auto"/>
          <w:sz w:val="24"/>
          <w:szCs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日</w:t>
      </w:r>
      <w:r>
        <w:rPr>
          <w:rFonts w:ascii="宋体" w:hAnsi="宋体" w:cs="宋体"/>
          <w:color w:val="auto"/>
          <w:sz w:val="24"/>
          <w:highlight w:val="none"/>
        </w:rPr>
        <w:t>内完成项目</w:t>
      </w:r>
      <w:r>
        <w:rPr>
          <w:rFonts w:ascii="宋体" w:hAnsi="宋体" w:cs="宋体"/>
          <w:color w:val="auto"/>
          <w:sz w:val="24"/>
          <w:szCs w:val="24"/>
          <w:highlight w:val="none"/>
        </w:rPr>
        <w:t>，并承诺本次报价不低于成本。</w:t>
      </w:r>
    </w:p>
    <w:p w14:paraId="2E4E04DA">
      <w:pPr>
        <w:spacing w:line="600" w:lineRule="exact"/>
        <w:rPr>
          <w:rFonts w:ascii="宋体" w:hAnsi="宋体" w:cs="宋体"/>
          <w:color w:val="auto"/>
          <w:sz w:val="24"/>
          <w:szCs w:val="24"/>
          <w:highlight w:val="none"/>
        </w:rPr>
      </w:pPr>
      <w:r>
        <w:rPr>
          <w:rFonts w:ascii="宋体" w:hAnsi="宋体" w:cs="宋体"/>
          <w:color w:val="auto"/>
          <w:sz w:val="24"/>
          <w:szCs w:val="24"/>
          <w:highlight w:val="none"/>
        </w:rPr>
        <w:t>2．我们已详细审核全部招标文件及其有效补充文件，我们知道必须放弃提出含糊不清或误解问题的权利。</w:t>
      </w:r>
    </w:p>
    <w:p w14:paraId="242A85C1">
      <w:pPr>
        <w:spacing w:line="600" w:lineRule="exact"/>
        <w:jc w:val="left"/>
        <w:rPr>
          <w:rFonts w:ascii="宋体" w:hAnsi="宋体" w:cs="宋体"/>
          <w:color w:val="auto"/>
          <w:sz w:val="24"/>
          <w:szCs w:val="24"/>
          <w:highlight w:val="none"/>
        </w:rPr>
      </w:pPr>
      <w:r>
        <w:rPr>
          <w:rFonts w:ascii="宋体" w:hAnsi="宋体" w:cs="宋体"/>
          <w:color w:val="auto"/>
          <w:sz w:val="24"/>
          <w:szCs w:val="24"/>
          <w:highlight w:val="none"/>
        </w:rPr>
        <w:t>3．我们同意从规定的开标日期起遵循本投标文件，并在规定的投标有效期</w:t>
      </w:r>
      <w:r>
        <w:rPr>
          <w:rFonts w:hint="eastAsia" w:ascii="宋体" w:hAnsi="宋体" w:cs="宋体"/>
          <w:color w:val="auto"/>
          <w:sz w:val="24"/>
          <w:szCs w:val="24"/>
          <w:highlight w:val="none"/>
        </w:rPr>
        <w:t>届</w:t>
      </w:r>
      <w:r>
        <w:rPr>
          <w:rFonts w:ascii="宋体" w:hAnsi="宋体" w:cs="宋体"/>
          <w:color w:val="auto"/>
          <w:sz w:val="24"/>
          <w:szCs w:val="24"/>
          <w:highlight w:val="none"/>
        </w:rPr>
        <w:t>满之前均具有约束力。</w:t>
      </w:r>
      <w:r>
        <w:rPr>
          <w:rFonts w:ascii="宋体" w:hAnsi="宋体" w:cs="宋体"/>
          <w:color w:val="auto"/>
          <w:sz w:val="24"/>
          <w:szCs w:val="24"/>
          <w:highlight w:val="none"/>
        </w:rPr>
        <w:br w:type="textWrapping" w:clear="all"/>
      </w:r>
      <w:r>
        <w:rPr>
          <w:rFonts w:ascii="宋体" w:hAnsi="宋体" w:cs="宋体"/>
          <w:color w:val="auto"/>
          <w:sz w:val="24"/>
          <w:szCs w:val="24"/>
          <w:highlight w:val="none"/>
        </w:rPr>
        <w:t>4.同意向贵方提供贵方可能另外要求的与投标有关的任何证据或资料，并保证我方已提供和将要提供的文件是真实的、准确的。</w:t>
      </w:r>
      <w:r>
        <w:rPr>
          <w:rFonts w:ascii="宋体" w:hAnsi="宋体" w:cs="宋体"/>
          <w:color w:val="auto"/>
          <w:sz w:val="24"/>
          <w:szCs w:val="24"/>
          <w:highlight w:val="none"/>
        </w:rPr>
        <w:br w:type="textWrapping"/>
      </w:r>
      <w:r>
        <w:rPr>
          <w:rFonts w:ascii="宋体" w:hAnsi="宋体" w:cs="宋体"/>
          <w:color w:val="auto"/>
          <w:sz w:val="24"/>
          <w:szCs w:val="24"/>
          <w:highlight w:val="none"/>
        </w:rPr>
        <w:t>5.一旦我方中标，我们将根据招标文件的规定</w:t>
      </w:r>
      <w:r>
        <w:rPr>
          <w:rFonts w:hint="eastAsia" w:ascii="宋体" w:hAnsi="宋体" w:cs="宋体"/>
          <w:color w:val="auto"/>
          <w:sz w:val="24"/>
          <w:szCs w:val="24"/>
          <w:highlight w:val="none"/>
        </w:rPr>
        <w:t>及我方投标承诺</w:t>
      </w:r>
      <w:r>
        <w:rPr>
          <w:rFonts w:ascii="宋体" w:hAnsi="宋体" w:cs="宋体"/>
          <w:color w:val="auto"/>
          <w:sz w:val="24"/>
          <w:szCs w:val="24"/>
          <w:highlight w:val="none"/>
        </w:rPr>
        <w:t>严格按照《中华人民共和国民法典》履行自己的责任和义务，否则我们的履约保证金同意被贵方没收以及接受其他方面的处罚。</w:t>
      </w:r>
    </w:p>
    <w:p w14:paraId="25C81DBD">
      <w:pPr>
        <w:spacing w:line="420" w:lineRule="auto"/>
        <w:rPr>
          <w:rFonts w:ascii="宋体" w:hAnsi="宋体" w:cs="宋体"/>
          <w:color w:val="auto"/>
          <w:highlight w:val="none"/>
        </w:rPr>
      </w:pPr>
    </w:p>
    <w:p w14:paraId="075D416E">
      <w:pPr>
        <w:spacing w:line="420" w:lineRule="auto"/>
        <w:rPr>
          <w:rFonts w:ascii="宋体" w:hAnsi="宋体" w:cs="宋体"/>
          <w:color w:val="auto"/>
          <w:highlight w:val="none"/>
        </w:rPr>
      </w:pPr>
    </w:p>
    <w:p w14:paraId="2EB3BC02">
      <w:pPr>
        <w:spacing w:line="420" w:lineRule="auto"/>
        <w:rPr>
          <w:rFonts w:ascii="宋体" w:hAnsi="宋体" w:cs="宋体"/>
          <w:color w:val="auto"/>
          <w:highlight w:val="none"/>
        </w:rPr>
      </w:pPr>
    </w:p>
    <w:p w14:paraId="7136B83C">
      <w:pPr>
        <w:spacing w:line="420" w:lineRule="auto"/>
        <w:rPr>
          <w:rFonts w:ascii="宋体" w:hAnsi="宋体" w:cs="宋体"/>
          <w:color w:val="auto"/>
          <w:highlight w:val="none"/>
        </w:rPr>
      </w:pPr>
    </w:p>
    <w:p w14:paraId="684C9123">
      <w:pPr>
        <w:spacing w:line="420" w:lineRule="auto"/>
        <w:rPr>
          <w:rFonts w:ascii="宋体" w:hAnsi="宋体" w:cs="宋体"/>
          <w:color w:val="auto"/>
          <w:sz w:val="24"/>
          <w:szCs w:val="24"/>
          <w:highlight w:val="none"/>
        </w:rPr>
      </w:pPr>
      <w:r>
        <w:rPr>
          <w:rFonts w:ascii="宋体" w:hAnsi="宋体" w:cs="宋体"/>
          <w:color w:val="auto"/>
          <w:sz w:val="24"/>
          <w:szCs w:val="24"/>
          <w:highlight w:val="none"/>
        </w:rPr>
        <w:t>投标人名称：</w:t>
      </w:r>
      <w:r>
        <w:rPr>
          <w:rFonts w:ascii="宋体" w:hAnsi="宋体" w:cs="宋体"/>
          <w:color w:val="auto"/>
          <w:highlight w:val="none"/>
          <w:u w:val="single"/>
        </w:rPr>
        <w:t xml:space="preserve">                   </w:t>
      </w:r>
      <w:r>
        <w:rPr>
          <w:rFonts w:ascii="宋体" w:hAnsi="宋体" w:cs="宋体"/>
          <w:color w:val="auto"/>
          <w:sz w:val="24"/>
          <w:szCs w:val="24"/>
          <w:highlight w:val="none"/>
        </w:rPr>
        <w:t>（</w:t>
      </w:r>
      <w:r>
        <w:rPr>
          <w:rFonts w:hint="eastAsia" w:ascii="Arial" w:hAnsi="Arial" w:cs="Arial"/>
          <w:color w:val="auto"/>
          <w:sz w:val="22"/>
          <w:szCs w:val="22"/>
          <w:highlight w:val="none"/>
        </w:rPr>
        <w:t>加盖电子公章</w:t>
      </w:r>
      <w:r>
        <w:rPr>
          <w:rFonts w:ascii="宋体" w:hAnsi="宋体" w:cs="宋体"/>
          <w:color w:val="auto"/>
          <w:sz w:val="24"/>
          <w:szCs w:val="24"/>
          <w:highlight w:val="none"/>
        </w:rPr>
        <w:t>）</w:t>
      </w:r>
    </w:p>
    <w:p w14:paraId="33F56C24">
      <w:pPr>
        <w:spacing w:line="420" w:lineRule="auto"/>
        <w:rPr>
          <w:rFonts w:ascii="宋体" w:hAnsi="宋体" w:cs="宋体"/>
          <w:color w:val="auto"/>
          <w:sz w:val="24"/>
          <w:szCs w:val="24"/>
          <w:highlight w:val="none"/>
        </w:rPr>
      </w:pPr>
      <w:r>
        <w:rPr>
          <w:rFonts w:ascii="宋体" w:hAnsi="宋体" w:cs="宋体"/>
          <w:color w:val="auto"/>
          <w:sz w:val="24"/>
          <w:szCs w:val="24"/>
          <w:highlight w:val="none"/>
        </w:rPr>
        <w:t>法定代表人或委托代理人：（签字或盖章）</w:t>
      </w:r>
    </w:p>
    <w:p w14:paraId="6D4C1D4F">
      <w:pPr>
        <w:spacing w:line="420" w:lineRule="auto"/>
        <w:rPr>
          <w:rFonts w:ascii="宋体" w:hAnsi="宋体" w:cs="宋体"/>
          <w:color w:val="auto"/>
          <w:sz w:val="24"/>
          <w:szCs w:val="24"/>
          <w:highlight w:val="none"/>
        </w:rPr>
      </w:pPr>
    </w:p>
    <w:p w14:paraId="5605B30D">
      <w:pPr>
        <w:spacing w:line="420" w:lineRule="auto"/>
        <w:rPr>
          <w:rFonts w:ascii="宋体" w:hAnsi="宋体" w:cs="宋体"/>
          <w:color w:val="auto"/>
          <w:sz w:val="24"/>
          <w:szCs w:val="24"/>
          <w:highlight w:val="none"/>
        </w:rPr>
      </w:pPr>
      <w:r>
        <w:rPr>
          <w:rFonts w:ascii="宋体" w:hAnsi="宋体" w:cs="宋体"/>
          <w:color w:val="auto"/>
          <w:sz w:val="24"/>
          <w:szCs w:val="24"/>
          <w:highlight w:val="none"/>
        </w:rPr>
        <w:t>日期：_____年___月___日</w:t>
      </w:r>
    </w:p>
    <w:p w14:paraId="21D8498C">
      <w:pPr>
        <w:rPr>
          <w:rFonts w:ascii="宋体" w:hAnsi="宋体" w:cs="宋体"/>
          <w:b/>
          <w:color w:val="auto"/>
          <w:sz w:val="28"/>
          <w:highlight w:val="none"/>
        </w:rPr>
      </w:pPr>
      <w:r>
        <w:rPr>
          <w:color w:val="auto"/>
          <w:highlight w:val="none"/>
        </w:rPr>
        <w:br w:type="page" w:clear="all"/>
      </w:r>
    </w:p>
    <w:p w14:paraId="16F5894D">
      <w:pPr>
        <w:spacing w:line="360" w:lineRule="auto"/>
        <w:ind w:firstLine="723"/>
        <w:contextualSpacing/>
        <w:jc w:val="center"/>
        <w:rPr>
          <w:rFonts w:ascii="宋体" w:hAnsi="宋体"/>
          <w:b/>
          <w:color w:val="auto"/>
          <w:sz w:val="32"/>
          <w:szCs w:val="32"/>
          <w:highlight w:val="none"/>
        </w:rPr>
      </w:pPr>
      <w:r>
        <w:rPr>
          <w:rFonts w:ascii="宋体" w:hAnsi="宋体"/>
          <w:b/>
          <w:color w:val="auto"/>
          <w:sz w:val="32"/>
          <w:szCs w:val="32"/>
          <w:highlight w:val="none"/>
        </w:rPr>
        <w:t>开标一览表</w:t>
      </w:r>
    </w:p>
    <w:p w14:paraId="6442AC57">
      <w:pPr>
        <w:spacing w:line="360" w:lineRule="auto"/>
        <w:contextualSpacing/>
        <w:jc w:val="both"/>
        <w:rPr>
          <w:rFonts w:ascii="宋体" w:hAnsi="宋体"/>
          <w:bCs/>
          <w:color w:val="auto"/>
          <w:sz w:val="24"/>
          <w:szCs w:val="24"/>
          <w:highlight w:val="none"/>
        </w:rPr>
      </w:pPr>
    </w:p>
    <w:p w14:paraId="24325DA3">
      <w:pPr>
        <w:spacing w:line="360" w:lineRule="auto"/>
        <w:contextualSpacing/>
        <w:jc w:val="both"/>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项目编号：</w:t>
      </w:r>
    </w:p>
    <w:p w14:paraId="5260A81D">
      <w:pPr>
        <w:spacing w:line="360" w:lineRule="auto"/>
        <w:contextualSpacing/>
        <w:jc w:val="both"/>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货币单位：元</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6"/>
        <w:gridCol w:w="3833"/>
        <w:gridCol w:w="2733"/>
      </w:tblGrid>
      <w:tr w14:paraId="67F6C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2596" w:type="dxa"/>
            <w:vAlign w:val="center"/>
          </w:tcPr>
          <w:p w14:paraId="54BDF921">
            <w:pPr>
              <w:pStyle w:val="42"/>
              <w:keepNext w:val="0"/>
              <w:keepLines w:val="0"/>
              <w:widowControl/>
              <w:suppressLineNumbers w:val="0"/>
              <w:spacing w:line="360" w:lineRule="auto"/>
              <w:contextualSpacing/>
              <w:jc w:val="center"/>
              <w:rPr>
                <w:rFonts w:hint="default" w:ascii="宋体" w:hAnsi="宋体"/>
                <w:bCs/>
                <w:color w:val="auto"/>
                <w:sz w:val="24"/>
                <w:szCs w:val="24"/>
                <w:highlight w:val="none"/>
                <w:vertAlign w:val="baseline"/>
                <w:lang w:val="en-US" w:eastAsia="zh-CN"/>
              </w:rPr>
            </w:pPr>
            <w:r>
              <w:rPr>
                <w:color w:val="auto"/>
                <w:highlight w:val="none"/>
              </w:rPr>
              <w:t>项目名称</w:t>
            </w:r>
          </w:p>
        </w:tc>
        <w:tc>
          <w:tcPr>
            <w:tcW w:w="3833" w:type="dxa"/>
            <w:vAlign w:val="center"/>
          </w:tcPr>
          <w:p w14:paraId="3BF97B8D">
            <w:pPr>
              <w:pStyle w:val="42"/>
              <w:keepNext w:val="0"/>
              <w:keepLines w:val="0"/>
              <w:widowControl/>
              <w:suppressLineNumbers w:val="0"/>
              <w:spacing w:line="360" w:lineRule="auto"/>
              <w:contextualSpacing/>
              <w:jc w:val="center"/>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rPr>
              <w:t>项目内容</w:t>
            </w:r>
          </w:p>
        </w:tc>
        <w:tc>
          <w:tcPr>
            <w:tcW w:w="2733" w:type="dxa"/>
            <w:vAlign w:val="center"/>
          </w:tcPr>
          <w:p w14:paraId="587935BD">
            <w:pPr>
              <w:pStyle w:val="42"/>
              <w:keepNext w:val="0"/>
              <w:keepLines w:val="0"/>
              <w:widowControl/>
              <w:suppressLineNumbers w:val="0"/>
              <w:spacing w:line="360" w:lineRule="auto"/>
              <w:contextualSpacing/>
              <w:jc w:val="center"/>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rPr>
              <w:t>单价（小写）</w:t>
            </w:r>
          </w:p>
        </w:tc>
      </w:tr>
      <w:tr w14:paraId="6AEC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2596" w:type="dxa"/>
            <w:vAlign w:val="center"/>
          </w:tcPr>
          <w:p w14:paraId="6A9F77C7">
            <w:pPr>
              <w:spacing w:line="360" w:lineRule="auto"/>
              <w:contextualSpacing/>
              <w:jc w:val="center"/>
              <w:rPr>
                <w:rFonts w:hint="default" w:ascii="宋体" w:hAnsi="宋体"/>
                <w:bCs/>
                <w:color w:val="auto"/>
                <w:sz w:val="24"/>
                <w:szCs w:val="24"/>
                <w:highlight w:val="none"/>
                <w:vertAlign w:val="baseline"/>
                <w:lang w:val="en-US" w:eastAsia="zh-CN"/>
              </w:rPr>
            </w:pPr>
          </w:p>
        </w:tc>
        <w:tc>
          <w:tcPr>
            <w:tcW w:w="3833" w:type="dxa"/>
            <w:vAlign w:val="center"/>
          </w:tcPr>
          <w:p w14:paraId="43090F41">
            <w:pPr>
              <w:spacing w:line="360" w:lineRule="auto"/>
              <w:contextualSpacing/>
              <w:jc w:val="center"/>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rPr>
              <w:t>详见投标文件</w:t>
            </w:r>
          </w:p>
        </w:tc>
        <w:tc>
          <w:tcPr>
            <w:tcW w:w="2733" w:type="dxa"/>
            <w:vAlign w:val="center"/>
          </w:tcPr>
          <w:p w14:paraId="52577D5A">
            <w:pPr>
              <w:spacing w:line="360" w:lineRule="auto"/>
              <w:contextualSpacing/>
              <w:jc w:val="center"/>
              <w:rPr>
                <w:rFonts w:hint="default" w:ascii="宋体" w:hAnsi="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元</w:t>
            </w:r>
          </w:p>
        </w:tc>
      </w:tr>
      <w:tr w14:paraId="46AB5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2596" w:type="dxa"/>
            <w:vAlign w:val="center"/>
          </w:tcPr>
          <w:p w14:paraId="711BA96C">
            <w:pPr>
              <w:spacing w:line="360" w:lineRule="auto"/>
              <w:contextualSpacing/>
              <w:jc w:val="center"/>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rPr>
              <w:t>总价（大写）：</w:t>
            </w:r>
          </w:p>
        </w:tc>
        <w:tc>
          <w:tcPr>
            <w:tcW w:w="3833" w:type="dxa"/>
            <w:vAlign w:val="center"/>
          </w:tcPr>
          <w:p w14:paraId="2C65EECF">
            <w:pPr>
              <w:spacing w:line="360" w:lineRule="auto"/>
              <w:contextualSpacing/>
              <w:jc w:val="center"/>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shd w:val="clear" w:fill="FFFFFF"/>
              </w:rPr>
              <w:t>金额大写</w:t>
            </w:r>
          </w:p>
        </w:tc>
        <w:tc>
          <w:tcPr>
            <w:tcW w:w="2733" w:type="dxa"/>
            <w:vAlign w:val="center"/>
          </w:tcPr>
          <w:p w14:paraId="6BAAC705">
            <w:pPr>
              <w:spacing w:line="360" w:lineRule="auto"/>
              <w:contextualSpacing/>
              <w:jc w:val="center"/>
              <w:rPr>
                <w:rFonts w:hint="default" w:ascii="宋体" w:hAnsi="宋体"/>
                <w:bCs/>
                <w:color w:val="auto"/>
                <w:sz w:val="24"/>
                <w:szCs w:val="24"/>
                <w:highlight w:val="none"/>
                <w:vertAlign w:val="baseline"/>
                <w:lang w:val="en-US" w:eastAsia="zh-CN"/>
              </w:rPr>
            </w:pPr>
          </w:p>
        </w:tc>
      </w:tr>
    </w:tbl>
    <w:p w14:paraId="306BA32A">
      <w:pPr>
        <w:spacing w:line="360" w:lineRule="auto"/>
        <w:contextualSpacing/>
        <w:jc w:val="both"/>
        <w:rPr>
          <w:rFonts w:hint="default" w:ascii="宋体" w:hAnsi="宋体"/>
          <w:bCs/>
          <w:color w:val="auto"/>
          <w:sz w:val="24"/>
          <w:szCs w:val="24"/>
          <w:highlight w:val="none"/>
          <w:lang w:val="en-US" w:eastAsia="zh-CN"/>
        </w:rPr>
      </w:pPr>
    </w:p>
    <w:p w14:paraId="364A36B9">
      <w:pPr>
        <w:spacing w:line="420" w:lineRule="auto"/>
        <w:rPr>
          <w:rFonts w:ascii="宋体" w:hAnsi="宋体"/>
          <w:color w:val="auto"/>
          <w:sz w:val="24"/>
          <w:szCs w:val="24"/>
          <w:highlight w:val="none"/>
        </w:rPr>
      </w:pPr>
      <w:r>
        <w:rPr>
          <w:rFonts w:ascii="宋体" w:hAnsi="宋体" w:cs="宋体"/>
          <w:color w:val="auto"/>
          <w:sz w:val="24"/>
          <w:szCs w:val="24"/>
          <w:highlight w:val="none"/>
        </w:rPr>
        <w:t>投标人名称：</w:t>
      </w:r>
      <w:r>
        <w:rPr>
          <w:rFonts w:ascii="宋体" w:hAnsi="宋体" w:cs="宋体"/>
          <w:color w:val="auto"/>
          <w:highlight w:val="none"/>
          <w:u w:val="single"/>
        </w:rPr>
        <w:t xml:space="preserve">                   </w:t>
      </w:r>
      <w:r>
        <w:rPr>
          <w:rFonts w:ascii="宋体" w:hAnsi="宋体" w:cs="宋体"/>
          <w:color w:val="auto"/>
          <w:sz w:val="24"/>
          <w:szCs w:val="24"/>
          <w:highlight w:val="none"/>
        </w:rPr>
        <w:t>（</w:t>
      </w:r>
      <w:r>
        <w:rPr>
          <w:rFonts w:hint="eastAsia" w:ascii="Arial" w:hAnsi="Arial" w:cs="Arial"/>
          <w:color w:val="auto"/>
          <w:sz w:val="22"/>
          <w:szCs w:val="22"/>
          <w:highlight w:val="none"/>
        </w:rPr>
        <w:t>加盖电子公章</w:t>
      </w:r>
      <w:r>
        <w:rPr>
          <w:rFonts w:ascii="宋体" w:hAnsi="宋体" w:cs="宋体"/>
          <w:color w:val="auto"/>
          <w:sz w:val="24"/>
          <w:szCs w:val="24"/>
          <w:highlight w:val="none"/>
        </w:rPr>
        <w:t>）：</w:t>
      </w:r>
    </w:p>
    <w:p w14:paraId="334CF906">
      <w:pPr>
        <w:spacing w:line="420" w:lineRule="auto"/>
        <w:rPr>
          <w:rFonts w:ascii="宋体" w:hAnsi="宋体" w:cs="宋体"/>
          <w:color w:val="auto"/>
          <w:sz w:val="24"/>
          <w:szCs w:val="24"/>
          <w:highlight w:val="none"/>
        </w:rPr>
      </w:pPr>
      <w:r>
        <w:rPr>
          <w:rFonts w:ascii="宋体" w:hAnsi="宋体" w:cs="宋体"/>
          <w:color w:val="auto"/>
          <w:sz w:val="24"/>
          <w:szCs w:val="24"/>
          <w:highlight w:val="none"/>
        </w:rPr>
        <w:t>法定代表人或委托代理人（签字或盖章）：</w:t>
      </w:r>
    </w:p>
    <w:p w14:paraId="1D61017B">
      <w:pPr>
        <w:spacing w:line="420" w:lineRule="auto"/>
        <w:rPr>
          <w:rFonts w:ascii="宋体" w:hAnsi="宋体" w:cs="宋体"/>
          <w:color w:val="auto"/>
          <w:sz w:val="24"/>
          <w:szCs w:val="24"/>
          <w:highlight w:val="none"/>
        </w:rPr>
      </w:pPr>
    </w:p>
    <w:p w14:paraId="2E5293F6">
      <w:pPr>
        <w:spacing w:line="420" w:lineRule="auto"/>
        <w:rPr>
          <w:rFonts w:ascii="宋体" w:hAnsi="宋体" w:cs="宋体"/>
          <w:color w:val="auto"/>
          <w:sz w:val="24"/>
          <w:szCs w:val="24"/>
          <w:highlight w:val="none"/>
        </w:rPr>
      </w:pPr>
    </w:p>
    <w:p w14:paraId="609262F0">
      <w:pPr>
        <w:spacing w:line="420" w:lineRule="auto"/>
        <w:rPr>
          <w:rFonts w:ascii="宋体" w:hAnsi="宋体" w:cs="宋体"/>
          <w:color w:val="auto"/>
          <w:sz w:val="24"/>
          <w:szCs w:val="24"/>
          <w:highlight w:val="none"/>
        </w:rPr>
      </w:pPr>
      <w:r>
        <w:rPr>
          <w:rFonts w:ascii="宋体" w:hAnsi="宋体" w:cs="宋体"/>
          <w:color w:val="auto"/>
          <w:sz w:val="24"/>
          <w:szCs w:val="24"/>
          <w:highlight w:val="none"/>
        </w:rPr>
        <w:t>日期：_____年___月___日</w:t>
      </w:r>
    </w:p>
    <w:p w14:paraId="53D2D8A4">
      <w:pPr>
        <w:rPr>
          <w:rFonts w:ascii="宋体" w:hAnsi="宋体" w:cs="宋体"/>
          <w:b/>
          <w:color w:val="auto"/>
          <w:sz w:val="28"/>
          <w:highlight w:val="none"/>
        </w:rPr>
      </w:pPr>
      <w:r>
        <w:rPr>
          <w:color w:val="auto"/>
          <w:highlight w:val="none"/>
        </w:rPr>
        <w:br w:type="page" w:clear="all"/>
      </w:r>
    </w:p>
    <w:p w14:paraId="0C1E26C5">
      <w:pPr>
        <w:jc w:val="center"/>
        <w:rPr>
          <w:rFonts w:ascii="宋体" w:hAnsi="宋体"/>
          <w:b/>
          <w:color w:val="auto"/>
          <w:sz w:val="36"/>
          <w:szCs w:val="36"/>
          <w:highlight w:val="none"/>
        </w:rPr>
      </w:pPr>
      <w:r>
        <w:rPr>
          <w:rFonts w:ascii="宋体" w:hAnsi="宋体"/>
          <w:b/>
          <w:color w:val="auto"/>
          <w:sz w:val="36"/>
          <w:szCs w:val="36"/>
          <w:highlight w:val="none"/>
        </w:rPr>
        <w:t xml:space="preserve"> 投标分项报价表</w:t>
      </w:r>
    </w:p>
    <w:tbl>
      <w:tblPr>
        <w:tblStyle w:val="47"/>
        <w:tblpPr w:leftFromText="180" w:rightFromText="180" w:vertAnchor="text" w:horzAnchor="page" w:tblpX="1560" w:tblpY="316"/>
        <w:tblOverlap w:val="never"/>
        <w:tblW w:w="102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3"/>
        <w:gridCol w:w="2344"/>
        <w:gridCol w:w="908"/>
        <w:gridCol w:w="756"/>
        <w:gridCol w:w="832"/>
        <w:gridCol w:w="832"/>
        <w:gridCol w:w="960"/>
        <w:gridCol w:w="1352"/>
        <w:gridCol w:w="1580"/>
      </w:tblGrid>
      <w:tr w14:paraId="39029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643" w:type="dxa"/>
            <w:tcBorders>
              <w:tl2br w:val="nil"/>
              <w:tr2bl w:val="nil"/>
            </w:tcBorders>
            <w:vAlign w:val="center"/>
          </w:tcPr>
          <w:p w14:paraId="4EDC5990">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2344" w:type="dxa"/>
            <w:tcBorders>
              <w:tl2br w:val="nil"/>
              <w:tr2bl w:val="nil"/>
            </w:tcBorders>
            <w:vAlign w:val="center"/>
          </w:tcPr>
          <w:p w14:paraId="021A5C7C">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设备名称</w:t>
            </w:r>
          </w:p>
        </w:tc>
        <w:tc>
          <w:tcPr>
            <w:tcW w:w="908" w:type="dxa"/>
            <w:tcBorders>
              <w:tl2br w:val="nil"/>
              <w:tr2bl w:val="nil"/>
            </w:tcBorders>
            <w:vAlign w:val="center"/>
          </w:tcPr>
          <w:p w14:paraId="174622CB">
            <w:pPr>
              <w:widowControl/>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cs="宋体"/>
                <w:b/>
                <w:bCs/>
                <w:color w:val="auto"/>
                <w:kern w:val="0"/>
                <w:sz w:val="24"/>
                <w:szCs w:val="24"/>
                <w:highlight w:val="none"/>
                <w:lang w:val="en-US" w:eastAsia="zh-CN" w:bidi="ar"/>
              </w:rPr>
              <w:t>品牌</w:t>
            </w:r>
          </w:p>
        </w:tc>
        <w:tc>
          <w:tcPr>
            <w:tcW w:w="756" w:type="dxa"/>
            <w:tcBorders>
              <w:tl2br w:val="nil"/>
              <w:tr2bl w:val="nil"/>
            </w:tcBorders>
            <w:vAlign w:val="center"/>
          </w:tcPr>
          <w:p w14:paraId="06BAE573">
            <w:pPr>
              <w:widowControl/>
              <w:jc w:val="center"/>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cs="宋体"/>
                <w:b/>
                <w:bCs/>
                <w:color w:val="auto"/>
                <w:kern w:val="0"/>
                <w:sz w:val="24"/>
                <w:szCs w:val="24"/>
                <w:highlight w:val="none"/>
                <w:lang w:val="en-US" w:eastAsia="zh-CN" w:bidi="ar"/>
              </w:rPr>
              <w:t>型号</w:t>
            </w:r>
          </w:p>
        </w:tc>
        <w:tc>
          <w:tcPr>
            <w:tcW w:w="832" w:type="dxa"/>
            <w:tcBorders>
              <w:tl2br w:val="nil"/>
              <w:tr2bl w:val="nil"/>
            </w:tcBorders>
            <w:vAlign w:val="center"/>
          </w:tcPr>
          <w:p w14:paraId="1B2E27F7">
            <w:pPr>
              <w:widowControl/>
              <w:jc w:val="center"/>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cs="宋体"/>
                <w:b/>
                <w:bCs/>
                <w:color w:val="auto"/>
                <w:kern w:val="0"/>
                <w:sz w:val="24"/>
                <w:szCs w:val="24"/>
                <w:highlight w:val="none"/>
                <w:lang w:val="en-US" w:eastAsia="zh-CN" w:bidi="ar"/>
              </w:rPr>
              <w:t>产地</w:t>
            </w:r>
          </w:p>
        </w:tc>
        <w:tc>
          <w:tcPr>
            <w:tcW w:w="832" w:type="dxa"/>
            <w:tcBorders>
              <w:tl2br w:val="nil"/>
              <w:tr2bl w:val="nil"/>
            </w:tcBorders>
            <w:vAlign w:val="center"/>
          </w:tcPr>
          <w:p w14:paraId="0D74B956">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数量</w:t>
            </w:r>
          </w:p>
        </w:tc>
        <w:tc>
          <w:tcPr>
            <w:tcW w:w="960" w:type="dxa"/>
            <w:tcBorders>
              <w:tl2br w:val="nil"/>
              <w:tr2bl w:val="nil"/>
            </w:tcBorders>
            <w:vAlign w:val="center"/>
          </w:tcPr>
          <w:p w14:paraId="03620FCE">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单位</w:t>
            </w:r>
          </w:p>
        </w:tc>
        <w:tc>
          <w:tcPr>
            <w:tcW w:w="1352" w:type="dxa"/>
            <w:tcBorders>
              <w:tl2br w:val="nil"/>
              <w:tr2bl w:val="nil"/>
            </w:tcBorders>
            <w:vAlign w:val="center"/>
          </w:tcPr>
          <w:p w14:paraId="322BFF5F">
            <w:pPr>
              <w:widowControl/>
              <w:jc w:val="center"/>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cs="宋体"/>
                <w:b/>
                <w:bCs/>
                <w:color w:val="auto"/>
                <w:kern w:val="0"/>
                <w:sz w:val="24"/>
                <w:szCs w:val="24"/>
                <w:highlight w:val="none"/>
                <w:lang w:val="en-US" w:eastAsia="zh-CN" w:bidi="ar"/>
              </w:rPr>
              <w:t>单价</w:t>
            </w:r>
          </w:p>
        </w:tc>
        <w:tc>
          <w:tcPr>
            <w:tcW w:w="1580" w:type="dxa"/>
            <w:tcBorders>
              <w:tl2br w:val="nil"/>
              <w:tr2bl w:val="nil"/>
            </w:tcBorders>
            <w:vAlign w:val="center"/>
          </w:tcPr>
          <w:p w14:paraId="6D367CB9">
            <w:pPr>
              <w:widowControl/>
              <w:jc w:val="center"/>
              <w:textAlignment w:val="center"/>
              <w:rPr>
                <w:rFonts w:hint="default" w:ascii="宋体" w:hAnsi="宋体" w:cs="宋体"/>
                <w:b/>
                <w:bCs/>
                <w:color w:val="auto"/>
                <w:kern w:val="0"/>
                <w:sz w:val="24"/>
                <w:szCs w:val="24"/>
                <w:highlight w:val="none"/>
                <w:lang w:val="en-US" w:eastAsia="zh-CN" w:bidi="ar"/>
              </w:rPr>
            </w:pPr>
            <w:r>
              <w:rPr>
                <w:rFonts w:hint="eastAsia" w:ascii="宋体" w:hAnsi="宋体" w:cs="宋体"/>
                <w:b/>
                <w:bCs/>
                <w:color w:val="auto"/>
                <w:kern w:val="0"/>
                <w:sz w:val="24"/>
                <w:szCs w:val="24"/>
                <w:highlight w:val="none"/>
                <w:lang w:val="en-US" w:eastAsia="zh-CN" w:bidi="ar"/>
              </w:rPr>
              <w:t>总价（元）</w:t>
            </w:r>
          </w:p>
        </w:tc>
      </w:tr>
      <w:tr w14:paraId="0EEB1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643" w:type="dxa"/>
            <w:tcBorders>
              <w:tl2br w:val="nil"/>
              <w:tr2bl w:val="nil"/>
            </w:tcBorders>
            <w:shd w:val="clear" w:color="auto" w:fill="FFFFFF"/>
            <w:vAlign w:val="center"/>
          </w:tcPr>
          <w:p w14:paraId="53CF8C74">
            <w:pPr>
              <w:widowControl/>
              <w:jc w:val="left"/>
              <w:textAlignment w:val="center"/>
              <w:rPr>
                <w:rFonts w:hint="eastAsia" w:ascii="宋体" w:hAnsi="宋体" w:eastAsia="宋体" w:cs="宋体"/>
                <w:b/>
                <w:bCs/>
                <w:color w:val="auto"/>
                <w:kern w:val="0"/>
                <w:sz w:val="24"/>
                <w:szCs w:val="24"/>
                <w:highlight w:val="none"/>
                <w:lang w:bidi="ar"/>
              </w:rPr>
            </w:pPr>
          </w:p>
        </w:tc>
        <w:tc>
          <w:tcPr>
            <w:tcW w:w="9564" w:type="dxa"/>
            <w:gridSpan w:val="8"/>
            <w:tcBorders>
              <w:tl2br w:val="nil"/>
              <w:tr2bl w:val="nil"/>
            </w:tcBorders>
            <w:shd w:val="clear" w:color="auto" w:fill="FFFFFF"/>
            <w:vAlign w:val="center"/>
          </w:tcPr>
          <w:p w14:paraId="7FD4598C">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一、常态化智慧录播系统</w:t>
            </w:r>
          </w:p>
        </w:tc>
      </w:tr>
      <w:tr w14:paraId="0028B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643" w:type="dxa"/>
            <w:tcBorders>
              <w:tl2br w:val="nil"/>
              <w:tr2bl w:val="nil"/>
            </w:tcBorders>
            <w:shd w:val="clear" w:color="auto" w:fill="FFFFFF"/>
            <w:vAlign w:val="center"/>
          </w:tcPr>
          <w:p w14:paraId="6AC1E76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2344" w:type="dxa"/>
            <w:tcBorders>
              <w:tl2br w:val="nil"/>
              <w:tr2bl w:val="nil"/>
            </w:tcBorders>
            <w:shd w:val="clear" w:color="auto" w:fill="FFFFFF"/>
            <w:vAlign w:val="center"/>
          </w:tcPr>
          <w:p w14:paraId="3608B84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AI智能录播主机(含管理控制系统)</w:t>
            </w:r>
          </w:p>
        </w:tc>
        <w:tc>
          <w:tcPr>
            <w:tcW w:w="908" w:type="dxa"/>
            <w:tcBorders>
              <w:tl2br w:val="nil"/>
              <w:tr2bl w:val="nil"/>
            </w:tcBorders>
            <w:shd w:val="clear" w:color="auto" w:fill="FFFFFF"/>
            <w:vAlign w:val="center"/>
          </w:tcPr>
          <w:p w14:paraId="69413E29">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5B82AD0D">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2DD1D0BD">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01EA290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56</w:t>
            </w:r>
          </w:p>
        </w:tc>
        <w:tc>
          <w:tcPr>
            <w:tcW w:w="960" w:type="dxa"/>
            <w:tcBorders>
              <w:tl2br w:val="nil"/>
              <w:tr2bl w:val="nil"/>
            </w:tcBorders>
            <w:shd w:val="clear" w:color="auto" w:fill="FFFFFF"/>
            <w:vAlign w:val="center"/>
          </w:tcPr>
          <w:p w14:paraId="3B66E2B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0C7951D7">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621554FD">
            <w:pPr>
              <w:widowControl/>
              <w:jc w:val="center"/>
              <w:textAlignment w:val="center"/>
              <w:rPr>
                <w:rFonts w:hint="eastAsia" w:ascii="宋体" w:hAnsi="宋体" w:eastAsia="宋体" w:cs="宋体"/>
                <w:color w:val="auto"/>
                <w:kern w:val="0"/>
                <w:sz w:val="24"/>
                <w:szCs w:val="24"/>
                <w:highlight w:val="none"/>
                <w:lang w:bidi="ar"/>
              </w:rPr>
            </w:pPr>
          </w:p>
        </w:tc>
      </w:tr>
      <w:tr w14:paraId="38149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643" w:type="dxa"/>
            <w:tcBorders>
              <w:tl2br w:val="nil"/>
              <w:tr2bl w:val="nil"/>
            </w:tcBorders>
            <w:shd w:val="clear" w:color="auto" w:fill="FFFFFF"/>
            <w:vAlign w:val="center"/>
          </w:tcPr>
          <w:p w14:paraId="1DFB576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2344" w:type="dxa"/>
            <w:tcBorders>
              <w:tl2br w:val="nil"/>
              <w:tr2bl w:val="nil"/>
            </w:tcBorders>
            <w:shd w:val="clear" w:color="auto" w:fill="FFFFFF"/>
            <w:vAlign w:val="center"/>
          </w:tcPr>
          <w:p w14:paraId="504D4DD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4K教师摄像机（含教师摄像机图像处理系统）</w:t>
            </w:r>
          </w:p>
        </w:tc>
        <w:tc>
          <w:tcPr>
            <w:tcW w:w="908" w:type="dxa"/>
            <w:tcBorders>
              <w:tl2br w:val="nil"/>
              <w:tr2bl w:val="nil"/>
            </w:tcBorders>
            <w:shd w:val="clear" w:color="auto" w:fill="FFFFFF"/>
            <w:vAlign w:val="center"/>
          </w:tcPr>
          <w:p w14:paraId="403F0D4A">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23EB80D3">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6F08B7F8">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6AAE805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56</w:t>
            </w:r>
          </w:p>
        </w:tc>
        <w:tc>
          <w:tcPr>
            <w:tcW w:w="960" w:type="dxa"/>
            <w:tcBorders>
              <w:tl2br w:val="nil"/>
              <w:tr2bl w:val="nil"/>
            </w:tcBorders>
            <w:shd w:val="clear" w:color="auto" w:fill="FFFFFF"/>
            <w:vAlign w:val="center"/>
          </w:tcPr>
          <w:p w14:paraId="347D978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52" w:type="dxa"/>
            <w:tcBorders>
              <w:tl2br w:val="nil"/>
              <w:tr2bl w:val="nil"/>
            </w:tcBorders>
            <w:shd w:val="clear" w:color="auto" w:fill="FFFFFF"/>
            <w:vAlign w:val="center"/>
          </w:tcPr>
          <w:p w14:paraId="4C00DEA6">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5FE38CF9">
            <w:pPr>
              <w:widowControl/>
              <w:jc w:val="center"/>
              <w:textAlignment w:val="center"/>
              <w:rPr>
                <w:rFonts w:hint="eastAsia" w:ascii="宋体" w:hAnsi="宋体" w:eastAsia="宋体" w:cs="宋体"/>
                <w:color w:val="auto"/>
                <w:kern w:val="0"/>
                <w:sz w:val="24"/>
                <w:szCs w:val="24"/>
                <w:highlight w:val="none"/>
                <w:lang w:bidi="ar"/>
              </w:rPr>
            </w:pPr>
          </w:p>
        </w:tc>
      </w:tr>
      <w:tr w14:paraId="16AFB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643" w:type="dxa"/>
            <w:tcBorders>
              <w:tl2br w:val="nil"/>
              <w:tr2bl w:val="nil"/>
            </w:tcBorders>
            <w:shd w:val="clear" w:color="auto" w:fill="FFFFFF"/>
            <w:vAlign w:val="center"/>
          </w:tcPr>
          <w:p w14:paraId="06C0069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2344" w:type="dxa"/>
            <w:tcBorders>
              <w:tl2br w:val="nil"/>
              <w:tr2bl w:val="nil"/>
            </w:tcBorders>
            <w:shd w:val="clear" w:color="auto" w:fill="FFFFFF"/>
            <w:vAlign w:val="center"/>
          </w:tcPr>
          <w:p w14:paraId="05AD2B4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学生摄像机（含学生摄像机图像处理系统）</w:t>
            </w:r>
          </w:p>
        </w:tc>
        <w:tc>
          <w:tcPr>
            <w:tcW w:w="908" w:type="dxa"/>
            <w:tcBorders>
              <w:tl2br w:val="nil"/>
              <w:tr2bl w:val="nil"/>
            </w:tcBorders>
            <w:shd w:val="clear" w:color="auto" w:fill="FFFFFF"/>
            <w:vAlign w:val="center"/>
          </w:tcPr>
          <w:p w14:paraId="2F761EE4">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6F2101EE">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19278AFF">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6F1431F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56</w:t>
            </w:r>
          </w:p>
        </w:tc>
        <w:tc>
          <w:tcPr>
            <w:tcW w:w="960" w:type="dxa"/>
            <w:tcBorders>
              <w:tl2br w:val="nil"/>
              <w:tr2bl w:val="nil"/>
            </w:tcBorders>
            <w:shd w:val="clear" w:color="auto" w:fill="FFFFFF"/>
            <w:vAlign w:val="center"/>
          </w:tcPr>
          <w:p w14:paraId="4BE6F16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52" w:type="dxa"/>
            <w:tcBorders>
              <w:tl2br w:val="nil"/>
              <w:tr2bl w:val="nil"/>
            </w:tcBorders>
            <w:shd w:val="clear" w:color="auto" w:fill="FFFFFF"/>
            <w:vAlign w:val="center"/>
          </w:tcPr>
          <w:p w14:paraId="5E4A7B0A">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1C6DAB99">
            <w:pPr>
              <w:widowControl/>
              <w:jc w:val="center"/>
              <w:textAlignment w:val="center"/>
              <w:rPr>
                <w:rFonts w:hint="eastAsia" w:ascii="宋体" w:hAnsi="宋体" w:eastAsia="宋体" w:cs="宋体"/>
                <w:color w:val="auto"/>
                <w:kern w:val="0"/>
                <w:sz w:val="24"/>
                <w:szCs w:val="24"/>
                <w:highlight w:val="none"/>
                <w:lang w:bidi="ar"/>
              </w:rPr>
            </w:pPr>
          </w:p>
        </w:tc>
      </w:tr>
      <w:tr w14:paraId="06304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2F1D7AF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2344" w:type="dxa"/>
            <w:tcBorders>
              <w:tl2br w:val="nil"/>
              <w:tr2bl w:val="nil"/>
            </w:tcBorders>
            <w:shd w:val="clear" w:color="auto" w:fill="FFFFFF"/>
            <w:vAlign w:val="center"/>
          </w:tcPr>
          <w:p w14:paraId="1C7A13B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数字音频处理器</w:t>
            </w:r>
          </w:p>
        </w:tc>
        <w:tc>
          <w:tcPr>
            <w:tcW w:w="908" w:type="dxa"/>
            <w:tcBorders>
              <w:tl2br w:val="nil"/>
              <w:tr2bl w:val="nil"/>
            </w:tcBorders>
            <w:shd w:val="clear" w:color="auto" w:fill="FFFFFF"/>
            <w:vAlign w:val="center"/>
          </w:tcPr>
          <w:p w14:paraId="69241719">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7A1E8CAD">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1FCC5254">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3C2CC7B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56</w:t>
            </w:r>
          </w:p>
        </w:tc>
        <w:tc>
          <w:tcPr>
            <w:tcW w:w="960" w:type="dxa"/>
            <w:tcBorders>
              <w:tl2br w:val="nil"/>
              <w:tr2bl w:val="nil"/>
            </w:tcBorders>
            <w:shd w:val="clear" w:color="auto" w:fill="FFFFFF"/>
            <w:vAlign w:val="center"/>
          </w:tcPr>
          <w:p w14:paraId="76893DC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48160EDC">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10BBB5B6">
            <w:pPr>
              <w:widowControl/>
              <w:jc w:val="center"/>
              <w:textAlignment w:val="center"/>
              <w:rPr>
                <w:rFonts w:hint="eastAsia" w:ascii="宋体" w:hAnsi="宋体" w:eastAsia="宋体" w:cs="宋体"/>
                <w:color w:val="auto"/>
                <w:kern w:val="0"/>
                <w:sz w:val="24"/>
                <w:szCs w:val="24"/>
                <w:highlight w:val="none"/>
                <w:lang w:bidi="ar"/>
              </w:rPr>
            </w:pPr>
          </w:p>
        </w:tc>
      </w:tr>
      <w:tr w14:paraId="0DAD2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3DF3E97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2344" w:type="dxa"/>
            <w:tcBorders>
              <w:tl2br w:val="nil"/>
              <w:tr2bl w:val="nil"/>
            </w:tcBorders>
            <w:shd w:val="clear" w:color="auto" w:fill="FFFFFF"/>
            <w:vAlign w:val="center"/>
          </w:tcPr>
          <w:p w14:paraId="46D258D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音箱</w:t>
            </w:r>
          </w:p>
        </w:tc>
        <w:tc>
          <w:tcPr>
            <w:tcW w:w="908" w:type="dxa"/>
            <w:tcBorders>
              <w:tl2br w:val="nil"/>
              <w:tr2bl w:val="nil"/>
            </w:tcBorders>
            <w:vAlign w:val="center"/>
          </w:tcPr>
          <w:p w14:paraId="49A3965F">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vAlign w:val="center"/>
          </w:tcPr>
          <w:p w14:paraId="1DA28C2F">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vAlign w:val="center"/>
          </w:tcPr>
          <w:p w14:paraId="498A762D">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vAlign w:val="center"/>
          </w:tcPr>
          <w:p w14:paraId="73A930A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56</w:t>
            </w:r>
          </w:p>
        </w:tc>
        <w:tc>
          <w:tcPr>
            <w:tcW w:w="960" w:type="dxa"/>
            <w:tcBorders>
              <w:tl2br w:val="nil"/>
              <w:tr2bl w:val="nil"/>
            </w:tcBorders>
            <w:vAlign w:val="center"/>
          </w:tcPr>
          <w:p w14:paraId="7C3EB5E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对</w:t>
            </w:r>
          </w:p>
        </w:tc>
        <w:tc>
          <w:tcPr>
            <w:tcW w:w="1352" w:type="dxa"/>
            <w:tcBorders>
              <w:tl2br w:val="nil"/>
              <w:tr2bl w:val="nil"/>
            </w:tcBorders>
            <w:vAlign w:val="center"/>
          </w:tcPr>
          <w:p w14:paraId="2AAD89DD">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vAlign w:val="center"/>
          </w:tcPr>
          <w:p w14:paraId="2E06E030">
            <w:pPr>
              <w:widowControl/>
              <w:jc w:val="center"/>
              <w:textAlignment w:val="center"/>
              <w:rPr>
                <w:rFonts w:hint="eastAsia" w:ascii="宋体" w:hAnsi="宋体" w:eastAsia="宋体" w:cs="宋体"/>
                <w:color w:val="auto"/>
                <w:kern w:val="0"/>
                <w:sz w:val="24"/>
                <w:szCs w:val="24"/>
                <w:highlight w:val="none"/>
                <w:lang w:bidi="ar"/>
              </w:rPr>
            </w:pPr>
          </w:p>
        </w:tc>
      </w:tr>
      <w:tr w14:paraId="086BA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24173D7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2344" w:type="dxa"/>
            <w:tcBorders>
              <w:tl2br w:val="nil"/>
              <w:tr2bl w:val="nil"/>
            </w:tcBorders>
            <w:shd w:val="clear" w:color="auto" w:fill="FFFFFF"/>
            <w:vAlign w:val="center"/>
          </w:tcPr>
          <w:p w14:paraId="3EB3FB9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教师吊麦</w:t>
            </w:r>
          </w:p>
        </w:tc>
        <w:tc>
          <w:tcPr>
            <w:tcW w:w="908" w:type="dxa"/>
            <w:tcBorders>
              <w:tl2br w:val="nil"/>
              <w:tr2bl w:val="nil"/>
            </w:tcBorders>
            <w:vAlign w:val="center"/>
          </w:tcPr>
          <w:p w14:paraId="0652842F">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vAlign w:val="center"/>
          </w:tcPr>
          <w:p w14:paraId="68F53688">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vAlign w:val="center"/>
          </w:tcPr>
          <w:p w14:paraId="460CF719">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vAlign w:val="center"/>
          </w:tcPr>
          <w:p w14:paraId="1EB91A5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56</w:t>
            </w:r>
          </w:p>
        </w:tc>
        <w:tc>
          <w:tcPr>
            <w:tcW w:w="960" w:type="dxa"/>
            <w:tcBorders>
              <w:tl2br w:val="nil"/>
              <w:tr2bl w:val="nil"/>
            </w:tcBorders>
            <w:vAlign w:val="center"/>
          </w:tcPr>
          <w:p w14:paraId="7DA9828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支</w:t>
            </w:r>
          </w:p>
        </w:tc>
        <w:tc>
          <w:tcPr>
            <w:tcW w:w="1352" w:type="dxa"/>
            <w:tcBorders>
              <w:tl2br w:val="nil"/>
              <w:tr2bl w:val="nil"/>
            </w:tcBorders>
            <w:vAlign w:val="center"/>
          </w:tcPr>
          <w:p w14:paraId="4B089341">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vAlign w:val="center"/>
          </w:tcPr>
          <w:p w14:paraId="00B8FA48">
            <w:pPr>
              <w:widowControl/>
              <w:jc w:val="center"/>
              <w:textAlignment w:val="center"/>
              <w:rPr>
                <w:rFonts w:hint="eastAsia" w:ascii="宋体" w:hAnsi="宋体" w:eastAsia="宋体" w:cs="宋体"/>
                <w:color w:val="auto"/>
                <w:kern w:val="0"/>
                <w:sz w:val="24"/>
                <w:szCs w:val="24"/>
                <w:highlight w:val="none"/>
                <w:lang w:bidi="ar"/>
              </w:rPr>
            </w:pPr>
          </w:p>
        </w:tc>
      </w:tr>
      <w:tr w14:paraId="7B27E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5ED04B9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2344" w:type="dxa"/>
            <w:tcBorders>
              <w:tl2br w:val="nil"/>
              <w:tr2bl w:val="nil"/>
            </w:tcBorders>
            <w:shd w:val="clear" w:color="auto" w:fill="FFFFFF"/>
            <w:vAlign w:val="center"/>
          </w:tcPr>
          <w:p w14:paraId="2D07C44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学生吊麦</w:t>
            </w:r>
          </w:p>
        </w:tc>
        <w:tc>
          <w:tcPr>
            <w:tcW w:w="908" w:type="dxa"/>
            <w:tcBorders>
              <w:tl2br w:val="nil"/>
              <w:tr2bl w:val="nil"/>
            </w:tcBorders>
            <w:vAlign w:val="center"/>
          </w:tcPr>
          <w:p w14:paraId="27CC4ADA">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vAlign w:val="center"/>
          </w:tcPr>
          <w:p w14:paraId="549CB29F">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vAlign w:val="center"/>
          </w:tcPr>
          <w:p w14:paraId="5908A360">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vAlign w:val="center"/>
          </w:tcPr>
          <w:p w14:paraId="2C9CF0E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56</w:t>
            </w:r>
          </w:p>
        </w:tc>
        <w:tc>
          <w:tcPr>
            <w:tcW w:w="960" w:type="dxa"/>
            <w:tcBorders>
              <w:tl2br w:val="nil"/>
              <w:tr2bl w:val="nil"/>
            </w:tcBorders>
            <w:noWrap/>
            <w:vAlign w:val="center"/>
          </w:tcPr>
          <w:p w14:paraId="1EE73FE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w:t>
            </w:r>
          </w:p>
        </w:tc>
        <w:tc>
          <w:tcPr>
            <w:tcW w:w="1352" w:type="dxa"/>
            <w:tcBorders>
              <w:tl2br w:val="nil"/>
              <w:tr2bl w:val="nil"/>
            </w:tcBorders>
            <w:noWrap/>
            <w:vAlign w:val="center"/>
          </w:tcPr>
          <w:p w14:paraId="4B9D9291">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noWrap/>
            <w:vAlign w:val="center"/>
          </w:tcPr>
          <w:p w14:paraId="2E8EC318">
            <w:pPr>
              <w:widowControl/>
              <w:jc w:val="center"/>
              <w:textAlignment w:val="center"/>
              <w:rPr>
                <w:rFonts w:hint="eastAsia" w:ascii="宋体" w:hAnsi="宋体" w:eastAsia="宋体" w:cs="宋体"/>
                <w:color w:val="auto"/>
                <w:kern w:val="0"/>
                <w:sz w:val="24"/>
                <w:szCs w:val="24"/>
                <w:highlight w:val="none"/>
                <w:lang w:bidi="ar"/>
              </w:rPr>
            </w:pPr>
          </w:p>
        </w:tc>
      </w:tr>
      <w:tr w14:paraId="31D27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4AE82AB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w:t>
            </w:r>
          </w:p>
        </w:tc>
        <w:tc>
          <w:tcPr>
            <w:tcW w:w="2344" w:type="dxa"/>
            <w:tcBorders>
              <w:tl2br w:val="nil"/>
              <w:tr2bl w:val="nil"/>
            </w:tcBorders>
            <w:shd w:val="clear" w:color="auto" w:fill="FFFFFF"/>
            <w:vAlign w:val="center"/>
          </w:tcPr>
          <w:p w14:paraId="5EE201F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线材</w:t>
            </w:r>
          </w:p>
        </w:tc>
        <w:tc>
          <w:tcPr>
            <w:tcW w:w="908" w:type="dxa"/>
            <w:tcBorders>
              <w:tl2br w:val="nil"/>
              <w:tr2bl w:val="nil"/>
            </w:tcBorders>
            <w:vAlign w:val="center"/>
          </w:tcPr>
          <w:p w14:paraId="7CE59F31">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vAlign w:val="center"/>
          </w:tcPr>
          <w:p w14:paraId="59864065">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vAlign w:val="center"/>
          </w:tcPr>
          <w:p w14:paraId="6B719C2F">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vAlign w:val="center"/>
          </w:tcPr>
          <w:p w14:paraId="429EBED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56</w:t>
            </w:r>
          </w:p>
        </w:tc>
        <w:tc>
          <w:tcPr>
            <w:tcW w:w="960" w:type="dxa"/>
            <w:tcBorders>
              <w:tl2br w:val="nil"/>
              <w:tr2bl w:val="nil"/>
            </w:tcBorders>
            <w:vAlign w:val="center"/>
          </w:tcPr>
          <w:p w14:paraId="2FEC8E5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批</w:t>
            </w:r>
          </w:p>
        </w:tc>
        <w:tc>
          <w:tcPr>
            <w:tcW w:w="1352" w:type="dxa"/>
            <w:tcBorders>
              <w:tl2br w:val="nil"/>
              <w:tr2bl w:val="nil"/>
            </w:tcBorders>
            <w:vAlign w:val="center"/>
          </w:tcPr>
          <w:p w14:paraId="56E1ADC4">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vAlign w:val="center"/>
          </w:tcPr>
          <w:p w14:paraId="7FB6276B">
            <w:pPr>
              <w:widowControl/>
              <w:jc w:val="center"/>
              <w:textAlignment w:val="center"/>
              <w:rPr>
                <w:rFonts w:hint="eastAsia" w:ascii="宋体" w:hAnsi="宋体" w:eastAsia="宋体" w:cs="宋体"/>
                <w:color w:val="auto"/>
                <w:kern w:val="0"/>
                <w:sz w:val="24"/>
                <w:szCs w:val="24"/>
                <w:highlight w:val="none"/>
                <w:lang w:bidi="ar"/>
              </w:rPr>
            </w:pPr>
          </w:p>
        </w:tc>
      </w:tr>
      <w:tr w14:paraId="6E450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718F8D1E">
            <w:pPr>
              <w:widowControl/>
              <w:jc w:val="left"/>
              <w:textAlignment w:val="center"/>
              <w:rPr>
                <w:rFonts w:hint="eastAsia" w:ascii="宋体" w:hAnsi="宋体" w:eastAsia="宋体" w:cs="宋体"/>
                <w:b/>
                <w:bCs/>
                <w:color w:val="auto"/>
                <w:kern w:val="0"/>
                <w:sz w:val="24"/>
                <w:szCs w:val="24"/>
                <w:highlight w:val="none"/>
                <w:lang w:bidi="ar"/>
              </w:rPr>
            </w:pPr>
          </w:p>
        </w:tc>
        <w:tc>
          <w:tcPr>
            <w:tcW w:w="9564" w:type="dxa"/>
            <w:gridSpan w:val="8"/>
            <w:tcBorders>
              <w:tl2br w:val="nil"/>
              <w:tr2bl w:val="nil"/>
            </w:tcBorders>
            <w:shd w:val="clear" w:color="auto" w:fill="FFFFFF"/>
            <w:vAlign w:val="center"/>
          </w:tcPr>
          <w:p w14:paraId="31178142">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二、AI精品智慧录播系统</w:t>
            </w:r>
          </w:p>
        </w:tc>
      </w:tr>
      <w:tr w14:paraId="7BF7E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50C2CB7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2344" w:type="dxa"/>
            <w:tcBorders>
              <w:tl2br w:val="nil"/>
              <w:tr2bl w:val="nil"/>
            </w:tcBorders>
            <w:shd w:val="clear" w:color="auto" w:fill="FFFFFF"/>
            <w:vAlign w:val="center"/>
          </w:tcPr>
          <w:p w14:paraId="13451F8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4K AI音视频终端</w:t>
            </w:r>
          </w:p>
        </w:tc>
        <w:tc>
          <w:tcPr>
            <w:tcW w:w="908" w:type="dxa"/>
            <w:tcBorders>
              <w:tl2br w:val="nil"/>
              <w:tr2bl w:val="nil"/>
            </w:tcBorders>
            <w:shd w:val="clear" w:color="auto" w:fill="FFFFFF"/>
            <w:vAlign w:val="center"/>
          </w:tcPr>
          <w:p w14:paraId="224524AA">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1F48C2F7">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12C1ED1D">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3EDBA0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64AB54D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4A2DA819">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4C61ED32">
            <w:pPr>
              <w:widowControl/>
              <w:jc w:val="center"/>
              <w:textAlignment w:val="center"/>
              <w:rPr>
                <w:rFonts w:hint="eastAsia" w:ascii="宋体" w:hAnsi="宋体" w:eastAsia="宋体" w:cs="宋体"/>
                <w:color w:val="auto"/>
                <w:kern w:val="0"/>
                <w:sz w:val="24"/>
                <w:szCs w:val="24"/>
                <w:highlight w:val="none"/>
                <w:lang w:bidi="ar"/>
              </w:rPr>
            </w:pPr>
          </w:p>
        </w:tc>
      </w:tr>
      <w:tr w14:paraId="069B0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4088842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2344" w:type="dxa"/>
            <w:tcBorders>
              <w:tl2br w:val="nil"/>
              <w:tr2bl w:val="nil"/>
            </w:tcBorders>
            <w:shd w:val="clear" w:color="auto" w:fill="FFFFFF"/>
            <w:vAlign w:val="center"/>
          </w:tcPr>
          <w:p w14:paraId="46778A8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专业管理控制系统</w:t>
            </w:r>
          </w:p>
        </w:tc>
        <w:tc>
          <w:tcPr>
            <w:tcW w:w="908" w:type="dxa"/>
            <w:tcBorders>
              <w:tl2br w:val="nil"/>
              <w:tr2bl w:val="nil"/>
            </w:tcBorders>
            <w:shd w:val="clear" w:color="auto" w:fill="FFFFFF"/>
            <w:vAlign w:val="center"/>
          </w:tcPr>
          <w:p w14:paraId="4216E7F6">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6299F2E6">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225D5D95">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18297E0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557E9FC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52" w:type="dxa"/>
            <w:tcBorders>
              <w:tl2br w:val="nil"/>
              <w:tr2bl w:val="nil"/>
            </w:tcBorders>
            <w:shd w:val="clear" w:color="auto" w:fill="FFFFFF"/>
            <w:vAlign w:val="center"/>
          </w:tcPr>
          <w:p w14:paraId="18AE38D0">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566D06D2">
            <w:pPr>
              <w:widowControl/>
              <w:jc w:val="center"/>
              <w:textAlignment w:val="center"/>
              <w:rPr>
                <w:rFonts w:hint="eastAsia" w:ascii="宋体" w:hAnsi="宋体" w:eastAsia="宋体" w:cs="宋体"/>
                <w:color w:val="auto"/>
                <w:kern w:val="0"/>
                <w:sz w:val="24"/>
                <w:szCs w:val="24"/>
                <w:highlight w:val="none"/>
                <w:lang w:bidi="ar"/>
              </w:rPr>
            </w:pPr>
          </w:p>
        </w:tc>
      </w:tr>
      <w:tr w14:paraId="14DD8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5AD50FA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2344" w:type="dxa"/>
            <w:tcBorders>
              <w:tl2br w:val="nil"/>
              <w:tr2bl w:val="nil"/>
            </w:tcBorders>
            <w:shd w:val="clear" w:color="auto" w:fill="FFFFFF"/>
            <w:vAlign w:val="center"/>
          </w:tcPr>
          <w:p w14:paraId="2F89795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AI 跟踪分析系统</w:t>
            </w:r>
          </w:p>
        </w:tc>
        <w:tc>
          <w:tcPr>
            <w:tcW w:w="908" w:type="dxa"/>
            <w:tcBorders>
              <w:tl2br w:val="nil"/>
              <w:tr2bl w:val="nil"/>
            </w:tcBorders>
            <w:shd w:val="clear" w:color="auto" w:fill="FFFFFF"/>
            <w:vAlign w:val="center"/>
          </w:tcPr>
          <w:p w14:paraId="09CCDD3A">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25929BB5">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0B5659D4">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68C0F35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742BE3C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52" w:type="dxa"/>
            <w:tcBorders>
              <w:tl2br w:val="nil"/>
              <w:tr2bl w:val="nil"/>
            </w:tcBorders>
            <w:shd w:val="clear" w:color="auto" w:fill="FFFFFF"/>
            <w:vAlign w:val="center"/>
          </w:tcPr>
          <w:p w14:paraId="2F3CD517">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7D40D1B6">
            <w:pPr>
              <w:widowControl/>
              <w:jc w:val="center"/>
              <w:textAlignment w:val="center"/>
              <w:rPr>
                <w:rFonts w:hint="eastAsia" w:ascii="宋体" w:hAnsi="宋体" w:eastAsia="宋体" w:cs="宋体"/>
                <w:color w:val="auto"/>
                <w:kern w:val="0"/>
                <w:sz w:val="24"/>
                <w:szCs w:val="24"/>
                <w:highlight w:val="none"/>
                <w:lang w:bidi="ar"/>
              </w:rPr>
            </w:pPr>
          </w:p>
        </w:tc>
      </w:tr>
      <w:tr w14:paraId="3A461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643" w:type="dxa"/>
            <w:tcBorders>
              <w:tl2br w:val="nil"/>
              <w:tr2bl w:val="nil"/>
            </w:tcBorders>
            <w:shd w:val="clear" w:color="auto" w:fill="FFFFFF"/>
            <w:vAlign w:val="center"/>
          </w:tcPr>
          <w:p w14:paraId="0C6E86C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2344" w:type="dxa"/>
            <w:tcBorders>
              <w:tl2br w:val="nil"/>
              <w:tr2bl w:val="nil"/>
            </w:tcBorders>
            <w:shd w:val="clear" w:color="auto" w:fill="FFFFFF"/>
            <w:vAlign w:val="center"/>
          </w:tcPr>
          <w:p w14:paraId="6AF3925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机械云台摄像机（含云台图像处理系统）</w:t>
            </w:r>
          </w:p>
        </w:tc>
        <w:tc>
          <w:tcPr>
            <w:tcW w:w="908" w:type="dxa"/>
            <w:tcBorders>
              <w:tl2br w:val="nil"/>
              <w:tr2bl w:val="nil"/>
            </w:tcBorders>
            <w:shd w:val="clear" w:color="auto" w:fill="FFFFFF"/>
            <w:vAlign w:val="center"/>
          </w:tcPr>
          <w:p w14:paraId="56BCE0D5">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4953DD9C">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0831B554">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6DE31BE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960" w:type="dxa"/>
            <w:tcBorders>
              <w:tl2br w:val="nil"/>
              <w:tr2bl w:val="nil"/>
            </w:tcBorders>
            <w:shd w:val="clear" w:color="auto" w:fill="FFFFFF"/>
            <w:vAlign w:val="center"/>
          </w:tcPr>
          <w:p w14:paraId="7F3E3AF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6F3DFC6B">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20DAA140">
            <w:pPr>
              <w:widowControl/>
              <w:jc w:val="center"/>
              <w:textAlignment w:val="center"/>
              <w:rPr>
                <w:rFonts w:hint="eastAsia" w:ascii="宋体" w:hAnsi="宋体" w:eastAsia="宋体" w:cs="宋体"/>
                <w:color w:val="auto"/>
                <w:kern w:val="0"/>
                <w:sz w:val="24"/>
                <w:szCs w:val="24"/>
                <w:highlight w:val="none"/>
                <w:lang w:bidi="ar"/>
              </w:rPr>
            </w:pPr>
          </w:p>
        </w:tc>
      </w:tr>
      <w:tr w14:paraId="5070B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224BDA2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2344" w:type="dxa"/>
            <w:tcBorders>
              <w:tl2br w:val="nil"/>
              <w:tr2bl w:val="nil"/>
            </w:tcBorders>
            <w:shd w:val="clear" w:color="auto" w:fill="FFFFFF"/>
            <w:vAlign w:val="center"/>
          </w:tcPr>
          <w:p w14:paraId="791EF50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录制面板</w:t>
            </w:r>
          </w:p>
        </w:tc>
        <w:tc>
          <w:tcPr>
            <w:tcW w:w="908" w:type="dxa"/>
            <w:tcBorders>
              <w:tl2br w:val="nil"/>
              <w:tr2bl w:val="nil"/>
            </w:tcBorders>
            <w:shd w:val="clear" w:color="auto" w:fill="FFFFFF"/>
            <w:vAlign w:val="center"/>
          </w:tcPr>
          <w:p w14:paraId="4FB8ABB9">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5F55864D">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2C124749">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4558F92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07D07EE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1980EC24">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00CE089A">
            <w:pPr>
              <w:widowControl/>
              <w:jc w:val="center"/>
              <w:textAlignment w:val="center"/>
              <w:rPr>
                <w:rFonts w:hint="eastAsia" w:ascii="宋体" w:hAnsi="宋体" w:eastAsia="宋体" w:cs="宋体"/>
                <w:color w:val="auto"/>
                <w:kern w:val="0"/>
                <w:sz w:val="24"/>
                <w:szCs w:val="24"/>
                <w:highlight w:val="none"/>
                <w:lang w:bidi="ar"/>
              </w:rPr>
            </w:pPr>
          </w:p>
        </w:tc>
      </w:tr>
      <w:tr w14:paraId="4AD4B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53C7ED7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2344" w:type="dxa"/>
            <w:tcBorders>
              <w:tl2br w:val="nil"/>
              <w:tr2bl w:val="nil"/>
            </w:tcBorders>
            <w:shd w:val="clear" w:color="auto" w:fill="FFFFFF"/>
            <w:vAlign w:val="center"/>
          </w:tcPr>
          <w:p w14:paraId="183AED7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电源管理器</w:t>
            </w:r>
          </w:p>
        </w:tc>
        <w:tc>
          <w:tcPr>
            <w:tcW w:w="908" w:type="dxa"/>
            <w:tcBorders>
              <w:tl2br w:val="nil"/>
              <w:tr2bl w:val="nil"/>
            </w:tcBorders>
            <w:shd w:val="clear" w:color="auto" w:fill="FFFFFF"/>
            <w:vAlign w:val="center"/>
          </w:tcPr>
          <w:p w14:paraId="36AA0D44">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59D3817E">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5329D657">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23B241E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3D6D93B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7739FDCE">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29CFF237">
            <w:pPr>
              <w:widowControl/>
              <w:jc w:val="center"/>
              <w:textAlignment w:val="center"/>
              <w:rPr>
                <w:rFonts w:hint="eastAsia" w:ascii="宋体" w:hAnsi="宋体" w:eastAsia="宋体" w:cs="宋体"/>
                <w:color w:val="auto"/>
                <w:kern w:val="0"/>
                <w:sz w:val="24"/>
                <w:szCs w:val="24"/>
                <w:highlight w:val="none"/>
                <w:lang w:bidi="ar"/>
              </w:rPr>
            </w:pPr>
          </w:p>
        </w:tc>
      </w:tr>
      <w:tr w14:paraId="1300B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63F0787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2344" w:type="dxa"/>
            <w:tcBorders>
              <w:tl2br w:val="nil"/>
              <w:tr2bl w:val="nil"/>
            </w:tcBorders>
            <w:shd w:val="clear" w:color="auto" w:fill="FFFFFF"/>
            <w:vAlign w:val="center"/>
          </w:tcPr>
          <w:p w14:paraId="14DDEB7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音频处理器</w:t>
            </w:r>
          </w:p>
        </w:tc>
        <w:tc>
          <w:tcPr>
            <w:tcW w:w="908" w:type="dxa"/>
            <w:tcBorders>
              <w:tl2br w:val="nil"/>
              <w:tr2bl w:val="nil"/>
            </w:tcBorders>
            <w:shd w:val="clear" w:color="auto" w:fill="FFFFFF"/>
            <w:vAlign w:val="center"/>
          </w:tcPr>
          <w:p w14:paraId="2C04DA28">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6E449CAE">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3180B90B">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121E73A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0E33A89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057C61CC">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20546E30">
            <w:pPr>
              <w:widowControl/>
              <w:jc w:val="center"/>
              <w:textAlignment w:val="center"/>
              <w:rPr>
                <w:rFonts w:hint="eastAsia" w:ascii="宋体" w:hAnsi="宋体" w:eastAsia="宋体" w:cs="宋体"/>
                <w:color w:val="auto"/>
                <w:kern w:val="0"/>
                <w:sz w:val="24"/>
                <w:szCs w:val="24"/>
                <w:highlight w:val="none"/>
                <w:lang w:bidi="ar"/>
              </w:rPr>
            </w:pPr>
          </w:p>
        </w:tc>
      </w:tr>
      <w:tr w14:paraId="0FC77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290EE55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w:t>
            </w:r>
          </w:p>
        </w:tc>
        <w:tc>
          <w:tcPr>
            <w:tcW w:w="2344" w:type="dxa"/>
            <w:tcBorders>
              <w:tl2br w:val="nil"/>
              <w:tr2bl w:val="nil"/>
            </w:tcBorders>
            <w:shd w:val="clear" w:color="auto" w:fill="FFFFFF"/>
            <w:vAlign w:val="center"/>
          </w:tcPr>
          <w:p w14:paraId="1A420D3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麦克风</w:t>
            </w:r>
          </w:p>
        </w:tc>
        <w:tc>
          <w:tcPr>
            <w:tcW w:w="908" w:type="dxa"/>
            <w:tcBorders>
              <w:tl2br w:val="nil"/>
              <w:tr2bl w:val="nil"/>
            </w:tcBorders>
            <w:shd w:val="clear" w:color="auto" w:fill="FFFFFF"/>
            <w:vAlign w:val="center"/>
          </w:tcPr>
          <w:p w14:paraId="6D7A6726">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15F407A0">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19E9F9DF">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731B8B1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960" w:type="dxa"/>
            <w:tcBorders>
              <w:tl2br w:val="nil"/>
              <w:tr2bl w:val="nil"/>
            </w:tcBorders>
            <w:shd w:val="clear" w:color="auto" w:fill="FFFFFF"/>
            <w:vAlign w:val="center"/>
          </w:tcPr>
          <w:p w14:paraId="73EE63E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支</w:t>
            </w:r>
          </w:p>
        </w:tc>
        <w:tc>
          <w:tcPr>
            <w:tcW w:w="1352" w:type="dxa"/>
            <w:tcBorders>
              <w:tl2br w:val="nil"/>
              <w:tr2bl w:val="nil"/>
            </w:tcBorders>
            <w:shd w:val="clear" w:color="auto" w:fill="FFFFFF"/>
            <w:vAlign w:val="center"/>
          </w:tcPr>
          <w:p w14:paraId="6DA11239">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4A70C05B">
            <w:pPr>
              <w:widowControl/>
              <w:jc w:val="center"/>
              <w:textAlignment w:val="center"/>
              <w:rPr>
                <w:rFonts w:hint="eastAsia" w:ascii="宋体" w:hAnsi="宋体" w:eastAsia="宋体" w:cs="宋体"/>
                <w:color w:val="auto"/>
                <w:kern w:val="0"/>
                <w:sz w:val="24"/>
                <w:szCs w:val="24"/>
                <w:highlight w:val="none"/>
                <w:lang w:bidi="ar"/>
              </w:rPr>
            </w:pPr>
          </w:p>
        </w:tc>
      </w:tr>
      <w:tr w14:paraId="64E9E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6C1223C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w:t>
            </w:r>
          </w:p>
        </w:tc>
        <w:tc>
          <w:tcPr>
            <w:tcW w:w="2344" w:type="dxa"/>
            <w:tcBorders>
              <w:tl2br w:val="nil"/>
              <w:tr2bl w:val="nil"/>
            </w:tcBorders>
            <w:shd w:val="clear" w:color="auto" w:fill="FFFFFF"/>
            <w:vAlign w:val="center"/>
          </w:tcPr>
          <w:p w14:paraId="7EBF07A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音箱</w:t>
            </w:r>
          </w:p>
        </w:tc>
        <w:tc>
          <w:tcPr>
            <w:tcW w:w="908" w:type="dxa"/>
            <w:tcBorders>
              <w:tl2br w:val="nil"/>
              <w:tr2bl w:val="nil"/>
            </w:tcBorders>
            <w:shd w:val="clear" w:color="auto" w:fill="FFFFFF"/>
            <w:vAlign w:val="center"/>
          </w:tcPr>
          <w:p w14:paraId="1B454662">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435EF9A8">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38B8AFD4">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0474CD2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311F46E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对</w:t>
            </w:r>
          </w:p>
        </w:tc>
        <w:tc>
          <w:tcPr>
            <w:tcW w:w="1352" w:type="dxa"/>
            <w:tcBorders>
              <w:tl2br w:val="nil"/>
              <w:tr2bl w:val="nil"/>
            </w:tcBorders>
            <w:shd w:val="clear" w:color="auto" w:fill="FFFFFF"/>
            <w:vAlign w:val="center"/>
          </w:tcPr>
          <w:p w14:paraId="01F17D45">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355AF6AC">
            <w:pPr>
              <w:widowControl/>
              <w:jc w:val="center"/>
              <w:textAlignment w:val="center"/>
              <w:rPr>
                <w:rFonts w:hint="eastAsia" w:ascii="宋体" w:hAnsi="宋体" w:eastAsia="宋体" w:cs="宋体"/>
                <w:color w:val="auto"/>
                <w:kern w:val="0"/>
                <w:sz w:val="24"/>
                <w:szCs w:val="24"/>
                <w:highlight w:val="none"/>
                <w:lang w:bidi="ar"/>
              </w:rPr>
            </w:pPr>
          </w:p>
        </w:tc>
      </w:tr>
      <w:tr w14:paraId="40690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2A4842C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2344" w:type="dxa"/>
            <w:tcBorders>
              <w:tl2br w:val="nil"/>
              <w:tr2bl w:val="nil"/>
            </w:tcBorders>
            <w:shd w:val="clear" w:color="auto" w:fill="FFFFFF"/>
            <w:vAlign w:val="center"/>
          </w:tcPr>
          <w:p w14:paraId="091DEF6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无线麦克风</w:t>
            </w:r>
          </w:p>
        </w:tc>
        <w:tc>
          <w:tcPr>
            <w:tcW w:w="908" w:type="dxa"/>
            <w:tcBorders>
              <w:tl2br w:val="nil"/>
              <w:tr2bl w:val="nil"/>
            </w:tcBorders>
            <w:shd w:val="clear" w:color="auto" w:fill="FFFFFF"/>
            <w:vAlign w:val="center"/>
          </w:tcPr>
          <w:p w14:paraId="56E9130D">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6C6787F1">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2FD84F53">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3F0681E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5EB483F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52" w:type="dxa"/>
            <w:tcBorders>
              <w:tl2br w:val="nil"/>
              <w:tr2bl w:val="nil"/>
            </w:tcBorders>
            <w:shd w:val="clear" w:color="auto" w:fill="FFFFFF"/>
            <w:vAlign w:val="center"/>
          </w:tcPr>
          <w:p w14:paraId="41665936">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5FBDE2D7">
            <w:pPr>
              <w:widowControl/>
              <w:jc w:val="center"/>
              <w:textAlignment w:val="center"/>
              <w:rPr>
                <w:rFonts w:hint="eastAsia" w:ascii="宋体" w:hAnsi="宋体" w:eastAsia="宋体" w:cs="宋体"/>
                <w:color w:val="auto"/>
                <w:kern w:val="0"/>
                <w:sz w:val="24"/>
                <w:szCs w:val="24"/>
                <w:highlight w:val="none"/>
                <w:lang w:bidi="ar"/>
              </w:rPr>
            </w:pPr>
          </w:p>
        </w:tc>
      </w:tr>
      <w:tr w14:paraId="383A4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360CDF8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w:t>
            </w:r>
          </w:p>
        </w:tc>
        <w:tc>
          <w:tcPr>
            <w:tcW w:w="2344" w:type="dxa"/>
            <w:tcBorders>
              <w:tl2br w:val="nil"/>
              <w:tr2bl w:val="nil"/>
            </w:tcBorders>
            <w:shd w:val="clear" w:color="auto" w:fill="FFFFFF"/>
            <w:vAlign w:val="center"/>
          </w:tcPr>
          <w:p w14:paraId="7686EB2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线材</w:t>
            </w:r>
          </w:p>
        </w:tc>
        <w:tc>
          <w:tcPr>
            <w:tcW w:w="908" w:type="dxa"/>
            <w:tcBorders>
              <w:tl2br w:val="nil"/>
              <w:tr2bl w:val="nil"/>
            </w:tcBorders>
            <w:shd w:val="clear" w:color="auto" w:fill="FFFFFF"/>
            <w:vAlign w:val="center"/>
          </w:tcPr>
          <w:p w14:paraId="3BADA917">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4DC463DF">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4942BD3F">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33F1984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416A7BA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项</w:t>
            </w:r>
          </w:p>
        </w:tc>
        <w:tc>
          <w:tcPr>
            <w:tcW w:w="1352" w:type="dxa"/>
            <w:tcBorders>
              <w:tl2br w:val="nil"/>
              <w:tr2bl w:val="nil"/>
            </w:tcBorders>
            <w:shd w:val="clear" w:color="auto" w:fill="FFFFFF"/>
            <w:vAlign w:val="center"/>
          </w:tcPr>
          <w:p w14:paraId="503620DB">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6B8F53D5">
            <w:pPr>
              <w:widowControl/>
              <w:jc w:val="center"/>
              <w:textAlignment w:val="center"/>
              <w:rPr>
                <w:rFonts w:hint="eastAsia" w:ascii="宋体" w:hAnsi="宋体" w:eastAsia="宋体" w:cs="宋体"/>
                <w:color w:val="auto"/>
                <w:kern w:val="0"/>
                <w:sz w:val="24"/>
                <w:szCs w:val="24"/>
                <w:highlight w:val="none"/>
                <w:lang w:bidi="ar"/>
              </w:rPr>
            </w:pPr>
          </w:p>
        </w:tc>
      </w:tr>
      <w:tr w14:paraId="67788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5C09E768">
            <w:pPr>
              <w:widowControl/>
              <w:jc w:val="left"/>
              <w:textAlignment w:val="center"/>
              <w:rPr>
                <w:rFonts w:hint="eastAsia" w:ascii="宋体" w:hAnsi="宋体" w:eastAsia="宋体" w:cs="宋体"/>
                <w:b/>
                <w:bCs/>
                <w:color w:val="auto"/>
                <w:kern w:val="0"/>
                <w:sz w:val="24"/>
                <w:szCs w:val="24"/>
                <w:highlight w:val="none"/>
                <w:lang w:bidi="ar"/>
              </w:rPr>
            </w:pPr>
          </w:p>
        </w:tc>
        <w:tc>
          <w:tcPr>
            <w:tcW w:w="9564" w:type="dxa"/>
            <w:gridSpan w:val="8"/>
            <w:tcBorders>
              <w:tl2br w:val="nil"/>
              <w:tr2bl w:val="nil"/>
            </w:tcBorders>
            <w:shd w:val="clear" w:color="auto" w:fill="FFFFFF"/>
            <w:vAlign w:val="center"/>
          </w:tcPr>
          <w:p w14:paraId="69DBF4AD">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三、AI综合管理平台</w:t>
            </w:r>
          </w:p>
        </w:tc>
      </w:tr>
      <w:tr w14:paraId="41C39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5274082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2344" w:type="dxa"/>
            <w:tcBorders>
              <w:tl2br w:val="nil"/>
              <w:tr2bl w:val="nil"/>
            </w:tcBorders>
            <w:shd w:val="clear" w:color="auto" w:fill="FFFFFF"/>
            <w:vAlign w:val="center"/>
          </w:tcPr>
          <w:p w14:paraId="2236EA1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AI资源管理平台</w:t>
            </w:r>
          </w:p>
        </w:tc>
        <w:tc>
          <w:tcPr>
            <w:tcW w:w="908" w:type="dxa"/>
            <w:tcBorders>
              <w:tl2br w:val="nil"/>
              <w:tr2bl w:val="nil"/>
            </w:tcBorders>
            <w:shd w:val="clear" w:color="auto" w:fill="FFFFFF"/>
            <w:vAlign w:val="center"/>
          </w:tcPr>
          <w:p w14:paraId="455F94FD">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77794F2F">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50AB7D87">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2B32570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0B9F389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52" w:type="dxa"/>
            <w:tcBorders>
              <w:tl2br w:val="nil"/>
              <w:tr2bl w:val="nil"/>
            </w:tcBorders>
            <w:shd w:val="clear" w:color="auto" w:fill="FFFFFF"/>
            <w:vAlign w:val="center"/>
          </w:tcPr>
          <w:p w14:paraId="6DFBD597">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59F8FA3B">
            <w:pPr>
              <w:widowControl/>
              <w:jc w:val="center"/>
              <w:textAlignment w:val="center"/>
              <w:rPr>
                <w:rFonts w:hint="eastAsia" w:ascii="宋体" w:hAnsi="宋体" w:eastAsia="宋体" w:cs="宋体"/>
                <w:color w:val="auto"/>
                <w:kern w:val="0"/>
                <w:sz w:val="24"/>
                <w:szCs w:val="24"/>
                <w:highlight w:val="none"/>
                <w:lang w:bidi="ar"/>
              </w:rPr>
            </w:pPr>
          </w:p>
        </w:tc>
      </w:tr>
      <w:tr w14:paraId="5A472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4A544B3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2344" w:type="dxa"/>
            <w:tcBorders>
              <w:tl2br w:val="nil"/>
              <w:tr2bl w:val="nil"/>
            </w:tcBorders>
            <w:shd w:val="clear" w:color="auto" w:fill="FFFFFF"/>
            <w:vAlign w:val="center"/>
          </w:tcPr>
          <w:p w14:paraId="616AA5F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AI课堂智能分析</w:t>
            </w:r>
          </w:p>
        </w:tc>
        <w:tc>
          <w:tcPr>
            <w:tcW w:w="908" w:type="dxa"/>
            <w:tcBorders>
              <w:tl2br w:val="nil"/>
              <w:tr2bl w:val="nil"/>
            </w:tcBorders>
            <w:shd w:val="clear" w:color="auto" w:fill="FFFFFF"/>
            <w:vAlign w:val="center"/>
          </w:tcPr>
          <w:p w14:paraId="23D27A71">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68DC3721">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4CC43A57">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2BD2535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0C967E9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1C3D8554">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1407A7CF">
            <w:pPr>
              <w:widowControl/>
              <w:jc w:val="center"/>
              <w:textAlignment w:val="center"/>
              <w:rPr>
                <w:rFonts w:hint="eastAsia" w:ascii="宋体" w:hAnsi="宋体" w:eastAsia="宋体" w:cs="宋体"/>
                <w:color w:val="auto"/>
                <w:kern w:val="0"/>
                <w:sz w:val="24"/>
                <w:szCs w:val="24"/>
                <w:highlight w:val="none"/>
                <w:lang w:bidi="ar"/>
              </w:rPr>
            </w:pPr>
          </w:p>
        </w:tc>
      </w:tr>
      <w:tr w14:paraId="14BF9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2A40DAC6">
            <w:pPr>
              <w:widowControl/>
              <w:jc w:val="center"/>
              <w:textAlignment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lang w:bidi="ar"/>
              </w:rPr>
              <w:t>3</w:t>
            </w:r>
          </w:p>
        </w:tc>
        <w:tc>
          <w:tcPr>
            <w:tcW w:w="2344" w:type="dxa"/>
            <w:tcBorders>
              <w:tl2br w:val="nil"/>
              <w:tr2bl w:val="nil"/>
            </w:tcBorders>
            <w:vAlign w:val="center"/>
          </w:tcPr>
          <w:p w14:paraId="590200D5">
            <w:pPr>
              <w:widowControl/>
              <w:jc w:val="center"/>
              <w:textAlignment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lang w:bidi="ar"/>
              </w:rPr>
              <w:t>平台服务器</w:t>
            </w:r>
          </w:p>
        </w:tc>
        <w:tc>
          <w:tcPr>
            <w:tcW w:w="908" w:type="dxa"/>
            <w:tcBorders>
              <w:tl2br w:val="nil"/>
              <w:tr2bl w:val="nil"/>
            </w:tcBorders>
            <w:shd w:val="clear" w:color="auto" w:fill="FFFFFF"/>
            <w:vAlign w:val="center"/>
          </w:tcPr>
          <w:p w14:paraId="6C3A488C">
            <w:pPr>
              <w:widowControl/>
              <w:jc w:val="center"/>
              <w:textAlignment w:val="center"/>
              <w:rPr>
                <w:rFonts w:hint="eastAsia" w:ascii="宋体" w:hAnsi="宋体" w:eastAsia="宋体" w:cs="宋体"/>
                <w:strike w:val="0"/>
                <w:dstrike w:val="0"/>
                <w:color w:val="auto"/>
                <w:kern w:val="0"/>
                <w:sz w:val="24"/>
                <w:szCs w:val="24"/>
                <w:highlight w:val="none"/>
                <w:lang w:bidi="ar"/>
              </w:rPr>
            </w:pPr>
          </w:p>
        </w:tc>
        <w:tc>
          <w:tcPr>
            <w:tcW w:w="756" w:type="dxa"/>
            <w:tcBorders>
              <w:tl2br w:val="nil"/>
              <w:tr2bl w:val="nil"/>
            </w:tcBorders>
            <w:shd w:val="clear" w:color="auto" w:fill="FFFFFF"/>
            <w:vAlign w:val="center"/>
          </w:tcPr>
          <w:p w14:paraId="5FC9E47E">
            <w:pPr>
              <w:widowControl/>
              <w:jc w:val="center"/>
              <w:textAlignment w:val="center"/>
              <w:rPr>
                <w:rFonts w:hint="eastAsia" w:ascii="宋体" w:hAnsi="宋体" w:eastAsia="宋体" w:cs="宋体"/>
                <w:strike w:val="0"/>
                <w:dstrike w:val="0"/>
                <w:color w:val="auto"/>
                <w:kern w:val="0"/>
                <w:sz w:val="24"/>
                <w:szCs w:val="24"/>
                <w:highlight w:val="none"/>
                <w:lang w:bidi="ar"/>
              </w:rPr>
            </w:pPr>
          </w:p>
        </w:tc>
        <w:tc>
          <w:tcPr>
            <w:tcW w:w="832" w:type="dxa"/>
            <w:tcBorders>
              <w:tl2br w:val="nil"/>
              <w:tr2bl w:val="nil"/>
            </w:tcBorders>
            <w:shd w:val="clear" w:color="auto" w:fill="FFFFFF"/>
            <w:vAlign w:val="center"/>
          </w:tcPr>
          <w:p w14:paraId="4E0BB900">
            <w:pPr>
              <w:widowControl/>
              <w:jc w:val="center"/>
              <w:textAlignment w:val="center"/>
              <w:rPr>
                <w:rFonts w:hint="eastAsia" w:ascii="宋体" w:hAnsi="宋体" w:eastAsia="宋体" w:cs="宋体"/>
                <w:strike w:val="0"/>
                <w:dstrike w:val="0"/>
                <w:color w:val="auto"/>
                <w:kern w:val="0"/>
                <w:sz w:val="24"/>
                <w:szCs w:val="24"/>
                <w:highlight w:val="none"/>
                <w:lang w:bidi="ar"/>
              </w:rPr>
            </w:pPr>
          </w:p>
        </w:tc>
        <w:tc>
          <w:tcPr>
            <w:tcW w:w="832" w:type="dxa"/>
            <w:tcBorders>
              <w:tl2br w:val="nil"/>
              <w:tr2bl w:val="nil"/>
            </w:tcBorders>
            <w:shd w:val="clear" w:color="auto" w:fill="FFFFFF"/>
            <w:vAlign w:val="center"/>
          </w:tcPr>
          <w:p w14:paraId="587B72FF">
            <w:pPr>
              <w:widowControl/>
              <w:jc w:val="center"/>
              <w:textAlignment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lang w:bidi="ar"/>
              </w:rPr>
              <w:t>1</w:t>
            </w:r>
          </w:p>
        </w:tc>
        <w:tc>
          <w:tcPr>
            <w:tcW w:w="960" w:type="dxa"/>
            <w:tcBorders>
              <w:tl2br w:val="nil"/>
              <w:tr2bl w:val="nil"/>
            </w:tcBorders>
            <w:shd w:val="clear" w:color="auto" w:fill="FFFFFF"/>
            <w:vAlign w:val="center"/>
          </w:tcPr>
          <w:p w14:paraId="3BF0D6D7">
            <w:pPr>
              <w:widowControl/>
              <w:jc w:val="center"/>
              <w:textAlignment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lang w:bidi="ar"/>
              </w:rPr>
              <w:t>台</w:t>
            </w:r>
          </w:p>
        </w:tc>
        <w:tc>
          <w:tcPr>
            <w:tcW w:w="1352" w:type="dxa"/>
            <w:tcBorders>
              <w:tl2br w:val="nil"/>
              <w:tr2bl w:val="nil"/>
            </w:tcBorders>
            <w:shd w:val="clear" w:color="auto" w:fill="FFFFFF"/>
            <w:vAlign w:val="center"/>
          </w:tcPr>
          <w:p w14:paraId="054D2B16">
            <w:pPr>
              <w:widowControl/>
              <w:jc w:val="center"/>
              <w:textAlignment w:val="center"/>
              <w:rPr>
                <w:rFonts w:hint="eastAsia" w:ascii="宋体" w:hAnsi="宋体" w:eastAsia="宋体" w:cs="宋体"/>
                <w:strike w:val="0"/>
                <w:dstrike w:val="0"/>
                <w:color w:val="auto"/>
                <w:kern w:val="0"/>
                <w:sz w:val="24"/>
                <w:szCs w:val="24"/>
                <w:highlight w:val="none"/>
                <w:lang w:bidi="ar"/>
              </w:rPr>
            </w:pPr>
          </w:p>
        </w:tc>
        <w:tc>
          <w:tcPr>
            <w:tcW w:w="1580" w:type="dxa"/>
            <w:tcBorders>
              <w:tl2br w:val="nil"/>
              <w:tr2bl w:val="nil"/>
            </w:tcBorders>
            <w:shd w:val="clear" w:color="auto" w:fill="FFFFFF"/>
            <w:vAlign w:val="center"/>
          </w:tcPr>
          <w:p w14:paraId="62818FC3">
            <w:pPr>
              <w:widowControl/>
              <w:jc w:val="center"/>
              <w:textAlignment w:val="center"/>
              <w:rPr>
                <w:rFonts w:hint="eastAsia" w:ascii="宋体" w:hAnsi="宋体" w:eastAsia="宋体" w:cs="宋体"/>
                <w:strike w:val="0"/>
                <w:dstrike w:val="0"/>
                <w:color w:val="auto"/>
                <w:kern w:val="0"/>
                <w:sz w:val="24"/>
                <w:szCs w:val="24"/>
                <w:highlight w:val="none"/>
                <w:lang w:bidi="ar"/>
              </w:rPr>
            </w:pPr>
          </w:p>
        </w:tc>
      </w:tr>
      <w:tr w14:paraId="52B94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2EC3F8E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2344" w:type="dxa"/>
            <w:tcBorders>
              <w:tl2br w:val="nil"/>
              <w:tr2bl w:val="nil"/>
            </w:tcBorders>
            <w:vAlign w:val="center"/>
          </w:tcPr>
          <w:p w14:paraId="653867E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网络存储设备</w:t>
            </w:r>
          </w:p>
        </w:tc>
        <w:tc>
          <w:tcPr>
            <w:tcW w:w="908" w:type="dxa"/>
            <w:tcBorders>
              <w:tl2br w:val="nil"/>
              <w:tr2bl w:val="nil"/>
            </w:tcBorders>
            <w:shd w:val="clear" w:color="auto" w:fill="FFFFFF"/>
            <w:vAlign w:val="center"/>
          </w:tcPr>
          <w:p w14:paraId="54845A45">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10925B5C">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22F3B01E">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33020AE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5611224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5ED5A7D2">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177D9F5F">
            <w:pPr>
              <w:widowControl/>
              <w:jc w:val="center"/>
              <w:textAlignment w:val="center"/>
              <w:rPr>
                <w:rFonts w:hint="eastAsia" w:ascii="宋体" w:hAnsi="宋体" w:eastAsia="宋体" w:cs="宋体"/>
                <w:color w:val="auto"/>
                <w:kern w:val="0"/>
                <w:sz w:val="24"/>
                <w:szCs w:val="24"/>
                <w:highlight w:val="none"/>
                <w:lang w:bidi="ar"/>
              </w:rPr>
            </w:pPr>
          </w:p>
        </w:tc>
      </w:tr>
      <w:tr w14:paraId="70E6B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3" w:type="dxa"/>
            <w:tcBorders>
              <w:tl2br w:val="nil"/>
              <w:tr2bl w:val="nil"/>
            </w:tcBorders>
            <w:shd w:val="clear" w:color="auto" w:fill="FFFFFF"/>
            <w:vAlign w:val="center"/>
          </w:tcPr>
          <w:p w14:paraId="33B1115C">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5</w:t>
            </w:r>
          </w:p>
        </w:tc>
        <w:tc>
          <w:tcPr>
            <w:tcW w:w="2344" w:type="dxa"/>
            <w:tcBorders>
              <w:tl2br w:val="nil"/>
              <w:tr2bl w:val="nil"/>
            </w:tcBorders>
            <w:vAlign w:val="center"/>
          </w:tcPr>
          <w:p w14:paraId="181D8145">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服务器专用机柜</w:t>
            </w:r>
          </w:p>
        </w:tc>
        <w:tc>
          <w:tcPr>
            <w:tcW w:w="908" w:type="dxa"/>
            <w:tcBorders>
              <w:tl2br w:val="nil"/>
              <w:tr2bl w:val="nil"/>
            </w:tcBorders>
            <w:shd w:val="clear" w:color="auto" w:fill="FFFFFF"/>
            <w:vAlign w:val="center"/>
          </w:tcPr>
          <w:p w14:paraId="23F184AA">
            <w:pPr>
              <w:widowControl/>
              <w:jc w:val="center"/>
              <w:textAlignment w:val="center"/>
              <w:rPr>
                <w:rFonts w:hint="eastAsia" w:ascii="宋体" w:hAnsi="宋体" w:eastAsia="宋体" w:cs="宋体"/>
                <w:color w:val="auto"/>
                <w:kern w:val="0"/>
                <w:sz w:val="24"/>
                <w:szCs w:val="24"/>
                <w:highlight w:val="none"/>
                <w:lang w:bidi="ar"/>
              </w:rPr>
            </w:pPr>
          </w:p>
        </w:tc>
        <w:tc>
          <w:tcPr>
            <w:tcW w:w="756" w:type="dxa"/>
            <w:tcBorders>
              <w:tl2br w:val="nil"/>
              <w:tr2bl w:val="nil"/>
            </w:tcBorders>
            <w:shd w:val="clear" w:color="auto" w:fill="FFFFFF"/>
            <w:vAlign w:val="center"/>
          </w:tcPr>
          <w:p w14:paraId="2A1237DD">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10B0D36E">
            <w:pPr>
              <w:widowControl/>
              <w:jc w:val="center"/>
              <w:textAlignment w:val="center"/>
              <w:rPr>
                <w:rFonts w:hint="eastAsia" w:ascii="宋体" w:hAnsi="宋体" w:eastAsia="宋体" w:cs="宋体"/>
                <w:color w:val="auto"/>
                <w:kern w:val="0"/>
                <w:sz w:val="24"/>
                <w:szCs w:val="24"/>
                <w:highlight w:val="none"/>
                <w:lang w:bidi="ar"/>
              </w:rPr>
            </w:pPr>
          </w:p>
        </w:tc>
        <w:tc>
          <w:tcPr>
            <w:tcW w:w="832" w:type="dxa"/>
            <w:tcBorders>
              <w:tl2br w:val="nil"/>
              <w:tr2bl w:val="nil"/>
            </w:tcBorders>
            <w:shd w:val="clear" w:color="auto" w:fill="FFFFFF"/>
            <w:vAlign w:val="center"/>
          </w:tcPr>
          <w:p w14:paraId="7AE1404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60" w:type="dxa"/>
            <w:tcBorders>
              <w:tl2br w:val="nil"/>
              <w:tr2bl w:val="nil"/>
            </w:tcBorders>
            <w:shd w:val="clear" w:color="auto" w:fill="FFFFFF"/>
            <w:vAlign w:val="center"/>
          </w:tcPr>
          <w:p w14:paraId="7EB23F1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52" w:type="dxa"/>
            <w:tcBorders>
              <w:tl2br w:val="nil"/>
              <w:tr2bl w:val="nil"/>
            </w:tcBorders>
            <w:shd w:val="clear" w:color="auto" w:fill="FFFFFF"/>
            <w:vAlign w:val="center"/>
          </w:tcPr>
          <w:p w14:paraId="3C19911F">
            <w:pPr>
              <w:widowControl/>
              <w:jc w:val="center"/>
              <w:textAlignment w:val="center"/>
              <w:rPr>
                <w:rFonts w:hint="eastAsia" w:ascii="宋体" w:hAnsi="宋体" w:eastAsia="宋体" w:cs="宋体"/>
                <w:color w:val="auto"/>
                <w:kern w:val="0"/>
                <w:sz w:val="24"/>
                <w:szCs w:val="24"/>
                <w:highlight w:val="none"/>
                <w:lang w:bidi="ar"/>
              </w:rPr>
            </w:pPr>
          </w:p>
        </w:tc>
        <w:tc>
          <w:tcPr>
            <w:tcW w:w="1580" w:type="dxa"/>
            <w:tcBorders>
              <w:tl2br w:val="nil"/>
              <w:tr2bl w:val="nil"/>
            </w:tcBorders>
            <w:shd w:val="clear" w:color="auto" w:fill="FFFFFF"/>
            <w:vAlign w:val="center"/>
          </w:tcPr>
          <w:p w14:paraId="46DB9611">
            <w:pPr>
              <w:widowControl/>
              <w:jc w:val="center"/>
              <w:textAlignment w:val="center"/>
              <w:rPr>
                <w:rFonts w:hint="eastAsia" w:ascii="宋体" w:hAnsi="宋体" w:eastAsia="宋体" w:cs="宋体"/>
                <w:color w:val="auto"/>
                <w:kern w:val="0"/>
                <w:sz w:val="24"/>
                <w:szCs w:val="24"/>
                <w:highlight w:val="none"/>
                <w:lang w:bidi="ar"/>
              </w:rPr>
            </w:pPr>
          </w:p>
        </w:tc>
      </w:tr>
      <w:tr w14:paraId="3AC4B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trPr>
        <w:tc>
          <w:tcPr>
            <w:tcW w:w="643" w:type="dxa"/>
            <w:tcBorders>
              <w:tl2br w:val="nil"/>
              <w:tr2bl w:val="nil"/>
            </w:tcBorders>
            <w:shd w:val="clear" w:color="auto" w:fill="FFFFFF"/>
            <w:vAlign w:val="center"/>
          </w:tcPr>
          <w:p w14:paraId="51DEBDDA">
            <w:pPr>
              <w:widowControl/>
              <w:jc w:val="center"/>
              <w:textAlignment w:val="center"/>
              <w:rPr>
                <w:rFonts w:hint="eastAsia" w:ascii="宋体" w:hAnsi="宋体" w:cs="宋体"/>
                <w:color w:val="auto"/>
                <w:kern w:val="0"/>
                <w:sz w:val="24"/>
                <w:szCs w:val="24"/>
                <w:highlight w:val="none"/>
                <w:lang w:val="en-US" w:eastAsia="zh-CN" w:bidi="ar"/>
              </w:rPr>
            </w:pPr>
          </w:p>
        </w:tc>
        <w:tc>
          <w:tcPr>
            <w:tcW w:w="7984" w:type="dxa"/>
            <w:gridSpan w:val="7"/>
            <w:tcBorders>
              <w:tl2br w:val="nil"/>
              <w:tr2bl w:val="nil"/>
            </w:tcBorders>
            <w:shd w:val="clear" w:color="auto" w:fill="FFFFFF"/>
            <w:vAlign w:val="center"/>
          </w:tcPr>
          <w:p w14:paraId="3D4D4BC1">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合计（一+二+三）</w:t>
            </w:r>
          </w:p>
        </w:tc>
        <w:tc>
          <w:tcPr>
            <w:tcW w:w="1580" w:type="dxa"/>
            <w:tcBorders>
              <w:tl2br w:val="nil"/>
              <w:tr2bl w:val="nil"/>
            </w:tcBorders>
            <w:shd w:val="clear" w:color="auto" w:fill="FFFFFF"/>
            <w:vAlign w:val="center"/>
          </w:tcPr>
          <w:p w14:paraId="2D393442">
            <w:pPr>
              <w:widowControl/>
              <w:jc w:val="center"/>
              <w:textAlignment w:val="center"/>
              <w:rPr>
                <w:rFonts w:hint="eastAsia" w:ascii="宋体" w:hAnsi="宋体" w:eastAsia="宋体" w:cs="宋体"/>
                <w:color w:val="auto"/>
                <w:kern w:val="0"/>
                <w:sz w:val="24"/>
                <w:szCs w:val="24"/>
                <w:highlight w:val="none"/>
                <w:lang w:bidi="ar"/>
              </w:rPr>
            </w:pPr>
          </w:p>
        </w:tc>
      </w:tr>
    </w:tbl>
    <w:p w14:paraId="0D192409">
      <w:pPr>
        <w:spacing w:line="0" w:lineRule="atLeast"/>
        <w:rPr>
          <w:rFonts w:ascii="宋体" w:hAnsi="宋体"/>
          <w:color w:val="auto"/>
          <w:sz w:val="24"/>
          <w:szCs w:val="24"/>
          <w:highlight w:val="none"/>
        </w:rPr>
      </w:pPr>
    </w:p>
    <w:p w14:paraId="2317D398">
      <w:pPr>
        <w:spacing w:line="0" w:lineRule="atLeast"/>
        <w:rPr>
          <w:rFonts w:ascii="宋体" w:hAnsi="宋体"/>
          <w:color w:val="auto"/>
          <w:sz w:val="24"/>
          <w:szCs w:val="24"/>
          <w:highlight w:val="none"/>
        </w:rPr>
      </w:pPr>
      <w:r>
        <w:rPr>
          <w:rFonts w:ascii="宋体" w:hAnsi="宋体"/>
          <w:color w:val="auto"/>
          <w:sz w:val="24"/>
          <w:szCs w:val="24"/>
          <w:highlight w:val="none"/>
        </w:rPr>
        <w:t>备注：</w:t>
      </w:r>
    </w:p>
    <w:p w14:paraId="28B1D40D">
      <w:pPr>
        <w:spacing w:line="0" w:lineRule="atLeast"/>
        <w:rPr>
          <w:rFonts w:ascii="宋体" w:hAnsi="宋体"/>
          <w:color w:val="auto"/>
          <w:sz w:val="24"/>
          <w:szCs w:val="24"/>
          <w:highlight w:val="none"/>
        </w:rPr>
      </w:pPr>
      <w:r>
        <w:rPr>
          <w:rFonts w:ascii="宋体" w:hAnsi="宋体"/>
          <w:color w:val="auto"/>
          <w:sz w:val="24"/>
          <w:szCs w:val="24"/>
          <w:highlight w:val="none"/>
        </w:rPr>
        <w:t>1.“投标分项报价表”中“投标总报价”数额应当与“开标一览表”中“投标总报价”数额一致。</w:t>
      </w:r>
    </w:p>
    <w:p w14:paraId="6EF43E5B">
      <w:pPr>
        <w:spacing w:line="0" w:lineRule="atLeast"/>
        <w:rPr>
          <w:rFonts w:ascii="宋体" w:hAnsi="宋体"/>
          <w:color w:val="auto"/>
          <w:sz w:val="24"/>
          <w:szCs w:val="24"/>
          <w:highlight w:val="none"/>
        </w:rPr>
      </w:pPr>
      <w:r>
        <w:rPr>
          <w:rFonts w:ascii="宋体" w:hAnsi="宋体"/>
          <w:color w:val="auto"/>
          <w:sz w:val="24"/>
          <w:szCs w:val="24"/>
          <w:highlight w:val="none"/>
        </w:rPr>
        <w:t>2.</w:t>
      </w:r>
      <w:r>
        <w:rPr>
          <w:rFonts w:ascii="宋体" w:hAnsi="宋体"/>
          <w:color w:val="auto"/>
          <w:sz w:val="24"/>
          <w:highlight w:val="none"/>
        </w:rPr>
        <w:t>投标单位可以根据项目实际需要对表格结构进行调整。</w:t>
      </w:r>
    </w:p>
    <w:p w14:paraId="424AF2EE">
      <w:pPr>
        <w:ind w:firstLine="480"/>
        <w:rPr>
          <w:rFonts w:ascii="宋体" w:hAnsi="宋体"/>
          <w:color w:val="auto"/>
          <w:sz w:val="24"/>
          <w:szCs w:val="24"/>
          <w:highlight w:val="none"/>
        </w:rPr>
      </w:pPr>
      <w:r>
        <w:rPr>
          <w:rFonts w:ascii="宋体" w:hAnsi="宋体"/>
          <w:color w:val="auto"/>
          <w:sz w:val="24"/>
          <w:szCs w:val="24"/>
          <w:highlight w:val="none"/>
        </w:rPr>
        <w:t xml:space="preserve">              </w:t>
      </w:r>
    </w:p>
    <w:p w14:paraId="2AF20D06">
      <w:pPr>
        <w:spacing w:line="420" w:lineRule="auto"/>
        <w:rPr>
          <w:rFonts w:ascii="宋体" w:hAnsi="宋体" w:cs="宋体"/>
          <w:color w:val="auto"/>
          <w:sz w:val="24"/>
          <w:szCs w:val="24"/>
          <w:highlight w:val="none"/>
        </w:rPr>
      </w:pPr>
    </w:p>
    <w:p w14:paraId="35BB6C34">
      <w:pPr>
        <w:spacing w:line="420" w:lineRule="auto"/>
        <w:rPr>
          <w:rFonts w:ascii="宋体" w:hAnsi="宋体" w:cs="宋体"/>
          <w:color w:val="auto"/>
          <w:sz w:val="24"/>
          <w:szCs w:val="24"/>
          <w:highlight w:val="none"/>
        </w:rPr>
      </w:pPr>
    </w:p>
    <w:p w14:paraId="60C9E0BF">
      <w:pPr>
        <w:spacing w:line="420" w:lineRule="auto"/>
        <w:rPr>
          <w:rFonts w:ascii="宋体" w:hAnsi="宋体"/>
          <w:color w:val="auto"/>
          <w:sz w:val="24"/>
          <w:szCs w:val="24"/>
          <w:highlight w:val="none"/>
        </w:rPr>
      </w:pPr>
      <w:r>
        <w:rPr>
          <w:rFonts w:ascii="宋体" w:hAnsi="宋体" w:cs="宋体"/>
          <w:color w:val="auto"/>
          <w:sz w:val="24"/>
          <w:szCs w:val="24"/>
          <w:highlight w:val="none"/>
        </w:rPr>
        <w:t>投标人名称：</w:t>
      </w:r>
      <w:r>
        <w:rPr>
          <w:rFonts w:ascii="宋体" w:hAnsi="宋体" w:cs="宋体"/>
          <w:color w:val="auto"/>
          <w:highlight w:val="none"/>
          <w:u w:val="single"/>
        </w:rPr>
        <w:t xml:space="preserve">                   </w:t>
      </w:r>
      <w:r>
        <w:rPr>
          <w:rFonts w:ascii="宋体" w:hAnsi="宋体" w:cs="宋体"/>
          <w:color w:val="auto"/>
          <w:sz w:val="24"/>
          <w:szCs w:val="24"/>
          <w:highlight w:val="none"/>
        </w:rPr>
        <w:t>（</w:t>
      </w:r>
      <w:r>
        <w:rPr>
          <w:rFonts w:hint="eastAsia" w:ascii="Arial" w:hAnsi="Arial" w:cs="Arial"/>
          <w:color w:val="auto"/>
          <w:sz w:val="22"/>
          <w:szCs w:val="22"/>
          <w:highlight w:val="none"/>
        </w:rPr>
        <w:t>加盖电子公章</w:t>
      </w:r>
      <w:r>
        <w:rPr>
          <w:rFonts w:ascii="宋体" w:hAnsi="宋体" w:cs="宋体"/>
          <w:color w:val="auto"/>
          <w:sz w:val="24"/>
          <w:szCs w:val="24"/>
          <w:highlight w:val="none"/>
        </w:rPr>
        <w:t>）：</w:t>
      </w:r>
    </w:p>
    <w:p w14:paraId="75801E28">
      <w:pPr>
        <w:spacing w:line="420" w:lineRule="auto"/>
        <w:rPr>
          <w:rFonts w:ascii="宋体" w:hAnsi="宋体" w:cs="宋体"/>
          <w:color w:val="auto"/>
          <w:sz w:val="24"/>
          <w:szCs w:val="24"/>
          <w:highlight w:val="none"/>
        </w:rPr>
      </w:pPr>
      <w:r>
        <w:rPr>
          <w:rFonts w:ascii="宋体" w:hAnsi="宋体" w:cs="宋体"/>
          <w:color w:val="auto"/>
          <w:sz w:val="24"/>
          <w:szCs w:val="24"/>
          <w:highlight w:val="none"/>
        </w:rPr>
        <w:t>法定代表人或委托代理人（签字或盖章）：</w:t>
      </w:r>
    </w:p>
    <w:p w14:paraId="3032259E">
      <w:pPr>
        <w:spacing w:line="420" w:lineRule="auto"/>
        <w:rPr>
          <w:rFonts w:ascii="宋体" w:hAnsi="宋体" w:cs="宋体"/>
          <w:color w:val="auto"/>
          <w:sz w:val="24"/>
          <w:szCs w:val="24"/>
          <w:highlight w:val="none"/>
        </w:rPr>
      </w:pPr>
    </w:p>
    <w:p w14:paraId="36BD4865">
      <w:pPr>
        <w:spacing w:line="420" w:lineRule="auto"/>
        <w:rPr>
          <w:rFonts w:ascii="宋体" w:hAnsi="宋体" w:cs="宋体"/>
          <w:color w:val="auto"/>
          <w:sz w:val="24"/>
          <w:szCs w:val="24"/>
          <w:highlight w:val="none"/>
        </w:rPr>
      </w:pPr>
      <w:r>
        <w:rPr>
          <w:rFonts w:ascii="宋体" w:hAnsi="宋体" w:cs="宋体"/>
          <w:color w:val="auto"/>
          <w:sz w:val="24"/>
          <w:szCs w:val="24"/>
          <w:highlight w:val="none"/>
        </w:rPr>
        <w:t>日期：_____年___月___日</w:t>
      </w:r>
    </w:p>
    <w:p w14:paraId="445995C5">
      <w:pPr>
        <w:rPr>
          <w:rFonts w:ascii="宋体" w:hAnsi="宋体" w:cs="宋体"/>
          <w:b/>
          <w:color w:val="auto"/>
          <w:position w:val="20"/>
          <w:sz w:val="28"/>
          <w:highlight w:val="none"/>
        </w:rPr>
      </w:pPr>
      <w:bookmarkStart w:id="34" w:name="_Toc416262932"/>
      <w:r>
        <w:rPr>
          <w:rFonts w:ascii="宋体" w:hAnsi="宋体" w:cs="宋体"/>
          <w:b/>
          <w:color w:val="auto"/>
          <w:position w:val="20"/>
          <w:sz w:val="28"/>
          <w:highlight w:val="none"/>
        </w:rPr>
        <w:br w:type="page"/>
      </w:r>
    </w:p>
    <w:p w14:paraId="5E8531BC">
      <w:pPr>
        <w:jc w:val="center"/>
        <w:rPr>
          <w:rFonts w:ascii="宋体" w:hAnsi="宋体" w:cs="宋体"/>
          <w:b/>
          <w:color w:val="auto"/>
          <w:highlight w:val="none"/>
        </w:rPr>
      </w:pPr>
      <w:r>
        <w:rPr>
          <w:rFonts w:ascii="宋体" w:hAnsi="宋体" w:cs="宋体"/>
          <w:b/>
          <w:color w:val="auto"/>
          <w:position w:val="20"/>
          <w:sz w:val="28"/>
          <w:highlight w:val="none"/>
        </w:rPr>
        <w:t>法定代表人身份证明书</w:t>
      </w:r>
      <w:bookmarkEnd w:id="34"/>
    </w:p>
    <w:p w14:paraId="07A29DF6">
      <w:pPr>
        <w:pStyle w:val="180"/>
        <w:ind w:firstLine="360"/>
        <w:rPr>
          <w:rFonts w:ascii="宋体" w:hAnsi="宋体" w:cs="宋体"/>
          <w:color w:val="auto"/>
          <w:highlight w:val="none"/>
          <w:u w:val="single"/>
        </w:rPr>
      </w:pPr>
    </w:p>
    <w:p w14:paraId="44FED3FA">
      <w:pPr>
        <w:pStyle w:val="180"/>
        <w:ind w:firstLine="360"/>
        <w:rPr>
          <w:rFonts w:ascii="宋体" w:hAnsi="宋体" w:cs="宋体"/>
          <w:color w:val="auto"/>
          <w:highlight w:val="none"/>
          <w:u w:val="single"/>
        </w:rPr>
      </w:pPr>
    </w:p>
    <w:p w14:paraId="7E8A9068">
      <w:pPr>
        <w:pStyle w:val="180"/>
        <w:ind w:firstLine="360"/>
        <w:rPr>
          <w:rFonts w:ascii="宋体" w:hAnsi="宋体" w:cs="宋体"/>
          <w:color w:val="auto"/>
          <w:highlight w:val="none"/>
          <w:u w:val="single"/>
        </w:rPr>
      </w:pPr>
    </w:p>
    <w:p w14:paraId="42023D44">
      <w:pPr>
        <w:pStyle w:val="180"/>
        <w:spacing w:line="520" w:lineRule="exact"/>
        <w:ind w:firstLine="360"/>
        <w:rPr>
          <w:rFonts w:ascii="宋体" w:hAnsi="宋体" w:cs="宋体"/>
          <w:color w:val="auto"/>
          <w:highlight w:val="none"/>
        </w:rPr>
      </w:pPr>
      <w:r>
        <w:rPr>
          <w:rFonts w:ascii="宋体" w:hAnsi="宋体" w:cs="宋体"/>
          <w:color w:val="auto"/>
          <w:highlight w:val="none"/>
          <w:u w:val="single"/>
        </w:rPr>
        <w:t>（法定代表人姓名）</w:t>
      </w:r>
      <w:r>
        <w:rPr>
          <w:rFonts w:ascii="宋体" w:hAnsi="宋体" w:cs="宋体"/>
          <w:color w:val="auto"/>
          <w:highlight w:val="none"/>
        </w:rPr>
        <w:t>在</w:t>
      </w:r>
      <w:r>
        <w:rPr>
          <w:rFonts w:ascii="宋体" w:hAnsi="宋体" w:cs="宋体"/>
          <w:color w:val="auto"/>
          <w:highlight w:val="none"/>
          <w:u w:val="single"/>
        </w:rPr>
        <w:t>（投标人名称）</w:t>
      </w:r>
      <w:r>
        <w:rPr>
          <w:rFonts w:ascii="宋体" w:hAnsi="宋体" w:cs="宋体"/>
          <w:color w:val="auto"/>
          <w:highlight w:val="none"/>
        </w:rPr>
        <w:t>处任</w:t>
      </w:r>
      <w:r>
        <w:rPr>
          <w:rFonts w:ascii="宋体" w:hAnsi="宋体" w:cs="宋体"/>
          <w:color w:val="auto"/>
          <w:highlight w:val="none"/>
          <w:u w:val="single"/>
        </w:rPr>
        <w:t>（职务名称）</w:t>
      </w:r>
      <w:r>
        <w:rPr>
          <w:rFonts w:ascii="宋体" w:hAnsi="宋体" w:cs="宋体"/>
          <w:color w:val="auto"/>
          <w:highlight w:val="none"/>
        </w:rPr>
        <w:t>职务，是</w:t>
      </w:r>
      <w:r>
        <w:rPr>
          <w:rFonts w:ascii="宋体" w:hAnsi="宋体" w:cs="宋体"/>
          <w:color w:val="auto"/>
          <w:highlight w:val="none"/>
          <w:u w:val="single"/>
        </w:rPr>
        <w:t>（投标人名称）</w:t>
      </w:r>
      <w:r>
        <w:rPr>
          <w:rFonts w:ascii="宋体" w:hAnsi="宋体" w:cs="宋体"/>
          <w:color w:val="auto"/>
          <w:highlight w:val="none"/>
        </w:rPr>
        <w:t xml:space="preserve">的法定代表人。 </w:t>
      </w:r>
    </w:p>
    <w:p w14:paraId="3C746EEC">
      <w:pPr>
        <w:pStyle w:val="180"/>
        <w:ind w:firstLine="360"/>
        <w:rPr>
          <w:rFonts w:ascii="宋体" w:hAnsi="宋体" w:cs="宋体"/>
          <w:color w:val="auto"/>
          <w:highlight w:val="none"/>
        </w:rPr>
      </w:pPr>
    </w:p>
    <w:p w14:paraId="15C19FC5">
      <w:pPr>
        <w:spacing w:line="400" w:lineRule="exact"/>
        <w:ind w:firstLine="480"/>
        <w:rPr>
          <w:rFonts w:ascii="宋体" w:hAnsi="宋体" w:cs="宋体"/>
          <w:color w:val="auto"/>
          <w:sz w:val="24"/>
          <w:highlight w:val="none"/>
        </w:rPr>
      </w:pPr>
    </w:p>
    <w:p w14:paraId="79706DC3">
      <w:pPr>
        <w:spacing w:line="400" w:lineRule="exact"/>
        <w:ind w:firstLine="480"/>
        <w:rPr>
          <w:rFonts w:ascii="宋体" w:hAnsi="宋体" w:cs="宋体"/>
          <w:color w:val="auto"/>
          <w:sz w:val="24"/>
          <w:highlight w:val="none"/>
        </w:rPr>
      </w:pPr>
    </w:p>
    <w:p w14:paraId="2D7A84DC">
      <w:pPr>
        <w:pStyle w:val="180"/>
        <w:ind w:firstLine="360"/>
        <w:rPr>
          <w:rFonts w:ascii="宋体" w:hAnsi="宋体" w:cs="宋体"/>
          <w:color w:val="auto"/>
          <w:highlight w:val="none"/>
        </w:rPr>
      </w:pPr>
    </w:p>
    <w:p w14:paraId="4AE4C4F0">
      <w:pPr>
        <w:pStyle w:val="180"/>
        <w:spacing w:line="520" w:lineRule="exact"/>
        <w:ind w:firstLine="360"/>
        <w:rPr>
          <w:rFonts w:ascii="宋体" w:hAnsi="宋体" w:cs="宋体"/>
          <w:color w:val="auto"/>
          <w:highlight w:val="none"/>
        </w:rPr>
      </w:pPr>
      <w:r>
        <w:rPr>
          <w:rFonts w:ascii="宋体" w:hAnsi="宋体" w:cs="宋体"/>
          <w:color w:val="auto"/>
          <w:highlight w:val="none"/>
        </w:rPr>
        <w:t xml:space="preserve">特此证明。 </w:t>
      </w:r>
    </w:p>
    <w:p w14:paraId="3BBA98B7">
      <w:pPr>
        <w:pStyle w:val="180"/>
        <w:spacing w:line="520" w:lineRule="exact"/>
        <w:ind w:firstLine="360"/>
        <w:rPr>
          <w:rFonts w:ascii="宋体" w:hAnsi="宋体" w:cs="宋体"/>
          <w:color w:val="auto"/>
          <w:highlight w:val="none"/>
        </w:rPr>
      </w:pPr>
      <w:r>
        <w:rPr>
          <w:rFonts w:ascii="宋体" w:hAnsi="宋体" w:cs="宋体"/>
          <w:color w:val="auto"/>
          <w:highlight w:val="none"/>
        </w:rPr>
        <w:t>投标人名称：</w:t>
      </w:r>
      <w:r>
        <w:rPr>
          <w:rFonts w:ascii="宋体" w:hAnsi="宋体" w:cs="宋体"/>
          <w:color w:val="auto"/>
          <w:highlight w:val="none"/>
          <w:u w:val="single"/>
        </w:rPr>
        <w:t xml:space="preserve">               </w:t>
      </w:r>
      <w:r>
        <w:rPr>
          <w:rFonts w:ascii="宋体" w:hAnsi="宋体" w:cs="宋体"/>
          <w:color w:val="auto"/>
          <w:highlight w:val="none"/>
        </w:rPr>
        <w:t>（</w:t>
      </w:r>
      <w:r>
        <w:rPr>
          <w:rFonts w:hint="eastAsia" w:ascii="Arial" w:hAnsi="Arial" w:cs="Arial"/>
          <w:color w:val="auto"/>
          <w:sz w:val="22"/>
          <w:szCs w:val="22"/>
          <w:highlight w:val="none"/>
        </w:rPr>
        <w:t>加盖电子公章</w:t>
      </w:r>
      <w:r>
        <w:rPr>
          <w:rFonts w:ascii="宋体" w:hAnsi="宋体" w:cs="宋体"/>
          <w:color w:val="auto"/>
          <w:highlight w:val="none"/>
        </w:rPr>
        <w:t xml:space="preserve">） </w:t>
      </w:r>
    </w:p>
    <w:p w14:paraId="1A258068">
      <w:pPr>
        <w:pStyle w:val="180"/>
        <w:spacing w:line="520" w:lineRule="exact"/>
        <w:ind w:firstLine="360"/>
        <w:rPr>
          <w:rFonts w:ascii="宋体" w:hAnsi="宋体" w:cs="宋体"/>
          <w:color w:val="auto"/>
          <w:highlight w:val="none"/>
        </w:rPr>
      </w:pPr>
      <w:r>
        <w:rPr>
          <w:rFonts w:ascii="宋体" w:hAnsi="宋体" w:cs="宋体"/>
          <w:color w:val="auto"/>
          <w:highlight w:val="none"/>
        </w:rPr>
        <w:t>日期：</w:t>
      </w:r>
      <w:r>
        <w:rPr>
          <w:rFonts w:ascii="宋体" w:hAnsi="宋体" w:cs="宋体"/>
          <w:color w:val="auto"/>
          <w:highlight w:val="none"/>
          <w:u w:val="single"/>
        </w:rPr>
        <w:t xml:space="preserve">   </w:t>
      </w:r>
      <w:r>
        <w:rPr>
          <w:rFonts w:ascii="宋体" w:hAnsi="宋体" w:cs="宋体"/>
          <w:color w:val="auto"/>
          <w:highlight w:val="none"/>
        </w:rPr>
        <w:t>年</w:t>
      </w:r>
      <w:r>
        <w:rPr>
          <w:rFonts w:ascii="宋体" w:hAnsi="宋体" w:cs="宋体"/>
          <w:color w:val="auto"/>
          <w:highlight w:val="none"/>
          <w:u w:val="single"/>
        </w:rPr>
        <w:t xml:space="preserve">   </w:t>
      </w:r>
      <w:r>
        <w:rPr>
          <w:rFonts w:ascii="宋体" w:hAnsi="宋体" w:cs="宋体"/>
          <w:color w:val="auto"/>
          <w:highlight w:val="none"/>
        </w:rPr>
        <w:t>月</w:t>
      </w:r>
      <w:r>
        <w:rPr>
          <w:rFonts w:ascii="宋体" w:hAnsi="宋体" w:cs="宋体"/>
          <w:color w:val="auto"/>
          <w:highlight w:val="none"/>
          <w:u w:val="single"/>
        </w:rPr>
        <w:t xml:space="preserve">   </w:t>
      </w:r>
      <w:r>
        <w:rPr>
          <w:rFonts w:ascii="宋体" w:hAnsi="宋体" w:cs="宋体"/>
          <w:color w:val="auto"/>
          <w:highlight w:val="none"/>
        </w:rPr>
        <w:t xml:space="preserve">日 </w:t>
      </w:r>
    </w:p>
    <w:p w14:paraId="7ABCA68C">
      <w:pPr>
        <w:pStyle w:val="7"/>
        <w:spacing w:line="520" w:lineRule="exact"/>
        <w:rPr>
          <w:rFonts w:ascii="宋体" w:hAnsi="宋体" w:cs="宋体"/>
          <w:color w:val="auto"/>
          <w:sz w:val="24"/>
          <w:szCs w:val="24"/>
          <w:highlight w:val="none"/>
        </w:rPr>
      </w:pPr>
    </w:p>
    <w:p w14:paraId="1D529DA3">
      <w:pPr>
        <w:pStyle w:val="7"/>
        <w:spacing w:line="520" w:lineRule="exact"/>
        <w:rPr>
          <w:rFonts w:ascii="宋体" w:hAnsi="宋体" w:cs="宋体"/>
          <w:color w:val="auto"/>
          <w:sz w:val="24"/>
          <w:szCs w:val="24"/>
          <w:highlight w:val="none"/>
        </w:rPr>
      </w:pPr>
    </w:p>
    <w:p w14:paraId="0877C7AB">
      <w:pPr>
        <w:pStyle w:val="7"/>
        <w:spacing w:line="520" w:lineRule="exact"/>
        <w:rPr>
          <w:rFonts w:ascii="宋体" w:hAnsi="宋体" w:cs="宋体"/>
          <w:color w:val="auto"/>
          <w:sz w:val="24"/>
          <w:szCs w:val="24"/>
          <w:highlight w:val="none"/>
        </w:rPr>
      </w:pPr>
      <w:r>
        <w:rPr>
          <w:rFonts w:ascii="宋体" w:hAnsi="宋体" w:cs="宋体"/>
          <w:color w:val="auto"/>
          <w:sz w:val="24"/>
          <w:szCs w:val="24"/>
          <w:highlight w:val="none"/>
        </w:rPr>
        <w:t>说明：上述证明文件在投标文件中附有法定代表人身份证原件扫描件（身份证两面，身份证加盖公章）；</w:t>
      </w:r>
    </w:p>
    <w:p w14:paraId="3976192B">
      <w:pPr>
        <w:pStyle w:val="7"/>
        <w:spacing w:line="520" w:lineRule="exact"/>
        <w:rPr>
          <w:rFonts w:ascii="宋体" w:hAnsi="宋体" w:cs="宋体"/>
          <w:color w:val="auto"/>
          <w:sz w:val="24"/>
          <w:szCs w:val="24"/>
          <w:highlight w:val="none"/>
        </w:rPr>
      </w:pPr>
    </w:p>
    <w:p w14:paraId="31DE2B08">
      <w:pPr>
        <w:pStyle w:val="7"/>
        <w:spacing w:line="520" w:lineRule="exact"/>
        <w:rPr>
          <w:rFonts w:ascii="宋体" w:hAnsi="宋体" w:cs="宋体"/>
          <w:color w:val="auto"/>
          <w:sz w:val="24"/>
          <w:szCs w:val="24"/>
          <w:highlight w:val="none"/>
        </w:rPr>
      </w:pPr>
      <w:r>
        <w:rPr>
          <w:rFonts w:ascii="宋体" w:hAnsi="宋体" w:cs="宋体"/>
          <w:color w:val="auto"/>
          <w:sz w:val="24"/>
          <w:szCs w:val="24"/>
          <w:highlight w:val="none"/>
        </w:rPr>
        <w:t>法定代表人身份证原件扫描件：</w:t>
      </w:r>
    </w:p>
    <w:p w14:paraId="1203902E">
      <w:pPr>
        <w:pStyle w:val="7"/>
        <w:rPr>
          <w:rFonts w:ascii="宋体" w:hAnsi="宋体" w:cs="宋体"/>
          <w:color w:val="auto"/>
          <w:sz w:val="24"/>
          <w:szCs w:val="24"/>
          <w:highlight w:val="none"/>
        </w:rPr>
      </w:pPr>
    </w:p>
    <w:tbl>
      <w:tblPr>
        <w:tblStyle w:val="47"/>
        <w:tblW w:w="8707" w:type="dxa"/>
        <w:jc w:val="center"/>
        <w:tblLayout w:type="fixed"/>
        <w:tblCellMar>
          <w:top w:w="0" w:type="dxa"/>
          <w:left w:w="108" w:type="dxa"/>
          <w:bottom w:w="0" w:type="dxa"/>
          <w:right w:w="108" w:type="dxa"/>
        </w:tblCellMar>
      </w:tblPr>
      <w:tblGrid>
        <w:gridCol w:w="4031"/>
        <w:gridCol w:w="649"/>
        <w:gridCol w:w="4027"/>
      </w:tblGrid>
      <w:tr w14:paraId="7231208A">
        <w:tblPrEx>
          <w:tblCellMar>
            <w:top w:w="0" w:type="dxa"/>
            <w:left w:w="108" w:type="dxa"/>
            <w:bottom w:w="0" w:type="dxa"/>
            <w:right w:w="108" w:type="dxa"/>
          </w:tblCellMar>
        </w:tblPrEx>
        <w:trPr>
          <w:trHeight w:val="2656" w:hRule="atLeast"/>
          <w:jc w:val="center"/>
        </w:trPr>
        <w:tc>
          <w:tcPr>
            <w:tcW w:w="4031" w:type="dxa"/>
            <w:tcBorders>
              <w:top w:val="single" w:color="000000" w:sz="4" w:space="0"/>
              <w:left w:val="single" w:color="000000" w:sz="4" w:space="0"/>
              <w:bottom w:val="single" w:color="000000" w:sz="4" w:space="0"/>
              <w:right w:val="single" w:color="000000" w:sz="4" w:space="0"/>
            </w:tcBorders>
            <w:noWrap w:val="0"/>
          </w:tcPr>
          <w:p w14:paraId="1F094BEC">
            <w:pPr>
              <w:pStyle w:val="7"/>
              <w:rPr>
                <w:rFonts w:ascii="宋体" w:hAnsi="宋体" w:cs="宋体"/>
                <w:color w:val="auto"/>
                <w:sz w:val="24"/>
                <w:szCs w:val="24"/>
                <w:highlight w:val="none"/>
              </w:rPr>
            </w:pPr>
          </w:p>
          <w:p w14:paraId="5E6CAA13">
            <w:pPr>
              <w:pStyle w:val="7"/>
              <w:rPr>
                <w:rFonts w:ascii="宋体" w:hAnsi="宋体" w:cs="宋体"/>
                <w:color w:val="auto"/>
                <w:sz w:val="24"/>
                <w:szCs w:val="24"/>
                <w:highlight w:val="none"/>
              </w:rPr>
            </w:pPr>
          </w:p>
          <w:p w14:paraId="1E45F46B">
            <w:pPr>
              <w:pStyle w:val="7"/>
              <w:rPr>
                <w:rFonts w:ascii="宋体" w:hAnsi="宋体" w:cs="宋体"/>
                <w:color w:val="auto"/>
                <w:sz w:val="24"/>
                <w:szCs w:val="24"/>
                <w:highlight w:val="none"/>
              </w:rPr>
            </w:pPr>
          </w:p>
          <w:p w14:paraId="0466A717">
            <w:pPr>
              <w:pStyle w:val="7"/>
              <w:rPr>
                <w:rFonts w:ascii="宋体" w:hAnsi="宋体" w:cs="宋体"/>
                <w:color w:val="auto"/>
                <w:sz w:val="24"/>
                <w:szCs w:val="24"/>
                <w:highlight w:val="none"/>
              </w:rPr>
            </w:pPr>
            <w:r>
              <w:rPr>
                <w:rFonts w:ascii="宋体" w:hAnsi="宋体" w:cs="宋体"/>
                <w:color w:val="auto"/>
                <w:sz w:val="24"/>
                <w:szCs w:val="24"/>
                <w:highlight w:val="none"/>
              </w:rPr>
              <w:t>法定代表人身份证正面</w:t>
            </w:r>
          </w:p>
          <w:p w14:paraId="110969F8">
            <w:pPr>
              <w:pStyle w:val="7"/>
              <w:rPr>
                <w:rFonts w:ascii="宋体" w:hAnsi="宋体" w:cs="宋体"/>
                <w:color w:val="auto"/>
                <w:sz w:val="24"/>
                <w:szCs w:val="24"/>
                <w:highlight w:val="none"/>
              </w:rPr>
            </w:pPr>
          </w:p>
          <w:p w14:paraId="53D833A8">
            <w:pPr>
              <w:pStyle w:val="7"/>
              <w:rPr>
                <w:rFonts w:ascii="宋体" w:hAnsi="宋体" w:cs="宋体"/>
                <w:color w:val="auto"/>
                <w:sz w:val="24"/>
                <w:szCs w:val="24"/>
                <w:highlight w:val="none"/>
              </w:rPr>
            </w:pPr>
          </w:p>
          <w:p w14:paraId="44CDDC33">
            <w:pPr>
              <w:pStyle w:val="7"/>
              <w:rPr>
                <w:rFonts w:ascii="宋体" w:hAnsi="宋体" w:cs="宋体"/>
                <w:color w:val="auto"/>
                <w:sz w:val="24"/>
                <w:szCs w:val="24"/>
                <w:highlight w:val="none"/>
              </w:rPr>
            </w:pPr>
          </w:p>
        </w:tc>
        <w:tc>
          <w:tcPr>
            <w:tcW w:w="649" w:type="dxa"/>
            <w:tcBorders>
              <w:left w:val="single" w:color="000000" w:sz="4" w:space="0"/>
              <w:right w:val="single" w:color="000000" w:sz="4" w:space="0"/>
            </w:tcBorders>
            <w:noWrap w:val="0"/>
          </w:tcPr>
          <w:p w14:paraId="7635D8B2">
            <w:pPr>
              <w:pStyle w:val="7"/>
              <w:ind w:left="621"/>
              <w:rPr>
                <w:rFonts w:ascii="宋体" w:hAnsi="宋体" w:cs="宋体"/>
                <w:color w:val="auto"/>
                <w:sz w:val="24"/>
                <w:szCs w:val="24"/>
                <w:highlight w:val="none"/>
              </w:rPr>
            </w:pPr>
          </w:p>
          <w:p w14:paraId="2D04B5B4">
            <w:pPr>
              <w:jc w:val="left"/>
              <w:rPr>
                <w:rFonts w:ascii="宋体" w:hAnsi="宋体" w:cs="宋体"/>
                <w:color w:val="auto"/>
                <w:sz w:val="24"/>
                <w:highlight w:val="none"/>
              </w:rPr>
            </w:pPr>
          </w:p>
          <w:p w14:paraId="4217AA38">
            <w:pPr>
              <w:jc w:val="left"/>
              <w:rPr>
                <w:rFonts w:ascii="宋体" w:hAnsi="宋体" w:cs="宋体"/>
                <w:color w:val="auto"/>
                <w:sz w:val="24"/>
                <w:highlight w:val="none"/>
              </w:rPr>
            </w:pPr>
          </w:p>
          <w:p w14:paraId="134BFEB2">
            <w:pPr>
              <w:jc w:val="left"/>
              <w:rPr>
                <w:rFonts w:ascii="宋体" w:hAnsi="宋体" w:cs="宋体"/>
                <w:color w:val="auto"/>
                <w:highlight w:val="none"/>
              </w:rPr>
            </w:pPr>
            <w:r>
              <w:rPr>
                <w:rFonts w:ascii="宋体" w:hAnsi="宋体" w:cs="宋体"/>
                <w:color w:val="auto"/>
                <w:highlight w:val="none"/>
              </w:rPr>
              <w:t>加</w:t>
            </w:r>
          </w:p>
          <w:p w14:paraId="63263D09">
            <w:pPr>
              <w:jc w:val="left"/>
              <w:rPr>
                <w:rFonts w:ascii="宋体" w:hAnsi="宋体" w:cs="宋体"/>
                <w:color w:val="auto"/>
                <w:highlight w:val="none"/>
              </w:rPr>
            </w:pPr>
            <w:r>
              <w:rPr>
                <w:rFonts w:ascii="宋体" w:hAnsi="宋体" w:cs="宋体"/>
                <w:color w:val="auto"/>
                <w:highlight w:val="none"/>
              </w:rPr>
              <w:t>盖</w:t>
            </w:r>
          </w:p>
          <w:p w14:paraId="0CC5B9E9">
            <w:pPr>
              <w:jc w:val="left"/>
              <w:rPr>
                <w:rFonts w:ascii="宋体" w:hAnsi="宋体" w:cs="宋体"/>
                <w:color w:val="auto"/>
                <w:highlight w:val="none"/>
              </w:rPr>
            </w:pPr>
            <w:r>
              <w:rPr>
                <w:rFonts w:ascii="宋体" w:hAnsi="宋体" w:cs="宋体"/>
                <w:color w:val="auto"/>
                <w:highlight w:val="none"/>
              </w:rPr>
              <w:t>公</w:t>
            </w:r>
          </w:p>
          <w:p w14:paraId="566D69F4">
            <w:pPr>
              <w:jc w:val="left"/>
              <w:rPr>
                <w:rFonts w:ascii="宋体" w:hAnsi="宋体" w:cs="宋体"/>
                <w:color w:val="auto"/>
                <w:sz w:val="24"/>
                <w:highlight w:val="none"/>
              </w:rPr>
            </w:pPr>
            <w:r>
              <w:rPr>
                <w:rFonts w:ascii="宋体" w:hAnsi="宋体" w:cs="宋体"/>
                <w:color w:val="auto"/>
                <w:highlight w:val="none"/>
              </w:rPr>
              <w:t>章</w:t>
            </w:r>
          </w:p>
          <w:p w14:paraId="38B894F0">
            <w:pPr>
              <w:jc w:val="left"/>
              <w:rPr>
                <w:rFonts w:ascii="宋体" w:hAnsi="宋体" w:cs="宋体"/>
                <w:color w:val="auto"/>
                <w:sz w:val="24"/>
                <w:highlight w:val="none"/>
              </w:rPr>
            </w:pPr>
          </w:p>
          <w:p w14:paraId="7F333F93">
            <w:pPr>
              <w:jc w:val="left"/>
              <w:rPr>
                <w:rFonts w:ascii="宋体" w:hAnsi="宋体" w:cs="宋体"/>
                <w:color w:val="auto"/>
                <w:sz w:val="24"/>
                <w:highlight w:val="none"/>
              </w:rPr>
            </w:pPr>
          </w:p>
          <w:p w14:paraId="30EF5BFD">
            <w:pPr>
              <w:pStyle w:val="7"/>
              <w:rPr>
                <w:rFonts w:ascii="宋体" w:hAnsi="宋体" w:cs="宋体"/>
                <w:color w:val="auto"/>
                <w:sz w:val="24"/>
                <w:szCs w:val="24"/>
                <w:highlight w:val="none"/>
              </w:rPr>
            </w:pPr>
          </w:p>
        </w:tc>
        <w:tc>
          <w:tcPr>
            <w:tcW w:w="4027" w:type="dxa"/>
            <w:tcBorders>
              <w:top w:val="single" w:color="000000" w:sz="4" w:space="0"/>
              <w:left w:val="single" w:color="000000" w:sz="4" w:space="0"/>
              <w:bottom w:val="single" w:color="000000" w:sz="4" w:space="0"/>
              <w:right w:val="single" w:color="000000" w:sz="4" w:space="0"/>
            </w:tcBorders>
            <w:noWrap w:val="0"/>
          </w:tcPr>
          <w:p w14:paraId="401B2972">
            <w:pPr>
              <w:pStyle w:val="7"/>
              <w:rPr>
                <w:rFonts w:ascii="宋体" w:hAnsi="宋体" w:cs="宋体"/>
                <w:color w:val="auto"/>
                <w:sz w:val="24"/>
                <w:highlight w:val="none"/>
              </w:rPr>
            </w:pPr>
          </w:p>
          <w:p w14:paraId="18F6EDED">
            <w:pPr>
              <w:pStyle w:val="7"/>
              <w:rPr>
                <w:rFonts w:ascii="宋体" w:hAnsi="宋体" w:cs="宋体"/>
                <w:color w:val="auto"/>
                <w:sz w:val="24"/>
                <w:highlight w:val="none"/>
              </w:rPr>
            </w:pPr>
          </w:p>
          <w:p w14:paraId="437CA691">
            <w:pPr>
              <w:pStyle w:val="7"/>
              <w:rPr>
                <w:rFonts w:ascii="宋体" w:hAnsi="宋体" w:cs="宋体"/>
                <w:color w:val="auto"/>
                <w:sz w:val="24"/>
                <w:highlight w:val="none"/>
              </w:rPr>
            </w:pPr>
          </w:p>
          <w:p w14:paraId="77CA525B">
            <w:pPr>
              <w:pStyle w:val="7"/>
              <w:rPr>
                <w:rFonts w:ascii="宋体" w:hAnsi="宋体" w:cs="宋体"/>
                <w:color w:val="auto"/>
                <w:sz w:val="24"/>
                <w:szCs w:val="24"/>
                <w:highlight w:val="none"/>
              </w:rPr>
            </w:pPr>
            <w:r>
              <w:rPr>
                <w:rFonts w:ascii="宋体" w:hAnsi="宋体" w:cs="宋体"/>
                <w:color w:val="auto"/>
                <w:sz w:val="24"/>
                <w:szCs w:val="24"/>
                <w:highlight w:val="none"/>
              </w:rPr>
              <w:t>法定代表人身份证反面</w:t>
            </w:r>
          </w:p>
          <w:p w14:paraId="23C15E56">
            <w:pPr>
              <w:pStyle w:val="7"/>
              <w:ind w:firstLine="1620"/>
              <w:rPr>
                <w:rFonts w:ascii="宋体" w:hAnsi="宋体" w:cs="宋体"/>
                <w:color w:val="auto"/>
                <w:sz w:val="24"/>
                <w:highlight w:val="none"/>
              </w:rPr>
            </w:pPr>
          </w:p>
        </w:tc>
      </w:tr>
    </w:tbl>
    <w:p w14:paraId="7341D2BE">
      <w:pPr>
        <w:jc w:val="left"/>
        <w:rPr>
          <w:rFonts w:ascii="宋体" w:hAnsi="宋体" w:cs="宋体"/>
          <w:color w:val="auto"/>
          <w:sz w:val="28"/>
          <w:szCs w:val="28"/>
          <w:highlight w:val="none"/>
        </w:rPr>
      </w:pPr>
      <w:r>
        <w:rPr>
          <w:color w:val="auto"/>
          <w:highlight w:val="none"/>
        </w:rPr>
        <w:br w:type="page" w:clear="all"/>
      </w:r>
    </w:p>
    <w:p w14:paraId="48CCD3E3">
      <w:pPr>
        <w:jc w:val="center"/>
        <w:rPr>
          <w:rFonts w:ascii="宋体" w:hAnsi="宋体" w:cs="宋体"/>
          <w:b/>
          <w:color w:val="auto"/>
          <w:sz w:val="28"/>
          <w:szCs w:val="28"/>
          <w:highlight w:val="none"/>
        </w:rPr>
      </w:pPr>
      <w:r>
        <w:rPr>
          <w:rFonts w:ascii="宋体" w:hAnsi="宋体" w:cs="宋体"/>
          <w:color w:val="auto"/>
          <w:sz w:val="28"/>
          <w:szCs w:val="28"/>
          <w:highlight w:val="none"/>
        </w:rPr>
        <w:t xml:space="preserve"> </w:t>
      </w:r>
      <w:r>
        <w:rPr>
          <w:rFonts w:ascii="宋体" w:hAnsi="宋体" w:cs="宋体"/>
          <w:b/>
          <w:color w:val="auto"/>
          <w:sz w:val="28"/>
          <w:szCs w:val="28"/>
          <w:highlight w:val="none"/>
        </w:rPr>
        <w:t>法定代表人授权书</w:t>
      </w:r>
    </w:p>
    <w:p w14:paraId="28D9B282">
      <w:pPr>
        <w:spacing w:line="400" w:lineRule="exact"/>
        <w:jc w:val="center"/>
        <w:rPr>
          <w:rFonts w:ascii="宋体" w:hAnsi="宋体" w:cs="宋体"/>
          <w:b/>
          <w:color w:val="auto"/>
          <w:sz w:val="44"/>
          <w:highlight w:val="none"/>
        </w:rPr>
      </w:pPr>
    </w:p>
    <w:p w14:paraId="3A532D67">
      <w:pPr>
        <w:spacing w:line="400" w:lineRule="exact"/>
        <w:jc w:val="center"/>
        <w:rPr>
          <w:rFonts w:ascii="宋体" w:hAnsi="宋体" w:cs="宋体"/>
          <w:b/>
          <w:color w:val="auto"/>
          <w:sz w:val="44"/>
          <w:highlight w:val="none"/>
        </w:rPr>
      </w:pPr>
    </w:p>
    <w:p w14:paraId="41B72452">
      <w:pPr>
        <w:spacing w:line="400" w:lineRule="exact"/>
        <w:rPr>
          <w:rFonts w:ascii="宋体" w:hAnsi="宋体" w:cs="宋体"/>
          <w:color w:val="auto"/>
          <w:sz w:val="24"/>
          <w:highlight w:val="none"/>
        </w:rPr>
      </w:pPr>
      <w:r>
        <w:rPr>
          <w:rFonts w:ascii="宋体" w:hAnsi="宋体" w:cs="宋体"/>
          <w:color w:val="auto"/>
          <w:sz w:val="24"/>
          <w:highlight w:val="none"/>
        </w:rPr>
        <w:t>__________________（采购人名称）：</w:t>
      </w:r>
    </w:p>
    <w:p w14:paraId="009948BD">
      <w:pPr>
        <w:spacing w:line="400" w:lineRule="exact"/>
        <w:ind w:firstLine="480"/>
        <w:rPr>
          <w:rFonts w:ascii="宋体" w:hAnsi="宋体" w:cs="宋体"/>
          <w:color w:val="auto"/>
          <w:sz w:val="24"/>
          <w:highlight w:val="none"/>
        </w:rPr>
      </w:pPr>
      <w:r>
        <w:rPr>
          <w:rFonts w:ascii="宋体" w:hAnsi="宋体" w:cs="宋体"/>
          <w:color w:val="auto"/>
          <w:sz w:val="24"/>
          <w:highlight w:val="none"/>
        </w:rPr>
        <w:t>本授权声明：</w:t>
      </w:r>
      <w:r>
        <w:rPr>
          <w:rFonts w:ascii="宋体" w:hAnsi="宋体" w:cs="宋体"/>
          <w:color w:val="auto"/>
          <w:sz w:val="24"/>
          <w:highlight w:val="none"/>
          <w:u w:val="single"/>
        </w:rPr>
        <w:t xml:space="preserve">                     </w:t>
      </w:r>
      <w:r>
        <w:rPr>
          <w:rFonts w:ascii="宋体" w:hAnsi="宋体" w:cs="宋体"/>
          <w:color w:val="auto"/>
          <w:sz w:val="24"/>
          <w:highlight w:val="none"/>
        </w:rPr>
        <w:t>（投标人名称）</w:t>
      </w:r>
      <w:r>
        <w:rPr>
          <w:rFonts w:ascii="宋体" w:hAnsi="宋体" w:cs="宋体"/>
          <w:color w:val="auto"/>
          <w:sz w:val="24"/>
          <w:highlight w:val="none"/>
          <w:u w:val="single"/>
        </w:rPr>
        <w:t xml:space="preserve">          </w:t>
      </w:r>
      <w:r>
        <w:rPr>
          <w:rFonts w:ascii="宋体" w:hAnsi="宋体" w:cs="宋体"/>
          <w:color w:val="auto"/>
          <w:sz w:val="24"/>
          <w:highlight w:val="none"/>
        </w:rPr>
        <w:t>（法定代表人姓名、职务）授权</w:t>
      </w:r>
      <w:r>
        <w:rPr>
          <w:rFonts w:ascii="宋体" w:hAnsi="宋体" w:cs="宋体"/>
          <w:color w:val="auto"/>
          <w:sz w:val="24"/>
          <w:highlight w:val="none"/>
          <w:u w:val="single"/>
        </w:rPr>
        <w:t xml:space="preserve">                        </w:t>
      </w:r>
      <w:r>
        <w:rPr>
          <w:rFonts w:ascii="宋体" w:hAnsi="宋体" w:cs="宋体"/>
          <w:color w:val="auto"/>
          <w:sz w:val="24"/>
          <w:highlight w:val="none"/>
        </w:rPr>
        <w:t xml:space="preserve">（被委托代理人姓名、职务）为我方  </w:t>
      </w:r>
      <w:r>
        <w:rPr>
          <w:rFonts w:ascii="宋体" w:hAnsi="宋体" w:cs="宋体"/>
          <w:color w:val="auto"/>
          <w:sz w:val="24"/>
          <w:highlight w:val="none"/>
          <w:u w:val="single"/>
        </w:rPr>
        <w:t xml:space="preserve">             </w:t>
      </w:r>
      <w:r>
        <w:rPr>
          <w:rFonts w:ascii="宋体" w:hAnsi="宋体" w:cs="宋体"/>
          <w:color w:val="auto"/>
          <w:sz w:val="24"/>
          <w:highlight w:val="none"/>
        </w:rPr>
        <w:t>项目投标活动的合法代表，以我方名义全权处理该项目有关投标、签订合同以及执行合同等一切事宜。</w:t>
      </w:r>
    </w:p>
    <w:p w14:paraId="09538268">
      <w:pPr>
        <w:spacing w:line="400" w:lineRule="exact"/>
        <w:ind w:firstLine="480"/>
        <w:rPr>
          <w:rFonts w:ascii="宋体" w:hAnsi="宋体" w:cs="宋体"/>
          <w:color w:val="auto"/>
          <w:sz w:val="24"/>
          <w:highlight w:val="none"/>
        </w:rPr>
      </w:pPr>
      <w:r>
        <w:rPr>
          <w:rFonts w:ascii="宋体" w:hAnsi="宋体" w:cs="宋体"/>
          <w:color w:val="auto"/>
          <w:sz w:val="24"/>
          <w:highlight w:val="none"/>
        </w:rPr>
        <w:t>特此声明。</w:t>
      </w:r>
    </w:p>
    <w:p w14:paraId="5FE815D8">
      <w:pPr>
        <w:spacing w:line="400" w:lineRule="exact"/>
        <w:ind w:firstLine="480"/>
        <w:rPr>
          <w:rFonts w:ascii="宋体" w:hAnsi="宋体" w:cs="宋体"/>
          <w:color w:val="auto"/>
          <w:sz w:val="24"/>
          <w:highlight w:val="none"/>
        </w:rPr>
      </w:pPr>
    </w:p>
    <w:p w14:paraId="4A60EB68">
      <w:pPr>
        <w:spacing w:line="400" w:lineRule="exact"/>
        <w:ind w:firstLine="480"/>
        <w:rPr>
          <w:rFonts w:ascii="宋体" w:hAnsi="宋体" w:cs="宋体"/>
          <w:color w:val="auto"/>
          <w:sz w:val="24"/>
          <w:highlight w:val="none"/>
        </w:rPr>
      </w:pPr>
    </w:p>
    <w:p w14:paraId="0CEC630E">
      <w:pPr>
        <w:spacing w:line="360" w:lineRule="auto"/>
        <w:ind w:firstLine="480"/>
        <w:rPr>
          <w:rFonts w:ascii="宋体" w:hAnsi="宋体" w:cs="宋体"/>
          <w:color w:val="auto"/>
          <w:sz w:val="24"/>
          <w:highlight w:val="none"/>
        </w:rPr>
      </w:pPr>
      <w:r>
        <w:rPr>
          <w:rFonts w:ascii="宋体" w:hAnsi="宋体" w:cs="宋体"/>
          <w:color w:val="auto"/>
          <w:sz w:val="24"/>
          <w:highlight w:val="none"/>
          <w:u w:val="single"/>
        </w:rPr>
        <w:t xml:space="preserve">                  </w:t>
      </w:r>
    </w:p>
    <w:p w14:paraId="744C865F">
      <w:pPr>
        <w:spacing w:line="360" w:lineRule="auto"/>
        <w:ind w:firstLine="480"/>
        <w:rPr>
          <w:rFonts w:ascii="宋体" w:hAnsi="宋体" w:cs="宋体"/>
          <w:color w:val="auto"/>
          <w:sz w:val="24"/>
          <w:highlight w:val="none"/>
        </w:rPr>
      </w:pPr>
      <w:r>
        <w:rPr>
          <w:rFonts w:ascii="宋体" w:hAnsi="宋体" w:cs="宋体"/>
          <w:color w:val="auto"/>
          <w:sz w:val="24"/>
          <w:highlight w:val="none"/>
        </w:rPr>
        <w:t>投标人名称：</w:t>
      </w:r>
      <w:r>
        <w:rPr>
          <w:rFonts w:ascii="宋体" w:hAnsi="宋体" w:cs="宋体"/>
          <w:color w:val="auto"/>
          <w:sz w:val="24"/>
          <w:szCs w:val="24"/>
          <w:highlight w:val="none"/>
        </w:rPr>
        <w:t>（</w:t>
      </w:r>
      <w:r>
        <w:rPr>
          <w:rFonts w:hint="eastAsia" w:ascii="Arial" w:hAnsi="Arial" w:cs="Arial"/>
          <w:color w:val="auto"/>
          <w:sz w:val="22"/>
          <w:szCs w:val="22"/>
          <w:highlight w:val="none"/>
        </w:rPr>
        <w:t>加盖电子公章</w:t>
      </w:r>
      <w:r>
        <w:rPr>
          <w:rFonts w:ascii="宋体" w:hAnsi="宋体" w:cs="宋体"/>
          <w:color w:val="auto"/>
          <w:sz w:val="24"/>
          <w:szCs w:val="24"/>
          <w:highlight w:val="none"/>
        </w:rPr>
        <w:t>）</w:t>
      </w:r>
      <w:r>
        <w:rPr>
          <w:rFonts w:ascii="宋体" w:hAnsi="宋体" w:cs="宋体"/>
          <w:color w:val="auto"/>
          <w:sz w:val="24"/>
          <w:highlight w:val="none"/>
          <w:u w:val="single"/>
        </w:rPr>
        <w:t xml:space="preserve">                  </w:t>
      </w:r>
    </w:p>
    <w:p w14:paraId="795D8E9E">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法定代表人或委托代理人：（签字或盖章）</w:t>
      </w:r>
    </w:p>
    <w:p w14:paraId="07A714AE">
      <w:pPr>
        <w:spacing w:line="360" w:lineRule="auto"/>
        <w:ind w:firstLine="480"/>
        <w:rPr>
          <w:rFonts w:ascii="宋体" w:hAnsi="宋体" w:cs="宋体"/>
          <w:color w:val="auto"/>
          <w:sz w:val="24"/>
          <w:highlight w:val="none"/>
        </w:rPr>
      </w:pPr>
      <w:r>
        <w:rPr>
          <w:rFonts w:ascii="宋体" w:hAnsi="宋体" w:cs="宋体"/>
          <w:color w:val="auto"/>
          <w:sz w:val="24"/>
          <w:highlight w:val="none"/>
        </w:rPr>
        <w:t>日    期：</w:t>
      </w:r>
      <w:r>
        <w:rPr>
          <w:rFonts w:ascii="宋体" w:hAnsi="宋体" w:cs="宋体"/>
          <w:color w:val="auto"/>
          <w:sz w:val="24"/>
          <w:highlight w:val="none"/>
          <w:u w:val="single"/>
        </w:rPr>
        <w:t xml:space="preserve">                  </w:t>
      </w:r>
    </w:p>
    <w:p w14:paraId="50611B2C">
      <w:pPr>
        <w:spacing w:line="400" w:lineRule="exact"/>
        <w:rPr>
          <w:rFonts w:ascii="宋体" w:hAnsi="宋体" w:cs="宋体"/>
          <w:color w:val="auto"/>
          <w:sz w:val="32"/>
          <w:highlight w:val="none"/>
        </w:rPr>
      </w:pPr>
    </w:p>
    <w:p w14:paraId="79177736">
      <w:pPr>
        <w:spacing w:line="400" w:lineRule="exact"/>
        <w:rPr>
          <w:rFonts w:ascii="宋体" w:hAnsi="宋体" w:cs="宋体"/>
          <w:b/>
          <w:color w:val="auto"/>
          <w:sz w:val="28"/>
          <w:szCs w:val="28"/>
          <w:highlight w:val="none"/>
        </w:rPr>
      </w:pPr>
      <w:r>
        <w:rPr>
          <w:rFonts w:ascii="宋体" w:hAnsi="宋体" w:cs="宋体"/>
          <w:color w:val="auto"/>
          <w:sz w:val="32"/>
          <w:highlight w:val="none"/>
        </w:rPr>
        <w:t xml:space="preserve">         </w:t>
      </w:r>
      <w:r>
        <w:rPr>
          <w:rFonts w:ascii="宋体" w:hAnsi="宋体" w:cs="宋体"/>
          <w:b/>
          <w:color w:val="auto"/>
          <w:sz w:val="28"/>
          <w:szCs w:val="28"/>
          <w:highlight w:val="none"/>
        </w:rPr>
        <w:t xml:space="preserve">         </w:t>
      </w:r>
    </w:p>
    <w:p w14:paraId="29E369E5">
      <w:pPr>
        <w:spacing w:line="400" w:lineRule="exact"/>
        <w:ind w:firstLine="480"/>
        <w:rPr>
          <w:rFonts w:ascii="宋体" w:hAnsi="宋体" w:cs="宋体"/>
          <w:color w:val="auto"/>
          <w:sz w:val="24"/>
          <w:highlight w:val="none"/>
        </w:rPr>
      </w:pPr>
      <w:r>
        <w:rPr>
          <w:rFonts w:ascii="宋体" w:hAnsi="宋体" w:cs="宋体"/>
          <w:color w:val="auto"/>
          <w:sz w:val="24"/>
          <w:highlight w:val="none"/>
        </w:rPr>
        <w:t xml:space="preserve">说明：上述证明文件在投标文件中附有代理人身份证原件扫描件时才能生效； </w:t>
      </w:r>
    </w:p>
    <w:p w14:paraId="4B623E83">
      <w:pPr>
        <w:spacing w:line="400" w:lineRule="exact"/>
        <w:rPr>
          <w:rFonts w:ascii="宋体" w:hAnsi="宋体" w:cs="宋体"/>
          <w:b/>
          <w:color w:val="auto"/>
          <w:sz w:val="28"/>
          <w:szCs w:val="28"/>
          <w:highlight w:val="none"/>
        </w:rPr>
      </w:pPr>
    </w:p>
    <w:p w14:paraId="039D7050">
      <w:pPr>
        <w:pStyle w:val="7"/>
        <w:rPr>
          <w:rFonts w:ascii="宋体" w:hAnsi="宋体" w:cs="宋体"/>
          <w:color w:val="auto"/>
          <w:sz w:val="24"/>
          <w:szCs w:val="24"/>
          <w:highlight w:val="none"/>
        </w:rPr>
      </w:pPr>
      <w:r>
        <w:rPr>
          <w:rFonts w:ascii="宋体" w:hAnsi="宋体" w:cs="宋体"/>
          <w:color w:val="auto"/>
          <w:sz w:val="24"/>
          <w:szCs w:val="24"/>
          <w:highlight w:val="none"/>
        </w:rPr>
        <w:t>授权代表身份证</w:t>
      </w:r>
      <w:r>
        <w:rPr>
          <w:rFonts w:ascii="宋体" w:hAnsi="宋体" w:cs="宋体"/>
          <w:color w:val="auto"/>
          <w:sz w:val="24"/>
          <w:highlight w:val="none"/>
        </w:rPr>
        <w:t>原件扫描件</w:t>
      </w:r>
      <w:r>
        <w:rPr>
          <w:rFonts w:ascii="宋体" w:hAnsi="宋体" w:cs="宋体"/>
          <w:color w:val="auto"/>
          <w:sz w:val="24"/>
          <w:szCs w:val="24"/>
          <w:highlight w:val="none"/>
        </w:rPr>
        <w:t>（正反两面均需提供）：</w:t>
      </w:r>
    </w:p>
    <w:p w14:paraId="37C760E6">
      <w:pPr>
        <w:pStyle w:val="7"/>
        <w:rPr>
          <w:rFonts w:ascii="宋体" w:hAnsi="宋体" w:cs="宋体"/>
          <w:color w:val="auto"/>
          <w:sz w:val="24"/>
          <w:szCs w:val="24"/>
          <w:highlight w:val="none"/>
        </w:rPr>
      </w:pPr>
    </w:p>
    <w:tbl>
      <w:tblPr>
        <w:tblStyle w:val="47"/>
        <w:tblW w:w="8707" w:type="dxa"/>
        <w:jc w:val="center"/>
        <w:tblLayout w:type="fixed"/>
        <w:tblCellMar>
          <w:top w:w="0" w:type="dxa"/>
          <w:left w:w="108" w:type="dxa"/>
          <w:bottom w:w="0" w:type="dxa"/>
          <w:right w:w="108" w:type="dxa"/>
        </w:tblCellMar>
      </w:tblPr>
      <w:tblGrid>
        <w:gridCol w:w="4031"/>
        <w:gridCol w:w="467"/>
        <w:gridCol w:w="4209"/>
      </w:tblGrid>
      <w:tr w14:paraId="4CCAF0AF">
        <w:tblPrEx>
          <w:tblCellMar>
            <w:top w:w="0" w:type="dxa"/>
            <w:left w:w="108" w:type="dxa"/>
            <w:bottom w:w="0" w:type="dxa"/>
            <w:right w:w="108" w:type="dxa"/>
          </w:tblCellMar>
        </w:tblPrEx>
        <w:trPr>
          <w:trHeight w:val="2673" w:hRule="atLeast"/>
          <w:jc w:val="center"/>
        </w:trPr>
        <w:tc>
          <w:tcPr>
            <w:tcW w:w="4031" w:type="dxa"/>
            <w:tcBorders>
              <w:top w:val="single" w:color="000000" w:sz="4" w:space="0"/>
              <w:left w:val="single" w:color="000000" w:sz="4" w:space="0"/>
              <w:bottom w:val="single" w:color="000000" w:sz="4" w:space="0"/>
              <w:right w:val="single" w:color="000000" w:sz="4" w:space="0"/>
            </w:tcBorders>
            <w:noWrap w:val="0"/>
          </w:tcPr>
          <w:p w14:paraId="4C7EBDF7">
            <w:pPr>
              <w:pStyle w:val="7"/>
              <w:rPr>
                <w:rFonts w:ascii="宋体" w:hAnsi="宋体" w:cs="宋体"/>
                <w:color w:val="auto"/>
                <w:sz w:val="24"/>
                <w:szCs w:val="24"/>
                <w:highlight w:val="none"/>
              </w:rPr>
            </w:pPr>
          </w:p>
          <w:p w14:paraId="367D622D">
            <w:pPr>
              <w:pStyle w:val="7"/>
              <w:rPr>
                <w:rFonts w:ascii="宋体" w:hAnsi="宋体" w:cs="宋体"/>
                <w:color w:val="auto"/>
                <w:sz w:val="24"/>
                <w:szCs w:val="24"/>
                <w:highlight w:val="none"/>
              </w:rPr>
            </w:pPr>
          </w:p>
          <w:p w14:paraId="5D325AA0">
            <w:pPr>
              <w:pStyle w:val="7"/>
              <w:rPr>
                <w:rFonts w:ascii="宋体" w:hAnsi="宋体" w:cs="宋体"/>
                <w:color w:val="auto"/>
                <w:sz w:val="24"/>
                <w:szCs w:val="24"/>
                <w:highlight w:val="none"/>
              </w:rPr>
            </w:pPr>
          </w:p>
          <w:p w14:paraId="44F8B8DF">
            <w:pPr>
              <w:pStyle w:val="7"/>
              <w:ind w:firstLine="0"/>
              <w:rPr>
                <w:rFonts w:ascii="宋体" w:hAnsi="宋体" w:cs="宋体"/>
                <w:color w:val="auto"/>
                <w:sz w:val="24"/>
                <w:szCs w:val="24"/>
                <w:highlight w:val="none"/>
              </w:rPr>
            </w:pPr>
            <w:r>
              <w:rPr>
                <w:rFonts w:ascii="宋体" w:hAnsi="宋体" w:cs="宋体"/>
                <w:color w:val="auto"/>
                <w:sz w:val="24"/>
                <w:szCs w:val="24"/>
                <w:highlight w:val="none"/>
              </w:rPr>
              <w:t>被委托</w:t>
            </w:r>
            <w:r>
              <w:rPr>
                <w:rFonts w:ascii="宋体" w:hAnsi="宋体" w:cs="宋体"/>
                <w:color w:val="auto"/>
                <w:sz w:val="24"/>
                <w:highlight w:val="none"/>
              </w:rPr>
              <w:t>代理人</w:t>
            </w:r>
            <w:r>
              <w:rPr>
                <w:rFonts w:ascii="宋体" w:hAnsi="宋体" w:cs="宋体"/>
                <w:color w:val="auto"/>
                <w:sz w:val="24"/>
                <w:szCs w:val="24"/>
                <w:highlight w:val="none"/>
              </w:rPr>
              <w:t>身份证正面</w:t>
            </w:r>
          </w:p>
          <w:p w14:paraId="247F360D">
            <w:pPr>
              <w:pStyle w:val="7"/>
              <w:rPr>
                <w:rFonts w:ascii="宋体" w:hAnsi="宋体" w:cs="宋体"/>
                <w:color w:val="auto"/>
                <w:sz w:val="24"/>
                <w:szCs w:val="24"/>
                <w:highlight w:val="none"/>
              </w:rPr>
            </w:pPr>
          </w:p>
        </w:tc>
        <w:tc>
          <w:tcPr>
            <w:tcW w:w="467" w:type="dxa"/>
            <w:tcBorders>
              <w:left w:val="single" w:color="000000" w:sz="4" w:space="0"/>
              <w:right w:val="single" w:color="000000" w:sz="4" w:space="0"/>
            </w:tcBorders>
            <w:noWrap w:val="0"/>
          </w:tcPr>
          <w:p w14:paraId="3CE8F6B1">
            <w:pPr>
              <w:pStyle w:val="7"/>
              <w:ind w:left="621"/>
              <w:rPr>
                <w:rFonts w:ascii="宋体" w:hAnsi="宋体" w:cs="宋体"/>
                <w:color w:val="auto"/>
                <w:sz w:val="24"/>
                <w:szCs w:val="24"/>
                <w:highlight w:val="none"/>
              </w:rPr>
            </w:pPr>
          </w:p>
          <w:p w14:paraId="7B26E48C">
            <w:pPr>
              <w:jc w:val="left"/>
              <w:rPr>
                <w:rFonts w:ascii="宋体" w:hAnsi="宋体" w:cs="宋体"/>
                <w:color w:val="auto"/>
                <w:sz w:val="24"/>
                <w:highlight w:val="none"/>
              </w:rPr>
            </w:pPr>
          </w:p>
          <w:p w14:paraId="1E1FB440">
            <w:pPr>
              <w:jc w:val="left"/>
              <w:rPr>
                <w:rFonts w:ascii="宋体" w:hAnsi="宋体" w:cs="宋体"/>
                <w:color w:val="auto"/>
                <w:highlight w:val="none"/>
              </w:rPr>
            </w:pPr>
            <w:r>
              <w:rPr>
                <w:rFonts w:ascii="宋体" w:hAnsi="宋体" w:cs="宋体"/>
                <w:color w:val="auto"/>
                <w:highlight w:val="none"/>
              </w:rPr>
              <w:t>加</w:t>
            </w:r>
          </w:p>
          <w:p w14:paraId="7B4D0C91">
            <w:pPr>
              <w:jc w:val="left"/>
              <w:rPr>
                <w:rFonts w:ascii="宋体" w:hAnsi="宋体" w:cs="宋体"/>
                <w:color w:val="auto"/>
                <w:highlight w:val="none"/>
              </w:rPr>
            </w:pPr>
            <w:r>
              <w:rPr>
                <w:rFonts w:ascii="宋体" w:hAnsi="宋体" w:cs="宋体"/>
                <w:color w:val="auto"/>
                <w:highlight w:val="none"/>
              </w:rPr>
              <w:t>盖</w:t>
            </w:r>
          </w:p>
          <w:p w14:paraId="6A96336F">
            <w:pPr>
              <w:jc w:val="left"/>
              <w:rPr>
                <w:rFonts w:ascii="宋体" w:hAnsi="宋体" w:cs="宋体"/>
                <w:color w:val="auto"/>
                <w:highlight w:val="none"/>
              </w:rPr>
            </w:pPr>
            <w:r>
              <w:rPr>
                <w:rFonts w:ascii="宋体" w:hAnsi="宋体" w:cs="宋体"/>
                <w:color w:val="auto"/>
                <w:highlight w:val="none"/>
              </w:rPr>
              <w:t>公</w:t>
            </w:r>
          </w:p>
          <w:p w14:paraId="26F170EE">
            <w:pPr>
              <w:jc w:val="left"/>
              <w:rPr>
                <w:rFonts w:ascii="宋体" w:hAnsi="宋体" w:cs="宋体"/>
                <w:color w:val="auto"/>
                <w:sz w:val="24"/>
                <w:highlight w:val="none"/>
              </w:rPr>
            </w:pPr>
            <w:r>
              <w:rPr>
                <w:rFonts w:ascii="宋体" w:hAnsi="宋体" w:cs="宋体"/>
                <w:color w:val="auto"/>
                <w:highlight w:val="none"/>
              </w:rPr>
              <w:t>章</w:t>
            </w:r>
          </w:p>
          <w:p w14:paraId="428AF867">
            <w:pPr>
              <w:jc w:val="left"/>
              <w:rPr>
                <w:rFonts w:ascii="宋体" w:hAnsi="宋体" w:cs="宋体"/>
                <w:color w:val="auto"/>
                <w:sz w:val="24"/>
                <w:highlight w:val="none"/>
              </w:rPr>
            </w:pPr>
          </w:p>
          <w:p w14:paraId="530A5771">
            <w:pPr>
              <w:jc w:val="left"/>
              <w:rPr>
                <w:rFonts w:ascii="宋体" w:hAnsi="宋体" w:cs="宋体"/>
                <w:color w:val="auto"/>
                <w:sz w:val="24"/>
                <w:highlight w:val="none"/>
              </w:rPr>
            </w:pPr>
          </w:p>
          <w:p w14:paraId="71E5EFC8">
            <w:pPr>
              <w:pStyle w:val="7"/>
              <w:rPr>
                <w:rFonts w:ascii="宋体" w:hAnsi="宋体" w:cs="宋体"/>
                <w:color w:val="auto"/>
                <w:sz w:val="24"/>
                <w:szCs w:val="24"/>
                <w:highlight w:val="none"/>
              </w:rPr>
            </w:pPr>
          </w:p>
        </w:tc>
        <w:tc>
          <w:tcPr>
            <w:tcW w:w="4209" w:type="dxa"/>
            <w:tcBorders>
              <w:top w:val="single" w:color="000000" w:sz="4" w:space="0"/>
              <w:left w:val="single" w:color="000000" w:sz="4" w:space="0"/>
              <w:bottom w:val="single" w:color="000000" w:sz="4" w:space="0"/>
              <w:right w:val="single" w:color="000000" w:sz="4" w:space="0"/>
            </w:tcBorders>
            <w:noWrap w:val="0"/>
          </w:tcPr>
          <w:p w14:paraId="268FB8B7">
            <w:pPr>
              <w:pStyle w:val="7"/>
              <w:rPr>
                <w:rFonts w:ascii="宋体" w:hAnsi="宋体" w:cs="宋体"/>
                <w:color w:val="auto"/>
                <w:sz w:val="24"/>
                <w:highlight w:val="none"/>
              </w:rPr>
            </w:pPr>
          </w:p>
          <w:p w14:paraId="12C083DB">
            <w:pPr>
              <w:pStyle w:val="7"/>
              <w:rPr>
                <w:rFonts w:ascii="宋体" w:hAnsi="宋体" w:cs="宋体"/>
                <w:color w:val="auto"/>
                <w:sz w:val="24"/>
                <w:highlight w:val="none"/>
              </w:rPr>
            </w:pPr>
          </w:p>
          <w:p w14:paraId="699AC60D">
            <w:pPr>
              <w:pStyle w:val="7"/>
              <w:rPr>
                <w:rFonts w:ascii="宋体" w:hAnsi="宋体" w:cs="宋体"/>
                <w:color w:val="auto"/>
                <w:sz w:val="24"/>
                <w:highlight w:val="none"/>
              </w:rPr>
            </w:pPr>
          </w:p>
          <w:p w14:paraId="50BC338E">
            <w:pPr>
              <w:pStyle w:val="7"/>
              <w:rPr>
                <w:rFonts w:ascii="宋体" w:hAnsi="宋体" w:cs="宋体"/>
                <w:color w:val="auto"/>
                <w:sz w:val="24"/>
                <w:szCs w:val="24"/>
                <w:highlight w:val="none"/>
              </w:rPr>
            </w:pPr>
            <w:r>
              <w:rPr>
                <w:rFonts w:ascii="宋体" w:hAnsi="宋体" w:cs="宋体"/>
                <w:color w:val="auto"/>
                <w:sz w:val="24"/>
                <w:szCs w:val="24"/>
                <w:highlight w:val="none"/>
              </w:rPr>
              <w:t>被委托</w:t>
            </w:r>
            <w:r>
              <w:rPr>
                <w:rFonts w:ascii="宋体" w:hAnsi="宋体" w:cs="宋体"/>
                <w:color w:val="auto"/>
                <w:sz w:val="24"/>
                <w:highlight w:val="none"/>
              </w:rPr>
              <w:t>代理人</w:t>
            </w:r>
            <w:r>
              <w:rPr>
                <w:rFonts w:ascii="宋体" w:hAnsi="宋体" w:cs="宋体"/>
                <w:color w:val="auto"/>
                <w:sz w:val="24"/>
                <w:szCs w:val="24"/>
                <w:highlight w:val="none"/>
              </w:rPr>
              <w:t>身份证反面</w:t>
            </w:r>
          </w:p>
          <w:p w14:paraId="78BA194A">
            <w:pPr>
              <w:pStyle w:val="7"/>
              <w:ind w:firstLine="1620"/>
              <w:rPr>
                <w:rFonts w:ascii="宋体" w:hAnsi="宋体" w:cs="宋体"/>
                <w:color w:val="auto"/>
                <w:sz w:val="24"/>
                <w:highlight w:val="none"/>
              </w:rPr>
            </w:pPr>
          </w:p>
        </w:tc>
      </w:tr>
    </w:tbl>
    <w:p w14:paraId="563D2309">
      <w:pPr>
        <w:spacing w:line="276" w:lineRule="auto"/>
        <w:rPr>
          <w:rFonts w:ascii="宋体" w:hAnsi="宋体" w:cs="宋体"/>
          <w:color w:val="auto"/>
          <w:sz w:val="30"/>
          <w:highlight w:val="none"/>
        </w:rPr>
      </w:pPr>
    </w:p>
    <w:p w14:paraId="7F009A9E">
      <w:pPr>
        <w:rPr>
          <w:rFonts w:ascii="宋体" w:hAnsi="宋体" w:cs="宋体"/>
          <w:color w:val="auto"/>
          <w:highlight w:val="none"/>
        </w:rPr>
      </w:pPr>
    </w:p>
    <w:p w14:paraId="58F25CCE">
      <w:pPr>
        <w:pStyle w:val="7"/>
        <w:rPr>
          <w:rFonts w:ascii="宋体" w:hAnsi="宋体" w:cs="宋体"/>
          <w:b/>
          <w:color w:val="auto"/>
          <w:szCs w:val="21"/>
          <w:highlight w:val="none"/>
        </w:rPr>
      </w:pPr>
    </w:p>
    <w:p w14:paraId="7DFDDE90">
      <w:pPr>
        <w:rPr>
          <w:rFonts w:ascii="宋体" w:hAnsi="宋体" w:cs="宋体"/>
          <w:b/>
          <w:color w:val="auto"/>
          <w:sz w:val="28"/>
          <w:szCs w:val="28"/>
          <w:highlight w:val="none"/>
        </w:rPr>
      </w:pPr>
      <w:r>
        <w:rPr>
          <w:color w:val="auto"/>
          <w:highlight w:val="none"/>
        </w:rPr>
        <w:br w:type="page" w:clear="all"/>
      </w:r>
    </w:p>
    <w:p w14:paraId="3C1699BE">
      <w:p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承诺书</w:t>
      </w:r>
    </w:p>
    <w:p w14:paraId="4DB0FEF9">
      <w:pPr>
        <w:keepNext w:val="0"/>
        <w:keepLines w:val="0"/>
        <w:pageBreakBefore w:val="0"/>
        <w:widowControl w:val="0"/>
        <w:kinsoku/>
        <w:wordWrap/>
        <w:overflowPunct/>
        <w:topLinePunct w:val="0"/>
        <w:autoSpaceDE/>
        <w:autoSpaceDN/>
        <w:bidi w:val="0"/>
        <w:adjustRightInd/>
        <w:snapToGrid/>
        <w:spacing w:before="181" w:beforeLines="50" w:after="181" w:afterLines="50" w:line="400" w:lineRule="exact"/>
        <w:textAlignment w:val="auto"/>
        <w:rPr>
          <w:rFonts w:ascii="宋体" w:hAnsi="宋体" w:cs="宋体"/>
          <w:color w:val="auto"/>
          <w:sz w:val="24"/>
          <w:highlight w:val="none"/>
        </w:rPr>
      </w:pPr>
      <w:r>
        <w:rPr>
          <w:rFonts w:ascii="宋体" w:hAnsi="宋体" w:cs="宋体"/>
          <w:color w:val="auto"/>
          <w:sz w:val="24"/>
          <w:highlight w:val="none"/>
        </w:rPr>
        <w:t>__________________（采购人名称）：</w:t>
      </w:r>
    </w:p>
    <w:p w14:paraId="47017C9B">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ascii="宋体" w:hAnsi="宋体" w:cs="宋体"/>
          <w:color w:val="auto"/>
          <w:sz w:val="24"/>
          <w:highlight w:val="none"/>
        </w:rPr>
      </w:pPr>
      <w:r>
        <w:rPr>
          <w:rFonts w:ascii="宋体" w:hAnsi="宋体" w:cs="宋体"/>
          <w:color w:val="auto"/>
          <w:sz w:val="24"/>
          <w:highlight w:val="none"/>
        </w:rPr>
        <w:t>本单位就参加</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政府采购活动，郑重承诺如下：</w:t>
      </w:r>
    </w:p>
    <w:p w14:paraId="40C1427F">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w:t>
      </w:r>
      <w:r>
        <w:rPr>
          <w:rFonts w:ascii="宋体" w:hAnsi="宋体" w:cs="宋体"/>
          <w:color w:val="auto"/>
          <w:sz w:val="24"/>
          <w:highlight w:val="none"/>
        </w:rPr>
        <w:t>本单位不存在</w:t>
      </w:r>
      <w:r>
        <w:rPr>
          <w:rFonts w:hint="eastAsia" w:ascii="宋体" w:hAnsi="宋体" w:cs="宋体"/>
          <w:color w:val="auto"/>
          <w:sz w:val="24"/>
          <w:highlight w:val="none"/>
          <w:lang w:val="en-US" w:eastAsia="zh-CN"/>
        </w:rPr>
        <w:t>以下情形：</w:t>
      </w:r>
    </w:p>
    <w:p w14:paraId="06E11EEA">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（1）单位负责人为同一人或者存在直接控股、管理关系的不同供应商，不得参加同一合同项下的政府采购活动；</w:t>
      </w:r>
    </w:p>
    <w:p w14:paraId="43689133">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（2）除单一来源采购项目外，为本次采购项目提供整体设计、规范编制或者项目管理、监理、检测等服务的供应商，不得再参加该采购项目的其他采购活动；</w:t>
      </w:r>
    </w:p>
    <w:p w14:paraId="1780D3A3">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（3）被“信用中国” 网站列入失信被执行人、重大税收违法失信主体、政府采购严重违法失信行为记录名单的供应商，不得参与本次采购。</w:t>
      </w:r>
    </w:p>
    <w:p w14:paraId="0EA3BE08">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default" w:ascii="宋体" w:hAnsi="宋体" w:cs="宋体"/>
          <w:color w:val="auto"/>
          <w:sz w:val="24"/>
          <w:highlight w:val="none"/>
        </w:rPr>
        <w:t>.</w:t>
      </w:r>
      <w:r>
        <w:rPr>
          <w:rFonts w:ascii="宋体" w:hAnsi="宋体" w:cs="宋体"/>
          <w:color w:val="auto"/>
          <w:sz w:val="24"/>
          <w:highlight w:val="none"/>
        </w:rPr>
        <w:t>本单位承诺上述内容真实有效，如存在虚假承诺，自愿承担投标无效、列入不良行为记录等一切法律及合同责任。</w:t>
      </w:r>
    </w:p>
    <w:p w14:paraId="7543BC5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auto"/>
          <w:sz w:val="24"/>
          <w:highlight w:val="none"/>
        </w:rPr>
      </w:pPr>
    </w:p>
    <w:p w14:paraId="15CA2D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auto"/>
          <w:sz w:val="24"/>
          <w:highlight w:val="none"/>
        </w:rPr>
      </w:pPr>
    </w:p>
    <w:p w14:paraId="2D49B50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auto"/>
          <w:sz w:val="24"/>
          <w:highlight w:val="none"/>
        </w:rPr>
      </w:pPr>
      <w:r>
        <w:rPr>
          <w:rFonts w:ascii="宋体" w:hAnsi="宋体" w:cs="宋体"/>
          <w:color w:val="auto"/>
          <w:sz w:val="24"/>
          <w:highlight w:val="none"/>
        </w:rPr>
        <w:t>投标人名称：</w:t>
      </w:r>
      <w:r>
        <w:rPr>
          <w:rFonts w:ascii="宋体" w:hAnsi="宋体" w:cs="宋体"/>
          <w:color w:val="auto"/>
          <w:sz w:val="24"/>
          <w:szCs w:val="24"/>
          <w:highlight w:val="none"/>
        </w:rPr>
        <w:t>（</w:t>
      </w:r>
      <w:r>
        <w:rPr>
          <w:rFonts w:hint="eastAsia" w:ascii="Arial" w:hAnsi="Arial" w:cs="Arial"/>
          <w:color w:val="auto"/>
          <w:sz w:val="22"/>
          <w:szCs w:val="22"/>
          <w:highlight w:val="none"/>
        </w:rPr>
        <w:t>加盖电子公章</w:t>
      </w:r>
      <w:r>
        <w:rPr>
          <w:rFonts w:ascii="宋体" w:hAnsi="宋体" w:cs="宋体"/>
          <w:color w:val="auto"/>
          <w:sz w:val="24"/>
          <w:szCs w:val="24"/>
          <w:highlight w:val="none"/>
        </w:rPr>
        <w:t>）</w:t>
      </w:r>
      <w:r>
        <w:rPr>
          <w:rFonts w:ascii="宋体" w:hAnsi="宋体" w:cs="宋体"/>
          <w:color w:val="auto"/>
          <w:sz w:val="24"/>
          <w:highlight w:val="none"/>
          <w:u w:val="single"/>
        </w:rPr>
        <w:t xml:space="preserve">                  </w:t>
      </w:r>
    </w:p>
    <w:p w14:paraId="597A0C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法定代表人或委托代理人：（签字或盖章）</w:t>
      </w:r>
    </w:p>
    <w:p w14:paraId="059A053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s="宋体"/>
          <w:color w:val="auto"/>
          <w:sz w:val="24"/>
          <w:highlight w:val="none"/>
        </w:rPr>
      </w:pPr>
      <w:r>
        <w:rPr>
          <w:rFonts w:ascii="宋体" w:hAnsi="宋体" w:cs="宋体"/>
          <w:color w:val="auto"/>
          <w:sz w:val="24"/>
          <w:highlight w:val="none"/>
        </w:rPr>
        <w:t>日    期：</w:t>
      </w:r>
    </w:p>
    <w:p w14:paraId="1090BBBA">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ascii="宋体" w:hAnsi="宋体" w:cs="宋体"/>
          <w:color w:val="auto"/>
          <w:sz w:val="24"/>
          <w:highlight w:val="none"/>
        </w:rPr>
      </w:pPr>
      <w:r>
        <w:rPr>
          <w:rFonts w:ascii="宋体" w:hAnsi="宋体" w:cs="宋体"/>
          <w:color w:val="auto"/>
          <w:sz w:val="24"/>
          <w:highlight w:val="none"/>
        </w:rPr>
        <w:br w:type="page"/>
      </w:r>
    </w:p>
    <w:p w14:paraId="643257C6">
      <w:pPr>
        <w:jc w:val="center"/>
        <w:rPr>
          <w:rFonts w:ascii="宋体" w:hAnsi="宋体" w:cs="宋体"/>
          <w:b/>
          <w:color w:val="auto"/>
          <w:sz w:val="28"/>
          <w:szCs w:val="28"/>
          <w:highlight w:val="none"/>
        </w:rPr>
      </w:pPr>
      <w:r>
        <w:rPr>
          <w:rFonts w:ascii="宋体" w:hAnsi="宋体" w:cs="宋体"/>
          <w:b/>
          <w:color w:val="auto"/>
          <w:sz w:val="28"/>
          <w:szCs w:val="28"/>
          <w:highlight w:val="none"/>
        </w:rPr>
        <w:t>投标人基本情况一览表</w:t>
      </w:r>
    </w:p>
    <w:p w14:paraId="1B5392F1">
      <w:pPr>
        <w:spacing w:after="120"/>
        <w:jc w:val="left"/>
        <w:rPr>
          <w:rFonts w:ascii="宋体" w:hAnsi="宋体" w:cs="宋体"/>
          <w:color w:val="auto"/>
          <w:sz w:val="34"/>
          <w:szCs w:val="34"/>
          <w:highlight w:val="none"/>
        </w:rPr>
      </w:pPr>
      <w:r>
        <w:rPr>
          <w:rFonts w:ascii="宋体" w:hAnsi="宋体" w:cs="宋体"/>
          <w:color w:val="auto"/>
          <w:sz w:val="24"/>
          <w:highlight w:val="none"/>
          <w:lang w:val="zh-CN"/>
        </w:rPr>
        <w:t>投标</w:t>
      </w:r>
      <w:r>
        <w:rPr>
          <w:rFonts w:ascii="宋体" w:hAnsi="宋体" w:cs="宋体"/>
          <w:color w:val="auto"/>
          <w:sz w:val="24"/>
          <w:highlight w:val="none"/>
        </w:rPr>
        <w:t>人</w:t>
      </w:r>
      <w:r>
        <w:rPr>
          <w:rFonts w:ascii="宋体" w:hAnsi="宋体" w:cs="宋体"/>
          <w:color w:val="auto"/>
          <w:sz w:val="24"/>
          <w:szCs w:val="24"/>
          <w:highlight w:val="none"/>
        </w:rPr>
        <w:t>（</w:t>
      </w:r>
      <w:r>
        <w:rPr>
          <w:rFonts w:hint="eastAsia" w:ascii="Arial" w:hAnsi="Arial" w:cs="Arial"/>
          <w:color w:val="auto"/>
          <w:sz w:val="22"/>
          <w:szCs w:val="22"/>
          <w:highlight w:val="none"/>
        </w:rPr>
        <w:t>加盖电子公章</w:t>
      </w:r>
      <w:r>
        <w:rPr>
          <w:rFonts w:ascii="宋体" w:hAnsi="宋体" w:cs="宋体"/>
          <w:color w:val="auto"/>
          <w:sz w:val="24"/>
          <w:szCs w:val="24"/>
          <w:highlight w:val="none"/>
        </w:rPr>
        <w:t>）</w:t>
      </w:r>
      <w:r>
        <w:rPr>
          <w:rFonts w:ascii="宋体" w:hAnsi="宋体" w:cs="宋体"/>
          <w:color w:val="auto"/>
          <w:sz w:val="24"/>
          <w:highlight w:val="none"/>
          <w:lang w:val="zh-CN"/>
        </w:rPr>
        <w:t>：</w:t>
      </w:r>
      <w:r>
        <w:rPr>
          <w:rFonts w:ascii="宋体" w:hAnsi="宋体" w:cs="宋体"/>
          <w:color w:val="auto"/>
          <w:sz w:val="34"/>
          <w:szCs w:val="34"/>
          <w:highlight w:val="none"/>
        </w:rPr>
        <w:t xml:space="preserve"> </w:t>
      </w:r>
    </w:p>
    <w:tbl>
      <w:tblPr>
        <w:tblStyle w:val="47"/>
        <w:tblW w:w="8908" w:type="dxa"/>
        <w:jc w:val="center"/>
        <w:tblLayout w:type="fixed"/>
        <w:tblCellMar>
          <w:top w:w="0" w:type="dxa"/>
          <w:left w:w="108" w:type="dxa"/>
          <w:bottom w:w="0" w:type="dxa"/>
          <w:right w:w="108" w:type="dxa"/>
        </w:tblCellMar>
      </w:tblPr>
      <w:tblGrid>
        <w:gridCol w:w="2407"/>
        <w:gridCol w:w="2191"/>
        <w:gridCol w:w="2115"/>
        <w:gridCol w:w="2195"/>
      </w:tblGrid>
      <w:tr w14:paraId="1E46CA36">
        <w:tblPrEx>
          <w:tblCellMar>
            <w:top w:w="0" w:type="dxa"/>
            <w:left w:w="108" w:type="dxa"/>
            <w:bottom w:w="0" w:type="dxa"/>
            <w:right w:w="108" w:type="dxa"/>
          </w:tblCellMar>
        </w:tblPrEx>
        <w:trPr>
          <w:cantSplit/>
          <w:trHeight w:val="510"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51CA55D6">
            <w:pPr>
              <w:jc w:val="center"/>
              <w:rPr>
                <w:rFonts w:ascii="宋体" w:hAnsi="宋体" w:cs="宋体"/>
                <w:color w:val="auto"/>
                <w:szCs w:val="21"/>
                <w:highlight w:val="none"/>
              </w:rPr>
            </w:pPr>
            <w:r>
              <w:rPr>
                <w:rFonts w:ascii="宋体" w:hAnsi="宋体" w:cs="宋体"/>
                <w:color w:val="auto"/>
                <w:szCs w:val="21"/>
                <w:highlight w:val="none"/>
              </w:rPr>
              <w:t>投标人全称</w:t>
            </w:r>
          </w:p>
        </w:tc>
        <w:tc>
          <w:tcPr>
            <w:tcW w:w="6501" w:type="dxa"/>
            <w:gridSpan w:val="3"/>
            <w:tcBorders>
              <w:top w:val="single" w:color="000000" w:sz="4" w:space="0"/>
              <w:left w:val="single" w:color="000000" w:sz="4" w:space="0"/>
              <w:bottom w:val="single" w:color="000000" w:sz="4" w:space="0"/>
              <w:right w:val="single" w:color="000000" w:sz="4" w:space="0"/>
            </w:tcBorders>
            <w:noWrap w:val="0"/>
            <w:vAlign w:val="center"/>
          </w:tcPr>
          <w:p w14:paraId="2E5AAEE5">
            <w:pPr>
              <w:jc w:val="center"/>
              <w:rPr>
                <w:rFonts w:ascii="宋体" w:hAnsi="宋体" w:cs="宋体"/>
                <w:color w:val="auto"/>
                <w:szCs w:val="21"/>
                <w:highlight w:val="none"/>
              </w:rPr>
            </w:pPr>
          </w:p>
        </w:tc>
      </w:tr>
      <w:tr w14:paraId="61E19226">
        <w:tblPrEx>
          <w:tblCellMar>
            <w:top w:w="0" w:type="dxa"/>
            <w:left w:w="108" w:type="dxa"/>
            <w:bottom w:w="0" w:type="dxa"/>
            <w:right w:w="108" w:type="dxa"/>
          </w:tblCellMar>
        </w:tblPrEx>
        <w:trPr>
          <w:cantSplit/>
          <w:trHeight w:val="455"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661FDD8D">
            <w:pPr>
              <w:jc w:val="center"/>
              <w:rPr>
                <w:rFonts w:ascii="宋体" w:hAnsi="宋体" w:cs="宋体"/>
                <w:color w:val="auto"/>
                <w:szCs w:val="21"/>
                <w:highlight w:val="none"/>
              </w:rPr>
            </w:pPr>
            <w:r>
              <w:rPr>
                <w:rFonts w:ascii="宋体" w:hAnsi="宋体" w:cs="宋体"/>
                <w:color w:val="auto"/>
                <w:szCs w:val="21"/>
                <w:highlight w:val="none"/>
              </w:rPr>
              <w:t>营业范围</w:t>
            </w:r>
          </w:p>
        </w:tc>
        <w:tc>
          <w:tcPr>
            <w:tcW w:w="6501" w:type="dxa"/>
            <w:gridSpan w:val="3"/>
            <w:tcBorders>
              <w:top w:val="single" w:color="000000" w:sz="4" w:space="0"/>
              <w:left w:val="single" w:color="000000" w:sz="4" w:space="0"/>
              <w:bottom w:val="single" w:color="000000" w:sz="4" w:space="0"/>
              <w:right w:val="single" w:color="000000" w:sz="4" w:space="0"/>
            </w:tcBorders>
            <w:noWrap w:val="0"/>
            <w:vAlign w:val="center"/>
          </w:tcPr>
          <w:p w14:paraId="69DA8F6A">
            <w:pPr>
              <w:rPr>
                <w:rFonts w:ascii="宋体" w:hAnsi="宋体" w:cs="宋体"/>
                <w:color w:val="auto"/>
                <w:szCs w:val="21"/>
                <w:highlight w:val="none"/>
              </w:rPr>
            </w:pPr>
          </w:p>
          <w:p w14:paraId="07EFC79F">
            <w:pPr>
              <w:rPr>
                <w:rFonts w:ascii="宋体" w:hAnsi="宋体" w:cs="宋体"/>
                <w:color w:val="auto"/>
                <w:szCs w:val="21"/>
                <w:highlight w:val="none"/>
              </w:rPr>
            </w:pPr>
          </w:p>
        </w:tc>
      </w:tr>
      <w:tr w14:paraId="4EB38C26">
        <w:tblPrEx>
          <w:tblCellMar>
            <w:top w:w="0" w:type="dxa"/>
            <w:left w:w="108" w:type="dxa"/>
            <w:bottom w:w="0" w:type="dxa"/>
            <w:right w:w="108" w:type="dxa"/>
          </w:tblCellMar>
        </w:tblPrEx>
        <w:trPr>
          <w:trHeight w:val="461" w:hRule="atLeast"/>
          <w:jc w:val="center"/>
        </w:trPr>
        <w:tc>
          <w:tcPr>
            <w:tcW w:w="2406" w:type="dxa"/>
            <w:vMerge w:val="restart"/>
            <w:tcBorders>
              <w:top w:val="single" w:color="000000" w:sz="4" w:space="0"/>
              <w:left w:val="single" w:color="000000" w:sz="4" w:space="0"/>
              <w:bottom w:val="single" w:color="000000" w:sz="4" w:space="0"/>
              <w:right w:val="single" w:color="000000" w:sz="4" w:space="0"/>
            </w:tcBorders>
            <w:noWrap w:val="0"/>
            <w:vAlign w:val="center"/>
          </w:tcPr>
          <w:p w14:paraId="37B529B4">
            <w:pPr>
              <w:jc w:val="center"/>
              <w:rPr>
                <w:rFonts w:ascii="宋体" w:hAnsi="宋体" w:cs="宋体"/>
                <w:color w:val="auto"/>
                <w:szCs w:val="21"/>
                <w:highlight w:val="none"/>
              </w:rPr>
            </w:pPr>
            <w:r>
              <w:rPr>
                <w:rFonts w:ascii="宋体" w:hAnsi="宋体" w:cs="宋体"/>
                <w:color w:val="auto"/>
                <w:szCs w:val="21"/>
                <w:highlight w:val="none"/>
              </w:rPr>
              <w:t>主要相关资质</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6DB299F9">
            <w:pPr>
              <w:jc w:val="center"/>
              <w:rPr>
                <w:rFonts w:ascii="宋体" w:hAnsi="宋体" w:cs="宋体"/>
                <w:color w:val="auto"/>
                <w:szCs w:val="21"/>
                <w:highlight w:val="none"/>
              </w:rPr>
            </w:pPr>
            <w:r>
              <w:rPr>
                <w:rFonts w:ascii="宋体" w:hAnsi="宋体" w:cs="宋体"/>
                <w:color w:val="auto"/>
                <w:szCs w:val="21"/>
                <w:highlight w:val="none"/>
              </w:rPr>
              <w:t>资质名称</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1544E5C6">
            <w:pPr>
              <w:jc w:val="center"/>
              <w:rPr>
                <w:rFonts w:ascii="宋体" w:hAnsi="宋体" w:cs="宋体"/>
                <w:color w:val="auto"/>
                <w:szCs w:val="21"/>
                <w:highlight w:val="none"/>
              </w:rPr>
            </w:pPr>
            <w:r>
              <w:rPr>
                <w:rFonts w:ascii="宋体" w:hAnsi="宋体" w:cs="宋体"/>
                <w:color w:val="auto"/>
                <w:szCs w:val="21"/>
                <w:highlight w:val="none"/>
              </w:rPr>
              <w:t>资质等级</w:t>
            </w: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61AE8D3E">
            <w:pPr>
              <w:jc w:val="center"/>
              <w:rPr>
                <w:rFonts w:ascii="宋体" w:hAnsi="宋体" w:cs="宋体"/>
                <w:color w:val="auto"/>
                <w:szCs w:val="21"/>
                <w:highlight w:val="none"/>
              </w:rPr>
            </w:pPr>
            <w:r>
              <w:rPr>
                <w:rFonts w:ascii="宋体" w:hAnsi="宋体" w:cs="宋体"/>
                <w:color w:val="auto"/>
                <w:szCs w:val="21"/>
                <w:highlight w:val="none"/>
              </w:rPr>
              <w:t>证号</w:t>
            </w:r>
          </w:p>
        </w:tc>
      </w:tr>
      <w:tr w14:paraId="5F369112">
        <w:tblPrEx>
          <w:tblCellMar>
            <w:top w:w="0" w:type="dxa"/>
            <w:left w:w="108" w:type="dxa"/>
            <w:bottom w:w="0" w:type="dxa"/>
            <w:right w:w="108" w:type="dxa"/>
          </w:tblCellMar>
        </w:tblPrEx>
        <w:trPr>
          <w:trHeight w:val="555" w:hRule="atLeast"/>
          <w:jc w:val="center"/>
        </w:trPr>
        <w:tc>
          <w:tcPr>
            <w:tcW w:w="24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AF651D">
            <w:pPr>
              <w:rPr>
                <w:rFonts w:ascii="宋体" w:hAnsi="宋体" w:cs="宋体"/>
                <w:color w:val="auto"/>
                <w:highlight w:val="none"/>
              </w:rPr>
            </w:pP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1E225AFF">
            <w:pPr>
              <w:jc w:val="center"/>
              <w:rPr>
                <w:rFonts w:ascii="宋体" w:hAnsi="宋体" w:cs="宋体"/>
                <w:color w:val="auto"/>
                <w:szCs w:val="21"/>
                <w:highlight w:val="none"/>
              </w:rPr>
            </w:pP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72DEE0A0">
            <w:pPr>
              <w:jc w:val="center"/>
              <w:rPr>
                <w:rFonts w:ascii="宋体" w:hAnsi="宋体" w:cs="宋体"/>
                <w:color w:val="auto"/>
                <w:szCs w:val="21"/>
                <w:highlight w:val="none"/>
              </w:rPr>
            </w:pP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542BCA30">
            <w:pPr>
              <w:jc w:val="center"/>
              <w:rPr>
                <w:rFonts w:ascii="宋体" w:hAnsi="宋体" w:cs="宋体"/>
                <w:color w:val="auto"/>
                <w:szCs w:val="21"/>
                <w:highlight w:val="none"/>
              </w:rPr>
            </w:pPr>
          </w:p>
        </w:tc>
      </w:tr>
      <w:tr w14:paraId="1980B27B">
        <w:tblPrEx>
          <w:tblCellMar>
            <w:top w:w="0" w:type="dxa"/>
            <w:left w:w="108" w:type="dxa"/>
            <w:bottom w:w="0" w:type="dxa"/>
            <w:right w:w="108" w:type="dxa"/>
          </w:tblCellMar>
        </w:tblPrEx>
        <w:trPr>
          <w:trHeight w:val="555" w:hRule="atLeast"/>
          <w:jc w:val="center"/>
        </w:trPr>
        <w:tc>
          <w:tcPr>
            <w:tcW w:w="24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E995A3">
            <w:pPr>
              <w:rPr>
                <w:rFonts w:ascii="宋体" w:hAnsi="宋体" w:cs="宋体"/>
                <w:color w:val="auto"/>
                <w:highlight w:val="none"/>
              </w:rPr>
            </w:pP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25325B9C">
            <w:pPr>
              <w:jc w:val="center"/>
              <w:rPr>
                <w:rFonts w:ascii="宋体" w:hAnsi="宋体" w:cs="宋体"/>
                <w:color w:val="auto"/>
                <w:spacing w:val="-12"/>
                <w:szCs w:val="21"/>
                <w:highlight w:val="none"/>
              </w:rPr>
            </w:pP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30C6083F">
            <w:pPr>
              <w:jc w:val="center"/>
              <w:rPr>
                <w:rFonts w:ascii="宋体" w:hAnsi="宋体" w:cs="宋体"/>
                <w:color w:val="auto"/>
                <w:szCs w:val="21"/>
                <w:highlight w:val="none"/>
              </w:rPr>
            </w:pP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7AAAA5AA">
            <w:pPr>
              <w:jc w:val="center"/>
              <w:rPr>
                <w:rFonts w:ascii="宋体" w:hAnsi="宋体" w:cs="宋体"/>
                <w:color w:val="auto"/>
                <w:szCs w:val="21"/>
                <w:highlight w:val="none"/>
              </w:rPr>
            </w:pPr>
          </w:p>
        </w:tc>
      </w:tr>
      <w:tr w14:paraId="7F2F8EF7">
        <w:tblPrEx>
          <w:tblCellMar>
            <w:top w:w="0" w:type="dxa"/>
            <w:left w:w="108" w:type="dxa"/>
            <w:bottom w:w="0" w:type="dxa"/>
            <w:right w:w="108" w:type="dxa"/>
          </w:tblCellMar>
        </w:tblPrEx>
        <w:trPr>
          <w:trHeight w:val="462" w:hRule="atLeast"/>
          <w:jc w:val="center"/>
        </w:trPr>
        <w:tc>
          <w:tcPr>
            <w:tcW w:w="24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1A8F26">
            <w:pPr>
              <w:rPr>
                <w:rFonts w:ascii="宋体" w:hAnsi="宋体" w:cs="宋体"/>
                <w:color w:val="auto"/>
                <w:highlight w:val="none"/>
              </w:rPr>
            </w:pP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40253A12">
            <w:pPr>
              <w:jc w:val="center"/>
              <w:rPr>
                <w:rFonts w:ascii="宋体" w:hAnsi="宋体" w:cs="宋体"/>
                <w:color w:val="auto"/>
                <w:szCs w:val="21"/>
                <w:highlight w:val="none"/>
              </w:rPr>
            </w:pP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710A6C76">
            <w:pPr>
              <w:jc w:val="center"/>
              <w:rPr>
                <w:rFonts w:ascii="宋体" w:hAnsi="宋体" w:cs="宋体"/>
                <w:color w:val="auto"/>
                <w:szCs w:val="21"/>
                <w:highlight w:val="none"/>
              </w:rPr>
            </w:pP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2AE88B57">
            <w:pPr>
              <w:jc w:val="center"/>
              <w:rPr>
                <w:rFonts w:ascii="宋体" w:hAnsi="宋体" w:cs="宋体"/>
                <w:color w:val="auto"/>
                <w:szCs w:val="21"/>
                <w:highlight w:val="none"/>
              </w:rPr>
            </w:pPr>
          </w:p>
        </w:tc>
      </w:tr>
      <w:tr w14:paraId="426B6DBD">
        <w:tblPrEx>
          <w:tblCellMar>
            <w:top w:w="0" w:type="dxa"/>
            <w:left w:w="108" w:type="dxa"/>
            <w:bottom w:w="0" w:type="dxa"/>
            <w:right w:w="108" w:type="dxa"/>
          </w:tblCellMar>
        </w:tblPrEx>
        <w:trPr>
          <w:trHeight w:val="462" w:hRule="atLeast"/>
          <w:jc w:val="center"/>
        </w:trPr>
        <w:tc>
          <w:tcPr>
            <w:tcW w:w="24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CAE8D5">
            <w:pPr>
              <w:rPr>
                <w:rFonts w:ascii="宋体" w:hAnsi="宋体" w:cs="宋体"/>
                <w:color w:val="auto"/>
                <w:highlight w:val="none"/>
              </w:rPr>
            </w:pP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6B1C4AC4">
            <w:pPr>
              <w:jc w:val="center"/>
              <w:rPr>
                <w:rFonts w:ascii="宋体" w:hAnsi="宋体" w:cs="宋体"/>
                <w:color w:val="auto"/>
                <w:szCs w:val="21"/>
                <w:highlight w:val="none"/>
              </w:rPr>
            </w:pP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44F7DE1A">
            <w:pPr>
              <w:jc w:val="center"/>
              <w:rPr>
                <w:rFonts w:ascii="宋体" w:hAnsi="宋体" w:cs="宋体"/>
                <w:color w:val="auto"/>
                <w:szCs w:val="21"/>
                <w:highlight w:val="none"/>
              </w:rPr>
            </w:pP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13E6DD78">
            <w:pPr>
              <w:jc w:val="center"/>
              <w:rPr>
                <w:rFonts w:ascii="宋体" w:hAnsi="宋体" w:cs="宋体"/>
                <w:color w:val="auto"/>
                <w:szCs w:val="21"/>
                <w:highlight w:val="none"/>
              </w:rPr>
            </w:pPr>
          </w:p>
        </w:tc>
      </w:tr>
      <w:tr w14:paraId="5776A666">
        <w:tblPrEx>
          <w:tblCellMar>
            <w:top w:w="0" w:type="dxa"/>
            <w:left w:w="108" w:type="dxa"/>
            <w:bottom w:w="0" w:type="dxa"/>
            <w:right w:w="108" w:type="dxa"/>
          </w:tblCellMar>
        </w:tblPrEx>
        <w:trPr>
          <w:trHeight w:val="462"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152BF009">
            <w:pPr>
              <w:jc w:val="center"/>
              <w:rPr>
                <w:rFonts w:ascii="宋体" w:hAnsi="宋体" w:cs="宋体"/>
                <w:color w:val="auto"/>
                <w:szCs w:val="21"/>
                <w:highlight w:val="none"/>
              </w:rPr>
            </w:pPr>
            <w:r>
              <w:rPr>
                <w:rFonts w:ascii="宋体" w:hAnsi="宋体" w:cs="宋体"/>
                <w:color w:val="auto"/>
                <w:szCs w:val="21"/>
                <w:highlight w:val="none"/>
              </w:rPr>
              <w:t>是否通过质量体系认证</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35CC0E31">
            <w:pPr>
              <w:ind w:left="360"/>
              <w:rPr>
                <w:rFonts w:ascii="宋体" w:hAnsi="宋体" w:cs="宋体"/>
                <w:color w:val="auto"/>
                <w:szCs w:val="21"/>
                <w:highlight w:val="none"/>
              </w:rPr>
            </w:pPr>
            <w:r>
              <w:rPr>
                <w:rFonts w:ascii="宋体" w:hAnsi="宋体" w:cs="宋体"/>
                <w:color w:val="auto"/>
                <w:szCs w:val="21"/>
                <w:highlight w:val="none"/>
              </w:rPr>
              <w:t>□ 是  □ 否</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0B73A3BD">
            <w:pPr>
              <w:jc w:val="center"/>
              <w:rPr>
                <w:rFonts w:ascii="宋体" w:hAnsi="宋体" w:cs="宋体"/>
                <w:color w:val="auto"/>
                <w:szCs w:val="21"/>
                <w:highlight w:val="none"/>
              </w:rPr>
            </w:pPr>
            <w:r>
              <w:rPr>
                <w:rFonts w:ascii="宋体" w:hAnsi="宋体" w:cs="宋体"/>
                <w:color w:val="auto"/>
                <w:szCs w:val="21"/>
                <w:highlight w:val="none"/>
              </w:rPr>
              <w:t>认证编号</w:t>
            </w: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3C6D32A9">
            <w:pPr>
              <w:jc w:val="center"/>
              <w:rPr>
                <w:rFonts w:ascii="宋体" w:hAnsi="宋体" w:cs="宋体"/>
                <w:color w:val="auto"/>
                <w:szCs w:val="21"/>
                <w:highlight w:val="none"/>
              </w:rPr>
            </w:pPr>
          </w:p>
        </w:tc>
      </w:tr>
      <w:tr w14:paraId="64189DE6">
        <w:tblPrEx>
          <w:tblCellMar>
            <w:top w:w="0" w:type="dxa"/>
            <w:left w:w="108" w:type="dxa"/>
            <w:bottom w:w="0" w:type="dxa"/>
            <w:right w:w="108" w:type="dxa"/>
          </w:tblCellMar>
        </w:tblPrEx>
        <w:trPr>
          <w:trHeight w:val="462"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22816622">
            <w:pPr>
              <w:jc w:val="center"/>
              <w:rPr>
                <w:rFonts w:ascii="宋体" w:hAnsi="宋体" w:cs="宋体"/>
                <w:color w:val="auto"/>
                <w:szCs w:val="21"/>
                <w:highlight w:val="none"/>
              </w:rPr>
            </w:pPr>
            <w:r>
              <w:rPr>
                <w:rFonts w:ascii="宋体" w:hAnsi="宋体" w:cs="宋体"/>
                <w:color w:val="auto"/>
                <w:szCs w:val="21"/>
                <w:highlight w:val="none"/>
              </w:rPr>
              <w:t>是否有信誉咨询评定</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50970E07">
            <w:pPr>
              <w:ind w:left="360"/>
              <w:rPr>
                <w:rFonts w:ascii="宋体" w:hAnsi="宋体" w:cs="宋体"/>
                <w:color w:val="auto"/>
                <w:szCs w:val="21"/>
                <w:highlight w:val="none"/>
              </w:rPr>
            </w:pPr>
            <w:r>
              <w:rPr>
                <w:rFonts w:ascii="宋体" w:hAnsi="宋体" w:cs="宋体"/>
                <w:color w:val="auto"/>
                <w:szCs w:val="21"/>
                <w:highlight w:val="none"/>
              </w:rPr>
              <w:t>□ 是  □ 否</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3550D168">
            <w:pPr>
              <w:jc w:val="center"/>
              <w:rPr>
                <w:rFonts w:ascii="宋体" w:hAnsi="宋体" w:cs="宋体"/>
                <w:color w:val="auto"/>
                <w:szCs w:val="21"/>
                <w:highlight w:val="none"/>
              </w:rPr>
            </w:pPr>
            <w:r>
              <w:rPr>
                <w:rFonts w:ascii="宋体" w:hAnsi="宋体" w:cs="宋体"/>
                <w:color w:val="auto"/>
                <w:szCs w:val="21"/>
                <w:highlight w:val="none"/>
              </w:rPr>
              <w:t>资信等级</w:t>
            </w: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433CA199">
            <w:pPr>
              <w:rPr>
                <w:rFonts w:ascii="宋体" w:hAnsi="宋体" w:cs="宋体"/>
                <w:color w:val="auto"/>
                <w:szCs w:val="21"/>
                <w:highlight w:val="none"/>
              </w:rPr>
            </w:pPr>
            <w:r>
              <w:rPr>
                <w:rFonts w:ascii="宋体" w:hAnsi="宋体" w:cs="宋体"/>
                <w:color w:val="auto"/>
                <w:szCs w:val="21"/>
                <w:highlight w:val="none"/>
              </w:rPr>
              <w:t>□A  □AA  □AAA</w:t>
            </w:r>
          </w:p>
        </w:tc>
      </w:tr>
      <w:tr w14:paraId="4C86EA48">
        <w:tblPrEx>
          <w:tblCellMar>
            <w:top w:w="0" w:type="dxa"/>
            <w:left w:w="108" w:type="dxa"/>
            <w:bottom w:w="0" w:type="dxa"/>
            <w:right w:w="108" w:type="dxa"/>
          </w:tblCellMar>
        </w:tblPrEx>
        <w:trPr>
          <w:cantSplit/>
          <w:trHeight w:val="497" w:hRule="atLeast"/>
          <w:jc w:val="center"/>
        </w:trPr>
        <w:tc>
          <w:tcPr>
            <w:tcW w:w="2406" w:type="dxa"/>
            <w:vMerge w:val="restart"/>
            <w:tcBorders>
              <w:top w:val="single" w:color="000000" w:sz="4" w:space="0"/>
              <w:left w:val="single" w:color="000000" w:sz="4" w:space="0"/>
              <w:bottom w:val="single" w:color="000000" w:sz="4" w:space="0"/>
              <w:right w:val="single" w:color="000000" w:sz="4" w:space="0"/>
            </w:tcBorders>
            <w:noWrap w:val="0"/>
            <w:vAlign w:val="center"/>
          </w:tcPr>
          <w:p w14:paraId="37D1F77F">
            <w:pPr>
              <w:jc w:val="center"/>
              <w:rPr>
                <w:rFonts w:ascii="宋体" w:hAnsi="宋体" w:cs="宋体"/>
                <w:color w:val="auto"/>
                <w:szCs w:val="21"/>
                <w:highlight w:val="none"/>
              </w:rPr>
            </w:pPr>
            <w:r>
              <w:rPr>
                <w:rFonts w:ascii="宋体" w:hAnsi="宋体" w:cs="宋体"/>
                <w:color w:val="auto"/>
                <w:szCs w:val="21"/>
                <w:highlight w:val="none"/>
              </w:rPr>
              <w:t>人员总人数</w:t>
            </w:r>
          </w:p>
        </w:tc>
        <w:tc>
          <w:tcPr>
            <w:tcW w:w="2191" w:type="dxa"/>
            <w:vMerge w:val="restart"/>
            <w:tcBorders>
              <w:top w:val="single" w:color="000000" w:sz="4" w:space="0"/>
              <w:left w:val="single" w:color="000000" w:sz="4" w:space="0"/>
              <w:bottom w:val="single" w:color="000000" w:sz="4" w:space="0"/>
              <w:right w:val="single" w:color="000000" w:sz="4" w:space="0"/>
            </w:tcBorders>
            <w:noWrap w:val="0"/>
            <w:vAlign w:val="center"/>
          </w:tcPr>
          <w:p w14:paraId="62CCA1F9">
            <w:pPr>
              <w:jc w:val="center"/>
              <w:rPr>
                <w:rFonts w:ascii="宋体" w:hAnsi="宋体" w:cs="宋体"/>
                <w:color w:val="auto"/>
                <w:szCs w:val="21"/>
                <w:highlight w:val="none"/>
              </w:rPr>
            </w:pP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1C407577">
            <w:pPr>
              <w:rPr>
                <w:rFonts w:ascii="宋体" w:hAnsi="宋体" w:cs="宋体"/>
                <w:color w:val="auto"/>
                <w:szCs w:val="21"/>
                <w:highlight w:val="none"/>
              </w:rPr>
            </w:pPr>
            <w:r>
              <w:rPr>
                <w:rFonts w:ascii="宋体" w:hAnsi="宋体" w:cs="宋体"/>
                <w:color w:val="auto"/>
                <w:szCs w:val="21"/>
                <w:highlight w:val="none"/>
              </w:rPr>
              <w:t>其中：正高级职称</w:t>
            </w: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76BBB2AE">
            <w:pPr>
              <w:jc w:val="center"/>
              <w:rPr>
                <w:rFonts w:ascii="宋体" w:hAnsi="宋体" w:cs="宋体"/>
                <w:color w:val="auto"/>
                <w:szCs w:val="21"/>
                <w:highlight w:val="none"/>
              </w:rPr>
            </w:pPr>
          </w:p>
        </w:tc>
      </w:tr>
      <w:tr w14:paraId="3B63B9B3">
        <w:tblPrEx>
          <w:tblCellMar>
            <w:top w:w="0" w:type="dxa"/>
            <w:left w:w="108" w:type="dxa"/>
            <w:bottom w:w="0" w:type="dxa"/>
            <w:right w:w="108" w:type="dxa"/>
          </w:tblCellMar>
        </w:tblPrEx>
        <w:trPr>
          <w:cantSplit/>
          <w:trHeight w:val="461" w:hRule="atLeast"/>
          <w:jc w:val="center"/>
        </w:trPr>
        <w:tc>
          <w:tcPr>
            <w:tcW w:w="24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9A7BB4">
            <w:pPr>
              <w:rPr>
                <w:rFonts w:ascii="宋体" w:hAnsi="宋体" w:cs="宋体"/>
                <w:color w:val="auto"/>
                <w:highlight w:val="none"/>
              </w:rPr>
            </w:pPr>
          </w:p>
        </w:tc>
        <w:tc>
          <w:tcPr>
            <w:tcW w:w="21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B0EAB5">
            <w:pPr>
              <w:rPr>
                <w:rFonts w:ascii="宋体" w:hAnsi="宋体" w:cs="宋体"/>
                <w:color w:val="auto"/>
                <w:highlight w:val="none"/>
              </w:rPr>
            </w:pP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39620966">
            <w:pPr>
              <w:jc w:val="center"/>
              <w:rPr>
                <w:rFonts w:ascii="宋体" w:hAnsi="宋体" w:cs="宋体"/>
                <w:color w:val="auto"/>
                <w:szCs w:val="21"/>
                <w:highlight w:val="none"/>
              </w:rPr>
            </w:pPr>
            <w:r>
              <w:rPr>
                <w:rFonts w:ascii="宋体" w:hAnsi="宋体" w:cs="宋体"/>
                <w:color w:val="auto"/>
                <w:szCs w:val="21"/>
                <w:highlight w:val="none"/>
              </w:rPr>
              <w:t xml:space="preserve"> 高级职称</w:t>
            </w: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37C1A677">
            <w:pPr>
              <w:jc w:val="center"/>
              <w:rPr>
                <w:rFonts w:ascii="宋体" w:hAnsi="宋体" w:cs="宋体"/>
                <w:color w:val="auto"/>
                <w:szCs w:val="21"/>
                <w:highlight w:val="none"/>
              </w:rPr>
            </w:pPr>
          </w:p>
        </w:tc>
      </w:tr>
      <w:tr w14:paraId="6C3F3C21">
        <w:tblPrEx>
          <w:tblCellMar>
            <w:top w:w="0" w:type="dxa"/>
            <w:left w:w="108" w:type="dxa"/>
            <w:bottom w:w="0" w:type="dxa"/>
            <w:right w:w="108" w:type="dxa"/>
          </w:tblCellMar>
        </w:tblPrEx>
        <w:trPr>
          <w:cantSplit/>
          <w:trHeight w:val="461" w:hRule="atLeast"/>
          <w:jc w:val="center"/>
        </w:trPr>
        <w:tc>
          <w:tcPr>
            <w:tcW w:w="24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48E9CA">
            <w:pPr>
              <w:rPr>
                <w:rFonts w:ascii="宋体" w:hAnsi="宋体" w:cs="宋体"/>
                <w:color w:val="auto"/>
                <w:highlight w:val="none"/>
              </w:rPr>
            </w:pPr>
          </w:p>
        </w:tc>
        <w:tc>
          <w:tcPr>
            <w:tcW w:w="21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92BEC4">
            <w:pPr>
              <w:rPr>
                <w:rFonts w:ascii="宋体" w:hAnsi="宋体" w:cs="宋体"/>
                <w:color w:val="auto"/>
                <w:highlight w:val="none"/>
              </w:rPr>
            </w:pP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57DE2AE6">
            <w:pPr>
              <w:jc w:val="center"/>
              <w:rPr>
                <w:rFonts w:ascii="宋体" w:hAnsi="宋体" w:cs="宋体"/>
                <w:color w:val="auto"/>
                <w:szCs w:val="21"/>
                <w:highlight w:val="none"/>
              </w:rPr>
            </w:pPr>
            <w:r>
              <w:rPr>
                <w:rFonts w:ascii="宋体" w:hAnsi="宋体" w:cs="宋体"/>
                <w:color w:val="auto"/>
                <w:szCs w:val="21"/>
                <w:highlight w:val="none"/>
              </w:rPr>
              <w:t xml:space="preserve"> 中级职称</w:t>
            </w: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028583C9">
            <w:pPr>
              <w:jc w:val="center"/>
              <w:rPr>
                <w:rFonts w:ascii="宋体" w:hAnsi="宋体" w:cs="宋体"/>
                <w:color w:val="auto"/>
                <w:szCs w:val="21"/>
                <w:highlight w:val="none"/>
              </w:rPr>
            </w:pPr>
          </w:p>
        </w:tc>
      </w:tr>
      <w:tr w14:paraId="3F50D14A">
        <w:tblPrEx>
          <w:tblCellMar>
            <w:top w:w="0" w:type="dxa"/>
            <w:left w:w="108" w:type="dxa"/>
            <w:bottom w:w="0" w:type="dxa"/>
            <w:right w:w="108" w:type="dxa"/>
          </w:tblCellMar>
        </w:tblPrEx>
        <w:trPr>
          <w:cantSplit/>
          <w:trHeight w:val="439" w:hRule="atLeast"/>
          <w:jc w:val="center"/>
        </w:trPr>
        <w:tc>
          <w:tcPr>
            <w:tcW w:w="24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BA86AA">
            <w:pPr>
              <w:rPr>
                <w:rFonts w:ascii="宋体" w:hAnsi="宋体" w:cs="宋体"/>
                <w:color w:val="auto"/>
                <w:highlight w:val="none"/>
              </w:rPr>
            </w:pPr>
          </w:p>
        </w:tc>
        <w:tc>
          <w:tcPr>
            <w:tcW w:w="21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712C80">
            <w:pPr>
              <w:rPr>
                <w:rFonts w:ascii="宋体" w:hAnsi="宋体" w:cs="宋体"/>
                <w:color w:val="auto"/>
                <w:highlight w:val="none"/>
              </w:rPr>
            </w:pP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0340AE6C">
            <w:pPr>
              <w:ind w:firstLine="525"/>
              <w:rPr>
                <w:rFonts w:ascii="宋体" w:hAnsi="宋体" w:cs="宋体"/>
                <w:color w:val="auto"/>
                <w:szCs w:val="21"/>
                <w:highlight w:val="none"/>
              </w:rPr>
            </w:pPr>
            <w:r>
              <w:rPr>
                <w:rFonts w:ascii="宋体" w:hAnsi="宋体" w:cs="宋体"/>
                <w:color w:val="auto"/>
                <w:szCs w:val="21"/>
                <w:highlight w:val="none"/>
              </w:rPr>
              <w:t xml:space="preserve"> 初级职称</w:t>
            </w:r>
          </w:p>
        </w:tc>
        <w:tc>
          <w:tcPr>
            <w:tcW w:w="2195" w:type="dxa"/>
            <w:tcBorders>
              <w:top w:val="single" w:color="000000" w:sz="4" w:space="0"/>
              <w:left w:val="single" w:color="000000" w:sz="4" w:space="0"/>
              <w:bottom w:val="single" w:color="000000" w:sz="4" w:space="0"/>
              <w:right w:val="single" w:color="000000" w:sz="4" w:space="0"/>
            </w:tcBorders>
            <w:noWrap w:val="0"/>
            <w:vAlign w:val="center"/>
          </w:tcPr>
          <w:p w14:paraId="6AB8DA62">
            <w:pPr>
              <w:jc w:val="center"/>
              <w:rPr>
                <w:rFonts w:ascii="宋体" w:hAnsi="宋体" w:cs="宋体"/>
                <w:color w:val="auto"/>
                <w:szCs w:val="21"/>
                <w:highlight w:val="none"/>
              </w:rPr>
            </w:pPr>
          </w:p>
        </w:tc>
      </w:tr>
      <w:tr w14:paraId="3C59927A">
        <w:tblPrEx>
          <w:tblCellMar>
            <w:top w:w="0" w:type="dxa"/>
            <w:left w:w="108" w:type="dxa"/>
            <w:bottom w:w="0" w:type="dxa"/>
            <w:right w:w="108" w:type="dxa"/>
          </w:tblCellMar>
        </w:tblPrEx>
        <w:trPr>
          <w:cantSplit/>
          <w:trHeight w:val="583"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2C41ECDF">
            <w:pPr>
              <w:jc w:val="center"/>
              <w:rPr>
                <w:rFonts w:ascii="宋体" w:hAnsi="宋体" w:cs="宋体"/>
                <w:color w:val="auto"/>
                <w:szCs w:val="21"/>
                <w:highlight w:val="none"/>
              </w:rPr>
            </w:pPr>
            <w:r>
              <w:rPr>
                <w:rFonts w:ascii="宋体" w:hAnsi="宋体" w:cs="宋体"/>
                <w:color w:val="auto"/>
                <w:szCs w:val="21"/>
                <w:highlight w:val="none"/>
              </w:rPr>
              <w:t>行政负责人</w:t>
            </w:r>
          </w:p>
        </w:tc>
        <w:tc>
          <w:tcPr>
            <w:tcW w:w="6501" w:type="dxa"/>
            <w:gridSpan w:val="3"/>
            <w:tcBorders>
              <w:top w:val="single" w:color="000000" w:sz="4" w:space="0"/>
              <w:left w:val="single" w:color="000000" w:sz="4" w:space="0"/>
              <w:bottom w:val="single" w:color="000000" w:sz="4" w:space="0"/>
              <w:right w:val="single" w:color="000000" w:sz="4" w:space="0"/>
            </w:tcBorders>
            <w:noWrap w:val="0"/>
            <w:vAlign w:val="center"/>
          </w:tcPr>
          <w:p w14:paraId="60969BC9">
            <w:pPr>
              <w:rPr>
                <w:rFonts w:ascii="宋体" w:hAnsi="宋体" w:cs="宋体"/>
                <w:color w:val="auto"/>
                <w:szCs w:val="21"/>
                <w:highlight w:val="none"/>
              </w:rPr>
            </w:pPr>
            <w:r>
              <w:rPr>
                <w:rFonts w:ascii="宋体" w:hAnsi="宋体" w:cs="宋体"/>
                <w:color w:val="auto"/>
                <w:szCs w:val="21"/>
                <w:highlight w:val="none"/>
              </w:rPr>
              <w:t>1.姓名：          2.职务：             3.职称：</w:t>
            </w:r>
          </w:p>
        </w:tc>
      </w:tr>
      <w:tr w14:paraId="1A849AC9">
        <w:tblPrEx>
          <w:tblCellMar>
            <w:top w:w="0" w:type="dxa"/>
            <w:left w:w="108" w:type="dxa"/>
            <w:bottom w:w="0" w:type="dxa"/>
            <w:right w:w="108" w:type="dxa"/>
          </w:tblCellMar>
        </w:tblPrEx>
        <w:trPr>
          <w:cantSplit/>
          <w:trHeight w:val="570"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79AFDCC0">
            <w:pPr>
              <w:jc w:val="center"/>
              <w:rPr>
                <w:rFonts w:ascii="宋体" w:hAnsi="宋体" w:cs="宋体"/>
                <w:color w:val="auto"/>
                <w:szCs w:val="21"/>
                <w:highlight w:val="none"/>
              </w:rPr>
            </w:pPr>
            <w:r>
              <w:rPr>
                <w:rFonts w:ascii="宋体" w:hAnsi="宋体" w:cs="宋体"/>
                <w:color w:val="auto"/>
                <w:szCs w:val="21"/>
                <w:highlight w:val="none"/>
              </w:rPr>
              <w:t>技术负责人</w:t>
            </w:r>
          </w:p>
        </w:tc>
        <w:tc>
          <w:tcPr>
            <w:tcW w:w="6501" w:type="dxa"/>
            <w:gridSpan w:val="3"/>
            <w:tcBorders>
              <w:top w:val="single" w:color="000000" w:sz="4" w:space="0"/>
              <w:left w:val="single" w:color="000000" w:sz="4" w:space="0"/>
              <w:bottom w:val="single" w:color="000000" w:sz="4" w:space="0"/>
              <w:right w:val="single" w:color="000000" w:sz="4" w:space="0"/>
            </w:tcBorders>
            <w:noWrap w:val="0"/>
            <w:vAlign w:val="center"/>
          </w:tcPr>
          <w:p w14:paraId="3CA93E3C">
            <w:pPr>
              <w:rPr>
                <w:rFonts w:ascii="宋体" w:hAnsi="宋体" w:cs="宋体"/>
                <w:color w:val="auto"/>
                <w:szCs w:val="21"/>
                <w:highlight w:val="none"/>
              </w:rPr>
            </w:pPr>
            <w:r>
              <w:rPr>
                <w:rFonts w:ascii="宋体" w:hAnsi="宋体" w:cs="宋体"/>
                <w:color w:val="auto"/>
                <w:szCs w:val="21"/>
                <w:highlight w:val="none"/>
              </w:rPr>
              <w:t>1.姓名：          2.职务：             3.职称：</w:t>
            </w:r>
          </w:p>
        </w:tc>
      </w:tr>
      <w:tr w14:paraId="65672E67">
        <w:tblPrEx>
          <w:tblCellMar>
            <w:top w:w="0" w:type="dxa"/>
            <w:left w:w="108" w:type="dxa"/>
            <w:bottom w:w="0" w:type="dxa"/>
            <w:right w:w="108" w:type="dxa"/>
          </w:tblCellMar>
        </w:tblPrEx>
        <w:trPr>
          <w:cantSplit/>
          <w:trHeight w:val="788"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4BEFEA71">
            <w:pPr>
              <w:jc w:val="center"/>
              <w:rPr>
                <w:rFonts w:ascii="宋体" w:hAnsi="宋体" w:cs="宋体"/>
                <w:color w:val="auto"/>
                <w:szCs w:val="21"/>
                <w:highlight w:val="none"/>
              </w:rPr>
            </w:pPr>
            <w:r>
              <w:rPr>
                <w:rFonts w:ascii="宋体" w:hAnsi="宋体" w:cs="宋体"/>
                <w:color w:val="auto"/>
                <w:szCs w:val="21"/>
                <w:highlight w:val="none"/>
              </w:rPr>
              <w:t>联系方式</w:t>
            </w:r>
          </w:p>
        </w:tc>
        <w:tc>
          <w:tcPr>
            <w:tcW w:w="6501" w:type="dxa"/>
            <w:gridSpan w:val="3"/>
            <w:tcBorders>
              <w:top w:val="single" w:color="000000" w:sz="4" w:space="0"/>
              <w:left w:val="single" w:color="000000" w:sz="4" w:space="0"/>
              <w:bottom w:val="single" w:color="000000" w:sz="4" w:space="0"/>
              <w:right w:val="single" w:color="000000" w:sz="4" w:space="0"/>
            </w:tcBorders>
            <w:noWrap w:val="0"/>
            <w:vAlign w:val="center"/>
          </w:tcPr>
          <w:p w14:paraId="1D9F675E">
            <w:pPr>
              <w:rPr>
                <w:rFonts w:ascii="宋体" w:hAnsi="宋体" w:cs="宋体"/>
                <w:color w:val="auto"/>
                <w:szCs w:val="21"/>
                <w:highlight w:val="none"/>
              </w:rPr>
            </w:pPr>
            <w:r>
              <w:rPr>
                <w:rFonts w:ascii="宋体" w:hAnsi="宋体" w:cs="宋体"/>
                <w:color w:val="auto"/>
                <w:szCs w:val="21"/>
                <w:highlight w:val="none"/>
              </w:rPr>
              <w:t>1.地址：          2.邮编：             3.</w:t>
            </w:r>
            <w:r>
              <w:rPr>
                <w:rFonts w:hint="eastAsia" w:ascii="宋体" w:hAnsi="宋体" w:cs="宋体"/>
                <w:color w:val="auto"/>
                <w:szCs w:val="21"/>
                <w:highlight w:val="none"/>
              </w:rPr>
              <w:t>联系</w:t>
            </w:r>
            <w:r>
              <w:rPr>
                <w:rFonts w:ascii="宋体" w:hAnsi="宋体" w:cs="宋体"/>
                <w:color w:val="auto"/>
                <w:szCs w:val="21"/>
                <w:highlight w:val="none"/>
              </w:rPr>
              <w:t>电话</w:t>
            </w:r>
          </w:p>
          <w:p w14:paraId="110FCCAC">
            <w:pPr>
              <w:rPr>
                <w:rFonts w:ascii="宋体" w:hAnsi="宋体" w:cs="宋体"/>
                <w:color w:val="auto"/>
                <w:szCs w:val="21"/>
                <w:highlight w:val="none"/>
              </w:rPr>
            </w:pPr>
            <w:r>
              <w:rPr>
                <w:rFonts w:ascii="宋体" w:hAnsi="宋体" w:cs="宋体"/>
                <w:color w:val="auto"/>
                <w:szCs w:val="21"/>
                <w:highlight w:val="none"/>
              </w:rPr>
              <w:t>4.传真：</w:t>
            </w:r>
          </w:p>
        </w:tc>
      </w:tr>
      <w:tr w14:paraId="53B63894">
        <w:tblPrEx>
          <w:tblCellMar>
            <w:top w:w="0" w:type="dxa"/>
            <w:left w:w="108" w:type="dxa"/>
            <w:bottom w:w="0" w:type="dxa"/>
            <w:right w:w="108" w:type="dxa"/>
          </w:tblCellMar>
        </w:tblPrEx>
        <w:trPr>
          <w:cantSplit/>
          <w:trHeight w:val="1298" w:hRule="atLeast"/>
          <w:jc w:val="center"/>
        </w:trPr>
        <w:tc>
          <w:tcPr>
            <w:tcW w:w="8907" w:type="dxa"/>
            <w:gridSpan w:val="4"/>
            <w:tcBorders>
              <w:top w:val="single" w:color="000000" w:sz="4" w:space="0"/>
              <w:left w:val="single" w:color="000000" w:sz="4" w:space="0"/>
              <w:bottom w:val="single" w:color="000000" w:sz="4" w:space="0"/>
              <w:right w:val="single" w:color="000000" w:sz="4" w:space="0"/>
            </w:tcBorders>
            <w:noWrap w:val="0"/>
            <w:vAlign w:val="center"/>
          </w:tcPr>
          <w:p w14:paraId="6FDAC6E9">
            <w:pPr>
              <w:rPr>
                <w:rFonts w:ascii="宋体" w:hAnsi="宋体" w:cs="宋体"/>
                <w:color w:val="auto"/>
                <w:szCs w:val="21"/>
                <w:highlight w:val="none"/>
              </w:rPr>
            </w:pPr>
            <w:r>
              <w:rPr>
                <w:rFonts w:ascii="宋体" w:hAnsi="宋体" w:cs="宋体"/>
                <w:color w:val="auto"/>
                <w:szCs w:val="21"/>
                <w:highlight w:val="none"/>
              </w:rPr>
              <w:t>投标人简介</w:t>
            </w:r>
          </w:p>
          <w:p w14:paraId="03F60157">
            <w:pPr>
              <w:jc w:val="center"/>
              <w:rPr>
                <w:rFonts w:ascii="宋体" w:hAnsi="宋体" w:cs="宋体"/>
                <w:color w:val="auto"/>
                <w:szCs w:val="21"/>
                <w:highlight w:val="none"/>
              </w:rPr>
            </w:pPr>
          </w:p>
          <w:p w14:paraId="53A61512">
            <w:pPr>
              <w:jc w:val="center"/>
              <w:rPr>
                <w:rFonts w:ascii="宋体" w:hAnsi="宋体" w:cs="宋体"/>
                <w:color w:val="auto"/>
                <w:szCs w:val="21"/>
                <w:highlight w:val="none"/>
              </w:rPr>
            </w:pPr>
          </w:p>
          <w:p w14:paraId="56A36D16">
            <w:pPr>
              <w:jc w:val="center"/>
              <w:rPr>
                <w:rFonts w:ascii="宋体" w:hAnsi="宋体" w:cs="宋体"/>
                <w:color w:val="auto"/>
                <w:szCs w:val="21"/>
                <w:highlight w:val="none"/>
              </w:rPr>
            </w:pPr>
          </w:p>
          <w:p w14:paraId="5499C81D">
            <w:pPr>
              <w:jc w:val="center"/>
              <w:rPr>
                <w:rFonts w:ascii="宋体" w:hAnsi="宋体" w:cs="宋体"/>
                <w:color w:val="auto"/>
                <w:szCs w:val="21"/>
                <w:highlight w:val="none"/>
              </w:rPr>
            </w:pPr>
          </w:p>
        </w:tc>
      </w:tr>
    </w:tbl>
    <w:p w14:paraId="20FCFE24">
      <w:pPr>
        <w:ind w:left="420" w:hanging="420"/>
        <w:rPr>
          <w:rFonts w:ascii="宋体" w:hAnsi="宋体" w:cs="宋体"/>
          <w:color w:val="auto"/>
          <w:szCs w:val="21"/>
          <w:highlight w:val="none"/>
        </w:rPr>
      </w:pPr>
      <w:r>
        <w:rPr>
          <w:rFonts w:ascii="宋体" w:hAnsi="宋体" w:cs="宋体"/>
          <w:color w:val="auto"/>
          <w:szCs w:val="21"/>
          <w:highlight w:val="none"/>
        </w:rPr>
        <w:t>注：相关证书等附本表后。</w:t>
      </w:r>
    </w:p>
    <w:p w14:paraId="00ACCEA7">
      <w:pPr>
        <w:ind w:left="420"/>
        <w:rPr>
          <w:rFonts w:ascii="宋体" w:hAnsi="宋体" w:cs="宋体"/>
          <w:color w:val="auto"/>
          <w:szCs w:val="21"/>
          <w:highlight w:val="none"/>
        </w:rPr>
      </w:pPr>
    </w:p>
    <w:p w14:paraId="745A3F11">
      <w:pPr>
        <w:ind w:left="420"/>
        <w:rPr>
          <w:rFonts w:ascii="宋体" w:hAnsi="宋体" w:cs="宋体"/>
          <w:color w:val="auto"/>
          <w:szCs w:val="21"/>
          <w:highlight w:val="none"/>
        </w:rPr>
      </w:pPr>
    </w:p>
    <w:p w14:paraId="793FF411">
      <w:pPr>
        <w:ind w:left="420"/>
        <w:rPr>
          <w:rFonts w:ascii="宋体" w:hAnsi="宋体" w:cs="宋体"/>
          <w:color w:val="auto"/>
          <w:szCs w:val="21"/>
          <w:highlight w:val="none"/>
        </w:rPr>
      </w:pPr>
    </w:p>
    <w:p w14:paraId="79752849">
      <w:pPr>
        <w:ind w:left="420"/>
        <w:rPr>
          <w:rFonts w:ascii="宋体" w:hAnsi="宋体" w:cs="宋体"/>
          <w:color w:val="auto"/>
          <w:szCs w:val="21"/>
          <w:highlight w:val="none"/>
        </w:rPr>
      </w:pPr>
    </w:p>
    <w:p w14:paraId="0830F86B">
      <w:pPr>
        <w:ind w:left="420"/>
        <w:rPr>
          <w:rFonts w:ascii="宋体" w:hAnsi="宋体" w:cs="宋体"/>
          <w:color w:val="auto"/>
          <w:szCs w:val="21"/>
          <w:highlight w:val="none"/>
        </w:rPr>
      </w:pPr>
    </w:p>
    <w:p w14:paraId="0AE13376">
      <w:pPr>
        <w:ind w:left="420"/>
        <w:rPr>
          <w:rFonts w:ascii="宋体" w:hAnsi="宋体" w:cs="宋体"/>
          <w:color w:val="auto"/>
          <w:szCs w:val="21"/>
          <w:highlight w:val="none"/>
        </w:rPr>
      </w:pPr>
    </w:p>
    <w:p w14:paraId="310BBCA7">
      <w:pPr>
        <w:ind w:left="420"/>
        <w:rPr>
          <w:rFonts w:ascii="宋体" w:hAnsi="宋体" w:cs="宋体"/>
          <w:color w:val="auto"/>
          <w:szCs w:val="21"/>
          <w:highlight w:val="none"/>
        </w:rPr>
      </w:pPr>
    </w:p>
    <w:p w14:paraId="7AC5332C">
      <w:pPr>
        <w:ind w:left="420"/>
        <w:rPr>
          <w:rFonts w:ascii="宋体" w:hAnsi="宋体" w:cs="宋体"/>
          <w:color w:val="auto"/>
          <w:szCs w:val="21"/>
          <w:highlight w:val="none"/>
        </w:rPr>
      </w:pPr>
    </w:p>
    <w:p w14:paraId="2E2458A4">
      <w:pPr>
        <w:ind w:left="420"/>
        <w:rPr>
          <w:rFonts w:ascii="宋体" w:hAnsi="宋体" w:cs="宋体"/>
          <w:color w:val="auto"/>
          <w:szCs w:val="21"/>
          <w:highlight w:val="none"/>
        </w:rPr>
      </w:pPr>
    </w:p>
    <w:p w14:paraId="295B375B">
      <w:pPr>
        <w:rPr>
          <w:rFonts w:ascii="宋体" w:hAnsi="宋体" w:cs="宋体"/>
          <w:b/>
          <w:color w:val="auto"/>
          <w:sz w:val="32"/>
          <w:szCs w:val="32"/>
          <w:highlight w:val="none"/>
        </w:rPr>
      </w:pPr>
      <w:r>
        <w:rPr>
          <w:color w:val="auto"/>
          <w:highlight w:val="none"/>
        </w:rPr>
        <w:br w:type="page" w:clear="all"/>
      </w:r>
    </w:p>
    <w:p w14:paraId="7608408B">
      <w:pPr>
        <w:spacing w:line="360" w:lineRule="auto"/>
        <w:ind w:firstLine="643"/>
        <w:contextualSpacing/>
        <w:jc w:val="center"/>
        <w:rPr>
          <w:rFonts w:ascii="宋体" w:hAnsi="宋体" w:cs="宋体"/>
          <w:b/>
          <w:color w:val="auto"/>
          <w:sz w:val="32"/>
          <w:szCs w:val="32"/>
          <w:highlight w:val="none"/>
        </w:rPr>
      </w:pPr>
      <w:r>
        <w:rPr>
          <w:rFonts w:ascii="宋体" w:hAnsi="宋体" w:cs="宋体"/>
          <w:b/>
          <w:color w:val="auto"/>
          <w:sz w:val="32"/>
          <w:szCs w:val="32"/>
          <w:highlight w:val="none"/>
        </w:rPr>
        <w:t>商务条款偏离表</w:t>
      </w:r>
    </w:p>
    <w:tbl>
      <w:tblPr>
        <w:tblStyle w:val="47"/>
        <w:tblW w:w="8793" w:type="dxa"/>
        <w:jc w:val="center"/>
        <w:tblLayout w:type="fixed"/>
        <w:tblCellMar>
          <w:top w:w="0" w:type="dxa"/>
          <w:left w:w="108" w:type="dxa"/>
          <w:bottom w:w="0" w:type="dxa"/>
          <w:right w:w="108" w:type="dxa"/>
        </w:tblCellMar>
      </w:tblPr>
      <w:tblGrid>
        <w:gridCol w:w="1017"/>
        <w:gridCol w:w="1898"/>
        <w:gridCol w:w="2242"/>
        <w:gridCol w:w="2638"/>
        <w:gridCol w:w="998"/>
      </w:tblGrid>
      <w:tr w14:paraId="5E674788">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1A0973C9">
            <w:pPr>
              <w:contextualSpacing/>
              <w:jc w:val="center"/>
              <w:rPr>
                <w:rFonts w:ascii="宋体" w:hAnsi="宋体" w:cs="宋体"/>
                <w:color w:val="auto"/>
                <w:szCs w:val="21"/>
                <w:highlight w:val="none"/>
              </w:rPr>
            </w:pPr>
            <w:r>
              <w:rPr>
                <w:rFonts w:ascii="宋体" w:hAnsi="宋体" w:cs="宋体"/>
                <w:color w:val="auto"/>
                <w:szCs w:val="21"/>
                <w:highlight w:val="none"/>
              </w:rPr>
              <w:t>序号</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529518FD">
            <w:pPr>
              <w:contextualSpacing/>
              <w:jc w:val="center"/>
              <w:rPr>
                <w:rFonts w:ascii="宋体" w:hAnsi="宋体" w:cs="宋体"/>
                <w:color w:val="auto"/>
                <w:szCs w:val="21"/>
                <w:highlight w:val="none"/>
              </w:rPr>
            </w:pPr>
            <w:r>
              <w:rPr>
                <w:rFonts w:ascii="宋体" w:hAnsi="宋体" w:cs="宋体"/>
                <w:color w:val="auto"/>
                <w:szCs w:val="21"/>
                <w:highlight w:val="none"/>
              </w:rPr>
              <w:t>招标文件条目号</w:t>
            </w: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1BEA8704">
            <w:pPr>
              <w:contextualSpacing/>
              <w:jc w:val="center"/>
              <w:rPr>
                <w:rFonts w:ascii="宋体" w:hAnsi="宋体" w:cs="宋体"/>
                <w:color w:val="auto"/>
                <w:szCs w:val="21"/>
                <w:highlight w:val="none"/>
              </w:rPr>
            </w:pPr>
            <w:r>
              <w:rPr>
                <w:rFonts w:ascii="宋体" w:hAnsi="宋体" w:cs="宋体"/>
                <w:color w:val="auto"/>
                <w:szCs w:val="21"/>
                <w:highlight w:val="none"/>
              </w:rPr>
              <w:t>招标文件的商务条款</w:t>
            </w: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3755EA36">
            <w:pPr>
              <w:contextualSpacing/>
              <w:jc w:val="center"/>
              <w:rPr>
                <w:rFonts w:ascii="宋体" w:hAnsi="宋体" w:cs="宋体"/>
                <w:color w:val="auto"/>
                <w:szCs w:val="21"/>
                <w:highlight w:val="none"/>
              </w:rPr>
            </w:pPr>
            <w:r>
              <w:rPr>
                <w:rFonts w:ascii="宋体" w:hAnsi="宋体" w:cs="宋体"/>
                <w:color w:val="auto"/>
                <w:szCs w:val="21"/>
                <w:highlight w:val="none"/>
              </w:rPr>
              <w:t>是否响应文件的商务条款</w:t>
            </w:r>
            <w:r>
              <w:rPr>
                <w:rFonts w:ascii="宋体" w:hAnsi="宋体"/>
                <w:b w:val="0"/>
                <w:bCs/>
                <w:color w:val="auto"/>
                <w:sz w:val="20"/>
                <w:highlight w:val="none"/>
              </w:rPr>
              <w:t>（正偏离/无偏离/负偏离）</w:t>
            </w: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544AB751">
            <w:pPr>
              <w:contextualSpacing/>
              <w:jc w:val="center"/>
              <w:rPr>
                <w:rFonts w:ascii="宋体" w:hAnsi="宋体" w:cs="宋体"/>
                <w:color w:val="auto"/>
                <w:szCs w:val="21"/>
                <w:highlight w:val="none"/>
              </w:rPr>
            </w:pPr>
            <w:r>
              <w:rPr>
                <w:rFonts w:ascii="宋体" w:hAnsi="宋体" w:cs="宋体"/>
                <w:color w:val="auto"/>
                <w:szCs w:val="21"/>
                <w:highlight w:val="none"/>
              </w:rPr>
              <w:t>说明</w:t>
            </w:r>
          </w:p>
        </w:tc>
      </w:tr>
      <w:tr w14:paraId="1201B165">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4940F708">
            <w:pPr>
              <w:spacing w:before="120"/>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00955C23">
            <w:pPr>
              <w:spacing w:before="120"/>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4F1E2B2D">
            <w:pPr>
              <w:ind w:firstLine="480"/>
              <w:contextualSpacing/>
              <w:jc w:val="both"/>
              <w:rPr>
                <w:rFonts w:ascii="宋体" w:hAnsi="宋体" w:cs="宋体"/>
                <w:color w:val="auto"/>
                <w:szCs w:val="21"/>
                <w:highlight w:val="none"/>
              </w:rPr>
            </w:pPr>
            <w:r>
              <w:rPr>
                <w:rFonts w:hint="eastAsia" w:ascii="宋体" w:hAnsi="宋体" w:cs="宋体"/>
                <w:color w:val="auto"/>
                <w:szCs w:val="21"/>
                <w:highlight w:val="none"/>
              </w:rPr>
              <w:t>合同履行期限</w:t>
            </w: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1FD56653">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04FAFA0B">
            <w:pPr>
              <w:ind w:firstLine="480"/>
              <w:contextualSpacing/>
              <w:jc w:val="center"/>
              <w:rPr>
                <w:rFonts w:ascii="宋体" w:hAnsi="宋体" w:cs="宋体"/>
                <w:color w:val="auto"/>
                <w:szCs w:val="21"/>
                <w:highlight w:val="none"/>
              </w:rPr>
            </w:pPr>
          </w:p>
        </w:tc>
      </w:tr>
      <w:tr w14:paraId="56E12A3B">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5779C5D2">
            <w:pPr>
              <w:spacing w:before="120"/>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419611FC">
            <w:pPr>
              <w:spacing w:before="120"/>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0FC22424">
            <w:pPr>
              <w:ind w:firstLine="480"/>
              <w:contextualSpacing/>
              <w:jc w:val="both"/>
              <w:rPr>
                <w:rFonts w:ascii="宋体" w:hAnsi="宋体" w:cs="宋体"/>
                <w:color w:val="auto"/>
                <w:szCs w:val="21"/>
                <w:highlight w:val="none"/>
              </w:rPr>
            </w:pPr>
            <w:r>
              <w:rPr>
                <w:rFonts w:ascii="宋体" w:hAnsi="宋体" w:cs="宋体"/>
                <w:color w:val="auto"/>
                <w:sz w:val="24"/>
                <w:szCs w:val="24"/>
                <w:highlight w:val="none"/>
              </w:rPr>
              <w:t>投标有效期</w:t>
            </w: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183BC499">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6E0A4504">
            <w:pPr>
              <w:ind w:firstLine="480"/>
              <w:contextualSpacing/>
              <w:jc w:val="center"/>
              <w:rPr>
                <w:rFonts w:ascii="宋体" w:hAnsi="宋体" w:cs="宋体"/>
                <w:color w:val="auto"/>
                <w:szCs w:val="21"/>
                <w:highlight w:val="none"/>
              </w:rPr>
            </w:pPr>
          </w:p>
        </w:tc>
      </w:tr>
      <w:tr w14:paraId="7CECFEC0">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24534C68">
            <w:pPr>
              <w:spacing w:before="120"/>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0407623E">
            <w:pPr>
              <w:spacing w:before="120"/>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2595E8E0">
            <w:pPr>
              <w:ind w:firstLine="480"/>
              <w:contextualSpacing/>
              <w:jc w:val="both"/>
              <w:rPr>
                <w:rFonts w:ascii="宋体" w:hAnsi="宋体" w:cs="宋体"/>
                <w:color w:val="auto"/>
                <w:szCs w:val="21"/>
                <w:highlight w:val="none"/>
              </w:rPr>
            </w:pPr>
            <w:r>
              <w:rPr>
                <w:rFonts w:ascii="宋体" w:hAnsi="宋体" w:cs="宋体"/>
                <w:color w:val="auto"/>
                <w:sz w:val="24"/>
                <w:szCs w:val="24"/>
                <w:highlight w:val="none"/>
              </w:rPr>
              <w:t>付款方式</w:t>
            </w: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2D092304">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402E364E">
            <w:pPr>
              <w:ind w:firstLine="480"/>
              <w:contextualSpacing/>
              <w:jc w:val="center"/>
              <w:rPr>
                <w:rFonts w:ascii="宋体" w:hAnsi="宋体" w:cs="宋体"/>
                <w:color w:val="auto"/>
                <w:szCs w:val="21"/>
                <w:highlight w:val="none"/>
              </w:rPr>
            </w:pPr>
          </w:p>
        </w:tc>
      </w:tr>
      <w:tr w14:paraId="39363269">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32F42E0F">
            <w:pPr>
              <w:spacing w:before="120"/>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2DA732E1">
            <w:pPr>
              <w:spacing w:before="120"/>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045A1292">
            <w:pPr>
              <w:ind w:firstLine="480"/>
              <w:contextualSpacing/>
              <w:jc w:val="both"/>
              <w:rPr>
                <w:rFonts w:hint="eastAsia" w:ascii="宋体" w:hAnsi="宋体" w:eastAsia="宋体" w:cs="宋体"/>
                <w:color w:val="auto"/>
                <w:szCs w:val="21"/>
                <w:highlight w:val="none"/>
                <w:lang w:val="en-US" w:eastAsia="zh-CN"/>
              </w:rPr>
            </w:pPr>
            <w:r>
              <w:rPr>
                <w:rFonts w:ascii="宋体" w:hAnsi="宋体" w:cs="宋体"/>
                <w:color w:val="auto"/>
                <w:sz w:val="24"/>
                <w:szCs w:val="24"/>
                <w:highlight w:val="none"/>
              </w:rPr>
              <w:t>履约保证</w:t>
            </w:r>
            <w:r>
              <w:rPr>
                <w:rFonts w:hint="eastAsia" w:ascii="宋体" w:hAnsi="宋体" w:cs="宋体"/>
                <w:color w:val="auto"/>
                <w:sz w:val="24"/>
                <w:szCs w:val="24"/>
                <w:highlight w:val="none"/>
                <w:lang w:val="en-US" w:eastAsia="zh-CN"/>
              </w:rPr>
              <w:t>金</w:t>
            </w: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21994AE7">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6BC68C60">
            <w:pPr>
              <w:ind w:firstLine="480"/>
              <w:contextualSpacing/>
              <w:jc w:val="center"/>
              <w:rPr>
                <w:rFonts w:ascii="宋体" w:hAnsi="宋体" w:cs="宋体"/>
                <w:color w:val="auto"/>
                <w:szCs w:val="21"/>
                <w:highlight w:val="none"/>
              </w:rPr>
            </w:pPr>
          </w:p>
        </w:tc>
      </w:tr>
      <w:tr w14:paraId="336515D0">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0C634932">
            <w:pPr>
              <w:spacing w:before="120"/>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642BE7CB">
            <w:pPr>
              <w:spacing w:before="120"/>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5391BB8A">
            <w:pPr>
              <w:ind w:firstLine="480"/>
              <w:contextualSpacing/>
              <w:jc w:val="center"/>
              <w:rPr>
                <w:rFonts w:ascii="宋体" w:hAnsi="宋体" w:cs="宋体"/>
                <w:color w:val="auto"/>
                <w:szCs w:val="21"/>
                <w:highlight w:val="none"/>
              </w:rPr>
            </w:pP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3F37952B">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05F39681">
            <w:pPr>
              <w:ind w:firstLine="480"/>
              <w:contextualSpacing/>
              <w:jc w:val="center"/>
              <w:rPr>
                <w:rFonts w:ascii="宋体" w:hAnsi="宋体" w:cs="宋体"/>
                <w:color w:val="auto"/>
                <w:szCs w:val="21"/>
                <w:highlight w:val="none"/>
              </w:rPr>
            </w:pPr>
          </w:p>
        </w:tc>
      </w:tr>
      <w:tr w14:paraId="219B78DC">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083A040A">
            <w:pPr>
              <w:spacing w:before="120"/>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651493CC">
            <w:pPr>
              <w:spacing w:before="120"/>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79072F0F">
            <w:pPr>
              <w:ind w:firstLine="480"/>
              <w:contextualSpacing/>
              <w:jc w:val="center"/>
              <w:rPr>
                <w:rFonts w:ascii="宋体" w:hAnsi="宋体" w:cs="宋体"/>
                <w:color w:val="auto"/>
                <w:szCs w:val="21"/>
                <w:highlight w:val="none"/>
              </w:rPr>
            </w:pP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1E284DC5">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41617862">
            <w:pPr>
              <w:ind w:firstLine="480"/>
              <w:contextualSpacing/>
              <w:jc w:val="center"/>
              <w:rPr>
                <w:rFonts w:ascii="宋体" w:hAnsi="宋体" w:cs="宋体"/>
                <w:color w:val="auto"/>
                <w:szCs w:val="21"/>
                <w:highlight w:val="none"/>
              </w:rPr>
            </w:pPr>
          </w:p>
        </w:tc>
      </w:tr>
      <w:tr w14:paraId="7E0E3C91">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49E5952D">
            <w:pPr>
              <w:spacing w:before="120"/>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0935EA68">
            <w:pPr>
              <w:spacing w:before="120"/>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1466F8D6">
            <w:pPr>
              <w:ind w:firstLine="480"/>
              <w:contextualSpacing/>
              <w:jc w:val="center"/>
              <w:rPr>
                <w:rFonts w:ascii="宋体" w:hAnsi="宋体" w:cs="宋体"/>
                <w:color w:val="auto"/>
                <w:szCs w:val="21"/>
                <w:highlight w:val="none"/>
              </w:rPr>
            </w:pP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03F412D9">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073B666A">
            <w:pPr>
              <w:ind w:firstLine="480"/>
              <w:contextualSpacing/>
              <w:jc w:val="center"/>
              <w:rPr>
                <w:rFonts w:ascii="宋体" w:hAnsi="宋体" w:cs="宋体"/>
                <w:color w:val="auto"/>
                <w:szCs w:val="21"/>
                <w:highlight w:val="none"/>
              </w:rPr>
            </w:pPr>
          </w:p>
        </w:tc>
      </w:tr>
      <w:tr w14:paraId="00B39344">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7312215F">
            <w:pPr>
              <w:spacing w:before="120"/>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1954C80D">
            <w:pPr>
              <w:spacing w:before="120"/>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328FA842">
            <w:pPr>
              <w:ind w:firstLine="480"/>
              <w:contextualSpacing/>
              <w:jc w:val="center"/>
              <w:rPr>
                <w:rFonts w:ascii="宋体" w:hAnsi="宋体" w:cs="宋体"/>
                <w:color w:val="auto"/>
                <w:szCs w:val="21"/>
                <w:highlight w:val="none"/>
              </w:rPr>
            </w:pP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431B496A">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138C11E8">
            <w:pPr>
              <w:ind w:firstLine="480"/>
              <w:contextualSpacing/>
              <w:jc w:val="center"/>
              <w:rPr>
                <w:rFonts w:ascii="宋体" w:hAnsi="宋体" w:cs="宋体"/>
                <w:color w:val="auto"/>
                <w:szCs w:val="21"/>
                <w:highlight w:val="none"/>
              </w:rPr>
            </w:pPr>
          </w:p>
        </w:tc>
      </w:tr>
      <w:tr w14:paraId="1E890179">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03C96B98">
            <w:pPr>
              <w:spacing w:before="120"/>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27D6A9DC">
            <w:pPr>
              <w:spacing w:before="120"/>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0BFAAA1D">
            <w:pPr>
              <w:ind w:firstLine="480"/>
              <w:contextualSpacing/>
              <w:jc w:val="center"/>
              <w:rPr>
                <w:rFonts w:ascii="宋体" w:hAnsi="宋体" w:cs="宋体"/>
                <w:color w:val="auto"/>
                <w:szCs w:val="21"/>
                <w:highlight w:val="none"/>
              </w:rPr>
            </w:pP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7B661652">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3C202DDC">
            <w:pPr>
              <w:ind w:firstLine="480"/>
              <w:contextualSpacing/>
              <w:jc w:val="center"/>
              <w:rPr>
                <w:rFonts w:ascii="宋体" w:hAnsi="宋体" w:cs="宋体"/>
                <w:color w:val="auto"/>
                <w:szCs w:val="21"/>
                <w:highlight w:val="none"/>
              </w:rPr>
            </w:pPr>
          </w:p>
        </w:tc>
      </w:tr>
      <w:tr w14:paraId="726DAD58">
        <w:tblPrEx>
          <w:tblCellMar>
            <w:top w:w="0" w:type="dxa"/>
            <w:left w:w="108" w:type="dxa"/>
            <w:bottom w:w="0" w:type="dxa"/>
            <w:right w:w="108" w:type="dxa"/>
          </w:tblCellMar>
        </w:tblPrEx>
        <w:trPr>
          <w:trHeight w:val="680" w:hRule="atLeast"/>
          <w:jc w:val="center"/>
        </w:trPr>
        <w:tc>
          <w:tcPr>
            <w:tcW w:w="1017" w:type="dxa"/>
            <w:tcBorders>
              <w:top w:val="single" w:color="000000" w:sz="4" w:space="0"/>
              <w:left w:val="single" w:color="000000" w:sz="4" w:space="0"/>
              <w:bottom w:val="single" w:color="000000" w:sz="4" w:space="0"/>
              <w:right w:val="single" w:color="000000" w:sz="4" w:space="0"/>
            </w:tcBorders>
            <w:noWrap w:val="0"/>
            <w:vAlign w:val="center"/>
          </w:tcPr>
          <w:p w14:paraId="4E4D25E1">
            <w:pPr>
              <w:ind w:firstLine="480"/>
              <w:contextualSpacing/>
              <w:jc w:val="center"/>
              <w:rPr>
                <w:rFonts w:ascii="宋体" w:hAnsi="宋体" w:cs="宋体"/>
                <w:color w:val="auto"/>
                <w:szCs w:val="21"/>
                <w:highlight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3A384A3C">
            <w:pPr>
              <w:ind w:firstLine="480"/>
              <w:contextualSpacing/>
              <w:jc w:val="center"/>
              <w:rPr>
                <w:rFonts w:ascii="宋体" w:hAnsi="宋体" w:cs="宋体"/>
                <w:color w:val="auto"/>
                <w:szCs w:val="21"/>
                <w:highlight w:val="none"/>
              </w:rPr>
            </w:pPr>
          </w:p>
        </w:tc>
        <w:tc>
          <w:tcPr>
            <w:tcW w:w="2242" w:type="dxa"/>
            <w:tcBorders>
              <w:top w:val="single" w:color="000000" w:sz="4" w:space="0"/>
              <w:left w:val="single" w:color="000000" w:sz="4" w:space="0"/>
              <w:bottom w:val="single" w:color="000000" w:sz="4" w:space="0"/>
              <w:right w:val="single" w:color="000000" w:sz="4" w:space="0"/>
            </w:tcBorders>
            <w:noWrap w:val="0"/>
            <w:vAlign w:val="center"/>
          </w:tcPr>
          <w:p w14:paraId="18073236">
            <w:pPr>
              <w:ind w:firstLine="480"/>
              <w:contextualSpacing/>
              <w:jc w:val="center"/>
              <w:rPr>
                <w:rFonts w:ascii="宋体" w:hAnsi="宋体" w:cs="宋体"/>
                <w:color w:val="auto"/>
                <w:szCs w:val="21"/>
                <w:highlight w:val="none"/>
              </w:rPr>
            </w:pPr>
          </w:p>
        </w:tc>
        <w:tc>
          <w:tcPr>
            <w:tcW w:w="2638" w:type="dxa"/>
            <w:tcBorders>
              <w:top w:val="single" w:color="000000" w:sz="4" w:space="0"/>
              <w:left w:val="single" w:color="000000" w:sz="4" w:space="0"/>
              <w:bottom w:val="single" w:color="000000" w:sz="4" w:space="0"/>
              <w:right w:val="single" w:color="000000" w:sz="4" w:space="0"/>
            </w:tcBorders>
            <w:noWrap w:val="0"/>
            <w:vAlign w:val="center"/>
          </w:tcPr>
          <w:p w14:paraId="375F650B">
            <w:pPr>
              <w:ind w:firstLine="480"/>
              <w:contextualSpacing/>
              <w:jc w:val="center"/>
              <w:rPr>
                <w:rFonts w:ascii="宋体" w:hAnsi="宋体" w:cs="宋体"/>
                <w:color w:val="auto"/>
                <w:szCs w:val="21"/>
                <w:highlight w:val="none"/>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1FECBBD6">
            <w:pPr>
              <w:ind w:firstLine="480"/>
              <w:contextualSpacing/>
              <w:jc w:val="center"/>
              <w:rPr>
                <w:rFonts w:ascii="宋体" w:hAnsi="宋体" w:cs="宋体"/>
                <w:color w:val="auto"/>
                <w:szCs w:val="21"/>
                <w:highlight w:val="none"/>
              </w:rPr>
            </w:pPr>
          </w:p>
        </w:tc>
      </w:tr>
    </w:tbl>
    <w:p w14:paraId="54A6C370">
      <w:pPr>
        <w:widowControl/>
        <w:shd w:val="clear" w:color="auto" w:fill="FFFFFF"/>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t>注：投标人必须对招标文件的商务条款（如</w:t>
      </w:r>
      <w:r>
        <w:rPr>
          <w:rFonts w:hint="eastAsia" w:ascii="宋体" w:hAnsi="宋体" w:cs="宋体"/>
          <w:color w:val="auto"/>
          <w:sz w:val="24"/>
          <w:szCs w:val="24"/>
          <w:highlight w:val="none"/>
          <w:lang w:val="en-US" w:eastAsia="zh-CN"/>
        </w:rPr>
        <w:t>合同履行期限</w:t>
      </w:r>
      <w:r>
        <w:rPr>
          <w:rFonts w:ascii="宋体" w:hAnsi="宋体" w:cs="宋体"/>
          <w:color w:val="auto"/>
          <w:sz w:val="24"/>
          <w:szCs w:val="24"/>
          <w:highlight w:val="none"/>
        </w:rPr>
        <w:t>、投标有效期</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付款方式、履约保证</w:t>
      </w:r>
      <w:r>
        <w:rPr>
          <w:rFonts w:hint="eastAsia" w:ascii="宋体" w:hAnsi="宋体" w:cs="宋体"/>
          <w:color w:val="auto"/>
          <w:sz w:val="24"/>
          <w:szCs w:val="24"/>
          <w:highlight w:val="none"/>
          <w:lang w:val="en-US" w:eastAsia="zh-CN"/>
        </w:rPr>
        <w:t>金</w:t>
      </w:r>
      <w:r>
        <w:rPr>
          <w:rFonts w:ascii="宋体" w:hAnsi="宋体" w:cs="宋体"/>
          <w:color w:val="auto"/>
          <w:sz w:val="24"/>
          <w:szCs w:val="24"/>
          <w:highlight w:val="none"/>
        </w:rPr>
        <w:t>等）逐条填写。如果行数不够，请自行增加。</w:t>
      </w:r>
    </w:p>
    <w:p w14:paraId="318DF1D1">
      <w:pPr>
        <w:spacing w:line="360" w:lineRule="auto"/>
        <w:ind w:left="690" w:hanging="480"/>
        <w:contextualSpacing/>
        <w:rPr>
          <w:rFonts w:ascii="宋体" w:hAnsi="宋体" w:cs="宋体"/>
          <w:color w:val="auto"/>
          <w:sz w:val="24"/>
          <w:szCs w:val="24"/>
          <w:highlight w:val="none"/>
        </w:rPr>
      </w:pPr>
    </w:p>
    <w:p w14:paraId="5D431119">
      <w:pPr>
        <w:spacing w:line="360" w:lineRule="auto"/>
        <w:contextualSpacing/>
        <w:rPr>
          <w:rFonts w:ascii="宋体" w:hAnsi="宋体" w:cs="宋体"/>
          <w:color w:val="auto"/>
          <w:sz w:val="24"/>
          <w:szCs w:val="24"/>
          <w:highlight w:val="none"/>
        </w:rPr>
      </w:pPr>
    </w:p>
    <w:p w14:paraId="6B8B29FA">
      <w:pPr>
        <w:spacing w:line="360" w:lineRule="auto"/>
        <w:contextualSpacing/>
        <w:rPr>
          <w:rFonts w:ascii="宋体" w:hAnsi="宋体" w:cs="宋体"/>
          <w:color w:val="auto"/>
          <w:sz w:val="24"/>
          <w:szCs w:val="24"/>
          <w:highlight w:val="none"/>
        </w:rPr>
      </w:pPr>
    </w:p>
    <w:p w14:paraId="6374AA5A">
      <w:pPr>
        <w:spacing w:line="360" w:lineRule="auto"/>
        <w:contextualSpacing/>
        <w:rPr>
          <w:rFonts w:ascii="宋体" w:hAnsi="宋体" w:cs="宋体"/>
          <w:color w:val="auto"/>
          <w:sz w:val="24"/>
          <w:szCs w:val="24"/>
          <w:highlight w:val="none"/>
        </w:rPr>
      </w:pPr>
      <w:r>
        <w:rPr>
          <w:rFonts w:ascii="宋体" w:hAnsi="宋体" w:cs="宋体"/>
          <w:color w:val="auto"/>
          <w:sz w:val="24"/>
          <w:szCs w:val="24"/>
          <w:highlight w:val="none"/>
        </w:rPr>
        <w:t>投标人名称：（</w:t>
      </w:r>
      <w:r>
        <w:rPr>
          <w:rFonts w:hint="eastAsia" w:ascii="Arial" w:hAnsi="Arial" w:cs="Arial"/>
          <w:color w:val="auto"/>
          <w:sz w:val="22"/>
          <w:szCs w:val="22"/>
          <w:highlight w:val="none"/>
        </w:rPr>
        <w:t>加盖电子公章</w:t>
      </w:r>
      <w:r>
        <w:rPr>
          <w:rFonts w:ascii="宋体" w:hAnsi="宋体" w:cs="宋体"/>
          <w:color w:val="auto"/>
          <w:sz w:val="24"/>
          <w:szCs w:val="24"/>
          <w:highlight w:val="none"/>
        </w:rPr>
        <w:t>）</w:t>
      </w:r>
    </w:p>
    <w:p w14:paraId="7446B97D">
      <w:pPr>
        <w:spacing w:line="360" w:lineRule="auto"/>
        <w:contextualSpacing/>
        <w:rPr>
          <w:rFonts w:ascii="宋体" w:hAnsi="宋体" w:cs="宋体"/>
          <w:color w:val="auto"/>
          <w:sz w:val="24"/>
          <w:szCs w:val="24"/>
          <w:highlight w:val="none"/>
        </w:rPr>
      </w:pPr>
      <w:r>
        <w:rPr>
          <w:rFonts w:ascii="宋体" w:hAnsi="宋体" w:cs="宋体"/>
          <w:color w:val="auto"/>
          <w:sz w:val="24"/>
          <w:szCs w:val="24"/>
          <w:highlight w:val="none"/>
        </w:rPr>
        <w:t>法定代表人或委托代理人：（签字或盖章）</w:t>
      </w:r>
    </w:p>
    <w:p w14:paraId="0F688FD1">
      <w:pPr>
        <w:spacing w:line="360" w:lineRule="auto"/>
        <w:contextualSpacing/>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 </w:t>
      </w:r>
      <w:r>
        <w:rPr>
          <w:color w:val="auto"/>
          <w:highlight w:val="none"/>
        </w:rPr>
        <w:br w:type="page" w:clear="all"/>
      </w:r>
    </w:p>
    <w:p w14:paraId="53E71824">
      <w:pPr>
        <w:spacing w:line="360" w:lineRule="auto"/>
        <w:ind w:firstLine="600"/>
        <w:contextualSpacing/>
        <w:jc w:val="center"/>
        <w:rPr>
          <w:rFonts w:ascii="宋体" w:hAnsi="宋体" w:cs="宋体"/>
          <w:b/>
          <w:color w:val="auto"/>
          <w:sz w:val="32"/>
          <w:szCs w:val="32"/>
          <w:highlight w:val="none"/>
        </w:rPr>
      </w:pPr>
      <w:r>
        <w:rPr>
          <w:rFonts w:ascii="宋体" w:hAnsi="宋体" w:cs="宋体"/>
          <w:b/>
          <w:color w:val="auto"/>
          <w:sz w:val="32"/>
          <w:szCs w:val="32"/>
          <w:highlight w:val="none"/>
        </w:rPr>
        <w:t>技术条款偏离表</w:t>
      </w:r>
    </w:p>
    <w:tbl>
      <w:tblPr>
        <w:tblStyle w:val="47"/>
        <w:tblW w:w="8793" w:type="dxa"/>
        <w:jc w:val="center"/>
        <w:tblLayout w:type="fixed"/>
        <w:tblCellMar>
          <w:top w:w="0" w:type="dxa"/>
          <w:left w:w="108" w:type="dxa"/>
          <w:bottom w:w="0" w:type="dxa"/>
          <w:right w:w="108" w:type="dxa"/>
        </w:tblCellMar>
      </w:tblPr>
      <w:tblGrid>
        <w:gridCol w:w="860"/>
        <w:gridCol w:w="1795"/>
        <w:gridCol w:w="2241"/>
        <w:gridCol w:w="2633"/>
        <w:gridCol w:w="1264"/>
      </w:tblGrid>
      <w:tr w14:paraId="3D67F57A">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28D71813">
            <w:pPr>
              <w:spacing w:line="360" w:lineRule="auto"/>
              <w:contextualSpacing/>
              <w:jc w:val="center"/>
              <w:rPr>
                <w:rFonts w:ascii="宋体" w:hAnsi="宋体" w:cs="宋体"/>
                <w:color w:val="auto"/>
                <w:szCs w:val="21"/>
                <w:highlight w:val="none"/>
              </w:rPr>
            </w:pPr>
            <w:r>
              <w:rPr>
                <w:rFonts w:ascii="宋体" w:hAnsi="宋体" w:cs="宋体"/>
                <w:color w:val="auto"/>
                <w:szCs w:val="21"/>
                <w:highlight w:val="none"/>
              </w:rPr>
              <w:t>序号</w:t>
            </w: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7B92D70C">
            <w:pPr>
              <w:spacing w:line="360" w:lineRule="auto"/>
              <w:contextualSpacing/>
              <w:jc w:val="center"/>
              <w:rPr>
                <w:rFonts w:ascii="宋体" w:hAnsi="宋体" w:cs="宋体"/>
                <w:color w:val="auto"/>
                <w:szCs w:val="21"/>
                <w:highlight w:val="none"/>
              </w:rPr>
            </w:pPr>
            <w:r>
              <w:rPr>
                <w:rFonts w:ascii="宋体" w:hAnsi="宋体" w:cs="宋体"/>
                <w:color w:val="auto"/>
                <w:szCs w:val="21"/>
                <w:highlight w:val="none"/>
              </w:rPr>
              <w:t>招标文件条目号</w:t>
            </w: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75103C92">
            <w:pPr>
              <w:spacing w:line="360" w:lineRule="auto"/>
              <w:contextualSpacing/>
              <w:jc w:val="center"/>
              <w:rPr>
                <w:rFonts w:ascii="宋体" w:hAnsi="宋体" w:cs="宋体"/>
                <w:color w:val="auto"/>
                <w:szCs w:val="21"/>
                <w:highlight w:val="none"/>
              </w:rPr>
            </w:pPr>
            <w:r>
              <w:rPr>
                <w:rFonts w:ascii="宋体" w:hAnsi="宋体" w:cs="宋体"/>
                <w:color w:val="auto"/>
                <w:szCs w:val="21"/>
                <w:highlight w:val="none"/>
              </w:rPr>
              <w:t>招标文件的技术条款</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3B076CF4">
            <w:pPr>
              <w:spacing w:line="360" w:lineRule="auto"/>
              <w:contextualSpacing/>
              <w:jc w:val="center"/>
              <w:rPr>
                <w:rFonts w:ascii="宋体" w:hAnsi="宋体" w:cs="宋体"/>
                <w:color w:val="auto"/>
                <w:szCs w:val="21"/>
                <w:highlight w:val="none"/>
              </w:rPr>
            </w:pPr>
            <w:r>
              <w:rPr>
                <w:rFonts w:ascii="宋体" w:hAnsi="宋体" w:cs="宋体"/>
                <w:color w:val="auto"/>
                <w:szCs w:val="21"/>
                <w:highlight w:val="none"/>
              </w:rPr>
              <w:t>是否响应文件的技术条款</w:t>
            </w:r>
            <w:r>
              <w:rPr>
                <w:rFonts w:ascii="宋体" w:hAnsi="宋体"/>
                <w:b w:val="0"/>
                <w:bCs/>
                <w:color w:val="auto"/>
                <w:sz w:val="20"/>
                <w:highlight w:val="none"/>
              </w:rPr>
              <w:t>（正偏离/无偏离/负偏离）</w:t>
            </w: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3BF0C607">
            <w:pPr>
              <w:spacing w:line="360" w:lineRule="auto"/>
              <w:contextualSpacing/>
              <w:jc w:val="center"/>
              <w:rPr>
                <w:rFonts w:ascii="宋体" w:hAnsi="宋体" w:cs="宋体"/>
                <w:color w:val="auto"/>
                <w:szCs w:val="21"/>
                <w:highlight w:val="none"/>
              </w:rPr>
            </w:pPr>
            <w:r>
              <w:rPr>
                <w:rFonts w:ascii="宋体" w:hAnsi="宋体" w:cs="宋体"/>
                <w:color w:val="auto"/>
                <w:szCs w:val="21"/>
                <w:highlight w:val="none"/>
              </w:rPr>
              <w:t>说明</w:t>
            </w:r>
          </w:p>
        </w:tc>
      </w:tr>
      <w:tr w14:paraId="708C46A5">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7D7BB2E3">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1A6540F7">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0B0D1FCF">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004DB53B">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31593A34">
            <w:pPr>
              <w:spacing w:line="360" w:lineRule="auto"/>
              <w:ind w:firstLine="480"/>
              <w:contextualSpacing/>
              <w:jc w:val="center"/>
              <w:rPr>
                <w:rFonts w:ascii="宋体" w:hAnsi="宋体" w:cs="宋体"/>
                <w:color w:val="auto"/>
                <w:szCs w:val="21"/>
                <w:highlight w:val="none"/>
              </w:rPr>
            </w:pPr>
          </w:p>
        </w:tc>
      </w:tr>
      <w:tr w14:paraId="1BEFB6EF">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19F9E757">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6223385A">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51633FB8">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4AA80841">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77969635">
            <w:pPr>
              <w:spacing w:line="360" w:lineRule="auto"/>
              <w:ind w:firstLine="480"/>
              <w:contextualSpacing/>
              <w:jc w:val="center"/>
              <w:rPr>
                <w:rFonts w:ascii="宋体" w:hAnsi="宋体" w:cs="宋体"/>
                <w:color w:val="auto"/>
                <w:szCs w:val="21"/>
                <w:highlight w:val="none"/>
              </w:rPr>
            </w:pPr>
          </w:p>
        </w:tc>
      </w:tr>
      <w:tr w14:paraId="0FF9E048">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3445CD19">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79F991C2">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6DE82A00">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309D5E93">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6152015D">
            <w:pPr>
              <w:spacing w:line="360" w:lineRule="auto"/>
              <w:ind w:firstLine="480"/>
              <w:contextualSpacing/>
              <w:jc w:val="center"/>
              <w:rPr>
                <w:rFonts w:ascii="宋体" w:hAnsi="宋体" w:cs="宋体"/>
                <w:color w:val="auto"/>
                <w:szCs w:val="21"/>
                <w:highlight w:val="none"/>
              </w:rPr>
            </w:pPr>
          </w:p>
        </w:tc>
      </w:tr>
      <w:tr w14:paraId="375172CE">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0A46471D">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4FA683D4">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096445E6">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110BDF68">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364306CA">
            <w:pPr>
              <w:spacing w:line="360" w:lineRule="auto"/>
              <w:ind w:firstLine="480"/>
              <w:contextualSpacing/>
              <w:jc w:val="center"/>
              <w:rPr>
                <w:rFonts w:ascii="宋体" w:hAnsi="宋体" w:cs="宋体"/>
                <w:color w:val="auto"/>
                <w:szCs w:val="21"/>
                <w:highlight w:val="none"/>
              </w:rPr>
            </w:pPr>
          </w:p>
        </w:tc>
      </w:tr>
      <w:tr w14:paraId="69D8911B">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48F7CCE6">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1753C6E7">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179E6069">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5E61CDC7">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1915592B">
            <w:pPr>
              <w:spacing w:line="360" w:lineRule="auto"/>
              <w:ind w:firstLine="480"/>
              <w:contextualSpacing/>
              <w:jc w:val="center"/>
              <w:rPr>
                <w:rFonts w:ascii="宋体" w:hAnsi="宋体" w:cs="宋体"/>
                <w:color w:val="auto"/>
                <w:szCs w:val="21"/>
                <w:highlight w:val="none"/>
              </w:rPr>
            </w:pPr>
          </w:p>
        </w:tc>
      </w:tr>
      <w:tr w14:paraId="09955CE3">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05667366">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21374091">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60775E8F">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31B0EE5E">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20BDF092">
            <w:pPr>
              <w:spacing w:line="360" w:lineRule="auto"/>
              <w:ind w:firstLine="480"/>
              <w:contextualSpacing/>
              <w:jc w:val="center"/>
              <w:rPr>
                <w:rFonts w:ascii="宋体" w:hAnsi="宋体" w:cs="宋体"/>
                <w:color w:val="auto"/>
                <w:szCs w:val="21"/>
                <w:highlight w:val="none"/>
              </w:rPr>
            </w:pPr>
          </w:p>
        </w:tc>
      </w:tr>
      <w:tr w14:paraId="021B3F6C">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791D4E85">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4D1676A9">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5A9F0388">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2CE3FF7D">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22F81533">
            <w:pPr>
              <w:spacing w:line="360" w:lineRule="auto"/>
              <w:ind w:firstLine="480"/>
              <w:contextualSpacing/>
              <w:jc w:val="center"/>
              <w:rPr>
                <w:rFonts w:ascii="宋体" w:hAnsi="宋体" w:cs="宋体"/>
                <w:color w:val="auto"/>
                <w:szCs w:val="21"/>
                <w:highlight w:val="none"/>
              </w:rPr>
            </w:pPr>
          </w:p>
        </w:tc>
      </w:tr>
      <w:tr w14:paraId="5D3909E9">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5A9681F1">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0718ACC6">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3BD4CDC2">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7B50CE44">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0F621D28">
            <w:pPr>
              <w:spacing w:line="360" w:lineRule="auto"/>
              <w:ind w:firstLine="480"/>
              <w:contextualSpacing/>
              <w:jc w:val="center"/>
              <w:rPr>
                <w:rFonts w:ascii="宋体" w:hAnsi="宋体" w:cs="宋体"/>
                <w:color w:val="auto"/>
                <w:szCs w:val="21"/>
                <w:highlight w:val="none"/>
              </w:rPr>
            </w:pPr>
          </w:p>
        </w:tc>
      </w:tr>
      <w:tr w14:paraId="63AF9935">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5C6F1773">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44555227">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5A4EC774">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734D3DA6">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09DF0BBD">
            <w:pPr>
              <w:spacing w:line="360" w:lineRule="auto"/>
              <w:ind w:firstLine="480"/>
              <w:contextualSpacing/>
              <w:jc w:val="center"/>
              <w:rPr>
                <w:rFonts w:ascii="宋体" w:hAnsi="宋体" w:cs="宋体"/>
                <w:color w:val="auto"/>
                <w:szCs w:val="21"/>
                <w:highlight w:val="none"/>
              </w:rPr>
            </w:pPr>
          </w:p>
        </w:tc>
      </w:tr>
      <w:tr w14:paraId="54A55661">
        <w:tblPrEx>
          <w:tblCellMar>
            <w:top w:w="0" w:type="dxa"/>
            <w:left w:w="108" w:type="dxa"/>
            <w:bottom w:w="0" w:type="dxa"/>
            <w:right w:w="108" w:type="dxa"/>
          </w:tblCellMar>
        </w:tblPrEx>
        <w:trPr>
          <w:trHeight w:val="6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4BD0F72F">
            <w:pPr>
              <w:spacing w:line="360" w:lineRule="auto"/>
              <w:ind w:firstLine="480"/>
              <w:contextualSpacing/>
              <w:jc w:val="center"/>
              <w:rPr>
                <w:rFonts w:ascii="宋体" w:hAnsi="宋体" w:cs="宋体"/>
                <w:color w:val="auto"/>
                <w:szCs w:val="21"/>
                <w:highlight w:val="none"/>
              </w:rPr>
            </w:pPr>
          </w:p>
        </w:tc>
        <w:tc>
          <w:tcPr>
            <w:tcW w:w="1795" w:type="dxa"/>
            <w:tcBorders>
              <w:top w:val="single" w:color="000000" w:sz="4" w:space="0"/>
              <w:left w:val="single" w:color="000000" w:sz="4" w:space="0"/>
              <w:bottom w:val="single" w:color="000000" w:sz="4" w:space="0"/>
              <w:right w:val="single" w:color="000000" w:sz="4" w:space="0"/>
            </w:tcBorders>
            <w:noWrap w:val="0"/>
            <w:vAlign w:val="center"/>
          </w:tcPr>
          <w:p w14:paraId="3AC42905">
            <w:pPr>
              <w:spacing w:line="360" w:lineRule="auto"/>
              <w:ind w:firstLine="480"/>
              <w:contextualSpacing/>
              <w:jc w:val="center"/>
              <w:rPr>
                <w:rFonts w:ascii="宋体" w:hAnsi="宋体" w:cs="宋体"/>
                <w:color w:val="auto"/>
                <w:szCs w:val="21"/>
                <w:highlight w:val="none"/>
              </w:rPr>
            </w:pP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3DC9433E">
            <w:pPr>
              <w:spacing w:line="360" w:lineRule="auto"/>
              <w:ind w:firstLine="480"/>
              <w:contextualSpacing/>
              <w:jc w:val="center"/>
              <w:rPr>
                <w:rFonts w:ascii="宋体" w:hAnsi="宋体" w:cs="宋体"/>
                <w:color w:val="auto"/>
                <w:szCs w:val="21"/>
                <w:highlight w:val="none"/>
              </w:rPr>
            </w:pP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58DEF230">
            <w:pPr>
              <w:spacing w:line="360" w:lineRule="auto"/>
              <w:ind w:firstLine="480"/>
              <w:contextualSpacing/>
              <w:jc w:val="center"/>
              <w:rPr>
                <w:rFonts w:ascii="宋体" w:hAnsi="宋体" w:cs="宋体"/>
                <w:color w:val="auto"/>
                <w:szCs w:val="21"/>
                <w:highlight w:val="none"/>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354599A2">
            <w:pPr>
              <w:spacing w:line="360" w:lineRule="auto"/>
              <w:ind w:firstLine="480"/>
              <w:contextualSpacing/>
              <w:jc w:val="center"/>
              <w:rPr>
                <w:rFonts w:ascii="宋体" w:hAnsi="宋体" w:cs="宋体"/>
                <w:color w:val="auto"/>
                <w:szCs w:val="21"/>
                <w:highlight w:val="none"/>
              </w:rPr>
            </w:pPr>
          </w:p>
        </w:tc>
      </w:tr>
    </w:tbl>
    <w:p w14:paraId="598C401F">
      <w:pPr>
        <w:spacing w:line="360" w:lineRule="auto"/>
        <w:ind w:left="690" w:hanging="480"/>
        <w:contextualSpacing/>
        <w:rPr>
          <w:rFonts w:ascii="宋体" w:hAnsi="宋体" w:cs="宋体"/>
          <w:color w:val="auto"/>
          <w:sz w:val="24"/>
          <w:szCs w:val="24"/>
          <w:highlight w:val="none"/>
        </w:rPr>
      </w:pPr>
      <w:r>
        <w:rPr>
          <w:rFonts w:ascii="宋体" w:hAnsi="宋体" w:cs="宋体"/>
          <w:color w:val="auto"/>
          <w:sz w:val="24"/>
          <w:szCs w:val="24"/>
          <w:highlight w:val="none"/>
        </w:rPr>
        <w:t>注：投标人必须对招标文件的技术条款逐条填写。</w:t>
      </w:r>
    </w:p>
    <w:p w14:paraId="69C2687E">
      <w:pPr>
        <w:spacing w:line="360" w:lineRule="auto"/>
        <w:contextualSpacing/>
        <w:rPr>
          <w:rFonts w:ascii="宋体" w:hAnsi="宋体" w:cs="宋体"/>
          <w:color w:val="auto"/>
          <w:sz w:val="24"/>
          <w:szCs w:val="24"/>
          <w:highlight w:val="none"/>
        </w:rPr>
      </w:pPr>
    </w:p>
    <w:p w14:paraId="1ED762B9">
      <w:pPr>
        <w:spacing w:line="360" w:lineRule="auto"/>
        <w:contextualSpacing/>
        <w:rPr>
          <w:rFonts w:ascii="宋体" w:hAnsi="宋体" w:cs="宋体"/>
          <w:color w:val="auto"/>
          <w:sz w:val="24"/>
          <w:szCs w:val="24"/>
          <w:highlight w:val="none"/>
        </w:rPr>
      </w:pPr>
    </w:p>
    <w:p w14:paraId="3FC0E3AD">
      <w:pPr>
        <w:spacing w:line="360" w:lineRule="auto"/>
        <w:contextualSpacing/>
        <w:rPr>
          <w:rFonts w:ascii="宋体" w:hAnsi="宋体" w:cs="宋体"/>
          <w:color w:val="auto"/>
          <w:sz w:val="24"/>
          <w:szCs w:val="24"/>
          <w:highlight w:val="none"/>
        </w:rPr>
      </w:pPr>
    </w:p>
    <w:p w14:paraId="7C8C28CC">
      <w:pPr>
        <w:spacing w:line="360" w:lineRule="auto"/>
        <w:contextualSpacing/>
        <w:rPr>
          <w:rFonts w:ascii="宋体" w:hAnsi="宋体" w:cs="宋体"/>
          <w:color w:val="auto"/>
          <w:sz w:val="24"/>
          <w:szCs w:val="24"/>
          <w:highlight w:val="none"/>
        </w:rPr>
      </w:pPr>
      <w:r>
        <w:rPr>
          <w:rFonts w:ascii="宋体" w:hAnsi="宋体" w:cs="宋体"/>
          <w:color w:val="auto"/>
          <w:sz w:val="24"/>
          <w:szCs w:val="24"/>
          <w:highlight w:val="none"/>
        </w:rPr>
        <w:t>投标人名称：（</w:t>
      </w:r>
      <w:r>
        <w:rPr>
          <w:rFonts w:hint="eastAsia" w:ascii="Arial" w:hAnsi="Arial" w:cs="Arial"/>
          <w:color w:val="auto"/>
          <w:sz w:val="22"/>
          <w:szCs w:val="22"/>
          <w:highlight w:val="none"/>
        </w:rPr>
        <w:t>加盖电子公章</w:t>
      </w:r>
      <w:r>
        <w:rPr>
          <w:rFonts w:ascii="宋体" w:hAnsi="宋体" w:cs="宋体"/>
          <w:color w:val="auto"/>
          <w:sz w:val="24"/>
          <w:szCs w:val="24"/>
          <w:highlight w:val="none"/>
        </w:rPr>
        <w:t>）：</w:t>
      </w:r>
    </w:p>
    <w:p w14:paraId="33A355A1">
      <w:pPr>
        <w:spacing w:line="360" w:lineRule="auto"/>
        <w:contextualSpacing/>
        <w:rPr>
          <w:rFonts w:ascii="宋体" w:hAnsi="宋体" w:cs="宋体"/>
          <w:color w:val="auto"/>
          <w:sz w:val="24"/>
          <w:szCs w:val="24"/>
          <w:highlight w:val="none"/>
        </w:rPr>
      </w:pPr>
      <w:r>
        <w:rPr>
          <w:rFonts w:ascii="宋体" w:hAnsi="宋体" w:cs="宋体"/>
          <w:color w:val="auto"/>
          <w:sz w:val="24"/>
          <w:szCs w:val="24"/>
          <w:highlight w:val="none"/>
        </w:rPr>
        <w:t>法定代表人或委托代理人（签字或盖章）：</w:t>
      </w:r>
    </w:p>
    <w:p w14:paraId="443C2C90">
      <w:pPr>
        <w:spacing w:line="360" w:lineRule="auto"/>
        <w:contextualSpacing/>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 </w:t>
      </w:r>
    </w:p>
    <w:p w14:paraId="38B57AEA">
      <w:pPr>
        <w:rPr>
          <w:rFonts w:ascii="宋体" w:hAnsi="宋体" w:cs="宋体"/>
          <w:b/>
          <w:color w:val="auto"/>
          <w:sz w:val="32"/>
          <w:szCs w:val="32"/>
          <w:highlight w:val="none"/>
        </w:rPr>
      </w:pPr>
      <w:r>
        <w:rPr>
          <w:color w:val="auto"/>
          <w:highlight w:val="none"/>
        </w:rPr>
        <w:br w:type="page" w:clear="all"/>
      </w:r>
    </w:p>
    <w:p w14:paraId="16456C69">
      <w:pPr>
        <w:jc w:val="center"/>
        <w:rPr>
          <w:rFonts w:ascii="宋体" w:hAnsi="宋体" w:cs="宋体"/>
          <w:b/>
          <w:color w:val="auto"/>
          <w:sz w:val="32"/>
          <w:szCs w:val="32"/>
          <w:highlight w:val="none"/>
        </w:rPr>
      </w:pPr>
      <w:r>
        <w:rPr>
          <w:rFonts w:ascii="宋体" w:hAnsi="宋体" w:cs="宋体"/>
          <w:b/>
          <w:color w:val="auto"/>
          <w:sz w:val="32"/>
          <w:szCs w:val="32"/>
          <w:highlight w:val="none"/>
        </w:rPr>
        <w:t>具</w:t>
      </w:r>
      <w:r>
        <w:rPr>
          <w:rFonts w:hint="eastAsia" w:ascii="宋体" w:hAnsi="宋体" w:cs="宋体"/>
          <w:b/>
          <w:color w:val="auto"/>
          <w:sz w:val="32"/>
          <w:szCs w:val="32"/>
          <w:highlight w:val="none"/>
          <w:lang w:val="en-US" w:eastAsia="zh-CN"/>
        </w:rPr>
        <w:t>有</w:t>
      </w:r>
      <w:r>
        <w:rPr>
          <w:rFonts w:ascii="宋体" w:hAnsi="宋体" w:cs="宋体"/>
          <w:b/>
          <w:color w:val="auto"/>
          <w:sz w:val="32"/>
          <w:szCs w:val="32"/>
          <w:highlight w:val="none"/>
        </w:rPr>
        <w:t>履行合同所必需的设备和专业技术能力的书面声明</w:t>
      </w:r>
    </w:p>
    <w:p w14:paraId="3ADC808B">
      <w:pPr>
        <w:jc w:val="center"/>
        <w:rPr>
          <w:rFonts w:ascii="宋体" w:hAnsi="宋体" w:cs="宋体"/>
          <w:b/>
          <w:color w:val="auto"/>
          <w:sz w:val="32"/>
          <w:szCs w:val="32"/>
          <w:highlight w:val="none"/>
        </w:rPr>
      </w:pPr>
      <w:r>
        <w:rPr>
          <w:rFonts w:ascii="宋体" w:hAnsi="宋体" w:cs="宋体"/>
          <w:b/>
          <w:color w:val="auto"/>
          <w:sz w:val="32"/>
          <w:szCs w:val="32"/>
          <w:highlight w:val="none"/>
        </w:rPr>
        <w:t>（格式自定）</w:t>
      </w:r>
    </w:p>
    <w:p w14:paraId="51B06EAA">
      <w:pPr>
        <w:rPr>
          <w:rFonts w:ascii="宋体" w:hAnsi="宋体" w:cs="宋体"/>
          <w:color w:val="auto"/>
          <w:highlight w:val="none"/>
        </w:rPr>
      </w:pPr>
    </w:p>
    <w:p w14:paraId="2B9CE32D">
      <w:pPr>
        <w:rPr>
          <w:rFonts w:ascii="宋体" w:hAnsi="宋体" w:cs="宋体"/>
          <w:color w:val="auto"/>
          <w:sz w:val="28"/>
          <w:szCs w:val="28"/>
          <w:highlight w:val="none"/>
        </w:rPr>
      </w:pPr>
    </w:p>
    <w:p w14:paraId="4B3D932B">
      <w:pPr>
        <w:pStyle w:val="21"/>
        <w:rPr>
          <w:rFonts w:ascii="宋体" w:hAnsi="宋体" w:cs="宋体"/>
          <w:color w:val="auto"/>
          <w:sz w:val="28"/>
          <w:highlight w:val="none"/>
        </w:rPr>
      </w:pPr>
    </w:p>
    <w:p w14:paraId="7E82BC10">
      <w:pPr>
        <w:pStyle w:val="21"/>
        <w:rPr>
          <w:rFonts w:ascii="宋体" w:hAnsi="宋体" w:cs="宋体"/>
          <w:color w:val="auto"/>
          <w:sz w:val="28"/>
          <w:highlight w:val="none"/>
        </w:rPr>
      </w:pPr>
    </w:p>
    <w:p w14:paraId="0FB39A8E">
      <w:pPr>
        <w:pStyle w:val="21"/>
        <w:rPr>
          <w:rFonts w:ascii="宋体" w:hAnsi="宋体" w:cs="宋体"/>
          <w:color w:val="auto"/>
          <w:sz w:val="28"/>
          <w:highlight w:val="none"/>
        </w:rPr>
      </w:pPr>
    </w:p>
    <w:p w14:paraId="5016584A">
      <w:pPr>
        <w:spacing w:line="360" w:lineRule="auto"/>
        <w:jc w:val="center"/>
        <w:rPr>
          <w:rFonts w:ascii="宋体" w:hAnsi="宋体" w:cs="宋体"/>
          <w:b/>
          <w:bCs/>
          <w:color w:val="auto"/>
          <w:sz w:val="32"/>
          <w:szCs w:val="32"/>
          <w:highlight w:val="none"/>
        </w:rPr>
      </w:pPr>
      <w:r>
        <w:rPr>
          <w:rFonts w:ascii="宋体" w:hAnsi="宋体" w:cs="宋体"/>
          <w:b/>
          <w:bCs/>
          <w:color w:val="auto"/>
          <w:sz w:val="32"/>
          <w:szCs w:val="32"/>
          <w:highlight w:val="none"/>
        </w:rPr>
        <w:t>参加政府采购活动前3年内在经营活动中没有重大违法记录的书面声明（参考格式)</w:t>
      </w:r>
    </w:p>
    <w:p w14:paraId="0F2BCC09">
      <w:pPr>
        <w:pStyle w:val="161"/>
        <w:spacing w:before="0" w:after="0" w:line="420" w:lineRule="exact"/>
        <w:ind w:firstLine="0"/>
        <w:rPr>
          <w:rFonts w:ascii="宋体" w:hAnsi="宋体" w:cs="宋体"/>
          <w:color w:val="auto"/>
          <w:sz w:val="28"/>
          <w:szCs w:val="28"/>
          <w:highlight w:val="none"/>
        </w:rPr>
      </w:pPr>
    </w:p>
    <w:p w14:paraId="492F65AC">
      <w:pPr>
        <w:pStyle w:val="161"/>
        <w:spacing w:before="0" w:after="0" w:line="420" w:lineRule="exact"/>
        <w:ind w:firstLine="0"/>
        <w:jc w:val="center"/>
        <w:rPr>
          <w:rFonts w:ascii="宋体" w:hAnsi="宋体" w:cs="宋体"/>
          <w:b/>
          <w:color w:val="auto"/>
          <w:sz w:val="32"/>
          <w:szCs w:val="32"/>
          <w:highlight w:val="none"/>
        </w:rPr>
      </w:pPr>
      <w:r>
        <w:rPr>
          <w:rFonts w:ascii="宋体" w:hAnsi="宋体" w:cs="宋体"/>
          <w:b/>
          <w:color w:val="auto"/>
          <w:sz w:val="32"/>
          <w:szCs w:val="32"/>
          <w:highlight w:val="none"/>
        </w:rPr>
        <w:t>声 明</w:t>
      </w:r>
    </w:p>
    <w:p w14:paraId="4F308467">
      <w:pPr>
        <w:pStyle w:val="161"/>
        <w:spacing w:before="0" w:after="0" w:line="420" w:lineRule="exact"/>
        <w:ind w:firstLine="0"/>
        <w:jc w:val="center"/>
        <w:rPr>
          <w:rFonts w:ascii="宋体" w:hAnsi="宋体" w:cs="宋体"/>
          <w:b/>
          <w:color w:val="auto"/>
          <w:sz w:val="28"/>
          <w:szCs w:val="28"/>
          <w:highlight w:val="none"/>
        </w:rPr>
      </w:pPr>
    </w:p>
    <w:p w14:paraId="4E139A60">
      <w:pPr>
        <w:pStyle w:val="161"/>
        <w:spacing w:before="0" w:after="0" w:line="420" w:lineRule="exact"/>
        <w:ind w:firstLine="0"/>
        <w:jc w:val="center"/>
        <w:rPr>
          <w:rFonts w:ascii="宋体" w:hAnsi="宋体" w:cs="宋体"/>
          <w:b/>
          <w:color w:val="auto"/>
          <w:sz w:val="28"/>
          <w:szCs w:val="28"/>
          <w:highlight w:val="none"/>
        </w:rPr>
      </w:pPr>
    </w:p>
    <w:p w14:paraId="479B7C3A">
      <w:pPr>
        <w:pStyle w:val="161"/>
        <w:spacing w:before="0" w:after="0" w:line="600" w:lineRule="auto"/>
        <w:ind w:firstLine="475"/>
        <w:rPr>
          <w:rFonts w:ascii="宋体" w:hAnsi="宋体" w:cs="宋体"/>
          <w:color w:val="auto"/>
          <w:szCs w:val="22"/>
          <w:highlight w:val="none"/>
        </w:rPr>
      </w:pPr>
      <w:r>
        <w:rPr>
          <w:rFonts w:ascii="宋体" w:hAnsi="宋体" w:cs="宋体"/>
          <w:color w:val="auto"/>
          <w:szCs w:val="22"/>
          <w:highlight w:val="none"/>
        </w:rPr>
        <w:t xml:space="preserve">我公司郑重声明：参加本次政府采购活动前3年内，我公司在经营活动中没有因违法经营受到刑事处罚或者责令停产停业、吊销许可证或者执照、较大数额罚款等行政处罚。 </w:t>
      </w:r>
    </w:p>
    <w:p w14:paraId="5BF948ED">
      <w:pPr>
        <w:pStyle w:val="161"/>
        <w:spacing w:before="0" w:after="0" w:line="420" w:lineRule="exact"/>
        <w:ind w:firstLine="0"/>
        <w:jc w:val="right"/>
        <w:rPr>
          <w:rFonts w:ascii="宋体" w:hAnsi="宋体" w:cs="宋体"/>
          <w:color w:val="auto"/>
          <w:szCs w:val="22"/>
          <w:highlight w:val="none"/>
        </w:rPr>
      </w:pPr>
    </w:p>
    <w:p w14:paraId="21D1506D">
      <w:pPr>
        <w:pStyle w:val="161"/>
        <w:spacing w:before="0" w:after="0" w:line="420" w:lineRule="exact"/>
        <w:ind w:firstLine="0"/>
        <w:jc w:val="right"/>
        <w:rPr>
          <w:rFonts w:ascii="宋体" w:hAnsi="宋体" w:cs="宋体"/>
          <w:color w:val="auto"/>
          <w:szCs w:val="22"/>
          <w:highlight w:val="none"/>
        </w:rPr>
      </w:pPr>
    </w:p>
    <w:p w14:paraId="514D3B34">
      <w:pPr>
        <w:pStyle w:val="161"/>
        <w:spacing w:before="0" w:after="0" w:line="420" w:lineRule="exact"/>
        <w:ind w:firstLine="0"/>
        <w:jc w:val="right"/>
        <w:rPr>
          <w:rFonts w:ascii="宋体" w:hAnsi="宋体" w:cs="宋体"/>
          <w:color w:val="auto"/>
          <w:szCs w:val="22"/>
          <w:highlight w:val="none"/>
        </w:rPr>
      </w:pPr>
    </w:p>
    <w:p w14:paraId="633F43C1">
      <w:pPr>
        <w:pStyle w:val="161"/>
        <w:spacing w:before="0" w:after="0" w:line="420" w:lineRule="exact"/>
        <w:ind w:firstLine="0"/>
        <w:rPr>
          <w:rFonts w:ascii="宋体" w:hAnsi="宋体" w:cs="宋体"/>
          <w:color w:val="auto"/>
          <w:szCs w:val="22"/>
          <w:highlight w:val="none"/>
        </w:rPr>
      </w:pPr>
      <w:r>
        <w:rPr>
          <w:rFonts w:ascii="宋体" w:hAnsi="宋体" w:cs="宋体"/>
          <w:color w:val="auto"/>
          <w:szCs w:val="22"/>
          <w:highlight w:val="none"/>
        </w:rPr>
        <w:t>投标单位名称</w:t>
      </w:r>
      <w:r>
        <w:rPr>
          <w:rFonts w:ascii="宋体" w:hAnsi="宋体" w:cs="宋体"/>
          <w:color w:val="auto"/>
          <w:szCs w:val="24"/>
          <w:highlight w:val="none"/>
        </w:rPr>
        <w:t>（</w:t>
      </w:r>
      <w:r>
        <w:rPr>
          <w:rFonts w:hint="eastAsia" w:ascii="Arial" w:hAnsi="Arial" w:cs="Arial"/>
          <w:color w:val="auto"/>
          <w:sz w:val="22"/>
          <w:szCs w:val="22"/>
          <w:highlight w:val="none"/>
        </w:rPr>
        <w:t>加盖电子公章</w:t>
      </w:r>
      <w:r>
        <w:rPr>
          <w:rFonts w:ascii="宋体" w:hAnsi="宋体" w:cs="宋体"/>
          <w:color w:val="auto"/>
          <w:szCs w:val="24"/>
          <w:highlight w:val="none"/>
        </w:rPr>
        <w:t>）</w:t>
      </w:r>
      <w:r>
        <w:rPr>
          <w:rFonts w:ascii="宋体" w:hAnsi="宋体" w:cs="宋体"/>
          <w:color w:val="auto"/>
          <w:szCs w:val="22"/>
          <w:highlight w:val="none"/>
        </w:rPr>
        <w:t xml:space="preserve">： </w:t>
      </w:r>
    </w:p>
    <w:p w14:paraId="193BD3DE">
      <w:pPr>
        <w:spacing w:line="360" w:lineRule="auto"/>
        <w:contextualSpacing/>
        <w:rPr>
          <w:rFonts w:ascii="宋体" w:hAnsi="宋体" w:cs="宋体"/>
          <w:color w:val="auto"/>
          <w:sz w:val="24"/>
          <w:szCs w:val="24"/>
          <w:highlight w:val="none"/>
        </w:rPr>
      </w:pPr>
      <w:r>
        <w:rPr>
          <w:rFonts w:ascii="宋体" w:hAnsi="宋体" w:cs="宋体"/>
          <w:color w:val="auto"/>
          <w:sz w:val="24"/>
          <w:szCs w:val="24"/>
          <w:highlight w:val="none"/>
        </w:rPr>
        <w:t>法定代表人或委托代理人（签字或盖章）：</w:t>
      </w:r>
    </w:p>
    <w:p w14:paraId="4CFBF134">
      <w:pPr>
        <w:pStyle w:val="161"/>
        <w:spacing w:before="0" w:after="0" w:line="420" w:lineRule="exact"/>
        <w:ind w:right="600" w:firstLine="4382"/>
        <w:rPr>
          <w:rFonts w:ascii="宋体" w:hAnsi="宋体" w:cs="宋体"/>
          <w:color w:val="auto"/>
          <w:szCs w:val="22"/>
          <w:highlight w:val="none"/>
        </w:rPr>
      </w:pPr>
    </w:p>
    <w:p w14:paraId="73FAD461">
      <w:pPr>
        <w:pStyle w:val="161"/>
        <w:spacing w:before="0" w:after="0" w:line="420" w:lineRule="exact"/>
        <w:ind w:right="600" w:firstLine="0"/>
        <w:rPr>
          <w:rFonts w:ascii="宋体" w:hAnsi="宋体" w:cs="宋体"/>
          <w:color w:val="auto"/>
          <w:szCs w:val="22"/>
          <w:highlight w:val="none"/>
        </w:rPr>
      </w:pPr>
      <w:r>
        <w:rPr>
          <w:rFonts w:ascii="宋体" w:hAnsi="宋体" w:cs="宋体"/>
          <w:color w:val="auto"/>
          <w:szCs w:val="22"/>
          <w:highlight w:val="none"/>
        </w:rPr>
        <w:t xml:space="preserve">日    期：   年    月    日  </w:t>
      </w:r>
    </w:p>
    <w:p w14:paraId="74F5533F">
      <w:pPr>
        <w:pStyle w:val="161"/>
        <w:spacing w:before="0" w:after="0" w:line="420" w:lineRule="exact"/>
        <w:ind w:right="600" w:firstLine="4142"/>
        <w:rPr>
          <w:rFonts w:ascii="宋体" w:hAnsi="宋体" w:cs="宋体"/>
          <w:color w:val="auto"/>
          <w:szCs w:val="22"/>
          <w:highlight w:val="none"/>
        </w:rPr>
      </w:pPr>
    </w:p>
    <w:p w14:paraId="2E182075">
      <w:pPr>
        <w:pStyle w:val="161"/>
        <w:spacing w:before="0" w:after="0" w:line="420" w:lineRule="exact"/>
        <w:ind w:right="600" w:firstLine="4142"/>
        <w:rPr>
          <w:rFonts w:ascii="宋体" w:hAnsi="宋体" w:cs="宋体"/>
          <w:color w:val="auto"/>
          <w:szCs w:val="22"/>
          <w:highlight w:val="none"/>
        </w:rPr>
      </w:pPr>
    </w:p>
    <w:p w14:paraId="5F4E8556">
      <w:pPr>
        <w:pStyle w:val="161"/>
        <w:spacing w:before="0" w:after="0" w:line="420" w:lineRule="exact"/>
        <w:ind w:right="600" w:firstLine="4142"/>
        <w:rPr>
          <w:rFonts w:ascii="宋体" w:hAnsi="宋体" w:cs="宋体"/>
          <w:color w:val="auto"/>
          <w:szCs w:val="22"/>
          <w:highlight w:val="none"/>
        </w:rPr>
      </w:pPr>
    </w:p>
    <w:p w14:paraId="52B73C8D">
      <w:pPr>
        <w:pStyle w:val="161"/>
        <w:spacing w:before="0" w:after="0" w:line="420" w:lineRule="exact"/>
        <w:ind w:right="600" w:firstLine="4142"/>
        <w:rPr>
          <w:rFonts w:ascii="宋体" w:hAnsi="宋体" w:cs="宋体"/>
          <w:color w:val="auto"/>
          <w:szCs w:val="22"/>
          <w:highlight w:val="none"/>
        </w:rPr>
      </w:pPr>
      <w:r>
        <w:rPr>
          <w:color w:val="auto"/>
          <w:highlight w:val="none"/>
        </w:rPr>
        <w:br w:type="page" w:clear="all"/>
      </w:r>
    </w:p>
    <w:p w14:paraId="5C674D26">
      <w:pPr>
        <w:jc w:val="center"/>
        <w:rPr>
          <w:rFonts w:ascii="宋体" w:hAnsi="宋体" w:cs="宋体"/>
          <w:b/>
          <w:color w:val="auto"/>
          <w:sz w:val="36"/>
          <w:szCs w:val="36"/>
          <w:highlight w:val="none"/>
        </w:rPr>
      </w:pPr>
      <w:r>
        <w:rPr>
          <w:rFonts w:ascii="宋体" w:hAnsi="宋体" w:cs="宋体"/>
          <w:b/>
          <w:color w:val="auto"/>
          <w:sz w:val="36"/>
          <w:szCs w:val="36"/>
          <w:highlight w:val="none"/>
        </w:rPr>
        <w:t>其他资料</w:t>
      </w:r>
    </w:p>
    <w:p w14:paraId="65EEBBAF">
      <w:pPr>
        <w:spacing w:line="360" w:lineRule="auto"/>
        <w:ind w:firstLine="480"/>
        <w:rPr>
          <w:rFonts w:ascii="宋体" w:hAnsi="宋体" w:cs="宋体"/>
          <w:bCs/>
          <w:color w:val="auto"/>
          <w:sz w:val="24"/>
          <w:highlight w:val="none"/>
        </w:rPr>
      </w:pPr>
    </w:p>
    <w:p w14:paraId="2285E4F2">
      <w:pPr>
        <w:spacing w:line="360" w:lineRule="auto"/>
        <w:ind w:firstLine="480"/>
        <w:rPr>
          <w:rFonts w:ascii="宋体" w:hAnsi="宋体" w:cs="宋体"/>
          <w:bCs/>
          <w:color w:val="auto"/>
          <w:sz w:val="24"/>
          <w:highlight w:val="none"/>
        </w:rPr>
      </w:pPr>
      <w:r>
        <w:rPr>
          <w:rFonts w:ascii="宋体" w:hAnsi="宋体" w:cs="宋体"/>
          <w:bCs/>
          <w:color w:val="auto"/>
          <w:sz w:val="24"/>
          <w:highlight w:val="none"/>
        </w:rPr>
        <w:t>投标人认为有必要提供的声明或其他证明材料，附上的材料请在此列出清单；如无后附文件，请说明。</w:t>
      </w:r>
    </w:p>
    <w:p w14:paraId="0C15F5AC">
      <w:pPr>
        <w:pStyle w:val="26"/>
        <w:rPr>
          <w:rFonts w:cs="宋体"/>
          <w:bCs/>
          <w:color w:val="auto"/>
          <w:sz w:val="24"/>
          <w:highlight w:val="none"/>
        </w:rPr>
      </w:pPr>
    </w:p>
    <w:p w14:paraId="5939B7CB">
      <w:pPr>
        <w:pStyle w:val="26"/>
        <w:rPr>
          <w:rFonts w:cs="宋体"/>
          <w:bCs/>
          <w:color w:val="auto"/>
          <w:sz w:val="24"/>
          <w:highlight w:val="none"/>
        </w:rPr>
      </w:pPr>
    </w:p>
    <w:p w14:paraId="377E7E19">
      <w:pPr>
        <w:pStyle w:val="26"/>
        <w:rPr>
          <w:rFonts w:cs="宋体"/>
          <w:bCs/>
          <w:color w:val="auto"/>
          <w:sz w:val="24"/>
          <w:highlight w:val="none"/>
        </w:rPr>
      </w:pPr>
    </w:p>
    <w:p w14:paraId="03B41F7F">
      <w:pPr>
        <w:pStyle w:val="26"/>
        <w:rPr>
          <w:rFonts w:cs="宋体"/>
          <w:bCs/>
          <w:color w:val="auto"/>
          <w:sz w:val="24"/>
          <w:highlight w:val="none"/>
        </w:rPr>
      </w:pPr>
    </w:p>
    <w:p w14:paraId="1D821B37">
      <w:pPr>
        <w:pStyle w:val="26"/>
        <w:rPr>
          <w:rFonts w:cs="宋体"/>
          <w:bCs/>
          <w:color w:val="auto"/>
          <w:sz w:val="24"/>
          <w:highlight w:val="none"/>
        </w:rPr>
      </w:pPr>
    </w:p>
    <w:p w14:paraId="739BF117">
      <w:pPr>
        <w:pStyle w:val="26"/>
        <w:rPr>
          <w:rFonts w:cs="宋体"/>
          <w:bCs/>
          <w:color w:val="auto"/>
          <w:sz w:val="24"/>
          <w:highlight w:val="none"/>
        </w:rPr>
      </w:pPr>
      <w:bookmarkStart w:id="37" w:name="_GoBack"/>
      <w:bookmarkEnd w:id="37"/>
    </w:p>
    <w:p w14:paraId="55F7B795">
      <w:pPr>
        <w:pStyle w:val="26"/>
        <w:rPr>
          <w:rFonts w:cs="宋体"/>
          <w:bCs/>
          <w:color w:val="auto"/>
          <w:sz w:val="24"/>
          <w:highlight w:val="none"/>
        </w:rPr>
      </w:pPr>
    </w:p>
    <w:p w14:paraId="5D456C35">
      <w:pPr>
        <w:pStyle w:val="26"/>
        <w:rPr>
          <w:rFonts w:cs="宋体"/>
          <w:bCs/>
          <w:color w:val="auto"/>
          <w:sz w:val="24"/>
          <w:highlight w:val="none"/>
        </w:rPr>
      </w:pPr>
    </w:p>
    <w:p w14:paraId="3F0A6C13">
      <w:pPr>
        <w:pStyle w:val="26"/>
        <w:rPr>
          <w:rFonts w:cs="宋体"/>
          <w:bCs/>
          <w:color w:val="auto"/>
          <w:sz w:val="24"/>
          <w:highlight w:val="none"/>
        </w:rPr>
      </w:pPr>
    </w:p>
    <w:p w14:paraId="49F9AC79">
      <w:pPr>
        <w:pStyle w:val="26"/>
        <w:rPr>
          <w:rFonts w:cs="宋体"/>
          <w:bCs/>
          <w:color w:val="auto"/>
          <w:sz w:val="24"/>
          <w:highlight w:val="none"/>
        </w:rPr>
      </w:pPr>
    </w:p>
    <w:p w14:paraId="3221D681">
      <w:pPr>
        <w:pStyle w:val="26"/>
        <w:rPr>
          <w:rFonts w:cs="宋体"/>
          <w:bCs/>
          <w:color w:val="auto"/>
          <w:sz w:val="24"/>
          <w:highlight w:val="none"/>
        </w:rPr>
      </w:pPr>
    </w:p>
    <w:p w14:paraId="1FFF649D">
      <w:pPr>
        <w:pStyle w:val="26"/>
        <w:rPr>
          <w:rFonts w:cs="宋体"/>
          <w:bCs/>
          <w:color w:val="auto"/>
          <w:sz w:val="24"/>
          <w:highlight w:val="none"/>
        </w:rPr>
      </w:pPr>
    </w:p>
    <w:p w14:paraId="4159E87B">
      <w:pPr>
        <w:pStyle w:val="26"/>
        <w:rPr>
          <w:rFonts w:cs="宋体"/>
          <w:bCs/>
          <w:color w:val="auto"/>
          <w:sz w:val="24"/>
          <w:highlight w:val="none"/>
        </w:rPr>
      </w:pPr>
    </w:p>
    <w:p w14:paraId="6C08C17F">
      <w:pPr>
        <w:pStyle w:val="26"/>
        <w:rPr>
          <w:rFonts w:cs="宋体"/>
          <w:bCs/>
          <w:color w:val="auto"/>
          <w:sz w:val="24"/>
          <w:highlight w:val="none"/>
        </w:rPr>
      </w:pPr>
    </w:p>
    <w:p w14:paraId="3A05BEDC">
      <w:pPr>
        <w:pStyle w:val="26"/>
        <w:rPr>
          <w:rFonts w:cs="宋体"/>
          <w:bCs/>
          <w:color w:val="auto"/>
          <w:sz w:val="24"/>
          <w:highlight w:val="none"/>
        </w:rPr>
      </w:pPr>
    </w:p>
    <w:p w14:paraId="758BD32C">
      <w:pPr>
        <w:pStyle w:val="26"/>
        <w:rPr>
          <w:rFonts w:cs="宋体"/>
          <w:bCs/>
          <w:color w:val="auto"/>
          <w:sz w:val="24"/>
          <w:highlight w:val="none"/>
        </w:rPr>
      </w:pPr>
    </w:p>
    <w:p w14:paraId="1B64FDA5">
      <w:pPr>
        <w:pStyle w:val="26"/>
        <w:rPr>
          <w:rFonts w:cs="宋体"/>
          <w:bCs/>
          <w:color w:val="auto"/>
          <w:sz w:val="24"/>
          <w:highlight w:val="none"/>
        </w:rPr>
      </w:pPr>
    </w:p>
    <w:p w14:paraId="1540EE31">
      <w:pPr>
        <w:pStyle w:val="26"/>
        <w:rPr>
          <w:rFonts w:cs="宋体"/>
          <w:bCs/>
          <w:color w:val="auto"/>
          <w:sz w:val="24"/>
          <w:highlight w:val="none"/>
        </w:rPr>
      </w:pPr>
    </w:p>
    <w:p w14:paraId="5A474885">
      <w:pPr>
        <w:pStyle w:val="26"/>
        <w:rPr>
          <w:rFonts w:cs="宋体"/>
          <w:bCs/>
          <w:color w:val="auto"/>
          <w:sz w:val="24"/>
          <w:highlight w:val="none"/>
        </w:rPr>
      </w:pPr>
    </w:p>
    <w:p w14:paraId="2EDEDA96">
      <w:pPr>
        <w:pStyle w:val="26"/>
        <w:rPr>
          <w:rFonts w:cs="宋体"/>
          <w:bCs/>
          <w:color w:val="auto"/>
          <w:sz w:val="24"/>
          <w:highlight w:val="none"/>
        </w:rPr>
      </w:pPr>
    </w:p>
    <w:p w14:paraId="7A934418">
      <w:pPr>
        <w:pStyle w:val="26"/>
        <w:rPr>
          <w:rFonts w:cs="宋体"/>
          <w:bCs/>
          <w:color w:val="auto"/>
          <w:sz w:val="24"/>
          <w:highlight w:val="none"/>
        </w:rPr>
      </w:pPr>
    </w:p>
    <w:p w14:paraId="3A417457">
      <w:pPr>
        <w:pStyle w:val="26"/>
        <w:rPr>
          <w:rFonts w:cs="宋体"/>
          <w:bCs/>
          <w:color w:val="auto"/>
          <w:sz w:val="24"/>
          <w:highlight w:val="none"/>
        </w:rPr>
      </w:pPr>
    </w:p>
    <w:p w14:paraId="6E8EABC7">
      <w:pPr>
        <w:pStyle w:val="26"/>
        <w:rPr>
          <w:rFonts w:cs="宋体"/>
          <w:bCs/>
          <w:color w:val="auto"/>
          <w:sz w:val="24"/>
          <w:highlight w:val="none"/>
        </w:rPr>
      </w:pPr>
    </w:p>
    <w:p w14:paraId="17830354">
      <w:pPr>
        <w:pStyle w:val="26"/>
        <w:rPr>
          <w:rFonts w:cs="宋体"/>
          <w:bCs/>
          <w:color w:val="auto"/>
          <w:sz w:val="24"/>
          <w:highlight w:val="none"/>
        </w:rPr>
      </w:pPr>
    </w:p>
    <w:p w14:paraId="531A8654">
      <w:pPr>
        <w:pStyle w:val="26"/>
        <w:rPr>
          <w:rFonts w:cs="宋体"/>
          <w:bCs/>
          <w:color w:val="auto"/>
          <w:sz w:val="24"/>
          <w:highlight w:val="none"/>
        </w:rPr>
      </w:pPr>
    </w:p>
    <w:p w14:paraId="68899F13">
      <w:pPr>
        <w:pStyle w:val="26"/>
        <w:rPr>
          <w:rFonts w:cs="宋体"/>
          <w:bCs/>
          <w:color w:val="auto"/>
          <w:sz w:val="24"/>
          <w:highlight w:val="none"/>
        </w:rPr>
      </w:pPr>
    </w:p>
    <w:p w14:paraId="216BD8CB">
      <w:pPr>
        <w:pStyle w:val="26"/>
        <w:rPr>
          <w:rFonts w:cs="宋体"/>
          <w:bCs/>
          <w:color w:val="auto"/>
          <w:sz w:val="24"/>
          <w:highlight w:val="none"/>
        </w:rPr>
      </w:pPr>
    </w:p>
    <w:p w14:paraId="750B9125">
      <w:pPr>
        <w:pStyle w:val="26"/>
        <w:rPr>
          <w:rFonts w:cs="宋体"/>
          <w:bCs/>
          <w:color w:val="auto"/>
          <w:sz w:val="24"/>
          <w:highlight w:val="none"/>
        </w:rPr>
      </w:pPr>
    </w:p>
    <w:p w14:paraId="7C09EDF1">
      <w:pPr>
        <w:pStyle w:val="26"/>
        <w:rPr>
          <w:rFonts w:cs="宋体"/>
          <w:bCs/>
          <w:color w:val="auto"/>
          <w:sz w:val="24"/>
          <w:highlight w:val="none"/>
        </w:rPr>
      </w:pPr>
    </w:p>
    <w:p w14:paraId="043A87A2">
      <w:pPr>
        <w:pStyle w:val="26"/>
        <w:rPr>
          <w:rFonts w:cs="宋体"/>
          <w:bCs/>
          <w:color w:val="auto"/>
          <w:sz w:val="24"/>
          <w:highlight w:val="none"/>
        </w:rPr>
      </w:pPr>
    </w:p>
    <w:p w14:paraId="5E62E82D">
      <w:pPr>
        <w:pStyle w:val="26"/>
        <w:rPr>
          <w:rFonts w:cs="宋体"/>
          <w:bCs/>
          <w:color w:val="auto"/>
          <w:sz w:val="24"/>
          <w:highlight w:val="none"/>
        </w:rPr>
      </w:pPr>
    </w:p>
    <w:p w14:paraId="4843D8E6">
      <w:pPr>
        <w:pStyle w:val="26"/>
        <w:rPr>
          <w:rFonts w:cs="宋体"/>
          <w:bCs/>
          <w:color w:val="auto"/>
          <w:sz w:val="24"/>
          <w:highlight w:val="none"/>
        </w:rPr>
      </w:pPr>
    </w:p>
    <w:p w14:paraId="41276839">
      <w:pPr>
        <w:pStyle w:val="26"/>
        <w:rPr>
          <w:rFonts w:cs="宋体"/>
          <w:bCs/>
          <w:color w:val="auto"/>
          <w:sz w:val="24"/>
          <w:highlight w:val="none"/>
        </w:rPr>
      </w:pPr>
    </w:p>
    <w:p w14:paraId="403EFEC0">
      <w:pPr>
        <w:pStyle w:val="26"/>
        <w:rPr>
          <w:rFonts w:cs="宋体"/>
          <w:bCs/>
          <w:color w:val="auto"/>
          <w:sz w:val="24"/>
          <w:highlight w:val="none"/>
        </w:rPr>
      </w:pPr>
    </w:p>
    <w:p w14:paraId="7F2AB7B0">
      <w:pPr>
        <w:pStyle w:val="26"/>
        <w:rPr>
          <w:rFonts w:cs="宋体"/>
          <w:bCs/>
          <w:color w:val="auto"/>
          <w:sz w:val="24"/>
          <w:highlight w:val="none"/>
        </w:rPr>
      </w:pPr>
    </w:p>
    <w:p w14:paraId="30BCCCAF">
      <w:pPr>
        <w:pStyle w:val="26"/>
        <w:rPr>
          <w:rFonts w:cs="宋体"/>
          <w:bCs/>
          <w:color w:val="auto"/>
          <w:sz w:val="24"/>
          <w:highlight w:val="none"/>
        </w:rPr>
      </w:pPr>
    </w:p>
    <w:p w14:paraId="35E7A392">
      <w:pPr>
        <w:pStyle w:val="26"/>
        <w:rPr>
          <w:rFonts w:cs="宋体"/>
          <w:bCs/>
          <w:color w:val="auto"/>
          <w:sz w:val="24"/>
          <w:highlight w:val="none"/>
        </w:rPr>
      </w:pPr>
    </w:p>
    <w:p w14:paraId="181362FF">
      <w:pPr>
        <w:jc w:val="center"/>
        <w:rPr>
          <w:rFonts w:ascii="宋体" w:hAnsi="宋体" w:cs="宋体"/>
          <w:b/>
          <w:color w:val="auto"/>
          <w:sz w:val="30"/>
          <w:szCs w:val="30"/>
          <w:highlight w:val="none"/>
        </w:rPr>
      </w:pPr>
    </w:p>
    <w:p w14:paraId="55308F08">
      <w:pPr>
        <w:jc w:val="center"/>
        <w:rPr>
          <w:rFonts w:ascii="宋体" w:hAnsi="宋体" w:cs="宋体"/>
          <w:b/>
          <w:color w:val="auto"/>
          <w:sz w:val="30"/>
          <w:szCs w:val="30"/>
          <w:highlight w:val="none"/>
        </w:rPr>
      </w:pPr>
      <w:r>
        <w:rPr>
          <w:rFonts w:ascii="宋体" w:hAnsi="宋体" w:cs="宋体"/>
          <w:bCs/>
          <w:color w:val="auto"/>
          <w:sz w:val="30"/>
          <w:szCs w:val="30"/>
          <w:highlight w:val="none"/>
        </w:rPr>
        <w:t>中小企业声明函</w:t>
      </w:r>
    </w:p>
    <w:p w14:paraId="6C697F11">
      <w:pPr>
        <w:rPr>
          <w:rFonts w:ascii="宋体" w:hAnsi="宋体" w:cs="宋体"/>
          <w:color w:val="auto"/>
          <w:highlight w:val="none"/>
        </w:rPr>
      </w:pPr>
    </w:p>
    <w:p w14:paraId="11364E49">
      <w:pPr>
        <w:pStyle w:val="26"/>
        <w:spacing w:line="520" w:lineRule="exact"/>
        <w:ind w:firstLine="482"/>
        <w:rPr>
          <w:rFonts w:cs="宋体"/>
          <w:bCs/>
          <w:color w:val="auto"/>
          <w:sz w:val="24"/>
          <w:szCs w:val="24"/>
          <w:highlight w:val="none"/>
        </w:rPr>
      </w:pPr>
      <w:r>
        <w:rPr>
          <w:rFonts w:hint="eastAsia" w:cs="宋体"/>
          <w:bCs/>
          <w:color w:val="auto"/>
          <w:sz w:val="24"/>
          <w:szCs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42C3B85">
      <w:pPr>
        <w:pStyle w:val="26"/>
        <w:spacing w:line="520" w:lineRule="exact"/>
        <w:ind w:firstLine="482"/>
        <w:rPr>
          <w:rFonts w:cs="宋体"/>
          <w:bCs/>
          <w:color w:val="auto"/>
          <w:sz w:val="24"/>
          <w:szCs w:val="24"/>
          <w:highlight w:val="none"/>
        </w:rPr>
      </w:pPr>
      <w:r>
        <w:rPr>
          <w:rFonts w:hint="eastAsia" w:cs="宋体"/>
          <w:bCs/>
          <w:color w:val="auto"/>
          <w:sz w:val="24"/>
          <w:szCs w:val="24"/>
          <w:highlight w:val="none"/>
        </w:rPr>
        <w:t>1.（标的名称），属于（采购文件中明确的所属行业）行业；制造商为（企业名称），从业人员 _____人，营业收入为 _____万元，资产总额为 _____万元，属于（中型企业、小型企业、微型企业）；</w:t>
      </w:r>
    </w:p>
    <w:p w14:paraId="38D3B614">
      <w:pPr>
        <w:pStyle w:val="26"/>
        <w:spacing w:line="520" w:lineRule="exact"/>
        <w:ind w:firstLine="482"/>
        <w:rPr>
          <w:rFonts w:cs="宋体"/>
          <w:bCs/>
          <w:color w:val="auto"/>
          <w:sz w:val="24"/>
          <w:szCs w:val="24"/>
          <w:highlight w:val="none"/>
        </w:rPr>
      </w:pPr>
      <w:r>
        <w:rPr>
          <w:rFonts w:hint="eastAsia" w:cs="宋体"/>
          <w:bCs/>
          <w:color w:val="auto"/>
          <w:sz w:val="24"/>
          <w:szCs w:val="24"/>
          <w:highlight w:val="none"/>
        </w:rPr>
        <w:t>2.（标的名称），属于（采购文件中明确的所属行业）行业；制造商为（企业名称），从业人员 _____人，营业收入为_____万元，资产总额为_____万元，属于（中型企业、小型企业、微型企业）；</w:t>
      </w:r>
    </w:p>
    <w:p w14:paraId="23BF2965">
      <w:pPr>
        <w:pStyle w:val="26"/>
        <w:spacing w:line="520" w:lineRule="exact"/>
        <w:ind w:firstLine="482"/>
        <w:rPr>
          <w:rFonts w:cs="宋体"/>
          <w:bCs/>
          <w:color w:val="auto"/>
          <w:sz w:val="24"/>
          <w:szCs w:val="24"/>
          <w:highlight w:val="none"/>
        </w:rPr>
      </w:pPr>
      <w:r>
        <w:rPr>
          <w:rFonts w:hint="eastAsia" w:cs="宋体"/>
          <w:bCs/>
          <w:color w:val="auto"/>
          <w:sz w:val="24"/>
          <w:szCs w:val="24"/>
          <w:highlight w:val="none"/>
        </w:rPr>
        <w:t>……</w:t>
      </w:r>
    </w:p>
    <w:p w14:paraId="72B691D1">
      <w:pPr>
        <w:pStyle w:val="26"/>
        <w:spacing w:line="520" w:lineRule="exact"/>
        <w:ind w:firstLine="482"/>
        <w:rPr>
          <w:rFonts w:cs="宋体"/>
          <w:bCs/>
          <w:color w:val="auto"/>
          <w:sz w:val="24"/>
          <w:szCs w:val="24"/>
          <w:highlight w:val="none"/>
        </w:rPr>
      </w:pPr>
      <w:r>
        <w:rPr>
          <w:rFonts w:hint="eastAsia" w:cs="宋体"/>
          <w:bCs/>
          <w:color w:val="auto"/>
          <w:sz w:val="24"/>
          <w:szCs w:val="24"/>
          <w:highlight w:val="none"/>
        </w:rPr>
        <w:t>以上企业，不属于大企业的分支机构，不存在控股股东为大企业的情形，也不存在与大企业的负责人为同一人的情形。</w:t>
      </w:r>
    </w:p>
    <w:p w14:paraId="657A29B4">
      <w:pPr>
        <w:pStyle w:val="26"/>
        <w:spacing w:line="520" w:lineRule="exact"/>
        <w:ind w:firstLine="482"/>
        <w:rPr>
          <w:rFonts w:cs="宋体"/>
          <w:bCs/>
          <w:color w:val="auto"/>
          <w:sz w:val="24"/>
          <w:szCs w:val="24"/>
          <w:highlight w:val="none"/>
        </w:rPr>
      </w:pPr>
    </w:p>
    <w:p w14:paraId="312C51BD">
      <w:pPr>
        <w:pStyle w:val="26"/>
        <w:spacing w:line="520" w:lineRule="exact"/>
        <w:ind w:firstLine="482"/>
        <w:rPr>
          <w:rFonts w:cs="宋体"/>
          <w:bCs/>
          <w:color w:val="auto"/>
          <w:sz w:val="24"/>
          <w:szCs w:val="24"/>
          <w:highlight w:val="none"/>
        </w:rPr>
      </w:pPr>
      <w:r>
        <w:rPr>
          <w:rFonts w:hint="eastAsia" w:cs="宋体"/>
          <w:bCs/>
          <w:color w:val="auto"/>
          <w:sz w:val="24"/>
          <w:szCs w:val="24"/>
          <w:highlight w:val="none"/>
        </w:rPr>
        <w:t>本企业对上述声明内容的真实性负责。如有虚假，将依法承担相应责任。</w:t>
      </w:r>
    </w:p>
    <w:p w14:paraId="15F89978">
      <w:pPr>
        <w:pStyle w:val="26"/>
        <w:spacing w:line="520" w:lineRule="exact"/>
        <w:ind w:firstLine="482"/>
        <w:rPr>
          <w:rFonts w:cs="宋体"/>
          <w:bCs/>
          <w:color w:val="auto"/>
          <w:sz w:val="24"/>
          <w:szCs w:val="24"/>
          <w:highlight w:val="none"/>
        </w:rPr>
      </w:pPr>
    </w:p>
    <w:p w14:paraId="495116EF">
      <w:pPr>
        <w:pStyle w:val="26"/>
        <w:spacing w:line="520" w:lineRule="exact"/>
        <w:ind w:firstLine="482"/>
        <w:rPr>
          <w:rFonts w:cs="宋体"/>
          <w:bCs/>
          <w:color w:val="auto"/>
          <w:sz w:val="24"/>
          <w:szCs w:val="24"/>
          <w:highlight w:val="none"/>
        </w:rPr>
      </w:pPr>
      <w:r>
        <w:rPr>
          <w:rFonts w:hint="eastAsia" w:cs="宋体"/>
          <w:bCs/>
          <w:color w:val="auto"/>
          <w:sz w:val="24"/>
          <w:szCs w:val="24"/>
          <w:highlight w:val="none"/>
        </w:rPr>
        <w:t>企业名称（盖章）：</w:t>
      </w:r>
    </w:p>
    <w:p w14:paraId="6E6DBF03">
      <w:pPr>
        <w:pStyle w:val="26"/>
        <w:spacing w:line="520" w:lineRule="exact"/>
        <w:ind w:firstLine="482"/>
        <w:rPr>
          <w:rFonts w:cs="宋体"/>
          <w:bCs/>
          <w:color w:val="auto"/>
          <w:sz w:val="24"/>
          <w:szCs w:val="24"/>
          <w:highlight w:val="none"/>
        </w:rPr>
      </w:pPr>
      <w:r>
        <w:rPr>
          <w:rFonts w:hint="eastAsia" w:cs="宋体"/>
          <w:bCs/>
          <w:color w:val="auto"/>
          <w:sz w:val="24"/>
          <w:szCs w:val="24"/>
          <w:highlight w:val="none"/>
        </w:rPr>
        <w:t>日 期：</w:t>
      </w:r>
    </w:p>
    <w:p w14:paraId="4187D879">
      <w:pPr>
        <w:pStyle w:val="26"/>
        <w:spacing w:line="520" w:lineRule="exact"/>
        <w:ind w:firstLine="482"/>
        <w:rPr>
          <w:rFonts w:cs="宋体"/>
          <w:b/>
          <w:color w:val="auto"/>
          <w:sz w:val="24"/>
          <w:szCs w:val="24"/>
          <w:highlight w:val="none"/>
        </w:rPr>
      </w:pPr>
    </w:p>
    <w:p w14:paraId="45BC7877">
      <w:pPr>
        <w:pStyle w:val="26"/>
        <w:spacing w:line="520" w:lineRule="exact"/>
        <w:ind w:firstLine="482"/>
        <w:rPr>
          <w:rFonts w:cs="宋体"/>
          <w:b/>
          <w:color w:val="auto"/>
          <w:sz w:val="24"/>
          <w:szCs w:val="24"/>
          <w:highlight w:val="none"/>
        </w:rPr>
      </w:pPr>
      <w:r>
        <w:rPr>
          <w:rFonts w:hint="eastAsia" w:cs="宋体"/>
          <w:b/>
          <w:color w:val="auto"/>
          <w:sz w:val="24"/>
          <w:szCs w:val="24"/>
          <w:highlight w:val="none"/>
        </w:rPr>
        <w:t>1从业人员、营业收入、资产总额填报上一年度数据，无上一年度数据的新成立企业可不填报。</w:t>
      </w:r>
    </w:p>
    <w:p w14:paraId="56E2CDB9">
      <w:pPr>
        <w:rPr>
          <w:rFonts w:ascii="宋体" w:hAnsi="宋体" w:cs="宋体"/>
          <w:color w:val="auto"/>
          <w:highlight w:val="none"/>
        </w:rPr>
      </w:pPr>
    </w:p>
    <w:p w14:paraId="571EA5F2">
      <w:pPr>
        <w:pStyle w:val="26"/>
        <w:rPr>
          <w:rFonts w:cs="宋体"/>
          <w:color w:val="auto"/>
          <w:sz w:val="24"/>
          <w:szCs w:val="24"/>
          <w:highlight w:val="none"/>
        </w:rPr>
      </w:pPr>
    </w:p>
    <w:p w14:paraId="00759134">
      <w:pPr>
        <w:pStyle w:val="26"/>
        <w:rPr>
          <w:rFonts w:cs="宋体"/>
          <w:color w:val="auto"/>
          <w:sz w:val="24"/>
          <w:szCs w:val="24"/>
          <w:highlight w:val="none"/>
        </w:rPr>
      </w:pPr>
    </w:p>
    <w:p w14:paraId="7B422D66">
      <w:pPr>
        <w:pStyle w:val="26"/>
        <w:rPr>
          <w:rFonts w:cs="宋体"/>
          <w:color w:val="auto"/>
          <w:sz w:val="24"/>
          <w:szCs w:val="24"/>
          <w:highlight w:val="none"/>
        </w:rPr>
      </w:pPr>
    </w:p>
    <w:p w14:paraId="16C2053F">
      <w:pPr>
        <w:pStyle w:val="26"/>
        <w:rPr>
          <w:rFonts w:cs="宋体"/>
          <w:color w:val="auto"/>
          <w:sz w:val="24"/>
          <w:szCs w:val="24"/>
          <w:highlight w:val="none"/>
        </w:rPr>
      </w:pPr>
      <w:r>
        <w:rPr>
          <w:color w:val="auto"/>
          <w:highlight w:val="none"/>
        </w:rPr>
        <w:br w:type="page" w:clear="all"/>
      </w:r>
    </w:p>
    <w:p w14:paraId="2EFE83FB">
      <w:pPr>
        <w:pStyle w:val="348"/>
        <w:widowControl w:val="0"/>
        <w:jc w:val="center"/>
        <w:rPr>
          <w:rFonts w:hint="eastAsia" w:ascii="宋体" w:hAnsi="宋体" w:eastAsia="宋体" w:cs="宋体"/>
          <w:b/>
          <w:color w:val="auto"/>
          <w:sz w:val="32"/>
          <w:szCs w:val="32"/>
          <w:highlight w:val="none"/>
          <w:lang w:val="en-US" w:eastAsia="zh-CN" w:bidi="ar-SA"/>
        </w:rPr>
      </w:pPr>
      <w:bookmarkStart w:id="35" w:name="_Toc182078119"/>
      <w:bookmarkEnd w:id="35"/>
      <w:r>
        <w:rPr>
          <w:rFonts w:hint="eastAsia" w:ascii="宋体" w:hAnsi="宋体" w:eastAsia="宋体" w:cs="宋体"/>
          <w:b/>
          <w:color w:val="auto"/>
          <w:sz w:val="32"/>
          <w:szCs w:val="32"/>
          <w:highlight w:val="none"/>
          <w:lang w:val="en-US" w:eastAsia="zh-CN" w:bidi="ar-SA"/>
        </w:rPr>
        <w:t>残疾人福利性单位声明函</w:t>
      </w:r>
    </w:p>
    <w:p w14:paraId="51EF8B79">
      <w:pPr>
        <w:pStyle w:val="34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项目采购活动提供服务。</w:t>
      </w:r>
    </w:p>
    <w:p w14:paraId="22250AAA">
      <w:pPr>
        <w:pStyle w:val="34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27150A0">
      <w:pPr>
        <w:spacing w:line="360" w:lineRule="auto"/>
        <w:rPr>
          <w:rFonts w:hint="eastAsia" w:ascii="宋体" w:hAnsi="宋体" w:eastAsia="宋体" w:cs="宋体"/>
          <w:color w:val="auto"/>
          <w:sz w:val="24"/>
          <w:szCs w:val="24"/>
          <w:highlight w:val="none"/>
        </w:rPr>
      </w:pPr>
    </w:p>
    <w:p w14:paraId="57E477C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                  （加盖CA电子章）</w:t>
      </w:r>
    </w:p>
    <w:p w14:paraId="4C0E049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8C690C2">
      <w:pPr>
        <w:spacing w:line="360" w:lineRule="auto"/>
        <w:rPr>
          <w:rFonts w:hint="eastAsia" w:ascii="宋体" w:hAnsi="宋体" w:eastAsia="宋体" w:cs="宋体"/>
          <w:color w:val="auto"/>
          <w:sz w:val="24"/>
          <w:szCs w:val="24"/>
          <w:highlight w:val="none"/>
        </w:rPr>
      </w:pPr>
    </w:p>
    <w:p w14:paraId="3DC0330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03ABB5F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1.非残疾人福利性单位不需提供此声明函。</w:t>
      </w:r>
    </w:p>
    <w:p w14:paraId="3A1EB121">
      <w:pPr>
        <w:pStyle w:val="349"/>
        <w:rPr>
          <w:rFonts w:hint="eastAsia" w:ascii="宋体" w:hAnsi="宋体" w:eastAsia="宋体" w:cs="宋体"/>
          <w:color w:val="auto"/>
          <w:sz w:val="24"/>
          <w:szCs w:val="24"/>
          <w:highlight w:val="none"/>
        </w:rPr>
      </w:pPr>
    </w:p>
    <w:p w14:paraId="10FB6C3C">
      <w:pPr>
        <w:pStyle w:val="349"/>
        <w:rPr>
          <w:rFonts w:hint="eastAsia" w:ascii="宋体" w:hAnsi="宋体" w:eastAsia="宋体" w:cs="宋体"/>
          <w:color w:val="auto"/>
          <w:sz w:val="24"/>
          <w:szCs w:val="24"/>
          <w:highlight w:val="none"/>
        </w:rPr>
      </w:pPr>
    </w:p>
    <w:p w14:paraId="46D5B196">
      <w:pPr>
        <w:pStyle w:val="348"/>
        <w:widowContro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575A7EEF">
      <w:pPr>
        <w:pStyle w:val="348"/>
        <w:widowControl w:val="0"/>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监狱企业声明函</w:t>
      </w:r>
    </w:p>
    <w:p w14:paraId="22A8F959">
      <w:pPr>
        <w:pStyle w:val="349"/>
        <w:rPr>
          <w:rFonts w:hint="eastAsia" w:ascii="宋体" w:hAnsi="宋体" w:eastAsia="宋体" w:cs="宋体"/>
          <w:color w:val="auto"/>
          <w:sz w:val="24"/>
          <w:szCs w:val="24"/>
          <w:highlight w:val="none"/>
        </w:rPr>
      </w:pPr>
    </w:p>
    <w:p w14:paraId="7A81593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本单位郑重声明，根据《关于政府采购支持监狱企业发展有关问题的通知》（财库〔2014〕68号）的规定，本单位为监狱企业。</w:t>
      </w:r>
    </w:p>
    <w:p w14:paraId="5F41FE3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589DE3C">
      <w:pPr>
        <w:pStyle w:val="34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项目的采购活动，并由本单位为本项目提供服务。</w:t>
      </w:r>
    </w:p>
    <w:p w14:paraId="32621899">
      <w:pPr>
        <w:pStyle w:val="34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45BA8238">
      <w:pPr>
        <w:pStyle w:val="349"/>
        <w:spacing w:line="360" w:lineRule="auto"/>
        <w:rPr>
          <w:rFonts w:hint="eastAsia" w:ascii="宋体" w:hAnsi="宋体" w:eastAsia="宋体" w:cs="宋体"/>
          <w:color w:val="auto"/>
          <w:sz w:val="24"/>
          <w:szCs w:val="24"/>
          <w:highlight w:val="none"/>
        </w:rPr>
      </w:pPr>
    </w:p>
    <w:p w14:paraId="59408A1A">
      <w:pPr>
        <w:pStyle w:val="349"/>
        <w:spacing w:line="360" w:lineRule="auto"/>
        <w:rPr>
          <w:rFonts w:hint="eastAsia" w:ascii="宋体" w:hAnsi="宋体" w:eastAsia="宋体" w:cs="宋体"/>
          <w:color w:val="auto"/>
          <w:sz w:val="24"/>
          <w:szCs w:val="24"/>
          <w:highlight w:val="none"/>
        </w:rPr>
      </w:pPr>
    </w:p>
    <w:p w14:paraId="26D0530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                  （加盖CA电子章）</w:t>
      </w:r>
    </w:p>
    <w:p w14:paraId="136172A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8EE2EC9">
      <w:pPr>
        <w:pStyle w:val="349"/>
        <w:spacing w:line="360" w:lineRule="auto"/>
        <w:rPr>
          <w:rFonts w:hint="eastAsia" w:ascii="宋体" w:hAnsi="宋体" w:eastAsia="宋体" w:cs="宋体"/>
          <w:color w:val="auto"/>
          <w:sz w:val="24"/>
          <w:szCs w:val="24"/>
          <w:highlight w:val="none"/>
        </w:rPr>
      </w:pPr>
    </w:p>
    <w:p w14:paraId="313C2B1E">
      <w:pPr>
        <w:pStyle w:val="34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A398DB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1.监狱企业参加采购活动时，应当提供由省级以上监狱管理局、戒毒管理局（含新疆生产建设兵团）出具的属于监狱企业的证明文件。</w:t>
      </w:r>
    </w:p>
    <w:p w14:paraId="2F350A1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10B63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3.非监狱企业不需提供此声明函。</w:t>
      </w:r>
    </w:p>
    <w:p w14:paraId="4BA00588">
      <w:pPr>
        <w:rPr>
          <w:rFonts w:hint="eastAsia" w:ascii="宋体" w:hAnsi="宋体" w:eastAsia="宋体" w:cs="宋体"/>
          <w:color w:val="auto"/>
          <w:sz w:val="24"/>
          <w:szCs w:val="24"/>
          <w:highlight w:val="none"/>
        </w:rPr>
      </w:pPr>
    </w:p>
    <w:p w14:paraId="2687F737">
      <w:pPr>
        <w:pStyle w:val="348"/>
        <w:widowControl w:val="0"/>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p>
    <w:p w14:paraId="7BD62846">
      <w:pPr>
        <w:pStyle w:val="348"/>
        <w:widowControl w:val="0"/>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关于符合本国产品标准的声明函</w:t>
      </w:r>
    </w:p>
    <w:p w14:paraId="0DFA714C">
      <w:pPr>
        <w:pStyle w:val="348"/>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752415B8">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0237D4A">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1.</w:t>
      </w:r>
      <w:r>
        <w:rPr>
          <w:rStyle w:val="350"/>
          <w:rFonts w:hint="eastAsia" w:ascii="宋体" w:hAnsi="宋体" w:eastAsia="宋体" w:cs="宋体"/>
          <w:i w:val="0"/>
          <w:iCs w:val="0"/>
          <w:caps w:val="0"/>
          <w:color w:val="auto"/>
          <w:spacing w:val="0"/>
          <w:sz w:val="24"/>
          <w:szCs w:val="24"/>
          <w:highlight w:val="none"/>
          <w:u w:val="single"/>
          <w:shd w:val="clear" w:color="auto" w:fill="FFFFFF"/>
        </w:rPr>
        <w:t>（产品名称1）</w:t>
      </w:r>
      <w:r>
        <w:rPr>
          <w:rStyle w:val="350"/>
          <w:rFonts w:hint="eastAsia" w:ascii="宋体" w:hAnsi="宋体" w:eastAsia="宋体" w:cs="宋体"/>
          <w:i w:val="0"/>
          <w:iCs w:val="0"/>
          <w:caps w:val="0"/>
          <w:color w:val="auto"/>
          <w:spacing w:val="0"/>
          <w:sz w:val="24"/>
          <w:szCs w:val="24"/>
          <w:highlight w:val="none"/>
          <w:u w:val="single"/>
          <w:shd w:val="clear" w:color="auto" w:fill="FFFFFF"/>
          <w:vertAlign w:val="superscript"/>
        </w:rPr>
        <w:t>1</w:t>
      </w:r>
      <w:r>
        <w:rPr>
          <w:rFonts w:hint="eastAsia" w:ascii="宋体" w:hAnsi="宋体" w:eastAsia="宋体" w:cs="宋体"/>
          <w:i w:val="0"/>
          <w:iCs w:val="0"/>
          <w:caps w:val="0"/>
          <w:color w:val="auto"/>
          <w:spacing w:val="0"/>
          <w:sz w:val="24"/>
          <w:szCs w:val="24"/>
          <w:highlight w:val="none"/>
          <w:shd w:val="clear" w:color="auto" w:fill="FFFFFF"/>
        </w:rPr>
        <w:t>，生产厂为</w:t>
      </w:r>
      <w:r>
        <w:rPr>
          <w:rStyle w:val="350"/>
          <w:rFonts w:hint="eastAsia" w:ascii="宋体" w:hAnsi="宋体" w:eastAsia="宋体" w:cs="宋体"/>
          <w:i w:val="0"/>
          <w:iCs w:val="0"/>
          <w:caps w:val="0"/>
          <w:color w:val="auto"/>
          <w:spacing w:val="0"/>
          <w:sz w:val="24"/>
          <w:szCs w:val="24"/>
          <w:highlight w:val="none"/>
          <w:u w:val="single"/>
          <w:shd w:val="clear" w:color="auto" w:fill="FFFFFF"/>
        </w:rPr>
        <w:t>（厂名）</w:t>
      </w:r>
      <w:r>
        <w:rPr>
          <w:rStyle w:val="350"/>
          <w:rFonts w:hint="eastAsia" w:ascii="宋体" w:hAnsi="宋体" w:eastAsia="宋体" w:cs="宋体"/>
          <w:i w:val="0"/>
          <w:iCs w:val="0"/>
          <w:caps w:val="0"/>
          <w:color w:val="auto"/>
          <w:spacing w:val="0"/>
          <w:sz w:val="24"/>
          <w:szCs w:val="24"/>
          <w:highlight w:val="none"/>
          <w:u w:val="single"/>
          <w:shd w:val="clear" w:color="auto" w:fill="FFFFFF"/>
          <w:vertAlign w:val="superscript"/>
        </w:rPr>
        <w:t>2</w:t>
      </w:r>
      <w:r>
        <w:rPr>
          <w:rFonts w:hint="eastAsia" w:ascii="宋体" w:hAnsi="宋体" w:eastAsia="宋体" w:cs="宋体"/>
          <w:i w:val="0"/>
          <w:iCs w:val="0"/>
          <w:caps w:val="0"/>
          <w:color w:val="auto"/>
          <w:spacing w:val="0"/>
          <w:sz w:val="24"/>
          <w:szCs w:val="24"/>
          <w:highlight w:val="none"/>
          <w:shd w:val="clear" w:color="auto" w:fill="FFFFFF"/>
        </w:rPr>
        <w:t>，厂址为</w:t>
      </w:r>
      <w:r>
        <w:rPr>
          <w:rStyle w:val="350"/>
          <w:rFonts w:hint="eastAsia" w:ascii="宋体" w:hAnsi="宋体" w:eastAsia="宋体" w:cs="宋体"/>
          <w:i w:val="0"/>
          <w:iCs w:val="0"/>
          <w:caps w:val="0"/>
          <w:color w:val="auto"/>
          <w:spacing w:val="0"/>
          <w:sz w:val="24"/>
          <w:szCs w:val="24"/>
          <w:highlight w:val="none"/>
          <w:u w:val="single"/>
          <w:shd w:val="clear" w:color="auto" w:fill="FFFFFF"/>
        </w:rPr>
        <w:t>（生产厂址）</w:t>
      </w:r>
      <w:r>
        <w:rPr>
          <w:rFonts w:hint="eastAsia" w:ascii="宋体" w:hAnsi="宋体" w:eastAsia="宋体" w:cs="宋体"/>
          <w:i w:val="0"/>
          <w:iCs w:val="0"/>
          <w:caps w:val="0"/>
          <w:color w:val="auto"/>
          <w:spacing w:val="0"/>
          <w:sz w:val="24"/>
          <w:szCs w:val="24"/>
          <w:highlight w:val="none"/>
          <w:shd w:val="clear" w:color="auto" w:fill="FFFFFF"/>
        </w:rPr>
        <w:t>。</w:t>
      </w:r>
      <w:r>
        <w:rPr>
          <w:rStyle w:val="350"/>
          <w:rFonts w:hint="eastAsia" w:ascii="宋体" w:hAnsi="宋体" w:eastAsia="宋体" w:cs="宋体"/>
          <w:i w:val="0"/>
          <w:iCs w:val="0"/>
          <w:caps w:val="0"/>
          <w:color w:val="auto"/>
          <w:spacing w:val="0"/>
          <w:sz w:val="24"/>
          <w:szCs w:val="24"/>
          <w:highlight w:val="none"/>
          <w:u w:val="singl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的中国境内生产的组件成本占比≥</w:t>
      </w:r>
      <w:r>
        <w:rPr>
          <w:rStyle w:val="350"/>
          <w:rFonts w:hint="eastAsia" w:ascii="宋体" w:hAnsi="宋体" w:eastAsia="宋体" w:cs="宋体"/>
          <w:i w:val="0"/>
          <w:iCs w:val="0"/>
          <w:caps w:val="0"/>
          <w:color w:val="auto"/>
          <w:spacing w:val="0"/>
          <w:sz w:val="24"/>
          <w:szCs w:val="24"/>
          <w:highlight w:val="none"/>
          <w:u w:val="single"/>
          <w:shd w:val="clear" w:color="auto" w:fill="FFFFFF"/>
        </w:rPr>
        <w:t>（规定比例）</w:t>
      </w:r>
      <w:r>
        <w:rPr>
          <w:rStyle w:val="350"/>
          <w:rFonts w:hint="eastAsia" w:ascii="宋体" w:hAnsi="宋体" w:eastAsia="宋体" w:cs="宋体"/>
          <w:i w:val="0"/>
          <w:iCs w:val="0"/>
          <w:caps w:val="0"/>
          <w:color w:val="auto"/>
          <w:spacing w:val="0"/>
          <w:sz w:val="24"/>
          <w:szCs w:val="24"/>
          <w:highlight w:val="none"/>
          <w:u w:val="single"/>
          <w:shd w:val="clear" w:color="auto" w:fill="FFFFFF"/>
          <w:vertAlign w:val="superscript"/>
        </w:rPr>
        <w:t>3</w:t>
      </w:r>
      <w:r>
        <w:rPr>
          <w:rFonts w:hint="eastAsia" w:ascii="宋体" w:hAnsi="宋体" w:eastAsia="宋体" w:cs="宋体"/>
          <w:i w:val="0"/>
          <w:iCs w:val="0"/>
          <w:caps w:val="0"/>
          <w:color w:val="auto"/>
          <w:spacing w:val="0"/>
          <w:sz w:val="24"/>
          <w:szCs w:val="24"/>
          <w:highlight w:val="none"/>
          <w:shd w:val="clear" w:color="auto" w:fill="FFFFFF"/>
        </w:rPr>
        <w:t>。</w:t>
      </w:r>
      <w:r>
        <w:rPr>
          <w:rStyle w:val="350"/>
          <w:rFonts w:hint="eastAsia" w:ascii="宋体" w:hAnsi="宋体" w:eastAsia="宋体" w:cs="宋体"/>
          <w:i w:val="0"/>
          <w:iCs w:val="0"/>
          <w:caps w:val="0"/>
          <w:color w:val="auto"/>
          <w:spacing w:val="0"/>
          <w:sz w:val="24"/>
          <w:szCs w:val="24"/>
          <w:highlight w:val="none"/>
          <w:u w:val="singl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w:t>
      </w:r>
      <w:r>
        <w:rPr>
          <w:rStyle w:val="350"/>
          <w:rFonts w:hint="eastAsia" w:ascii="宋体" w:hAnsi="宋体" w:eastAsia="宋体" w:cs="宋体"/>
          <w:i w:val="0"/>
          <w:iCs w:val="0"/>
          <w:caps w:val="0"/>
          <w:color w:val="auto"/>
          <w:spacing w:val="0"/>
          <w:sz w:val="24"/>
          <w:szCs w:val="24"/>
          <w:highlight w:val="none"/>
          <w:u w:val="single"/>
          <w:shd w:val="clear" w:color="auto" w:fill="FFFFFF"/>
        </w:rPr>
        <w:t>（关键组件）</w:t>
      </w:r>
      <w:r>
        <w:rPr>
          <w:rStyle w:val="350"/>
          <w:rFonts w:hint="eastAsia" w:ascii="宋体" w:hAnsi="宋体" w:eastAsia="宋体" w:cs="宋体"/>
          <w:i w:val="0"/>
          <w:iCs w:val="0"/>
          <w:caps w:val="0"/>
          <w:color w:val="auto"/>
          <w:spacing w:val="0"/>
          <w:sz w:val="24"/>
          <w:szCs w:val="24"/>
          <w:highlight w:val="none"/>
          <w:u w:val="single"/>
          <w:shd w:val="clear" w:color="auto" w:fill="FFFFFF"/>
          <w:vertAlign w:val="superscript"/>
        </w:rPr>
        <w:t>4</w:t>
      </w:r>
      <w:r>
        <w:rPr>
          <w:rFonts w:hint="eastAsia" w:ascii="宋体" w:hAnsi="宋体" w:eastAsia="宋体" w:cs="宋体"/>
          <w:i w:val="0"/>
          <w:iCs w:val="0"/>
          <w:caps w:val="0"/>
          <w:color w:val="auto"/>
          <w:spacing w:val="0"/>
          <w:sz w:val="24"/>
          <w:szCs w:val="24"/>
          <w:highlight w:val="none"/>
          <w:shd w:val="clear" w:color="auto" w:fill="FFFFFF"/>
        </w:rPr>
        <w:t>在中国境内生产。</w:t>
      </w:r>
      <w:r>
        <w:rPr>
          <w:rStyle w:val="350"/>
          <w:rFonts w:hint="eastAsia" w:ascii="宋体" w:hAnsi="宋体" w:eastAsia="宋体" w:cs="宋体"/>
          <w:i w:val="0"/>
          <w:iCs w:val="0"/>
          <w:caps w:val="0"/>
          <w:color w:val="auto"/>
          <w:spacing w:val="0"/>
          <w:sz w:val="24"/>
          <w:szCs w:val="24"/>
          <w:highlight w:val="none"/>
          <w:u w:val="singl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w:t>
      </w:r>
      <w:r>
        <w:rPr>
          <w:rStyle w:val="350"/>
          <w:rFonts w:hint="eastAsia" w:ascii="宋体" w:hAnsi="宋体" w:eastAsia="宋体" w:cs="宋体"/>
          <w:i w:val="0"/>
          <w:iCs w:val="0"/>
          <w:caps w:val="0"/>
          <w:color w:val="auto"/>
          <w:spacing w:val="0"/>
          <w:sz w:val="24"/>
          <w:szCs w:val="24"/>
          <w:highlight w:val="none"/>
          <w:u w:val="single"/>
          <w:shd w:val="clear" w:color="auto" w:fill="FFFFFF"/>
        </w:rPr>
        <w:t>（关键工序）</w:t>
      </w:r>
      <w:r>
        <w:rPr>
          <w:rStyle w:val="350"/>
          <w:rFonts w:hint="eastAsia" w:ascii="宋体" w:hAnsi="宋体" w:eastAsia="宋体" w:cs="宋体"/>
          <w:i w:val="0"/>
          <w:iCs w:val="0"/>
          <w:caps w:val="0"/>
          <w:color w:val="auto"/>
          <w:spacing w:val="0"/>
          <w:sz w:val="24"/>
          <w:szCs w:val="24"/>
          <w:highlight w:val="none"/>
          <w:u w:val="single"/>
          <w:shd w:val="clear" w:color="auto" w:fill="FFFFFF"/>
          <w:vertAlign w:val="superscript"/>
        </w:rPr>
        <w:t>5</w:t>
      </w:r>
      <w:r>
        <w:rPr>
          <w:rFonts w:hint="eastAsia" w:ascii="宋体" w:hAnsi="宋体" w:eastAsia="宋体" w:cs="宋体"/>
          <w:i w:val="0"/>
          <w:iCs w:val="0"/>
          <w:caps w:val="0"/>
          <w:color w:val="auto"/>
          <w:spacing w:val="0"/>
          <w:sz w:val="24"/>
          <w:szCs w:val="24"/>
          <w:highlight w:val="none"/>
          <w:shd w:val="clear" w:color="auto" w:fill="FFFFFF"/>
        </w:rPr>
        <w:t>在中国境内完成。</w:t>
      </w:r>
    </w:p>
    <w:p w14:paraId="0EF68EEE">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w:t>
      </w:r>
      <w:r>
        <w:rPr>
          <w:rStyle w:val="350"/>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，生产厂为</w:t>
      </w:r>
      <w:r>
        <w:rPr>
          <w:rStyle w:val="350"/>
          <w:rFonts w:hint="eastAsia" w:ascii="宋体" w:hAnsi="宋体" w:eastAsia="宋体" w:cs="宋体"/>
          <w:i w:val="0"/>
          <w:iCs w:val="0"/>
          <w:caps w:val="0"/>
          <w:color w:val="auto"/>
          <w:spacing w:val="0"/>
          <w:sz w:val="24"/>
          <w:szCs w:val="24"/>
          <w:highlight w:val="none"/>
          <w:u w:val="single"/>
          <w:shd w:val="clear" w:color="auto" w:fill="FFFFFF"/>
        </w:rPr>
        <w:t>（厂名）</w:t>
      </w:r>
      <w:r>
        <w:rPr>
          <w:rFonts w:hint="eastAsia" w:ascii="宋体" w:hAnsi="宋体" w:eastAsia="宋体" w:cs="宋体"/>
          <w:i w:val="0"/>
          <w:iCs w:val="0"/>
          <w:caps w:val="0"/>
          <w:color w:val="auto"/>
          <w:spacing w:val="0"/>
          <w:sz w:val="24"/>
          <w:szCs w:val="24"/>
          <w:highlight w:val="none"/>
          <w:shd w:val="clear" w:color="auto" w:fill="FFFFFF"/>
        </w:rPr>
        <w:t>，厂址为</w:t>
      </w:r>
      <w:r>
        <w:rPr>
          <w:rStyle w:val="350"/>
          <w:rFonts w:hint="eastAsia" w:ascii="宋体" w:hAnsi="宋体" w:eastAsia="宋体" w:cs="宋体"/>
          <w:i w:val="0"/>
          <w:iCs w:val="0"/>
          <w:caps w:val="0"/>
          <w:color w:val="auto"/>
          <w:spacing w:val="0"/>
          <w:sz w:val="24"/>
          <w:szCs w:val="24"/>
          <w:highlight w:val="none"/>
          <w:u w:val="single"/>
          <w:shd w:val="clear" w:color="auto" w:fill="FFFFFF"/>
        </w:rPr>
        <w:t>（生产厂址）</w:t>
      </w:r>
      <w:r>
        <w:rPr>
          <w:rFonts w:hint="eastAsia" w:ascii="宋体" w:hAnsi="宋体" w:eastAsia="宋体" w:cs="宋体"/>
          <w:i w:val="0"/>
          <w:iCs w:val="0"/>
          <w:caps w:val="0"/>
          <w:color w:val="auto"/>
          <w:spacing w:val="0"/>
          <w:sz w:val="24"/>
          <w:szCs w:val="24"/>
          <w:highlight w:val="none"/>
          <w:shd w:val="clear" w:color="auto" w:fill="FFFFFF"/>
        </w:rPr>
        <w:t>。</w:t>
      </w:r>
      <w:r>
        <w:rPr>
          <w:rStyle w:val="350"/>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的中国境内生产的组件成本占比≥</w:t>
      </w:r>
      <w:r>
        <w:rPr>
          <w:rStyle w:val="350"/>
          <w:rFonts w:hint="eastAsia" w:ascii="宋体" w:hAnsi="宋体" w:eastAsia="宋体" w:cs="宋体"/>
          <w:i w:val="0"/>
          <w:iCs w:val="0"/>
          <w:caps w:val="0"/>
          <w:color w:val="auto"/>
          <w:spacing w:val="0"/>
          <w:sz w:val="24"/>
          <w:szCs w:val="24"/>
          <w:highlight w:val="none"/>
          <w:u w:val="single"/>
          <w:shd w:val="clear" w:color="auto" w:fill="FFFFFF"/>
        </w:rPr>
        <w:t>（规定比例）</w:t>
      </w:r>
      <w:r>
        <w:rPr>
          <w:rFonts w:hint="eastAsia" w:ascii="宋体" w:hAnsi="宋体" w:eastAsia="宋体" w:cs="宋体"/>
          <w:i w:val="0"/>
          <w:iCs w:val="0"/>
          <w:caps w:val="0"/>
          <w:color w:val="auto"/>
          <w:spacing w:val="0"/>
          <w:sz w:val="24"/>
          <w:szCs w:val="24"/>
          <w:highlight w:val="none"/>
          <w:shd w:val="clear" w:color="auto" w:fill="FFFFFF"/>
        </w:rPr>
        <w:t>。</w:t>
      </w:r>
      <w:r>
        <w:rPr>
          <w:rStyle w:val="350"/>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w:t>
      </w:r>
      <w:r>
        <w:rPr>
          <w:rStyle w:val="350"/>
          <w:rFonts w:hint="eastAsia" w:ascii="宋体" w:hAnsi="宋体" w:eastAsia="宋体" w:cs="宋体"/>
          <w:i w:val="0"/>
          <w:iCs w:val="0"/>
          <w:caps w:val="0"/>
          <w:color w:val="auto"/>
          <w:spacing w:val="0"/>
          <w:sz w:val="24"/>
          <w:szCs w:val="24"/>
          <w:highlight w:val="none"/>
          <w:u w:val="single"/>
          <w:shd w:val="clear" w:color="auto" w:fill="FFFFFF"/>
        </w:rPr>
        <w:t>（关键组件）</w:t>
      </w:r>
      <w:r>
        <w:rPr>
          <w:rFonts w:hint="eastAsia" w:ascii="宋体" w:hAnsi="宋体" w:eastAsia="宋体" w:cs="宋体"/>
          <w:i w:val="0"/>
          <w:iCs w:val="0"/>
          <w:caps w:val="0"/>
          <w:color w:val="auto"/>
          <w:spacing w:val="0"/>
          <w:sz w:val="24"/>
          <w:szCs w:val="24"/>
          <w:highlight w:val="none"/>
          <w:shd w:val="clear" w:color="auto" w:fill="FFFFFF"/>
        </w:rPr>
        <w:t>在中国境内生产。</w:t>
      </w:r>
      <w:r>
        <w:rPr>
          <w:rStyle w:val="350"/>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w:t>
      </w:r>
      <w:r>
        <w:rPr>
          <w:rStyle w:val="350"/>
          <w:rFonts w:hint="eastAsia" w:ascii="宋体" w:hAnsi="宋体" w:eastAsia="宋体" w:cs="宋体"/>
          <w:i w:val="0"/>
          <w:iCs w:val="0"/>
          <w:caps w:val="0"/>
          <w:color w:val="auto"/>
          <w:spacing w:val="0"/>
          <w:sz w:val="24"/>
          <w:szCs w:val="24"/>
          <w:highlight w:val="none"/>
          <w:u w:val="single"/>
          <w:shd w:val="clear" w:color="auto" w:fill="FFFFFF"/>
        </w:rPr>
        <w:t>（关键工序）</w:t>
      </w:r>
      <w:r>
        <w:rPr>
          <w:rFonts w:hint="eastAsia" w:ascii="宋体" w:hAnsi="宋体" w:eastAsia="宋体" w:cs="宋体"/>
          <w:i w:val="0"/>
          <w:iCs w:val="0"/>
          <w:caps w:val="0"/>
          <w:color w:val="auto"/>
          <w:spacing w:val="0"/>
          <w:sz w:val="24"/>
          <w:szCs w:val="24"/>
          <w:highlight w:val="none"/>
          <w:shd w:val="clear" w:color="auto" w:fill="FFFFFF"/>
        </w:rPr>
        <w:t>在中国境内完成。</w:t>
      </w:r>
    </w:p>
    <w:p w14:paraId="7799A31B">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w:t>
      </w:r>
    </w:p>
    <w:p w14:paraId="6106B5B7">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本公司（单位）对上述声明内容的真实性负责。如有虚假，愿承担相应法律责任。</w:t>
      </w:r>
    </w:p>
    <w:p w14:paraId="0EA6D383">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shd w:val="clear" w:color="auto" w:fill="FFFFFF"/>
        </w:rPr>
      </w:pPr>
    </w:p>
    <w:p w14:paraId="62196B13">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rPr>
        <w:t>投标人名称（加盖CA电子公章）：</w:t>
      </w:r>
      <w:r>
        <w:rPr>
          <w:rFonts w:hint="eastAsia" w:ascii="宋体" w:hAnsi="宋体" w:eastAsia="宋体" w:cs="宋体"/>
          <w:i w:val="0"/>
          <w:iCs w:val="0"/>
          <w:caps w:val="0"/>
          <w:color w:val="auto"/>
          <w:spacing w:val="0"/>
          <w:sz w:val="24"/>
          <w:szCs w:val="24"/>
          <w:highlight w:val="none"/>
          <w:shd w:val="clear" w:color="auto" w:fill="FFFFFF"/>
        </w:rPr>
        <w:t>      </w:t>
      </w:r>
    </w:p>
    <w:p w14:paraId="45C41F7E">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日期：　　　　　年　　月　日    </w:t>
      </w:r>
    </w:p>
    <w:p w14:paraId="5A508C7B">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p>
    <w:p w14:paraId="44578E3A">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p>
    <w:p w14:paraId="5F294A60">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right="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_____________________________</w:t>
      </w:r>
    </w:p>
    <w:p w14:paraId="590E645C">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1.产品如有型号，请在“产品名称”栏一并填写。</w:t>
      </w:r>
    </w:p>
    <w:p w14:paraId="1A527387">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2.生产厂名与厂址应与生产厂营业执照载明的相关信息保持一致。</w:t>
      </w:r>
    </w:p>
    <w:p w14:paraId="69FAC76D">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3.该产品的中国境内生产的组件成本占比相关要求实施前，“规定比例”栏可不填，下同。</w:t>
      </w:r>
    </w:p>
    <w:p w14:paraId="67781502">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4.该产品的关键组件要求实施前，“关键组件”栏可不填，下同。</w:t>
      </w:r>
    </w:p>
    <w:p w14:paraId="2FF3C2C4">
      <w:pPr>
        <w:pStyle w:val="34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5.该产品的关键工序要求实施前，“关键工序”栏可不填，下同。</w:t>
      </w:r>
    </w:p>
    <w:p w14:paraId="686283E5">
      <w:pPr>
        <w:rPr>
          <w:rFonts w:ascii="宋体" w:hAnsi="宋体" w:cs="宋体"/>
          <w:b/>
          <w:color w:val="auto"/>
          <w:sz w:val="32"/>
          <w:szCs w:val="32"/>
          <w:highlight w:val="none"/>
        </w:rPr>
      </w:pPr>
      <w:r>
        <w:rPr>
          <w:rFonts w:ascii="宋体" w:hAnsi="宋体" w:cs="宋体"/>
          <w:b/>
          <w:color w:val="auto"/>
          <w:sz w:val="32"/>
          <w:szCs w:val="32"/>
          <w:highlight w:val="none"/>
        </w:rPr>
        <w:br w:type="page"/>
      </w:r>
    </w:p>
    <w:p w14:paraId="0181B16B">
      <w:pPr>
        <w:spacing w:line="360" w:lineRule="auto"/>
        <w:ind w:firstLine="643"/>
        <w:contextualSpacing/>
        <w:jc w:val="center"/>
        <w:rPr>
          <w:rFonts w:ascii="宋体" w:hAnsi="宋体" w:cs="宋体"/>
          <w:b/>
          <w:color w:val="auto"/>
          <w:sz w:val="32"/>
          <w:szCs w:val="32"/>
          <w:highlight w:val="none"/>
        </w:rPr>
      </w:pPr>
      <w:r>
        <w:rPr>
          <w:rFonts w:ascii="宋体" w:hAnsi="宋体" w:cs="宋体"/>
          <w:b/>
          <w:color w:val="auto"/>
          <w:sz w:val="32"/>
          <w:szCs w:val="32"/>
          <w:highlight w:val="none"/>
        </w:rPr>
        <w:t>评标要素索引表（电子标书无须提供）</w:t>
      </w:r>
    </w:p>
    <w:tbl>
      <w:tblPr>
        <w:tblStyle w:val="47"/>
        <w:tblW w:w="8528" w:type="dxa"/>
        <w:jc w:val="center"/>
        <w:tblLayout w:type="fixed"/>
        <w:tblCellMar>
          <w:top w:w="0" w:type="dxa"/>
          <w:left w:w="108" w:type="dxa"/>
          <w:bottom w:w="0" w:type="dxa"/>
          <w:right w:w="108" w:type="dxa"/>
        </w:tblCellMar>
      </w:tblPr>
      <w:tblGrid>
        <w:gridCol w:w="828"/>
        <w:gridCol w:w="6066"/>
        <w:gridCol w:w="1634"/>
      </w:tblGrid>
      <w:tr w14:paraId="7D28E2DE">
        <w:tblPrEx>
          <w:tblCellMar>
            <w:top w:w="0" w:type="dxa"/>
            <w:left w:w="108" w:type="dxa"/>
            <w:bottom w:w="0" w:type="dxa"/>
            <w:right w:w="108" w:type="dxa"/>
          </w:tblCellMar>
        </w:tblPrEx>
        <w:trPr>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6E24032E">
            <w:pPr>
              <w:spacing w:line="360" w:lineRule="auto"/>
              <w:contextualSpacing/>
              <w:jc w:val="center"/>
              <w:rPr>
                <w:rFonts w:ascii="宋体" w:hAnsi="宋体" w:cs="宋体"/>
                <w:b/>
                <w:color w:val="auto"/>
                <w:szCs w:val="21"/>
                <w:highlight w:val="none"/>
              </w:rPr>
            </w:pPr>
            <w:r>
              <w:rPr>
                <w:rFonts w:ascii="宋体" w:hAnsi="宋体" w:cs="宋体"/>
                <w:b/>
                <w:color w:val="auto"/>
                <w:szCs w:val="21"/>
                <w:highlight w:val="none"/>
              </w:rPr>
              <w:t>序号</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055A832E">
            <w:pPr>
              <w:spacing w:line="360" w:lineRule="auto"/>
              <w:ind w:firstLine="482"/>
              <w:contextualSpacing/>
              <w:jc w:val="center"/>
              <w:rPr>
                <w:rFonts w:ascii="宋体" w:hAnsi="宋体" w:cs="宋体"/>
                <w:b/>
                <w:color w:val="auto"/>
                <w:szCs w:val="21"/>
                <w:highlight w:val="none"/>
              </w:rPr>
            </w:pPr>
            <w:r>
              <w:rPr>
                <w:rFonts w:ascii="宋体" w:hAnsi="宋体" w:cs="宋体"/>
                <w:b/>
                <w:color w:val="auto"/>
                <w:szCs w:val="21"/>
                <w:highlight w:val="none"/>
              </w:rPr>
              <w:t>评审内容</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709EA6B5">
            <w:pPr>
              <w:spacing w:line="360" w:lineRule="auto"/>
              <w:ind w:firstLine="482"/>
              <w:contextualSpacing/>
              <w:jc w:val="center"/>
              <w:rPr>
                <w:rFonts w:ascii="宋体" w:hAnsi="宋体" w:cs="宋体"/>
                <w:b/>
                <w:color w:val="auto"/>
                <w:szCs w:val="21"/>
                <w:highlight w:val="none"/>
              </w:rPr>
            </w:pPr>
            <w:r>
              <w:rPr>
                <w:rFonts w:ascii="宋体" w:hAnsi="宋体" w:cs="宋体"/>
                <w:b/>
                <w:color w:val="auto"/>
                <w:szCs w:val="21"/>
                <w:highlight w:val="none"/>
              </w:rPr>
              <w:t>投标文件</w:t>
            </w:r>
          </w:p>
          <w:p w14:paraId="5A0FECFB">
            <w:pPr>
              <w:spacing w:line="360" w:lineRule="auto"/>
              <w:ind w:firstLine="482"/>
              <w:contextualSpacing/>
              <w:jc w:val="center"/>
              <w:rPr>
                <w:rFonts w:ascii="宋体" w:hAnsi="宋体" w:cs="宋体"/>
                <w:b/>
                <w:color w:val="auto"/>
                <w:szCs w:val="21"/>
                <w:highlight w:val="none"/>
              </w:rPr>
            </w:pPr>
            <w:r>
              <w:rPr>
                <w:rFonts w:ascii="宋体" w:hAnsi="宋体" w:cs="宋体"/>
                <w:b/>
                <w:color w:val="auto"/>
                <w:szCs w:val="21"/>
                <w:highlight w:val="none"/>
              </w:rPr>
              <w:t>页码范围</w:t>
            </w:r>
          </w:p>
        </w:tc>
      </w:tr>
      <w:tr w14:paraId="57364D5B">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694544E6">
            <w:pPr>
              <w:pStyle w:val="218"/>
              <w:widowControl w:val="0"/>
              <w:spacing w:beforeAutospacing="0" w:afterAutospacing="0" w:line="360" w:lineRule="auto"/>
              <w:contextualSpacing/>
              <w:rPr>
                <w:rFonts w:ascii="宋体" w:hAnsi="宋体" w:eastAsia="宋体" w:cs="宋体"/>
                <w:b/>
                <w:color w:val="auto"/>
                <w:sz w:val="21"/>
                <w:szCs w:val="21"/>
                <w:highlight w:val="none"/>
              </w:rPr>
            </w:pPr>
            <w:r>
              <w:rPr>
                <w:rFonts w:ascii="宋体" w:hAnsi="宋体" w:eastAsia="宋体" w:cs="宋体"/>
                <w:b/>
                <w:color w:val="auto"/>
                <w:sz w:val="21"/>
                <w:szCs w:val="21"/>
                <w:highlight w:val="none"/>
              </w:rPr>
              <w:t>一</w:t>
            </w:r>
          </w:p>
        </w:tc>
        <w:tc>
          <w:tcPr>
            <w:tcW w:w="7700" w:type="dxa"/>
            <w:gridSpan w:val="2"/>
            <w:tcBorders>
              <w:top w:val="single" w:color="000000" w:sz="4" w:space="0"/>
              <w:left w:val="single" w:color="000000" w:sz="4" w:space="0"/>
              <w:bottom w:val="single" w:color="000000" w:sz="4" w:space="0"/>
              <w:right w:val="single" w:color="000000" w:sz="4" w:space="0"/>
            </w:tcBorders>
            <w:noWrap w:val="0"/>
            <w:vAlign w:val="center"/>
          </w:tcPr>
          <w:p w14:paraId="229FA4CB">
            <w:pPr>
              <w:spacing w:line="360" w:lineRule="auto"/>
              <w:contextualSpacing/>
              <w:jc w:val="center"/>
              <w:rPr>
                <w:rFonts w:ascii="宋体" w:hAnsi="宋体" w:cs="宋体"/>
                <w:b/>
                <w:color w:val="auto"/>
                <w:szCs w:val="21"/>
                <w:highlight w:val="none"/>
              </w:rPr>
            </w:pPr>
            <w:r>
              <w:rPr>
                <w:rFonts w:ascii="宋体" w:hAnsi="宋体" w:cs="宋体"/>
                <w:b/>
                <w:color w:val="auto"/>
                <w:szCs w:val="21"/>
                <w:highlight w:val="none"/>
              </w:rPr>
              <w:t>商务</w:t>
            </w:r>
          </w:p>
        </w:tc>
      </w:tr>
      <w:tr w14:paraId="088F7AEE">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7B1D89A2">
            <w:pPr>
              <w:spacing w:line="360" w:lineRule="auto"/>
              <w:contextualSpacing/>
              <w:jc w:val="center"/>
              <w:rPr>
                <w:rFonts w:ascii="宋体" w:hAnsi="宋体" w:cs="宋体"/>
                <w:b/>
                <w:bCs/>
                <w:color w:val="auto"/>
                <w:szCs w:val="21"/>
                <w:highlight w:val="none"/>
              </w:rPr>
            </w:pPr>
            <w:r>
              <w:rPr>
                <w:rFonts w:ascii="宋体" w:hAnsi="宋体" w:cs="宋体"/>
                <w:b/>
                <w:bCs/>
                <w:color w:val="auto"/>
                <w:szCs w:val="21"/>
                <w:highlight w:val="none"/>
              </w:rPr>
              <w:t>1</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28A9DF66">
            <w:pPr>
              <w:spacing w:line="360" w:lineRule="auto"/>
              <w:ind w:firstLine="480"/>
              <w:contextualSpacing/>
              <w:jc w:val="center"/>
              <w:rPr>
                <w:rFonts w:ascii="宋体" w:hAnsi="宋体" w:cs="宋体"/>
                <w:bCs/>
                <w:color w:val="auto"/>
                <w:szCs w:val="21"/>
                <w:highlight w:val="none"/>
                <w:u w:val="singl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0123EE4F">
            <w:pPr>
              <w:spacing w:line="360" w:lineRule="auto"/>
              <w:ind w:firstLine="480"/>
              <w:contextualSpacing/>
              <w:rPr>
                <w:rFonts w:ascii="宋体" w:hAnsi="宋体" w:cs="宋体"/>
                <w:bCs/>
                <w:color w:val="auto"/>
                <w:szCs w:val="21"/>
                <w:highlight w:val="none"/>
                <w:u w:val="single"/>
              </w:rPr>
            </w:pPr>
            <w:r>
              <w:rPr>
                <w:rFonts w:ascii="宋体" w:hAnsi="宋体" w:cs="宋体"/>
                <w:bCs/>
                <w:color w:val="auto"/>
                <w:szCs w:val="21"/>
                <w:highlight w:val="none"/>
              </w:rPr>
              <w:t>P～P</w:t>
            </w:r>
          </w:p>
        </w:tc>
      </w:tr>
      <w:tr w14:paraId="11A37691">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0335F587">
            <w:pPr>
              <w:spacing w:line="360" w:lineRule="auto"/>
              <w:contextualSpacing/>
              <w:jc w:val="center"/>
              <w:rPr>
                <w:rFonts w:ascii="宋体" w:hAnsi="宋体" w:cs="宋体"/>
                <w:b/>
                <w:bCs/>
                <w:color w:val="auto"/>
                <w:szCs w:val="21"/>
                <w:highlight w:val="none"/>
              </w:rPr>
            </w:pPr>
            <w:r>
              <w:rPr>
                <w:rFonts w:ascii="宋体" w:hAnsi="宋体" w:cs="宋体"/>
                <w:b/>
                <w:bCs/>
                <w:color w:val="auto"/>
                <w:szCs w:val="21"/>
                <w:highlight w:val="none"/>
              </w:rPr>
              <w:t>2</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6C995565">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518D1D1B">
            <w:pPr>
              <w:spacing w:line="360" w:lineRule="auto"/>
              <w:ind w:firstLine="480"/>
              <w:contextualSpacing/>
              <w:rPr>
                <w:rFonts w:ascii="宋体" w:hAnsi="宋体" w:cs="宋体"/>
                <w:bCs/>
                <w:color w:val="auto"/>
                <w:szCs w:val="21"/>
                <w:highlight w:val="none"/>
              </w:rPr>
            </w:pPr>
            <w:r>
              <w:rPr>
                <w:rFonts w:ascii="宋体" w:hAnsi="宋体" w:cs="宋体"/>
                <w:bCs/>
                <w:color w:val="auto"/>
                <w:szCs w:val="21"/>
                <w:highlight w:val="none"/>
              </w:rPr>
              <w:t>P～P</w:t>
            </w:r>
          </w:p>
        </w:tc>
      </w:tr>
      <w:tr w14:paraId="376E8B3C">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48F8F453">
            <w:pPr>
              <w:spacing w:line="360" w:lineRule="auto"/>
              <w:contextualSpacing/>
              <w:jc w:val="center"/>
              <w:rPr>
                <w:rFonts w:ascii="宋体" w:hAnsi="宋体" w:cs="宋体"/>
                <w:b/>
                <w:bCs/>
                <w:color w:val="auto"/>
                <w:szCs w:val="21"/>
                <w:highlight w:val="none"/>
              </w:rPr>
            </w:pPr>
            <w:r>
              <w:rPr>
                <w:rFonts w:ascii="宋体" w:hAnsi="宋体" w:cs="宋体"/>
                <w:b/>
                <w:bCs/>
                <w:color w:val="auto"/>
                <w:szCs w:val="21"/>
                <w:highlight w:val="none"/>
              </w:rPr>
              <w:t>3</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0C5E0587">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54884268">
            <w:pPr>
              <w:spacing w:line="360" w:lineRule="auto"/>
              <w:ind w:firstLine="480"/>
              <w:contextualSpacing/>
              <w:rPr>
                <w:rFonts w:ascii="宋体" w:hAnsi="宋体" w:cs="宋体"/>
                <w:bCs/>
                <w:color w:val="auto"/>
                <w:szCs w:val="21"/>
                <w:highlight w:val="none"/>
              </w:rPr>
            </w:pPr>
            <w:r>
              <w:rPr>
                <w:rFonts w:ascii="宋体" w:hAnsi="宋体" w:cs="宋体"/>
                <w:bCs/>
                <w:color w:val="auto"/>
                <w:szCs w:val="21"/>
                <w:highlight w:val="none"/>
              </w:rPr>
              <w:t>P～P</w:t>
            </w:r>
          </w:p>
        </w:tc>
      </w:tr>
      <w:tr w14:paraId="13BDC8DF">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1AF55122">
            <w:pPr>
              <w:spacing w:line="360" w:lineRule="auto"/>
              <w:contextualSpacing/>
              <w:jc w:val="center"/>
              <w:rPr>
                <w:rFonts w:ascii="宋体" w:hAnsi="宋体" w:cs="宋体"/>
                <w:b/>
                <w:bCs/>
                <w:color w:val="auto"/>
                <w:szCs w:val="21"/>
                <w:highlight w:val="none"/>
              </w:rPr>
            </w:pPr>
            <w:r>
              <w:rPr>
                <w:rFonts w:ascii="宋体" w:hAnsi="宋体" w:cs="宋体"/>
                <w:b/>
                <w:bCs/>
                <w:color w:val="auto"/>
                <w:szCs w:val="21"/>
                <w:highlight w:val="none"/>
              </w:rPr>
              <w:t>…</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4F268359">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74DAD601">
            <w:pPr>
              <w:spacing w:line="360" w:lineRule="auto"/>
              <w:ind w:firstLine="480"/>
              <w:contextualSpacing/>
              <w:rPr>
                <w:rFonts w:ascii="宋体" w:hAnsi="宋体" w:cs="宋体"/>
                <w:bCs/>
                <w:color w:val="auto"/>
                <w:szCs w:val="21"/>
                <w:highlight w:val="none"/>
              </w:rPr>
            </w:pPr>
            <w:r>
              <w:rPr>
                <w:rFonts w:ascii="宋体" w:hAnsi="宋体" w:cs="宋体"/>
                <w:bCs/>
                <w:color w:val="auto"/>
                <w:szCs w:val="21"/>
                <w:highlight w:val="none"/>
              </w:rPr>
              <w:t>P～P</w:t>
            </w:r>
          </w:p>
        </w:tc>
      </w:tr>
      <w:tr w14:paraId="2B225945">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4E4A1F65">
            <w:pPr>
              <w:spacing w:line="360" w:lineRule="auto"/>
              <w:contextualSpacing/>
              <w:jc w:val="center"/>
              <w:rPr>
                <w:rFonts w:ascii="宋体" w:hAnsi="宋体" w:cs="宋体"/>
                <w:b/>
                <w:bCs/>
                <w:color w:val="auto"/>
                <w:szCs w:val="21"/>
                <w:highlight w:val="none"/>
              </w:rPr>
            </w:pPr>
            <w:r>
              <w:rPr>
                <w:rFonts w:ascii="宋体" w:hAnsi="宋体" w:cs="宋体"/>
                <w:b/>
                <w:bCs/>
                <w:color w:val="auto"/>
                <w:szCs w:val="21"/>
                <w:highlight w:val="none"/>
              </w:rPr>
              <w:t>…</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50693F73">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5A00C627">
            <w:pPr>
              <w:spacing w:line="360" w:lineRule="auto"/>
              <w:ind w:firstLine="480"/>
              <w:contextualSpacing/>
              <w:rPr>
                <w:rFonts w:ascii="宋体" w:hAnsi="宋体" w:cs="宋体"/>
                <w:bCs/>
                <w:color w:val="auto"/>
                <w:szCs w:val="21"/>
                <w:highlight w:val="none"/>
              </w:rPr>
            </w:pPr>
            <w:r>
              <w:rPr>
                <w:rFonts w:ascii="宋体" w:hAnsi="宋体" w:cs="宋体"/>
                <w:bCs/>
                <w:color w:val="auto"/>
                <w:szCs w:val="21"/>
                <w:highlight w:val="none"/>
              </w:rPr>
              <w:t>P～P</w:t>
            </w:r>
          </w:p>
        </w:tc>
      </w:tr>
      <w:tr w14:paraId="43962D00">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0191032F">
            <w:pPr>
              <w:spacing w:line="360" w:lineRule="auto"/>
              <w:contextualSpacing/>
              <w:jc w:val="center"/>
              <w:rPr>
                <w:rFonts w:ascii="宋体" w:hAnsi="宋体" w:cs="宋体"/>
                <w:b/>
                <w:color w:val="auto"/>
                <w:szCs w:val="21"/>
                <w:highlight w:val="none"/>
              </w:rPr>
            </w:pPr>
            <w:r>
              <w:rPr>
                <w:rFonts w:ascii="宋体" w:hAnsi="宋体" w:cs="宋体"/>
                <w:b/>
                <w:color w:val="auto"/>
                <w:szCs w:val="21"/>
                <w:highlight w:val="none"/>
              </w:rPr>
              <w:t>二</w:t>
            </w:r>
          </w:p>
        </w:tc>
        <w:tc>
          <w:tcPr>
            <w:tcW w:w="7700" w:type="dxa"/>
            <w:gridSpan w:val="2"/>
            <w:tcBorders>
              <w:top w:val="single" w:color="000000" w:sz="4" w:space="0"/>
              <w:left w:val="single" w:color="000000" w:sz="4" w:space="0"/>
              <w:bottom w:val="single" w:color="000000" w:sz="4" w:space="0"/>
              <w:right w:val="single" w:color="000000" w:sz="4" w:space="0"/>
            </w:tcBorders>
            <w:noWrap w:val="0"/>
            <w:vAlign w:val="center"/>
          </w:tcPr>
          <w:p w14:paraId="1A9489C6">
            <w:pPr>
              <w:spacing w:line="360" w:lineRule="auto"/>
              <w:contextualSpacing/>
              <w:jc w:val="center"/>
              <w:rPr>
                <w:rFonts w:ascii="宋体" w:hAnsi="宋体" w:cs="宋体"/>
                <w:b/>
                <w:color w:val="auto"/>
                <w:szCs w:val="21"/>
                <w:highlight w:val="none"/>
              </w:rPr>
            </w:pPr>
            <w:r>
              <w:rPr>
                <w:rFonts w:ascii="宋体" w:hAnsi="宋体" w:cs="宋体"/>
                <w:b/>
                <w:color w:val="auto"/>
                <w:szCs w:val="21"/>
                <w:highlight w:val="none"/>
              </w:rPr>
              <w:t>技术</w:t>
            </w:r>
          </w:p>
        </w:tc>
      </w:tr>
      <w:tr w14:paraId="7D6E34D9">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2124594C">
            <w:pPr>
              <w:spacing w:line="360" w:lineRule="auto"/>
              <w:contextualSpacing/>
              <w:jc w:val="center"/>
              <w:rPr>
                <w:rFonts w:ascii="宋体" w:hAnsi="宋体" w:cs="宋体"/>
                <w:b/>
                <w:bCs/>
                <w:color w:val="auto"/>
                <w:szCs w:val="21"/>
                <w:highlight w:val="none"/>
              </w:rPr>
            </w:pPr>
            <w:r>
              <w:rPr>
                <w:rFonts w:ascii="宋体" w:hAnsi="宋体" w:cs="宋体"/>
                <w:b/>
                <w:bCs/>
                <w:color w:val="auto"/>
                <w:szCs w:val="21"/>
                <w:highlight w:val="none"/>
              </w:rPr>
              <w:t>1</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77366BB0">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1770109F">
            <w:pPr>
              <w:spacing w:line="360" w:lineRule="auto"/>
              <w:ind w:firstLine="480"/>
              <w:contextualSpacing/>
              <w:rPr>
                <w:rFonts w:ascii="宋体" w:hAnsi="宋体" w:cs="宋体"/>
                <w:bCs/>
                <w:color w:val="auto"/>
                <w:szCs w:val="21"/>
                <w:highlight w:val="none"/>
                <w:u w:val="single"/>
              </w:rPr>
            </w:pPr>
            <w:r>
              <w:rPr>
                <w:rFonts w:ascii="宋体" w:hAnsi="宋体" w:cs="宋体"/>
                <w:bCs/>
                <w:color w:val="auto"/>
                <w:szCs w:val="21"/>
                <w:highlight w:val="none"/>
              </w:rPr>
              <w:t>P～P</w:t>
            </w:r>
          </w:p>
        </w:tc>
      </w:tr>
      <w:tr w14:paraId="517E3AF5">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49410063">
            <w:pPr>
              <w:spacing w:line="360" w:lineRule="auto"/>
              <w:contextualSpacing/>
              <w:jc w:val="center"/>
              <w:rPr>
                <w:rFonts w:ascii="宋体" w:hAnsi="宋体" w:cs="宋体"/>
                <w:b/>
                <w:bCs/>
                <w:color w:val="auto"/>
                <w:szCs w:val="21"/>
                <w:highlight w:val="none"/>
              </w:rPr>
            </w:pPr>
            <w:r>
              <w:rPr>
                <w:rFonts w:ascii="宋体" w:hAnsi="宋体" w:cs="宋体"/>
                <w:b/>
                <w:bCs/>
                <w:color w:val="auto"/>
                <w:szCs w:val="21"/>
                <w:highlight w:val="none"/>
              </w:rPr>
              <w:t>2</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6A1B07D3">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0867186B">
            <w:pPr>
              <w:spacing w:line="360" w:lineRule="auto"/>
              <w:ind w:firstLine="480"/>
              <w:contextualSpacing/>
              <w:rPr>
                <w:rFonts w:ascii="宋体" w:hAnsi="宋体" w:cs="宋体"/>
                <w:bCs/>
                <w:color w:val="auto"/>
                <w:szCs w:val="21"/>
                <w:highlight w:val="none"/>
              </w:rPr>
            </w:pPr>
            <w:r>
              <w:rPr>
                <w:rFonts w:ascii="宋体" w:hAnsi="宋体" w:cs="宋体"/>
                <w:bCs/>
                <w:color w:val="auto"/>
                <w:szCs w:val="21"/>
                <w:highlight w:val="none"/>
              </w:rPr>
              <w:t>P～P</w:t>
            </w:r>
          </w:p>
        </w:tc>
      </w:tr>
      <w:tr w14:paraId="0A88220A">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517CC479">
            <w:pPr>
              <w:spacing w:line="360" w:lineRule="auto"/>
              <w:contextualSpacing/>
              <w:jc w:val="center"/>
              <w:rPr>
                <w:rFonts w:ascii="宋体" w:hAnsi="宋体" w:cs="宋体"/>
                <w:b/>
                <w:bCs/>
                <w:color w:val="auto"/>
                <w:szCs w:val="21"/>
                <w:highlight w:val="none"/>
              </w:rPr>
            </w:pPr>
            <w:r>
              <w:rPr>
                <w:rFonts w:ascii="宋体" w:hAnsi="宋体" w:cs="宋体"/>
                <w:b/>
                <w:bCs/>
                <w:color w:val="auto"/>
                <w:szCs w:val="21"/>
                <w:highlight w:val="none"/>
              </w:rPr>
              <w:t>3</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6B708890">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7B462DD4">
            <w:pPr>
              <w:spacing w:line="360" w:lineRule="auto"/>
              <w:ind w:firstLine="480"/>
              <w:contextualSpacing/>
              <w:rPr>
                <w:rFonts w:ascii="宋体" w:hAnsi="宋体" w:cs="宋体"/>
                <w:bCs/>
                <w:color w:val="auto"/>
                <w:szCs w:val="21"/>
                <w:highlight w:val="none"/>
              </w:rPr>
            </w:pPr>
            <w:r>
              <w:rPr>
                <w:rFonts w:ascii="宋体" w:hAnsi="宋体" w:cs="宋体"/>
                <w:bCs/>
                <w:color w:val="auto"/>
                <w:szCs w:val="21"/>
                <w:highlight w:val="none"/>
              </w:rPr>
              <w:t>P～P</w:t>
            </w:r>
          </w:p>
        </w:tc>
      </w:tr>
      <w:tr w14:paraId="502E6678">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42671824">
            <w:pPr>
              <w:spacing w:line="360" w:lineRule="auto"/>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47745D1F">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4C08ECC9">
            <w:pPr>
              <w:spacing w:line="360" w:lineRule="auto"/>
              <w:ind w:firstLine="480"/>
              <w:contextualSpacing/>
              <w:rPr>
                <w:rFonts w:ascii="宋体" w:hAnsi="宋体" w:cs="宋体"/>
                <w:bCs/>
                <w:color w:val="auto"/>
                <w:szCs w:val="21"/>
                <w:highlight w:val="none"/>
              </w:rPr>
            </w:pPr>
            <w:r>
              <w:rPr>
                <w:rFonts w:ascii="宋体" w:hAnsi="宋体" w:cs="宋体"/>
                <w:bCs/>
                <w:color w:val="auto"/>
                <w:szCs w:val="21"/>
                <w:highlight w:val="none"/>
              </w:rPr>
              <w:t>P～P</w:t>
            </w:r>
          </w:p>
        </w:tc>
      </w:tr>
      <w:tr w14:paraId="38EEC4B4">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540E66FA">
            <w:pPr>
              <w:spacing w:line="360" w:lineRule="auto"/>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4476BE9A">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2B84AD7A">
            <w:pPr>
              <w:spacing w:line="360" w:lineRule="auto"/>
              <w:ind w:firstLine="480"/>
              <w:contextualSpacing/>
              <w:rPr>
                <w:rFonts w:ascii="宋体" w:hAnsi="宋体" w:cs="宋体"/>
                <w:bCs/>
                <w:color w:val="auto"/>
                <w:szCs w:val="21"/>
                <w:highlight w:val="none"/>
              </w:rPr>
            </w:pPr>
            <w:r>
              <w:rPr>
                <w:rFonts w:ascii="宋体" w:hAnsi="宋体" w:cs="宋体"/>
                <w:bCs/>
                <w:color w:val="auto"/>
                <w:szCs w:val="21"/>
                <w:highlight w:val="none"/>
              </w:rPr>
              <w:t>P～P</w:t>
            </w:r>
          </w:p>
        </w:tc>
      </w:tr>
      <w:tr w14:paraId="3677679F">
        <w:tblPrEx>
          <w:tblCellMar>
            <w:top w:w="0" w:type="dxa"/>
            <w:left w:w="108" w:type="dxa"/>
            <w:bottom w:w="0" w:type="dxa"/>
            <w:right w:w="108" w:type="dxa"/>
          </w:tblCellMar>
        </w:tblPrEx>
        <w:trPr>
          <w:cantSplit/>
          <w:trHeight w:val="510" w:hRule="atLeast"/>
          <w:jc w:val="center"/>
        </w:trPr>
        <w:tc>
          <w:tcPr>
            <w:tcW w:w="828" w:type="dxa"/>
            <w:tcBorders>
              <w:top w:val="single" w:color="000000" w:sz="4" w:space="0"/>
              <w:left w:val="single" w:color="000000" w:sz="4" w:space="0"/>
              <w:bottom w:val="single" w:color="000000" w:sz="4" w:space="0"/>
              <w:right w:val="single" w:color="000000" w:sz="4" w:space="0"/>
            </w:tcBorders>
            <w:noWrap w:val="0"/>
            <w:vAlign w:val="center"/>
          </w:tcPr>
          <w:p w14:paraId="538F4F6E">
            <w:pPr>
              <w:spacing w:line="360" w:lineRule="auto"/>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6066" w:type="dxa"/>
            <w:tcBorders>
              <w:top w:val="single" w:color="000000" w:sz="4" w:space="0"/>
              <w:left w:val="single" w:color="000000" w:sz="4" w:space="0"/>
              <w:bottom w:val="single" w:color="000000" w:sz="4" w:space="0"/>
              <w:right w:val="single" w:color="000000" w:sz="4" w:space="0"/>
            </w:tcBorders>
            <w:noWrap w:val="0"/>
            <w:vAlign w:val="center"/>
          </w:tcPr>
          <w:p w14:paraId="7EAEC07A">
            <w:pPr>
              <w:spacing w:line="360" w:lineRule="auto"/>
              <w:ind w:firstLine="480"/>
              <w:contextualSpacing/>
              <w:jc w:val="center"/>
              <w:rPr>
                <w:rFonts w:ascii="宋体" w:hAnsi="宋体" w:cs="宋体"/>
                <w:bCs/>
                <w:color w:val="auto"/>
                <w:szCs w:val="21"/>
                <w:highlight w:val="none"/>
              </w:rPr>
            </w:pPr>
            <w:r>
              <w:rPr>
                <w:rFonts w:ascii="宋体" w:hAnsi="宋体" w:cs="宋体"/>
                <w:bCs/>
                <w:color w:val="auto"/>
                <w:szCs w:val="21"/>
                <w:highlight w:val="none"/>
              </w:rPr>
              <w:t>………</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150480BC">
            <w:pPr>
              <w:spacing w:line="360" w:lineRule="auto"/>
              <w:ind w:firstLine="480"/>
              <w:contextualSpacing/>
              <w:rPr>
                <w:rFonts w:ascii="宋体" w:hAnsi="宋体" w:cs="宋体"/>
                <w:bCs/>
                <w:color w:val="auto"/>
                <w:szCs w:val="21"/>
                <w:highlight w:val="none"/>
              </w:rPr>
            </w:pPr>
            <w:r>
              <w:rPr>
                <w:rFonts w:ascii="宋体" w:hAnsi="宋体" w:cs="宋体"/>
                <w:bCs/>
                <w:color w:val="auto"/>
                <w:szCs w:val="21"/>
                <w:highlight w:val="none"/>
              </w:rPr>
              <w:t>P～P</w:t>
            </w:r>
          </w:p>
        </w:tc>
      </w:tr>
    </w:tbl>
    <w:p w14:paraId="2F73D37F">
      <w:pPr>
        <w:tabs>
          <w:tab w:val="left" w:pos="1269"/>
        </w:tabs>
        <w:spacing w:line="360" w:lineRule="auto"/>
        <w:ind w:firstLine="420"/>
        <w:contextualSpacing/>
        <w:rPr>
          <w:rFonts w:ascii="宋体" w:hAnsi="宋体" w:cs="宋体"/>
          <w:color w:val="auto"/>
          <w:szCs w:val="21"/>
          <w:highlight w:val="none"/>
        </w:rPr>
      </w:pPr>
    </w:p>
    <w:p w14:paraId="2CB8EEC5">
      <w:pPr>
        <w:tabs>
          <w:tab w:val="left" w:pos="1269"/>
        </w:tabs>
        <w:spacing w:line="360" w:lineRule="auto"/>
        <w:ind w:firstLine="210"/>
        <w:contextualSpacing/>
        <w:rPr>
          <w:rFonts w:ascii="宋体" w:hAnsi="宋体" w:cs="宋体"/>
          <w:bCs/>
          <w:color w:val="auto"/>
          <w:szCs w:val="21"/>
          <w:highlight w:val="none"/>
        </w:rPr>
      </w:pPr>
      <w:r>
        <w:rPr>
          <w:rFonts w:ascii="宋体" w:hAnsi="宋体" w:cs="宋体"/>
          <w:bCs/>
          <w:color w:val="auto"/>
          <w:szCs w:val="21"/>
          <w:highlight w:val="none"/>
        </w:rPr>
        <w:t>注：1</w:t>
      </w:r>
      <w:r>
        <w:rPr>
          <w:rFonts w:ascii="宋体" w:hAnsi="宋体" w:cs="宋体"/>
          <w:b/>
          <w:color w:val="auto"/>
          <w:szCs w:val="21"/>
          <w:highlight w:val="none"/>
        </w:rPr>
        <w:t>.</w:t>
      </w:r>
      <w:r>
        <w:rPr>
          <w:rFonts w:ascii="宋体" w:hAnsi="宋体" w:cs="宋体"/>
          <w:bCs/>
          <w:color w:val="auto"/>
          <w:szCs w:val="21"/>
          <w:highlight w:val="none"/>
        </w:rPr>
        <w:t>中标人应对提交的纸质投标文件逐页标注页码。</w:t>
      </w:r>
    </w:p>
    <w:p w14:paraId="6A2227A0">
      <w:pPr>
        <w:tabs>
          <w:tab w:val="left" w:pos="1269"/>
        </w:tabs>
        <w:spacing w:line="360" w:lineRule="auto"/>
        <w:ind w:firstLine="630"/>
        <w:contextualSpacing/>
        <w:rPr>
          <w:rFonts w:ascii="宋体" w:hAnsi="宋体" w:cs="宋体"/>
          <w:bCs/>
          <w:color w:val="auto"/>
          <w:szCs w:val="21"/>
          <w:highlight w:val="none"/>
        </w:rPr>
      </w:pPr>
      <w:r>
        <w:rPr>
          <w:rFonts w:ascii="宋体" w:hAnsi="宋体" w:cs="宋体"/>
          <w:bCs/>
          <w:color w:val="auto"/>
          <w:szCs w:val="21"/>
          <w:highlight w:val="none"/>
        </w:rPr>
        <w:t>2</w:t>
      </w:r>
      <w:r>
        <w:rPr>
          <w:rFonts w:ascii="宋体" w:hAnsi="宋体" w:cs="宋体"/>
          <w:b/>
          <w:color w:val="auto"/>
          <w:szCs w:val="21"/>
          <w:highlight w:val="none"/>
        </w:rPr>
        <w:t>.</w:t>
      </w:r>
      <w:r>
        <w:rPr>
          <w:rFonts w:ascii="宋体" w:hAnsi="宋体" w:cs="宋体"/>
          <w:bCs/>
          <w:color w:val="auto"/>
          <w:szCs w:val="21"/>
          <w:highlight w:val="none"/>
        </w:rPr>
        <w:t>评标要素索引表的位置应布置在纸质投标文件前面（顺序：投标文件封面后、投标文件目录前）。</w:t>
      </w:r>
    </w:p>
    <w:p w14:paraId="3B72D2C1">
      <w:pPr>
        <w:tabs>
          <w:tab w:val="left" w:pos="1269"/>
        </w:tabs>
        <w:spacing w:line="360" w:lineRule="auto"/>
        <w:ind w:firstLine="630"/>
        <w:contextualSpacing/>
        <w:rPr>
          <w:rFonts w:ascii="宋体" w:hAnsi="宋体" w:cs="宋体"/>
          <w:bCs/>
          <w:color w:val="auto"/>
          <w:szCs w:val="21"/>
          <w:highlight w:val="none"/>
        </w:rPr>
      </w:pPr>
      <w:r>
        <w:rPr>
          <w:rFonts w:ascii="宋体" w:hAnsi="宋体" w:cs="宋体"/>
          <w:bCs/>
          <w:color w:val="auto"/>
          <w:szCs w:val="21"/>
          <w:highlight w:val="none"/>
        </w:rPr>
        <w:t>3.中标人应按上表的格式，</w:t>
      </w:r>
      <w:r>
        <w:rPr>
          <w:rFonts w:ascii="宋体" w:hAnsi="宋体" w:cs="宋体"/>
          <w:b/>
          <w:bCs w:val="0"/>
          <w:color w:val="auto"/>
          <w:szCs w:val="21"/>
          <w:highlight w:val="none"/>
        </w:rPr>
        <w:t>对照招标文件中评标办法的评审内容</w:t>
      </w:r>
      <w:r>
        <w:rPr>
          <w:rFonts w:ascii="宋体" w:hAnsi="宋体" w:cs="宋体"/>
          <w:bCs/>
          <w:color w:val="auto"/>
          <w:szCs w:val="21"/>
          <w:highlight w:val="none"/>
        </w:rPr>
        <w:t>，建立起投标文件相关评审内容与页码之间的索引。</w:t>
      </w:r>
    </w:p>
    <w:p w14:paraId="701C6B29">
      <w:pPr>
        <w:tabs>
          <w:tab w:val="left" w:pos="1269"/>
        </w:tabs>
        <w:spacing w:line="360" w:lineRule="auto"/>
        <w:ind w:firstLine="630"/>
        <w:contextualSpacing/>
        <w:rPr>
          <w:rFonts w:ascii="宋体" w:hAnsi="宋体" w:cs="宋体"/>
          <w:b/>
          <w:bCs w:val="0"/>
          <w:color w:val="auto"/>
          <w:szCs w:val="21"/>
          <w:highlight w:val="none"/>
        </w:rPr>
      </w:pPr>
      <w:r>
        <w:rPr>
          <w:rFonts w:ascii="宋体" w:hAnsi="宋体" w:cs="宋体"/>
          <w:b/>
          <w:bCs w:val="0"/>
          <w:color w:val="auto"/>
          <w:szCs w:val="21"/>
          <w:highlight w:val="none"/>
        </w:rPr>
        <w:t>4.纸质投标文件应当与投标文件电子标书一致。</w:t>
      </w:r>
    </w:p>
    <w:p w14:paraId="122FA00F">
      <w:pPr>
        <w:tabs>
          <w:tab w:val="left" w:pos="1269"/>
        </w:tabs>
        <w:spacing w:line="360" w:lineRule="auto"/>
        <w:ind w:firstLine="630"/>
        <w:contextualSpacing/>
        <w:rPr>
          <w:rFonts w:ascii="宋体" w:hAnsi="宋体" w:cs="宋体"/>
          <w:b/>
          <w:bCs w:val="0"/>
          <w:color w:val="auto"/>
          <w:szCs w:val="21"/>
          <w:highlight w:val="none"/>
        </w:rPr>
      </w:pPr>
      <w:r>
        <w:rPr>
          <w:rFonts w:ascii="宋体" w:hAnsi="宋体" w:cs="宋体"/>
          <w:b/>
          <w:bCs w:val="0"/>
          <w:color w:val="auto"/>
          <w:szCs w:val="21"/>
          <w:highlight w:val="none"/>
        </w:rPr>
        <w:t>5.中标单位在中标结果公告后、领取中标通知书前必须提供与投标文件电子标书一致的纸质投标文件加盖投标人单位公章并装订成册（共</w:t>
      </w:r>
      <w:r>
        <w:rPr>
          <w:rFonts w:hint="eastAsia" w:ascii="宋体" w:hAnsi="宋体" w:cs="宋体"/>
          <w:b/>
          <w:bCs w:val="0"/>
          <w:color w:val="auto"/>
          <w:szCs w:val="21"/>
          <w:highlight w:val="none"/>
          <w:lang w:val="en-US" w:eastAsia="zh-CN"/>
        </w:rPr>
        <w:t>三</w:t>
      </w:r>
      <w:r>
        <w:rPr>
          <w:rFonts w:ascii="宋体" w:hAnsi="宋体" w:cs="宋体"/>
          <w:b/>
          <w:bCs w:val="0"/>
          <w:color w:val="auto"/>
          <w:szCs w:val="21"/>
          <w:highlight w:val="none"/>
        </w:rPr>
        <w:t>套：正本一套、副本</w:t>
      </w:r>
      <w:r>
        <w:rPr>
          <w:rFonts w:hint="eastAsia" w:ascii="宋体" w:hAnsi="宋体" w:cs="宋体"/>
          <w:b/>
          <w:bCs w:val="0"/>
          <w:color w:val="auto"/>
          <w:szCs w:val="21"/>
          <w:highlight w:val="none"/>
          <w:lang w:val="en-US" w:eastAsia="zh-CN"/>
        </w:rPr>
        <w:t>二</w:t>
      </w:r>
      <w:r>
        <w:rPr>
          <w:rFonts w:ascii="宋体" w:hAnsi="宋体" w:cs="宋体"/>
          <w:b/>
          <w:bCs w:val="0"/>
          <w:color w:val="auto"/>
          <w:szCs w:val="21"/>
          <w:highlight w:val="none"/>
        </w:rPr>
        <w:t>套）以供</w:t>
      </w:r>
      <w:r>
        <w:rPr>
          <w:rFonts w:hint="eastAsia" w:ascii="宋体" w:hAnsi="宋体" w:cs="宋体"/>
          <w:b/>
          <w:bCs w:val="0"/>
          <w:color w:val="auto"/>
          <w:szCs w:val="21"/>
          <w:highlight w:val="none"/>
          <w:lang w:eastAsia="zh-CN"/>
        </w:rPr>
        <w:t>采购人</w:t>
      </w:r>
      <w:r>
        <w:rPr>
          <w:rFonts w:ascii="宋体" w:hAnsi="宋体" w:cs="宋体"/>
          <w:b/>
          <w:bCs w:val="0"/>
          <w:color w:val="auto"/>
          <w:szCs w:val="21"/>
          <w:highlight w:val="none"/>
        </w:rPr>
        <w:t>、</w:t>
      </w:r>
      <w:r>
        <w:rPr>
          <w:rFonts w:hint="eastAsia" w:ascii="宋体" w:hAnsi="宋体" w:cs="宋体"/>
          <w:b/>
          <w:bCs w:val="0"/>
          <w:color w:val="auto"/>
          <w:szCs w:val="21"/>
          <w:highlight w:val="none"/>
          <w:lang w:eastAsia="zh-CN"/>
        </w:rPr>
        <w:t>采购代理</w:t>
      </w:r>
      <w:r>
        <w:rPr>
          <w:rFonts w:ascii="宋体" w:hAnsi="宋体" w:cs="宋体"/>
          <w:b/>
          <w:bCs w:val="0"/>
          <w:color w:val="auto"/>
          <w:szCs w:val="21"/>
          <w:highlight w:val="none"/>
        </w:rPr>
        <w:t>机构存档。</w:t>
      </w:r>
    </w:p>
    <w:p w14:paraId="3A03AD8F">
      <w:pPr>
        <w:pStyle w:val="117"/>
        <w:contextualSpacing/>
        <w:rPr>
          <w:rFonts w:cs="宋体"/>
          <w:color w:val="auto"/>
          <w:szCs w:val="24"/>
          <w:highlight w:val="none"/>
        </w:rPr>
      </w:pPr>
    </w:p>
    <w:p w14:paraId="31BBFE89">
      <w:pPr>
        <w:jc w:val="center"/>
        <w:rPr>
          <w:rFonts w:ascii="宋体" w:hAnsi="宋体" w:cs="宋体"/>
          <w:color w:val="auto"/>
          <w:sz w:val="36"/>
          <w:szCs w:val="36"/>
          <w:highlight w:val="none"/>
        </w:rPr>
      </w:pPr>
      <w:bookmarkStart w:id="36" w:name="_Toc1820781191"/>
      <w:bookmarkEnd w:id="36"/>
    </w:p>
    <w:p w14:paraId="25F09699">
      <w:pPr>
        <w:jc w:val="center"/>
        <w:rPr>
          <w:rFonts w:ascii="宋体" w:hAnsi="宋体" w:cs="宋体"/>
          <w:color w:val="auto"/>
          <w:sz w:val="36"/>
          <w:szCs w:val="36"/>
          <w:highlight w:val="none"/>
        </w:rPr>
      </w:pPr>
    </w:p>
    <w:p w14:paraId="1CC78FB7">
      <w:pPr>
        <w:pStyle w:val="2"/>
        <w:rPr>
          <w:rFonts w:ascii="宋体" w:hAnsi="宋体" w:cs="宋体"/>
          <w:color w:val="auto"/>
          <w:sz w:val="42"/>
          <w:szCs w:val="24"/>
          <w:highlight w:val="none"/>
        </w:rPr>
      </w:pPr>
      <w:r>
        <w:rPr>
          <w:rFonts w:ascii="宋体" w:hAnsi="宋体" w:cs="宋体"/>
          <w:color w:val="auto"/>
          <w:sz w:val="42"/>
          <w:szCs w:val="24"/>
          <w:highlight w:val="none"/>
        </w:rPr>
        <w:t>第六章  合同条款及格式</w:t>
      </w:r>
    </w:p>
    <w:p w14:paraId="2CD7E089">
      <w:pPr>
        <w:jc w:val="center"/>
        <w:rPr>
          <w:rFonts w:ascii="宋体" w:hAnsi="宋体" w:cs="宋体"/>
          <w:color w:val="auto"/>
          <w:sz w:val="36"/>
          <w:szCs w:val="36"/>
          <w:highlight w:val="none"/>
        </w:rPr>
      </w:pPr>
    </w:p>
    <w:p w14:paraId="636AB433">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5A079F2">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（以下简称甲方） 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（以下简称乙方）</w:t>
      </w:r>
    </w:p>
    <w:p w14:paraId="4197CB68">
      <w:pPr>
        <w:keepNext w:val="0"/>
        <w:keepLines w:val="0"/>
        <w:pageBreakBefore w:val="0"/>
        <w:widowControl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住所地：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住所地：</w:t>
      </w:r>
      <w:r>
        <w:rPr>
          <w:rFonts w:hint="eastAsia" w:ascii="宋体" w:hAnsi="宋体" w:eastAsia="宋体" w:cs="宋体"/>
          <w:color w:val="auto"/>
          <w:sz w:val="24"/>
          <w:szCs w:val="24"/>
          <w:highlight w:val="none"/>
          <w:u w:val="single"/>
        </w:rPr>
        <w:t xml:space="preserve">                      </w:t>
      </w:r>
    </w:p>
    <w:p w14:paraId="39F7D0D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FFFFFF"/>
        </w:rPr>
        <w:t>中华人民共和国民法典</w:t>
      </w:r>
      <w:r>
        <w:rPr>
          <w:rFonts w:hint="eastAsia" w:ascii="宋体" w:hAnsi="宋体" w:eastAsia="宋体" w:cs="宋体"/>
          <w:color w:val="auto"/>
          <w:sz w:val="24"/>
          <w:szCs w:val="24"/>
          <w:highlight w:val="none"/>
        </w:rPr>
        <w:t>》等法律法规的规定，甲乙双方按照江苏省政府采购网的招标结果签订本合同。</w:t>
      </w:r>
    </w:p>
    <w:p w14:paraId="2BB0D80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合同标的乙方根据甲方需求提供</w:t>
      </w:r>
      <w:r>
        <w:rPr>
          <w:rFonts w:hint="eastAsia" w:ascii="宋体" w:hAnsi="宋体" w:eastAsia="宋体" w:cs="宋体"/>
          <w:color w:val="auto"/>
          <w:sz w:val="24"/>
          <w:szCs w:val="24"/>
          <w:highlight w:val="none"/>
          <w:lang w:val="en-US" w:eastAsia="zh-CN"/>
        </w:rPr>
        <w:t>采购文件要求的货物。</w:t>
      </w:r>
    </w:p>
    <w:p w14:paraId="302682C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合同总价款 本合同项下服务（或货物）总价款为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（大写）人民币，分项价款在“投标报价表”中有明确规定。</w:t>
      </w:r>
    </w:p>
    <w:p w14:paraId="36C9369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1.本合同总价款包含完成本货物采购项目发生的所有含税费用、支付给员工的工资和国家强制缴纳的各种社会保障资金，以及供应商认为需要的其他费用等。</w:t>
      </w:r>
    </w:p>
    <w:p w14:paraId="5AD0722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2.本合同执行固定</w:t>
      </w:r>
      <w:r>
        <w:rPr>
          <w:rFonts w:hint="eastAsia" w:ascii="宋体" w:hAnsi="宋体" w:eastAsia="宋体" w:cs="宋体"/>
          <w:color w:val="auto"/>
          <w:sz w:val="24"/>
          <w:szCs w:val="24"/>
          <w:highlight w:val="none"/>
          <w:lang w:val="en-US" w:eastAsia="zh-CN"/>
        </w:rPr>
        <w:t>单价</w:t>
      </w:r>
      <w:r>
        <w:rPr>
          <w:rFonts w:hint="eastAsia" w:ascii="宋体" w:hAnsi="宋体" w:eastAsia="宋体" w:cs="宋体"/>
          <w:color w:val="auto"/>
          <w:sz w:val="24"/>
          <w:szCs w:val="24"/>
          <w:highlight w:val="none"/>
        </w:rPr>
        <w:t>合同。</w:t>
      </w:r>
    </w:p>
    <w:p w14:paraId="0C0CE77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3.分项报价：</w:t>
      </w:r>
    </w:p>
    <w:tbl>
      <w:tblPr>
        <w:tblStyle w:val="47"/>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8"/>
        <w:gridCol w:w="1701"/>
        <w:gridCol w:w="1276"/>
        <w:gridCol w:w="1134"/>
        <w:gridCol w:w="952"/>
        <w:gridCol w:w="948"/>
        <w:gridCol w:w="1116"/>
        <w:gridCol w:w="1125"/>
      </w:tblGrid>
      <w:tr w14:paraId="34911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58" w:type="dxa"/>
            <w:noWrap w:val="0"/>
            <w:vAlign w:val="center"/>
          </w:tcPr>
          <w:p w14:paraId="39FB0DE9">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01" w:type="dxa"/>
            <w:noWrap w:val="0"/>
            <w:vAlign w:val="center"/>
          </w:tcPr>
          <w:p w14:paraId="2F8D5F7F">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276" w:type="dxa"/>
            <w:noWrap w:val="0"/>
            <w:vAlign w:val="center"/>
          </w:tcPr>
          <w:p w14:paraId="66376D93">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1134" w:type="dxa"/>
            <w:noWrap w:val="0"/>
            <w:vAlign w:val="center"/>
          </w:tcPr>
          <w:p w14:paraId="2C97CB07">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952" w:type="dxa"/>
            <w:noWrap w:val="0"/>
            <w:vAlign w:val="center"/>
          </w:tcPr>
          <w:p w14:paraId="60E1469F">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948" w:type="dxa"/>
            <w:noWrap w:val="0"/>
            <w:vAlign w:val="center"/>
          </w:tcPr>
          <w:p w14:paraId="11DB8FDD">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116" w:type="dxa"/>
            <w:noWrap w:val="0"/>
            <w:vAlign w:val="center"/>
          </w:tcPr>
          <w:p w14:paraId="66463A4D">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125" w:type="dxa"/>
            <w:noWrap w:val="0"/>
            <w:vAlign w:val="center"/>
          </w:tcPr>
          <w:p w14:paraId="41983D36">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总价(元)</w:t>
            </w:r>
          </w:p>
        </w:tc>
      </w:tr>
      <w:tr w14:paraId="48324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0BF712C5">
            <w:pPr>
              <w:pStyle w:val="345"/>
              <w:keepNext w:val="0"/>
              <w:keepLines w:val="0"/>
              <w:pageBreakBefore w:val="0"/>
              <w:widowControl w:val="0"/>
              <w:pBdr>
                <w:bottom w:val="none" w:color="000000" w:sz="0" w:space="0"/>
              </w:pBdr>
              <w:tabs>
                <w:tab w:val="left" w:pos="420"/>
              </w:tabs>
              <w:spacing w:before="5" w:line="360" w:lineRule="auto"/>
              <w:rPr>
                <w:rFonts w:hint="eastAsia" w:ascii="宋体" w:hAnsi="宋体" w:eastAsia="宋体" w:cs="宋体"/>
                <w:color w:val="auto"/>
                <w:sz w:val="24"/>
                <w:szCs w:val="24"/>
                <w:highlight w:val="none"/>
              </w:rPr>
            </w:pPr>
          </w:p>
        </w:tc>
        <w:tc>
          <w:tcPr>
            <w:tcW w:w="1701" w:type="dxa"/>
            <w:noWrap w:val="0"/>
            <w:vAlign w:val="center"/>
          </w:tcPr>
          <w:p w14:paraId="1EAF75D9">
            <w:pPr>
              <w:pStyle w:val="345"/>
              <w:keepNext w:val="0"/>
              <w:keepLines w:val="0"/>
              <w:pageBreakBefore w:val="0"/>
              <w:widowControl w:val="0"/>
              <w:pBdr>
                <w:bottom w:val="none" w:color="000000" w:sz="0" w:space="0"/>
              </w:pBdr>
              <w:tabs>
                <w:tab w:val="left" w:pos="420"/>
              </w:tabs>
              <w:spacing w:line="360" w:lineRule="auto"/>
              <w:jc w:val="both"/>
              <w:rPr>
                <w:rFonts w:hint="eastAsia" w:ascii="宋体" w:hAnsi="宋体" w:eastAsia="宋体" w:cs="宋体"/>
                <w:color w:val="auto"/>
                <w:sz w:val="24"/>
                <w:szCs w:val="24"/>
                <w:highlight w:val="none"/>
              </w:rPr>
            </w:pPr>
          </w:p>
        </w:tc>
        <w:tc>
          <w:tcPr>
            <w:tcW w:w="1276" w:type="dxa"/>
            <w:noWrap w:val="0"/>
            <w:vAlign w:val="center"/>
          </w:tcPr>
          <w:p w14:paraId="524B52F0">
            <w:pPr>
              <w:pStyle w:val="345"/>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4AF8B012">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30C6B254">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3DE08D99">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5B322F06">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6088981B">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28AE1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36094A5B">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672AFD4B">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3AADC81E">
            <w:pPr>
              <w:pStyle w:val="345"/>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699F7DFB">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5D64EB3C">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1049D441">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8F313CA">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590C10C6">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7F45B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4D7CF418">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224BB9F0">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692D778F">
            <w:pPr>
              <w:pStyle w:val="345"/>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7D2B5404">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7FF9EAA1">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41AE1C1F">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2EBCDA0">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56B02013">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2B192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6B1C705D">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674A3878">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074B40E4">
            <w:pPr>
              <w:pStyle w:val="345"/>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438C34F3">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58C70341">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5B02C38D">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6F250BC6">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648480D4">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0D370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52926590">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0F648A58">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0E9EF6D6">
            <w:pPr>
              <w:pStyle w:val="345"/>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4DC39DC4">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1986467E">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6760189D">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4320E86F">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7C8234D7">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74120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2AB644A4">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724124D7">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3396BFE7">
            <w:pPr>
              <w:pStyle w:val="345"/>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0C70BEFD">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0E6E33DB">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1A164995">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4422D7CF">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2B099BA2">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53DEE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327F2DAB">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64BAE04C">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15A7E583">
            <w:pPr>
              <w:pStyle w:val="345"/>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35EDF630">
            <w:pPr>
              <w:pStyle w:val="345"/>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952" w:type="dxa"/>
            <w:noWrap w:val="0"/>
            <w:vAlign w:val="center"/>
          </w:tcPr>
          <w:p w14:paraId="46E4C76A">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20D389AF">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76F16D67">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4F51CE7B">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bl>
    <w:p w14:paraId="505B45E1">
      <w:pPr>
        <w:keepNext w:val="0"/>
        <w:keepLines w:val="0"/>
        <w:pageBreakBefore w:val="0"/>
        <w:widowControl w:val="0"/>
        <w:spacing w:line="240" w:lineRule="auto"/>
        <w:ind w:firstLine="420"/>
        <w:rPr>
          <w:rFonts w:hint="eastAsia" w:ascii="宋体" w:hAnsi="宋体" w:eastAsia="宋体" w:cs="宋体"/>
          <w:color w:val="auto"/>
          <w:sz w:val="24"/>
          <w:szCs w:val="24"/>
          <w:highlight w:val="none"/>
        </w:rPr>
      </w:pPr>
    </w:p>
    <w:p w14:paraId="4291CD1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组成本合同的有关文件</w:t>
      </w:r>
    </w:p>
    <w:p w14:paraId="773421B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下列关于江苏省政府采购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的采购文件、响应文件或与本次采购活动方式相适应的文件及有关附件是本合同不可分割的组成部分，与本合同具有同等法律效力，这些文件包括但不限于：</w:t>
      </w:r>
    </w:p>
    <w:p w14:paraId="6D5B832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（1）乙方提供的投标文件和投标报价表；</w:t>
      </w:r>
    </w:p>
    <w:p w14:paraId="78CFF18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（2）技术规格响应表；</w:t>
      </w:r>
    </w:p>
    <w:p w14:paraId="31445FF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（3）投标承诺/服务承诺；</w:t>
      </w:r>
    </w:p>
    <w:p w14:paraId="4EF38A0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（4）成交通知书；</w:t>
      </w:r>
    </w:p>
    <w:p w14:paraId="6C534FC3">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采购文件；</w:t>
      </w:r>
    </w:p>
    <w:p w14:paraId="4F02EDB1">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）甲乙双方商定的其他文件等。</w:t>
      </w:r>
    </w:p>
    <w:p w14:paraId="70E2047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履行合同期限、地点、风险转移</w:t>
      </w:r>
    </w:p>
    <w:p w14:paraId="1B30BCC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1.履行合同期限：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900F0D2">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2.履行合同地点：</w:t>
      </w:r>
      <w:r>
        <w:rPr>
          <w:rFonts w:hint="eastAsia" w:ascii="宋体" w:hAnsi="宋体" w:eastAsia="宋体" w:cs="宋体"/>
          <w:color w:val="auto"/>
          <w:sz w:val="24"/>
          <w:szCs w:val="24"/>
          <w:highlight w:val="none"/>
          <w:lang w:val="en-US" w:eastAsia="zh-CN"/>
        </w:rPr>
        <w:t>采购人指定地点</w:t>
      </w:r>
    </w:p>
    <w:p w14:paraId="7DBF3A4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3.本合同项下产品的运输及保险全部由乙方负责。乙方须采取适于安全、准时完成本合同项下义务的运输措施，将货物运至甲方指定的到货地点。运输中发生的费用，以及意外均与甲方无关。</w:t>
      </w:r>
    </w:p>
    <w:p w14:paraId="36565C7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承运人指定：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乙方；运费承担：□甲方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乙方；保费承担：□甲方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w:t>
      </w:r>
    </w:p>
    <w:p w14:paraId="7044803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权利保证</w:t>
      </w:r>
    </w:p>
    <w:p w14:paraId="23896C9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乙方应保证向甲方提供的货物或服务不受第三方提出侵犯其专利权、版权、商标权或其他权利的起诉。一旦出现侵权，乙方应承担全部责任。</w:t>
      </w:r>
    </w:p>
    <w:p w14:paraId="23F0F03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质量保证</w:t>
      </w:r>
    </w:p>
    <w:p w14:paraId="1F1C6958">
      <w:pPr>
        <w:pStyle w:val="346"/>
        <w:keepNext w:val="0"/>
        <w:keepLines w:val="0"/>
        <w:pageBreakBefore w:val="0"/>
        <w:widowControl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1.乙方提供的货物或服务质量应当符合采购文件的约定，以及乙方的承诺。</w:t>
      </w:r>
    </w:p>
    <w:p w14:paraId="24F170B4">
      <w:pPr>
        <w:pStyle w:val="346"/>
        <w:keepNext w:val="0"/>
        <w:keepLines w:val="0"/>
        <w:pageBreakBefore w:val="0"/>
        <w:widowControl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w:t>
      </w:r>
    </w:p>
    <w:p w14:paraId="63A0564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3.除特别说明外，质量保证期为自验收合格后，在此期间，乙方提供免费服务。</w:t>
      </w:r>
    </w:p>
    <w:p w14:paraId="36D42E9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第七条 验收</w:t>
      </w:r>
    </w:p>
    <w:p w14:paraId="1D16E93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w:t>
      </w:r>
    </w:p>
    <w:p w14:paraId="6FADB0F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2.甲方可以邀请参加本项目的其他供应商或第三方专业机构及专家参与验收。</w:t>
      </w:r>
    </w:p>
    <w:p w14:paraId="45BCFDE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条 合同款支付</w:t>
      </w:r>
    </w:p>
    <w:p w14:paraId="515AF3F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本合同项下所有款项均以人民币支付。</w:t>
      </w:r>
    </w:p>
    <w:p w14:paraId="2C7E1E81">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本合同项下的采购资金由甲方自行支付，乙方向甲方开具发票。</w:t>
      </w:r>
    </w:p>
    <w:p w14:paraId="2F97E7C5">
      <w:pPr>
        <w:keepNext w:val="0"/>
        <w:keepLines w:val="0"/>
        <w:pageBreakBefore w:val="0"/>
        <w:widowControl w:val="0"/>
        <w:spacing w:line="360" w:lineRule="auto"/>
        <w:ind w:firstLine="420"/>
        <w:rPr>
          <w:rFonts w:hint="default" w:ascii="宋体" w:hAnsi="宋体" w:eastAsia="宋体" w:cs="宋体"/>
          <w:color w:val="auto"/>
          <w:sz w:val="36"/>
          <w:szCs w:val="36"/>
          <w:highlight w:val="none"/>
          <w:lang w:val="en-US" w:eastAsia="zh-CN"/>
        </w:rPr>
      </w:pPr>
      <w:r>
        <w:rPr>
          <w:rFonts w:hint="eastAsia" w:ascii="宋体" w:hAnsi="宋体" w:eastAsia="宋体" w:cs="宋体"/>
          <w:color w:val="auto"/>
          <w:sz w:val="24"/>
          <w:szCs w:val="24"/>
          <w:highlight w:val="none"/>
        </w:rPr>
        <w:t>3. 付款方式：</w:t>
      </w:r>
      <w:r>
        <w:rPr>
          <w:rFonts w:hint="eastAsia" w:ascii="宋体" w:hAnsi="宋体" w:cs="宋体"/>
          <w:color w:val="auto"/>
          <w:sz w:val="24"/>
          <w:szCs w:val="24"/>
          <w:highlight w:val="none"/>
          <w:u w:val="none"/>
          <w:lang w:val="en-US" w:eastAsia="zh-CN"/>
        </w:rPr>
        <w:t xml:space="preserve">           </w:t>
      </w:r>
    </w:p>
    <w:p w14:paraId="22EC8A8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条 违约责任</w:t>
      </w:r>
    </w:p>
    <w:p w14:paraId="35B45A4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乙方按合同约定的时间和质量标准提供货物或服务，而甲方无正当理由逾期支付服务（或货物）费用的，每逾期1天甲方向乙方偿付欠款总额的5‰滞纳金，但累计滞纳金总额不超过欠款总额的5%。</w:t>
      </w:r>
    </w:p>
    <w:p w14:paraId="2F469A1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乙方未按合同约定的时间和质量标准提供货物或服务，但未给甲方造成损失的，甲方可要求乙方整改，乙方在双方协定期限内达到甲方或第三方评估机构认定的质量标准后，甲方应支付相应的服务（或货物）费用；否则，甲方有权解除本合同。</w:t>
      </w:r>
    </w:p>
    <w:p w14:paraId="6A0F47B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乙方未按合同约定的时间和质量标准提供货物或服务，给甲方造成损失的，甲方可要求乙方按实赔偿；因乙方货物或服务质量问题导致甲方无法实现合同目的的，甲方有权解除合同。</w:t>
      </w:r>
    </w:p>
    <w:p w14:paraId="7428BD4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其他违约责任约定</w:t>
      </w:r>
    </w:p>
    <w:p w14:paraId="41168A4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第十条 合同的变更和终止</w:t>
      </w:r>
    </w:p>
    <w:p w14:paraId="132167D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除《中华人民共和国政府采购法》第</w:t>
      </w:r>
      <w:r>
        <w:rPr>
          <w:rFonts w:hint="eastAsia" w:ascii="宋体" w:hAnsi="宋体" w:eastAsia="宋体" w:cs="宋体"/>
          <w:color w:val="auto"/>
          <w:sz w:val="24"/>
          <w:szCs w:val="24"/>
          <w:highlight w:val="none"/>
          <w:lang w:val="en-US" w:eastAsia="zh-CN"/>
        </w:rPr>
        <w:t>五十</w:t>
      </w:r>
      <w:r>
        <w:rPr>
          <w:rFonts w:hint="eastAsia" w:ascii="宋体" w:hAnsi="宋体" w:eastAsia="宋体" w:cs="宋体"/>
          <w:color w:val="auto"/>
          <w:sz w:val="24"/>
          <w:szCs w:val="24"/>
          <w:highlight w:val="none"/>
        </w:rPr>
        <w:t>条第二款规定的情形外，本合同一经签订，甲乙双方不得擅自变更、中止或终止合同。</w:t>
      </w:r>
    </w:p>
    <w:p w14:paraId="6E30975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除发生法律规定的不能预见、不能避免并不能克服的客观情况外，甲乙双方不得放弃或拒绝履行合同。乙方放弃或拒绝履行合同，保证金不予退还。</w:t>
      </w:r>
    </w:p>
    <w:p w14:paraId="233A833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条 合同的转让</w:t>
      </w:r>
    </w:p>
    <w:p w14:paraId="781737D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7E77E8A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条 争议的解决</w:t>
      </w:r>
    </w:p>
    <w:p w14:paraId="4459383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1.因履行本合同引起的或与本合同有关的争议，甲、乙双方应首先通过友好协商解决，如果协商不能解决争议，则采取以下第（1）种方式解决争议：</w:t>
      </w:r>
    </w:p>
    <w:p w14:paraId="150F6D3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（1）向甲方所在地有管辖权的人民法院提起诉讼；</w:t>
      </w:r>
    </w:p>
    <w:p w14:paraId="4E7FB25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（2）向泰州仲裁委员会按其仲裁规则申请仲裁。</w:t>
      </w:r>
    </w:p>
    <w:p w14:paraId="6942D99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4530BD6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在仲裁期间，本合同应继续履行</w:t>
      </w:r>
    </w:p>
    <w:p w14:paraId="55D5546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条 诚实信用</w:t>
      </w:r>
    </w:p>
    <w:p w14:paraId="7C62133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乙方应诚实信用，严格按照招标（采购）文件要求和投标（响应）承诺履行合同，不向甲方进行商业贿赂或者提供不正当利益。</w:t>
      </w:r>
    </w:p>
    <w:p w14:paraId="7F2488F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条 合同生效及其他</w:t>
      </w:r>
    </w:p>
    <w:p w14:paraId="07B277F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合同经双方法定代表人或授权委托代表人签字并加盖单位公章后生效。</w:t>
      </w:r>
    </w:p>
    <w:p w14:paraId="1544B72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本合同一式四份，甲乙双方各执</w:t>
      </w:r>
      <w:r>
        <w:rPr>
          <w:rFonts w:hint="eastAsia" w:ascii="宋体" w:hAnsi="宋体" w:eastAsia="宋体" w:cs="宋体"/>
          <w:color w:val="auto"/>
          <w:sz w:val="24"/>
          <w:szCs w:val="24"/>
          <w:highlight w:val="none"/>
          <w:lang w:val="en-US" w:eastAsia="zh-CN"/>
        </w:rPr>
        <w:t>两</w:t>
      </w:r>
      <w:r>
        <w:rPr>
          <w:rFonts w:hint="eastAsia" w:ascii="宋体" w:hAnsi="宋体" w:eastAsia="宋体" w:cs="宋体"/>
          <w:color w:val="auto"/>
          <w:sz w:val="24"/>
          <w:szCs w:val="24"/>
          <w:highlight w:val="none"/>
        </w:rPr>
        <w:t xml:space="preserve">份 </w:t>
      </w:r>
    </w:p>
    <w:p w14:paraId="4C821F3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本合同应按照中华人民共和国的现行法律进行解释。</w:t>
      </w:r>
    </w:p>
    <w:p w14:paraId="36EBD7C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p>
    <w:p w14:paraId="1A9456A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p>
    <w:p w14:paraId="7390B0C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p>
    <w:p w14:paraId="68AC8E4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 </w:t>
      </w:r>
    </w:p>
    <w:p w14:paraId="743BE99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  </w:t>
      </w:r>
    </w:p>
    <w:p w14:paraId="12EC8DE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法定代表人或授权代表：</w:t>
      </w:r>
    </w:p>
    <w:p w14:paraId="02E4EE01">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p>
    <w:p w14:paraId="178ED71D">
      <w:pPr>
        <w:keepNext w:val="0"/>
        <w:keepLines w:val="0"/>
        <w:pageBreakBefore w:val="0"/>
        <w:widowControl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签订日期：  年   月  日</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签订日期：  年   月  日</w:t>
      </w:r>
    </w:p>
    <w:p w14:paraId="31D23CB4">
      <w:pPr>
        <w:rPr>
          <w:color w:val="auto"/>
          <w:highlight w:val="none"/>
        </w:rPr>
      </w:pPr>
    </w:p>
    <w:sectPr>
      <w:footerReference r:id="rId4" w:type="default"/>
      <w:pgSz w:w="11906" w:h="16838"/>
      <w:pgMar w:top="1531" w:right="1406" w:bottom="1361" w:left="1474" w:header="720" w:footer="720"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Lucida Sans">
    <w:panose1 w:val="020B0602030504020204"/>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Liberation Sans">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幼圆">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2E99E">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DA02E0">
                          <w:pPr>
                            <w:pStyle w:val="3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d8wSc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l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Hd8wSc2AgAAYwQAAA4AAAAAAAAAAQAgAAAAHwEAAGRycy9lMm9Eb2MueG1s&#10;UEsFBgAAAAAGAAYAWQEAAMcFAAAAAA==&#10;">
              <v:fill on="f" focussize="0,0"/>
              <v:stroke on="f" weight="0.5pt"/>
              <v:imagedata o:title=""/>
              <o:lock v:ext="edit" aspectratio="f"/>
              <v:textbox inset="0mm,0mm,0mm,0mm" style="mso-fit-shape-to-text:t;">
                <w:txbxContent>
                  <w:p w14:paraId="01DA02E0">
                    <w:pPr>
                      <w:pStyle w:val="3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2F387">
    <w:pPr>
      <w:pStyle w:val="32"/>
      <w:pBdr>
        <w:bottom w:val="none" w:color="auto" w:sz="0" w:space="0"/>
      </w:pBdr>
      <w:jc w:val="right"/>
      <w:rPr>
        <w:lang w:val="zh-CN"/>
      </w:rPr>
    </w:pPr>
  </w:p>
  <w:p w14:paraId="76C4A0B8">
    <w:pPr>
      <w:pStyle w:val="32"/>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EE025E"/>
    <w:multiLevelType w:val="singleLevel"/>
    <w:tmpl w:val="C4EE025E"/>
    <w:lvl w:ilvl="0" w:tentative="0">
      <w:start w:val="1"/>
      <w:numFmt w:val="chineseCounting"/>
      <w:suff w:val="nothing"/>
      <w:lvlText w:val="%1、"/>
      <w:lvlJc w:val="left"/>
      <w:rPr>
        <w:rFonts w:hint="eastAsia"/>
      </w:rPr>
    </w:lvl>
  </w:abstractNum>
  <w:abstractNum w:abstractNumId="1">
    <w:nsid w:val="CF092B84"/>
    <w:multiLevelType w:val="multilevel"/>
    <w:tmpl w:val="CF092B84"/>
    <w:lvl w:ilvl="0" w:tentative="0">
      <w:start w:val="1"/>
      <w:numFmt w:val="decimal"/>
      <w:suff w:val="nothing"/>
      <w:lvlText w:val="%1　"/>
      <w:lvlJc w:val="left"/>
      <w:pPr>
        <w:tabs>
          <w:tab w:val="left" w:pos="0"/>
        </w:tabs>
        <w:ind w:left="993" w:firstLine="0"/>
      </w:pPr>
      <w:rPr>
        <w:rFonts w:ascii="黑体" w:hAnsi="黑体" w:eastAsia="黑体"/>
        <w:b w:val="0"/>
        <w:i w:val="0"/>
        <w:sz w:val="21"/>
        <w:szCs w:val="21"/>
      </w:rPr>
    </w:lvl>
    <w:lvl w:ilvl="1" w:tentative="0">
      <w:start w:val="1"/>
      <w:numFmt w:val="decimal"/>
      <w:pStyle w:val="212"/>
      <w:suff w:val="nothing"/>
      <w:lvlText w:val="%1.%2　"/>
      <w:lvlJc w:val="left"/>
      <w:pPr>
        <w:tabs>
          <w:tab w:val="left" w:pos="0"/>
        </w:tabs>
        <w:ind w:left="2268" w:firstLine="0"/>
      </w:pPr>
      <w:rPr>
        <w:rFonts w:ascii="黑体" w:hAnsi="黑体" w:eastAsia="黑体" w:cs="Times New Roman"/>
        <w:b w:val="0"/>
        <w:bCs w:val="0"/>
        <w:i w:val="0"/>
        <w:iCs w:val="0"/>
        <w:caps w:val="0"/>
        <w:smallCaps w:val="0"/>
        <w:strike w:val="0"/>
        <w:vanish w:val="0"/>
        <w:spacing w:val="0"/>
        <w:position w:val="0"/>
        <w:sz w:val="21"/>
        <w:szCs w:val="21"/>
        <w:u w:val="none"/>
        <w:vertAlign w:val="baseline"/>
        <w:lang w:val="en-US"/>
      </w:rPr>
    </w:lvl>
    <w:lvl w:ilvl="2" w:tentative="0">
      <w:start w:val="1"/>
      <w:numFmt w:val="decimal"/>
      <w:suff w:val="nothing"/>
      <w:lvlText w:val="%1.%2.%3　"/>
      <w:lvlJc w:val="left"/>
      <w:pPr>
        <w:tabs>
          <w:tab w:val="left" w:pos="0"/>
        </w:tabs>
        <w:ind w:left="1843" w:firstLine="0"/>
      </w:pPr>
      <w:rPr>
        <w:rFonts w:ascii="黑体" w:hAnsi="黑体" w:eastAsia="黑体" w:cs="Times New Roman"/>
        <w:b w:val="0"/>
        <w:i w:val="0"/>
        <w:sz w:val="21"/>
      </w:rPr>
    </w:lvl>
    <w:lvl w:ilvl="3" w:tentative="0">
      <w:start w:val="1"/>
      <w:numFmt w:val="decimal"/>
      <w:suff w:val="nothing"/>
      <w:lvlText w:val="%1.%2.%3.%4　"/>
      <w:lvlJc w:val="left"/>
      <w:pPr>
        <w:tabs>
          <w:tab w:val="left" w:pos="0"/>
        </w:tabs>
        <w:ind w:left="0" w:firstLine="0"/>
      </w:pPr>
      <w:rPr>
        <w:rFonts w:ascii="黑体" w:hAnsi="黑体" w:eastAsia="黑体"/>
        <w:b w:val="0"/>
        <w:i w:val="0"/>
        <w:sz w:val="21"/>
      </w:rPr>
    </w:lvl>
    <w:lvl w:ilvl="4" w:tentative="0">
      <w:start w:val="1"/>
      <w:numFmt w:val="decimal"/>
      <w:suff w:val="nothing"/>
      <w:lvlText w:val="%1.%2.%3.%4.%5　"/>
      <w:lvlJc w:val="left"/>
      <w:pPr>
        <w:tabs>
          <w:tab w:val="left" w:pos="0"/>
        </w:tabs>
        <w:ind w:left="0" w:firstLine="0"/>
      </w:pPr>
      <w:rPr>
        <w:rFonts w:ascii="黑体" w:hAnsi="黑体" w:eastAsia="黑体"/>
        <w:b w:val="0"/>
        <w:i w:val="0"/>
        <w:sz w:val="21"/>
      </w:rPr>
    </w:lvl>
    <w:lvl w:ilvl="5" w:tentative="0">
      <w:start w:val="1"/>
      <w:numFmt w:val="decimal"/>
      <w:suff w:val="nothing"/>
      <w:lvlText w:val="%1.%2.%3.%4.%5.%6　"/>
      <w:lvlJc w:val="left"/>
      <w:pPr>
        <w:tabs>
          <w:tab w:val="left" w:pos="0"/>
        </w:tabs>
        <w:ind w:left="0" w:firstLine="0"/>
      </w:pPr>
      <w:rPr>
        <w:rFonts w:ascii="黑体" w:hAnsi="黑体" w:eastAsia="黑体"/>
        <w:b w:val="0"/>
        <w:i w:val="0"/>
        <w:sz w:val="21"/>
      </w:rPr>
    </w:lvl>
    <w:lvl w:ilvl="6" w:tentative="0">
      <w:start w:val="1"/>
      <w:numFmt w:val="decimal"/>
      <w:suff w:val="nothing"/>
      <w:lvlText w:val="%1%2.%3.%4.%5.%6.%7　"/>
      <w:lvlJc w:val="left"/>
      <w:pPr>
        <w:tabs>
          <w:tab w:val="left" w:pos="0"/>
        </w:tabs>
        <w:ind w:left="0" w:firstLine="0"/>
      </w:pPr>
      <w:rPr>
        <w:rFonts w:ascii="黑体" w:hAnsi="黑体"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2">
    <w:nsid w:val="0053208E"/>
    <w:multiLevelType w:val="multilevel"/>
    <w:tmpl w:val="0053208E"/>
    <w:lvl w:ilvl="0" w:tentative="0">
      <w:start w:val="1"/>
      <w:numFmt w:val="decimal"/>
      <w:lvlText w:val="%1."/>
      <w:lvlJc w:val="left"/>
      <w:pPr>
        <w:tabs>
          <w:tab w:val="left" w:pos="420"/>
        </w:tabs>
        <w:ind w:left="420" w:hanging="420"/>
      </w:pPr>
    </w:lvl>
    <w:lvl w:ilvl="1" w:tentative="0">
      <w:start w:val="1"/>
      <w:numFmt w:val="lowerLetter"/>
      <w:pStyle w:val="163"/>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7B218D0"/>
    <w:multiLevelType w:val="singleLevel"/>
    <w:tmpl w:val="17B218D0"/>
    <w:lvl w:ilvl="0" w:tentative="0">
      <w:start w:val="1"/>
      <w:numFmt w:val="decimal"/>
      <w:lvlText w:val="%1."/>
      <w:lvlJc w:val="left"/>
      <w:pPr>
        <w:tabs>
          <w:tab w:val="left" w:pos="312"/>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gutterAtTop/>
  <w:documentProtection w:enforcement="0"/>
  <w:defaultTabStop w:val="425"/>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C5EEB"/>
    <w:rsid w:val="002974FD"/>
    <w:rsid w:val="005A66F5"/>
    <w:rsid w:val="00877A2F"/>
    <w:rsid w:val="025608F0"/>
    <w:rsid w:val="02AD1871"/>
    <w:rsid w:val="02BA3F8E"/>
    <w:rsid w:val="02EF5CDD"/>
    <w:rsid w:val="03E868D9"/>
    <w:rsid w:val="03EA43FF"/>
    <w:rsid w:val="04041965"/>
    <w:rsid w:val="042E6E68"/>
    <w:rsid w:val="04511EA2"/>
    <w:rsid w:val="04C04528"/>
    <w:rsid w:val="04C94AE8"/>
    <w:rsid w:val="04E672BC"/>
    <w:rsid w:val="04F03C97"/>
    <w:rsid w:val="04F55E74"/>
    <w:rsid w:val="0524197F"/>
    <w:rsid w:val="056D178C"/>
    <w:rsid w:val="058519B5"/>
    <w:rsid w:val="05AE605F"/>
    <w:rsid w:val="062B1CFE"/>
    <w:rsid w:val="064E336B"/>
    <w:rsid w:val="06774A84"/>
    <w:rsid w:val="06874187"/>
    <w:rsid w:val="07167E42"/>
    <w:rsid w:val="075F6EB2"/>
    <w:rsid w:val="0790350F"/>
    <w:rsid w:val="08840F90"/>
    <w:rsid w:val="088D2C15"/>
    <w:rsid w:val="08950021"/>
    <w:rsid w:val="08B35707"/>
    <w:rsid w:val="08D833C0"/>
    <w:rsid w:val="09207541"/>
    <w:rsid w:val="09482C54"/>
    <w:rsid w:val="095575D7"/>
    <w:rsid w:val="09A3752A"/>
    <w:rsid w:val="09B90184"/>
    <w:rsid w:val="09C6146A"/>
    <w:rsid w:val="0A2C0F15"/>
    <w:rsid w:val="0A4E1B38"/>
    <w:rsid w:val="0B293A5F"/>
    <w:rsid w:val="0B5B1AAE"/>
    <w:rsid w:val="0BA431A7"/>
    <w:rsid w:val="0BD731D4"/>
    <w:rsid w:val="0C3A111C"/>
    <w:rsid w:val="0CA63729"/>
    <w:rsid w:val="0CC0267A"/>
    <w:rsid w:val="0CC53C5B"/>
    <w:rsid w:val="0CF54F79"/>
    <w:rsid w:val="0D162709"/>
    <w:rsid w:val="0D3606B5"/>
    <w:rsid w:val="0D5826EC"/>
    <w:rsid w:val="0DA35CC7"/>
    <w:rsid w:val="0DBE6D1A"/>
    <w:rsid w:val="0E0339FA"/>
    <w:rsid w:val="0E4D215A"/>
    <w:rsid w:val="0ED91C40"/>
    <w:rsid w:val="0F881526"/>
    <w:rsid w:val="0F950E9E"/>
    <w:rsid w:val="10B93DC2"/>
    <w:rsid w:val="10CD1330"/>
    <w:rsid w:val="11160F29"/>
    <w:rsid w:val="111D7BC2"/>
    <w:rsid w:val="11A647B8"/>
    <w:rsid w:val="11B20E52"/>
    <w:rsid w:val="12073247"/>
    <w:rsid w:val="1254771D"/>
    <w:rsid w:val="12767ED2"/>
    <w:rsid w:val="127A1044"/>
    <w:rsid w:val="12927480"/>
    <w:rsid w:val="12B2039B"/>
    <w:rsid w:val="1312127D"/>
    <w:rsid w:val="13160D6D"/>
    <w:rsid w:val="139F6FB4"/>
    <w:rsid w:val="13C927E6"/>
    <w:rsid w:val="13E83022"/>
    <w:rsid w:val="14045069"/>
    <w:rsid w:val="15200D24"/>
    <w:rsid w:val="15E00F73"/>
    <w:rsid w:val="1626782C"/>
    <w:rsid w:val="16610D1A"/>
    <w:rsid w:val="1666200B"/>
    <w:rsid w:val="16FE0496"/>
    <w:rsid w:val="17180C70"/>
    <w:rsid w:val="17C15C05"/>
    <w:rsid w:val="17CE7E68"/>
    <w:rsid w:val="18C16CF8"/>
    <w:rsid w:val="18FC598D"/>
    <w:rsid w:val="199D5F29"/>
    <w:rsid w:val="1A0E0D9F"/>
    <w:rsid w:val="1A17459F"/>
    <w:rsid w:val="1A297F9B"/>
    <w:rsid w:val="1ABF1CEA"/>
    <w:rsid w:val="1B375960"/>
    <w:rsid w:val="1BAB226E"/>
    <w:rsid w:val="1BE37C5A"/>
    <w:rsid w:val="1C840C9A"/>
    <w:rsid w:val="1CD44FC7"/>
    <w:rsid w:val="1D143544"/>
    <w:rsid w:val="1D4806BC"/>
    <w:rsid w:val="1D8559C1"/>
    <w:rsid w:val="1DDA4206"/>
    <w:rsid w:val="1E071433"/>
    <w:rsid w:val="1E2B7FD1"/>
    <w:rsid w:val="1EAE1FC4"/>
    <w:rsid w:val="1F166D0A"/>
    <w:rsid w:val="1F365E18"/>
    <w:rsid w:val="1F4437D9"/>
    <w:rsid w:val="1FB90A1C"/>
    <w:rsid w:val="1FCD7EB9"/>
    <w:rsid w:val="1FF02946"/>
    <w:rsid w:val="204230BC"/>
    <w:rsid w:val="204B2D06"/>
    <w:rsid w:val="205842CB"/>
    <w:rsid w:val="20BC55C4"/>
    <w:rsid w:val="215A0945"/>
    <w:rsid w:val="21C1459A"/>
    <w:rsid w:val="2234192D"/>
    <w:rsid w:val="22433EBD"/>
    <w:rsid w:val="230A1F70"/>
    <w:rsid w:val="231A50A3"/>
    <w:rsid w:val="23503E27"/>
    <w:rsid w:val="239B2179"/>
    <w:rsid w:val="23BE1434"/>
    <w:rsid w:val="23E40A13"/>
    <w:rsid w:val="24213A15"/>
    <w:rsid w:val="2435126F"/>
    <w:rsid w:val="24523BCF"/>
    <w:rsid w:val="24681644"/>
    <w:rsid w:val="24727DCD"/>
    <w:rsid w:val="24D10F97"/>
    <w:rsid w:val="24F05029"/>
    <w:rsid w:val="252C3B2C"/>
    <w:rsid w:val="254774AC"/>
    <w:rsid w:val="2573204F"/>
    <w:rsid w:val="25813496"/>
    <w:rsid w:val="25A246E2"/>
    <w:rsid w:val="26B50445"/>
    <w:rsid w:val="26BE1E21"/>
    <w:rsid w:val="26CD55C6"/>
    <w:rsid w:val="27484CC0"/>
    <w:rsid w:val="28643ED1"/>
    <w:rsid w:val="287865BB"/>
    <w:rsid w:val="289F315B"/>
    <w:rsid w:val="28F22C3A"/>
    <w:rsid w:val="29311825"/>
    <w:rsid w:val="295E3016"/>
    <w:rsid w:val="29D37D2A"/>
    <w:rsid w:val="29EB0C54"/>
    <w:rsid w:val="2AB84B24"/>
    <w:rsid w:val="2B255B99"/>
    <w:rsid w:val="2B9144CC"/>
    <w:rsid w:val="2C07282F"/>
    <w:rsid w:val="2CA102F9"/>
    <w:rsid w:val="2CBA556F"/>
    <w:rsid w:val="2CE20317"/>
    <w:rsid w:val="2D0D2D89"/>
    <w:rsid w:val="2D406ACD"/>
    <w:rsid w:val="2DDC1B84"/>
    <w:rsid w:val="2DF232BF"/>
    <w:rsid w:val="2E254102"/>
    <w:rsid w:val="2EA414CB"/>
    <w:rsid w:val="2F350375"/>
    <w:rsid w:val="30E97669"/>
    <w:rsid w:val="31186BCF"/>
    <w:rsid w:val="31514CF8"/>
    <w:rsid w:val="323F29F9"/>
    <w:rsid w:val="329D21F7"/>
    <w:rsid w:val="32DC13D3"/>
    <w:rsid w:val="32DC15E2"/>
    <w:rsid w:val="330819F8"/>
    <w:rsid w:val="335B05D1"/>
    <w:rsid w:val="339D69E1"/>
    <w:rsid w:val="33B83428"/>
    <w:rsid w:val="33E04D53"/>
    <w:rsid w:val="355B1ADD"/>
    <w:rsid w:val="3623361D"/>
    <w:rsid w:val="36274EBB"/>
    <w:rsid w:val="365E28A7"/>
    <w:rsid w:val="36DE12F2"/>
    <w:rsid w:val="36E83F1F"/>
    <w:rsid w:val="36EE3C2B"/>
    <w:rsid w:val="3715740A"/>
    <w:rsid w:val="37600A7A"/>
    <w:rsid w:val="3772660A"/>
    <w:rsid w:val="37BF7375"/>
    <w:rsid w:val="3836588A"/>
    <w:rsid w:val="385C2E16"/>
    <w:rsid w:val="38CD48B8"/>
    <w:rsid w:val="39003449"/>
    <w:rsid w:val="3A024EFA"/>
    <w:rsid w:val="3A152ED8"/>
    <w:rsid w:val="3A5A5133"/>
    <w:rsid w:val="3AE635B0"/>
    <w:rsid w:val="3AEC66D3"/>
    <w:rsid w:val="3B850284"/>
    <w:rsid w:val="3B862684"/>
    <w:rsid w:val="3B9D5C20"/>
    <w:rsid w:val="3C607BB2"/>
    <w:rsid w:val="3CEA2E7D"/>
    <w:rsid w:val="3D3C45F6"/>
    <w:rsid w:val="3DD80FC1"/>
    <w:rsid w:val="3DEC38A8"/>
    <w:rsid w:val="3E0C5604"/>
    <w:rsid w:val="3EB77FC0"/>
    <w:rsid w:val="3EDA4ED4"/>
    <w:rsid w:val="3EFB5137"/>
    <w:rsid w:val="3F387E0E"/>
    <w:rsid w:val="3FAE03FB"/>
    <w:rsid w:val="3FF54D36"/>
    <w:rsid w:val="40066116"/>
    <w:rsid w:val="401B60BB"/>
    <w:rsid w:val="406D190C"/>
    <w:rsid w:val="40BA3086"/>
    <w:rsid w:val="40CE4185"/>
    <w:rsid w:val="40F736DC"/>
    <w:rsid w:val="412B3CE0"/>
    <w:rsid w:val="4142391F"/>
    <w:rsid w:val="414F3F68"/>
    <w:rsid w:val="415F13B8"/>
    <w:rsid w:val="41B06152"/>
    <w:rsid w:val="41C9707C"/>
    <w:rsid w:val="41D63C39"/>
    <w:rsid w:val="421B5801"/>
    <w:rsid w:val="424010B3"/>
    <w:rsid w:val="427E7AA4"/>
    <w:rsid w:val="42F06ADE"/>
    <w:rsid w:val="432A7D99"/>
    <w:rsid w:val="437C40C5"/>
    <w:rsid w:val="43E90552"/>
    <w:rsid w:val="43F91594"/>
    <w:rsid w:val="44275D61"/>
    <w:rsid w:val="443A0076"/>
    <w:rsid w:val="44B6597B"/>
    <w:rsid w:val="45562AD0"/>
    <w:rsid w:val="45E87A97"/>
    <w:rsid w:val="46386C71"/>
    <w:rsid w:val="46D61CC7"/>
    <w:rsid w:val="473311E6"/>
    <w:rsid w:val="47800E5B"/>
    <w:rsid w:val="47B972D2"/>
    <w:rsid w:val="47F15329"/>
    <w:rsid w:val="48744BEB"/>
    <w:rsid w:val="4892697A"/>
    <w:rsid w:val="48943248"/>
    <w:rsid w:val="48DF429B"/>
    <w:rsid w:val="49467FBD"/>
    <w:rsid w:val="49901EC0"/>
    <w:rsid w:val="4A826ECA"/>
    <w:rsid w:val="4AA1441B"/>
    <w:rsid w:val="4AE37EC4"/>
    <w:rsid w:val="4B2502B5"/>
    <w:rsid w:val="4B545024"/>
    <w:rsid w:val="4B5A4F93"/>
    <w:rsid w:val="4B6105C0"/>
    <w:rsid w:val="4B9C5418"/>
    <w:rsid w:val="4BAF3531"/>
    <w:rsid w:val="4BEB6533"/>
    <w:rsid w:val="4C134FDD"/>
    <w:rsid w:val="4C4B55BC"/>
    <w:rsid w:val="4CF93156"/>
    <w:rsid w:val="4CFB24FB"/>
    <w:rsid w:val="4E567496"/>
    <w:rsid w:val="4EF000F6"/>
    <w:rsid w:val="4F0B18BC"/>
    <w:rsid w:val="4F1E5158"/>
    <w:rsid w:val="4F5F4528"/>
    <w:rsid w:val="4FAE3B00"/>
    <w:rsid w:val="50EF74D3"/>
    <w:rsid w:val="511472F3"/>
    <w:rsid w:val="51A83198"/>
    <w:rsid w:val="51DE4BDE"/>
    <w:rsid w:val="51DF5EE2"/>
    <w:rsid w:val="5233653E"/>
    <w:rsid w:val="536C7F5A"/>
    <w:rsid w:val="53875B1B"/>
    <w:rsid w:val="53C15CC1"/>
    <w:rsid w:val="54007B07"/>
    <w:rsid w:val="54717115"/>
    <w:rsid w:val="54BE7214"/>
    <w:rsid w:val="54D651D3"/>
    <w:rsid w:val="553B5E36"/>
    <w:rsid w:val="554D1082"/>
    <w:rsid w:val="5583503C"/>
    <w:rsid w:val="55EA1FEA"/>
    <w:rsid w:val="55FA119A"/>
    <w:rsid w:val="581D5CC6"/>
    <w:rsid w:val="588B3A52"/>
    <w:rsid w:val="59094320"/>
    <w:rsid w:val="596640D3"/>
    <w:rsid w:val="597A0CE0"/>
    <w:rsid w:val="59C77451"/>
    <w:rsid w:val="5A737E20"/>
    <w:rsid w:val="5AD875ED"/>
    <w:rsid w:val="5AF34164"/>
    <w:rsid w:val="5B166918"/>
    <w:rsid w:val="5B24763A"/>
    <w:rsid w:val="5B867F38"/>
    <w:rsid w:val="5BBA3675"/>
    <w:rsid w:val="5C044F83"/>
    <w:rsid w:val="5C124248"/>
    <w:rsid w:val="5CE60DF9"/>
    <w:rsid w:val="5D213B63"/>
    <w:rsid w:val="5D2C0F26"/>
    <w:rsid w:val="5D662547"/>
    <w:rsid w:val="5D746389"/>
    <w:rsid w:val="5DA55197"/>
    <w:rsid w:val="5DD06E22"/>
    <w:rsid w:val="5E0734AA"/>
    <w:rsid w:val="5E437C6C"/>
    <w:rsid w:val="5E603218"/>
    <w:rsid w:val="5ED30DA6"/>
    <w:rsid w:val="5F2C67EF"/>
    <w:rsid w:val="5F3F6522"/>
    <w:rsid w:val="5F9F3465"/>
    <w:rsid w:val="5FDA10CF"/>
    <w:rsid w:val="60191B54"/>
    <w:rsid w:val="602776E2"/>
    <w:rsid w:val="609B2D54"/>
    <w:rsid w:val="611D0AE5"/>
    <w:rsid w:val="613211D5"/>
    <w:rsid w:val="614A5F79"/>
    <w:rsid w:val="614B7400"/>
    <w:rsid w:val="61590B11"/>
    <w:rsid w:val="618B79E4"/>
    <w:rsid w:val="61D9499B"/>
    <w:rsid w:val="62277716"/>
    <w:rsid w:val="623C6124"/>
    <w:rsid w:val="62C20954"/>
    <w:rsid w:val="62EC69C1"/>
    <w:rsid w:val="638110ED"/>
    <w:rsid w:val="63EB4ECB"/>
    <w:rsid w:val="63F529E4"/>
    <w:rsid w:val="643407A7"/>
    <w:rsid w:val="64371EBE"/>
    <w:rsid w:val="6443678C"/>
    <w:rsid w:val="64DD0F09"/>
    <w:rsid w:val="6585041D"/>
    <w:rsid w:val="65C84CDD"/>
    <w:rsid w:val="66087371"/>
    <w:rsid w:val="66517729"/>
    <w:rsid w:val="66C35C8B"/>
    <w:rsid w:val="66E542DE"/>
    <w:rsid w:val="6718438D"/>
    <w:rsid w:val="674D72CB"/>
    <w:rsid w:val="68320F80"/>
    <w:rsid w:val="68364F89"/>
    <w:rsid w:val="68434A9E"/>
    <w:rsid w:val="68456DDE"/>
    <w:rsid w:val="687419EA"/>
    <w:rsid w:val="68C83E6B"/>
    <w:rsid w:val="690D7182"/>
    <w:rsid w:val="692C1198"/>
    <w:rsid w:val="69660078"/>
    <w:rsid w:val="69733998"/>
    <w:rsid w:val="69EE43CE"/>
    <w:rsid w:val="6A4B221F"/>
    <w:rsid w:val="6A8954A7"/>
    <w:rsid w:val="6AA97307"/>
    <w:rsid w:val="6B3756C0"/>
    <w:rsid w:val="6B792DBC"/>
    <w:rsid w:val="6B8754D9"/>
    <w:rsid w:val="6B9E1948"/>
    <w:rsid w:val="6BB87942"/>
    <w:rsid w:val="6C065149"/>
    <w:rsid w:val="6C442A2F"/>
    <w:rsid w:val="6C4739B4"/>
    <w:rsid w:val="6C846928"/>
    <w:rsid w:val="6CB247D7"/>
    <w:rsid w:val="6D0929B3"/>
    <w:rsid w:val="6D1014FE"/>
    <w:rsid w:val="6D783D26"/>
    <w:rsid w:val="6D8744D7"/>
    <w:rsid w:val="6D8C29C6"/>
    <w:rsid w:val="6DA00AD4"/>
    <w:rsid w:val="6DB620A5"/>
    <w:rsid w:val="6EB066B3"/>
    <w:rsid w:val="6FC34F4E"/>
    <w:rsid w:val="6FD5305F"/>
    <w:rsid w:val="6FEF7AF1"/>
    <w:rsid w:val="6FF46638"/>
    <w:rsid w:val="6FF675BD"/>
    <w:rsid w:val="70144C09"/>
    <w:rsid w:val="706A7177"/>
    <w:rsid w:val="70716ED3"/>
    <w:rsid w:val="70981F36"/>
    <w:rsid w:val="70A15B5A"/>
    <w:rsid w:val="70CE7706"/>
    <w:rsid w:val="70EC4652"/>
    <w:rsid w:val="70F04A0B"/>
    <w:rsid w:val="722717C4"/>
    <w:rsid w:val="72621DA4"/>
    <w:rsid w:val="733466DA"/>
    <w:rsid w:val="7394143C"/>
    <w:rsid w:val="73CE0271"/>
    <w:rsid w:val="73F73EF4"/>
    <w:rsid w:val="743208DC"/>
    <w:rsid w:val="7439421E"/>
    <w:rsid w:val="74461724"/>
    <w:rsid w:val="745233A3"/>
    <w:rsid w:val="74A0760B"/>
    <w:rsid w:val="74FB6EE2"/>
    <w:rsid w:val="75FE2420"/>
    <w:rsid w:val="7625426C"/>
    <w:rsid w:val="76AA4771"/>
    <w:rsid w:val="76BC09FD"/>
    <w:rsid w:val="76C46966"/>
    <w:rsid w:val="76F44898"/>
    <w:rsid w:val="77BC213B"/>
    <w:rsid w:val="77FC1EE6"/>
    <w:rsid w:val="78CF226D"/>
    <w:rsid w:val="7921413C"/>
    <w:rsid w:val="794C6893"/>
    <w:rsid w:val="795B1D53"/>
    <w:rsid w:val="79696884"/>
    <w:rsid w:val="79D378EE"/>
    <w:rsid w:val="7A472111"/>
    <w:rsid w:val="7A4B62B3"/>
    <w:rsid w:val="7AA53BCD"/>
    <w:rsid w:val="7ABD0D40"/>
    <w:rsid w:val="7B396E35"/>
    <w:rsid w:val="7B711D02"/>
    <w:rsid w:val="7B843A31"/>
    <w:rsid w:val="7CA75D16"/>
    <w:rsid w:val="7CB93F78"/>
    <w:rsid w:val="7CC2092B"/>
    <w:rsid w:val="7D66524B"/>
    <w:rsid w:val="7E20467A"/>
    <w:rsid w:val="7E7062A0"/>
    <w:rsid w:val="7E8065CE"/>
    <w:rsid w:val="7EBA5AEC"/>
    <w:rsid w:val="7F10538E"/>
    <w:rsid w:val="7F453DC2"/>
    <w:rsid w:val="7FE86D79"/>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nhideWhenUsed="0" w:uiPriority="0"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51"/>
    <w:qFormat/>
    <w:uiPriority w:val="0"/>
    <w:pPr>
      <w:widowControl w:val="0"/>
      <w:jc w:val="both"/>
    </w:pPr>
    <w:rPr>
      <w:rFonts w:hint="default" w:ascii="Times New Roman" w:hAnsi="Times New Roman" w:eastAsia="宋体" w:cs="Times New Roman"/>
      <w:sz w:val="21"/>
    </w:rPr>
  </w:style>
  <w:style w:type="paragraph" w:styleId="2">
    <w:name w:val="heading 1"/>
    <w:basedOn w:val="1"/>
    <w:next w:val="1"/>
    <w:qFormat/>
    <w:uiPriority w:val="0"/>
    <w:pPr>
      <w:keepNext/>
      <w:spacing w:line="360" w:lineRule="auto"/>
      <w:jc w:val="center"/>
      <w:outlineLvl w:val="0"/>
    </w:pPr>
    <w:rPr>
      <w:b/>
      <w:sz w:val="44"/>
    </w:rPr>
  </w:style>
  <w:style w:type="paragraph" w:styleId="3">
    <w:name w:val="heading 2"/>
    <w:basedOn w:val="1"/>
    <w:next w:val="4"/>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5" w:lineRule="auto"/>
      <w:outlineLvl w:val="2"/>
    </w:pPr>
    <w:rPr>
      <w:b/>
      <w:bCs/>
      <w:sz w:val="32"/>
      <w:szCs w:val="32"/>
    </w:rPr>
  </w:style>
  <w:style w:type="paragraph" w:styleId="6">
    <w:name w:val="heading 4"/>
    <w:basedOn w:val="1"/>
    <w:next w:val="7"/>
    <w:qFormat/>
    <w:uiPriority w:val="0"/>
    <w:pPr>
      <w:keepNext/>
      <w:keepLines/>
      <w:spacing w:line="360" w:lineRule="auto"/>
      <w:ind w:left="2267" w:hanging="708"/>
      <w:outlineLvl w:val="3"/>
    </w:pPr>
    <w:rPr>
      <w:rFonts w:ascii="Cambria" w:hAnsi="Cambria"/>
      <w:b/>
      <w:bCs/>
      <w:sz w:val="28"/>
      <w:szCs w:val="28"/>
    </w:rPr>
  </w:style>
  <w:style w:type="paragraph" w:styleId="8">
    <w:name w:val="heading 5"/>
    <w:basedOn w:val="1"/>
    <w:next w:val="1"/>
    <w:qFormat/>
    <w:uiPriority w:val="0"/>
    <w:pPr>
      <w:keepNext/>
      <w:keepLines/>
      <w:spacing w:line="360" w:lineRule="auto"/>
      <w:ind w:left="2551" w:hanging="850"/>
      <w:outlineLvl w:val="4"/>
    </w:pPr>
    <w:rPr>
      <w:b/>
      <w:bCs/>
      <w:sz w:val="24"/>
      <w:szCs w:val="28"/>
    </w:rPr>
  </w:style>
  <w:style w:type="paragraph" w:styleId="9">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4">
    <w:name w:val="正文缩进2"/>
    <w:basedOn w:val="1"/>
    <w:qFormat/>
    <w:uiPriority w:val="0"/>
    <w:pPr>
      <w:spacing w:before="50"/>
      <w:ind w:left="200" w:firstLine="200"/>
    </w:pPr>
    <w:rPr>
      <w:sz w:val="24"/>
    </w:rPr>
  </w:style>
  <w:style w:type="paragraph" w:styleId="7">
    <w:name w:val="Normal Indent"/>
    <w:basedOn w:val="1"/>
    <w:qFormat/>
    <w:uiPriority w:val="0"/>
    <w:pPr>
      <w:ind w:firstLine="200"/>
    </w:pPr>
  </w:style>
  <w:style w:type="paragraph" w:styleId="13">
    <w:name w:val="toc 7"/>
    <w:basedOn w:val="1"/>
    <w:next w:val="1"/>
    <w:unhideWhenUsed/>
    <w:qFormat/>
    <w:uiPriority w:val="39"/>
    <w:pPr>
      <w:spacing w:after="57"/>
      <w:ind w:left="1701"/>
    </w:pPr>
  </w:style>
  <w:style w:type="paragraph" w:styleId="14">
    <w:name w:val="caption"/>
    <w:basedOn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qFormat/>
    <w:uiPriority w:val="0"/>
    <w:pPr>
      <w:shd w:val="clear" w:color="auto" w:fill="000080"/>
    </w:pPr>
  </w:style>
  <w:style w:type="paragraph" w:styleId="16">
    <w:name w:val="toa heading"/>
    <w:basedOn w:val="1"/>
    <w:next w:val="1"/>
    <w:qFormat/>
    <w:uiPriority w:val="0"/>
    <w:pPr>
      <w:spacing w:before="120"/>
    </w:pPr>
    <w:rPr>
      <w:rFonts w:ascii="Arial" w:hAnsi="Arial"/>
      <w:sz w:val="24"/>
    </w:rPr>
  </w:style>
  <w:style w:type="paragraph" w:styleId="17">
    <w:name w:val="annotation text"/>
    <w:basedOn w:val="1"/>
    <w:qFormat/>
    <w:uiPriority w:val="0"/>
    <w:pPr>
      <w:jc w:val="left"/>
    </w:pPr>
    <w:rPr>
      <w:sz w:val="22"/>
    </w:rPr>
  </w:style>
  <w:style w:type="paragraph" w:styleId="18">
    <w:name w:val="Body Text 3"/>
    <w:basedOn w:val="1"/>
    <w:qFormat/>
    <w:uiPriority w:val="0"/>
    <w:pPr>
      <w:spacing w:after="120"/>
    </w:pPr>
    <w:rPr>
      <w:sz w:val="16"/>
      <w:szCs w:val="16"/>
    </w:rPr>
  </w:style>
  <w:style w:type="paragraph" w:styleId="19">
    <w:name w:val="Body Text"/>
    <w:basedOn w:val="1"/>
    <w:next w:val="20"/>
    <w:qFormat/>
    <w:uiPriority w:val="0"/>
    <w:pPr>
      <w:spacing w:after="120"/>
    </w:pPr>
  </w:style>
  <w:style w:type="paragraph" w:styleId="20">
    <w:name w:val="Body Text 2"/>
    <w:basedOn w:val="1"/>
    <w:qFormat/>
    <w:uiPriority w:val="99"/>
    <w:rPr>
      <w:rFonts w:eastAsia="仿宋_GB2312"/>
      <w:color w:val="000000"/>
    </w:rPr>
  </w:style>
  <w:style w:type="paragraph" w:styleId="21">
    <w:name w:val="Body Text Indent"/>
    <w:basedOn w:val="1"/>
    <w:next w:val="22"/>
    <w:qFormat/>
    <w:uiPriority w:val="0"/>
    <w:pPr>
      <w:ind w:firstLine="100"/>
    </w:pPr>
    <w:rPr>
      <w:rFonts w:ascii="Verdana" w:hAnsi="Verdana"/>
      <w:szCs w:val="28"/>
    </w:rPr>
  </w:style>
  <w:style w:type="paragraph" w:styleId="22">
    <w:name w:val="envelope return"/>
    <w:basedOn w:val="1"/>
    <w:qFormat/>
    <w:uiPriority w:val="0"/>
    <w:rPr>
      <w:rFonts w:ascii="Arial" w:hAnsi="Arial" w:cs="宋体"/>
    </w:rPr>
  </w:style>
  <w:style w:type="paragraph" w:styleId="23">
    <w:name w:val="Block Text"/>
    <w:basedOn w:val="1"/>
    <w:qFormat/>
    <w:uiPriority w:val="0"/>
    <w:pPr>
      <w:tabs>
        <w:tab w:val="left" w:pos="9420"/>
      </w:tabs>
      <w:ind w:left="840" w:right="100"/>
    </w:pPr>
    <w:rPr>
      <w:rFonts w:ascii="宋体" w:hAnsi="宋体"/>
      <w:sz w:val="24"/>
      <w:szCs w:val="24"/>
    </w:rPr>
  </w:style>
  <w:style w:type="paragraph" w:styleId="24">
    <w:name w:val="toc 5"/>
    <w:basedOn w:val="1"/>
    <w:next w:val="1"/>
    <w:unhideWhenUsed/>
    <w:qFormat/>
    <w:uiPriority w:val="39"/>
    <w:pPr>
      <w:spacing w:after="57"/>
      <w:ind w:left="1134"/>
    </w:pPr>
  </w:style>
  <w:style w:type="paragraph" w:styleId="25">
    <w:name w:val="toc 3"/>
    <w:basedOn w:val="1"/>
    <w:next w:val="1"/>
    <w:qFormat/>
    <w:uiPriority w:val="0"/>
    <w:pPr>
      <w:ind w:left="400"/>
    </w:pPr>
  </w:style>
  <w:style w:type="paragraph" w:styleId="26">
    <w:name w:val="Plain Text"/>
    <w:basedOn w:val="1"/>
    <w:next w:val="7"/>
    <w:qFormat/>
    <w:uiPriority w:val="0"/>
    <w:rPr>
      <w:rFonts w:ascii="宋体" w:hAnsi="宋体"/>
    </w:rPr>
  </w:style>
  <w:style w:type="paragraph" w:styleId="27">
    <w:name w:val="toc 8"/>
    <w:basedOn w:val="1"/>
    <w:next w:val="1"/>
    <w:qFormat/>
    <w:uiPriority w:val="0"/>
    <w:pPr>
      <w:ind w:left="1400"/>
    </w:pPr>
  </w:style>
  <w:style w:type="paragraph" w:styleId="28">
    <w:name w:val="Date"/>
    <w:basedOn w:val="1"/>
    <w:next w:val="1"/>
    <w:qFormat/>
    <w:uiPriority w:val="0"/>
  </w:style>
  <w:style w:type="paragraph" w:styleId="29">
    <w:name w:val="endnote text"/>
    <w:basedOn w:val="1"/>
    <w:link w:val="87"/>
    <w:semiHidden/>
    <w:unhideWhenUsed/>
    <w:qFormat/>
    <w:uiPriority w:val="99"/>
    <w:rPr>
      <w:sz w:val="20"/>
    </w:rPr>
  </w:style>
  <w:style w:type="paragraph" w:styleId="30">
    <w:name w:val="Balloon Text"/>
    <w:basedOn w:val="1"/>
    <w:qFormat/>
    <w:uiPriority w:val="0"/>
    <w:rPr>
      <w:sz w:val="18"/>
      <w:szCs w:val="18"/>
    </w:rPr>
  </w:style>
  <w:style w:type="paragraph" w:styleId="31">
    <w:name w:val="footer"/>
    <w:basedOn w:val="1"/>
    <w:qFormat/>
    <w:uiPriority w:val="0"/>
    <w:pPr>
      <w:tabs>
        <w:tab w:val="center" w:pos="4153"/>
        <w:tab w:val="right" w:pos="8306"/>
      </w:tabs>
      <w:jc w:val="left"/>
    </w:pPr>
    <w:rPr>
      <w:sz w:val="18"/>
      <w:szCs w:val="18"/>
    </w:rPr>
  </w:style>
  <w:style w:type="paragraph" w:styleId="32">
    <w:name w:val="header"/>
    <w:basedOn w:val="1"/>
    <w:qFormat/>
    <w:uiPriority w:val="0"/>
    <w:pPr>
      <w:pBdr>
        <w:bottom w:val="single" w:color="000000" w:sz="6" w:space="1"/>
      </w:pBdr>
      <w:tabs>
        <w:tab w:val="center" w:pos="4153"/>
        <w:tab w:val="right" w:pos="8306"/>
      </w:tabs>
      <w:jc w:val="center"/>
    </w:pPr>
    <w:rPr>
      <w:sz w:val="18"/>
      <w:szCs w:val="18"/>
    </w:rPr>
  </w:style>
  <w:style w:type="paragraph" w:styleId="33">
    <w:name w:val="toc 1"/>
    <w:basedOn w:val="1"/>
    <w:next w:val="1"/>
    <w:qFormat/>
    <w:uiPriority w:val="39"/>
    <w:pPr>
      <w:tabs>
        <w:tab w:val="right" w:leader="dot" w:pos="8715"/>
      </w:tabs>
      <w:spacing w:line="480" w:lineRule="auto"/>
    </w:pPr>
  </w:style>
  <w:style w:type="paragraph" w:styleId="34">
    <w:name w:val="toc 4"/>
    <w:basedOn w:val="1"/>
    <w:next w:val="1"/>
    <w:unhideWhenUsed/>
    <w:qFormat/>
    <w:uiPriority w:val="39"/>
    <w:pPr>
      <w:spacing w:after="57"/>
      <w:ind w:left="850"/>
    </w:pPr>
  </w:style>
  <w:style w:type="paragraph" w:styleId="35">
    <w:name w:val="Subtitle"/>
    <w:basedOn w:val="1"/>
    <w:next w:val="1"/>
    <w:link w:val="78"/>
    <w:qFormat/>
    <w:uiPriority w:val="11"/>
    <w:pPr>
      <w:spacing w:before="200" w:after="200"/>
    </w:pPr>
    <w:rPr>
      <w:sz w:val="24"/>
      <w:szCs w:val="24"/>
    </w:rPr>
  </w:style>
  <w:style w:type="paragraph" w:styleId="36">
    <w:name w:val="List"/>
    <w:basedOn w:val="19"/>
    <w:qFormat/>
    <w:uiPriority w:val="0"/>
    <w:rPr>
      <w:rFonts w:cs="Lucida Sans"/>
    </w:rPr>
  </w:style>
  <w:style w:type="paragraph" w:styleId="37">
    <w:name w:val="footnote text"/>
    <w:basedOn w:val="1"/>
    <w:qFormat/>
    <w:uiPriority w:val="0"/>
    <w:pPr>
      <w:spacing w:line="220" w:lineRule="atLeast"/>
      <w:ind w:left="144" w:hanging="144"/>
    </w:pPr>
    <w:rPr>
      <w:rFonts w:ascii="Tahoma" w:hAnsi="Tahoma"/>
      <w:sz w:val="18"/>
      <w:lang w:eastAsia="it-IT"/>
    </w:rPr>
  </w:style>
  <w:style w:type="paragraph" w:styleId="38">
    <w:name w:val="toc 6"/>
    <w:basedOn w:val="1"/>
    <w:next w:val="1"/>
    <w:unhideWhenUsed/>
    <w:qFormat/>
    <w:uiPriority w:val="39"/>
    <w:pPr>
      <w:spacing w:after="57"/>
      <w:ind w:left="1417"/>
    </w:pPr>
  </w:style>
  <w:style w:type="paragraph" w:styleId="39">
    <w:name w:val="table of figures"/>
    <w:basedOn w:val="1"/>
    <w:next w:val="1"/>
    <w:unhideWhenUsed/>
    <w:qFormat/>
    <w:uiPriority w:val="99"/>
  </w:style>
  <w:style w:type="paragraph" w:styleId="40">
    <w:name w:val="toc 2"/>
    <w:basedOn w:val="1"/>
    <w:next w:val="1"/>
    <w:qFormat/>
    <w:uiPriority w:val="0"/>
    <w:pPr>
      <w:ind w:left="200"/>
    </w:pPr>
  </w:style>
  <w:style w:type="paragraph" w:styleId="41">
    <w:name w:val="toc 9"/>
    <w:basedOn w:val="1"/>
    <w:next w:val="1"/>
    <w:unhideWhenUsed/>
    <w:qFormat/>
    <w:uiPriority w:val="39"/>
    <w:pPr>
      <w:spacing w:after="57"/>
      <w:ind w:left="2268"/>
    </w:pPr>
  </w:style>
  <w:style w:type="paragraph" w:styleId="42">
    <w:name w:val="Normal (Web)"/>
    <w:basedOn w:val="1"/>
    <w:qFormat/>
    <w:uiPriority w:val="0"/>
    <w:pPr>
      <w:widowControl/>
      <w:spacing w:beforeAutospacing="1" w:afterAutospacing="1"/>
      <w:jc w:val="left"/>
    </w:pPr>
    <w:rPr>
      <w:rFonts w:ascii="宋体" w:hAnsi="宋体" w:cs="宋体"/>
      <w:sz w:val="24"/>
      <w:szCs w:val="24"/>
    </w:rPr>
  </w:style>
  <w:style w:type="paragraph" w:styleId="43">
    <w:name w:val="Title"/>
    <w:basedOn w:val="1"/>
    <w:next w:val="1"/>
    <w:qFormat/>
    <w:uiPriority w:val="0"/>
    <w:pPr>
      <w:spacing w:before="240" w:after="60"/>
      <w:jc w:val="center"/>
      <w:outlineLvl w:val="0"/>
    </w:pPr>
    <w:rPr>
      <w:rFonts w:ascii="Cambria" w:hAnsi="Cambria"/>
      <w:b/>
      <w:bCs/>
      <w:sz w:val="32"/>
      <w:szCs w:val="32"/>
    </w:rPr>
  </w:style>
  <w:style w:type="paragraph" w:styleId="44">
    <w:name w:val="annotation subject"/>
    <w:basedOn w:val="17"/>
    <w:next w:val="17"/>
    <w:qFormat/>
    <w:uiPriority w:val="0"/>
    <w:rPr>
      <w:b/>
      <w:bCs/>
      <w:sz w:val="21"/>
    </w:rPr>
  </w:style>
  <w:style w:type="paragraph" w:styleId="45">
    <w:name w:val="Body Text First Indent"/>
    <w:basedOn w:val="19"/>
    <w:qFormat/>
    <w:uiPriority w:val="0"/>
    <w:pPr>
      <w:ind w:firstLine="420"/>
    </w:pPr>
    <w:rPr>
      <w:rFonts w:ascii="Verdana" w:hAnsi="Verdana"/>
      <w:szCs w:val="28"/>
      <w:lang w:eastAsia="en-US"/>
    </w:rPr>
  </w:style>
  <w:style w:type="paragraph" w:styleId="46">
    <w:name w:val="Body Text First Indent 2"/>
    <w:basedOn w:val="21"/>
    <w:next w:val="1"/>
    <w:qFormat/>
    <w:uiPriority w:val="99"/>
    <w:pPr>
      <w:spacing w:after="0" w:line="360" w:lineRule="auto"/>
      <w:ind w:left="0" w:firstLine="420"/>
    </w:pPr>
    <w:rPr>
      <w:rFonts w:ascii="宋体" w:hAnsi="宋体"/>
      <w:sz w:val="20"/>
      <w:szCs w:val="20"/>
      <w:lang w:eastAsia="en-US"/>
    </w:rPr>
  </w:style>
  <w:style w:type="table" w:styleId="48">
    <w:name w:val="Table Grid"/>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basedOn w:val="49"/>
    <w:qFormat/>
    <w:uiPriority w:val="0"/>
    <w:rPr>
      <w:b/>
      <w:bCs/>
    </w:rPr>
  </w:style>
  <w:style w:type="character" w:styleId="51">
    <w:name w:val="endnote reference"/>
    <w:qFormat/>
    <w:uiPriority w:val="0"/>
    <w:rPr>
      <w:vertAlign w:val="superscript"/>
    </w:rPr>
  </w:style>
  <w:style w:type="character" w:styleId="52">
    <w:name w:val="page number"/>
    <w:basedOn w:val="49"/>
    <w:qFormat/>
    <w:uiPriority w:val="0"/>
  </w:style>
  <w:style w:type="character" w:styleId="53">
    <w:name w:val="FollowedHyperlink"/>
    <w:qFormat/>
    <w:uiPriority w:val="0"/>
    <w:rPr>
      <w:rFonts w:ascii="宋体" w:hAnsi="宋体" w:eastAsia="宋体" w:cs="宋体"/>
      <w:color w:val="3D3D3D"/>
      <w:u w:val="none"/>
    </w:rPr>
  </w:style>
  <w:style w:type="character" w:styleId="54">
    <w:name w:val="Hyperlink"/>
    <w:basedOn w:val="49"/>
    <w:qFormat/>
    <w:uiPriority w:val="99"/>
    <w:rPr>
      <w:rFonts w:ascii="宋体" w:hAnsi="宋体" w:eastAsia="宋体" w:cs="宋体"/>
      <w:color w:val="3D3D3D"/>
      <w:u w:val="none"/>
    </w:rPr>
  </w:style>
  <w:style w:type="character" w:styleId="55">
    <w:name w:val="annotation reference"/>
    <w:qFormat/>
    <w:uiPriority w:val="0"/>
    <w:rPr>
      <w:sz w:val="21"/>
      <w:szCs w:val="21"/>
    </w:rPr>
  </w:style>
  <w:style w:type="character" w:styleId="56">
    <w:name w:val="footnote reference"/>
    <w:qFormat/>
    <w:uiPriority w:val="0"/>
    <w:rPr>
      <w:vertAlign w:val="superscript"/>
    </w:rPr>
  </w:style>
  <w:style w:type="character" w:customStyle="1" w:styleId="57">
    <w:name w:val="Heading 1 Char"/>
    <w:basedOn w:val="49"/>
    <w:qFormat/>
    <w:uiPriority w:val="9"/>
    <w:rPr>
      <w:rFonts w:ascii="Arial" w:hAnsi="Arial" w:eastAsia="Arial" w:cs="Arial"/>
      <w:sz w:val="40"/>
      <w:szCs w:val="40"/>
    </w:rPr>
  </w:style>
  <w:style w:type="character" w:customStyle="1" w:styleId="58">
    <w:name w:val="Heading 2 Char"/>
    <w:basedOn w:val="49"/>
    <w:qFormat/>
    <w:uiPriority w:val="9"/>
    <w:rPr>
      <w:rFonts w:ascii="Arial" w:hAnsi="Arial" w:eastAsia="Arial" w:cs="Arial"/>
      <w:sz w:val="34"/>
    </w:rPr>
  </w:style>
  <w:style w:type="character" w:customStyle="1" w:styleId="59">
    <w:name w:val="Heading 3 Char"/>
    <w:basedOn w:val="49"/>
    <w:qFormat/>
    <w:uiPriority w:val="9"/>
    <w:rPr>
      <w:rFonts w:ascii="Arial" w:hAnsi="Arial" w:eastAsia="Arial" w:cs="Arial"/>
      <w:sz w:val="30"/>
      <w:szCs w:val="30"/>
    </w:rPr>
  </w:style>
  <w:style w:type="character" w:customStyle="1" w:styleId="60">
    <w:name w:val="Heading 4 Char"/>
    <w:basedOn w:val="49"/>
    <w:qFormat/>
    <w:uiPriority w:val="9"/>
    <w:rPr>
      <w:rFonts w:ascii="Arial" w:hAnsi="Arial" w:eastAsia="Arial" w:cs="Arial"/>
      <w:b/>
      <w:bCs/>
      <w:sz w:val="26"/>
      <w:szCs w:val="26"/>
    </w:rPr>
  </w:style>
  <w:style w:type="character" w:customStyle="1" w:styleId="61">
    <w:name w:val="Heading 5 Char"/>
    <w:basedOn w:val="49"/>
    <w:qFormat/>
    <w:uiPriority w:val="9"/>
    <w:rPr>
      <w:rFonts w:ascii="Arial" w:hAnsi="Arial" w:eastAsia="Arial" w:cs="Arial"/>
      <w:b/>
      <w:bCs/>
      <w:sz w:val="24"/>
      <w:szCs w:val="24"/>
    </w:rPr>
  </w:style>
  <w:style w:type="character" w:customStyle="1" w:styleId="62">
    <w:name w:val="Heading 6 Char"/>
    <w:basedOn w:val="49"/>
    <w:qFormat/>
    <w:uiPriority w:val="9"/>
    <w:rPr>
      <w:rFonts w:ascii="Arial" w:hAnsi="Arial" w:eastAsia="Arial" w:cs="Arial"/>
      <w:b/>
      <w:bCs/>
      <w:sz w:val="22"/>
      <w:szCs w:val="22"/>
    </w:rPr>
  </w:style>
  <w:style w:type="character" w:customStyle="1" w:styleId="63">
    <w:name w:val="Heading 7 Char"/>
    <w:basedOn w:val="49"/>
    <w:qFormat/>
    <w:uiPriority w:val="9"/>
    <w:rPr>
      <w:rFonts w:ascii="Arial" w:hAnsi="Arial" w:eastAsia="Arial" w:cs="Arial"/>
      <w:b/>
      <w:bCs/>
      <w:i/>
      <w:iCs/>
      <w:sz w:val="22"/>
      <w:szCs w:val="22"/>
    </w:rPr>
  </w:style>
  <w:style w:type="character" w:customStyle="1" w:styleId="64">
    <w:name w:val="Heading 8 Char"/>
    <w:basedOn w:val="49"/>
    <w:qFormat/>
    <w:uiPriority w:val="9"/>
    <w:rPr>
      <w:rFonts w:ascii="Arial" w:hAnsi="Arial" w:eastAsia="Arial" w:cs="Arial"/>
      <w:i/>
      <w:iCs/>
      <w:sz w:val="22"/>
      <w:szCs w:val="22"/>
    </w:rPr>
  </w:style>
  <w:style w:type="character" w:customStyle="1" w:styleId="65">
    <w:name w:val="Heading 9 Char"/>
    <w:basedOn w:val="49"/>
    <w:qFormat/>
    <w:uiPriority w:val="9"/>
    <w:rPr>
      <w:rFonts w:ascii="Arial" w:hAnsi="Arial" w:eastAsia="Arial" w:cs="Arial"/>
      <w:i/>
      <w:iCs/>
      <w:sz w:val="21"/>
      <w:szCs w:val="21"/>
    </w:rPr>
  </w:style>
  <w:style w:type="character" w:customStyle="1" w:styleId="66">
    <w:name w:val="Subtitle Char"/>
    <w:basedOn w:val="49"/>
    <w:qFormat/>
    <w:uiPriority w:val="11"/>
    <w:rPr>
      <w:sz w:val="24"/>
      <w:szCs w:val="24"/>
    </w:rPr>
  </w:style>
  <w:style w:type="character" w:customStyle="1" w:styleId="67">
    <w:name w:val="Quote Char"/>
    <w:qFormat/>
    <w:uiPriority w:val="29"/>
    <w:rPr>
      <w:i/>
    </w:rPr>
  </w:style>
  <w:style w:type="character" w:customStyle="1" w:styleId="68">
    <w:name w:val="Intense Quote Char"/>
    <w:qFormat/>
    <w:uiPriority w:val="30"/>
    <w:rPr>
      <w:i/>
    </w:rPr>
  </w:style>
  <w:style w:type="character" w:customStyle="1" w:styleId="69">
    <w:name w:val="Endnote Text Char"/>
    <w:qFormat/>
    <w:uiPriority w:val="99"/>
    <w:rPr>
      <w:sz w:val="20"/>
    </w:rPr>
  </w:style>
  <w:style w:type="paragraph" w:customStyle="1" w:styleId="70">
    <w:name w:val="TOC Heading"/>
    <w:unhideWhenUsed/>
    <w:qFormat/>
    <w:uiPriority w:val="39"/>
    <w:rPr>
      <w:rFonts w:hint="default" w:ascii="Times New Roman" w:hAnsi="Times New Roman" w:eastAsia="宋体" w:cs="Times New Roman"/>
    </w:rPr>
  </w:style>
  <w:style w:type="character" w:customStyle="1" w:styleId="71">
    <w:name w:val="Endnote Characters"/>
    <w:basedOn w:val="49"/>
    <w:semiHidden/>
    <w:unhideWhenUsed/>
    <w:qFormat/>
    <w:uiPriority w:val="99"/>
    <w:rPr>
      <w:vertAlign w:val="superscript"/>
    </w:rPr>
  </w:style>
  <w:style w:type="character" w:customStyle="1" w:styleId="72">
    <w:name w:val="Footnote Characters"/>
    <w:basedOn w:val="49"/>
    <w:unhideWhenUsed/>
    <w:qFormat/>
    <w:uiPriority w:val="99"/>
    <w:rPr>
      <w:vertAlign w:val="superscript"/>
    </w:rPr>
  </w:style>
  <w:style w:type="character" w:customStyle="1" w:styleId="73">
    <w:name w:val="标题 6 Char"/>
    <w:basedOn w:val="49"/>
    <w:qFormat/>
    <w:uiPriority w:val="9"/>
    <w:rPr>
      <w:rFonts w:ascii="Arial" w:hAnsi="Arial" w:eastAsia="Arial" w:cs="Arial"/>
      <w:b/>
      <w:bCs/>
      <w:sz w:val="22"/>
      <w:szCs w:val="22"/>
    </w:rPr>
  </w:style>
  <w:style w:type="character" w:customStyle="1" w:styleId="74">
    <w:name w:val="标题 7 Char"/>
    <w:basedOn w:val="49"/>
    <w:qFormat/>
    <w:uiPriority w:val="9"/>
    <w:rPr>
      <w:rFonts w:ascii="Arial" w:hAnsi="Arial" w:eastAsia="Arial" w:cs="Arial"/>
      <w:b/>
      <w:bCs/>
      <w:i/>
      <w:iCs/>
      <w:sz w:val="22"/>
      <w:szCs w:val="22"/>
    </w:rPr>
  </w:style>
  <w:style w:type="character" w:customStyle="1" w:styleId="75">
    <w:name w:val="标题 8 Char"/>
    <w:basedOn w:val="49"/>
    <w:qFormat/>
    <w:uiPriority w:val="9"/>
    <w:rPr>
      <w:rFonts w:ascii="Arial" w:hAnsi="Arial" w:eastAsia="Arial" w:cs="Arial"/>
      <w:i/>
      <w:iCs/>
      <w:sz w:val="22"/>
      <w:szCs w:val="22"/>
    </w:rPr>
  </w:style>
  <w:style w:type="character" w:customStyle="1" w:styleId="76">
    <w:name w:val="标题 9 Char"/>
    <w:basedOn w:val="49"/>
    <w:qFormat/>
    <w:uiPriority w:val="9"/>
    <w:rPr>
      <w:rFonts w:ascii="Arial" w:hAnsi="Arial" w:eastAsia="Arial" w:cs="Arial"/>
      <w:i/>
      <w:iCs/>
      <w:sz w:val="21"/>
      <w:szCs w:val="21"/>
    </w:rPr>
  </w:style>
  <w:style w:type="character" w:customStyle="1" w:styleId="77">
    <w:name w:val="Title Char"/>
    <w:basedOn w:val="49"/>
    <w:qFormat/>
    <w:uiPriority w:val="10"/>
    <w:rPr>
      <w:sz w:val="48"/>
      <w:szCs w:val="48"/>
    </w:rPr>
  </w:style>
  <w:style w:type="character" w:customStyle="1" w:styleId="78">
    <w:name w:val="副标题 Char"/>
    <w:basedOn w:val="49"/>
    <w:link w:val="35"/>
    <w:qFormat/>
    <w:uiPriority w:val="11"/>
    <w:rPr>
      <w:sz w:val="24"/>
      <w:szCs w:val="24"/>
    </w:rPr>
  </w:style>
  <w:style w:type="character" w:customStyle="1" w:styleId="79">
    <w:name w:val="引用 Char"/>
    <w:link w:val="80"/>
    <w:qFormat/>
    <w:uiPriority w:val="29"/>
    <w:rPr>
      <w:i/>
    </w:rPr>
  </w:style>
  <w:style w:type="paragraph" w:styleId="80">
    <w:name w:val="Quote"/>
    <w:basedOn w:val="1"/>
    <w:next w:val="1"/>
    <w:link w:val="79"/>
    <w:qFormat/>
    <w:uiPriority w:val="29"/>
    <w:pPr>
      <w:ind w:left="720" w:right="720"/>
    </w:pPr>
    <w:rPr>
      <w:i/>
    </w:rPr>
  </w:style>
  <w:style w:type="character" w:customStyle="1" w:styleId="81">
    <w:name w:val="明显引用 Char"/>
    <w:link w:val="82"/>
    <w:qFormat/>
    <w:uiPriority w:val="30"/>
    <w:rPr>
      <w:i/>
    </w:rPr>
  </w:style>
  <w:style w:type="paragraph" w:styleId="82">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3">
    <w:name w:val="Header Char"/>
    <w:basedOn w:val="49"/>
    <w:qFormat/>
    <w:uiPriority w:val="99"/>
  </w:style>
  <w:style w:type="character" w:customStyle="1" w:styleId="84">
    <w:name w:val="Footer Char"/>
    <w:basedOn w:val="49"/>
    <w:qFormat/>
    <w:uiPriority w:val="99"/>
  </w:style>
  <w:style w:type="character" w:customStyle="1" w:styleId="85">
    <w:name w:val="Caption Char"/>
    <w:qFormat/>
    <w:uiPriority w:val="99"/>
  </w:style>
  <w:style w:type="character" w:customStyle="1" w:styleId="86">
    <w:name w:val="Footnote Text Char"/>
    <w:qFormat/>
    <w:uiPriority w:val="99"/>
    <w:rPr>
      <w:sz w:val="18"/>
    </w:rPr>
  </w:style>
  <w:style w:type="character" w:customStyle="1" w:styleId="87">
    <w:name w:val="尾注文本 Char"/>
    <w:link w:val="29"/>
    <w:qFormat/>
    <w:uiPriority w:val="99"/>
    <w:rPr>
      <w:sz w:val="20"/>
    </w:rPr>
  </w:style>
  <w:style w:type="character" w:customStyle="1" w:styleId="88">
    <w:name w:val="标题 1 Char"/>
    <w:basedOn w:val="49"/>
    <w:qFormat/>
    <w:uiPriority w:val="0"/>
    <w:rPr>
      <w:rFonts w:ascii="Times New Roman" w:hAnsi="Times New Roman" w:eastAsia="宋体" w:cs="Times New Roman"/>
      <w:b/>
      <w:sz w:val="44"/>
      <w:szCs w:val="20"/>
      <w:lang w:val="en-US" w:eastAsia="zh-CN" w:bidi="ar-SA"/>
    </w:rPr>
  </w:style>
  <w:style w:type="character" w:customStyle="1" w:styleId="89">
    <w:name w:val="标题 2 Char"/>
    <w:basedOn w:val="49"/>
    <w:qFormat/>
    <w:uiPriority w:val="0"/>
    <w:rPr>
      <w:rFonts w:ascii="Arial" w:hAnsi="Arial" w:eastAsia="黑体" w:cs="Times New Roman"/>
      <w:b/>
      <w:bCs/>
      <w:sz w:val="32"/>
      <w:szCs w:val="32"/>
      <w:lang w:val="en-US" w:eastAsia="zh-CN" w:bidi="ar-SA"/>
    </w:rPr>
  </w:style>
  <w:style w:type="character" w:customStyle="1" w:styleId="90">
    <w:name w:val="标题 3 Char"/>
    <w:basedOn w:val="49"/>
    <w:qFormat/>
    <w:uiPriority w:val="0"/>
    <w:rPr>
      <w:rFonts w:ascii="Times New Roman" w:hAnsi="Times New Roman" w:eastAsia="宋体" w:cs="Times New Roman"/>
      <w:b/>
      <w:bCs/>
      <w:sz w:val="32"/>
      <w:szCs w:val="32"/>
      <w:lang w:val="en-US" w:eastAsia="zh-CN" w:bidi="ar-SA"/>
    </w:rPr>
  </w:style>
  <w:style w:type="character" w:customStyle="1" w:styleId="91">
    <w:name w:val="标题 4 Char"/>
    <w:basedOn w:val="49"/>
    <w:qFormat/>
    <w:uiPriority w:val="0"/>
    <w:rPr>
      <w:rFonts w:ascii="Cambria" w:hAnsi="Cambria" w:eastAsia="宋体" w:cs="Times New Roman"/>
      <w:b/>
      <w:bCs/>
      <w:sz w:val="28"/>
      <w:szCs w:val="28"/>
      <w:lang w:val="en-US" w:eastAsia="zh-CN" w:bidi="ar-SA"/>
    </w:rPr>
  </w:style>
  <w:style w:type="character" w:customStyle="1" w:styleId="92">
    <w:name w:val="标题 5 Char"/>
    <w:basedOn w:val="49"/>
    <w:qFormat/>
    <w:uiPriority w:val="0"/>
    <w:rPr>
      <w:rFonts w:ascii="Times New Roman" w:hAnsi="Times New Roman" w:eastAsia="宋体" w:cs="Times New Roman"/>
      <w:b/>
      <w:bCs/>
      <w:sz w:val="24"/>
      <w:szCs w:val="28"/>
      <w:lang w:val="en-US" w:eastAsia="zh-CN" w:bidi="ar-SA"/>
    </w:rPr>
  </w:style>
  <w:style w:type="character" w:customStyle="1" w:styleId="93">
    <w:name w:val="font01"/>
    <w:qFormat/>
    <w:uiPriority w:val="0"/>
    <w:rPr>
      <w:rFonts w:ascii="宋体" w:hAnsi="宋体" w:eastAsia="宋体" w:cs="宋体"/>
      <w:b/>
      <w:color w:val="000000"/>
      <w:sz w:val="24"/>
      <w:szCs w:val="24"/>
      <w:u w:val="none"/>
    </w:rPr>
  </w:style>
  <w:style w:type="character" w:customStyle="1" w:styleId="94">
    <w:name w:val="jj101"/>
    <w:qFormat/>
    <w:uiPriority w:val="0"/>
    <w:rPr>
      <w:sz w:val="20"/>
      <w:szCs w:val="20"/>
      <w:u w:val="none"/>
    </w:rPr>
  </w:style>
  <w:style w:type="character" w:customStyle="1" w:styleId="95">
    <w:name w:val="尾注文本 Char1"/>
    <w:qFormat/>
    <w:uiPriority w:val="0"/>
    <w:rPr>
      <w:sz w:val="21"/>
      <w:szCs w:val="21"/>
    </w:rPr>
  </w:style>
  <w:style w:type="character" w:customStyle="1" w:styleId="96">
    <w:name w:val="font31"/>
    <w:qFormat/>
    <w:uiPriority w:val="0"/>
    <w:rPr>
      <w:rFonts w:ascii="Times New Roman" w:hAnsi="Times New Roman" w:cs="Times New Roman"/>
      <w:b/>
      <w:color w:val="000000"/>
      <w:sz w:val="24"/>
      <w:szCs w:val="24"/>
      <w:u w:val="none"/>
    </w:rPr>
  </w:style>
  <w:style w:type="character" w:customStyle="1" w:styleId="97">
    <w:name w:val="纯文本 Char1"/>
    <w:qFormat/>
    <w:uiPriority w:val="0"/>
    <w:rPr>
      <w:rFonts w:ascii="宋体" w:hAnsi="宋体" w:eastAsia="宋体"/>
      <w:sz w:val="21"/>
      <w:lang w:val="en-US" w:eastAsia="zh-CN" w:bidi="ar-SA"/>
    </w:rPr>
  </w:style>
  <w:style w:type="character" w:customStyle="1" w:styleId="98">
    <w:name w:val="正文文本 2 Char3"/>
    <w:qFormat/>
    <w:uiPriority w:val="0"/>
    <w:rPr>
      <w:rFonts w:ascii="Times New Roman" w:hAnsi="Times New Roman" w:eastAsia="宋体" w:cs="Times New Roman"/>
      <w:sz w:val="24"/>
      <w:szCs w:val="21"/>
    </w:rPr>
  </w:style>
  <w:style w:type="character" w:customStyle="1" w:styleId="99">
    <w:name w:val="16"/>
    <w:qFormat/>
    <w:uiPriority w:val="0"/>
    <w:rPr>
      <w:rFonts w:ascii="Times New Roman" w:hAnsi="Times New Roman" w:cs="Times New Roman"/>
      <w:color w:val="0000FF"/>
      <w:u w:val="single"/>
    </w:rPr>
  </w:style>
  <w:style w:type="character" w:customStyle="1" w:styleId="100">
    <w:name w:val="btitle"/>
    <w:basedOn w:val="49"/>
    <w:qFormat/>
    <w:uiPriority w:val="0"/>
  </w:style>
  <w:style w:type="character" w:customStyle="1" w:styleId="101">
    <w:name w:val="active"/>
    <w:basedOn w:val="49"/>
    <w:qFormat/>
    <w:uiPriority w:val="0"/>
    <w:rPr>
      <w:color w:val="FFFFFF"/>
      <w:shd w:val="clear" w:color="auto" w:fill="0F5BB9"/>
    </w:rPr>
  </w:style>
  <w:style w:type="character" w:customStyle="1" w:styleId="102">
    <w:name w:val="active16"/>
    <w:basedOn w:val="49"/>
    <w:qFormat/>
    <w:uiPriority w:val="0"/>
    <w:rPr>
      <w:color w:val="FFFFFF"/>
      <w:shd w:val="clear" w:color="auto" w:fill="0F5BB9"/>
    </w:rPr>
  </w:style>
  <w:style w:type="character" w:customStyle="1" w:styleId="103">
    <w:name w:val="NormalCharacter"/>
    <w:qFormat/>
    <w:uiPriority w:val="0"/>
  </w:style>
  <w:style w:type="character" w:customStyle="1" w:styleId="104">
    <w:name w:val="索引链接"/>
    <w:qFormat/>
    <w:uiPriority w:val="0"/>
  </w:style>
  <w:style w:type="paragraph" w:customStyle="1" w:styleId="105">
    <w:name w:val="标题样式"/>
    <w:basedOn w:val="1"/>
    <w:next w:val="19"/>
    <w:qFormat/>
    <w:uiPriority w:val="0"/>
    <w:pPr>
      <w:keepNext/>
      <w:spacing w:before="240" w:after="120"/>
    </w:pPr>
    <w:rPr>
      <w:rFonts w:ascii="Liberation Sans" w:hAnsi="Liberation Sans" w:eastAsia="微软雅黑" w:cs="Lucida Sans"/>
      <w:sz w:val="28"/>
      <w:szCs w:val="28"/>
    </w:rPr>
  </w:style>
  <w:style w:type="paragraph" w:customStyle="1" w:styleId="106">
    <w:name w:val="索引"/>
    <w:basedOn w:val="1"/>
    <w:qFormat/>
    <w:uiPriority w:val="0"/>
    <w:pPr>
      <w:suppressLineNumbers/>
    </w:pPr>
    <w:rPr>
      <w:rFonts w:cs="Lucida Sans"/>
      <w:lang w:val="zh-CN" w:bidi="zh-CN"/>
    </w:rPr>
  </w:style>
  <w:style w:type="paragraph" w:customStyle="1" w:styleId="107">
    <w:name w:val="页眉与页脚"/>
    <w:basedOn w:val="1"/>
    <w:qFormat/>
    <w:uiPriority w:val="0"/>
  </w:style>
  <w:style w:type="paragraph" w:customStyle="1" w:styleId="108">
    <w:name w:val="段"/>
    <w:qFormat/>
    <w:uiPriority w:val="0"/>
    <w:pPr>
      <w:tabs>
        <w:tab w:val="center" w:pos="4201"/>
        <w:tab w:val="right" w:leader="dot" w:pos="9298"/>
      </w:tabs>
      <w:spacing w:after="200" w:line="276" w:lineRule="auto"/>
      <w:ind w:firstLine="420"/>
      <w:jc w:val="both"/>
    </w:pPr>
    <w:rPr>
      <w:rFonts w:hint="default" w:ascii="宋体" w:hAnsiTheme="minorHAnsi" w:eastAsiaTheme="minorEastAsia" w:cstheme="minorBidi"/>
    </w:rPr>
  </w:style>
  <w:style w:type="paragraph" w:styleId="109">
    <w:name w:val="No Spacing"/>
    <w:qFormat/>
    <w:uiPriority w:val="1"/>
    <w:rPr>
      <w:rFonts w:hint="default" w:ascii="Times New Roman" w:hAnsi="Times New Roman" w:eastAsia="宋体" w:cs="Arial"/>
    </w:rPr>
  </w:style>
  <w:style w:type="paragraph" w:customStyle="1" w:styleId="110">
    <w:name w:val="TOC 标题1"/>
    <w:unhideWhenUsed/>
    <w:qFormat/>
    <w:uiPriority w:val="39"/>
    <w:rPr>
      <w:rFonts w:hint="default" w:ascii="Times New Roman" w:hAnsi="Times New Roman" w:eastAsia="宋体" w:cs="Arial"/>
    </w:rPr>
  </w:style>
  <w:style w:type="paragraph" w:customStyle="1" w:styleId="111">
    <w:name w:val="正文文本 21"/>
    <w:basedOn w:val="1"/>
    <w:qFormat/>
    <w:uiPriority w:val="0"/>
    <w:pPr>
      <w:widowControl/>
      <w:jc w:val="center"/>
    </w:pPr>
    <w:rPr>
      <w:rFonts w:ascii="楷体_GB2312" w:hAnsi="楷体_GB2312" w:eastAsia="楷体_GB2312"/>
      <w:sz w:val="28"/>
      <w:szCs w:val="28"/>
    </w:rPr>
  </w:style>
  <w:style w:type="paragraph" w:customStyle="1" w:styleId="112">
    <w:name w:val="1"/>
    <w:basedOn w:val="2"/>
    <w:next w:val="1"/>
    <w:qFormat/>
    <w:uiPriority w:val="0"/>
    <w:pPr>
      <w:keepLines/>
      <w:spacing w:before="240" w:after="240"/>
      <w:ind w:left="100" w:right="100" w:firstLine="200"/>
      <w:jc w:val="left"/>
    </w:pPr>
    <w:rPr>
      <w:rFonts w:ascii="宋体" w:hAnsi="宋体"/>
      <w:sz w:val="32"/>
      <w:szCs w:val="44"/>
    </w:rPr>
  </w:style>
  <w:style w:type="paragraph" w:customStyle="1" w:styleId="113">
    <w:name w:val="DL 段落缩进2"/>
    <w:basedOn w:val="1"/>
    <w:qFormat/>
    <w:uiPriority w:val="0"/>
    <w:pPr>
      <w:ind w:firstLine="200"/>
    </w:pPr>
    <w:rPr>
      <w:rFonts w:ascii="宋体" w:hAnsi="宋体"/>
      <w:szCs w:val="21"/>
    </w:rPr>
  </w:style>
  <w:style w:type="paragraph" w:customStyle="1" w:styleId="114">
    <w:name w:val="List Paragraph1"/>
    <w:basedOn w:val="1"/>
    <w:qFormat/>
    <w:uiPriority w:val="0"/>
    <w:pPr>
      <w:spacing w:line="360" w:lineRule="atLeast"/>
      <w:ind w:firstLine="420"/>
      <w:jc w:val="left"/>
    </w:pPr>
    <w:rPr>
      <w:rFonts w:ascii="Calibri" w:hAnsi="Calibri"/>
      <w:sz w:val="22"/>
    </w:rPr>
  </w:style>
  <w:style w:type="paragraph" w:customStyle="1" w:styleId="115">
    <w:name w:val="文字"/>
    <w:basedOn w:val="1"/>
    <w:qFormat/>
    <w:uiPriority w:val="0"/>
    <w:pPr>
      <w:tabs>
        <w:tab w:val="left" w:pos="8520"/>
      </w:tabs>
      <w:spacing w:line="312" w:lineRule="auto"/>
      <w:ind w:right="-210" w:firstLine="556"/>
    </w:pPr>
    <w:rPr>
      <w:rFonts w:ascii="宋体" w:hAnsi="宋体"/>
      <w:sz w:val="28"/>
      <w:szCs w:val="18"/>
    </w:rPr>
  </w:style>
  <w:style w:type="paragraph" w:customStyle="1" w:styleId="116">
    <w:name w:val="样式 标题 2 + Times New Roman 四号 非加粗 段前: 5 磅 段后: 0 磅 行距: 固定值 20..."/>
    <w:basedOn w:val="3"/>
    <w:next w:val="25"/>
    <w:qFormat/>
    <w:uiPriority w:val="0"/>
    <w:pPr>
      <w:spacing w:before="100" w:after="0" w:line="400" w:lineRule="exact"/>
    </w:pPr>
    <w:rPr>
      <w:rFonts w:ascii="等线" w:hAnsi="等线"/>
      <w:b w:val="0"/>
      <w:bCs w:val="0"/>
      <w:sz w:val="28"/>
      <w:szCs w:val="20"/>
    </w:rPr>
  </w:style>
  <w:style w:type="paragraph" w:customStyle="1" w:styleId="117">
    <w:name w:val="纯文本1"/>
    <w:basedOn w:val="1"/>
    <w:next w:val="118"/>
    <w:qFormat/>
    <w:uiPriority w:val="0"/>
    <w:pPr>
      <w:spacing w:line="360" w:lineRule="auto"/>
      <w:ind w:firstLine="200"/>
    </w:pPr>
    <w:rPr>
      <w:rFonts w:ascii="宋体" w:hAnsi="宋体"/>
      <w:sz w:val="24"/>
      <w:szCs w:val="21"/>
    </w:rPr>
  </w:style>
  <w:style w:type="paragraph" w:customStyle="1" w:styleId="118">
    <w:name w:val="正文缩进1"/>
    <w:basedOn w:val="1"/>
    <w:next w:val="1"/>
    <w:qFormat/>
    <w:uiPriority w:val="0"/>
    <w:pPr>
      <w:ind w:firstLine="420"/>
    </w:pPr>
  </w:style>
  <w:style w:type="paragraph" w:customStyle="1" w:styleId="119">
    <w:name w:val="2"/>
    <w:basedOn w:val="3"/>
    <w:next w:val="1"/>
    <w:qFormat/>
    <w:uiPriority w:val="0"/>
    <w:pPr>
      <w:spacing w:before="0" w:after="0" w:line="360" w:lineRule="auto"/>
      <w:ind w:left="990" w:right="240" w:hanging="567"/>
    </w:pPr>
    <w:rPr>
      <w:rFonts w:ascii="Cambria" w:hAnsi="Cambria" w:eastAsia="等线"/>
      <w:sz w:val="28"/>
    </w:rPr>
  </w:style>
  <w:style w:type="paragraph" w:customStyle="1" w:styleId="120">
    <w:name w:val="xl99"/>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right"/>
    </w:pPr>
    <w:rPr>
      <w:rFonts w:ascii="宋体" w:hAnsi="宋体" w:cs="宋体"/>
      <w:color w:val="0000FF"/>
      <w:sz w:val="24"/>
      <w:szCs w:val="24"/>
    </w:rPr>
  </w:style>
  <w:style w:type="paragraph" w:customStyle="1" w:styleId="121">
    <w:name w:val="font8"/>
    <w:basedOn w:val="1"/>
    <w:qFormat/>
    <w:uiPriority w:val="0"/>
    <w:pPr>
      <w:widowControl/>
      <w:spacing w:beforeAutospacing="1" w:afterAutospacing="1"/>
      <w:jc w:val="left"/>
    </w:pPr>
    <w:rPr>
      <w:color w:val="000000"/>
      <w:sz w:val="22"/>
      <w:szCs w:val="22"/>
    </w:rPr>
  </w:style>
  <w:style w:type="paragraph" w:customStyle="1" w:styleId="122">
    <w:name w:val="xl83"/>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left"/>
    </w:pPr>
    <w:rPr>
      <w:rFonts w:ascii="宋体" w:hAnsi="宋体" w:cs="宋体"/>
      <w:sz w:val="24"/>
      <w:szCs w:val="24"/>
    </w:rPr>
  </w:style>
  <w:style w:type="paragraph" w:customStyle="1" w:styleId="123">
    <w:name w:val="xl25"/>
    <w:basedOn w:val="1"/>
    <w:qFormat/>
    <w:uiPriority w:val="0"/>
    <w:pPr>
      <w:widowControl/>
      <w:spacing w:beforeAutospacing="1" w:afterAutospacing="1"/>
      <w:jc w:val="center"/>
    </w:pPr>
    <w:rPr>
      <w:rFonts w:ascii="Arial Unicode MS" w:hAnsi="Arial Unicode MS" w:eastAsia="Arial Unicode MS" w:cs="Arial Unicode MS"/>
      <w:sz w:val="24"/>
      <w:szCs w:val="24"/>
    </w:rPr>
  </w:style>
  <w:style w:type="paragraph" w:customStyle="1" w:styleId="124">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25">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26">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color w:val="000000"/>
      <w:sz w:val="24"/>
      <w:szCs w:val="24"/>
    </w:rPr>
  </w:style>
  <w:style w:type="paragraph" w:customStyle="1" w:styleId="127">
    <w:name w:val="xl117"/>
    <w:basedOn w:val="1"/>
    <w:qFormat/>
    <w:uiPriority w:val="0"/>
    <w:pPr>
      <w:widowControl/>
      <w:pBdr>
        <w:top w:val="single" w:color="000000" w:sz="8" w:space="0"/>
        <w:left w:val="single" w:color="000000" w:sz="4" w:space="0"/>
        <w:bottom w:val="single" w:color="000000" w:sz="4" w:space="0"/>
        <w:right w:val="single" w:color="000000" w:sz="8" w:space="0"/>
      </w:pBdr>
      <w:shd w:val="clear" w:color="000000" w:fill="FFFFFF"/>
      <w:spacing w:beforeAutospacing="1" w:afterAutospacing="1"/>
      <w:jc w:val="center"/>
    </w:pPr>
    <w:rPr>
      <w:rFonts w:ascii="宋体" w:hAnsi="宋体" w:cs="宋体"/>
      <w:b/>
      <w:bCs/>
      <w:color w:val="000000"/>
      <w:sz w:val="24"/>
      <w:szCs w:val="24"/>
    </w:rPr>
  </w:style>
  <w:style w:type="paragraph" w:customStyle="1" w:styleId="128">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18"/>
      <w:szCs w:val="18"/>
    </w:rPr>
  </w:style>
  <w:style w:type="paragraph" w:customStyle="1" w:styleId="129">
    <w:name w:val="xl95"/>
    <w:basedOn w:val="1"/>
    <w:qFormat/>
    <w:uiPriority w:val="0"/>
    <w:pPr>
      <w:widowControl/>
      <w:pBdr>
        <w:top w:val="single" w:color="000000" w:sz="4" w:space="0"/>
        <w:left w:val="single" w:color="000000" w:sz="8" w:space="0"/>
        <w:bottom w:val="single" w:color="000000" w:sz="4" w:space="0"/>
        <w:right w:val="single" w:color="000000" w:sz="4" w:space="0"/>
      </w:pBdr>
      <w:spacing w:beforeAutospacing="1" w:afterAutospacing="1"/>
      <w:jc w:val="center"/>
    </w:pPr>
    <w:rPr>
      <w:rFonts w:ascii="宋体" w:hAnsi="宋体" w:cs="宋体"/>
      <w:color w:val="000000"/>
      <w:sz w:val="24"/>
      <w:szCs w:val="24"/>
    </w:rPr>
  </w:style>
  <w:style w:type="paragraph" w:customStyle="1" w:styleId="130">
    <w:name w:val="xl101"/>
    <w:basedOn w:val="1"/>
    <w:qFormat/>
    <w:uiPriority w:val="0"/>
    <w:pPr>
      <w:widowControl/>
      <w:pBdr>
        <w:left w:val="single" w:color="000000" w:sz="4" w:space="0"/>
        <w:right w:val="single" w:color="000000" w:sz="4" w:space="0"/>
      </w:pBdr>
      <w:spacing w:beforeAutospacing="1" w:afterAutospacing="1"/>
      <w:jc w:val="center"/>
    </w:pPr>
    <w:rPr>
      <w:rFonts w:ascii="宋体" w:hAnsi="宋体" w:cs="宋体"/>
      <w:sz w:val="24"/>
      <w:szCs w:val="24"/>
    </w:rPr>
  </w:style>
  <w:style w:type="paragraph" w:customStyle="1" w:styleId="131">
    <w:name w:val="Char3"/>
    <w:basedOn w:val="1"/>
    <w:qFormat/>
    <w:uiPriority w:val="0"/>
    <w:rPr>
      <w:szCs w:val="24"/>
    </w:rPr>
  </w:style>
  <w:style w:type="paragraph" w:customStyle="1" w:styleId="132">
    <w:name w:val="正文(其它)"/>
    <w:basedOn w:val="1"/>
    <w:qFormat/>
    <w:uiPriority w:val="0"/>
    <w:pPr>
      <w:jc w:val="center"/>
    </w:pPr>
    <w:rPr>
      <w:rFonts w:ascii="黑体" w:hAnsi="黑体" w:eastAsia="黑体"/>
      <w:sz w:val="32"/>
      <w:szCs w:val="32"/>
    </w:rPr>
  </w:style>
  <w:style w:type="paragraph" w:customStyle="1" w:styleId="133">
    <w:name w:val="Body text|2"/>
    <w:basedOn w:val="1"/>
    <w:qFormat/>
    <w:uiPriority w:val="0"/>
    <w:pPr>
      <w:spacing w:line="314" w:lineRule="exact"/>
      <w:ind w:left="400" w:hanging="400"/>
    </w:pPr>
    <w:rPr>
      <w:rFonts w:ascii="宋体" w:hAnsi="宋体" w:cs="宋体"/>
      <w:sz w:val="20"/>
      <w:lang w:val="zh-TW" w:eastAsia="zh-TW" w:bidi="zh-TW"/>
    </w:rPr>
  </w:style>
  <w:style w:type="paragraph" w:customStyle="1" w:styleId="13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rFonts w:ascii="宋体" w:hAnsi="宋体" w:cs="宋体"/>
      <w:sz w:val="24"/>
      <w:szCs w:val="24"/>
    </w:rPr>
  </w:style>
  <w:style w:type="paragraph" w:customStyle="1" w:styleId="135">
    <w:name w:val="xl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18"/>
      <w:szCs w:val="18"/>
    </w:rPr>
  </w:style>
  <w:style w:type="paragraph" w:customStyle="1" w:styleId="136">
    <w:name w:val="xl100"/>
    <w:basedOn w:val="1"/>
    <w:qFormat/>
    <w:uiPriority w:val="0"/>
    <w:pPr>
      <w:widowControl/>
      <w:pBdr>
        <w:top w:val="single" w:color="000000" w:sz="4" w:space="0"/>
        <w:left w:val="single" w:color="000000" w:sz="4" w:space="0"/>
        <w:bottom w:val="single" w:color="000000" w:sz="4" w:space="0"/>
        <w:right w:val="single" w:color="000000" w:sz="8" w:space="0"/>
      </w:pBdr>
      <w:spacing w:beforeAutospacing="1" w:afterAutospacing="1"/>
      <w:jc w:val="left"/>
    </w:pPr>
    <w:rPr>
      <w:rFonts w:ascii="宋体" w:hAnsi="宋体" w:cs="宋体"/>
      <w:sz w:val="24"/>
      <w:szCs w:val="24"/>
    </w:rPr>
  </w:style>
  <w:style w:type="paragraph" w:customStyle="1" w:styleId="137">
    <w:name w:val="Char"/>
    <w:basedOn w:val="1"/>
    <w:qFormat/>
    <w:uiPriority w:val="0"/>
    <w:rPr>
      <w:szCs w:val="24"/>
    </w:rPr>
  </w:style>
  <w:style w:type="paragraph" w:customStyle="1" w:styleId="138">
    <w:name w:val="DL 4.1"/>
    <w:basedOn w:val="1"/>
    <w:next w:val="1"/>
    <w:qFormat/>
    <w:uiPriority w:val="0"/>
    <w:pPr>
      <w:keepNext/>
      <w:keepLines/>
      <w:widowControl/>
      <w:tabs>
        <w:tab w:val="left" w:pos="1260"/>
      </w:tabs>
      <w:spacing w:line="400" w:lineRule="atLeast"/>
      <w:ind w:left="1260" w:hanging="420"/>
      <w:jc w:val="left"/>
      <w:outlineLvl w:val="1"/>
    </w:pPr>
    <w:rPr>
      <w:rFonts w:eastAsia="黑体" w:cs="宋体"/>
      <w:b/>
      <w:sz w:val="24"/>
    </w:rPr>
  </w:style>
  <w:style w:type="paragraph" w:customStyle="1" w:styleId="139">
    <w:name w:val="xl74"/>
    <w:basedOn w:val="1"/>
    <w:qFormat/>
    <w:uiPriority w:val="0"/>
    <w:pPr>
      <w:widowControl/>
      <w:spacing w:beforeAutospacing="1" w:afterAutospacing="1"/>
      <w:jc w:val="center"/>
    </w:pPr>
    <w:rPr>
      <w:rFonts w:ascii="宋体" w:hAnsi="宋体" w:cs="宋体"/>
      <w:sz w:val="24"/>
      <w:szCs w:val="24"/>
    </w:rPr>
  </w:style>
  <w:style w:type="paragraph" w:customStyle="1" w:styleId="140">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41">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42">
    <w:name w:val="xl86"/>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rFonts w:ascii="宋体" w:hAnsi="宋体" w:cs="宋体"/>
      <w:sz w:val="24"/>
      <w:szCs w:val="24"/>
    </w:rPr>
  </w:style>
  <w:style w:type="paragraph" w:customStyle="1" w:styleId="143">
    <w:name w:val="Heading #1|1"/>
    <w:basedOn w:val="1"/>
    <w:qFormat/>
    <w:uiPriority w:val="0"/>
    <w:pPr>
      <w:spacing w:before="120" w:after="550" w:line="557" w:lineRule="exact"/>
      <w:jc w:val="center"/>
      <w:outlineLvl w:val="0"/>
    </w:pPr>
    <w:rPr>
      <w:rFonts w:ascii="宋体" w:hAnsi="宋体" w:cs="宋体"/>
      <w:sz w:val="42"/>
      <w:szCs w:val="42"/>
      <w:lang w:val="zh-TW" w:eastAsia="zh-TW" w:bidi="zh-TW"/>
    </w:rPr>
  </w:style>
  <w:style w:type="paragraph" w:customStyle="1" w:styleId="144">
    <w:name w:val="xl1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b/>
      <w:bCs/>
      <w:color w:val="000000"/>
      <w:sz w:val="24"/>
      <w:szCs w:val="24"/>
    </w:rPr>
  </w:style>
  <w:style w:type="paragraph" w:customStyle="1" w:styleId="145">
    <w:name w:val="xl102"/>
    <w:basedOn w:val="1"/>
    <w:qFormat/>
    <w:uiPriority w:val="0"/>
    <w:pPr>
      <w:widowControl/>
      <w:pBdr>
        <w:top w:val="single" w:color="000000" w:sz="4" w:space="0"/>
        <w:left w:val="single" w:color="000000" w:sz="4" w:space="0"/>
        <w:right w:val="single" w:color="000000" w:sz="8" w:space="0"/>
      </w:pBdr>
      <w:shd w:val="clear" w:color="000000" w:fill="FFFFFF"/>
      <w:spacing w:beforeAutospacing="1" w:afterAutospacing="1"/>
      <w:jc w:val="center"/>
    </w:pPr>
    <w:rPr>
      <w:rFonts w:ascii="宋体" w:hAnsi="宋体" w:cs="宋体"/>
      <w:b/>
      <w:bCs/>
      <w:color w:val="000000"/>
      <w:sz w:val="24"/>
      <w:szCs w:val="24"/>
    </w:rPr>
  </w:style>
  <w:style w:type="paragraph" w:customStyle="1" w:styleId="146">
    <w:name w:val="xl1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47">
    <w:name w:val="正文文本缩进1"/>
    <w:basedOn w:val="1"/>
    <w:qFormat/>
    <w:uiPriority w:val="0"/>
    <w:pPr>
      <w:spacing w:line="200" w:lineRule="exact"/>
      <w:ind w:firstLine="301"/>
    </w:pPr>
    <w:rPr>
      <w:rFonts w:ascii="宋体" w:hAnsi="宋体"/>
      <w:spacing w:val="-4"/>
      <w:sz w:val="18"/>
    </w:rPr>
  </w:style>
  <w:style w:type="paragraph" w:customStyle="1" w:styleId="148">
    <w:name w:val="xl72"/>
    <w:basedOn w:val="1"/>
    <w:qFormat/>
    <w:uiPriority w:val="0"/>
    <w:pPr>
      <w:widowControl/>
      <w:pBdr>
        <w:top w:val="single" w:color="000000" w:sz="4" w:space="0"/>
        <w:left w:val="single" w:color="000000" w:sz="4" w:space="0"/>
        <w:bottom w:val="single" w:color="000000" w:sz="4" w:space="0"/>
        <w:right w:val="single" w:color="000000" w:sz="8" w:space="0"/>
      </w:pBdr>
      <w:shd w:val="clear" w:color="000000" w:fill="FFFFFF"/>
      <w:spacing w:beforeAutospacing="1" w:afterAutospacing="1"/>
      <w:jc w:val="left"/>
    </w:pPr>
    <w:rPr>
      <w:rFonts w:ascii="宋体" w:hAnsi="宋体" w:cs="宋体"/>
      <w:sz w:val="24"/>
      <w:szCs w:val="24"/>
    </w:rPr>
  </w:style>
  <w:style w:type="paragraph" w:customStyle="1" w:styleId="149">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50">
    <w:name w:val="表内文字居左"/>
    <w:qFormat/>
    <w:uiPriority w:val="0"/>
    <w:pPr>
      <w:widowControl w:val="0"/>
      <w:jc w:val="both"/>
    </w:pPr>
    <w:rPr>
      <w:rFonts w:hint="default" w:ascii="Times New Roman" w:hAnsi="Times New Roman" w:eastAsia="宋体" w:cs="Times New Roman"/>
      <w:sz w:val="24"/>
      <w:szCs w:val="24"/>
    </w:rPr>
  </w:style>
  <w:style w:type="paragraph" w:customStyle="1" w:styleId="151">
    <w:name w:val="Body text|1"/>
    <w:basedOn w:val="1"/>
    <w:qFormat/>
    <w:uiPriority w:val="0"/>
    <w:pPr>
      <w:spacing w:line="415" w:lineRule="auto"/>
      <w:ind w:firstLine="400"/>
    </w:pPr>
    <w:rPr>
      <w:rFonts w:ascii="宋体" w:hAnsi="宋体" w:cs="宋体"/>
      <w:sz w:val="28"/>
      <w:szCs w:val="28"/>
      <w:lang w:val="zh-TW" w:eastAsia="zh-TW" w:bidi="zh-TW"/>
    </w:rPr>
  </w:style>
  <w:style w:type="paragraph" w:customStyle="1" w:styleId="152">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53">
    <w:name w:val="xl107"/>
    <w:basedOn w:val="1"/>
    <w:qFormat/>
    <w:uiPriority w:val="0"/>
    <w:pPr>
      <w:widowControl/>
      <w:pBdr>
        <w:top w:val="single" w:color="000000" w:sz="8"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b/>
      <w:bCs/>
      <w:color w:val="000000"/>
      <w:sz w:val="24"/>
      <w:szCs w:val="24"/>
    </w:rPr>
  </w:style>
  <w:style w:type="paragraph" w:customStyle="1" w:styleId="154">
    <w:name w:val="_Style 6"/>
    <w:basedOn w:val="1"/>
    <w:qFormat/>
    <w:uiPriority w:val="0"/>
    <w:rPr>
      <w:rFonts w:ascii="Arial" w:hAnsi="Arial" w:cs="Arial"/>
      <w:szCs w:val="24"/>
    </w:rPr>
  </w:style>
  <w:style w:type="paragraph" w:customStyle="1" w:styleId="155">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56">
    <w:name w:val="WPS Plain"/>
    <w:qFormat/>
    <w:uiPriority w:val="0"/>
    <w:rPr>
      <w:rFonts w:hint="default" w:ascii="Times New Roman" w:hAnsi="Times New Roman" w:eastAsia="宋体" w:cs="Times New Roman"/>
    </w:rPr>
  </w:style>
  <w:style w:type="paragraph" w:customStyle="1" w:styleId="157">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58">
    <w:name w:val="xl73"/>
    <w:basedOn w:val="1"/>
    <w:qFormat/>
    <w:uiPriority w:val="0"/>
    <w:pPr>
      <w:widowControl/>
      <w:pBdr>
        <w:top w:val="single" w:color="000000" w:sz="4" w:space="0"/>
        <w:left w:val="single" w:color="000000" w:sz="4" w:space="0"/>
        <w:bottom w:val="single" w:color="000000" w:sz="4" w:space="0"/>
        <w:right w:val="single" w:color="000000" w:sz="8" w:space="0"/>
      </w:pBdr>
      <w:spacing w:beforeAutospacing="1" w:afterAutospacing="1"/>
      <w:jc w:val="left"/>
    </w:pPr>
    <w:rPr>
      <w:rFonts w:ascii="宋体" w:hAnsi="宋体" w:cs="宋体"/>
      <w:sz w:val="24"/>
      <w:szCs w:val="24"/>
    </w:rPr>
  </w:style>
  <w:style w:type="paragraph" w:customStyle="1" w:styleId="159">
    <w:name w:val="xl96"/>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left"/>
    </w:pPr>
    <w:rPr>
      <w:rFonts w:ascii="宋体" w:hAnsi="宋体" w:cs="宋体"/>
      <w:sz w:val="24"/>
      <w:szCs w:val="24"/>
    </w:rPr>
  </w:style>
  <w:style w:type="paragraph" w:customStyle="1" w:styleId="160">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61">
    <w:name w:val="普通正文"/>
    <w:basedOn w:val="1"/>
    <w:qFormat/>
    <w:uiPriority w:val="0"/>
    <w:pPr>
      <w:spacing w:before="120" w:after="120" w:line="360" w:lineRule="auto"/>
      <w:ind w:firstLine="480"/>
      <w:jc w:val="left"/>
    </w:pPr>
    <w:rPr>
      <w:rFonts w:ascii="Arial" w:hAnsi="Arial"/>
      <w:sz w:val="24"/>
    </w:rPr>
  </w:style>
  <w:style w:type="paragraph" w:customStyle="1" w:styleId="162">
    <w:name w:val="xl103"/>
    <w:basedOn w:val="1"/>
    <w:qFormat/>
    <w:uiPriority w:val="0"/>
    <w:pPr>
      <w:widowControl/>
      <w:pBdr>
        <w:left w:val="single" w:color="000000" w:sz="4" w:space="0"/>
        <w:bottom w:val="single" w:color="000000" w:sz="4" w:space="0"/>
        <w:right w:val="single" w:color="000000" w:sz="8" w:space="0"/>
      </w:pBdr>
      <w:shd w:val="clear" w:color="000000" w:fill="FFFFFF"/>
      <w:spacing w:beforeAutospacing="1" w:afterAutospacing="1"/>
      <w:jc w:val="center"/>
    </w:pPr>
    <w:rPr>
      <w:rFonts w:ascii="宋体" w:hAnsi="宋体" w:cs="宋体"/>
      <w:b/>
      <w:bCs/>
      <w:color w:val="000000"/>
      <w:sz w:val="24"/>
      <w:szCs w:val="24"/>
    </w:rPr>
  </w:style>
  <w:style w:type="paragraph" w:customStyle="1" w:styleId="163">
    <w:name w:val="3.1DL"/>
    <w:basedOn w:val="1"/>
    <w:next w:val="1"/>
    <w:qFormat/>
    <w:uiPriority w:val="0"/>
    <w:pPr>
      <w:keepNext/>
      <w:keepLines/>
      <w:numPr>
        <w:ilvl w:val="1"/>
        <w:numId w:val="1"/>
      </w:numPr>
      <w:spacing w:line="400" w:lineRule="atLeast"/>
      <w:outlineLvl w:val="1"/>
    </w:pPr>
    <w:rPr>
      <w:rFonts w:eastAsia="黑体" w:cs="宋体"/>
      <w:sz w:val="24"/>
    </w:rPr>
  </w:style>
  <w:style w:type="paragraph" w:customStyle="1" w:styleId="164">
    <w:name w:val="xl97"/>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rFonts w:ascii="宋体" w:hAnsi="宋体" w:cs="宋体"/>
      <w:sz w:val="24"/>
      <w:szCs w:val="24"/>
    </w:rPr>
  </w:style>
  <w:style w:type="paragraph" w:customStyle="1" w:styleId="165">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color w:val="000000"/>
      <w:sz w:val="24"/>
      <w:szCs w:val="24"/>
    </w:rPr>
  </w:style>
  <w:style w:type="paragraph" w:customStyle="1" w:styleId="166">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67">
    <w:name w:val="二级目录"/>
    <w:next w:val="1"/>
    <w:qFormat/>
    <w:uiPriority w:val="0"/>
    <w:pPr>
      <w:tabs>
        <w:tab w:val="left" w:pos="720"/>
      </w:tabs>
      <w:ind w:left="567" w:hanging="567"/>
      <w:outlineLvl w:val="1"/>
    </w:pPr>
    <w:rPr>
      <w:rFonts w:hint="default" w:ascii="Times New Roman" w:hAnsi="Times New Roman" w:eastAsia="宋体" w:cs="Times New Roman"/>
      <w:b/>
      <w:sz w:val="30"/>
      <w:szCs w:val="28"/>
    </w:rPr>
  </w:style>
  <w:style w:type="paragraph" w:customStyle="1" w:styleId="168">
    <w:name w:val="xl94"/>
    <w:basedOn w:val="1"/>
    <w:qFormat/>
    <w:uiPriority w:val="0"/>
    <w:pPr>
      <w:widowControl/>
      <w:pBdr>
        <w:right w:val="single" w:color="000000" w:sz="4" w:space="0"/>
      </w:pBdr>
      <w:shd w:val="clear" w:color="000000" w:fill="FFFFFF"/>
      <w:spacing w:beforeAutospacing="1" w:afterAutospacing="1"/>
      <w:jc w:val="right"/>
    </w:pPr>
    <w:rPr>
      <w:rFonts w:ascii="宋体" w:hAnsi="宋体" w:cs="宋体"/>
      <w:color w:val="0000FF"/>
      <w:sz w:val="24"/>
      <w:szCs w:val="24"/>
    </w:rPr>
  </w:style>
  <w:style w:type="paragraph" w:customStyle="1" w:styleId="169">
    <w:name w:val="xl98"/>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rFonts w:ascii="宋体" w:hAnsi="宋体" w:cs="宋体"/>
      <w:sz w:val="24"/>
      <w:szCs w:val="24"/>
    </w:rPr>
  </w:style>
  <w:style w:type="paragraph" w:customStyle="1" w:styleId="170">
    <w:name w:val="font5"/>
    <w:basedOn w:val="1"/>
    <w:qFormat/>
    <w:uiPriority w:val="0"/>
    <w:pPr>
      <w:widowControl/>
      <w:spacing w:beforeAutospacing="1" w:afterAutospacing="1"/>
      <w:jc w:val="left"/>
    </w:pPr>
    <w:rPr>
      <w:rFonts w:ascii="宋体" w:hAnsi="宋体" w:cs="宋体"/>
      <w:sz w:val="18"/>
      <w:szCs w:val="18"/>
    </w:rPr>
  </w:style>
  <w:style w:type="paragraph" w:customStyle="1" w:styleId="171">
    <w:name w:val="xl76"/>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sz w:val="24"/>
      <w:szCs w:val="24"/>
    </w:rPr>
  </w:style>
  <w:style w:type="paragraph" w:customStyle="1" w:styleId="172">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b/>
      <w:bCs/>
      <w:color w:val="000000"/>
      <w:sz w:val="24"/>
      <w:szCs w:val="24"/>
    </w:rPr>
  </w:style>
  <w:style w:type="paragraph" w:customStyle="1" w:styleId="173">
    <w:name w:val="正文g"/>
    <w:basedOn w:val="19"/>
    <w:qFormat/>
    <w:uiPriority w:val="0"/>
    <w:pPr>
      <w:spacing w:line="360" w:lineRule="auto"/>
      <w:ind w:left="238" w:right="238" w:firstLine="641"/>
      <w:jc w:val="left"/>
    </w:pPr>
    <w:rPr>
      <w:sz w:val="24"/>
      <w:szCs w:val="24"/>
    </w:rPr>
  </w:style>
  <w:style w:type="paragraph" w:customStyle="1" w:styleId="174">
    <w:name w:val="_Style 3"/>
    <w:qFormat/>
    <w:uiPriority w:val="0"/>
    <w:pPr>
      <w:widowControl w:val="0"/>
      <w:jc w:val="both"/>
    </w:pPr>
    <w:rPr>
      <w:rFonts w:hint="default" w:ascii="Calibri" w:hAnsi="Calibri" w:eastAsia="宋体" w:cs="Times New Roman"/>
      <w:sz w:val="21"/>
      <w:szCs w:val="22"/>
    </w:rPr>
  </w:style>
  <w:style w:type="paragraph" w:customStyle="1" w:styleId="175">
    <w:name w:val="font7"/>
    <w:basedOn w:val="1"/>
    <w:qFormat/>
    <w:uiPriority w:val="0"/>
    <w:pPr>
      <w:widowControl/>
      <w:spacing w:beforeAutospacing="1" w:afterAutospacing="1"/>
      <w:jc w:val="left"/>
    </w:pPr>
    <w:rPr>
      <w:rFonts w:ascii="宋体" w:hAnsi="宋体" w:cs="宋体"/>
      <w:sz w:val="20"/>
    </w:rPr>
  </w:style>
  <w:style w:type="paragraph" w:customStyle="1" w:styleId="176">
    <w:name w:val="font0"/>
    <w:basedOn w:val="1"/>
    <w:qFormat/>
    <w:uiPriority w:val="0"/>
    <w:pPr>
      <w:widowControl/>
      <w:spacing w:beforeAutospacing="1" w:afterAutospacing="1"/>
      <w:jc w:val="left"/>
    </w:pPr>
    <w:rPr>
      <w:rFonts w:ascii="宋体" w:hAnsi="宋体" w:cs="宋体"/>
      <w:sz w:val="20"/>
    </w:rPr>
  </w:style>
  <w:style w:type="paragraph" w:customStyle="1" w:styleId="177">
    <w:name w:val="xl104"/>
    <w:basedOn w:val="1"/>
    <w:qFormat/>
    <w:uiPriority w:val="0"/>
    <w:pPr>
      <w:widowControl/>
      <w:pBdr>
        <w:top w:val="single" w:color="000000" w:sz="8" w:space="0"/>
        <w:left w:val="single" w:color="000000" w:sz="8" w:space="0"/>
        <w:bottom w:val="single" w:color="000000" w:sz="4" w:space="0"/>
        <w:right w:val="single" w:color="000000" w:sz="4" w:space="0"/>
      </w:pBdr>
      <w:shd w:val="clear" w:color="000000" w:fill="FFFFFF"/>
      <w:spacing w:beforeAutospacing="1" w:afterAutospacing="1"/>
      <w:jc w:val="center"/>
    </w:pPr>
    <w:rPr>
      <w:rFonts w:ascii="宋体" w:hAnsi="宋体" w:cs="宋体"/>
      <w:b/>
      <w:bCs/>
      <w:color w:val="000000"/>
      <w:sz w:val="24"/>
      <w:szCs w:val="24"/>
    </w:rPr>
  </w:style>
  <w:style w:type="paragraph" w:customStyle="1" w:styleId="178">
    <w:name w:val="xl110"/>
    <w:basedOn w:val="1"/>
    <w:qFormat/>
    <w:uiPriority w:val="0"/>
    <w:pPr>
      <w:widowControl/>
      <w:pBdr>
        <w:top w:val="single" w:color="000000" w:sz="8"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b/>
      <w:bCs/>
      <w:color w:val="000000"/>
      <w:sz w:val="24"/>
      <w:szCs w:val="24"/>
    </w:rPr>
  </w:style>
  <w:style w:type="paragraph" w:customStyle="1" w:styleId="179">
    <w:name w:val="列出段落1"/>
    <w:basedOn w:val="1"/>
    <w:qFormat/>
    <w:uiPriority w:val="0"/>
    <w:pPr>
      <w:ind w:firstLine="200"/>
    </w:pPr>
    <w:rPr>
      <w:rFonts w:ascii="Calibri" w:hAnsi="Calibri"/>
      <w:szCs w:val="22"/>
    </w:rPr>
  </w:style>
  <w:style w:type="paragraph" w:customStyle="1" w:styleId="180">
    <w:name w:val="Default"/>
    <w:qFormat/>
    <w:uiPriority w:val="0"/>
    <w:pPr>
      <w:widowControl w:val="0"/>
    </w:pPr>
    <w:rPr>
      <w:rFonts w:hint="default" w:ascii="Times New Roman" w:hAnsi="Times New Roman" w:eastAsia="宋体" w:cs="Times New Roman"/>
      <w:color w:val="000000"/>
      <w:sz w:val="24"/>
      <w:szCs w:val="24"/>
    </w:rPr>
  </w:style>
  <w:style w:type="paragraph" w:customStyle="1" w:styleId="181">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82">
    <w:name w:val="xl92"/>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00"/>
      <w:spacing w:beforeAutospacing="1" w:afterAutospacing="1"/>
      <w:jc w:val="center"/>
    </w:pPr>
    <w:rPr>
      <w:rFonts w:ascii="宋体" w:hAnsi="宋体" w:cs="宋体"/>
      <w:color w:val="000000"/>
      <w:sz w:val="24"/>
      <w:szCs w:val="24"/>
    </w:rPr>
  </w:style>
  <w:style w:type="paragraph" w:customStyle="1" w:styleId="183">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84">
    <w:name w:val="xl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85">
    <w:name w:val="Char Char"/>
    <w:basedOn w:val="1"/>
    <w:next w:val="1"/>
    <w:qFormat/>
    <w:uiPriority w:val="0"/>
    <w:pPr>
      <w:spacing w:line="240" w:lineRule="atLeast"/>
      <w:ind w:left="420" w:firstLine="420"/>
      <w:jc w:val="left"/>
    </w:pPr>
  </w:style>
  <w:style w:type="paragraph" w:customStyle="1" w:styleId="186">
    <w:name w:val="Char1 Char Char Char Char Char Char Char Char Char"/>
    <w:basedOn w:val="1"/>
    <w:qFormat/>
    <w:uiPriority w:val="0"/>
  </w:style>
  <w:style w:type="paragraph" w:customStyle="1" w:styleId="187">
    <w:name w:val="列出段落11"/>
    <w:basedOn w:val="1"/>
    <w:qFormat/>
    <w:uiPriority w:val="0"/>
    <w:pPr>
      <w:ind w:firstLine="200"/>
    </w:pPr>
    <w:rPr>
      <w:rFonts w:ascii="Calibri" w:hAnsi="Calibri"/>
      <w:szCs w:val="22"/>
    </w:rPr>
  </w:style>
  <w:style w:type="paragraph" w:customStyle="1" w:styleId="188">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89">
    <w:name w:val="xl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90">
    <w:name w:val="xl105"/>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91">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92">
    <w:name w:val="xl118"/>
    <w:basedOn w:val="1"/>
    <w:qFormat/>
    <w:uiPriority w:val="0"/>
    <w:pPr>
      <w:widowControl/>
      <w:pBdr>
        <w:top w:val="single" w:color="000000" w:sz="8" w:space="0"/>
        <w:left w:val="single" w:color="000000" w:sz="8" w:space="0"/>
        <w:bottom w:val="single" w:color="000000" w:sz="4" w:space="0"/>
        <w:right w:val="single" w:color="000000" w:sz="8" w:space="0"/>
      </w:pBdr>
      <w:shd w:val="clear" w:color="000000" w:fill="FFFFFF"/>
      <w:spacing w:beforeAutospacing="1" w:afterAutospacing="1"/>
      <w:jc w:val="center"/>
    </w:pPr>
    <w:rPr>
      <w:rFonts w:ascii="宋体" w:hAnsi="宋体" w:cs="宋体"/>
      <w:b/>
      <w:bCs/>
      <w:sz w:val="24"/>
      <w:szCs w:val="24"/>
    </w:rPr>
  </w:style>
  <w:style w:type="paragraph" w:customStyle="1" w:styleId="193">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194">
    <w:name w:val="xl77"/>
    <w:basedOn w:val="1"/>
    <w:qFormat/>
    <w:uiPriority w:val="0"/>
    <w:pPr>
      <w:widowControl/>
      <w:pBdr>
        <w:top w:val="single" w:color="000000" w:sz="4" w:space="0"/>
        <w:bottom w:val="single" w:color="000000" w:sz="4" w:space="0"/>
        <w:right w:val="single" w:color="000000" w:sz="4" w:space="0"/>
      </w:pBdr>
      <w:shd w:val="clear" w:color="000000" w:fill="FFFFFF"/>
      <w:spacing w:beforeAutospacing="1" w:afterAutospacing="1"/>
      <w:jc w:val="left"/>
    </w:pPr>
    <w:rPr>
      <w:rFonts w:ascii="宋体" w:hAnsi="宋体" w:cs="宋体"/>
      <w:sz w:val="24"/>
      <w:szCs w:val="24"/>
    </w:rPr>
  </w:style>
  <w:style w:type="paragraph" w:customStyle="1" w:styleId="195">
    <w:name w:val="Body text|3"/>
    <w:basedOn w:val="1"/>
    <w:qFormat/>
    <w:uiPriority w:val="0"/>
    <w:pPr>
      <w:spacing w:after="580"/>
      <w:jc w:val="center"/>
    </w:pPr>
    <w:rPr>
      <w:rFonts w:ascii="宋体" w:hAnsi="宋体" w:cs="宋体"/>
      <w:sz w:val="36"/>
      <w:szCs w:val="36"/>
      <w:lang w:val="zh-TW" w:eastAsia="zh-TW" w:bidi="zh-TW"/>
    </w:rPr>
  </w:style>
  <w:style w:type="paragraph" w:customStyle="1" w:styleId="196">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Autospacing="1" w:afterAutospacing="1"/>
      <w:jc w:val="right"/>
    </w:pPr>
    <w:rPr>
      <w:rFonts w:ascii="宋体" w:hAnsi="宋体" w:cs="宋体"/>
      <w:color w:val="0000FF"/>
      <w:sz w:val="24"/>
      <w:szCs w:val="24"/>
    </w:rPr>
  </w:style>
  <w:style w:type="paragraph" w:customStyle="1" w:styleId="197">
    <w:name w:val="p0"/>
    <w:basedOn w:val="1"/>
    <w:qFormat/>
    <w:uiPriority w:val="0"/>
    <w:pPr>
      <w:widowControl/>
    </w:pPr>
    <w:rPr>
      <w:szCs w:val="21"/>
    </w:rPr>
  </w:style>
  <w:style w:type="paragraph" w:customStyle="1" w:styleId="198">
    <w:name w:val="xl90"/>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rFonts w:ascii="宋体" w:hAnsi="宋体" w:cs="宋体"/>
      <w:sz w:val="24"/>
      <w:szCs w:val="24"/>
    </w:rPr>
  </w:style>
  <w:style w:type="paragraph" w:customStyle="1" w:styleId="199">
    <w:name w:val="xl106"/>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Autospacing="1" w:afterAutospacing="1"/>
      <w:jc w:val="center"/>
    </w:pPr>
    <w:rPr>
      <w:rFonts w:ascii="宋体" w:hAnsi="宋体" w:cs="宋体"/>
      <w:sz w:val="24"/>
      <w:szCs w:val="24"/>
    </w:rPr>
  </w:style>
  <w:style w:type="paragraph" w:customStyle="1" w:styleId="200">
    <w:name w:val="xl93"/>
    <w:basedOn w:val="1"/>
    <w:qFormat/>
    <w:uiPriority w:val="0"/>
    <w:pPr>
      <w:widowControl/>
      <w:pBdr>
        <w:top w:val="single" w:color="000000" w:sz="4" w:space="0"/>
        <w:left w:val="single" w:color="000000" w:sz="4" w:space="0"/>
        <w:bottom w:val="single" w:color="000000" w:sz="4" w:space="0"/>
        <w:right w:val="single" w:color="000000" w:sz="4" w:space="0"/>
      </w:pBdr>
      <w:spacing w:beforeAutospacing="1" w:afterAutospacing="1"/>
      <w:jc w:val="left"/>
    </w:pPr>
    <w:rPr>
      <w:rFonts w:ascii="宋体" w:hAnsi="宋体" w:cs="宋体"/>
      <w:sz w:val="24"/>
      <w:szCs w:val="24"/>
    </w:rPr>
  </w:style>
  <w:style w:type="paragraph" w:customStyle="1" w:styleId="201">
    <w:name w:val="xl67"/>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Autospacing="1" w:afterAutospacing="1"/>
      <w:jc w:val="center"/>
    </w:pPr>
    <w:rPr>
      <w:rFonts w:ascii="宋体" w:hAnsi="宋体" w:cs="宋体"/>
      <w:color w:val="000000"/>
      <w:sz w:val="24"/>
      <w:szCs w:val="24"/>
    </w:rPr>
  </w:style>
  <w:style w:type="paragraph" w:customStyle="1" w:styleId="202">
    <w:name w:val="Body text|5"/>
    <w:basedOn w:val="1"/>
    <w:qFormat/>
    <w:uiPriority w:val="0"/>
    <w:pPr>
      <w:ind w:firstLine="980"/>
    </w:pPr>
    <w:rPr>
      <w:sz w:val="11"/>
      <w:szCs w:val="11"/>
      <w:lang w:val="zh-TW" w:eastAsia="zh-TW" w:bidi="zh-TW"/>
    </w:rPr>
  </w:style>
  <w:style w:type="paragraph" w:customStyle="1" w:styleId="203">
    <w:name w:val="font6"/>
    <w:basedOn w:val="1"/>
    <w:qFormat/>
    <w:uiPriority w:val="0"/>
    <w:pPr>
      <w:widowControl/>
      <w:spacing w:beforeAutospacing="1" w:afterAutospacing="1"/>
      <w:jc w:val="left"/>
    </w:pPr>
    <w:rPr>
      <w:rFonts w:ascii="宋体" w:hAnsi="宋体" w:cs="宋体"/>
      <w:sz w:val="20"/>
    </w:rPr>
  </w:style>
  <w:style w:type="paragraph" w:customStyle="1" w:styleId="204">
    <w:name w:val="标题 21"/>
    <w:basedOn w:val="1"/>
    <w:next w:val="1"/>
    <w:qFormat/>
    <w:uiPriority w:val="0"/>
    <w:pPr>
      <w:keepNext/>
      <w:keepLines/>
      <w:spacing w:before="260" w:after="260" w:line="415" w:lineRule="auto"/>
      <w:jc w:val="center"/>
      <w:outlineLvl w:val="1"/>
    </w:pPr>
    <w:rPr>
      <w:rFonts w:ascii="幼圆" w:hAnsi="幼圆" w:eastAsia="楷体_GB2312"/>
      <w:b/>
      <w:sz w:val="44"/>
    </w:rPr>
  </w:style>
  <w:style w:type="paragraph" w:customStyle="1" w:styleId="205">
    <w:name w:val="标题2"/>
    <w:basedOn w:val="204"/>
    <w:next w:val="1"/>
    <w:qFormat/>
    <w:uiPriority w:val="0"/>
    <w:pPr>
      <w:spacing w:before="0" w:after="0" w:line="360" w:lineRule="auto"/>
      <w:ind w:left="425"/>
      <w:jc w:val="left"/>
    </w:pPr>
    <w:rPr>
      <w:rFonts w:ascii="宋体" w:hAnsi="宋体" w:eastAsia="等线"/>
      <w:bCs/>
      <w:sz w:val="28"/>
      <w:szCs w:val="28"/>
    </w:rPr>
  </w:style>
  <w:style w:type="paragraph" w:customStyle="1" w:styleId="206">
    <w:name w:val="正文文本缩进11"/>
    <w:basedOn w:val="1"/>
    <w:qFormat/>
    <w:uiPriority w:val="0"/>
    <w:pPr>
      <w:ind w:firstLine="645"/>
    </w:pPr>
    <w:rPr>
      <w:rFonts w:ascii="楷体_GB2312" w:hAnsi="楷体_GB2312" w:eastAsia="楷体_GB2312"/>
      <w:sz w:val="32"/>
      <w:szCs w:val="22"/>
    </w:rPr>
  </w:style>
  <w:style w:type="paragraph" w:customStyle="1" w:styleId="207">
    <w:name w:val="列出段落2"/>
    <w:basedOn w:val="1"/>
    <w:qFormat/>
    <w:uiPriority w:val="0"/>
    <w:pPr>
      <w:ind w:firstLine="420"/>
    </w:pPr>
    <w:rPr>
      <w:rFonts w:ascii="等线" w:hAnsi="等线" w:eastAsia="等线" w:cs="宋体"/>
    </w:rPr>
  </w:style>
  <w:style w:type="paragraph" w:customStyle="1" w:styleId="208">
    <w:name w:val="页脚1"/>
    <w:basedOn w:val="1"/>
    <w:qFormat/>
    <w:uiPriority w:val="0"/>
    <w:pPr>
      <w:tabs>
        <w:tab w:val="center" w:pos="4153"/>
        <w:tab w:val="right" w:pos="8306"/>
      </w:tabs>
      <w:jc w:val="left"/>
    </w:pPr>
    <w:rPr>
      <w:sz w:val="18"/>
      <w:szCs w:val="18"/>
    </w:rPr>
  </w:style>
  <w:style w:type="paragraph" w:customStyle="1" w:styleId="209">
    <w:name w:val="页脚11"/>
    <w:basedOn w:val="1"/>
    <w:qFormat/>
    <w:uiPriority w:val="0"/>
    <w:pPr>
      <w:tabs>
        <w:tab w:val="center" w:pos="4153"/>
        <w:tab w:val="right" w:pos="8306"/>
      </w:tabs>
      <w:spacing w:line="240" w:lineRule="atLeast"/>
      <w:jc w:val="left"/>
    </w:pPr>
    <w:rPr>
      <w:sz w:val="18"/>
      <w:szCs w:val="18"/>
    </w:rPr>
  </w:style>
  <w:style w:type="paragraph" w:customStyle="1" w:styleId="210">
    <w:name w:val="标题 211"/>
    <w:basedOn w:val="1"/>
    <w:next w:val="1"/>
    <w:qFormat/>
    <w:uiPriority w:val="0"/>
    <w:pPr>
      <w:keepNext/>
      <w:keepLines/>
      <w:spacing w:before="260" w:after="260" w:line="415" w:lineRule="auto"/>
      <w:jc w:val="center"/>
      <w:outlineLvl w:val="1"/>
    </w:pPr>
    <w:rPr>
      <w:rFonts w:ascii="幼圆" w:hAnsi="幼圆" w:eastAsia="楷体_GB2312"/>
      <w:b/>
      <w:sz w:val="24"/>
    </w:rPr>
  </w:style>
  <w:style w:type="paragraph" w:customStyle="1" w:styleId="211">
    <w:name w:val="列出段落3"/>
    <w:basedOn w:val="1"/>
    <w:qFormat/>
    <w:uiPriority w:val="0"/>
    <w:pPr>
      <w:ind w:firstLine="420"/>
    </w:pPr>
    <w:rPr>
      <w:rFonts w:ascii="Calibri" w:hAnsi="Calibri"/>
    </w:rPr>
  </w:style>
  <w:style w:type="paragraph" w:customStyle="1" w:styleId="212">
    <w:name w:val="一级条标题"/>
    <w:next w:val="108"/>
    <w:qFormat/>
    <w:uiPriority w:val="0"/>
    <w:pPr>
      <w:numPr>
        <w:ilvl w:val="1"/>
        <w:numId w:val="2"/>
      </w:numPr>
      <w:ind w:left="2552"/>
      <w:outlineLvl w:val="2"/>
    </w:pPr>
    <w:rPr>
      <w:rFonts w:hint="default" w:ascii="黑体" w:hAnsi="黑体" w:eastAsia="黑体" w:cs="Times New Roman"/>
      <w:sz w:val="21"/>
      <w:szCs w:val="21"/>
    </w:rPr>
  </w:style>
  <w:style w:type="paragraph" w:customStyle="1" w:styleId="213">
    <w:name w:val="二级条标题"/>
    <w:basedOn w:val="212"/>
    <w:next w:val="108"/>
    <w:qFormat/>
    <w:uiPriority w:val="0"/>
    <w:pPr>
      <w:outlineLvl w:val="3"/>
    </w:pPr>
  </w:style>
  <w:style w:type="paragraph" w:customStyle="1" w:styleId="214">
    <w:name w:val="Table Paragraph"/>
    <w:basedOn w:val="1"/>
    <w:qFormat/>
    <w:uiPriority w:val="99"/>
    <w:pPr>
      <w:jc w:val="left"/>
    </w:pPr>
    <w:rPr>
      <w:rFonts w:ascii="宋体" w:hAnsi="宋体" w:cs="宋体"/>
      <w:sz w:val="22"/>
      <w:szCs w:val="22"/>
      <w:lang w:val="zh-CN"/>
    </w:rPr>
  </w:style>
  <w:style w:type="paragraph" w:customStyle="1" w:styleId="215">
    <w:name w:val="注释标题1"/>
    <w:basedOn w:val="1"/>
    <w:next w:val="1"/>
    <w:unhideWhenUsed/>
    <w:qFormat/>
    <w:uiPriority w:val="99"/>
    <w:pPr>
      <w:jc w:val="center"/>
    </w:pPr>
    <w:rPr>
      <w:szCs w:val="24"/>
    </w:rPr>
  </w:style>
  <w:style w:type="paragraph" w:customStyle="1" w:styleId="216">
    <w:name w:val="标题 31"/>
    <w:basedOn w:val="1"/>
    <w:next w:val="1"/>
    <w:qFormat/>
    <w:uiPriority w:val="99"/>
    <w:pPr>
      <w:keepNext/>
      <w:keepLines/>
      <w:spacing w:before="20" w:after="20" w:line="415" w:lineRule="auto"/>
      <w:ind w:firstLine="137"/>
      <w:outlineLvl w:val="2"/>
    </w:pPr>
    <w:rPr>
      <w:rFonts w:eastAsia="黑体"/>
      <w:sz w:val="24"/>
    </w:rPr>
  </w:style>
  <w:style w:type="paragraph" w:styleId="217">
    <w:name w:val="List Paragraph"/>
    <w:basedOn w:val="1"/>
    <w:unhideWhenUsed/>
    <w:qFormat/>
    <w:uiPriority w:val="99"/>
    <w:pPr>
      <w:ind w:firstLine="420"/>
    </w:pPr>
  </w:style>
  <w:style w:type="paragraph" w:customStyle="1" w:styleId="218">
    <w:name w:val="xl27"/>
    <w:basedOn w:val="1"/>
    <w:qFormat/>
    <w:uiPriority w:val="0"/>
    <w:pPr>
      <w:widowControl/>
      <w:spacing w:beforeAutospacing="1" w:afterAutospacing="1"/>
      <w:jc w:val="center"/>
    </w:pPr>
    <w:rPr>
      <w:rFonts w:ascii="黑体" w:hAnsi="黑体" w:eastAsia="黑体"/>
      <w:sz w:val="28"/>
      <w:szCs w:val="28"/>
    </w:rPr>
  </w:style>
  <w:style w:type="paragraph" w:customStyle="1" w:styleId="219">
    <w:name w:val="框架内容"/>
    <w:basedOn w:val="1"/>
    <w:qFormat/>
    <w:uiPriority w:val="0"/>
  </w:style>
  <w:style w:type="table" w:customStyle="1" w:styleId="220">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221">
    <w:name w:val="Plain Table 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cPr>
        <w:shd w:val="clear" w:color="F2F2F2" w:fill="F1F1F1" w:themeFill="text1" w:themeFillTint="0D"/>
      </w:tcPr>
    </w:tblStylePr>
    <w:tblStylePr w:type="band1Horz">
      <w:tcPr>
        <w:shd w:val="clear" w:color="F2F2F2" w:fill="F1F1F1" w:themeFill="text1" w:themeFillTint="0D"/>
      </w:tcPr>
    </w:tblStylePr>
  </w:style>
  <w:style w:type="table" w:customStyle="1" w:styleId="222">
    <w:name w:val="Plain Table 2"/>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b/>
        <w:color w:val="404040"/>
        <w:sz w:val="22"/>
      </w:rPr>
      <w:tcPr>
        <w:tcBorders>
          <w:top w:val="single" w:color="000000" w:themeColor="text1" w:sz="4" w:space="0"/>
          <w:bottom w:val="single" w:color="000000" w:themeColor="text1" w:sz="4" w:space="0"/>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223">
    <w:name w:val="Plain Table 3"/>
    <w:basedOn w:val="4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color w:val="404040"/>
        <w:sz w:val="22"/>
      </w:rPr>
      <w:tcPr>
        <w:shd w:val="clear" w:color="F2F2F2" w:fill="F1F1F1" w:themeFill="text1" w:themeFillTint="0D"/>
      </w:tcPr>
    </w:tblStylePr>
    <w:tblStylePr w:type="band1Horz">
      <w:rPr>
        <w:color w:val="404040"/>
        <w:sz w:val="22"/>
      </w:rPr>
      <w:tcPr>
        <w:shd w:val="clear" w:color="F2F2F2" w:fill="F1F1F1" w:themeFill="text1" w:themeFillTint="0D"/>
      </w:tcPr>
    </w:tblStylePr>
  </w:style>
  <w:style w:type="table" w:customStyle="1" w:styleId="224">
    <w:name w:val="Plain Table 4"/>
    <w:basedOn w:val="4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shd w:val="clear" w:color="F2F2F2" w:fill="F1F1F1" w:themeFill="text1" w:themeFillTint="0D"/>
      </w:tcPr>
    </w:tblStylePr>
    <w:tblStylePr w:type="band1Horz">
      <w:rPr>
        <w:color w:val="404040"/>
        <w:sz w:val="22"/>
      </w:rPr>
      <w:tcPr>
        <w:shd w:val="clear" w:color="F2F2F2" w:fill="F1F1F1" w:themeFill="text1" w:themeFillTint="0D"/>
      </w:tcPr>
    </w:tblStylePr>
  </w:style>
  <w:style w:type="table" w:customStyle="1" w:styleId="225">
    <w:name w:val="Plain Table 5"/>
    <w:basedOn w:val="4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color w:val="404040"/>
        <w:sz w:val="22"/>
      </w:rPr>
      <w:tcPr>
        <w:shd w:val="clear" w:color="F2F2F2" w:fill="F1F1F1" w:themeFill="text1" w:themeFillTint="0D"/>
      </w:tcPr>
    </w:tblStylePr>
    <w:tblStylePr w:type="band1Horz">
      <w:rPr>
        <w:color w:val="404040"/>
        <w:sz w:val="22"/>
      </w:rPr>
      <w:tcPr>
        <w:shd w:val="clear" w:color="F2F2F2" w:fill="F1F1F1" w:themeFill="text1" w:themeFillTint="0D"/>
      </w:tcPr>
    </w:tblStylePr>
  </w:style>
  <w:style w:type="table" w:customStyle="1" w:styleId="226">
    <w:name w:val="Grid Table 1 Light"/>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000000" w:themeColor="text1"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227">
    <w:name w:val="Grid Table 1 Light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4F81BD" w:themeColor="accent1"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22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C0504D" w:themeColor="accent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22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9BBB59" w:themeColor="accent3"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230">
    <w:name w:val="Grid Table 1 Light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8064A2" w:themeColor="accent4"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231">
    <w:name w:val="Grid Table 1 Light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4BACC6" w:themeColor="accent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232">
    <w:name w:val="Grid Table 1 Light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79646" w:themeColor="accent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 w:type="table" w:customStyle="1" w:styleId="233">
    <w:name w:val="Grid Table 2"/>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000000" w:themeColor="text1" w:sz="12" w:space="0"/>
          <w:right w:val="nil"/>
        </w:tcBorders>
        <w:shd w:val="clear" w:color="FFFFFF" w:fill="auto"/>
      </w:tcPr>
    </w:tblStylePr>
    <w:tblStylePr w:type="lastRow">
      <w:rPr>
        <w:b/>
        <w:color w:val="404040"/>
      </w:rPr>
      <w:tcPr>
        <w:tcBorders>
          <w:top w:val="single" w:color="000000" w:themeColor="text1"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cPr>
        <w:shd w:val="clear" w:color="CBCBCB" w:fill="CACACA" w:themeFill="text1" w:themeFillTint="34"/>
      </w:tcPr>
    </w:tblStylePr>
    <w:tblStylePr w:type="band1Horz">
      <w:rPr>
        <w:color w:val="404040"/>
        <w:sz w:val="22"/>
      </w:rPr>
      <w:tcPr>
        <w:shd w:val="clear" w:color="CBCBCB" w:fill="CACACA" w:themeFill="text1" w:themeFillTint="34"/>
      </w:tcPr>
    </w:tblStylePr>
  </w:style>
  <w:style w:type="table" w:customStyle="1" w:styleId="234">
    <w:name w:val="Grid Table 2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4F81BD" w:themeColor="accent1" w:sz="12" w:space="0"/>
          <w:right w:val="nil"/>
        </w:tcBorders>
        <w:shd w:val="clear" w:color="FFFFFF" w:fill="auto"/>
      </w:tcPr>
    </w:tblStylePr>
    <w:tblStylePr w:type="lastRow">
      <w:rPr>
        <w:b/>
        <w:color w:val="404040"/>
      </w:rPr>
      <w:tcPr>
        <w:tcBorders>
          <w:top w:val="single" w:color="4F81BD" w:themeColor="accent1"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cPr>
        <w:shd w:val="clear" w:color="DAE5F1" w:fill="DBE5F1" w:themeFill="accent1" w:themeFillTint="34"/>
      </w:tcPr>
    </w:tblStylePr>
    <w:tblStylePr w:type="band1Horz">
      <w:rPr>
        <w:color w:val="404040"/>
        <w:sz w:val="22"/>
      </w:rPr>
      <w:tcPr>
        <w:shd w:val="clear" w:color="DAE5F1" w:fill="DBE5F1" w:themeFill="accent1" w:themeFillTint="34"/>
      </w:tcPr>
    </w:tblStylePr>
  </w:style>
  <w:style w:type="table" w:customStyle="1" w:styleId="235">
    <w:name w:val="Grid Table 2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C0504D" w:themeColor="accent2" w:sz="12" w:space="0"/>
          <w:right w:val="nil"/>
        </w:tcBorders>
        <w:shd w:val="clear" w:color="FFFFFF" w:fill="auto"/>
      </w:tcPr>
    </w:tblStylePr>
    <w:tblStylePr w:type="lastRow">
      <w:rPr>
        <w:b/>
        <w:color w:val="404040"/>
      </w:rPr>
      <w:tcPr>
        <w:tcBorders>
          <w:top w:val="single" w:color="C0504D" w:themeColor="accent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cPr>
        <w:shd w:val="clear" w:color="F2DCDC" w:fill="F2DCDC" w:themeFill="accent2" w:themeFillTint="32"/>
      </w:tcPr>
    </w:tblStylePr>
    <w:tblStylePr w:type="band1Horz">
      <w:rPr>
        <w:color w:val="404040"/>
        <w:sz w:val="22"/>
      </w:rPr>
      <w:tcPr>
        <w:shd w:val="clear" w:color="F2DCDC" w:fill="F2DCDC" w:themeFill="accent2" w:themeFillTint="32"/>
      </w:tcPr>
    </w:tblStylePr>
  </w:style>
  <w:style w:type="table" w:customStyle="1" w:styleId="236">
    <w:name w:val="Grid Table 2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sz="12" w:space="0"/>
          <w:right w:val="nil"/>
        </w:tcBorders>
        <w:shd w:val="clear" w:color="FFFFFF" w:fill="auto"/>
      </w:tcPr>
    </w:tblStylePr>
    <w:tblStylePr w:type="lastRow">
      <w:rPr>
        <w:b/>
        <w:color w:val="404040"/>
      </w:rPr>
      <w:tcPr>
        <w:tcBorders>
          <w:top w:val="single" w:color="9BBB59" w:themeColor="accent3"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cPr>
        <w:shd w:val="clear" w:color="EAF1DC" w:fill="EAF1DD" w:themeFill="accent3" w:themeFillTint="34"/>
      </w:tcPr>
    </w:tblStylePr>
    <w:tblStylePr w:type="band1Horz">
      <w:rPr>
        <w:color w:val="404040"/>
        <w:sz w:val="22"/>
      </w:rPr>
      <w:tcPr>
        <w:shd w:val="clear" w:color="EAF1DC" w:fill="EAF1DD" w:themeFill="accent3" w:themeFillTint="34"/>
      </w:tcPr>
    </w:tblStylePr>
  </w:style>
  <w:style w:type="table" w:customStyle="1" w:styleId="237">
    <w:name w:val="Grid Table 2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8064A2" w:themeColor="accent4" w:sz="12" w:space="0"/>
          <w:right w:val="nil"/>
        </w:tcBorders>
        <w:shd w:val="clear" w:color="FFFFFF" w:fill="auto"/>
      </w:tcPr>
    </w:tblStylePr>
    <w:tblStylePr w:type="lastRow">
      <w:rPr>
        <w:b/>
        <w:color w:val="404040"/>
      </w:rPr>
      <w:tcPr>
        <w:tcBorders>
          <w:top w:val="single" w:color="8064A2" w:themeColor="accent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cPr>
        <w:shd w:val="clear" w:color="E5DFEC" w:fill="E5DFEC" w:themeFill="accent4" w:themeFillTint="34"/>
      </w:tcPr>
    </w:tblStylePr>
    <w:tblStylePr w:type="band1Horz">
      <w:rPr>
        <w:color w:val="404040"/>
        <w:sz w:val="22"/>
      </w:rPr>
      <w:tcPr>
        <w:shd w:val="clear" w:color="E5DFEC" w:fill="E5DFEC" w:themeFill="accent4" w:themeFillTint="34"/>
      </w:tcPr>
    </w:tblStylePr>
  </w:style>
  <w:style w:type="table" w:customStyle="1" w:styleId="238">
    <w:name w:val="Grid Table 2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cPr>
        <w:shd w:val="clear" w:color="DAEEF3" w:fill="DAEEF3" w:themeFill="accent5" w:themeFillTint="34"/>
      </w:tcPr>
    </w:tblStylePr>
    <w:tblStylePr w:type="band1Horz">
      <w:rPr>
        <w:color w:val="404040"/>
        <w:sz w:val="22"/>
      </w:rPr>
      <w:tcPr>
        <w:shd w:val="clear" w:color="DAEEF3" w:fill="DAEEF3" w:themeFill="accent5" w:themeFillTint="34"/>
      </w:tcPr>
    </w:tblStylePr>
  </w:style>
  <w:style w:type="table" w:customStyle="1" w:styleId="239">
    <w:name w:val="Grid Table 2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cPr>
        <w:shd w:val="clear" w:color="FDE9D8" w:fill="FDE9D9" w:themeFill="accent6" w:themeFillTint="34"/>
      </w:tcPr>
    </w:tblStylePr>
    <w:tblStylePr w:type="band1Horz">
      <w:rPr>
        <w:color w:val="404040"/>
        <w:sz w:val="22"/>
      </w:rPr>
      <w:tcPr>
        <w:shd w:val="clear" w:color="FDE9D8" w:fill="FDE9D9" w:themeFill="accent6" w:themeFillTint="34"/>
      </w:tcPr>
    </w:tblStylePr>
  </w:style>
  <w:style w:type="table" w:customStyle="1" w:styleId="240">
    <w:name w:val="Grid Table 3"/>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color w:val="404040"/>
        <w:sz w:val="22"/>
      </w:rPr>
      <w:tcPr>
        <w:shd w:val="clear" w:color="CBCBCB" w:fill="CACACA" w:themeFill="text1" w:themeFillTint="34"/>
      </w:tcPr>
    </w:tblStylePr>
    <w:tblStylePr w:type="band1Horz">
      <w:rPr>
        <w:color w:val="404040"/>
        <w:sz w:val="22"/>
      </w:rPr>
      <w:tcPr>
        <w:shd w:val="clear" w:color="CBCBCB" w:fill="CACACA" w:themeFill="text1" w:themeFillTint="34"/>
      </w:tcPr>
    </w:tblStylePr>
  </w:style>
  <w:style w:type="table" w:customStyle="1" w:styleId="241">
    <w:name w:val="Grid Table 3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color w:val="404040"/>
        <w:sz w:val="22"/>
      </w:rPr>
      <w:tcPr>
        <w:shd w:val="clear" w:color="DAE5F1" w:fill="DBE5F1" w:themeFill="accent1" w:themeFillTint="34"/>
      </w:tcPr>
    </w:tblStylePr>
    <w:tblStylePr w:type="band1Horz">
      <w:rPr>
        <w:color w:val="404040"/>
        <w:sz w:val="22"/>
      </w:rPr>
      <w:tcPr>
        <w:shd w:val="clear" w:color="DAE5F1" w:fill="DBE5F1" w:themeFill="accent1" w:themeFillTint="34"/>
      </w:tcPr>
    </w:tblStylePr>
  </w:style>
  <w:style w:type="table" w:customStyle="1" w:styleId="242">
    <w:name w:val="Grid Table 3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color w:val="404040"/>
        <w:sz w:val="22"/>
      </w:rPr>
      <w:tcPr>
        <w:shd w:val="clear" w:color="F2DCDC" w:fill="F2DCDC" w:themeFill="accent2" w:themeFillTint="32"/>
      </w:tcPr>
    </w:tblStylePr>
    <w:tblStylePr w:type="band1Horz">
      <w:rPr>
        <w:color w:val="404040"/>
        <w:sz w:val="22"/>
      </w:rPr>
      <w:tcPr>
        <w:shd w:val="clear" w:color="F2DCDC" w:fill="F2DCDC" w:themeFill="accent2" w:themeFillTint="32"/>
      </w:tcPr>
    </w:tblStylePr>
  </w:style>
  <w:style w:type="table" w:customStyle="1" w:styleId="243">
    <w:name w:val="Grid Table 3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color w:val="404040"/>
        <w:sz w:val="22"/>
      </w:rPr>
      <w:tcPr>
        <w:shd w:val="clear" w:color="EAF1DC" w:fill="EAF1DD" w:themeFill="accent3" w:themeFillTint="34"/>
      </w:tcPr>
    </w:tblStylePr>
    <w:tblStylePr w:type="band1Horz">
      <w:rPr>
        <w:color w:val="404040"/>
        <w:sz w:val="22"/>
      </w:rPr>
      <w:tcPr>
        <w:shd w:val="clear" w:color="EAF1DC" w:fill="EAF1DD" w:themeFill="accent3" w:themeFillTint="34"/>
      </w:tcPr>
    </w:tblStylePr>
  </w:style>
  <w:style w:type="table" w:customStyle="1" w:styleId="244">
    <w:name w:val="Grid Table 3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color w:val="404040"/>
        <w:sz w:val="22"/>
      </w:rPr>
      <w:tcPr>
        <w:shd w:val="clear" w:color="E5DFEC" w:fill="E5DFEC" w:themeFill="accent4" w:themeFillTint="34"/>
      </w:tcPr>
    </w:tblStylePr>
    <w:tblStylePr w:type="band1Horz">
      <w:rPr>
        <w:color w:val="404040"/>
        <w:sz w:val="22"/>
      </w:rPr>
      <w:tcPr>
        <w:shd w:val="clear" w:color="E5DFEC" w:fill="E5DFEC" w:themeFill="accent4" w:themeFillTint="34"/>
      </w:tcPr>
    </w:tblStylePr>
  </w:style>
  <w:style w:type="table" w:customStyle="1" w:styleId="245">
    <w:name w:val="Grid Table 3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color w:val="404040"/>
        <w:sz w:val="22"/>
      </w:rPr>
      <w:tcPr>
        <w:shd w:val="clear" w:color="DAEEF3" w:fill="DAEEF3" w:themeFill="accent5" w:themeFillTint="34"/>
      </w:tcPr>
    </w:tblStylePr>
    <w:tblStylePr w:type="band1Horz">
      <w:rPr>
        <w:color w:val="404040"/>
        <w:sz w:val="22"/>
      </w:rPr>
      <w:tcPr>
        <w:shd w:val="clear" w:color="DAEEF3" w:fill="DAEEF3" w:themeFill="accent5" w:themeFillTint="34"/>
      </w:tcPr>
    </w:tblStylePr>
  </w:style>
  <w:style w:type="table" w:customStyle="1" w:styleId="246">
    <w:name w:val="Grid Table 3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color w:val="404040"/>
        <w:sz w:val="22"/>
      </w:rPr>
      <w:tcPr>
        <w:shd w:val="clear" w:color="FDE9D8" w:fill="FDE9D9" w:themeFill="accent6" w:themeFillTint="34"/>
      </w:tcPr>
    </w:tblStylePr>
    <w:tblStylePr w:type="band1Horz">
      <w:rPr>
        <w:color w:val="404040"/>
        <w:sz w:val="22"/>
      </w:rPr>
      <w:tcPr>
        <w:shd w:val="clear" w:color="FDE9D8" w:fill="FDE9D9" w:themeFill="accent6" w:themeFillTint="34"/>
      </w:tcPr>
    </w:tblStylePr>
  </w:style>
  <w:style w:type="table" w:customStyle="1" w:styleId="247">
    <w:name w:val="Grid Table 4"/>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color w:val="404040"/>
        <w:sz w:val="22"/>
      </w:rPr>
      <w:tcPr>
        <w:shd w:val="clear" w:color="CBCBCB" w:fill="CACACA" w:themeFill="text1" w:themeFillTint="34"/>
      </w:tcPr>
    </w:tblStylePr>
    <w:tblStylePr w:type="band1Horz">
      <w:rPr>
        <w:color w:val="404040"/>
        <w:sz w:val="22"/>
      </w:rPr>
      <w:tcPr>
        <w:shd w:val="clear" w:color="CBCBCB" w:fill="CACACA" w:themeFill="text1" w:themeFillTint="34"/>
      </w:tcPr>
    </w:tblStylePr>
  </w:style>
  <w:style w:type="table" w:customStyle="1" w:styleId="248">
    <w:name w:val="Grid Table 4 - Accent 1"/>
    <w:basedOn w:val="4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b/>
        <w:color w:val="FFFFFF"/>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shd w:val="clear" w:color="5D8AC2" w:fill="5D8BC2" w:themeFill="accent1" w:themeFillTint="EA"/>
      </w:tcPr>
    </w:tblStylePr>
    <w:tblStylePr w:type="lastRow">
      <w:rPr>
        <w:b/>
        <w:color w:val="404040"/>
      </w:rPr>
      <w:tcPr>
        <w:tcBorders>
          <w:top w:val="single" w:color="4F81BD" w:themeColor="accent1" w:sz="4" w:space="0"/>
        </w:tcBorders>
      </w:tcPr>
    </w:tblStylePr>
    <w:tblStylePr w:type="firstCol">
      <w:rPr>
        <w:b/>
        <w:color w:val="404040"/>
      </w:rPr>
    </w:tblStylePr>
    <w:tblStylePr w:type="lastCol">
      <w:rPr>
        <w:b/>
        <w:color w:val="404040"/>
      </w:rPr>
    </w:tblStylePr>
    <w:tblStylePr w:type="band1Vert">
      <w:rPr>
        <w:color w:val="404040"/>
        <w:sz w:val="22"/>
      </w:rPr>
      <w:tcPr>
        <w:shd w:val="clear" w:color="DCE6F2" w:fill="DCE6F2" w:themeFill="accent1" w:themeFillTint="32"/>
      </w:tcPr>
    </w:tblStylePr>
    <w:tblStylePr w:type="band1Horz">
      <w:rPr>
        <w:color w:val="404040"/>
        <w:sz w:val="22"/>
      </w:rPr>
      <w:tcPr>
        <w:shd w:val="clear" w:color="DCE6F2" w:fill="DCE6F2" w:themeFill="accent1" w:themeFillTint="32"/>
      </w:tcPr>
    </w:tblStylePr>
  </w:style>
  <w:style w:type="table" w:customStyle="1" w:styleId="249">
    <w:name w:val="Grid Table 4 - Accent 2"/>
    <w:basedOn w:val="4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b/>
        <w:color w:val="FFFFFF"/>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shd w:val="clear" w:color="D99695" w:fill="D99795" w:themeFill="accent2" w:themeFillTint="97"/>
      </w:tcPr>
    </w:tblStylePr>
    <w:tblStylePr w:type="lastRow">
      <w:rPr>
        <w:b/>
        <w:color w:val="404040"/>
      </w:rPr>
      <w:tcPr>
        <w:tcBorders>
          <w:top w:val="single" w:color="C0504D" w:themeColor="accent2" w:sz="4" w:space="0"/>
        </w:tcBorders>
      </w:tcPr>
    </w:tblStylePr>
    <w:tblStylePr w:type="firstCol">
      <w:rPr>
        <w:b/>
        <w:color w:val="404040"/>
      </w:rPr>
    </w:tblStylePr>
    <w:tblStylePr w:type="lastCol">
      <w:rPr>
        <w:b/>
        <w:color w:val="404040"/>
      </w:rPr>
    </w:tblStylePr>
    <w:tblStylePr w:type="band1Vert">
      <w:rPr>
        <w:color w:val="404040"/>
        <w:sz w:val="22"/>
      </w:rPr>
      <w:tcPr>
        <w:shd w:val="clear" w:color="F2DCDC" w:fill="F2DCDC" w:themeFill="accent2" w:themeFillTint="32"/>
      </w:tcPr>
    </w:tblStylePr>
    <w:tblStylePr w:type="band1Horz">
      <w:rPr>
        <w:color w:val="404040"/>
        <w:sz w:val="22"/>
      </w:rPr>
      <w:tcPr>
        <w:shd w:val="clear" w:color="F2DCDC" w:fill="F2DCDC" w:themeFill="accent2" w:themeFillTint="32"/>
      </w:tcPr>
    </w:tblStylePr>
  </w:style>
  <w:style w:type="table" w:customStyle="1" w:styleId="250">
    <w:name w:val="Grid Table 4 - Accent 3"/>
    <w:basedOn w:val="4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b/>
        <w:color w:val="FFFFFF"/>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shd w:val="clear" w:color="9ABB59" w:fill="9BBB59" w:themeFill="accent3" w:themeFillTint="FE"/>
      </w:tcPr>
    </w:tblStylePr>
    <w:tblStylePr w:type="lastRow">
      <w:rPr>
        <w:b/>
        <w:color w:val="404040"/>
      </w:rPr>
      <w:tcPr>
        <w:tcBorders>
          <w:top w:val="single" w:color="9BBB59" w:themeColor="accent3" w:sz="4" w:space="0"/>
        </w:tcBorders>
      </w:tcPr>
    </w:tblStylePr>
    <w:tblStylePr w:type="firstCol">
      <w:rPr>
        <w:b/>
        <w:color w:val="404040"/>
      </w:rPr>
    </w:tblStylePr>
    <w:tblStylePr w:type="lastCol">
      <w:rPr>
        <w:b/>
        <w:color w:val="404040"/>
      </w:rPr>
    </w:tblStylePr>
    <w:tblStylePr w:type="band1Vert">
      <w:rPr>
        <w:color w:val="404040"/>
        <w:sz w:val="22"/>
      </w:rPr>
      <w:tcPr>
        <w:shd w:val="clear" w:color="EAF1DC" w:fill="EAF1DD" w:themeFill="accent3" w:themeFillTint="34"/>
      </w:tcPr>
    </w:tblStylePr>
    <w:tblStylePr w:type="band1Horz">
      <w:rPr>
        <w:color w:val="404040"/>
        <w:sz w:val="22"/>
      </w:rPr>
      <w:tcPr>
        <w:shd w:val="clear" w:color="EAF1DC" w:fill="EAF1DD" w:themeFill="accent3" w:themeFillTint="34"/>
      </w:tcPr>
    </w:tblStylePr>
  </w:style>
  <w:style w:type="table" w:customStyle="1" w:styleId="251">
    <w:name w:val="Grid Table 4 - Accent 4"/>
    <w:basedOn w:val="4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b/>
        <w:color w:val="FFFFFF"/>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shd w:val="clear" w:color="B2A1C6" w:fill="B2A1C6" w:themeFill="accent4" w:themeFillTint="9A"/>
      </w:tcPr>
    </w:tblStylePr>
    <w:tblStylePr w:type="lastRow">
      <w:rPr>
        <w:b/>
        <w:color w:val="404040"/>
      </w:rPr>
      <w:tcPr>
        <w:tcBorders>
          <w:top w:val="single" w:color="8064A2" w:themeColor="accent4" w:sz="4" w:space="0"/>
        </w:tcBorders>
      </w:tcPr>
    </w:tblStylePr>
    <w:tblStylePr w:type="firstCol">
      <w:rPr>
        <w:b/>
        <w:color w:val="404040"/>
      </w:rPr>
    </w:tblStylePr>
    <w:tblStylePr w:type="lastCol">
      <w:rPr>
        <w:b/>
        <w:color w:val="404040"/>
      </w:rPr>
    </w:tblStylePr>
    <w:tblStylePr w:type="band1Vert">
      <w:rPr>
        <w:color w:val="404040"/>
        <w:sz w:val="22"/>
      </w:rPr>
      <w:tcPr>
        <w:shd w:val="clear" w:color="E5DFEC" w:fill="E5DFEC" w:themeFill="accent4" w:themeFillTint="34"/>
      </w:tcPr>
    </w:tblStylePr>
    <w:tblStylePr w:type="band1Horz">
      <w:rPr>
        <w:color w:val="404040"/>
        <w:sz w:val="22"/>
      </w:rPr>
      <w:tcPr>
        <w:shd w:val="clear" w:color="E5DFEC" w:fill="E5DFEC" w:themeFill="accent4" w:themeFillTint="34"/>
      </w:tcPr>
    </w:tblStylePr>
  </w:style>
  <w:style w:type="table" w:customStyle="1" w:styleId="252">
    <w:name w:val="Grid Table 4 - Accent 5"/>
    <w:basedOn w:val="4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color w:val="404040"/>
        <w:sz w:val="22"/>
      </w:rPr>
      <w:tcPr>
        <w:shd w:val="clear" w:color="DAEEF3" w:fill="DAEEF3" w:themeFill="accent5" w:themeFillTint="34"/>
      </w:tcPr>
    </w:tblStylePr>
    <w:tblStylePr w:type="band1Horz">
      <w:rPr>
        <w:color w:val="404040"/>
        <w:sz w:val="22"/>
      </w:rPr>
      <w:tcPr>
        <w:shd w:val="clear" w:color="DAEEF3" w:fill="DAEEF3" w:themeFill="accent5" w:themeFillTint="34"/>
      </w:tcPr>
    </w:tblStylePr>
  </w:style>
  <w:style w:type="table" w:customStyle="1" w:styleId="253">
    <w:name w:val="Grid Table 4 - Accent 6"/>
    <w:basedOn w:val="4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color w:val="404040"/>
        <w:sz w:val="22"/>
      </w:rPr>
      <w:tcPr>
        <w:shd w:val="clear" w:color="FDE9D8" w:fill="FDE9D9" w:themeFill="accent6" w:themeFillTint="34"/>
      </w:tcPr>
    </w:tblStylePr>
    <w:tblStylePr w:type="band1Horz">
      <w:rPr>
        <w:color w:val="404040"/>
        <w:sz w:val="22"/>
      </w:rPr>
      <w:tcPr>
        <w:shd w:val="clear" w:color="FDE9D8" w:fill="FDE9D9" w:themeFill="accent6" w:themeFillTint="34"/>
      </w:tcPr>
    </w:tblStylePr>
  </w:style>
  <w:style w:type="table" w:customStyle="1" w:styleId="254">
    <w:name w:val="Grid Table 5 Dark"/>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b/>
        <w:color w:val="FFFFFF"/>
        <w:sz w:val="22"/>
      </w:rPr>
      <w:tcPr>
        <w:shd w:val="clear" w:color="000000" w:fill="000000" w:themeFill="text1"/>
      </w:tcPr>
    </w:tblStylePr>
    <w:tblStylePr w:type="lastRow">
      <w:rPr>
        <w:b/>
        <w:color w:val="FFFFFF"/>
        <w:sz w:val="22"/>
      </w:rPr>
      <w:tcPr>
        <w:tcBorders>
          <w:top w:val="single" w:color="FFFFFF" w:themeColor="light1" w:sz="4" w:space="0"/>
        </w:tcBorders>
        <w:shd w:val="clear" w:color="000000" w:fill="000000" w:themeFill="text1"/>
      </w:tcPr>
    </w:tblStylePr>
    <w:tblStylePr w:type="firstCol">
      <w:rPr>
        <w:b/>
        <w:color w:val="FFFFFF"/>
        <w:sz w:val="22"/>
      </w:rPr>
      <w:tcPr>
        <w:shd w:val="clear" w:color="000000" w:fill="000000" w:themeFill="text1"/>
      </w:tcPr>
    </w:tblStylePr>
    <w:tblStylePr w:type="lastCol">
      <w:rPr>
        <w:b/>
        <w:color w:val="FFFFFF"/>
        <w:sz w:val="22"/>
      </w:rPr>
      <w:tcPr>
        <w:shd w:val="clear" w:color="000000" w:fill="000000" w:themeFill="text1"/>
      </w:tcPr>
    </w:tblStylePr>
    <w:tblStylePr w:type="band1Vert">
      <w:tcPr>
        <w:shd w:val="clear" w:color="8A8A8A" w:fill="898989" w:themeFill="text1" w:themeFillTint="75"/>
      </w:tcPr>
    </w:tblStylePr>
    <w:tblStylePr w:type="band1Horz">
      <w:tcPr>
        <w:shd w:val="clear" w:color="8A8A8A" w:fill="898989" w:themeFill="text1" w:themeFillTint="75"/>
      </w:tcPr>
    </w:tblStylePr>
  </w:style>
  <w:style w:type="table" w:customStyle="1" w:styleId="255">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b/>
        <w:color w:val="FFFFFF"/>
        <w:sz w:val="22"/>
      </w:rPr>
      <w:tcPr>
        <w:shd w:val="clear" w:color="4F81BD" w:fill="4F81BD" w:themeFill="accent1"/>
      </w:tcPr>
    </w:tblStylePr>
    <w:tblStylePr w:type="lastRow">
      <w:rPr>
        <w:b/>
        <w:color w:val="FFFFFF"/>
        <w:sz w:val="22"/>
      </w:rPr>
      <w:tcPr>
        <w:tcBorders>
          <w:top w:val="single" w:color="FFFFFF" w:themeColor="light1" w:sz="4" w:space="0"/>
        </w:tcBorders>
        <w:shd w:val="clear" w:color="4F81BD" w:fill="4F81BD" w:themeFill="accent1"/>
      </w:tcPr>
    </w:tblStylePr>
    <w:tblStylePr w:type="firstCol">
      <w:rPr>
        <w:b/>
        <w:color w:val="FFFFFF"/>
        <w:sz w:val="22"/>
      </w:rPr>
      <w:tcPr>
        <w:shd w:val="clear" w:color="4F81BD" w:fill="4F81BD" w:themeFill="accent1"/>
      </w:tcPr>
    </w:tblStylePr>
    <w:tblStylePr w:type="lastCol">
      <w:rPr>
        <w:b/>
        <w:color w:val="FFFFFF"/>
        <w:sz w:val="22"/>
      </w:rPr>
      <w:tcPr>
        <w:shd w:val="clear" w:color="4F81BD" w:fill="4F81BD" w:themeFill="accent1"/>
      </w:tcPr>
    </w:tblStylePr>
    <w:tblStylePr w:type="band1Vert">
      <w:tcPr>
        <w:shd w:val="clear" w:color="AEC4E0" w:fill="AEC5E0" w:themeFill="accent1" w:themeFillTint="75"/>
      </w:tcPr>
    </w:tblStylePr>
    <w:tblStylePr w:type="band1Horz">
      <w:tcPr>
        <w:shd w:val="clear" w:color="AEC4E0" w:fill="AEC5E0" w:themeFill="accent1" w:themeFillTint="75"/>
      </w:tcPr>
    </w:tblStylePr>
  </w:style>
  <w:style w:type="table" w:customStyle="1" w:styleId="256">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b/>
        <w:color w:val="FFFFFF"/>
        <w:sz w:val="22"/>
      </w:rPr>
      <w:tcPr>
        <w:shd w:val="clear" w:color="C0504D" w:fill="C0504D" w:themeFill="accent2"/>
      </w:tcPr>
    </w:tblStylePr>
    <w:tblStylePr w:type="lastRow">
      <w:rPr>
        <w:b/>
        <w:color w:val="FFFFFF"/>
        <w:sz w:val="22"/>
      </w:rPr>
      <w:tcPr>
        <w:tcBorders>
          <w:top w:val="single" w:color="FFFFFF" w:themeColor="light1" w:sz="4" w:space="0"/>
        </w:tcBorders>
        <w:shd w:val="clear" w:color="C0504D" w:fill="C0504D" w:themeFill="accent2"/>
      </w:tcPr>
    </w:tblStylePr>
    <w:tblStylePr w:type="firstCol">
      <w:rPr>
        <w:b/>
        <w:color w:val="FFFFFF"/>
        <w:sz w:val="22"/>
      </w:rPr>
      <w:tcPr>
        <w:shd w:val="clear" w:color="C0504D" w:fill="C0504D" w:themeFill="accent2"/>
      </w:tcPr>
    </w:tblStylePr>
    <w:tblStylePr w:type="lastCol">
      <w:rPr>
        <w:b/>
        <w:color w:val="FFFFFF"/>
        <w:sz w:val="22"/>
      </w:rPr>
      <w:tcPr>
        <w:shd w:val="clear" w:color="C0504D" w:fill="C0504D" w:themeFill="accent2"/>
      </w:tcPr>
    </w:tblStylePr>
    <w:tblStylePr w:type="band1Vert">
      <w:tcPr>
        <w:shd w:val="clear" w:color="E2AEAD" w:fill="E2AEAD" w:themeFill="accent2" w:themeFillTint="75"/>
      </w:tcPr>
    </w:tblStylePr>
    <w:tblStylePr w:type="band1Horz">
      <w:tcPr>
        <w:shd w:val="clear" w:color="E2AEAD" w:fill="E2AEAD" w:themeFill="accent2" w:themeFillTint="75"/>
      </w:tcPr>
    </w:tblStylePr>
  </w:style>
  <w:style w:type="table" w:customStyle="1" w:styleId="257">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b/>
        <w:color w:val="FFFFFF"/>
        <w:sz w:val="22"/>
      </w:rPr>
      <w:tcPr>
        <w:shd w:val="clear" w:color="9BBB59" w:fill="9BBB59" w:themeFill="accent3"/>
      </w:tcPr>
    </w:tblStylePr>
    <w:tblStylePr w:type="lastRow">
      <w:rPr>
        <w:b/>
        <w:color w:val="FFFFFF"/>
        <w:sz w:val="22"/>
      </w:rPr>
      <w:tcPr>
        <w:tcBorders>
          <w:top w:val="single" w:color="FFFFFF" w:themeColor="light1" w:sz="4" w:space="0"/>
        </w:tcBorders>
        <w:shd w:val="clear" w:color="9BBB59" w:fill="9BBB59" w:themeFill="accent3"/>
      </w:tcPr>
    </w:tblStylePr>
    <w:tblStylePr w:type="firstCol">
      <w:rPr>
        <w:b/>
        <w:color w:val="FFFFFF"/>
        <w:sz w:val="22"/>
      </w:rPr>
      <w:tcPr>
        <w:shd w:val="clear" w:color="9BBB59" w:fill="9BBB59" w:themeFill="accent3"/>
      </w:tcPr>
    </w:tblStylePr>
    <w:tblStylePr w:type="lastCol">
      <w:rPr>
        <w:b/>
        <w:color w:val="FFFFFF"/>
        <w:sz w:val="22"/>
      </w:rPr>
      <w:tcPr>
        <w:shd w:val="clear" w:color="9BBB59" w:fill="9BBB59" w:themeFill="accent3"/>
      </w:tcPr>
    </w:tblStylePr>
    <w:tblStylePr w:type="band1Vert">
      <w:tcPr>
        <w:shd w:val="clear" w:color="D0DFB2" w:fill="D1DFB2" w:themeFill="accent3" w:themeFillTint="75"/>
      </w:tcPr>
    </w:tblStylePr>
    <w:tblStylePr w:type="band1Horz">
      <w:tcPr>
        <w:shd w:val="clear" w:color="D0DFB2" w:fill="D1DFB2" w:themeFill="accent3" w:themeFillTint="75"/>
      </w:tcPr>
    </w:tblStylePr>
  </w:style>
  <w:style w:type="table" w:customStyle="1" w:styleId="258">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b/>
        <w:color w:val="FFFFFF"/>
        <w:sz w:val="22"/>
      </w:rPr>
      <w:tcPr>
        <w:shd w:val="clear" w:color="8064A2" w:fill="8064A2" w:themeFill="accent4"/>
      </w:tcPr>
    </w:tblStylePr>
    <w:tblStylePr w:type="lastRow">
      <w:rPr>
        <w:b/>
        <w:color w:val="FFFFFF"/>
        <w:sz w:val="22"/>
      </w:rPr>
      <w:tcPr>
        <w:tcBorders>
          <w:top w:val="single" w:color="FFFFFF" w:themeColor="light1" w:sz="4" w:space="0"/>
        </w:tcBorders>
        <w:shd w:val="clear" w:color="8064A2" w:fill="8064A2" w:themeFill="accent4"/>
      </w:tcPr>
    </w:tblStylePr>
    <w:tblStylePr w:type="firstCol">
      <w:rPr>
        <w:b/>
        <w:color w:val="FFFFFF"/>
        <w:sz w:val="22"/>
      </w:rPr>
      <w:tcPr>
        <w:shd w:val="clear" w:color="8064A2" w:fill="8064A2" w:themeFill="accent4"/>
      </w:tcPr>
    </w:tblStylePr>
    <w:tblStylePr w:type="lastCol">
      <w:rPr>
        <w:b/>
        <w:color w:val="FFFFFF"/>
        <w:sz w:val="22"/>
      </w:rPr>
      <w:tcPr>
        <w:shd w:val="clear" w:color="8064A2" w:fill="8064A2" w:themeFill="accent4"/>
      </w:tcPr>
    </w:tblStylePr>
    <w:tblStylePr w:type="band1Vert">
      <w:tcPr>
        <w:shd w:val="clear" w:color="C4B7D4" w:fill="C4B7D4" w:themeFill="accent4" w:themeFillTint="75"/>
      </w:tcPr>
    </w:tblStylePr>
    <w:tblStylePr w:type="band1Horz">
      <w:tcPr>
        <w:shd w:val="clear" w:color="C4B7D4" w:fill="C4B7D4" w:themeFill="accent4" w:themeFillTint="75"/>
      </w:tcPr>
    </w:tblStylePr>
  </w:style>
  <w:style w:type="table" w:customStyle="1" w:styleId="259">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b/>
        <w:color w:val="FFFFFF"/>
        <w:sz w:val="22"/>
      </w:rPr>
      <w:tcPr>
        <w:shd w:val="clear" w:color="4BACC6" w:fill="4BACC6" w:themeFill="accent5"/>
      </w:tcPr>
    </w:tblStylePr>
    <w:tblStylePr w:type="lastRow">
      <w:rPr>
        <w:b/>
        <w:color w:val="FFFFFF"/>
        <w:sz w:val="22"/>
      </w:rPr>
      <w:tcPr>
        <w:tcBorders>
          <w:top w:val="single" w:color="FFFFFF" w:themeColor="light1" w:sz="4" w:space="0"/>
        </w:tcBorders>
        <w:shd w:val="clear" w:color="4BACC6" w:fill="4BACC6" w:themeFill="accent5"/>
      </w:tcPr>
    </w:tblStylePr>
    <w:tblStylePr w:type="firstCol">
      <w:rPr>
        <w:b/>
        <w:color w:val="FFFFFF"/>
        <w:sz w:val="22"/>
      </w:rPr>
      <w:tcPr>
        <w:shd w:val="clear" w:color="4BACC6" w:fill="4BACC6" w:themeFill="accent5"/>
      </w:tcPr>
    </w:tblStylePr>
    <w:tblStylePr w:type="lastCol">
      <w:rPr>
        <w:b/>
        <w:color w:val="FFFFFF"/>
        <w:sz w:val="22"/>
      </w:rPr>
      <w:tcPr>
        <w:shd w:val="clear" w:color="4BACC6" w:fill="4BACC6" w:themeFill="accent5"/>
      </w:tcPr>
    </w:tblStylePr>
    <w:tblStylePr w:type="band1Vert">
      <w:tcPr>
        <w:shd w:val="clear" w:color="ACD8E4" w:fill="ACD8E4" w:themeFill="accent5" w:themeFillTint="75"/>
      </w:tcPr>
    </w:tblStylePr>
    <w:tblStylePr w:type="band1Horz">
      <w:tcPr>
        <w:shd w:val="clear" w:color="ACD8E4" w:fill="ACD8E4" w:themeFill="accent5" w:themeFillTint="75"/>
      </w:tcPr>
    </w:tblStylePr>
  </w:style>
  <w:style w:type="table" w:customStyle="1" w:styleId="260">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b/>
        <w:color w:val="FFFFFF"/>
        <w:sz w:val="22"/>
      </w:rPr>
      <w:tcPr>
        <w:shd w:val="clear" w:color="F79646" w:fill="F79646" w:themeFill="accent6"/>
      </w:tcPr>
    </w:tblStylePr>
    <w:tblStylePr w:type="lastRow">
      <w:rPr>
        <w:b/>
        <w:color w:val="FFFFFF"/>
        <w:sz w:val="22"/>
      </w:rPr>
      <w:tcPr>
        <w:tcBorders>
          <w:top w:val="single" w:color="FFFFFF" w:themeColor="light1" w:sz="4" w:space="0"/>
        </w:tcBorders>
        <w:shd w:val="clear" w:color="F79646" w:fill="F79646" w:themeFill="accent6"/>
      </w:tcPr>
    </w:tblStylePr>
    <w:tblStylePr w:type="firstCol">
      <w:rPr>
        <w:b/>
        <w:color w:val="FFFFFF"/>
        <w:sz w:val="22"/>
      </w:rPr>
      <w:tcPr>
        <w:shd w:val="clear" w:color="F79646" w:fill="F79646" w:themeFill="accent6"/>
      </w:tcPr>
    </w:tblStylePr>
    <w:tblStylePr w:type="lastCol">
      <w:rPr>
        <w:b/>
        <w:color w:val="FFFFFF"/>
        <w:sz w:val="22"/>
      </w:rPr>
      <w:tcPr>
        <w:shd w:val="clear" w:color="F79646" w:fill="F79646" w:themeFill="accent6"/>
      </w:tcPr>
    </w:tblStylePr>
    <w:tblStylePr w:type="band1Vert">
      <w:tcPr>
        <w:shd w:val="clear" w:color="FBCEAA" w:fill="FBCEAA" w:themeFill="accent6" w:themeFillTint="75"/>
      </w:tcPr>
    </w:tblStylePr>
    <w:tblStylePr w:type="band1Horz">
      <w:tcPr>
        <w:shd w:val="clear" w:color="FBCEAA" w:fill="FBCEAA" w:themeFill="accent6" w:themeFillTint="75"/>
      </w:tcPr>
    </w:tblStylePr>
  </w:style>
  <w:style w:type="table" w:customStyle="1" w:styleId="261">
    <w:name w:val="Grid Table 6 Colorful"/>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000000" w:themeColor="text1"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BCBCB" w:fill="CACACA" w:themeFill="text1" w:themeFillTint="34"/>
      </w:tcPr>
    </w:tblStylePr>
    <w:tblStylePr w:type="band1Horz">
      <w:rPr>
        <w:color w:val="808080" w:themeColor="text1" w:themeTint="80"/>
        <w:sz w:val="22"/>
        <w14:textFill>
          <w14:solidFill>
            <w14:schemeClr w14:val="tx1">
              <w14:lumMod w14:val="50000"/>
              <w14:lumOff w14:val="50000"/>
            </w14:schemeClr>
          </w14:solidFill>
        </w14:textFill>
      </w:rPr>
      <w:tcPr>
        <w:shd w:val="clear" w:color="CBCBCB" w:fill="CACACA" w:themeFill="text1" w:themeFillTint="34"/>
      </w:tcPr>
    </w:tblStylePr>
    <w:tblStylePr w:type="band2Horz">
      <w:rPr>
        <w:color w:val="808080" w:themeColor="text1" w:themeTint="80"/>
        <w:sz w:val="22"/>
        <w14:textFill>
          <w14:solidFill>
            <w14:schemeClr w14:val="tx1">
              <w14:lumMod w14:val="50000"/>
              <w14:lumOff w14:val="50000"/>
            </w14:schemeClr>
          </w14:solidFill>
        </w14:textFill>
      </w:rPr>
    </w:tblStylePr>
  </w:style>
  <w:style w:type="table" w:customStyle="1" w:styleId="262">
    <w:name w:val="Grid Table 6 Colorful - Accent 1"/>
    <w:basedOn w:val="4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4F81BD" w:themeColor="accent1"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AE5F1" w:fill="DBE5F1" w:themeFill="accent1" w:themeFillTint="34"/>
      </w:tcPr>
    </w:tblStylePr>
    <w:tblStylePr w:type="band1Horz">
      <w:rPr>
        <w:color w:val="A7C0DE" w:themeColor="accent1" w:themeTint="80"/>
        <w:sz w:val="22"/>
        <w14:textFill>
          <w14:solidFill>
            <w14:schemeClr w14:val="accent1">
              <w14:lumMod w14:val="50000"/>
              <w14:lumOff w14:val="50000"/>
            </w14:schemeClr>
          </w14:solidFill>
        </w14:textFill>
      </w:rPr>
      <w:tcPr>
        <w:shd w:val="clear" w:color="DA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style>
  <w:style w:type="table" w:customStyle="1" w:styleId="263">
    <w:name w:val="Grid Table 6 Colorful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fill="F2DCDC" w:themeFill="accent2" w:themeFillTint="32"/>
      </w:tcPr>
    </w:tblStyle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style>
  <w:style w:type="table" w:customStyle="1" w:styleId="264">
    <w:name w:val="Grid Table 6 Colorful - Accent 3"/>
    <w:basedOn w:val="4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C" w:fill="EAF1DD" w:themeFill="accent3" w:themeFillTint="34"/>
      </w:tcPr>
    </w:tblStylePr>
    <w:tblStylePr w:type="band1Horz">
      <w:rPr>
        <w:color w:val="9BBB59" w:themeColor="accent3"/>
        <w:sz w:val="22"/>
        <w14:textFill>
          <w14:solidFill>
            <w14:schemeClr w14:val="accent3"/>
          </w14:solidFill>
        </w14:textFill>
      </w:rPr>
      <w:tcPr>
        <w:shd w:val="clear" w:color="EAF1DC" w:fill="EAF1DD" w:themeFill="accent3" w:themeFillTint="34"/>
      </w:tcPr>
    </w:tblStylePr>
    <w:tblStylePr w:type="band2Horz">
      <w:rPr>
        <w:color w:val="9BBB59" w:themeColor="accent3"/>
        <w:sz w:val="22"/>
        <w14:textFill>
          <w14:solidFill>
            <w14:schemeClr w14:val="accent3"/>
          </w14:solidFill>
        </w14:textFill>
      </w:rPr>
    </w:tblStylePr>
  </w:style>
  <w:style w:type="table" w:customStyle="1" w:styleId="265">
    <w:name w:val="Grid Table 6 Colorful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fill="E5DFEC" w:themeFill="accent4" w:themeFillTint="34"/>
      </w:tcPr>
    </w:tblStyle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style>
  <w:style w:type="table" w:customStyle="1" w:styleId="266">
    <w:name w:val="Grid Table 6 Colorful - Accent 5"/>
    <w:basedOn w:val="4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fill="DAEEF3" w:themeFill="accent5" w:themeFillTint="34"/>
      </w:tcPr>
    </w:tblStylePr>
    <w:tblStylePr w:type="band1Horz">
      <w:rPr>
        <w:color w:val="266778" w:themeColor="accent5" w:themeShade="94"/>
        <w:sz w:val="22"/>
      </w:rPr>
      <w:tcPr>
        <w:shd w:val="clear" w:color="DAEEF3" w:fill="DAEEF3" w:themeFill="accent5" w:themeFillTint="34"/>
      </w:tcPr>
    </w:tblStylePr>
    <w:tblStylePr w:type="band2Horz">
      <w:rPr>
        <w:color w:val="266778" w:themeColor="accent5" w:themeShade="94"/>
        <w:sz w:val="22"/>
      </w:rPr>
    </w:tblStylePr>
  </w:style>
  <w:style w:type="table" w:customStyle="1" w:styleId="267">
    <w:name w:val="Grid Table 6 Colorful - Accent 6"/>
    <w:basedOn w:val="4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8" w:fill="FDE9D9" w:themeFill="accent6" w:themeFillTint="34"/>
      </w:tcPr>
    </w:tblStylePr>
    <w:tblStylePr w:type="band1Horz">
      <w:rPr>
        <w:color w:val="266778" w:themeColor="accent5" w:themeShade="94"/>
        <w:sz w:val="22"/>
      </w:rPr>
      <w:tcPr>
        <w:shd w:val="clear" w:color="FDE9D8" w:fill="FDE9D9" w:themeFill="accent6" w:themeFillTint="34"/>
      </w:tcPr>
    </w:tblStylePr>
    <w:tblStylePr w:type="band2Horz">
      <w:rPr>
        <w:color w:val="266778" w:themeColor="accent5" w:themeShade="94"/>
        <w:sz w:val="22"/>
      </w:rPr>
    </w:tblStylePr>
  </w:style>
  <w:style w:type="table" w:customStyle="1" w:styleId="268">
    <w:name w:val="Grid Table 7 Colorful"/>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sz w:val="22"/>
        <w14:textFill>
          <w14:solidFill>
            <w14:schemeClr w14:val="tx1">
              <w14:lumMod w14:val="50000"/>
              <w14:lumOff w14:val="50000"/>
            </w14:schemeClr>
          </w14:solidFill>
        </w14:textFill>
      </w:rPr>
      <w:tcPr>
        <w:tcBorders>
          <w:top w:val="nil"/>
          <w:left w:val="nil"/>
          <w:bottom w:val="single" w:color="000000" w:themeColor="text1" w:sz="4" w:space="0"/>
          <w:right w:val="nil"/>
        </w:tcBorders>
        <w:shd w:val="clear" w:color="FFFFFF" w:fill="FFFFFF" w:themeFill="light1"/>
      </w:tcPr>
    </w:tblStylePr>
    <w:tblStylePr w:type="lastRow">
      <w:rPr>
        <w:b/>
        <w:color w:val="808080" w:themeColor="text1" w:themeTint="80"/>
        <w:sz w:val="22"/>
        <w14:textFill>
          <w14:solidFill>
            <w14:schemeClr w14:val="tx1">
              <w14:lumMod w14:val="50000"/>
              <w14:lumOff w14:val="50000"/>
            </w14:schemeClr>
          </w14:solidFill>
        </w14:textFill>
      </w:rPr>
      <w:tcPr>
        <w:tcBorders>
          <w:top w:val="single" w:color="000000" w:themeColor="text1" w:sz="4" w:space="0"/>
          <w:left w:val="nil"/>
          <w:bottom w:val="nil"/>
          <w:right w:val="nil"/>
        </w:tcBorders>
        <w:shd w:val="clear" w:color="FFFFFF" w:fill="FFFFFF" w:themeFill="light1"/>
      </w:tcPr>
    </w:tblStylePr>
    <w:tblStylePr w:type="firstCol">
      <w:pPr>
        <w:jc w:val="right"/>
      </w:pPr>
      <w:rPr>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000000" w:themeColor="text1" w:sz="4" w:space="0"/>
        </w:tcBorders>
        <w:shd w:val="clear" w:color="FFFFFF" w:fill="auto"/>
      </w:tcPr>
    </w:tblStylePr>
    <w:tblStylePr w:type="lastCol">
      <w:rPr>
        <w:i/>
        <w:color w:val="808080" w:themeColor="text1" w:themeTint="80"/>
        <w:sz w:val="22"/>
        <w14:textFill>
          <w14:solidFill>
            <w14:schemeClr w14:val="tx1">
              <w14:lumMod w14:val="50000"/>
              <w14:lumOff w14:val="50000"/>
            </w14:schemeClr>
          </w14:solidFill>
        </w14:textFill>
      </w:rPr>
      <w:tcPr>
        <w:tcBorders>
          <w:top w:val="nil"/>
          <w:left w:val="single" w:color="000000" w:themeColor="text1" w:sz="4" w:space="0"/>
          <w:bottom w:val="nil"/>
          <w:right w:val="nil"/>
        </w:tcBorders>
        <w:shd w:val="clear" w:color="FFFFFF" w:fill="auto"/>
      </w:tcPr>
    </w:tblStylePr>
    <w:tblStylePr w:type="band1Vert">
      <w:tcPr>
        <w:shd w:val="clear" w:color="F2F2F2" w:fill="F1F1F1" w:themeFill="text1" w:themeFillTint="0D"/>
      </w:tcPr>
    </w:tblStylePr>
    <w:tblStylePr w:type="band1Horz">
      <w:rPr>
        <w:color w:val="808080" w:themeColor="text1" w:themeTint="80"/>
        <w:sz w:val="22"/>
        <w14:textFill>
          <w14:solidFill>
            <w14:schemeClr w14:val="tx1">
              <w14:lumMod w14:val="50000"/>
              <w14:lumOff w14:val="50000"/>
            </w14:schemeClr>
          </w14:solidFill>
        </w14:textFill>
      </w:rPr>
      <w:tcPr>
        <w:shd w:val="clear" w:color="F2F2F2" w:fill="F1F1F1" w:themeFill="text1" w:themeFillTint="0D"/>
      </w:tcPr>
    </w:tblStylePr>
    <w:tblStylePr w:type="band2Horz">
      <w:rPr>
        <w:color w:val="808080" w:themeColor="text1" w:themeTint="80"/>
        <w:sz w:val="22"/>
        <w14:textFill>
          <w14:solidFill>
            <w14:schemeClr w14:val="tx1">
              <w14:lumMod w14:val="50000"/>
              <w14:lumOff w14:val="50000"/>
            </w14:schemeClr>
          </w14:solidFill>
        </w14:textFill>
      </w:rPr>
    </w:tblStylePr>
  </w:style>
  <w:style w:type="table" w:customStyle="1" w:styleId="269">
    <w:name w:val="Grid Table 7 Colorful - Accent 1"/>
    <w:basedOn w:val="4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sz w:val="22"/>
        <w14:textFill>
          <w14:solidFill>
            <w14:schemeClr w14:val="accent1">
              <w14:lumMod w14:val="50000"/>
              <w14:lumOff w14:val="50000"/>
            </w14:schemeClr>
          </w14:solidFill>
        </w14:textFill>
      </w:rPr>
      <w:tcPr>
        <w:tcBorders>
          <w:top w:val="nil"/>
          <w:left w:val="nil"/>
          <w:bottom w:val="single" w:color="4F81BD" w:themeColor="accent1" w:sz="4" w:space="0"/>
          <w:right w:val="nil"/>
        </w:tcBorders>
        <w:shd w:val="clear" w:color="FFFFFF" w:fill="FFFFFF" w:themeFill="light1"/>
      </w:tcPr>
    </w:tblStylePr>
    <w:tblStylePr w:type="lastRow">
      <w:rPr>
        <w:b/>
        <w:color w:val="A7C0DE" w:themeColor="accent1" w:themeTint="80"/>
        <w:sz w:val="22"/>
        <w14:textFill>
          <w14:solidFill>
            <w14:schemeClr w14:val="accent1">
              <w14:lumMod w14:val="50000"/>
              <w14:lumOff w14:val="50000"/>
            </w14:schemeClr>
          </w14:solidFill>
        </w14:textFill>
      </w:rPr>
      <w:tcPr>
        <w:tcBorders>
          <w:top w:val="single" w:color="4F81BD" w:themeColor="accent1" w:sz="4" w:space="0"/>
          <w:left w:val="nil"/>
          <w:bottom w:val="nil"/>
          <w:right w:val="nil"/>
        </w:tcBorders>
        <w:shd w:val="clear" w:color="FFFFFF" w:fill="FFFFFF" w:themeFill="light1"/>
      </w:tcPr>
    </w:tblStylePr>
    <w:tblStylePr w:type="firstCol">
      <w:pPr>
        <w:jc w:val="right"/>
      </w:pPr>
      <w:rPr>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4F81BD" w:themeColor="accent1" w:sz="4" w:space="0"/>
        </w:tcBorders>
        <w:shd w:val="clear" w:color="FFFFFF" w:fill="auto"/>
      </w:tcPr>
    </w:tblStylePr>
    <w:tblStylePr w:type="lastCol">
      <w:rPr>
        <w:i/>
        <w:color w:val="A7C0DE" w:themeColor="accent1" w:themeTint="80"/>
        <w:sz w:val="22"/>
        <w14:textFill>
          <w14:solidFill>
            <w14:schemeClr w14:val="accent1">
              <w14:lumMod w14:val="50000"/>
              <w14:lumOff w14:val="50000"/>
            </w14:schemeClr>
          </w14:solidFill>
        </w14:textFill>
      </w:rPr>
      <w:tcPr>
        <w:tcBorders>
          <w:top w:val="nil"/>
          <w:left w:val="single" w:color="4F81BD" w:themeColor="accent1" w:sz="4" w:space="0"/>
          <w:bottom w:val="nil"/>
          <w:right w:val="nil"/>
        </w:tcBorders>
        <w:shd w:val="clear" w:color="FFFFFF" w:fill="auto"/>
      </w:tcPr>
    </w:tblStylePr>
    <w:tblStylePr w:type="band1Vert">
      <w:tcPr>
        <w:shd w:val="clear" w:color="DAE5F1" w:fill="DBE5F1" w:themeFill="accent1" w:themeFillTint="34"/>
      </w:tcPr>
    </w:tblStylePr>
    <w:tblStylePr w:type="band1Horz">
      <w:rPr>
        <w:color w:val="A7C0DE" w:themeColor="accent1" w:themeTint="80"/>
        <w:sz w:val="22"/>
        <w14:textFill>
          <w14:solidFill>
            <w14:schemeClr w14:val="accent1">
              <w14:lumMod w14:val="50000"/>
              <w14:lumOff w14:val="50000"/>
            </w14:schemeClr>
          </w14:solidFill>
        </w14:textFill>
      </w:rPr>
      <w:tcPr>
        <w:shd w:val="clear" w:color="DA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style>
  <w:style w:type="table" w:customStyle="1" w:styleId="270">
    <w:name w:val="Grid Table 7 Colorful - Accent 2"/>
    <w:basedOn w:val="4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sz w:val="22"/>
        <w14:textFill>
          <w14:solidFill>
            <w14:schemeClr w14:val="accent2">
              <w14:lumMod w14:val="59000"/>
              <w14:lumOff w14:val="41000"/>
            </w14:schemeClr>
          </w14:solidFill>
        </w14:textFill>
      </w:rPr>
      <w:tcPr>
        <w:tcBorders>
          <w:top w:val="nil"/>
          <w:left w:val="nil"/>
          <w:bottom w:val="single" w:color="C0504D" w:themeColor="accent2" w:sz="4" w:space="0"/>
          <w:right w:val="nil"/>
        </w:tcBorders>
        <w:shd w:val="clear" w:color="FFFFFF" w:fill="FFFFFF" w:themeFill="light1"/>
      </w:tcPr>
    </w:tblStylePr>
    <w:tblStylePr w:type="lastRow">
      <w:rPr>
        <w:b/>
        <w:color w:val="DA9896" w:themeColor="accent2" w:themeTint="96"/>
        <w:sz w:val="22"/>
        <w14:textFill>
          <w14:solidFill>
            <w14:schemeClr w14:val="accent2">
              <w14:lumMod w14:val="59000"/>
              <w14:lumOff w14:val="41000"/>
            </w14:schemeClr>
          </w14:solidFill>
        </w14:textFill>
      </w:rPr>
      <w:tcPr>
        <w:tcBorders>
          <w:top w:val="single" w:color="C0504D" w:themeColor="accent2" w:sz="4" w:space="0"/>
          <w:left w:val="nil"/>
          <w:bottom w:val="nil"/>
          <w:right w:val="nil"/>
        </w:tcBorders>
        <w:shd w:val="clear" w:color="FFFFFF" w:fill="FFFFFF" w:themeFill="light1"/>
      </w:tcPr>
    </w:tblStylePr>
    <w:tblStylePr w:type="firstCol">
      <w:pPr>
        <w:jc w:val="right"/>
      </w:pPr>
      <w:rPr>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C0504D" w:themeColor="accent2" w:sz="4" w:space="0"/>
        </w:tcBorders>
        <w:shd w:val="clear" w:color="FFFFFF" w:fill="auto"/>
      </w:tcPr>
    </w:tblStylePr>
    <w:tblStylePr w:type="lastCol">
      <w:rPr>
        <w:i/>
        <w:color w:val="DA9896" w:themeColor="accent2" w:themeTint="96"/>
        <w:sz w:val="22"/>
        <w14:textFill>
          <w14:solidFill>
            <w14:schemeClr w14:val="accent2">
              <w14:lumMod w14:val="59000"/>
              <w14:lumOff w14:val="41000"/>
            </w14:schemeClr>
          </w14:solidFill>
        </w14:textFill>
      </w:rPr>
      <w:tcPr>
        <w:tcBorders>
          <w:top w:val="nil"/>
          <w:left w:val="single" w:color="C0504D" w:themeColor="accent2" w:sz="4" w:space="0"/>
          <w:bottom w:val="nil"/>
          <w:right w:val="nil"/>
        </w:tcBorders>
        <w:shd w:val="clear" w:color="FFFFFF" w:fill="auto"/>
      </w:tcPr>
    </w:tblStylePr>
    <w:tblStylePr w:type="band1Vert">
      <w:tcPr>
        <w:shd w:val="clear" w:color="F2DCDC" w:fill="F2DCDC" w:themeFill="accent2" w:themeFillTint="32"/>
      </w:tcPr>
    </w:tblStyle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style>
  <w:style w:type="table" w:customStyle="1" w:styleId="271">
    <w:name w:val="Grid Table 7 Colorful - Accent 3"/>
    <w:basedOn w:val="4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sz w:val="22"/>
        <w14:textFill>
          <w14:solidFill>
            <w14:schemeClr w14:val="accent3"/>
          </w14:solidFill>
        </w14:textFill>
      </w:rPr>
      <w:tcPr>
        <w:tcBorders>
          <w:top w:val="nil"/>
          <w:left w:val="nil"/>
          <w:bottom w:val="single" w:color="9BBB59" w:themeColor="accent3" w:sz="4" w:space="0"/>
          <w:right w:val="nil"/>
        </w:tcBorders>
        <w:shd w:val="clear" w:color="FFFFFF" w:fill="FFFFFF" w:themeFill="light1"/>
      </w:tcPr>
    </w:tblStylePr>
    <w:tblStylePr w:type="lastRow">
      <w:rPr>
        <w:b/>
        <w:color w:val="9BBB59" w:themeColor="accent3"/>
        <w:sz w:val="22"/>
        <w14:textFill>
          <w14:solidFill>
            <w14:schemeClr w14:val="accent3"/>
          </w14:solidFill>
        </w14:textFill>
      </w:rPr>
      <w:tcPr>
        <w:tcBorders>
          <w:top w:val="single" w:color="9BBB59" w:themeColor="accent3" w:sz="4" w:space="0"/>
          <w:left w:val="nil"/>
          <w:bottom w:val="nil"/>
          <w:right w:val="nil"/>
        </w:tcBorders>
        <w:shd w:val="clear" w:color="FFFFFF" w:fill="FFFFFF" w:themeFill="light1"/>
      </w:tcPr>
    </w:tblStylePr>
    <w:tblStylePr w:type="firstCol">
      <w:pPr>
        <w:jc w:val="right"/>
      </w:pPr>
      <w:rPr>
        <w:i/>
        <w:color w:val="9BBB59" w:themeColor="accent3"/>
        <w:sz w:val="22"/>
        <w14:textFill>
          <w14:solidFill>
            <w14:schemeClr w14:val="accent3"/>
          </w14:solidFill>
        </w14:textFill>
      </w:rPr>
      <w:tcPr>
        <w:tcBorders>
          <w:top w:val="nil"/>
          <w:left w:val="nil"/>
          <w:bottom w:val="nil"/>
          <w:right w:val="single" w:color="9BBB59" w:themeColor="accent3" w:sz="4" w:space="0"/>
        </w:tcBorders>
        <w:shd w:val="clear" w:color="FFFFFF" w:fill="auto"/>
      </w:tcPr>
    </w:tblStylePr>
    <w:tblStylePr w:type="lastCol">
      <w:rPr>
        <w:i/>
        <w:color w:val="9BBB59" w:themeColor="accent3"/>
        <w:sz w:val="22"/>
        <w14:textFill>
          <w14:solidFill>
            <w14:schemeClr w14:val="accent3"/>
          </w14:solidFill>
        </w14:textFill>
      </w:rPr>
      <w:tcPr>
        <w:tcBorders>
          <w:top w:val="nil"/>
          <w:left w:val="single" w:color="9BBB59" w:themeColor="accent3" w:sz="4" w:space="0"/>
          <w:bottom w:val="nil"/>
          <w:right w:val="nil"/>
        </w:tcBorders>
        <w:shd w:val="clear" w:color="FFFFFF" w:fill="auto"/>
      </w:tcPr>
    </w:tblStylePr>
    <w:tblStylePr w:type="band1Vert">
      <w:tcPr>
        <w:shd w:val="clear" w:color="EAF1DC" w:fill="EAF1DD" w:themeFill="accent3" w:themeFillTint="34"/>
      </w:tcPr>
    </w:tblStylePr>
    <w:tblStylePr w:type="band1Horz">
      <w:rPr>
        <w:color w:val="9BBB59" w:themeColor="accent3"/>
        <w:sz w:val="22"/>
        <w14:textFill>
          <w14:solidFill>
            <w14:schemeClr w14:val="accent3"/>
          </w14:solidFill>
        </w14:textFill>
      </w:rPr>
      <w:tcPr>
        <w:shd w:val="clear" w:color="EAF1DC" w:fill="EAF1DD" w:themeFill="accent3" w:themeFillTint="34"/>
      </w:tcPr>
    </w:tblStylePr>
    <w:tblStylePr w:type="band2Horz">
      <w:rPr>
        <w:color w:val="9BBB59" w:themeColor="accent3"/>
        <w:sz w:val="22"/>
        <w14:textFill>
          <w14:solidFill>
            <w14:schemeClr w14:val="accent3"/>
          </w14:solidFill>
        </w14:textFill>
      </w:rPr>
    </w:tblStylePr>
  </w:style>
  <w:style w:type="table" w:customStyle="1" w:styleId="272">
    <w:name w:val="Grid Table 7 Colorful - Accent 4"/>
    <w:basedOn w:val="4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sz w:val="22"/>
        <w14:textFill>
          <w14:solidFill>
            <w14:schemeClr w14:val="accent4">
              <w14:lumMod w14:val="60000"/>
              <w14:lumOff w14:val="40000"/>
            </w14:schemeClr>
          </w14:solidFill>
        </w14:textFill>
      </w:rPr>
      <w:tcPr>
        <w:tcBorders>
          <w:top w:val="nil"/>
          <w:left w:val="nil"/>
          <w:bottom w:val="single" w:color="8064A2" w:themeColor="accent4" w:sz="4" w:space="0"/>
          <w:right w:val="nil"/>
        </w:tcBorders>
        <w:shd w:val="clear" w:color="FFFFFF" w:fill="FFFFFF" w:themeFill="light1"/>
      </w:tcPr>
    </w:tblStylePr>
    <w:tblStylePr w:type="lastRow">
      <w:rPr>
        <w:b/>
        <w:color w:val="B3A2C7" w:themeColor="accent4" w:themeTint="99"/>
        <w:sz w:val="22"/>
        <w14:textFill>
          <w14:solidFill>
            <w14:schemeClr w14:val="accent4">
              <w14:lumMod w14:val="60000"/>
              <w14:lumOff w14:val="40000"/>
            </w14:schemeClr>
          </w14:solidFill>
        </w14:textFill>
      </w:rPr>
      <w:tcPr>
        <w:tcBorders>
          <w:top w:val="single" w:color="8064A2" w:themeColor="accent4" w:sz="4" w:space="0"/>
          <w:left w:val="nil"/>
          <w:bottom w:val="nil"/>
          <w:right w:val="nil"/>
        </w:tcBorders>
        <w:shd w:val="clear" w:color="FFFFFF" w:fill="FFFFFF" w:themeFill="light1"/>
      </w:tcPr>
    </w:tblStylePr>
    <w:tblStylePr w:type="firstCol">
      <w:pPr>
        <w:jc w:val="right"/>
      </w:pPr>
      <w:rPr>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8064A2" w:themeColor="accent4" w:sz="4" w:space="0"/>
        </w:tcBorders>
        <w:shd w:val="clear" w:color="FFFFFF" w:fill="auto"/>
      </w:tcPr>
    </w:tblStylePr>
    <w:tblStylePr w:type="lastCol">
      <w:rPr>
        <w:i/>
        <w:color w:val="B3A2C7" w:themeColor="accent4" w:themeTint="99"/>
        <w:sz w:val="22"/>
        <w14:textFill>
          <w14:solidFill>
            <w14:schemeClr w14:val="accent4">
              <w14:lumMod w14:val="60000"/>
              <w14:lumOff w14:val="40000"/>
            </w14:schemeClr>
          </w14:solidFill>
        </w14:textFill>
      </w:rPr>
      <w:tcPr>
        <w:tcBorders>
          <w:top w:val="nil"/>
          <w:left w:val="single" w:color="8064A2" w:themeColor="accent4" w:sz="4" w:space="0"/>
          <w:bottom w:val="nil"/>
          <w:right w:val="nil"/>
        </w:tcBorders>
        <w:shd w:val="clear" w:color="FFFFFF" w:fill="auto"/>
      </w:tcPr>
    </w:tblStylePr>
    <w:tblStylePr w:type="band1Vert">
      <w:tcPr>
        <w:shd w:val="clear" w:color="E5DFEC" w:fill="E5DFEC" w:themeFill="accent4" w:themeFillTint="34"/>
      </w:tcPr>
    </w:tblStyle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style>
  <w:style w:type="table" w:customStyle="1" w:styleId="273">
    <w:name w:val="Grid Table 7 Colorful - Accent 5"/>
    <w:basedOn w:val="4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b/>
        <w:color w:val="266778" w:themeColor="accent5" w:themeShade="94"/>
        <w:sz w:val="22"/>
      </w:rPr>
      <w:tcPr>
        <w:tcBorders>
          <w:top w:val="nil"/>
          <w:left w:val="nil"/>
          <w:bottom w:val="single" w:color="4BACC6" w:themeColor="accent5" w:sz="4" w:space="0"/>
          <w:right w:val="nil"/>
        </w:tcBorders>
        <w:shd w:val="clear" w:color="FFFFFF" w:fill="FFFFFF" w:themeFill="light1"/>
      </w:tcPr>
    </w:tblStylePr>
    <w:tblStylePr w:type="lastRow">
      <w:rPr>
        <w:b/>
        <w:color w:val="266778" w:themeColor="accent5" w:themeShade="94"/>
        <w:sz w:val="22"/>
      </w:rPr>
      <w:tcPr>
        <w:tcBorders>
          <w:top w:val="single" w:color="4BACC6" w:themeColor="accent5" w:sz="4" w:space="0"/>
          <w:left w:val="nil"/>
          <w:bottom w:val="nil"/>
          <w:right w:val="nil"/>
        </w:tcBorders>
        <w:shd w:val="clear" w:color="FFFFFF" w:fill="FFFFFF" w:themeFill="light1"/>
      </w:tcPr>
    </w:tblStylePr>
    <w:tblStylePr w:type="firstCol">
      <w:pPr>
        <w:jc w:val="right"/>
      </w:pPr>
      <w:rPr>
        <w:i/>
        <w:color w:val="266778" w:themeColor="accent5" w:themeShade="94"/>
        <w:sz w:val="22"/>
      </w:rPr>
      <w:tcPr>
        <w:tcBorders>
          <w:top w:val="nil"/>
          <w:left w:val="nil"/>
          <w:bottom w:val="nil"/>
          <w:right w:val="single" w:color="4BACC6" w:themeColor="accent5" w:sz="4" w:space="0"/>
        </w:tcBorders>
        <w:shd w:val="clear" w:color="FFFFFF" w:fill="auto"/>
      </w:tcPr>
    </w:tblStylePr>
    <w:tblStylePr w:type="lastCol">
      <w:rPr>
        <w:i/>
        <w:color w:val="266778" w:themeColor="accent5" w:themeShade="94"/>
        <w:sz w:val="22"/>
      </w:rPr>
      <w:tcPr>
        <w:tcBorders>
          <w:top w:val="nil"/>
          <w:left w:val="single" w:color="4BACC6" w:themeColor="accent5" w:sz="4" w:space="0"/>
          <w:bottom w:val="nil"/>
          <w:right w:val="nil"/>
        </w:tcBorders>
        <w:shd w:val="clear" w:color="FFFFFF" w:fill="auto"/>
      </w:tcPr>
    </w:tblStylePr>
    <w:tblStylePr w:type="band1Vert">
      <w:tcPr>
        <w:shd w:val="clear" w:color="DAEEF3" w:fill="DAEEF3" w:themeFill="accent5" w:themeFillTint="34"/>
      </w:tcPr>
    </w:tblStylePr>
    <w:tblStylePr w:type="band1Horz">
      <w:rPr>
        <w:color w:val="266778" w:themeColor="accent5" w:themeShade="94"/>
        <w:sz w:val="22"/>
      </w:rPr>
      <w:tcPr>
        <w:shd w:val="clear" w:color="DAEEF3" w:fill="DAEEF3" w:themeFill="accent5" w:themeFillTint="34"/>
      </w:tcPr>
    </w:tblStylePr>
    <w:tblStylePr w:type="band2Horz">
      <w:rPr>
        <w:color w:val="266778" w:themeColor="accent5" w:themeShade="94"/>
        <w:sz w:val="22"/>
      </w:rPr>
    </w:tblStylePr>
  </w:style>
  <w:style w:type="table" w:customStyle="1" w:styleId="274">
    <w:name w:val="Grid Table 7 Colorful - Accent 6"/>
    <w:basedOn w:val="4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b/>
        <w:color w:val="B05408" w:themeColor="accent6" w:themeShade="94"/>
        <w:sz w:val="22"/>
      </w:rPr>
      <w:tcPr>
        <w:tcBorders>
          <w:top w:val="nil"/>
          <w:left w:val="nil"/>
          <w:bottom w:val="single" w:color="F79646" w:themeColor="accent6" w:sz="4" w:space="0"/>
          <w:right w:val="nil"/>
        </w:tcBorders>
        <w:shd w:val="clear" w:color="FFFFFF" w:fill="FFFFFF" w:themeFill="light1"/>
      </w:tcPr>
    </w:tblStylePr>
    <w:tblStylePr w:type="lastRow">
      <w:rPr>
        <w:b/>
        <w:color w:val="B05408" w:themeColor="accent6" w:themeShade="94"/>
        <w:sz w:val="22"/>
      </w:rPr>
      <w:tcPr>
        <w:tcBorders>
          <w:top w:val="single" w:color="F79646" w:themeColor="accent6" w:sz="4" w:space="0"/>
          <w:left w:val="nil"/>
          <w:bottom w:val="nil"/>
          <w:right w:val="nil"/>
        </w:tcBorders>
        <w:shd w:val="clear" w:color="FFFFFF" w:fill="FFFFFF" w:themeFill="light1"/>
      </w:tcPr>
    </w:tblStylePr>
    <w:tblStylePr w:type="firstCol">
      <w:pPr>
        <w:jc w:val="right"/>
      </w:pPr>
      <w:rPr>
        <w:i/>
        <w:color w:val="B05408" w:themeColor="accent6" w:themeShade="94"/>
        <w:sz w:val="22"/>
      </w:rPr>
      <w:tcPr>
        <w:tcBorders>
          <w:top w:val="nil"/>
          <w:left w:val="nil"/>
          <w:bottom w:val="nil"/>
          <w:right w:val="single" w:color="F79646" w:themeColor="accent6" w:sz="4" w:space="0"/>
        </w:tcBorders>
        <w:shd w:val="clear" w:color="FFFFFF" w:fill="auto"/>
      </w:tcPr>
    </w:tblStylePr>
    <w:tblStylePr w:type="lastCol">
      <w:rPr>
        <w:i/>
        <w:color w:val="B05408" w:themeColor="accent6" w:themeShade="94"/>
        <w:sz w:val="22"/>
      </w:rPr>
      <w:tcPr>
        <w:tcBorders>
          <w:top w:val="nil"/>
          <w:left w:val="single" w:color="F79646" w:themeColor="accent6" w:sz="4" w:space="0"/>
          <w:bottom w:val="nil"/>
          <w:right w:val="nil"/>
        </w:tcBorders>
        <w:shd w:val="clear" w:color="FFFFFF" w:fill="auto"/>
      </w:tcPr>
    </w:tblStylePr>
    <w:tblStylePr w:type="band1Vert">
      <w:tcPr>
        <w:shd w:val="clear" w:color="FDE9D8" w:fill="FDE9D9" w:themeFill="accent6" w:themeFillTint="34"/>
      </w:tcPr>
    </w:tblStylePr>
    <w:tblStylePr w:type="band1Horz">
      <w:rPr>
        <w:color w:val="B05408" w:themeColor="accent6" w:themeShade="94"/>
        <w:sz w:val="22"/>
      </w:rPr>
      <w:tcPr>
        <w:shd w:val="clear" w:color="FDE9D8" w:fill="FDE9D9" w:themeFill="accent6" w:themeFillTint="34"/>
      </w:tcPr>
    </w:tblStylePr>
    <w:tblStylePr w:type="band2Horz">
      <w:rPr>
        <w:color w:val="B05408" w:themeColor="accent6" w:themeShade="94"/>
        <w:sz w:val="22"/>
      </w:rPr>
    </w:tblStylePr>
  </w:style>
  <w:style w:type="table" w:customStyle="1" w:styleId="275">
    <w:name w:val="List Table 1 Light"/>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EBEBE" w:themeFill="text1" w:themeFillTint="40"/>
      </w:tcPr>
    </w:tblStylePr>
    <w:tblStylePr w:type="band1Horz">
      <w:tcPr>
        <w:shd w:val="clear" w:color="BFBFBF" w:fill="BEBEBE" w:themeFill="text1" w:themeFillTint="40"/>
      </w:tcPr>
    </w:tblStylePr>
  </w:style>
  <w:style w:type="table" w:customStyle="1" w:styleId="276">
    <w:name w:val="List Table 1 Light - Accent 1"/>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hemeFill="accent1" w:themeFillTint="40"/>
      </w:tcPr>
    </w:tblStylePr>
    <w:tblStylePr w:type="band1Horz">
      <w:tcPr>
        <w:shd w:val="clear" w:color="D2DFEE" w:fill="D2DFEE" w:themeFill="accent1" w:themeFillTint="40"/>
      </w:tcPr>
    </w:tblStylePr>
  </w:style>
  <w:style w:type="table" w:customStyle="1" w:styleId="277">
    <w:name w:val="List Table 1 Light - Accent 2"/>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3D2" w:themeFill="accent2" w:themeFillTint="40"/>
      </w:tcPr>
    </w:tblStylePr>
    <w:tblStylePr w:type="band1Horz">
      <w:tcPr>
        <w:shd w:val="clear" w:color="EFD2D2" w:fill="EFD3D2" w:themeFill="accent2" w:themeFillTint="40"/>
      </w:tcPr>
    </w:tblStylePr>
  </w:style>
  <w:style w:type="table" w:customStyle="1" w:styleId="278">
    <w:name w:val="List Table 1 Light - Accent 3"/>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DD5" w:themeFill="accent3" w:themeFillTint="40"/>
      </w:tcPr>
    </w:tblStylePr>
    <w:tblStylePr w:type="band1Horz">
      <w:tcPr>
        <w:shd w:val="clear" w:color="E5EED5" w:fill="E5EDD5" w:themeFill="accent3" w:themeFillTint="40"/>
      </w:tcPr>
    </w:tblStylePr>
  </w:style>
  <w:style w:type="table" w:customStyle="1" w:styleId="279">
    <w:name w:val="List Table 1 Light - Accent 4"/>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hemeFill="accent4" w:themeFillTint="40"/>
      </w:tcPr>
    </w:tblStylePr>
    <w:tblStylePr w:type="band1Horz">
      <w:tcPr>
        <w:shd w:val="clear" w:color="DFD8E7" w:fill="DFD8E7" w:themeFill="accent4" w:themeFillTint="40"/>
      </w:tcPr>
    </w:tblStylePr>
  </w:style>
  <w:style w:type="table" w:customStyle="1" w:styleId="280">
    <w:name w:val="List Table 1 Light - Accent 5"/>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hemeFill="accent5" w:themeFillTint="40"/>
      </w:tcPr>
    </w:tblStylePr>
    <w:tblStylePr w:type="band1Horz">
      <w:tcPr>
        <w:shd w:val="clear" w:color="D1EAF0" w:fill="D1EAF0" w:themeFill="accent5" w:themeFillTint="40"/>
      </w:tcPr>
    </w:tblStylePr>
  </w:style>
  <w:style w:type="table" w:customStyle="1" w:styleId="281">
    <w:name w:val="List Table 1 Light - Accent 6"/>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CE4D0" w:themeFill="accent6" w:themeFillTint="40"/>
      </w:tcPr>
    </w:tblStylePr>
    <w:tblStylePr w:type="band1Horz">
      <w:tcPr>
        <w:shd w:val="clear" w:color="FDE4D0" w:fill="FCE4D0" w:themeFill="accent6" w:themeFillTint="40"/>
      </w:tcPr>
    </w:tblStylePr>
  </w:style>
  <w:style w:type="table" w:customStyle="1" w:styleId="282">
    <w:name w:val="List Table 2"/>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b/>
        <w:color w:val="404040"/>
        <w:sz w:val="22"/>
      </w:rPr>
      <w:tcPr>
        <w:tcBorders>
          <w:top w:val="single" w:color="000000" w:themeColor="text1" w:sz="4" w:space="0"/>
          <w:left w:val="nil"/>
          <w:bottom w:val="single" w:color="000000" w:themeColor="text1" w:sz="4" w:space="0"/>
          <w:right w:val="nil"/>
        </w:tcBorders>
      </w:tcPr>
    </w:tblStylePr>
    <w:tblStylePr w:type="lastRow">
      <w:rPr>
        <w:b/>
        <w:color w:val="404040"/>
        <w:sz w:val="22"/>
      </w:rPr>
      <w:tcPr>
        <w:tcBorders>
          <w:top w:val="single" w:color="000000" w:themeColor="text1" w:sz="4" w:space="0"/>
          <w:left w:val="nil"/>
          <w:bottom w:val="single" w:color="000000" w:themeColor="text1" w:sz="4" w:space="0"/>
          <w:right w:val="nil"/>
        </w:tcBorders>
      </w:tcPr>
    </w:tblStylePr>
    <w:tblStylePr w:type="firstCol">
      <w:rPr>
        <w:b/>
        <w:color w:val="404040"/>
        <w:sz w:val="22"/>
      </w:rPr>
    </w:tblStylePr>
    <w:tblStylePr w:type="lastCol">
      <w:rPr>
        <w:b/>
        <w:color w:val="404040"/>
        <w:sz w:val="22"/>
      </w:rPr>
    </w:tblStylePr>
    <w:tblStylePr w:type="band1Vert">
      <w:rPr>
        <w:color w:val="404040"/>
        <w:sz w:val="22"/>
      </w:rPr>
      <w:tcPr>
        <w:shd w:val="clear" w:color="BFBFBF" w:fill="BEBEBE" w:themeFill="text1" w:themeFillTint="40"/>
      </w:tcPr>
    </w:tblStylePr>
    <w:tblStylePr w:type="band1Horz">
      <w:rPr>
        <w:color w:val="404040"/>
        <w:sz w:val="22"/>
      </w:rPr>
      <w:tcPr>
        <w:shd w:val="clear" w:color="BFBFBF" w:fill="BEBEBE" w:themeFill="text1" w:themeFillTint="40"/>
      </w:tcPr>
    </w:tblStylePr>
  </w:style>
  <w:style w:type="table" w:customStyle="1" w:styleId="283">
    <w:name w:val="List Table 2 - Accent 1"/>
    <w:basedOn w:val="4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b/>
        <w:color w:val="404040"/>
        <w:sz w:val="22"/>
      </w:rPr>
      <w:tcPr>
        <w:tcBorders>
          <w:top w:val="single" w:color="4F81BD" w:themeColor="accent1" w:sz="4" w:space="0"/>
          <w:left w:val="nil"/>
          <w:bottom w:val="single" w:color="4F81BD" w:themeColor="accent1" w:sz="4" w:space="0"/>
          <w:right w:val="nil"/>
        </w:tcBorders>
      </w:tcPr>
    </w:tblStylePr>
    <w:tblStylePr w:type="lastRow">
      <w:rPr>
        <w:b/>
        <w:color w:val="404040"/>
        <w:sz w:val="22"/>
      </w:rPr>
      <w:tcPr>
        <w:tcBorders>
          <w:top w:val="single" w:color="4F81BD" w:themeColor="accent1" w:sz="4" w:space="0"/>
          <w:left w:val="nil"/>
          <w:bottom w:val="single" w:color="4F81BD" w:themeColor="accent1" w:sz="4" w:space="0"/>
          <w:right w:val="nil"/>
        </w:tcBorders>
      </w:tcPr>
    </w:tblStylePr>
    <w:tblStylePr w:type="firstCol">
      <w:rPr>
        <w:b/>
        <w:color w:val="404040"/>
        <w:sz w:val="22"/>
      </w:rPr>
    </w:tblStylePr>
    <w:tblStylePr w:type="lastCol">
      <w:rPr>
        <w:b/>
        <w:color w:val="404040"/>
        <w:sz w:val="22"/>
      </w:rPr>
    </w:tblStylePr>
    <w:tblStylePr w:type="band1Vert">
      <w:rPr>
        <w:color w:val="404040"/>
        <w:sz w:val="22"/>
      </w:rPr>
      <w:tcPr>
        <w:shd w:val="clear" w:color="D2DFEE" w:fill="D2DFEE" w:themeFill="accent1" w:themeFillTint="40"/>
      </w:tcPr>
    </w:tblStylePr>
    <w:tblStylePr w:type="band1Horz">
      <w:rPr>
        <w:color w:val="404040"/>
        <w:sz w:val="22"/>
      </w:rPr>
      <w:tcPr>
        <w:shd w:val="clear" w:color="D2DFEE" w:fill="D2DFEE" w:themeFill="accent1" w:themeFillTint="40"/>
      </w:tcPr>
    </w:tblStylePr>
  </w:style>
  <w:style w:type="table" w:customStyle="1" w:styleId="284">
    <w:name w:val="List Table 2 - Accent 2"/>
    <w:basedOn w:val="4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b/>
        <w:color w:val="404040"/>
        <w:sz w:val="22"/>
      </w:rPr>
      <w:tcPr>
        <w:tcBorders>
          <w:top w:val="single" w:color="C0504D" w:themeColor="accent2" w:sz="4" w:space="0"/>
          <w:left w:val="nil"/>
          <w:bottom w:val="single" w:color="C0504D" w:themeColor="accent2" w:sz="4" w:space="0"/>
          <w:right w:val="nil"/>
        </w:tcBorders>
      </w:tcPr>
    </w:tblStylePr>
    <w:tblStylePr w:type="lastRow">
      <w:rPr>
        <w:b/>
        <w:color w:val="404040"/>
        <w:sz w:val="22"/>
      </w:rPr>
      <w:tcPr>
        <w:tcBorders>
          <w:top w:val="single" w:color="C0504D" w:themeColor="accent2" w:sz="4" w:space="0"/>
          <w:left w:val="nil"/>
          <w:bottom w:val="single" w:color="C0504D" w:themeColor="accent2" w:sz="4" w:space="0"/>
          <w:right w:val="nil"/>
        </w:tcBorders>
      </w:tcPr>
    </w:tblStylePr>
    <w:tblStylePr w:type="firstCol">
      <w:rPr>
        <w:b/>
        <w:color w:val="404040"/>
        <w:sz w:val="22"/>
      </w:rPr>
    </w:tblStylePr>
    <w:tblStylePr w:type="lastCol">
      <w:rPr>
        <w:b/>
        <w:color w:val="404040"/>
        <w:sz w:val="22"/>
      </w:rPr>
    </w:tblStylePr>
    <w:tblStylePr w:type="band1Vert">
      <w:rPr>
        <w:color w:val="404040"/>
        <w:sz w:val="22"/>
      </w:rPr>
      <w:tcPr>
        <w:shd w:val="clear" w:color="EFD2D2" w:fill="EFD3D2" w:themeFill="accent2" w:themeFillTint="40"/>
      </w:tcPr>
    </w:tblStylePr>
    <w:tblStylePr w:type="band1Horz">
      <w:rPr>
        <w:color w:val="404040"/>
        <w:sz w:val="22"/>
      </w:rPr>
      <w:tcPr>
        <w:shd w:val="clear" w:color="EFD2D2" w:fill="EFD3D2" w:themeFill="accent2" w:themeFillTint="40"/>
      </w:tcPr>
    </w:tblStylePr>
  </w:style>
  <w:style w:type="table" w:customStyle="1" w:styleId="285">
    <w:name w:val="List Table 2 - Accent 3"/>
    <w:basedOn w:val="4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b/>
        <w:color w:val="404040"/>
        <w:sz w:val="22"/>
      </w:rPr>
      <w:tcPr>
        <w:tcBorders>
          <w:top w:val="single" w:color="9BBB59" w:themeColor="accent3" w:sz="4" w:space="0"/>
          <w:left w:val="nil"/>
          <w:bottom w:val="single" w:color="9BBB59" w:themeColor="accent3" w:sz="4" w:space="0"/>
          <w:right w:val="nil"/>
        </w:tcBorders>
      </w:tcPr>
    </w:tblStylePr>
    <w:tblStylePr w:type="lastRow">
      <w:rPr>
        <w:b/>
        <w:color w:val="404040"/>
        <w:sz w:val="22"/>
      </w:rPr>
      <w:tcPr>
        <w:tcBorders>
          <w:top w:val="single" w:color="9BBB59" w:themeColor="accent3" w:sz="4" w:space="0"/>
          <w:left w:val="nil"/>
          <w:bottom w:val="single" w:color="9BBB59" w:themeColor="accent3" w:sz="4" w:space="0"/>
          <w:right w:val="nil"/>
        </w:tcBorders>
      </w:tcPr>
    </w:tblStylePr>
    <w:tblStylePr w:type="firstCol">
      <w:rPr>
        <w:b/>
        <w:color w:val="404040"/>
        <w:sz w:val="22"/>
      </w:rPr>
    </w:tblStylePr>
    <w:tblStylePr w:type="lastCol">
      <w:rPr>
        <w:b/>
        <w:color w:val="404040"/>
        <w:sz w:val="22"/>
      </w:rPr>
    </w:tblStylePr>
    <w:tblStylePr w:type="band1Vert">
      <w:rPr>
        <w:color w:val="404040"/>
        <w:sz w:val="22"/>
      </w:rPr>
      <w:tcPr>
        <w:shd w:val="clear" w:color="E5EED5" w:fill="E5EDD5" w:themeFill="accent3" w:themeFillTint="40"/>
      </w:tcPr>
    </w:tblStylePr>
    <w:tblStylePr w:type="band1Horz">
      <w:rPr>
        <w:color w:val="404040"/>
        <w:sz w:val="22"/>
      </w:rPr>
      <w:tcPr>
        <w:shd w:val="clear" w:color="E5EED5" w:fill="E5EDD5" w:themeFill="accent3" w:themeFillTint="40"/>
      </w:tcPr>
    </w:tblStylePr>
  </w:style>
  <w:style w:type="table" w:customStyle="1" w:styleId="286">
    <w:name w:val="List Table 2 - Accent 4"/>
    <w:basedOn w:val="4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b/>
        <w:color w:val="404040"/>
        <w:sz w:val="22"/>
      </w:rPr>
      <w:tcPr>
        <w:tcBorders>
          <w:top w:val="single" w:color="8064A2" w:themeColor="accent4" w:sz="4" w:space="0"/>
          <w:left w:val="nil"/>
          <w:bottom w:val="single" w:color="8064A2" w:themeColor="accent4" w:sz="4" w:space="0"/>
          <w:right w:val="nil"/>
        </w:tcBorders>
      </w:tcPr>
    </w:tblStylePr>
    <w:tblStylePr w:type="lastRow">
      <w:rPr>
        <w:b/>
        <w:color w:val="404040"/>
        <w:sz w:val="22"/>
      </w:rPr>
      <w:tcPr>
        <w:tcBorders>
          <w:top w:val="single" w:color="8064A2" w:themeColor="accent4" w:sz="4" w:space="0"/>
          <w:left w:val="nil"/>
          <w:bottom w:val="single" w:color="8064A2" w:themeColor="accent4" w:sz="4" w:space="0"/>
          <w:right w:val="nil"/>
        </w:tcBorders>
      </w:tcPr>
    </w:tblStylePr>
    <w:tblStylePr w:type="firstCol">
      <w:rPr>
        <w:b/>
        <w:color w:val="404040"/>
        <w:sz w:val="22"/>
      </w:rPr>
    </w:tblStylePr>
    <w:tblStylePr w:type="lastCol">
      <w:rPr>
        <w:b/>
        <w:color w:val="404040"/>
        <w:sz w:val="22"/>
      </w:rPr>
    </w:tblStylePr>
    <w:tblStylePr w:type="band1Vert">
      <w:rPr>
        <w:color w:val="404040"/>
        <w:sz w:val="22"/>
      </w:rPr>
      <w:tcPr>
        <w:shd w:val="clear" w:color="DFD8E7" w:fill="DFD8E7" w:themeFill="accent4" w:themeFillTint="40"/>
      </w:tcPr>
    </w:tblStylePr>
    <w:tblStylePr w:type="band1Horz">
      <w:rPr>
        <w:color w:val="404040"/>
        <w:sz w:val="22"/>
      </w:rPr>
      <w:tcPr>
        <w:shd w:val="clear" w:color="DFD8E7" w:fill="DFD8E7" w:themeFill="accent4" w:themeFillTint="40"/>
      </w:tcPr>
    </w:tblStylePr>
  </w:style>
  <w:style w:type="table" w:customStyle="1" w:styleId="287">
    <w:name w:val="List Table 2 - Accent 5"/>
    <w:basedOn w:val="4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b/>
        <w:color w:val="404040"/>
        <w:sz w:val="22"/>
      </w:rPr>
      <w:tcPr>
        <w:tcBorders>
          <w:top w:val="single" w:color="4BACC6" w:themeColor="accent5" w:sz="4" w:space="0"/>
          <w:left w:val="nil"/>
          <w:bottom w:val="single" w:color="4BACC6" w:themeColor="accent5" w:sz="4" w:space="0"/>
          <w:right w:val="nil"/>
        </w:tcBorders>
      </w:tcPr>
    </w:tblStylePr>
    <w:tblStylePr w:type="lastRow">
      <w:rPr>
        <w:b/>
        <w:color w:val="404040"/>
        <w:sz w:val="22"/>
      </w:rPr>
      <w:tcPr>
        <w:tcBorders>
          <w:top w:val="single" w:color="4BACC6" w:themeColor="accent5" w:sz="4" w:space="0"/>
          <w:left w:val="nil"/>
          <w:bottom w:val="single" w:color="4BACC6" w:themeColor="accent5" w:sz="4" w:space="0"/>
          <w:right w:val="nil"/>
        </w:tcBorders>
      </w:tcPr>
    </w:tblStylePr>
    <w:tblStylePr w:type="firstCol">
      <w:rPr>
        <w:b/>
        <w:color w:val="404040"/>
        <w:sz w:val="22"/>
      </w:rPr>
    </w:tblStylePr>
    <w:tblStylePr w:type="lastCol">
      <w:rPr>
        <w:b/>
        <w:color w:val="404040"/>
        <w:sz w:val="22"/>
      </w:rPr>
    </w:tblStylePr>
    <w:tblStylePr w:type="band1Vert">
      <w:rPr>
        <w:color w:val="404040"/>
        <w:sz w:val="22"/>
      </w:rPr>
      <w:tcPr>
        <w:shd w:val="clear" w:color="D1EAF0" w:fill="D1EAF0" w:themeFill="accent5" w:themeFillTint="40"/>
      </w:tcPr>
    </w:tblStylePr>
    <w:tblStylePr w:type="band1Horz">
      <w:rPr>
        <w:color w:val="404040"/>
        <w:sz w:val="22"/>
      </w:rPr>
      <w:tcPr>
        <w:shd w:val="clear" w:color="D1EAF0" w:fill="D1EAF0" w:themeFill="accent5" w:themeFillTint="40"/>
      </w:tcPr>
    </w:tblStylePr>
  </w:style>
  <w:style w:type="table" w:customStyle="1" w:styleId="288">
    <w:name w:val="List Table 2 - Accent 6"/>
    <w:basedOn w:val="4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b/>
        <w:color w:val="404040"/>
        <w:sz w:val="22"/>
      </w:rPr>
      <w:tcPr>
        <w:tcBorders>
          <w:top w:val="single" w:color="F79646" w:themeColor="accent6" w:sz="4" w:space="0"/>
          <w:left w:val="nil"/>
          <w:bottom w:val="single" w:color="F79646" w:themeColor="accent6" w:sz="4" w:space="0"/>
          <w:right w:val="nil"/>
        </w:tcBorders>
      </w:tcPr>
    </w:tblStylePr>
    <w:tblStylePr w:type="lastRow">
      <w:rPr>
        <w:b/>
        <w:color w:val="404040"/>
        <w:sz w:val="22"/>
      </w:rPr>
      <w:tcPr>
        <w:tcBorders>
          <w:top w:val="single" w:color="F79646" w:themeColor="accent6" w:sz="4" w:space="0"/>
          <w:left w:val="nil"/>
          <w:bottom w:val="single" w:color="F79646" w:themeColor="accent6" w:sz="4" w:space="0"/>
          <w:right w:val="nil"/>
        </w:tcBorders>
      </w:tcPr>
    </w:tblStylePr>
    <w:tblStylePr w:type="firstCol">
      <w:rPr>
        <w:b/>
        <w:color w:val="404040"/>
        <w:sz w:val="22"/>
      </w:rPr>
    </w:tblStylePr>
    <w:tblStylePr w:type="lastCol">
      <w:rPr>
        <w:b/>
        <w:color w:val="404040"/>
        <w:sz w:val="22"/>
      </w:rPr>
    </w:tblStylePr>
    <w:tblStylePr w:type="band1Vert">
      <w:rPr>
        <w:color w:val="404040"/>
        <w:sz w:val="22"/>
      </w:rPr>
      <w:tcPr>
        <w:shd w:val="clear" w:color="FDE4D0" w:fill="FCE4D0" w:themeFill="accent6" w:themeFillTint="40"/>
      </w:tcPr>
    </w:tblStylePr>
    <w:tblStylePr w:type="band1Horz">
      <w:rPr>
        <w:color w:val="404040"/>
        <w:sz w:val="22"/>
      </w:rPr>
      <w:tcPr>
        <w:shd w:val="clear" w:color="FDE4D0" w:fill="FCE4D0" w:themeFill="accent6" w:themeFillTint="40"/>
      </w:tcPr>
    </w:tblStylePr>
  </w:style>
  <w:style w:type="table" w:customStyle="1" w:styleId="289">
    <w:name w:val="List Table 3"/>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b/>
        <w:color w:val="FFFFFF"/>
        <w:sz w:val="22"/>
      </w:r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tcBorders>
          <w:left w:val="single" w:color="000000" w:themeColor="text1" w:sz="4" w:space="0"/>
          <w:right w:val="single" w:color="000000" w:themeColor="text1" w:sz="4" w:space="0"/>
        </w:tcBorders>
      </w:tcPr>
    </w:tblStylePr>
    <w:tblStylePr w:type="band1Horz">
      <w:rPr>
        <w:color w:val="404040"/>
        <w:sz w:val="22"/>
      </w:rPr>
      <w:tcPr>
        <w:tcBorders>
          <w:top w:val="single" w:color="000000" w:themeColor="text1" w:sz="4" w:space="0"/>
          <w:bottom w:val="single" w:color="000000" w:themeColor="text1" w:sz="4" w:space="0"/>
        </w:tcBorders>
      </w:tcPr>
    </w:tblStylePr>
  </w:style>
  <w:style w:type="table" w:customStyle="1" w:styleId="290">
    <w:name w:val="List Table 3 - Accent 1"/>
    <w:basedOn w:val="4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b/>
        <w:color w:val="FFFFFF"/>
        <w:sz w:val="22"/>
      </w:r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tcBorders>
          <w:left w:val="single" w:color="4F81BD" w:themeColor="accent1" w:sz="4" w:space="0"/>
          <w:right w:val="single" w:color="4F81BD" w:themeColor="accent1" w:sz="4" w:space="0"/>
        </w:tcBorders>
      </w:tcPr>
    </w:tblStylePr>
    <w:tblStylePr w:type="band1Horz">
      <w:rPr>
        <w:color w:val="404040"/>
        <w:sz w:val="22"/>
      </w:rPr>
      <w:tcPr>
        <w:tcBorders>
          <w:top w:val="single" w:color="4F81BD" w:themeColor="accent1" w:sz="4" w:space="0"/>
          <w:bottom w:val="single" w:color="4F81BD" w:themeColor="accent1" w:sz="4" w:space="0"/>
        </w:tcBorders>
      </w:tcPr>
    </w:tblStylePr>
  </w:style>
  <w:style w:type="table" w:customStyle="1" w:styleId="291">
    <w:name w:val="List Table 3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b/>
        <w:color w:val="FFFFFF"/>
        <w:sz w:val="22"/>
      </w:rPr>
      <w:tcPr>
        <w:shd w:val="clear" w:color="D99695"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tcBorders>
          <w:left w:val="single" w:color="C0504D" w:themeColor="accent2" w:sz="4" w:space="0"/>
          <w:right w:val="single" w:color="C0504D" w:themeColor="accent2" w:sz="4" w:space="0"/>
        </w:tcBorders>
      </w:tcPr>
    </w:tblStylePr>
    <w:tblStylePr w:type="band1Horz">
      <w:rPr>
        <w:color w:val="404040"/>
        <w:sz w:val="22"/>
      </w:rPr>
      <w:tcPr>
        <w:tcBorders>
          <w:top w:val="single" w:color="C0504D" w:themeColor="accent2" w:sz="4" w:space="0"/>
          <w:bottom w:val="single" w:color="C0504D" w:themeColor="accent2" w:sz="4" w:space="0"/>
        </w:tcBorders>
      </w:tcPr>
    </w:tblStylePr>
  </w:style>
  <w:style w:type="table" w:customStyle="1" w:styleId="292">
    <w:name w:val="List Table 3 - Accent 3"/>
    <w:basedOn w:val="4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b/>
        <w:color w:val="FFFFFF"/>
        <w:sz w:val="22"/>
      </w:rPr>
      <w:tcPr>
        <w:shd w:val="clear" w:color="C3D69B"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tcBorders>
          <w:left w:val="single" w:color="9BBB59" w:themeColor="accent3" w:sz="4" w:space="0"/>
          <w:right w:val="single" w:color="9BBB59" w:themeColor="accent3" w:sz="4" w:space="0"/>
        </w:tcBorders>
      </w:tcPr>
    </w:tblStylePr>
    <w:tblStylePr w:type="band1Horz">
      <w:rPr>
        <w:color w:val="404040"/>
        <w:sz w:val="22"/>
      </w:rPr>
      <w:tcPr>
        <w:tcBorders>
          <w:top w:val="single" w:color="9BBB59" w:themeColor="accent3" w:sz="4" w:space="0"/>
          <w:bottom w:val="single" w:color="9BBB59" w:themeColor="accent3" w:sz="4" w:space="0"/>
        </w:tcBorders>
      </w:tcPr>
    </w:tblStylePr>
  </w:style>
  <w:style w:type="table" w:customStyle="1" w:styleId="293">
    <w:name w:val="List Table 3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b/>
        <w:color w:val="FFFFFF"/>
        <w:sz w:val="22"/>
      </w:rPr>
      <w:tcPr>
        <w:shd w:val="clear" w:color="B2A1C6"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tcBorders>
          <w:left w:val="single" w:color="8064A2" w:themeColor="accent4" w:sz="4" w:space="0"/>
          <w:right w:val="single" w:color="8064A2" w:themeColor="accent4" w:sz="4" w:space="0"/>
        </w:tcBorders>
      </w:tcPr>
    </w:tblStylePr>
    <w:tblStylePr w:type="band1Horz">
      <w:rPr>
        <w:color w:val="404040"/>
        <w:sz w:val="22"/>
      </w:rPr>
      <w:tcPr>
        <w:tcBorders>
          <w:top w:val="single" w:color="8064A2" w:themeColor="accent4" w:sz="4" w:space="0"/>
          <w:bottom w:val="single" w:color="8064A2" w:themeColor="accent4" w:sz="4" w:space="0"/>
        </w:tcBorders>
      </w:tcPr>
    </w:tblStylePr>
  </w:style>
  <w:style w:type="table" w:customStyle="1" w:styleId="294">
    <w:name w:val="List Table 3 - Accent 5"/>
    <w:basedOn w:val="4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b/>
        <w:color w:val="FFFFFF"/>
        <w:sz w:val="22"/>
      </w:rPr>
      <w:tcPr>
        <w:shd w:val="clear" w:color="92CCDC"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tcBorders>
          <w:left w:val="single" w:color="4BACC6" w:themeColor="accent5" w:sz="4" w:space="0"/>
          <w:right w:val="single" w:color="4BACC6" w:themeColor="accent5" w:sz="4" w:space="0"/>
        </w:tcBorders>
      </w:tcPr>
    </w:tblStylePr>
    <w:tblStylePr w:type="band1Horz">
      <w:rPr>
        <w:color w:val="404040"/>
        <w:sz w:val="22"/>
      </w:rPr>
      <w:tcPr>
        <w:tcBorders>
          <w:top w:val="single" w:color="4BACC6" w:themeColor="accent5" w:sz="4" w:space="0"/>
          <w:bottom w:val="single" w:color="4BACC6" w:themeColor="accent5" w:sz="4" w:space="0"/>
        </w:tcBorders>
      </w:tcPr>
    </w:tblStylePr>
  </w:style>
  <w:style w:type="table" w:customStyle="1" w:styleId="295">
    <w:name w:val="List Table 3 - Accent 6"/>
    <w:basedOn w:val="4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b/>
        <w:color w:val="FFFFFF"/>
        <w:sz w:val="22"/>
      </w:rPr>
      <w:tcPr>
        <w:shd w:val="clear" w:color="FAC090"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tcBorders>
          <w:left w:val="single" w:color="F79646" w:themeColor="accent6" w:sz="4" w:space="0"/>
          <w:right w:val="single" w:color="F79646" w:themeColor="accent6" w:sz="4" w:space="0"/>
        </w:tcBorders>
      </w:tcPr>
    </w:tblStylePr>
    <w:tblStylePr w:type="band1Horz">
      <w:rPr>
        <w:color w:val="404040"/>
        <w:sz w:val="22"/>
      </w:rPr>
      <w:tcPr>
        <w:tcBorders>
          <w:top w:val="single" w:color="F79646" w:themeColor="accent6" w:sz="4" w:space="0"/>
          <w:bottom w:val="single" w:color="F79646" w:themeColor="accent6" w:sz="4" w:space="0"/>
        </w:tcBorders>
      </w:tcPr>
    </w:tblStylePr>
  </w:style>
  <w:style w:type="table" w:customStyle="1" w:styleId="296">
    <w:name w:val="List Table 4"/>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b/>
        <w:color w:val="FFFFFF"/>
        <w:sz w:val="22"/>
      </w:r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shd w:val="clear" w:color="BFBFBF" w:fill="BEBEBE" w:themeFill="text1" w:themeFillTint="40"/>
      </w:tcPr>
    </w:tblStylePr>
    <w:tblStylePr w:type="band1Horz">
      <w:rPr>
        <w:color w:val="404040"/>
        <w:sz w:val="22"/>
      </w:rPr>
      <w:tcPr>
        <w:shd w:val="clear" w:color="BFBFBF" w:fill="BEBEBE" w:themeFill="text1" w:themeFillTint="40"/>
      </w:tcPr>
    </w:tblStylePr>
  </w:style>
  <w:style w:type="table" w:customStyle="1" w:styleId="297">
    <w:name w:val="List Table 4 - Accent 1"/>
    <w:basedOn w:val="4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b/>
        <w:color w:val="FFFFFF"/>
        <w:sz w:val="22"/>
      </w:r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shd w:val="clear" w:color="D2DFEE" w:fill="D2DFEE" w:themeFill="accent1" w:themeFillTint="40"/>
      </w:tcPr>
    </w:tblStylePr>
    <w:tblStylePr w:type="band1Horz">
      <w:rPr>
        <w:color w:val="404040"/>
        <w:sz w:val="22"/>
      </w:rPr>
      <w:tcPr>
        <w:shd w:val="clear" w:color="D2DFEE" w:fill="D2DFEE" w:themeFill="accent1" w:themeFillTint="40"/>
      </w:tcPr>
    </w:tblStylePr>
  </w:style>
  <w:style w:type="table" w:customStyle="1" w:styleId="298">
    <w:name w:val="List Table 4 - Accent 2"/>
    <w:basedOn w:val="4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b/>
        <w:color w:val="FFFFFF"/>
        <w:sz w:val="22"/>
      </w:rPr>
      <w:tcPr>
        <w:shd w:val="clear" w:color="C0504D"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shd w:val="clear" w:color="EFD2D2" w:fill="EFD3D2" w:themeFill="accent2" w:themeFillTint="40"/>
      </w:tcPr>
    </w:tblStylePr>
    <w:tblStylePr w:type="band1Horz">
      <w:rPr>
        <w:color w:val="404040"/>
        <w:sz w:val="22"/>
      </w:rPr>
      <w:tcPr>
        <w:shd w:val="clear" w:color="EFD2D2" w:fill="EFD3D2" w:themeFill="accent2" w:themeFillTint="40"/>
      </w:tcPr>
    </w:tblStylePr>
  </w:style>
  <w:style w:type="table" w:customStyle="1" w:styleId="299">
    <w:name w:val="List Table 4 - Accent 3"/>
    <w:basedOn w:val="4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b/>
        <w:color w:val="FFFFFF"/>
        <w:sz w:val="22"/>
      </w:rPr>
      <w:tcPr>
        <w:shd w:val="clear" w:color="9BBB59"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shd w:val="clear" w:color="E5EED5" w:fill="E5EDD5" w:themeFill="accent3" w:themeFillTint="40"/>
      </w:tcPr>
    </w:tblStylePr>
    <w:tblStylePr w:type="band1Horz">
      <w:rPr>
        <w:color w:val="404040"/>
        <w:sz w:val="22"/>
      </w:rPr>
      <w:tcPr>
        <w:shd w:val="clear" w:color="E5EED5" w:fill="E5EDD5" w:themeFill="accent3" w:themeFillTint="40"/>
      </w:tcPr>
    </w:tblStylePr>
  </w:style>
  <w:style w:type="table" w:customStyle="1" w:styleId="300">
    <w:name w:val="List Table 4 - Accent 4"/>
    <w:basedOn w:val="4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b/>
        <w:color w:val="FFFFFF"/>
        <w:sz w:val="22"/>
      </w:rPr>
      <w:tcPr>
        <w:shd w:val="clear" w:color="8064A2"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shd w:val="clear" w:color="DFD8E7" w:fill="DFD8E7" w:themeFill="accent4" w:themeFillTint="40"/>
      </w:tcPr>
    </w:tblStylePr>
    <w:tblStylePr w:type="band1Horz">
      <w:rPr>
        <w:color w:val="404040"/>
        <w:sz w:val="22"/>
      </w:rPr>
      <w:tcPr>
        <w:shd w:val="clear" w:color="DFD8E7" w:fill="DFD8E7" w:themeFill="accent4" w:themeFillTint="40"/>
      </w:tcPr>
    </w:tblStylePr>
  </w:style>
  <w:style w:type="table" w:customStyle="1" w:styleId="301">
    <w:name w:val="List Table 4 - Accent 5"/>
    <w:basedOn w:val="4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b/>
        <w:color w:val="FFFFFF"/>
        <w:sz w:val="22"/>
      </w:rPr>
      <w:tcPr>
        <w:shd w:val="clear" w:color="4BACC6"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shd w:val="clear" w:color="D1EAF0" w:fill="D1EAF0" w:themeFill="accent5" w:themeFillTint="40"/>
      </w:tcPr>
    </w:tblStylePr>
    <w:tblStylePr w:type="band1Horz">
      <w:rPr>
        <w:color w:val="404040"/>
        <w:sz w:val="22"/>
      </w:rPr>
      <w:tcPr>
        <w:shd w:val="clear" w:color="D1EAF0" w:fill="D1EAF0" w:themeFill="accent5" w:themeFillTint="40"/>
      </w:tcPr>
    </w:tblStylePr>
  </w:style>
  <w:style w:type="table" w:customStyle="1" w:styleId="302">
    <w:name w:val="List Table 4 - Accent 6"/>
    <w:basedOn w:val="4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b/>
        <w:color w:val="FFFFFF"/>
        <w:sz w:val="22"/>
      </w:rPr>
      <w:tcPr>
        <w:shd w:val="clear" w:color="F7964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cPr>
        <w:shd w:val="clear" w:color="FDE4D0" w:fill="FCE4D0" w:themeFill="accent6" w:themeFillTint="40"/>
      </w:tcPr>
    </w:tblStylePr>
    <w:tblStylePr w:type="band1Horz">
      <w:rPr>
        <w:color w:val="404040"/>
        <w:sz w:val="22"/>
      </w:rPr>
      <w:tcPr>
        <w:shd w:val="clear" w:color="FDE4D0" w:fill="FCE4D0" w:themeFill="accent6" w:themeFillTint="40"/>
      </w:tcPr>
    </w:tblStylePr>
  </w:style>
  <w:style w:type="table" w:customStyle="1" w:styleId="303">
    <w:name w:val="List Table 5 Dark"/>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b/>
        <w:color w:val="FFFFFF" w:themeColor="light1"/>
        <w:sz w:val="22"/>
        <w14:textFill>
          <w14:solidFill>
            <w14:schemeClr w14:val="lt1"/>
          </w14:solidFill>
        </w14:textFill>
      </w:rPr>
      <w:tcPr>
        <w:tcBorders>
          <w:top w:val="single" w:color="000000" w:themeColor="text1" w:sz="32" w:space="0"/>
          <w:bottom w:val="single" w:color="FFFFFF" w:themeColor="light1" w:sz="12" w:space="0"/>
        </w:tcBorders>
        <w:shd w:val="clear" w:color="7F7F7F" w:fill="7E7E7E" w:themeFill="text1" w:themeFillTint="80"/>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000000" w:themeColor="text1" w:sz="32" w:space="0"/>
          <w:right w:val="single" w:color="FFFFFF" w:themeColor="light1" w:sz="4" w:space="0"/>
        </w:tcBorders>
      </w:tcPr>
    </w:tblStylePr>
    <w:tblStylePr w:type="lastCol">
      <w:tcPr>
        <w:tcBorders>
          <w:left w:val="single" w:color="FFFFFF" w:themeColor="light1" w:sz="4" w:space="0"/>
          <w:right w:val="single" w:color="000000" w:themeColor="text1" w:sz="32" w:space="0"/>
        </w:tcBorders>
      </w:tcPr>
    </w:tblStylePr>
    <w:tblStylePr w:type="band1Vert">
      <w:tcPr>
        <w:tcBorders>
          <w:left w:val="single" w:color="FFFFFF" w:themeColor="light1" w:sz="4" w:space="0"/>
          <w:right w:val="single" w:color="FFFFFF" w:themeColor="light1" w:sz="4" w:space="0"/>
        </w:tcBorders>
        <w:shd w:val="clear" w:color="7F7F7F"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F7F7F" w:fill="7E7E7E" w:themeFill="text1" w:themeFillTint="80"/>
      </w:tcPr>
    </w:tblStylePr>
    <w:tblStylePr w:type="band2Horz">
      <w:tcPr>
        <w:tcBorders>
          <w:top w:val="single" w:color="FFFFFF" w:themeColor="light1" w:sz="4" w:space="0"/>
          <w:bottom w:val="single" w:color="FFFFFF" w:themeColor="light1" w:sz="4" w:space="0"/>
        </w:tcBorders>
        <w:shd w:val="clear" w:color="7F7F7F" w:fill="7E7E7E" w:themeFill="text1" w:themeFillTint="80"/>
      </w:tcPr>
    </w:tblStylePr>
  </w:style>
  <w:style w:type="table" w:customStyle="1" w:styleId="304">
    <w:name w:val="List Table 5 Dark - Accent 1"/>
    <w:basedOn w:val="4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fill="4F81BD" w:themeFill="accent1"/>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fill="4F81BD" w:themeFill="accent1"/>
      </w:tcPr>
    </w:tblStylePr>
    <w:tblStylePr w:type="band2Horz">
      <w:tcPr>
        <w:tcBorders>
          <w:top w:val="single" w:color="FFFFFF" w:themeColor="light1" w:sz="4" w:space="0"/>
          <w:bottom w:val="single" w:color="FFFFFF" w:themeColor="light1" w:sz="4" w:space="0"/>
        </w:tcBorders>
        <w:shd w:val="clear" w:color="4F81BD" w:fill="4F81BD" w:themeFill="accent1"/>
      </w:tcPr>
    </w:tblStylePr>
  </w:style>
  <w:style w:type="table" w:customStyle="1" w:styleId="305">
    <w:name w:val="List Table 5 Dark - Accent 2"/>
    <w:basedOn w:val="4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b/>
        <w:color w:val="FFFFFF" w:themeColor="light1"/>
        <w:sz w:val="22"/>
        <w14:textFill>
          <w14:solidFill>
            <w14:schemeClr w14:val="lt1"/>
          </w14:solidFill>
        </w14:textFill>
      </w:rPr>
      <w:tcPr>
        <w:tcBorders>
          <w:top w:val="single" w:color="C0504D" w:themeColor="accent2" w:sz="32" w:space="0"/>
          <w:bottom w:val="single" w:color="FFFFFF" w:themeColor="light1" w:sz="12" w:space="0"/>
        </w:tcBorders>
        <w:shd w:val="clear" w:color="D99695" w:fill="D99795" w:themeFill="accent2" w:themeFillTint="97"/>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C0504D" w:themeColor="accent2" w:sz="32" w:space="0"/>
          <w:right w:val="single" w:color="FFFFFF" w:themeColor="light1" w:sz="4" w:space="0"/>
        </w:tcBorders>
      </w:tcPr>
    </w:tblStylePr>
    <w:tblStylePr w:type="lastCol">
      <w:tcPr>
        <w:tcBorders>
          <w:left w:val="single" w:color="FFFFFF" w:themeColor="light1" w:sz="4" w:space="0"/>
          <w:right w:val="single" w:color="C0504D" w:themeColor="accent2" w:sz="32" w:space="0"/>
        </w:tcBorders>
      </w:tcPr>
    </w:tblStylePr>
    <w:tblStylePr w:type="band1Vert">
      <w:tcPr>
        <w:tcBorders>
          <w:left w:val="single" w:color="FFFFFF" w:themeColor="light1" w:sz="4" w:space="0"/>
          <w:right w:val="single" w:color="FFFFFF" w:themeColor="light1" w:sz="4" w:space="0"/>
        </w:tcBorders>
        <w:shd w:val="clear" w:color="D99695"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695" w:fill="D99795" w:themeFill="accent2" w:themeFillTint="97"/>
      </w:tcPr>
    </w:tblStylePr>
    <w:tblStylePr w:type="band2Horz">
      <w:tcPr>
        <w:tcBorders>
          <w:top w:val="single" w:color="FFFFFF" w:themeColor="light1" w:sz="4" w:space="0"/>
          <w:bottom w:val="single" w:color="FFFFFF" w:themeColor="light1" w:sz="4" w:space="0"/>
        </w:tcBorders>
        <w:shd w:val="clear" w:color="D99695" w:fill="D99795" w:themeFill="accent2" w:themeFillTint="97"/>
      </w:tcPr>
    </w:tblStylePr>
  </w:style>
  <w:style w:type="table" w:customStyle="1" w:styleId="306">
    <w:name w:val="List Table 5 Dark - Accent 3"/>
    <w:basedOn w:val="4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b/>
        <w:color w:val="FFFFFF" w:themeColor="light1"/>
        <w:sz w:val="22"/>
        <w14:textFill>
          <w14:solidFill>
            <w14:schemeClr w14:val="lt1"/>
          </w14:solidFill>
        </w14:textFill>
      </w:rPr>
      <w:tcPr>
        <w:tcBorders>
          <w:top w:val="single" w:color="9BBB59" w:themeColor="accent3" w:sz="32" w:space="0"/>
          <w:bottom w:val="single" w:color="FFFFFF" w:themeColor="light1" w:sz="12" w:space="0"/>
        </w:tcBorders>
        <w:shd w:val="clear" w:color="C3D69B" w:fill="C3D69C" w:themeFill="accent3" w:themeFillTint="98"/>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9BBB59" w:themeColor="accent3" w:sz="32" w:space="0"/>
          <w:right w:val="single" w:color="FFFFFF" w:themeColor="light1" w:sz="4" w:space="0"/>
        </w:tcBorders>
      </w:tcPr>
    </w:tblStylePr>
    <w:tblStylePr w:type="lastCol">
      <w:tcPr>
        <w:tcBorders>
          <w:left w:val="single" w:color="FFFFFF" w:themeColor="light1" w:sz="4" w:space="0"/>
          <w:right w:val="single" w:color="9BBB59" w:themeColor="accent3" w:sz="32" w:space="0"/>
        </w:tcBorders>
      </w:tcPr>
    </w:tblStylePr>
    <w:tblStylePr w:type="band1Vert">
      <w:tcPr>
        <w:tcBorders>
          <w:left w:val="single" w:color="FFFFFF" w:themeColor="light1" w:sz="4" w:space="0"/>
          <w:right w:val="single" w:color="FFFFFF" w:themeColor="light1" w:sz="4" w:space="0"/>
        </w:tcBorders>
        <w:shd w:val="clear" w:color="C3D69B"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B" w:fill="C3D69C" w:themeFill="accent3" w:themeFillTint="98"/>
      </w:tcPr>
    </w:tblStylePr>
    <w:tblStylePr w:type="band2Horz">
      <w:tcPr>
        <w:tcBorders>
          <w:top w:val="single" w:color="FFFFFF" w:themeColor="light1" w:sz="4" w:space="0"/>
          <w:bottom w:val="single" w:color="FFFFFF" w:themeColor="light1" w:sz="4" w:space="0"/>
        </w:tcBorders>
        <w:shd w:val="clear" w:color="C3D69B" w:fill="C3D69C" w:themeFill="accent3" w:themeFillTint="98"/>
      </w:tcPr>
    </w:tblStylePr>
  </w:style>
  <w:style w:type="table" w:customStyle="1" w:styleId="307">
    <w:name w:val="List Table 5 Dark - Accent 4"/>
    <w:basedOn w:val="4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b/>
        <w:color w:val="FFFFFF" w:themeColor="light1"/>
        <w:sz w:val="22"/>
        <w14:textFill>
          <w14:solidFill>
            <w14:schemeClr w14:val="lt1"/>
          </w14:solidFill>
        </w14:textFill>
      </w:rPr>
      <w:tcPr>
        <w:tcBorders>
          <w:top w:val="single" w:color="8064A2" w:themeColor="accent4" w:sz="32" w:space="0"/>
          <w:bottom w:val="single" w:color="FFFFFF" w:themeColor="light1" w:sz="12" w:space="0"/>
        </w:tcBorders>
        <w:shd w:val="clear" w:color="B2A1C6" w:fill="B2A1C6" w:themeFill="accent4" w:themeFillTint="9A"/>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8064A2" w:themeColor="accent4" w:sz="32" w:space="0"/>
          <w:right w:val="single" w:color="FFFFFF" w:themeColor="light1" w:sz="4" w:space="0"/>
        </w:tcBorders>
      </w:tcPr>
    </w:tblStylePr>
    <w:tblStylePr w:type="lastCol">
      <w:tcPr>
        <w:tcBorders>
          <w:left w:val="single" w:color="FFFFFF" w:themeColor="light1" w:sz="4" w:space="0"/>
          <w:right w:val="single" w:color="8064A2" w:themeColor="accent4" w:sz="32" w:space="0"/>
        </w:tcBorders>
      </w:tcPr>
    </w:tblStylePr>
    <w:tblStylePr w:type="band1Vert">
      <w:tcPr>
        <w:tcBorders>
          <w:left w:val="single" w:color="FFFFFF" w:themeColor="light1" w:sz="4" w:space="0"/>
          <w:right w:val="single" w:color="FFFFFF" w:themeColor="light1" w:sz="4" w:space="0"/>
        </w:tcBorders>
        <w:shd w:val="clear" w:color="B2A1C6"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fill="B2A1C6" w:themeFill="accent4" w:themeFillTint="9A"/>
      </w:tcPr>
    </w:tblStylePr>
    <w:tblStylePr w:type="band2Horz">
      <w:tcPr>
        <w:tcBorders>
          <w:top w:val="single" w:color="FFFFFF" w:themeColor="light1" w:sz="4" w:space="0"/>
          <w:bottom w:val="single" w:color="FFFFFF" w:themeColor="light1" w:sz="4" w:space="0"/>
        </w:tcBorders>
        <w:shd w:val="clear" w:color="B2A1C6" w:fill="B2A1C6" w:themeFill="accent4" w:themeFillTint="9A"/>
      </w:tcPr>
    </w:tblStylePr>
  </w:style>
  <w:style w:type="table" w:customStyle="1" w:styleId="308">
    <w:name w:val="List Table 5 Dark - Accent 5"/>
    <w:basedOn w:val="4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b/>
        <w:color w:val="FFFFFF" w:themeColor="light1"/>
        <w:sz w:val="22"/>
        <w14:textFill>
          <w14:solidFill>
            <w14:schemeClr w14:val="lt1"/>
          </w14:solidFill>
        </w14:textFill>
      </w:rPr>
      <w:tcPr>
        <w:tcBorders>
          <w:top w:val="single" w:color="4BACC6" w:themeColor="accent5" w:sz="32" w:space="0"/>
          <w:bottom w:val="single" w:color="FFFFFF" w:themeColor="light1" w:sz="12" w:space="0"/>
        </w:tcBorders>
        <w:shd w:val="clear" w:color="92CCDC" w:fill="92CCDC" w:themeFill="accent5" w:themeFillTint="9A"/>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4BACC6" w:themeColor="accent5" w:sz="32" w:space="0"/>
          <w:right w:val="single" w:color="FFFFFF" w:themeColor="light1" w:sz="4" w:space="0"/>
        </w:tcBorders>
      </w:tcPr>
    </w:tblStylePr>
    <w:tblStylePr w:type="lastCol">
      <w:tcPr>
        <w:tcBorders>
          <w:left w:val="single" w:color="FFFFFF" w:themeColor="light1" w:sz="4" w:space="0"/>
          <w:right w:val="single" w:color="4BACC6" w:themeColor="accent5" w:sz="32" w:space="0"/>
        </w:tcBorders>
      </w:tcPr>
    </w:tblStylePr>
    <w:tblStylePr w:type="band1Vert">
      <w:tcPr>
        <w:tcBorders>
          <w:left w:val="single" w:color="FFFFFF" w:themeColor="light1" w:sz="4" w:space="0"/>
          <w:right w:val="single" w:color="FFFFFF" w:themeColor="light1" w:sz="4" w:space="0"/>
        </w:tcBorders>
        <w:shd w:val="clear" w:color="92CCDC"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fill="92CCDC" w:themeFill="accent5" w:themeFillTint="9A"/>
      </w:tcPr>
    </w:tblStylePr>
    <w:tblStylePr w:type="band2Horz">
      <w:tcPr>
        <w:tcBorders>
          <w:top w:val="single" w:color="FFFFFF" w:themeColor="light1" w:sz="4" w:space="0"/>
          <w:bottom w:val="single" w:color="FFFFFF" w:themeColor="light1" w:sz="4" w:space="0"/>
        </w:tcBorders>
        <w:shd w:val="clear" w:color="92CCDC" w:fill="92CCDC" w:themeFill="accent5" w:themeFillTint="9A"/>
      </w:tcPr>
    </w:tblStylePr>
  </w:style>
  <w:style w:type="table" w:customStyle="1" w:styleId="309">
    <w:name w:val="List Table 5 Dark - Accent 6"/>
    <w:basedOn w:val="4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b/>
        <w:color w:val="FFFFFF" w:themeColor="light1"/>
        <w:sz w:val="22"/>
        <w14:textFill>
          <w14:solidFill>
            <w14:schemeClr w14:val="lt1"/>
          </w14:solidFill>
        </w14:textFill>
      </w:rPr>
      <w:tcPr>
        <w:tcBorders>
          <w:top w:val="single" w:color="F79646" w:themeColor="accent6" w:sz="32" w:space="0"/>
          <w:bottom w:val="single" w:color="FFFFFF" w:themeColor="light1" w:sz="12" w:space="0"/>
        </w:tcBorders>
        <w:shd w:val="clear" w:color="FAC090" w:fill="FAC090" w:themeFill="accent6" w:themeFillTint="98"/>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F79646" w:themeColor="accent6" w:sz="32" w:space="0"/>
          <w:right w:val="single" w:color="FFFFFF" w:themeColor="light1" w:sz="4" w:space="0"/>
        </w:tcBorders>
      </w:tcPr>
    </w:tblStylePr>
    <w:tblStylePr w:type="lastCol">
      <w:tcPr>
        <w:tcBorders>
          <w:left w:val="single" w:color="FFFFFF" w:themeColor="light1" w:sz="4" w:space="0"/>
          <w:right w:val="single" w:color="F79646" w:themeColor="accent6" w:sz="32" w:space="0"/>
        </w:tcBorders>
      </w:tcPr>
    </w:tblStylePr>
    <w:tblStylePr w:type="band1Vert">
      <w:tcPr>
        <w:tcBorders>
          <w:left w:val="single" w:color="FFFFFF" w:themeColor="light1" w:sz="4" w:space="0"/>
          <w:right w:val="single" w:color="FFFFFF" w:themeColor="light1" w:sz="4" w:space="0"/>
        </w:tcBorders>
        <w:shd w:val="clear" w:color="FAC090"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fill="FAC090" w:themeFill="accent6" w:themeFillTint="98"/>
      </w:tcPr>
    </w:tblStylePr>
    <w:tblStylePr w:type="band2Horz">
      <w:tcPr>
        <w:tcBorders>
          <w:top w:val="single" w:color="FFFFFF" w:themeColor="light1" w:sz="4" w:space="0"/>
          <w:bottom w:val="single" w:color="FFFFFF" w:themeColor="light1" w:sz="4" w:space="0"/>
        </w:tcBorders>
        <w:shd w:val="clear" w:color="FAC090" w:fill="FAC090" w:themeFill="accent6" w:themeFillTint="98"/>
      </w:tcPr>
    </w:tblStylePr>
  </w:style>
  <w:style w:type="table" w:customStyle="1" w:styleId="310">
    <w:name w:val="List Table 6 Colorful"/>
    <w:basedOn w:val="4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000000" w:themeColor="text1" w:sz="4" w:space="0"/>
        </w:tcBorders>
      </w:tcPr>
    </w:tblStylePr>
    <w:tblStylePr w:type="lastRow">
      <w:rPr>
        <w:b/>
        <w:color w:val="000000" w:themeColor="text1"/>
        <w14:textFill>
          <w14:solidFill>
            <w14:schemeClr w14:val="tx1"/>
          </w14:solidFill>
        </w14:textFill>
      </w:rPr>
      <w:tcPr>
        <w:tcBorders>
          <w:top w:val="single" w:color="000000" w:themeColor="text1"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FBFBF" w:fill="BEBEBE" w:themeFill="text1" w:themeFillTint="40"/>
      </w:tcPr>
    </w:tblStylePr>
    <w:tblStylePr w:type="band1Horz">
      <w:rPr>
        <w:color w:val="000000" w:themeColor="text1"/>
        <w:sz w:val="22"/>
        <w14:textFill>
          <w14:solidFill>
            <w14:schemeClr w14:val="tx1"/>
          </w14:solidFill>
        </w14:textFill>
      </w:rPr>
      <w:tcPr>
        <w:shd w:val="clear" w:color="BFBFBF" w:fill="BEBEBE" w:themeFill="text1" w:themeFillTint="40"/>
      </w:tcPr>
    </w:tblStylePr>
    <w:tblStylePr w:type="band2Horz">
      <w:rPr>
        <w:color w:val="000000" w:themeColor="text1"/>
        <w:sz w:val="22"/>
        <w14:textFill>
          <w14:solidFill>
            <w14:schemeClr w14:val="tx1"/>
          </w14:solidFill>
        </w14:textFill>
      </w:rPr>
    </w:tblStylePr>
  </w:style>
  <w:style w:type="table" w:customStyle="1" w:styleId="311">
    <w:name w:val="List Table 6 Colorful - Accent 1"/>
    <w:basedOn w:val="47"/>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fill="D2DFEE" w:themeFill="accent1" w:themeFillTint="40"/>
      </w:tcPr>
    </w:tblStylePr>
    <w:tblStylePr w:type="band1Horz">
      <w:rPr>
        <w:color w:val="2A4B71" w:themeColor="accent1" w:themeShade="94"/>
        <w:sz w:val="22"/>
      </w:rPr>
      <w:tcPr>
        <w:shd w:val="clear" w:color="D2DFEE" w:fill="D2DFEE" w:themeFill="accent1" w:themeFillTint="40"/>
      </w:tcPr>
    </w:tblStylePr>
    <w:tblStylePr w:type="band2Horz">
      <w:rPr>
        <w:color w:val="2A4B71" w:themeColor="accent1" w:themeShade="94"/>
        <w:sz w:val="22"/>
      </w:rPr>
    </w:tblStylePr>
  </w:style>
  <w:style w:type="table" w:customStyle="1" w:styleId="312">
    <w:name w:val="List Table 6 Colorful - Accent 2"/>
    <w:basedOn w:val="47"/>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C0504D" w:themeColor="accent2"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2D2" w:fill="EFD3D2" w:themeFill="accent2" w:themeFillTint="40"/>
      </w:tcPr>
    </w:tblStylePr>
    <w:tblStylePr w:type="band1Horz">
      <w:rPr>
        <w:color w:val="DA9896" w:themeColor="accent2" w:themeTint="96"/>
        <w:sz w:val="22"/>
        <w14:textFill>
          <w14:solidFill>
            <w14:schemeClr w14:val="accent2">
              <w14:lumMod w14:val="59000"/>
              <w14:lumOff w14:val="41000"/>
            </w14:schemeClr>
          </w14:solidFill>
        </w14:textFill>
      </w:rPr>
      <w:tcPr>
        <w:shd w:val="clear" w:color="EFD2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style>
  <w:style w:type="table" w:customStyle="1" w:styleId="313">
    <w:name w:val="List Table 6 Colorful - Accent 3"/>
    <w:basedOn w:val="47"/>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9BBB59" w:themeColor="accent3"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9BBB59" w:themeColor="accent3"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ED5" w:fill="E5EDD5" w:themeFill="accent3" w:themeFillTint="40"/>
      </w:tcPr>
    </w:tblStylePr>
    <w:tblStylePr w:type="band1Horz">
      <w:rPr>
        <w:color w:val="C3D69B" w:themeColor="accent3" w:themeTint="99"/>
        <w:sz w:val="22"/>
        <w14:textFill>
          <w14:solidFill>
            <w14:schemeClr w14:val="accent3">
              <w14:lumMod w14:val="60000"/>
              <w14:lumOff w14:val="40000"/>
            </w14:schemeClr>
          </w14:solidFill>
        </w14:textFill>
      </w:rPr>
      <w:tcPr>
        <w:shd w:val="clear" w:color="E5EE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style>
  <w:style w:type="table" w:customStyle="1" w:styleId="314">
    <w:name w:val="List Table 6 Colorful - Accent 4"/>
    <w:basedOn w:val="47"/>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8064A2" w:themeColor="accent4"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fill="DFD8E7" w:themeFill="accent4" w:themeFillTint="40"/>
      </w:tcPr>
    </w:tblStyle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style>
  <w:style w:type="table" w:customStyle="1" w:styleId="315">
    <w:name w:val="List Table 6 Colorful - Accent 5"/>
    <w:basedOn w:val="47"/>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4BACC6" w:themeColor="accent5"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4BACC6" w:themeColor="accent5"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fill="D1EAF0" w:themeFill="accent5" w:themeFillTint="40"/>
      </w:tcPr>
    </w:tblStyle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style>
  <w:style w:type="table" w:customStyle="1" w:styleId="316">
    <w:name w:val="List Table 6 Colorful - Accent 6"/>
    <w:basedOn w:val="47"/>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79646" w:themeColor="accent6"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79646" w:themeColor="accent6"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DE4D0" w:fill="FCE4D0" w:themeFill="accent6" w:themeFillTint="40"/>
      </w:tcPr>
    </w:tblStylePr>
    <w:tblStylePr w:type="band1Horz">
      <w:rPr>
        <w:color w:val="FAC090" w:themeColor="accent6" w:themeTint="99"/>
        <w:sz w:val="22"/>
        <w14:textFill>
          <w14:solidFill>
            <w14:schemeClr w14:val="accent6">
              <w14:lumMod w14:val="60000"/>
              <w14:lumOff w14:val="40000"/>
            </w14:schemeClr>
          </w14:solidFill>
        </w14:textFill>
      </w:rPr>
      <w:tcPr>
        <w:shd w:val="clear" w:color="FD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style>
  <w:style w:type="table" w:customStyle="1" w:styleId="317">
    <w:name w:val="List Table 7 Colorful"/>
    <w:basedOn w:val="4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i/>
        <w:color w:val="808080" w:themeColor="text1" w:themeTint="80"/>
        <w:sz w:val="22"/>
        <w14:textFill>
          <w14:solidFill>
            <w14:schemeClr w14:val="tx1">
              <w14:lumMod w14:val="50000"/>
              <w14:lumOff w14:val="50000"/>
            </w14:schemeClr>
          </w14:solidFill>
        </w14:textFill>
      </w:rPr>
      <w:tcPr>
        <w:tcBorders>
          <w:top w:val="nil"/>
          <w:left w:val="nil"/>
          <w:bottom w:val="single" w:color="000000" w:themeColor="text1" w:sz="4" w:space="0"/>
          <w:right w:val="nil"/>
        </w:tcBorders>
        <w:shd w:val="clear" w:color="FFFFFF" w:fill="FFFFFF" w:themeFill="light1"/>
      </w:tcPr>
    </w:tblStylePr>
    <w:tblStylePr w:type="lastRow">
      <w:rPr>
        <w:i/>
        <w:color w:val="808080" w:themeColor="text1" w:themeTint="80"/>
        <w:sz w:val="22"/>
        <w14:textFill>
          <w14:solidFill>
            <w14:schemeClr w14:val="tx1">
              <w14:lumMod w14:val="50000"/>
              <w14:lumOff w14:val="50000"/>
            </w14:schemeClr>
          </w14:solidFill>
        </w14:textFill>
      </w:rPr>
      <w:tcPr>
        <w:tcBorders>
          <w:top w:val="single" w:color="000000" w:themeColor="text1" w:sz="4" w:space="0"/>
          <w:left w:val="nil"/>
          <w:bottom w:val="nil"/>
          <w:right w:val="nil"/>
        </w:tcBorders>
        <w:shd w:val="clear" w:color="FFFFFF" w:fill="FFFFFF" w:themeFill="light1"/>
      </w:tcPr>
    </w:tblStylePr>
    <w:tblStylePr w:type="firstCol">
      <w:pPr>
        <w:jc w:val="right"/>
      </w:pPr>
      <w:rPr>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000000" w:themeColor="text1" w:sz="4" w:space="0"/>
        </w:tcBorders>
        <w:shd w:val="clear" w:color="FFFFFF" w:fill="auto"/>
      </w:tcPr>
    </w:tblStylePr>
    <w:tblStylePr w:type="lastCol">
      <w:rPr>
        <w:i/>
        <w:color w:val="808080" w:themeColor="text1" w:themeTint="80"/>
        <w:sz w:val="22"/>
        <w14:textFill>
          <w14:solidFill>
            <w14:schemeClr w14:val="tx1">
              <w14:lumMod w14:val="50000"/>
              <w14:lumOff w14:val="50000"/>
            </w14:schemeClr>
          </w14:solidFill>
        </w14:textFill>
      </w:rPr>
      <w:tcPr>
        <w:tcBorders>
          <w:top w:val="nil"/>
          <w:left w:val="single" w:color="000000" w:themeColor="text1" w:sz="4" w:space="0"/>
          <w:bottom w:val="nil"/>
          <w:right w:val="nil"/>
        </w:tcBorders>
        <w:shd w:val="clear" w:color="FFFFFF" w:fill="auto"/>
      </w:tcPr>
    </w:tblStylePr>
    <w:tblStylePr w:type="band1Vert">
      <w:tcPr>
        <w:shd w:val="clear" w:color="BFBFBF" w:fill="BEBEBE" w:themeFill="text1" w:themeFillTint="40"/>
      </w:tcPr>
    </w:tblStylePr>
    <w:tblStylePr w:type="band1Horz">
      <w:rPr>
        <w:color w:val="808080" w:themeColor="text1" w:themeTint="80"/>
        <w:sz w:val="22"/>
        <w14:textFill>
          <w14:solidFill>
            <w14:schemeClr w14:val="tx1">
              <w14:lumMod w14:val="50000"/>
              <w14:lumOff w14:val="50000"/>
            </w14:schemeClr>
          </w14:solidFill>
        </w14:textFill>
      </w:rPr>
      <w:tcPr>
        <w:shd w:val="clear" w:color="BFBFBF" w:fill="BEBEBE" w:themeFill="text1" w:themeFillTint="40"/>
      </w:tcPr>
    </w:tblStylePr>
    <w:tblStylePr w:type="band2Horz">
      <w:rPr>
        <w:color w:val="808080" w:themeColor="text1" w:themeTint="80"/>
        <w:sz w:val="22"/>
        <w14:textFill>
          <w14:solidFill>
            <w14:schemeClr w14:val="tx1">
              <w14:lumMod w14:val="50000"/>
              <w14:lumOff w14:val="50000"/>
            </w14:schemeClr>
          </w14:solidFill>
        </w14:textFill>
      </w:rPr>
    </w:tblStylePr>
  </w:style>
  <w:style w:type="table" w:customStyle="1" w:styleId="318">
    <w:name w:val="List Table 7 Colorful - Accent 1"/>
    <w:basedOn w:val="47"/>
    <w:qFormat/>
    <w:uiPriority w:val="99"/>
    <w:tblPr>
      <w:tblBorders>
        <w:right w:val="single" w:color="4F81BD" w:themeColor="accent1" w:sz="4" w:space="0"/>
      </w:tblBorders>
      <w:tblCellMar>
        <w:top w:w="0" w:type="dxa"/>
        <w:left w:w="108" w:type="dxa"/>
        <w:bottom w:w="0" w:type="dxa"/>
        <w:right w:w="108" w:type="dxa"/>
      </w:tblCellMar>
    </w:tblPr>
    <w:tblStylePr w:type="firstRow">
      <w:rPr>
        <w:i/>
        <w:color w:val="2A4B71" w:themeColor="accent1" w:themeShade="94"/>
        <w:sz w:val="22"/>
      </w:rPr>
      <w:tcPr>
        <w:tcBorders>
          <w:top w:val="nil"/>
          <w:left w:val="nil"/>
          <w:bottom w:val="single" w:color="4F81BD" w:themeColor="accent1" w:sz="4" w:space="0"/>
          <w:right w:val="nil"/>
        </w:tcBorders>
        <w:shd w:val="clear" w:color="FFFFFF" w:fill="FFFFFF" w:themeFill="light1"/>
      </w:tcPr>
    </w:tblStylePr>
    <w:tblStylePr w:type="lastRow">
      <w:rPr>
        <w:i/>
        <w:color w:val="2A4B71" w:themeColor="accent1" w:themeShade="94"/>
        <w:sz w:val="22"/>
      </w:rPr>
      <w:tcPr>
        <w:tcBorders>
          <w:top w:val="single" w:color="4F81BD" w:themeColor="accent1" w:sz="4" w:space="0"/>
          <w:left w:val="nil"/>
          <w:bottom w:val="nil"/>
          <w:right w:val="nil"/>
        </w:tcBorders>
        <w:shd w:val="clear" w:color="FFFFFF" w:fill="FFFFFF" w:themeFill="light1"/>
      </w:tcPr>
    </w:tblStylePr>
    <w:tblStylePr w:type="firstCol">
      <w:pPr>
        <w:jc w:val="right"/>
      </w:pPr>
      <w:rPr>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fill="D2DFEE" w:themeFill="accent1" w:themeFillTint="40"/>
      </w:tcPr>
    </w:tblStylePr>
    <w:tblStylePr w:type="band1Horz">
      <w:rPr>
        <w:color w:val="2A4B71" w:themeColor="accent1" w:themeShade="94"/>
        <w:sz w:val="22"/>
      </w:rPr>
      <w:tcPr>
        <w:shd w:val="clear" w:color="D2DFEE" w:fill="D2DFEE" w:themeFill="accent1" w:themeFillTint="40"/>
      </w:tcPr>
    </w:tblStylePr>
    <w:tblStylePr w:type="band2Horz">
      <w:rPr>
        <w:color w:val="2A4B71" w:themeColor="accent1" w:themeShade="94"/>
        <w:sz w:val="22"/>
      </w:rPr>
    </w:tblStylePr>
  </w:style>
  <w:style w:type="table" w:customStyle="1" w:styleId="319">
    <w:name w:val="List Table 7 Colorful - Accent 2"/>
    <w:basedOn w:val="47"/>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i/>
        <w:color w:val="DA9896" w:themeColor="accent2" w:themeTint="96"/>
        <w:sz w:val="22"/>
        <w14:textFill>
          <w14:solidFill>
            <w14:schemeClr w14:val="accent2">
              <w14:lumMod w14:val="59000"/>
              <w14:lumOff w14:val="41000"/>
            </w14:schemeClr>
          </w14:solidFill>
        </w14:textFill>
      </w:rPr>
      <w:tcPr>
        <w:tcBorders>
          <w:top w:val="nil"/>
          <w:left w:val="nil"/>
          <w:bottom w:val="single" w:color="C0504D" w:themeColor="accent2" w:sz="4" w:space="0"/>
          <w:right w:val="nil"/>
        </w:tcBorders>
        <w:shd w:val="clear" w:color="FFFFFF" w:fill="FFFFFF" w:themeFill="light1"/>
      </w:tcPr>
    </w:tblStylePr>
    <w:tblStylePr w:type="lastRow">
      <w:rPr>
        <w:i/>
        <w:color w:val="DA9896" w:themeColor="accent2" w:themeTint="96"/>
        <w:sz w:val="22"/>
        <w14:textFill>
          <w14:solidFill>
            <w14:schemeClr w14:val="accent2">
              <w14:lumMod w14:val="59000"/>
              <w14:lumOff w14:val="41000"/>
            </w14:schemeClr>
          </w14:solidFill>
        </w14:textFill>
      </w:rPr>
      <w:tcPr>
        <w:tcBorders>
          <w:top w:val="single" w:color="C0504D" w:themeColor="accent2" w:sz="4" w:space="0"/>
          <w:left w:val="nil"/>
          <w:bottom w:val="nil"/>
          <w:right w:val="nil"/>
        </w:tcBorders>
        <w:shd w:val="clear" w:color="FFFFFF" w:fill="FFFFFF" w:themeFill="light1"/>
      </w:tcPr>
    </w:tblStylePr>
    <w:tblStylePr w:type="firstCol">
      <w:pPr>
        <w:jc w:val="right"/>
      </w:pPr>
      <w:rPr>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C0504D" w:themeColor="accent2" w:sz="4" w:space="0"/>
        </w:tcBorders>
        <w:shd w:val="clear" w:color="FFFFFF" w:fill="auto"/>
      </w:tcPr>
    </w:tblStylePr>
    <w:tblStylePr w:type="lastCol">
      <w:rPr>
        <w:i/>
        <w:color w:val="DA9896" w:themeColor="accent2" w:themeTint="96"/>
        <w:sz w:val="22"/>
        <w14:textFill>
          <w14:solidFill>
            <w14:schemeClr w14:val="accent2">
              <w14:lumMod w14:val="59000"/>
              <w14:lumOff w14:val="41000"/>
            </w14:schemeClr>
          </w14:solidFill>
        </w14:textFill>
      </w:rPr>
      <w:tcPr>
        <w:tcBorders>
          <w:top w:val="nil"/>
          <w:left w:val="single" w:color="C0504D" w:themeColor="accent2" w:sz="4" w:space="0"/>
          <w:bottom w:val="nil"/>
          <w:right w:val="nil"/>
        </w:tcBorders>
        <w:shd w:val="clear" w:color="FFFFFF" w:fill="auto"/>
      </w:tcPr>
    </w:tblStylePr>
    <w:tblStylePr w:type="band1Vert">
      <w:tcPr>
        <w:shd w:val="clear" w:color="EFD2D2" w:fill="EFD3D2" w:themeFill="accent2" w:themeFillTint="40"/>
      </w:tcPr>
    </w:tblStylePr>
    <w:tblStylePr w:type="band1Horz">
      <w:rPr>
        <w:color w:val="DA9896" w:themeColor="accent2" w:themeTint="96"/>
        <w:sz w:val="22"/>
        <w14:textFill>
          <w14:solidFill>
            <w14:schemeClr w14:val="accent2">
              <w14:lumMod w14:val="59000"/>
              <w14:lumOff w14:val="41000"/>
            </w14:schemeClr>
          </w14:solidFill>
        </w14:textFill>
      </w:rPr>
      <w:tcPr>
        <w:shd w:val="clear" w:color="EFD2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style>
  <w:style w:type="table" w:customStyle="1" w:styleId="320">
    <w:name w:val="List Table 7 Colorful - Accent 3"/>
    <w:basedOn w:val="47"/>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i/>
        <w:color w:val="C3D69B" w:themeColor="accent3" w:themeTint="99"/>
        <w:sz w:val="22"/>
        <w14:textFill>
          <w14:solidFill>
            <w14:schemeClr w14:val="accent3">
              <w14:lumMod w14:val="60000"/>
              <w14:lumOff w14:val="40000"/>
            </w14:schemeClr>
          </w14:solidFill>
        </w14:textFill>
      </w:rPr>
      <w:tcPr>
        <w:tcBorders>
          <w:top w:val="nil"/>
          <w:left w:val="nil"/>
          <w:bottom w:val="single" w:color="9BBB59" w:themeColor="accent3" w:sz="4" w:space="0"/>
          <w:right w:val="nil"/>
        </w:tcBorders>
        <w:shd w:val="clear" w:color="FFFFFF" w:fill="FFFFFF" w:themeFill="light1"/>
      </w:tcPr>
    </w:tblStylePr>
    <w:tblStylePr w:type="lastRow">
      <w:rPr>
        <w:i/>
        <w:color w:val="C3D69B" w:themeColor="accent3" w:themeTint="99"/>
        <w:sz w:val="22"/>
        <w14:textFill>
          <w14:solidFill>
            <w14:schemeClr w14:val="accent3">
              <w14:lumMod w14:val="60000"/>
              <w14:lumOff w14:val="40000"/>
            </w14:schemeClr>
          </w14:solidFill>
        </w14:textFill>
      </w:rPr>
      <w:tcPr>
        <w:tcBorders>
          <w:top w:val="single" w:color="9BBB59" w:themeColor="accent3" w:sz="4" w:space="0"/>
          <w:left w:val="nil"/>
          <w:bottom w:val="nil"/>
          <w:right w:val="nil"/>
        </w:tcBorders>
        <w:shd w:val="clear" w:color="FFFFFF" w:fill="FFFFFF" w:themeFill="light1"/>
      </w:tcPr>
    </w:tblStylePr>
    <w:tblStylePr w:type="firstCol">
      <w:pPr>
        <w:jc w:val="right"/>
      </w:pPr>
      <w:rPr>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9BBB59" w:themeColor="accent3" w:sz="4" w:space="0"/>
        </w:tcBorders>
        <w:shd w:val="clear" w:color="FFFFFF" w:fill="auto"/>
      </w:tcPr>
    </w:tblStylePr>
    <w:tblStylePr w:type="lastCol">
      <w:rPr>
        <w:i/>
        <w:color w:val="C3D69B" w:themeColor="accent3" w:themeTint="99"/>
        <w:sz w:val="22"/>
        <w14:textFill>
          <w14:solidFill>
            <w14:schemeClr w14:val="accent3">
              <w14:lumMod w14:val="60000"/>
              <w14:lumOff w14:val="40000"/>
            </w14:schemeClr>
          </w14:solidFill>
        </w14:textFill>
      </w:rPr>
      <w:tcPr>
        <w:tcBorders>
          <w:top w:val="nil"/>
          <w:left w:val="single" w:color="9BBB59" w:themeColor="accent3" w:sz="4" w:space="0"/>
          <w:bottom w:val="nil"/>
          <w:right w:val="nil"/>
        </w:tcBorders>
        <w:shd w:val="clear" w:color="FFFFFF" w:fill="auto"/>
      </w:tcPr>
    </w:tblStylePr>
    <w:tblStylePr w:type="band1Vert">
      <w:tcPr>
        <w:shd w:val="clear" w:color="E5EED5" w:fill="E5EDD5" w:themeFill="accent3" w:themeFillTint="40"/>
      </w:tcPr>
    </w:tblStylePr>
    <w:tblStylePr w:type="band1Horz">
      <w:rPr>
        <w:color w:val="C3D69B" w:themeColor="accent3" w:themeTint="99"/>
        <w:sz w:val="22"/>
        <w14:textFill>
          <w14:solidFill>
            <w14:schemeClr w14:val="accent3">
              <w14:lumMod w14:val="60000"/>
              <w14:lumOff w14:val="40000"/>
            </w14:schemeClr>
          </w14:solidFill>
        </w14:textFill>
      </w:rPr>
      <w:tcPr>
        <w:shd w:val="clear" w:color="E5EE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style>
  <w:style w:type="table" w:customStyle="1" w:styleId="321">
    <w:name w:val="List Table 7 Colorful - Accent 4"/>
    <w:basedOn w:val="47"/>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i/>
        <w:color w:val="B3A2C7" w:themeColor="accent4" w:themeTint="99"/>
        <w:sz w:val="22"/>
        <w14:textFill>
          <w14:solidFill>
            <w14:schemeClr w14:val="accent4">
              <w14:lumMod w14:val="60000"/>
              <w14:lumOff w14:val="40000"/>
            </w14:schemeClr>
          </w14:solidFill>
        </w14:textFill>
      </w:rPr>
      <w:tcPr>
        <w:tcBorders>
          <w:top w:val="nil"/>
          <w:left w:val="nil"/>
          <w:bottom w:val="single" w:color="8064A2" w:themeColor="accent4" w:sz="4" w:space="0"/>
          <w:right w:val="nil"/>
        </w:tcBorders>
        <w:shd w:val="clear" w:color="FFFFFF" w:fill="FFFFFF" w:themeFill="light1"/>
      </w:tcPr>
    </w:tblStylePr>
    <w:tblStylePr w:type="lastRow">
      <w:rPr>
        <w:i/>
        <w:color w:val="B3A2C7" w:themeColor="accent4" w:themeTint="99"/>
        <w:sz w:val="22"/>
        <w14:textFill>
          <w14:solidFill>
            <w14:schemeClr w14:val="accent4">
              <w14:lumMod w14:val="60000"/>
              <w14:lumOff w14:val="40000"/>
            </w14:schemeClr>
          </w14:solidFill>
        </w14:textFill>
      </w:rPr>
      <w:tcPr>
        <w:tcBorders>
          <w:top w:val="single" w:color="8064A2" w:themeColor="accent4" w:sz="4" w:space="0"/>
          <w:left w:val="nil"/>
          <w:bottom w:val="nil"/>
          <w:right w:val="nil"/>
        </w:tcBorders>
        <w:shd w:val="clear" w:color="FFFFFF" w:fill="FFFFFF" w:themeFill="light1"/>
      </w:tcPr>
    </w:tblStylePr>
    <w:tblStylePr w:type="firstCol">
      <w:pPr>
        <w:jc w:val="right"/>
      </w:pPr>
      <w:rPr>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8064A2" w:themeColor="accent4" w:sz="4" w:space="0"/>
        </w:tcBorders>
        <w:shd w:val="clear" w:color="FFFFFF" w:fill="auto"/>
      </w:tcPr>
    </w:tblStylePr>
    <w:tblStylePr w:type="lastCol">
      <w:rPr>
        <w:i/>
        <w:color w:val="B3A2C7" w:themeColor="accent4" w:themeTint="99"/>
        <w:sz w:val="22"/>
        <w14:textFill>
          <w14:solidFill>
            <w14:schemeClr w14:val="accent4">
              <w14:lumMod w14:val="60000"/>
              <w14:lumOff w14:val="40000"/>
            </w14:schemeClr>
          </w14:solidFill>
        </w14:textFill>
      </w:rPr>
      <w:tcPr>
        <w:tcBorders>
          <w:top w:val="nil"/>
          <w:left w:val="single" w:color="8064A2" w:themeColor="accent4" w:sz="4" w:space="0"/>
          <w:bottom w:val="nil"/>
          <w:right w:val="nil"/>
        </w:tcBorders>
        <w:shd w:val="clear" w:color="FFFFFF" w:fill="auto"/>
      </w:tcPr>
    </w:tblStylePr>
    <w:tblStylePr w:type="band1Vert">
      <w:tcPr>
        <w:shd w:val="clear" w:color="DFD8E7" w:fill="DFD8E7" w:themeFill="accent4" w:themeFillTint="40"/>
      </w:tcPr>
    </w:tblStyle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style>
  <w:style w:type="table" w:customStyle="1" w:styleId="322">
    <w:name w:val="List Table 7 Colorful - Accent 5"/>
    <w:basedOn w:val="47"/>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i/>
        <w:color w:val="93CDDD" w:themeColor="accent5" w:themeTint="99"/>
        <w:sz w:val="22"/>
        <w14:textFill>
          <w14:solidFill>
            <w14:schemeClr w14:val="accent5">
              <w14:lumMod w14:val="60000"/>
              <w14:lumOff w14:val="40000"/>
            </w14:schemeClr>
          </w14:solidFill>
        </w14:textFill>
      </w:rPr>
      <w:tcPr>
        <w:tcBorders>
          <w:top w:val="nil"/>
          <w:left w:val="nil"/>
          <w:bottom w:val="single" w:color="4BACC6" w:themeColor="accent5" w:sz="4" w:space="0"/>
          <w:right w:val="nil"/>
        </w:tcBorders>
        <w:shd w:val="clear" w:color="FFFFFF" w:fill="FFFFFF" w:themeFill="light1"/>
      </w:tcPr>
    </w:tblStylePr>
    <w:tblStylePr w:type="lastRow">
      <w:rPr>
        <w:i/>
        <w:color w:val="93CDDD" w:themeColor="accent5" w:themeTint="99"/>
        <w:sz w:val="22"/>
        <w14:textFill>
          <w14:solidFill>
            <w14:schemeClr w14:val="accent5">
              <w14:lumMod w14:val="60000"/>
              <w14:lumOff w14:val="40000"/>
            </w14:schemeClr>
          </w14:solidFill>
        </w14:textFill>
      </w:rPr>
      <w:tcPr>
        <w:tcBorders>
          <w:top w:val="single" w:color="4BACC6" w:themeColor="accent5" w:sz="4" w:space="0"/>
          <w:left w:val="nil"/>
          <w:bottom w:val="nil"/>
          <w:right w:val="nil"/>
        </w:tcBorders>
        <w:shd w:val="clear" w:color="FFFFFF" w:fill="FFFFFF" w:themeFill="light1"/>
      </w:tcPr>
    </w:tblStylePr>
    <w:tblStylePr w:type="firstCol">
      <w:pPr>
        <w:jc w:val="right"/>
      </w:pPr>
      <w:rPr>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4BACC6" w:themeColor="accent5" w:sz="4" w:space="0"/>
        </w:tcBorders>
        <w:shd w:val="clear" w:color="FFFFFF" w:fill="auto"/>
      </w:tcPr>
    </w:tblStylePr>
    <w:tblStylePr w:type="lastCol">
      <w:rPr>
        <w:i/>
        <w:color w:val="93CDDD" w:themeColor="accent5" w:themeTint="99"/>
        <w:sz w:val="22"/>
        <w14:textFill>
          <w14:solidFill>
            <w14:schemeClr w14:val="accent5">
              <w14:lumMod w14:val="60000"/>
              <w14:lumOff w14:val="40000"/>
            </w14:schemeClr>
          </w14:solidFill>
        </w14:textFill>
      </w:rPr>
      <w:tcPr>
        <w:tcBorders>
          <w:top w:val="nil"/>
          <w:left w:val="single" w:color="4BACC6" w:themeColor="accent5" w:sz="4" w:space="0"/>
          <w:bottom w:val="nil"/>
          <w:right w:val="nil"/>
        </w:tcBorders>
        <w:shd w:val="clear" w:color="FFFFFF" w:fill="auto"/>
      </w:tcPr>
    </w:tblStylePr>
    <w:tblStylePr w:type="band1Vert">
      <w:tcPr>
        <w:shd w:val="clear" w:color="D1EAF0" w:fill="D1EAF0" w:themeFill="accent5" w:themeFillTint="40"/>
      </w:tcPr>
    </w:tblStyle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style>
  <w:style w:type="table" w:customStyle="1" w:styleId="323">
    <w:name w:val="List Table 7 Colorful - Accent 6"/>
    <w:basedOn w:val="47"/>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i/>
        <w:color w:val="FAC090" w:themeColor="accent6" w:themeTint="99"/>
        <w:sz w:val="22"/>
        <w14:textFill>
          <w14:solidFill>
            <w14:schemeClr w14:val="accent6">
              <w14:lumMod w14:val="60000"/>
              <w14:lumOff w14:val="40000"/>
            </w14:schemeClr>
          </w14:solidFill>
        </w14:textFill>
      </w:rPr>
      <w:tcPr>
        <w:tcBorders>
          <w:top w:val="nil"/>
          <w:left w:val="nil"/>
          <w:bottom w:val="single" w:color="F79646" w:themeColor="accent6" w:sz="4" w:space="0"/>
          <w:right w:val="nil"/>
        </w:tcBorders>
        <w:shd w:val="clear" w:color="FFFFFF" w:fill="FFFFFF" w:themeFill="light1"/>
      </w:tcPr>
    </w:tblStylePr>
    <w:tblStylePr w:type="lastRow">
      <w:rPr>
        <w:i/>
        <w:color w:val="FAC090" w:themeColor="accent6" w:themeTint="99"/>
        <w:sz w:val="22"/>
        <w14:textFill>
          <w14:solidFill>
            <w14:schemeClr w14:val="accent6">
              <w14:lumMod w14:val="60000"/>
              <w14:lumOff w14:val="40000"/>
            </w14:schemeClr>
          </w14:solidFill>
        </w14:textFill>
      </w:rPr>
      <w:tcPr>
        <w:tcBorders>
          <w:top w:val="single" w:color="F79646" w:themeColor="accent6" w:sz="4" w:space="0"/>
          <w:left w:val="nil"/>
          <w:bottom w:val="nil"/>
          <w:right w:val="nil"/>
        </w:tcBorders>
        <w:shd w:val="clear" w:color="FFFFFF" w:fill="FFFFFF" w:themeFill="light1"/>
      </w:tcPr>
    </w:tblStylePr>
    <w:tblStylePr w:type="firstCol">
      <w:pPr>
        <w:jc w:val="right"/>
      </w:pPr>
      <w:rPr>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79646" w:themeColor="accent6" w:sz="4" w:space="0"/>
        </w:tcBorders>
        <w:shd w:val="clear" w:color="FFFFFF" w:fill="auto"/>
      </w:tcPr>
    </w:tblStylePr>
    <w:tblStylePr w:type="lastCol">
      <w:rPr>
        <w:i/>
        <w:color w:val="FAC090" w:themeColor="accent6" w:themeTint="99"/>
        <w:sz w:val="22"/>
        <w14:textFill>
          <w14:solidFill>
            <w14:schemeClr w14:val="accent6">
              <w14:lumMod w14:val="60000"/>
              <w14:lumOff w14:val="40000"/>
            </w14:schemeClr>
          </w14:solidFill>
        </w14:textFill>
      </w:rPr>
      <w:tcPr>
        <w:tcBorders>
          <w:top w:val="nil"/>
          <w:left w:val="single" w:color="F79646" w:themeColor="accent6" w:sz="4" w:space="0"/>
          <w:bottom w:val="nil"/>
          <w:right w:val="nil"/>
        </w:tcBorders>
        <w:shd w:val="clear" w:color="FFFFFF" w:fill="auto"/>
      </w:tcPr>
    </w:tblStylePr>
    <w:tblStylePr w:type="band1Vert">
      <w:tcPr>
        <w:shd w:val="clear" w:color="FDE4D0" w:fill="FCE4D0" w:themeFill="accent6" w:themeFillTint="40"/>
      </w:tcPr>
    </w:tblStylePr>
    <w:tblStylePr w:type="band1Horz">
      <w:rPr>
        <w:color w:val="FAC090" w:themeColor="accent6" w:themeTint="99"/>
        <w:sz w:val="22"/>
        <w14:textFill>
          <w14:solidFill>
            <w14:schemeClr w14:val="accent6">
              <w14:lumMod w14:val="60000"/>
              <w14:lumOff w14:val="40000"/>
            </w14:schemeClr>
          </w14:solidFill>
        </w14:textFill>
      </w:rPr>
      <w:tcPr>
        <w:shd w:val="clear" w:color="FD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style>
  <w:style w:type="table" w:customStyle="1" w:styleId="324">
    <w:name w:val="Lined - Accent"/>
    <w:basedOn w:val="47"/>
    <w:qFormat/>
    <w:uiPriority w:val="99"/>
    <w:rPr>
      <w:color w:val="404040"/>
    </w:rPr>
    <w:tblPr>
      <w:tblCellMar>
        <w:top w:w="0" w:type="dxa"/>
        <w:left w:w="108" w:type="dxa"/>
        <w:bottom w:w="0" w:type="dxa"/>
        <w:right w:w="108" w:type="dxa"/>
      </w:tblCellMar>
    </w:tblPr>
    <w:tblStylePr w:type="firstRow">
      <w:rPr>
        <w:color w:val="F2F2F2"/>
        <w:sz w:val="22"/>
      </w:rPr>
      <w:tcPr>
        <w:shd w:val="clear" w:color="7F7F7F" w:fill="7E7E7E" w:themeFill="text1" w:themeFillTint="80"/>
      </w:tcPr>
    </w:tblStylePr>
    <w:tblStylePr w:type="lastRow">
      <w:rPr>
        <w:color w:val="F2F2F2"/>
        <w:sz w:val="22"/>
      </w:rPr>
      <w:tcPr>
        <w:shd w:val="clear" w:color="7F7F7F" w:fill="7E7E7E" w:themeFill="text1" w:themeFillTint="80"/>
      </w:tcPr>
    </w:tblStylePr>
    <w:tblStylePr w:type="firstCol">
      <w:rPr>
        <w:color w:val="F2F2F2"/>
        <w:sz w:val="22"/>
      </w:rPr>
      <w:tcPr>
        <w:shd w:val="clear" w:color="7F7F7F" w:fill="7E7E7E" w:themeFill="text1" w:themeFillTint="80"/>
      </w:tcPr>
    </w:tblStylePr>
    <w:tblStylePr w:type="lastCol">
      <w:rPr>
        <w:color w:val="F2F2F2"/>
        <w:sz w:val="22"/>
      </w:rPr>
      <w:tcPr>
        <w:shd w:val="clear" w:color="7F7F7F" w:fill="7E7E7E" w:themeFill="text1" w:themeFillTint="80"/>
      </w:tcPr>
    </w:tblStylePr>
    <w:tblStylePr w:type="band1Vert">
      <w:rPr>
        <w:color w:val="404040"/>
        <w:sz w:val="22"/>
      </w:rPr>
    </w:tblStylePr>
    <w:tblStylePr w:type="band2Vert">
      <w:rPr>
        <w:color w:val="404040"/>
        <w:sz w:val="22"/>
      </w:rPr>
      <w:tcPr>
        <w:shd w:val="clear" w:color="F2F2F2" w:fill="F1F1F1" w:themeFill="text1" w:themeFillTint="0D"/>
      </w:tcPr>
    </w:tblStylePr>
    <w:tblStylePr w:type="band1Horz">
      <w:rPr>
        <w:color w:val="404040"/>
        <w:sz w:val="22"/>
      </w:rPr>
    </w:tblStylePr>
    <w:tblStylePr w:type="band2Horz">
      <w:rPr>
        <w:color w:val="404040"/>
        <w:sz w:val="22"/>
      </w:rPr>
      <w:tcPr>
        <w:shd w:val="clear" w:color="F2F2F2" w:fill="F1F1F1" w:themeFill="text1" w:themeFillTint="0D"/>
      </w:tcPr>
    </w:tblStylePr>
  </w:style>
  <w:style w:type="table" w:customStyle="1" w:styleId="325">
    <w:name w:val="Lined - Accent 1"/>
    <w:basedOn w:val="47"/>
    <w:qFormat/>
    <w:uiPriority w:val="99"/>
    <w:rPr>
      <w:color w:val="404040"/>
    </w:rPr>
    <w:tblPr>
      <w:tblCellMar>
        <w:top w:w="0" w:type="dxa"/>
        <w:left w:w="108" w:type="dxa"/>
        <w:bottom w:w="0" w:type="dxa"/>
        <w:right w:w="108" w:type="dxa"/>
      </w:tblCellMar>
    </w:tblPr>
    <w:tblStylePr w:type="firstRow">
      <w:rPr>
        <w:color w:val="F2F2F2"/>
        <w:sz w:val="22"/>
      </w:rPr>
      <w:tcPr>
        <w:shd w:val="clear" w:color="5D8AC2" w:fill="5D8BC2" w:themeFill="accent1" w:themeFillTint="EA"/>
      </w:tcPr>
    </w:tblStylePr>
    <w:tblStylePr w:type="lastRow">
      <w:rPr>
        <w:color w:val="F2F2F2"/>
        <w:sz w:val="22"/>
      </w:rPr>
      <w:tcPr>
        <w:shd w:val="clear" w:color="5D8AC2" w:fill="5D8BC2" w:themeFill="accent1" w:themeFillTint="EA"/>
      </w:tcPr>
    </w:tblStylePr>
    <w:tblStylePr w:type="firstCol">
      <w:rPr>
        <w:color w:val="F2F2F2"/>
        <w:sz w:val="22"/>
      </w:rPr>
      <w:tcPr>
        <w:shd w:val="clear" w:color="5D8AC2" w:fill="5D8BC2" w:themeFill="accent1" w:themeFillTint="EA"/>
      </w:tcPr>
    </w:tblStylePr>
    <w:tblStylePr w:type="lastCol">
      <w:rPr>
        <w:color w:val="F2F2F2"/>
        <w:sz w:val="22"/>
      </w:rPr>
      <w:tcPr>
        <w:shd w:val="clear" w:color="5D8AC2" w:fill="5D8BC2" w:themeFill="accent1" w:themeFillTint="EA"/>
      </w:tcPr>
    </w:tblStylePr>
    <w:tblStylePr w:type="band1Vert">
      <w:rPr>
        <w:color w:val="404040"/>
        <w:sz w:val="22"/>
      </w:rPr>
    </w:tblStylePr>
    <w:tblStylePr w:type="band2Vert">
      <w:rPr>
        <w:color w:val="404040"/>
        <w:sz w:val="22"/>
      </w:rPr>
      <w:tcPr>
        <w:shd w:val="clear" w:color="C7D7EA" w:fill="C7D7EA" w:themeFill="accent1" w:themeFillTint="50"/>
      </w:tcPr>
    </w:tblStylePr>
    <w:tblStylePr w:type="band1Horz">
      <w:rPr>
        <w:color w:val="404040"/>
        <w:sz w:val="22"/>
      </w:rPr>
    </w:tblStylePr>
    <w:tblStylePr w:type="band2Horz">
      <w:rPr>
        <w:color w:val="404040"/>
        <w:sz w:val="22"/>
      </w:rPr>
      <w:tcPr>
        <w:shd w:val="clear" w:color="C7D7EA" w:fill="C7D7EA" w:themeFill="accent1" w:themeFillTint="50"/>
      </w:tcPr>
    </w:tblStylePr>
  </w:style>
  <w:style w:type="table" w:customStyle="1" w:styleId="326">
    <w:name w:val="Lined - Accent 2"/>
    <w:basedOn w:val="47"/>
    <w:qFormat/>
    <w:uiPriority w:val="99"/>
    <w:rPr>
      <w:color w:val="404040"/>
    </w:rPr>
    <w:tblPr>
      <w:tblCellMar>
        <w:top w:w="0" w:type="dxa"/>
        <w:left w:w="108" w:type="dxa"/>
        <w:bottom w:w="0" w:type="dxa"/>
        <w:right w:w="108" w:type="dxa"/>
      </w:tblCellMar>
    </w:tblPr>
    <w:tblStylePr w:type="firstRow">
      <w:rPr>
        <w:color w:val="F2F2F2"/>
        <w:sz w:val="22"/>
      </w:rPr>
      <w:tcPr>
        <w:shd w:val="clear" w:color="D99695" w:fill="D99795" w:themeFill="accent2" w:themeFillTint="97"/>
      </w:tcPr>
    </w:tblStylePr>
    <w:tblStylePr w:type="lastRow">
      <w:rPr>
        <w:color w:val="F2F2F2"/>
        <w:sz w:val="22"/>
      </w:rPr>
      <w:tcPr>
        <w:shd w:val="clear" w:color="D99695" w:fill="D99795" w:themeFill="accent2" w:themeFillTint="97"/>
      </w:tcPr>
    </w:tblStylePr>
    <w:tblStylePr w:type="firstCol">
      <w:rPr>
        <w:color w:val="F2F2F2"/>
        <w:sz w:val="22"/>
      </w:rPr>
      <w:tcPr>
        <w:shd w:val="clear" w:color="D99695" w:fill="D99795" w:themeFill="accent2" w:themeFillTint="97"/>
      </w:tcPr>
    </w:tblStylePr>
    <w:tblStylePr w:type="lastCol">
      <w:rPr>
        <w:color w:val="F2F2F2"/>
        <w:sz w:val="22"/>
      </w:rPr>
      <w:tcPr>
        <w:shd w:val="clear" w:color="D99695" w:fill="D99795" w:themeFill="accent2" w:themeFillTint="97"/>
      </w:tcPr>
    </w:tblStylePr>
    <w:tblStylePr w:type="band1Vert">
      <w:rPr>
        <w:color w:val="404040"/>
        <w:sz w:val="22"/>
      </w:rPr>
    </w:tblStylePr>
    <w:tblStylePr w:type="band2Vert">
      <w:rPr>
        <w:color w:val="404040"/>
        <w:sz w:val="22"/>
      </w:rPr>
      <w:tcPr>
        <w:shd w:val="clear" w:color="F2DCDC" w:fill="F2DCDC" w:themeFill="accent2" w:themeFillTint="32"/>
      </w:tcPr>
    </w:tblStylePr>
    <w:tblStylePr w:type="band1Horz">
      <w:rPr>
        <w:color w:val="404040"/>
        <w:sz w:val="22"/>
      </w:rPr>
    </w:tblStylePr>
    <w:tblStylePr w:type="band2Horz">
      <w:rPr>
        <w:color w:val="404040"/>
        <w:sz w:val="22"/>
      </w:rPr>
      <w:tcPr>
        <w:shd w:val="clear" w:color="F2DCDC" w:fill="F2DCDC" w:themeFill="accent2" w:themeFillTint="32"/>
      </w:tcPr>
    </w:tblStylePr>
  </w:style>
  <w:style w:type="table" w:customStyle="1" w:styleId="327">
    <w:name w:val="Lined - Accent 3"/>
    <w:basedOn w:val="47"/>
    <w:qFormat/>
    <w:uiPriority w:val="99"/>
    <w:rPr>
      <w:color w:val="404040"/>
    </w:rPr>
    <w:tblPr>
      <w:tblCellMar>
        <w:top w:w="0" w:type="dxa"/>
        <w:left w:w="108" w:type="dxa"/>
        <w:bottom w:w="0" w:type="dxa"/>
        <w:right w:w="108" w:type="dxa"/>
      </w:tblCellMar>
    </w:tblPr>
    <w:tblStylePr w:type="firstRow">
      <w:rPr>
        <w:color w:val="F2F2F2"/>
        <w:sz w:val="22"/>
      </w:rPr>
      <w:tcPr>
        <w:shd w:val="clear" w:color="9ABB59" w:fill="9BBB59" w:themeFill="accent3" w:themeFillTint="FE"/>
      </w:tcPr>
    </w:tblStylePr>
    <w:tblStylePr w:type="lastRow">
      <w:rPr>
        <w:color w:val="F2F2F2"/>
        <w:sz w:val="22"/>
      </w:rPr>
      <w:tcPr>
        <w:shd w:val="clear" w:color="9ABB59" w:fill="9BBB59" w:themeFill="accent3" w:themeFillTint="FE"/>
      </w:tcPr>
    </w:tblStylePr>
    <w:tblStylePr w:type="firstCol">
      <w:rPr>
        <w:color w:val="F2F2F2"/>
        <w:sz w:val="22"/>
      </w:rPr>
      <w:tcPr>
        <w:shd w:val="clear" w:color="9ABB59" w:fill="9BBB59" w:themeFill="accent3" w:themeFillTint="FE"/>
      </w:tcPr>
    </w:tblStylePr>
    <w:tblStylePr w:type="lastCol">
      <w:rPr>
        <w:color w:val="F2F2F2"/>
        <w:sz w:val="22"/>
      </w:rPr>
      <w:tcPr>
        <w:shd w:val="clear" w:color="9ABB59" w:fill="9BBB59" w:themeFill="accent3" w:themeFillTint="FE"/>
      </w:tcPr>
    </w:tblStylePr>
    <w:tblStylePr w:type="band1Vert">
      <w:rPr>
        <w:color w:val="404040"/>
        <w:sz w:val="22"/>
      </w:rPr>
    </w:tblStylePr>
    <w:tblStylePr w:type="band2Vert">
      <w:rPr>
        <w:color w:val="404040"/>
        <w:sz w:val="22"/>
      </w:rPr>
      <w:tcPr>
        <w:shd w:val="clear" w:color="EAF1DC" w:fill="EAF1DD" w:themeFill="accent3" w:themeFillTint="34"/>
      </w:tcPr>
    </w:tblStylePr>
    <w:tblStylePr w:type="band1Horz">
      <w:rPr>
        <w:color w:val="404040"/>
        <w:sz w:val="22"/>
      </w:rPr>
    </w:tblStylePr>
    <w:tblStylePr w:type="band2Horz">
      <w:rPr>
        <w:color w:val="404040"/>
        <w:sz w:val="22"/>
      </w:rPr>
      <w:tcPr>
        <w:shd w:val="clear" w:color="EAF1DC" w:fill="EAF1DD" w:themeFill="accent3" w:themeFillTint="34"/>
      </w:tcPr>
    </w:tblStylePr>
  </w:style>
  <w:style w:type="table" w:customStyle="1" w:styleId="328">
    <w:name w:val="Lined - Accent 4"/>
    <w:qFormat/>
    <w:uiPriority w:val="99"/>
    <w:rPr>
      <w:color w:val="404040"/>
    </w:rPr>
    <w:tblPr>
      <w:tblCellMar>
        <w:top w:w="0" w:type="dxa"/>
        <w:left w:w="108" w:type="dxa"/>
        <w:bottom w:w="0" w:type="dxa"/>
        <w:right w:w="108" w:type="dxa"/>
      </w:tblCellMar>
    </w:tblPr>
    <w:tblStylePr w:type="firstRow">
      <w:rPr>
        <w:color w:val="F2F2F2"/>
        <w:sz w:val="22"/>
      </w:rPr>
      <w:tcPr>
        <w:shd w:val="clear" w:color="B2A1C6" w:fill="B2A1C6" w:themeFill="accent4" w:themeFillTint="9A"/>
      </w:tcPr>
    </w:tblStylePr>
    <w:tblStylePr w:type="lastRow">
      <w:rPr>
        <w:color w:val="F2F2F2"/>
        <w:sz w:val="22"/>
      </w:rPr>
      <w:tcPr>
        <w:shd w:val="clear" w:color="B2A1C6" w:fill="B2A1C6" w:themeFill="accent4" w:themeFillTint="9A"/>
      </w:tcPr>
    </w:tblStylePr>
    <w:tblStylePr w:type="firstCol">
      <w:rPr>
        <w:color w:val="F2F2F2"/>
        <w:sz w:val="22"/>
      </w:rPr>
      <w:tcPr>
        <w:shd w:val="clear" w:color="B2A1C6" w:fill="B2A1C6" w:themeFill="accent4" w:themeFillTint="9A"/>
      </w:tcPr>
    </w:tblStylePr>
    <w:tblStylePr w:type="lastCol">
      <w:rPr>
        <w:color w:val="F2F2F2"/>
        <w:sz w:val="22"/>
      </w:rPr>
      <w:tcPr>
        <w:shd w:val="clear" w:color="B2A1C6" w:fill="B2A1C6" w:themeFill="accent4" w:themeFillTint="9A"/>
      </w:tcPr>
    </w:tblStylePr>
    <w:tblStylePr w:type="band1Vert">
      <w:rPr>
        <w:color w:val="404040"/>
        <w:sz w:val="22"/>
      </w:rPr>
    </w:tblStylePr>
    <w:tblStylePr w:type="band2Vert">
      <w:rPr>
        <w:color w:val="404040"/>
        <w:sz w:val="22"/>
      </w:rPr>
      <w:tcPr>
        <w:shd w:val="clear" w:color="E5DFEC" w:fill="E5DFEC" w:themeFill="accent4" w:themeFillTint="34"/>
      </w:tcPr>
    </w:tblStylePr>
    <w:tblStylePr w:type="band1Horz">
      <w:rPr>
        <w:color w:val="404040"/>
        <w:sz w:val="22"/>
      </w:rPr>
    </w:tblStylePr>
    <w:tblStylePr w:type="band2Horz">
      <w:rPr>
        <w:color w:val="404040"/>
        <w:sz w:val="22"/>
      </w:rPr>
      <w:tcPr>
        <w:shd w:val="clear" w:color="E5DFEC" w:fill="E5DFEC" w:themeFill="accent4" w:themeFillTint="34"/>
      </w:tcPr>
    </w:tblStylePr>
  </w:style>
  <w:style w:type="table" w:customStyle="1" w:styleId="329">
    <w:name w:val="Lined - Accent 5"/>
    <w:basedOn w:val="47"/>
    <w:qFormat/>
    <w:uiPriority w:val="99"/>
    <w:rPr>
      <w:color w:val="404040"/>
    </w:rPr>
    <w:tblPr>
      <w:tblCellMar>
        <w:top w:w="0" w:type="dxa"/>
        <w:left w:w="108" w:type="dxa"/>
        <w:bottom w:w="0" w:type="dxa"/>
        <w:right w:w="108" w:type="dxa"/>
      </w:tblCellMar>
    </w:tblPr>
    <w:tblStylePr w:type="firstRow">
      <w:rPr>
        <w:color w:val="F2F2F2"/>
        <w:sz w:val="22"/>
      </w:rPr>
      <w:tcPr>
        <w:shd w:val="clear" w:color="4BACC6" w:fill="4BACC6" w:themeFill="accent5"/>
      </w:tcPr>
    </w:tblStylePr>
    <w:tblStylePr w:type="lastRow">
      <w:rPr>
        <w:color w:val="F2F2F2"/>
        <w:sz w:val="22"/>
      </w:rPr>
      <w:tcPr>
        <w:shd w:val="clear" w:color="4BACC6" w:fill="4BACC6" w:themeFill="accent5"/>
      </w:tcPr>
    </w:tblStylePr>
    <w:tblStylePr w:type="firstCol">
      <w:rPr>
        <w:color w:val="F2F2F2"/>
        <w:sz w:val="22"/>
      </w:rPr>
      <w:tcPr>
        <w:shd w:val="clear" w:color="4BACC6" w:fill="4BACC6" w:themeFill="accent5"/>
      </w:tcPr>
    </w:tblStylePr>
    <w:tblStylePr w:type="lastCol">
      <w:rPr>
        <w:color w:val="F2F2F2"/>
        <w:sz w:val="22"/>
      </w:rPr>
      <w:tcPr>
        <w:shd w:val="clear" w:color="4BACC6" w:fill="4BACC6" w:themeFill="accent5"/>
      </w:tcPr>
    </w:tblStylePr>
    <w:tblStylePr w:type="band1Vert">
      <w:rPr>
        <w:color w:val="404040"/>
        <w:sz w:val="22"/>
      </w:rPr>
    </w:tblStylePr>
    <w:tblStylePr w:type="band2Vert">
      <w:rPr>
        <w:color w:val="404040"/>
        <w:sz w:val="22"/>
      </w:rPr>
      <w:tcPr>
        <w:shd w:val="clear" w:color="DAEEF3" w:fill="DAEEF3" w:themeFill="accent5" w:themeFillTint="34"/>
      </w:tcPr>
    </w:tblStylePr>
    <w:tblStylePr w:type="band1Horz">
      <w:rPr>
        <w:color w:val="404040"/>
        <w:sz w:val="22"/>
      </w:rPr>
    </w:tblStylePr>
    <w:tblStylePr w:type="band2Horz">
      <w:rPr>
        <w:color w:val="404040"/>
        <w:sz w:val="22"/>
      </w:rPr>
      <w:tcPr>
        <w:shd w:val="clear" w:color="DAEEF3" w:fill="DAEEF3" w:themeFill="accent5" w:themeFillTint="34"/>
      </w:tcPr>
    </w:tblStylePr>
  </w:style>
  <w:style w:type="table" w:customStyle="1" w:styleId="330">
    <w:name w:val="Lined - Accent 6"/>
    <w:basedOn w:val="47"/>
    <w:qFormat/>
    <w:uiPriority w:val="99"/>
    <w:rPr>
      <w:color w:val="404040"/>
    </w:rPr>
    <w:tblPr>
      <w:tblCellMar>
        <w:top w:w="0" w:type="dxa"/>
        <w:left w:w="108" w:type="dxa"/>
        <w:bottom w:w="0" w:type="dxa"/>
        <w:right w:w="108" w:type="dxa"/>
      </w:tblCellMar>
    </w:tblPr>
    <w:tblStylePr w:type="firstRow">
      <w:rPr>
        <w:color w:val="F2F2F2"/>
        <w:sz w:val="22"/>
      </w:rPr>
      <w:tcPr>
        <w:shd w:val="clear" w:color="F79646" w:fill="F79646" w:themeFill="accent6"/>
      </w:tcPr>
    </w:tblStylePr>
    <w:tblStylePr w:type="lastRow">
      <w:rPr>
        <w:color w:val="F2F2F2"/>
        <w:sz w:val="22"/>
      </w:rPr>
      <w:tcPr>
        <w:shd w:val="clear" w:color="F79646" w:fill="F79646" w:themeFill="accent6"/>
      </w:tcPr>
    </w:tblStylePr>
    <w:tblStylePr w:type="firstCol">
      <w:rPr>
        <w:color w:val="F2F2F2"/>
        <w:sz w:val="22"/>
      </w:rPr>
      <w:tcPr>
        <w:shd w:val="clear" w:color="F79646" w:fill="F79646" w:themeFill="accent6"/>
      </w:tcPr>
    </w:tblStylePr>
    <w:tblStylePr w:type="lastCol">
      <w:rPr>
        <w:color w:val="F2F2F2"/>
        <w:sz w:val="22"/>
      </w:rPr>
      <w:tcPr>
        <w:shd w:val="clear" w:color="F79646" w:fill="F79646" w:themeFill="accent6"/>
      </w:tcPr>
    </w:tblStylePr>
    <w:tblStylePr w:type="band1Vert">
      <w:rPr>
        <w:color w:val="404040"/>
        <w:sz w:val="22"/>
      </w:rPr>
    </w:tblStylePr>
    <w:tblStylePr w:type="band2Vert">
      <w:rPr>
        <w:color w:val="404040"/>
        <w:sz w:val="22"/>
      </w:rPr>
      <w:tcPr>
        <w:shd w:val="clear" w:color="FDE9D8" w:fill="FDE9D9" w:themeFill="accent6" w:themeFillTint="34"/>
      </w:tcPr>
    </w:tblStylePr>
    <w:tblStylePr w:type="band1Horz">
      <w:rPr>
        <w:color w:val="404040"/>
        <w:sz w:val="22"/>
      </w:rPr>
    </w:tblStylePr>
    <w:tblStylePr w:type="band2Horz">
      <w:rPr>
        <w:color w:val="404040"/>
        <w:sz w:val="22"/>
      </w:rPr>
      <w:tcPr>
        <w:shd w:val="clear" w:color="FDE9D8" w:fill="FDE9D9" w:themeFill="accent6" w:themeFillTint="34"/>
      </w:tcPr>
    </w:tblStylePr>
  </w:style>
  <w:style w:type="table" w:customStyle="1" w:styleId="331">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color w:val="F2F2F2"/>
        <w:sz w:val="22"/>
      </w:rPr>
      <w:tcPr>
        <w:shd w:val="clear" w:color="7F7F7F" w:fill="7E7E7E" w:themeFill="text1" w:themeFillTint="80"/>
      </w:tcPr>
    </w:tblStylePr>
    <w:tblStylePr w:type="lastRow">
      <w:rPr>
        <w:color w:val="F2F2F2"/>
        <w:sz w:val="22"/>
      </w:rPr>
      <w:tcPr>
        <w:shd w:val="clear" w:color="7F7F7F" w:fill="7E7E7E" w:themeFill="text1" w:themeFillTint="80"/>
      </w:tcPr>
    </w:tblStylePr>
    <w:tblStylePr w:type="firstCol">
      <w:rPr>
        <w:color w:val="F2F2F2"/>
        <w:sz w:val="22"/>
      </w:rPr>
      <w:tcPr>
        <w:shd w:val="clear" w:color="7F7F7F" w:fill="7E7E7E" w:themeFill="text1" w:themeFillTint="80"/>
      </w:tcPr>
    </w:tblStylePr>
    <w:tblStylePr w:type="lastCol">
      <w:rPr>
        <w:color w:val="F2F2F2"/>
        <w:sz w:val="22"/>
      </w:rPr>
      <w:tcPr>
        <w:shd w:val="clear" w:color="7F7F7F" w:fill="7E7E7E" w:themeFill="text1" w:themeFillTint="80"/>
      </w:tcPr>
    </w:tblStylePr>
    <w:tblStylePr w:type="band1Vert">
      <w:rPr>
        <w:color w:val="404040"/>
        <w:sz w:val="22"/>
      </w:rPr>
    </w:tblStylePr>
    <w:tblStylePr w:type="band2Vert">
      <w:rPr>
        <w:color w:val="404040"/>
        <w:sz w:val="22"/>
      </w:rPr>
      <w:tcPr>
        <w:shd w:val="clear" w:color="F2F2F2" w:fill="F1F1F1" w:themeFill="text1" w:themeFillTint="0D"/>
      </w:tcPr>
    </w:tblStylePr>
    <w:tblStylePr w:type="band1Horz">
      <w:rPr>
        <w:color w:val="404040"/>
        <w:sz w:val="22"/>
      </w:rPr>
    </w:tblStylePr>
    <w:tblStylePr w:type="band2Horz">
      <w:rPr>
        <w:color w:val="404040"/>
        <w:sz w:val="22"/>
      </w:rPr>
      <w:tcPr>
        <w:shd w:val="clear" w:color="F2F2F2" w:fill="F1F1F1" w:themeFill="text1" w:themeFillTint="0D"/>
      </w:tcPr>
    </w:tblStylePr>
  </w:style>
  <w:style w:type="table" w:customStyle="1" w:styleId="332">
    <w:name w:val="Bordered &amp; Lined - Accent 1"/>
    <w:basedOn w:val="47"/>
    <w:qFormat/>
    <w:uiPriority w:val="99"/>
    <w:rPr>
      <w:color w:val="404040"/>
    </w:rPr>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CellMar>
        <w:top w:w="0" w:type="dxa"/>
        <w:left w:w="108" w:type="dxa"/>
        <w:bottom w:w="0" w:type="dxa"/>
        <w:right w:w="108" w:type="dxa"/>
      </w:tblCellMar>
    </w:tblPr>
    <w:tblStylePr w:type="firstRow">
      <w:rPr>
        <w:color w:val="F2F2F2"/>
        <w:sz w:val="22"/>
      </w:rPr>
      <w:tcPr>
        <w:shd w:val="clear" w:color="5D8AC2" w:fill="5D8BC2" w:themeFill="accent1" w:themeFillTint="EA"/>
      </w:tcPr>
    </w:tblStylePr>
    <w:tblStylePr w:type="lastRow">
      <w:rPr>
        <w:color w:val="F2F2F2"/>
        <w:sz w:val="22"/>
      </w:rPr>
      <w:tcPr>
        <w:shd w:val="clear" w:color="5D8AC2" w:fill="5D8BC2" w:themeFill="accent1" w:themeFillTint="EA"/>
      </w:tcPr>
    </w:tblStylePr>
    <w:tblStylePr w:type="firstCol">
      <w:rPr>
        <w:color w:val="F2F2F2"/>
        <w:sz w:val="22"/>
      </w:rPr>
      <w:tcPr>
        <w:shd w:val="clear" w:color="5D8AC2" w:fill="5D8BC2" w:themeFill="accent1" w:themeFillTint="EA"/>
      </w:tcPr>
    </w:tblStylePr>
    <w:tblStylePr w:type="lastCol">
      <w:rPr>
        <w:color w:val="F2F2F2"/>
        <w:sz w:val="22"/>
      </w:rPr>
      <w:tcPr>
        <w:shd w:val="clear" w:color="5D8AC2" w:fill="5D8BC2" w:themeFill="accent1" w:themeFillTint="EA"/>
      </w:tcPr>
    </w:tblStylePr>
    <w:tblStylePr w:type="band1Vert">
      <w:rPr>
        <w:color w:val="404040"/>
        <w:sz w:val="22"/>
      </w:rPr>
    </w:tblStylePr>
    <w:tblStylePr w:type="band2Vert">
      <w:rPr>
        <w:color w:val="404040"/>
        <w:sz w:val="22"/>
      </w:rPr>
      <w:tcPr>
        <w:shd w:val="clear" w:color="C7D7EA" w:fill="C7D7EA" w:themeFill="accent1" w:themeFillTint="50"/>
      </w:tcPr>
    </w:tblStylePr>
    <w:tblStylePr w:type="band1Horz">
      <w:rPr>
        <w:color w:val="404040"/>
        <w:sz w:val="22"/>
      </w:rPr>
    </w:tblStylePr>
    <w:tblStylePr w:type="band2Horz">
      <w:rPr>
        <w:color w:val="404040"/>
        <w:sz w:val="22"/>
      </w:rPr>
      <w:tcPr>
        <w:shd w:val="clear" w:color="C7D7EA" w:fill="C7D7EA" w:themeFill="accent1" w:themeFillTint="50"/>
      </w:tcPr>
    </w:tblStylePr>
  </w:style>
  <w:style w:type="table" w:customStyle="1" w:styleId="333">
    <w:name w:val="Bordered &amp; Lined - Accent 2"/>
    <w:basedOn w:val="47"/>
    <w:qFormat/>
    <w:uiPriority w:val="99"/>
    <w:rPr>
      <w:color w:val="404040"/>
    </w:rPr>
    <w:tblPr>
      <w:tblBorders>
        <w:top w:val="single" w:color="C0504D" w:themeColor="accent2" w:sz="4" w:space="0"/>
        <w:left w:val="single" w:color="C0504D" w:themeColor="accent2" w:sz="4" w:space="0"/>
        <w:bottom w:val="single" w:color="C0504D" w:themeColor="accent2" w:sz="4" w:space="0"/>
        <w:right w:val="single" w:color="C0504D" w:themeColor="accent2" w:sz="4" w:space="0"/>
        <w:insideH w:val="single" w:color="C0504D" w:themeColor="accent2" w:sz="4" w:space="0"/>
        <w:insideV w:val="single" w:color="C0504D" w:themeColor="accent2" w:sz="4" w:space="0"/>
      </w:tblBorders>
      <w:tblCellMar>
        <w:top w:w="0" w:type="dxa"/>
        <w:left w:w="108" w:type="dxa"/>
        <w:bottom w:w="0" w:type="dxa"/>
        <w:right w:w="108" w:type="dxa"/>
      </w:tblCellMar>
    </w:tblPr>
    <w:tblStylePr w:type="firstRow">
      <w:rPr>
        <w:color w:val="F2F2F2"/>
        <w:sz w:val="22"/>
      </w:rPr>
      <w:tcPr>
        <w:shd w:val="clear" w:color="D99695" w:fill="D99795" w:themeFill="accent2" w:themeFillTint="97"/>
      </w:tcPr>
    </w:tblStylePr>
    <w:tblStylePr w:type="lastRow">
      <w:rPr>
        <w:color w:val="F2F2F2"/>
        <w:sz w:val="22"/>
      </w:rPr>
      <w:tcPr>
        <w:shd w:val="clear" w:color="D99695" w:fill="D99795" w:themeFill="accent2" w:themeFillTint="97"/>
      </w:tcPr>
    </w:tblStylePr>
    <w:tblStylePr w:type="firstCol">
      <w:rPr>
        <w:color w:val="F2F2F2"/>
        <w:sz w:val="22"/>
      </w:rPr>
      <w:tcPr>
        <w:shd w:val="clear" w:color="D99695" w:fill="D99795" w:themeFill="accent2" w:themeFillTint="97"/>
      </w:tcPr>
    </w:tblStylePr>
    <w:tblStylePr w:type="lastCol">
      <w:rPr>
        <w:color w:val="F2F2F2"/>
        <w:sz w:val="22"/>
      </w:rPr>
      <w:tcPr>
        <w:shd w:val="clear" w:color="D99695" w:fill="D99795" w:themeFill="accent2" w:themeFillTint="97"/>
      </w:tcPr>
    </w:tblStylePr>
    <w:tblStylePr w:type="band1Vert">
      <w:rPr>
        <w:color w:val="404040"/>
        <w:sz w:val="22"/>
      </w:rPr>
    </w:tblStylePr>
    <w:tblStylePr w:type="band2Vert">
      <w:rPr>
        <w:color w:val="404040"/>
        <w:sz w:val="22"/>
      </w:rPr>
      <w:tcPr>
        <w:shd w:val="clear" w:color="F2DCDC" w:fill="F2DCDC" w:themeFill="accent2" w:themeFillTint="32"/>
      </w:tcPr>
    </w:tblStylePr>
    <w:tblStylePr w:type="band1Horz">
      <w:rPr>
        <w:color w:val="404040"/>
        <w:sz w:val="22"/>
      </w:rPr>
    </w:tblStylePr>
    <w:tblStylePr w:type="band2Horz">
      <w:rPr>
        <w:color w:val="404040"/>
        <w:sz w:val="22"/>
      </w:rPr>
      <w:tcPr>
        <w:shd w:val="clear" w:color="F2DCDC" w:fill="F2DCDC" w:themeFill="accent2" w:themeFillTint="32"/>
      </w:tcPr>
    </w:tblStylePr>
  </w:style>
  <w:style w:type="table" w:customStyle="1" w:styleId="334">
    <w:name w:val="Bordered &amp; Lined - Accent 3"/>
    <w:basedOn w:val="47"/>
    <w:qFormat/>
    <w:uiPriority w:val="99"/>
    <w:rPr>
      <w:color w:val="404040"/>
    </w:rPr>
    <w:tblPr>
      <w:tblBorders>
        <w:top w:val="single" w:color="9BBB59" w:themeColor="accent3" w:sz="4" w:space="0"/>
        <w:left w:val="single" w:color="9BBB59" w:themeColor="accent3" w:sz="4" w:space="0"/>
        <w:bottom w:val="single" w:color="9BBB59" w:themeColor="accent3" w:sz="4" w:space="0"/>
        <w:right w:val="single" w:color="9BBB59" w:themeColor="accent3" w:sz="4" w:space="0"/>
        <w:insideH w:val="single" w:color="9BBB59" w:themeColor="accent3" w:sz="4" w:space="0"/>
        <w:insideV w:val="single" w:color="9BBB59" w:themeColor="accent3" w:sz="4" w:space="0"/>
      </w:tblBorders>
      <w:tblCellMar>
        <w:top w:w="0" w:type="dxa"/>
        <w:left w:w="108" w:type="dxa"/>
        <w:bottom w:w="0" w:type="dxa"/>
        <w:right w:w="108" w:type="dxa"/>
      </w:tblCellMar>
    </w:tblPr>
    <w:tblStylePr w:type="firstRow">
      <w:rPr>
        <w:color w:val="F2F2F2"/>
        <w:sz w:val="22"/>
      </w:rPr>
      <w:tcPr>
        <w:shd w:val="clear" w:color="9ABB59" w:fill="9BBB59" w:themeFill="accent3" w:themeFillTint="FE"/>
      </w:tcPr>
    </w:tblStylePr>
    <w:tblStylePr w:type="lastRow">
      <w:rPr>
        <w:color w:val="F2F2F2"/>
        <w:sz w:val="22"/>
      </w:rPr>
      <w:tcPr>
        <w:shd w:val="clear" w:color="9ABB59" w:fill="9BBB59" w:themeFill="accent3" w:themeFillTint="FE"/>
      </w:tcPr>
    </w:tblStylePr>
    <w:tblStylePr w:type="firstCol">
      <w:rPr>
        <w:color w:val="F2F2F2"/>
        <w:sz w:val="22"/>
      </w:rPr>
      <w:tcPr>
        <w:shd w:val="clear" w:color="9ABB59" w:fill="9BBB59" w:themeFill="accent3" w:themeFillTint="FE"/>
      </w:tcPr>
    </w:tblStylePr>
    <w:tblStylePr w:type="lastCol">
      <w:rPr>
        <w:color w:val="F2F2F2"/>
        <w:sz w:val="22"/>
      </w:rPr>
      <w:tcPr>
        <w:shd w:val="clear" w:color="9ABB59" w:fill="9BBB59" w:themeFill="accent3" w:themeFillTint="FE"/>
      </w:tcPr>
    </w:tblStylePr>
    <w:tblStylePr w:type="band1Vert">
      <w:rPr>
        <w:color w:val="404040"/>
        <w:sz w:val="22"/>
      </w:rPr>
    </w:tblStylePr>
    <w:tblStylePr w:type="band2Vert">
      <w:rPr>
        <w:color w:val="404040"/>
        <w:sz w:val="22"/>
      </w:rPr>
      <w:tcPr>
        <w:shd w:val="clear" w:color="EAF1DC" w:fill="EAF1DD" w:themeFill="accent3" w:themeFillTint="34"/>
      </w:tcPr>
    </w:tblStylePr>
    <w:tblStylePr w:type="band1Horz">
      <w:rPr>
        <w:color w:val="404040"/>
        <w:sz w:val="22"/>
      </w:rPr>
    </w:tblStylePr>
    <w:tblStylePr w:type="band2Horz">
      <w:rPr>
        <w:color w:val="404040"/>
        <w:sz w:val="22"/>
      </w:rPr>
      <w:tcPr>
        <w:shd w:val="clear" w:color="EAF1DC" w:fill="EAF1DD" w:themeFill="accent3" w:themeFillTint="34"/>
      </w:tcPr>
    </w:tblStylePr>
  </w:style>
  <w:style w:type="table" w:customStyle="1" w:styleId="335">
    <w:name w:val="Bordered &amp; Lined - Accent 4"/>
    <w:basedOn w:val="47"/>
    <w:qFormat/>
    <w:uiPriority w:val="99"/>
    <w:rPr>
      <w:color w:val="404040"/>
    </w:rPr>
    <w:tblPr>
      <w:tblBorders>
        <w:top w:val="single" w:color="8064A2" w:themeColor="accent4" w:sz="4" w:space="0"/>
        <w:left w:val="single" w:color="8064A2" w:themeColor="accent4" w:sz="4" w:space="0"/>
        <w:bottom w:val="single" w:color="8064A2" w:themeColor="accent4" w:sz="4" w:space="0"/>
        <w:right w:val="single" w:color="8064A2" w:themeColor="accent4" w:sz="4" w:space="0"/>
        <w:insideH w:val="single" w:color="8064A2" w:themeColor="accent4" w:sz="4" w:space="0"/>
        <w:insideV w:val="single" w:color="8064A2" w:themeColor="accent4" w:sz="4" w:space="0"/>
      </w:tblBorders>
      <w:tblCellMar>
        <w:top w:w="0" w:type="dxa"/>
        <w:left w:w="108" w:type="dxa"/>
        <w:bottom w:w="0" w:type="dxa"/>
        <w:right w:w="108" w:type="dxa"/>
      </w:tblCellMar>
    </w:tblPr>
    <w:tblStylePr w:type="firstRow">
      <w:rPr>
        <w:color w:val="F2F2F2"/>
        <w:sz w:val="22"/>
      </w:rPr>
      <w:tcPr>
        <w:shd w:val="clear" w:color="B2A1C6" w:fill="B2A1C6" w:themeFill="accent4" w:themeFillTint="9A"/>
      </w:tcPr>
    </w:tblStylePr>
    <w:tblStylePr w:type="lastRow">
      <w:rPr>
        <w:color w:val="F2F2F2"/>
        <w:sz w:val="22"/>
      </w:rPr>
      <w:tcPr>
        <w:shd w:val="clear" w:color="B2A1C6" w:fill="B2A1C6" w:themeFill="accent4" w:themeFillTint="9A"/>
      </w:tcPr>
    </w:tblStylePr>
    <w:tblStylePr w:type="firstCol">
      <w:rPr>
        <w:color w:val="F2F2F2"/>
        <w:sz w:val="22"/>
      </w:rPr>
      <w:tcPr>
        <w:shd w:val="clear" w:color="B2A1C6" w:fill="B2A1C6" w:themeFill="accent4" w:themeFillTint="9A"/>
      </w:tcPr>
    </w:tblStylePr>
    <w:tblStylePr w:type="lastCol">
      <w:rPr>
        <w:color w:val="F2F2F2"/>
        <w:sz w:val="22"/>
      </w:rPr>
      <w:tcPr>
        <w:shd w:val="clear" w:color="B2A1C6" w:fill="B2A1C6" w:themeFill="accent4" w:themeFillTint="9A"/>
      </w:tcPr>
    </w:tblStylePr>
    <w:tblStylePr w:type="band1Vert">
      <w:rPr>
        <w:color w:val="404040"/>
        <w:sz w:val="22"/>
      </w:rPr>
    </w:tblStylePr>
    <w:tblStylePr w:type="band2Vert">
      <w:rPr>
        <w:color w:val="404040"/>
        <w:sz w:val="22"/>
      </w:rPr>
      <w:tcPr>
        <w:shd w:val="clear" w:color="E5DFEC" w:fill="E5DFEC" w:themeFill="accent4" w:themeFillTint="34"/>
      </w:tcPr>
    </w:tblStylePr>
    <w:tblStylePr w:type="band1Horz">
      <w:rPr>
        <w:color w:val="404040"/>
        <w:sz w:val="22"/>
      </w:rPr>
    </w:tblStylePr>
    <w:tblStylePr w:type="band2Horz">
      <w:rPr>
        <w:color w:val="404040"/>
        <w:sz w:val="22"/>
      </w:rPr>
      <w:tcPr>
        <w:shd w:val="clear" w:color="E5DFEC" w:fill="E5DFEC" w:themeFill="accent4" w:themeFillTint="34"/>
      </w:tcPr>
    </w:tblStylePr>
  </w:style>
  <w:style w:type="table" w:customStyle="1" w:styleId="336">
    <w:name w:val="Bordered &amp; Lined - Accent 5"/>
    <w:basedOn w:val="47"/>
    <w:qFormat/>
    <w:uiPriority w:val="99"/>
    <w:rPr>
      <w:color w:val="404040"/>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color w:val="F2F2F2"/>
        <w:sz w:val="22"/>
      </w:rPr>
      <w:tcPr>
        <w:shd w:val="clear" w:color="4BACC6" w:fill="4BACC6" w:themeFill="accent5"/>
      </w:tcPr>
    </w:tblStylePr>
    <w:tblStylePr w:type="lastRow">
      <w:rPr>
        <w:color w:val="F2F2F2"/>
        <w:sz w:val="22"/>
      </w:rPr>
      <w:tcPr>
        <w:shd w:val="clear" w:color="4BACC6" w:fill="4BACC6" w:themeFill="accent5"/>
      </w:tcPr>
    </w:tblStylePr>
    <w:tblStylePr w:type="firstCol">
      <w:rPr>
        <w:color w:val="F2F2F2"/>
        <w:sz w:val="22"/>
      </w:rPr>
      <w:tcPr>
        <w:shd w:val="clear" w:color="4BACC6" w:fill="4BACC6" w:themeFill="accent5"/>
      </w:tcPr>
    </w:tblStylePr>
    <w:tblStylePr w:type="lastCol">
      <w:rPr>
        <w:color w:val="F2F2F2"/>
        <w:sz w:val="22"/>
      </w:rPr>
      <w:tcPr>
        <w:shd w:val="clear" w:color="4BACC6" w:fill="4BACC6" w:themeFill="accent5"/>
      </w:tcPr>
    </w:tblStylePr>
    <w:tblStylePr w:type="band1Vert">
      <w:rPr>
        <w:color w:val="404040"/>
        <w:sz w:val="22"/>
      </w:rPr>
    </w:tblStylePr>
    <w:tblStylePr w:type="band2Vert">
      <w:rPr>
        <w:color w:val="404040"/>
        <w:sz w:val="22"/>
      </w:rPr>
      <w:tcPr>
        <w:shd w:val="clear" w:color="DAEEF3" w:fill="DAEEF3" w:themeFill="accent5" w:themeFillTint="34"/>
      </w:tcPr>
    </w:tblStylePr>
    <w:tblStylePr w:type="band1Horz">
      <w:rPr>
        <w:color w:val="404040"/>
        <w:sz w:val="22"/>
      </w:rPr>
    </w:tblStylePr>
    <w:tblStylePr w:type="band2Horz">
      <w:rPr>
        <w:color w:val="404040"/>
        <w:sz w:val="22"/>
      </w:rPr>
      <w:tcPr>
        <w:shd w:val="clear" w:color="DAEEF3" w:fill="DAEEF3" w:themeFill="accent5" w:themeFillTint="34"/>
      </w:tcPr>
    </w:tblStylePr>
  </w:style>
  <w:style w:type="table" w:customStyle="1" w:styleId="337">
    <w:name w:val="Bordered &amp; Lined - Accent 6"/>
    <w:basedOn w:val="47"/>
    <w:qFormat/>
    <w:uiPriority w:val="99"/>
    <w:rPr>
      <w:color w:val="404040"/>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color w:val="F2F2F2"/>
        <w:sz w:val="22"/>
      </w:rPr>
      <w:tcPr>
        <w:shd w:val="clear" w:color="F79646" w:fill="F79646" w:themeFill="accent6"/>
      </w:tcPr>
    </w:tblStylePr>
    <w:tblStylePr w:type="lastRow">
      <w:rPr>
        <w:color w:val="F2F2F2"/>
        <w:sz w:val="22"/>
      </w:rPr>
      <w:tcPr>
        <w:shd w:val="clear" w:color="F79646" w:fill="F79646" w:themeFill="accent6"/>
      </w:tcPr>
    </w:tblStylePr>
    <w:tblStylePr w:type="firstCol">
      <w:rPr>
        <w:color w:val="F2F2F2"/>
        <w:sz w:val="22"/>
      </w:rPr>
      <w:tcPr>
        <w:shd w:val="clear" w:color="F79646" w:fill="F79646" w:themeFill="accent6"/>
      </w:tcPr>
    </w:tblStylePr>
    <w:tblStylePr w:type="lastCol">
      <w:rPr>
        <w:color w:val="F2F2F2"/>
        <w:sz w:val="22"/>
      </w:rPr>
      <w:tcPr>
        <w:shd w:val="clear" w:color="F79646" w:fill="F79646" w:themeFill="accent6"/>
      </w:tcPr>
    </w:tblStylePr>
    <w:tblStylePr w:type="band1Vert">
      <w:rPr>
        <w:color w:val="404040"/>
        <w:sz w:val="22"/>
      </w:rPr>
    </w:tblStylePr>
    <w:tblStylePr w:type="band2Vert">
      <w:rPr>
        <w:color w:val="404040"/>
        <w:sz w:val="22"/>
      </w:rPr>
      <w:tcPr>
        <w:shd w:val="clear" w:color="FDE9D8" w:fill="FDE9D9" w:themeFill="accent6" w:themeFillTint="34"/>
      </w:tcPr>
    </w:tblStylePr>
    <w:tblStylePr w:type="band1Horz">
      <w:rPr>
        <w:color w:val="404040"/>
        <w:sz w:val="22"/>
      </w:rPr>
    </w:tblStylePr>
    <w:tblStylePr w:type="band2Horz">
      <w:rPr>
        <w:color w:val="404040"/>
        <w:sz w:val="22"/>
      </w:rPr>
      <w:tcPr>
        <w:shd w:val="clear" w:color="FDE9D8" w:fill="FDE9D9" w:themeFill="accent6" w:themeFillTint="34"/>
      </w:tcPr>
    </w:tblStylePr>
  </w:style>
  <w:style w:type="table" w:customStyle="1" w:styleId="338">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color w:val="404040"/>
        <w:sz w:val="22"/>
      </w:rPr>
      <w:tcPr>
        <w:tcBorders>
          <w:bottom w:val="single" w:color="000000" w:themeColor="text1" w:sz="12" w:space="0"/>
        </w:tcBorders>
      </w:tcPr>
    </w:tblStylePr>
    <w:tblStylePr w:type="lastRow">
      <w:rPr>
        <w:color w:val="404040"/>
        <w:sz w:val="22"/>
      </w:rPr>
      <w:tcPr>
        <w:tcBorders>
          <w:top w:val="single" w:color="000000" w:themeColor="text1" w:sz="12" w:space="0"/>
        </w:tcBorders>
      </w:tcPr>
    </w:tblStylePr>
    <w:tblStylePr w:type="firstCol">
      <w:rPr>
        <w:color w:val="404040"/>
        <w:sz w:val="22"/>
      </w:rPr>
    </w:tblStylePr>
    <w:tblStylePr w:type="lastCol">
      <w:rPr>
        <w:color w:val="404040"/>
        <w:sz w:val="22"/>
      </w:rPr>
      <w:tcPr>
        <w:tcBorders>
          <w:left w:val="single" w:color="000000" w:themeColor="text1" w:sz="12" w:space="0"/>
        </w:tcBorders>
      </w:tcPr>
    </w:tblStyle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339">
    <w:name w:val="Bordered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color w:val="404040"/>
        <w:sz w:val="22"/>
      </w:rPr>
      <w:tcPr>
        <w:tcBorders>
          <w:bottom w:val="single" w:color="4F81BD" w:themeColor="accent1" w:sz="12" w:space="0"/>
        </w:tcBorders>
      </w:tcPr>
    </w:tblStylePr>
    <w:tblStylePr w:type="lastRow">
      <w:rPr>
        <w:color w:val="404040"/>
        <w:sz w:val="22"/>
      </w:rPr>
      <w:tcPr>
        <w:tcBorders>
          <w:top w:val="single" w:color="4F81BD" w:themeColor="accent1" w:sz="12" w:space="0"/>
        </w:tcBorders>
      </w:tcPr>
    </w:tblStylePr>
    <w:tblStylePr w:type="firstCol">
      <w:rPr>
        <w:color w:val="404040"/>
        <w:sz w:val="22"/>
      </w:rPr>
    </w:tblStylePr>
    <w:tblStylePr w:type="lastCol">
      <w:rPr>
        <w:color w:val="404040"/>
        <w:sz w:val="22"/>
      </w:rPr>
      <w:tcPr>
        <w:tcBorders>
          <w:left w:val="single" w:color="4F81BD" w:themeColor="accent1" w:sz="12" w:space="0"/>
        </w:tcBorders>
      </w:tcPr>
    </w:tblStylePr>
    <w:tblStylePr w:type="band1Horz">
      <w:rPr>
        <w:color w:val="404040"/>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340">
    <w:name w:val="Bordered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color w:val="404040"/>
        <w:sz w:val="22"/>
      </w:rPr>
      <w:tcPr>
        <w:tcBorders>
          <w:bottom w:val="single" w:color="C0504D" w:themeColor="accent2" w:sz="12" w:space="0"/>
        </w:tcBorders>
      </w:tcPr>
    </w:tblStylePr>
    <w:tblStylePr w:type="lastRow">
      <w:rPr>
        <w:color w:val="404040"/>
        <w:sz w:val="22"/>
      </w:rPr>
      <w:tcPr>
        <w:tcBorders>
          <w:top w:val="single" w:color="C0504D" w:themeColor="accent2" w:sz="12" w:space="0"/>
        </w:tcBorders>
      </w:tcPr>
    </w:tblStylePr>
    <w:tblStylePr w:type="firstCol">
      <w:rPr>
        <w:color w:val="404040"/>
        <w:sz w:val="22"/>
      </w:rPr>
    </w:tblStylePr>
    <w:tblStylePr w:type="lastCol">
      <w:rPr>
        <w:color w:val="404040"/>
        <w:sz w:val="22"/>
      </w:rPr>
      <w:tcPr>
        <w:tcBorders>
          <w:left w:val="single" w:color="C0504D" w:themeColor="accent2" w:sz="12" w:space="0"/>
        </w:tcBorders>
      </w:tcPr>
    </w:tblStylePr>
    <w:tblStylePr w:type="band1Horz">
      <w:rPr>
        <w:color w:val="404040"/>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341">
    <w:name w:val="Bordered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color w:val="404040"/>
        <w:sz w:val="22"/>
      </w:rPr>
      <w:tcPr>
        <w:tcBorders>
          <w:bottom w:val="single" w:color="9BBB59" w:themeColor="accent3" w:sz="12" w:space="0"/>
        </w:tcBorders>
      </w:tcPr>
    </w:tblStylePr>
    <w:tblStylePr w:type="lastRow">
      <w:rPr>
        <w:color w:val="404040"/>
        <w:sz w:val="22"/>
      </w:rPr>
      <w:tcPr>
        <w:tcBorders>
          <w:top w:val="single" w:color="9BBB59" w:themeColor="accent3" w:sz="12" w:space="0"/>
        </w:tcBorders>
      </w:tcPr>
    </w:tblStylePr>
    <w:tblStylePr w:type="firstCol">
      <w:rPr>
        <w:color w:val="404040"/>
        <w:sz w:val="22"/>
      </w:rPr>
    </w:tblStylePr>
    <w:tblStylePr w:type="lastCol">
      <w:rPr>
        <w:color w:val="404040"/>
        <w:sz w:val="22"/>
      </w:rPr>
      <w:tcPr>
        <w:tcBorders>
          <w:left w:val="single" w:color="9BBB59" w:themeColor="accent3" w:sz="12" w:space="0"/>
        </w:tcBorders>
      </w:tcPr>
    </w:tblStylePr>
    <w:tblStylePr w:type="band1Horz">
      <w:rPr>
        <w:color w:val="404040"/>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342">
    <w:name w:val="Bordered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color w:val="404040"/>
        <w:sz w:val="22"/>
      </w:rPr>
      <w:tcPr>
        <w:tcBorders>
          <w:bottom w:val="single" w:color="8064A2" w:themeColor="accent4" w:sz="12" w:space="0"/>
        </w:tcBorders>
      </w:tcPr>
    </w:tblStylePr>
    <w:tblStylePr w:type="lastRow">
      <w:rPr>
        <w:color w:val="404040"/>
        <w:sz w:val="22"/>
      </w:rPr>
      <w:tcPr>
        <w:tcBorders>
          <w:top w:val="single" w:color="8064A2" w:themeColor="accent4" w:sz="12" w:space="0"/>
        </w:tcBorders>
      </w:tcPr>
    </w:tblStylePr>
    <w:tblStylePr w:type="firstCol">
      <w:rPr>
        <w:color w:val="404040"/>
        <w:sz w:val="22"/>
      </w:rPr>
    </w:tblStylePr>
    <w:tblStylePr w:type="lastCol">
      <w:rPr>
        <w:color w:val="404040"/>
        <w:sz w:val="22"/>
      </w:rPr>
      <w:tcPr>
        <w:tcBorders>
          <w:left w:val="single" w:color="8064A2" w:themeColor="accent4" w:sz="12" w:space="0"/>
        </w:tcBorders>
      </w:tcPr>
    </w:tblStylePr>
    <w:tblStylePr w:type="band1Horz">
      <w:rPr>
        <w:color w:val="404040"/>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343">
    <w:name w:val="Bordered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color w:val="404040"/>
        <w:sz w:val="22"/>
      </w:rPr>
      <w:tcPr>
        <w:tcBorders>
          <w:bottom w:val="single" w:color="4BACC6" w:themeColor="accent5" w:sz="12" w:space="0"/>
        </w:tcBorders>
      </w:tcPr>
    </w:tblStylePr>
    <w:tblStylePr w:type="lastRow">
      <w:rPr>
        <w:color w:val="404040"/>
        <w:sz w:val="22"/>
      </w:rPr>
      <w:tcPr>
        <w:tcBorders>
          <w:top w:val="single" w:color="4BACC6" w:themeColor="accent5" w:sz="12" w:space="0"/>
        </w:tcBorders>
      </w:tcPr>
    </w:tblStylePr>
    <w:tblStylePr w:type="firstCol">
      <w:rPr>
        <w:color w:val="404040"/>
        <w:sz w:val="22"/>
      </w:rPr>
    </w:tblStylePr>
    <w:tblStylePr w:type="lastCol">
      <w:rPr>
        <w:color w:val="404040"/>
        <w:sz w:val="22"/>
      </w:rPr>
      <w:tcPr>
        <w:tcBorders>
          <w:left w:val="single" w:color="4BACC6" w:themeColor="accent5" w:sz="12" w:space="0"/>
        </w:tcBorders>
      </w:tcPr>
    </w:tblStylePr>
    <w:tblStylePr w:type="band1Horz">
      <w:rPr>
        <w:color w:val="404040"/>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344">
    <w:name w:val="Bordered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color w:val="404040"/>
        <w:sz w:val="22"/>
      </w:rPr>
      <w:tcPr>
        <w:tcBorders>
          <w:bottom w:val="single" w:color="F79646" w:themeColor="accent6" w:sz="12" w:space="0"/>
        </w:tcBorders>
      </w:tcPr>
    </w:tblStylePr>
    <w:tblStylePr w:type="lastRow">
      <w:rPr>
        <w:color w:val="404040"/>
        <w:sz w:val="22"/>
      </w:rPr>
      <w:tcPr>
        <w:tcBorders>
          <w:top w:val="single" w:color="F79646" w:themeColor="accent6" w:sz="12" w:space="0"/>
        </w:tcBorders>
      </w:tcPr>
    </w:tblStylePr>
    <w:tblStylePr w:type="firstCol">
      <w:rPr>
        <w:color w:val="404040"/>
        <w:sz w:val="22"/>
      </w:rPr>
    </w:tblStylePr>
    <w:tblStylePr w:type="lastCol">
      <w:rPr>
        <w:color w:val="404040"/>
        <w:sz w:val="22"/>
      </w:rPr>
      <w:tcPr>
        <w:tcBorders>
          <w:left w:val="single" w:color="F79646" w:themeColor="accent6" w:sz="12" w:space="0"/>
        </w:tcBorders>
      </w:tcPr>
    </w:tblStylePr>
    <w:tblStylePr w:type="band1Horz">
      <w:rPr>
        <w:color w:val="404040"/>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 w:type="paragraph" w:customStyle="1" w:styleId="345">
    <w:name w:val="页眉11"/>
    <w:basedOn w:val="1"/>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346">
    <w:name w:val="索引 41"/>
    <w:basedOn w:val="1"/>
    <w:next w:val="1"/>
    <w:semiHidden/>
    <w:qFormat/>
    <w:uiPriority w:val="0"/>
    <w:pPr>
      <w:ind w:left="840" w:hanging="210"/>
      <w:jc w:val="left"/>
    </w:pPr>
    <w:rPr>
      <w:rFonts w:ascii="Times New Roman" w:hAnsi="Times New Roman"/>
      <w:sz w:val="20"/>
      <w:szCs w:val="20"/>
    </w:rPr>
  </w:style>
  <w:style w:type="paragraph" w:customStyle="1" w:styleId="347">
    <w:name w:val="引文目录标题1"/>
    <w:basedOn w:val="1"/>
    <w:next w:val="1"/>
    <w:unhideWhenUsed/>
    <w:qFormat/>
    <w:uiPriority w:val="0"/>
    <w:pPr>
      <w:spacing w:before="120"/>
    </w:pPr>
    <w:rPr>
      <w:rFonts w:ascii="Arial" w:hAnsi="Arial" w:cs="Arial"/>
    </w:rPr>
  </w:style>
  <w:style w:type="paragraph" w:customStyle="1" w:styleId="348">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49">
    <w:name w:val="纯文本11"/>
    <w:basedOn w:val="1"/>
    <w:qFormat/>
    <w:uiPriority w:val="99"/>
    <w:rPr>
      <w:rFonts w:ascii="宋体" w:hAnsi="Courier New"/>
    </w:rPr>
  </w:style>
  <w:style w:type="character" w:customStyle="1" w:styleId="350">
    <w:name w:val="强调1"/>
    <w:basedOn w:val="351"/>
    <w:link w:val="1"/>
    <w:qFormat/>
    <w:uiPriority w:val="20"/>
    <w:rPr>
      <w:rFonts w:hint="default" w:ascii="Times New Roman" w:hAnsi="Times New Roman" w:eastAsia="宋体" w:cs="Times New Roman"/>
      <w:sz w:val="21"/>
    </w:rPr>
  </w:style>
  <w:style w:type="character" w:customStyle="1" w:styleId="351">
    <w:name w:val="默认段落字体11"/>
    <w:link w:val="1"/>
    <w:semiHidden/>
    <w:qFormat/>
    <w:uiPriority w:val="0"/>
  </w:style>
  <w:style w:type="paragraph" w:customStyle="1" w:styleId="352">
    <w:name w:val="正文文本缩进 21"/>
    <w:basedOn w:val="1"/>
    <w:unhideWhenUsed/>
    <w:qFormat/>
    <w:uiPriority w:val="0"/>
    <w:pPr>
      <w:spacing w:after="120" w:line="480" w:lineRule="auto"/>
      <w:ind w:left="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4d3fbe80-a9a0-4702-a2b5-836a6ab012c9</errorID>
      <errorWord>“.</errorWord>
      <group>L1_Punc</group>
      <groupName>标点问题</groupName>
      <ability>L2_Punc_CN</ability>
      <abilityName>标点符号问题</abilityName>
      <candidateList>
        <item>“</item>
      </candidateList>
      <explain/>
      <paraID>  9374DD</paraID>
      <start>88</start>
      <end>90</end>
      <status>ignored</status>
      <modifiedWord/>
      <trackRevisions>false</trackRevisions>
    </reviewItem>
    <reviewItem>
      <errorID>f7257471-3919-40cc-a3e2-21493a20ef0e</errorID>
      <errorWord>“.</errorWord>
      <group>L1_Punc</group>
      <groupName>标点问题</groupName>
      <ability>L2_Punc_CN</ability>
      <abilityName>标点符号问题</abilityName>
      <candidateList>
        <item>“</item>
      </candidateList>
      <explain/>
      <paraID>  9374DD</paraID>
      <start>103</start>
      <end>105</end>
      <status>ignored</status>
      <modifiedWord/>
      <trackRevisions>false</trackRevisions>
    </reviewItem>
    <reviewItem>
      <errorID>71cda4bf-50a7-4c3b-b6f1-fc2e151989fa</errorID>
      <errorWord>“.</errorWord>
      <group>L1_Punc</group>
      <groupName>标点问题</groupName>
      <ability>L2_Punc_CN</ability>
      <abilityName>标点符号问题</abilityName>
      <candidateList>
        <item>“</item>
      </candidateList>
      <explain/>
      <paraID>46A9932A</paraID>
      <start>17</start>
      <end>19</end>
      <status>ignored</status>
      <modifiedWord/>
      <trackRevisions>false</trackRevisions>
    </reviewItem>
    <reviewItem>
      <errorID>8a773428-287e-4255-8d70-1c19d200706a</errorID>
      <errorWord>：</errorWord>
      <group>L1_Format</group>
      <groupName>格式问题</groupName>
      <ability>L2_HalfPunc_CN</ability>
      <abilityName>全半角问题</abilityName>
      <candidateList>
        <item>:</item>
      </candidateList>
      <explain>文本全半角错误。</explain>
      <paraID>637EB1CC</paraID>
      <start>75</start>
      <end>76</end>
      <status>modified</status>
      <modifiedWord>:</modifiedWord>
      <trackRevisions>false</trackRevisions>
    </reviewItem>
    <reviewItem>
      <errorID>4c2f4548-6369-482b-a4f4-1a089f65b954</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2C503B16</paraID>
      <start>27</start>
      <end>28</end>
      <status>ignored</status>
      <modifiedWord/>
      <trackRevisions>false</trackRevisions>
    </reviewItem>
    <reviewItem>
      <errorID>97309e82-6ecb-4568-b6e4-4d83d2ad1c16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2C503B16</paraID>
      <start>31</start>
      <end>32</end>
      <status>ignored</status>
      <modifiedWord/>
      <trackRevisions>false</trackRevisions>
    </reviewItem>
    <reviewItem>
      <errorID>6d956668-43c0-47ce-b5d9-12e2507ab46b</errorID>
      <errorWord>须</errorWord>
      <group>L1_Word</group>
      <groupName>字词问题</groupName>
      <ability>L2_Typo</ability>
      <abilityName>字词错误</abilityName>
      <candidateList>
        <item>需</item>
      </candidateList>
      <explain>存在发音相同字词的误用。</explain>
      <paraID>440E278A</paraID>
      <start>30</start>
      <end>31</end>
      <status>ignored</status>
      <modifiedWord/>
      <trackRevisions>false</trackRevisions>
    </reviewItem>
    <reviewItem>
      <errorID>86d4bcfe-b8e4-472f-a679-600c9fe6ae84</errorID>
      <errorWord>【2024】20号</errorWord>
      <group>L1_Knowledge</group>
      <groupName>知识性问题</groupName>
      <ability>L2_Knowledge</ability>
      <abilityName>其他知识</abilityName>
      <candidateList>
        <item>〔2024〕20号</item>
      </candidateList>
      <explain>发文字号格式错误。</explain>
      <paraID>39AA426D</paraID>
      <start>36</start>
      <end>45</end>
      <status>ignored</status>
      <modifiedWord/>
      <trackRevisions>false</trackRevisions>
    </reviewItem>
    <reviewItem>
      <errorID>5499cf62-9c3e-419b-a541-db154790c4f7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65FD973A</paraID>
      <start>0</start>
      <end>2</end>
      <status>unmodified</status>
      <modifiedWord/>
      <trackRevisions>false</trackRevisions>
    </reviewItem>
    <reviewItem>
      <errorID>b9c51298-399b-4279-ad3c-70408fe43c51</errorID>
      <errorWord>【2024】20号</errorWord>
      <group>L1_Knowledge</group>
      <groupName>知识性问题</groupName>
      <ability>L2_Knowledge</ability>
      <abilityName>其他知识</abilityName>
      <candidateList>
        <item>〔2024〕20号</item>
      </candidateList>
      <explain>发文字号格式错误。</explain>
      <paraID>65FD973A</paraID>
      <start>39</start>
      <end>48</end>
      <status>unmodified</status>
      <modifiedWord/>
      <trackRevisions>false</trackRevisions>
    </reviewItem>
    <reviewItem>
      <errorID>077485f8-53cf-48ea-9258-9eaef9accbc4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63E761</paraID>
      <start>0</start>
      <end>2</end>
      <status>unmodified</status>
      <modifiedWord/>
      <trackRevisions>false</trackRevisions>
    </reviewItem>
    <reviewItem>
      <errorID>250b569d-d2a9-4c8d-b8cc-9d39c69c1c3a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592E3C4B</paraID>
      <start>0</start>
      <end>2</end>
      <status>unmodified</status>
      <modifiedWord/>
      <trackRevisions>false</trackRevisions>
    </reviewItem>
    <reviewItem>
      <errorID>91568ea4-cda4-4f56-801c-219cd0173b44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525A9234</paraID>
      <start>0</start>
      <end>2</end>
      <status>unmodified</status>
      <modifiedWord/>
      <trackRevisions>false</trackRevisions>
    </reviewItem>
    <reviewItem>
      <errorID>f3425b9e-81ec-4791-9e68-b220bf67bb94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7509B972</paraID>
      <start>0</start>
      <end>2</end>
      <status>unmodified</status>
      <modifiedWord/>
      <trackRevisions>false</trackRevisions>
    </reviewItem>
    <reviewItem>
      <errorID>36a37169-bbdf-464d-980a-602e22943264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1228C0DD</paraID>
      <start>0</start>
      <end>2</end>
      <status>unmodified</status>
      <modifiedWord/>
      <trackRevisions>false</trackRevisions>
    </reviewItem>
    <reviewItem>
      <errorID>f1278b6f-196f-44d6-b9c7-33bd9ddb5f24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17B95A1A</paraID>
      <start>0</start>
      <end>2</end>
      <status>unmodified</status>
      <modifiedWord/>
      <trackRevisions>false</trackRevisions>
    </reviewItem>
    <reviewItem>
      <errorID>5b714af2-cd46-4e69-98bb-8e547f402d7b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6F18075C</paraID>
      <start>0</start>
      <end>2</end>
      <status>unmodified</status>
      <modifiedWord/>
      <trackRevisions>false</trackRevisions>
    </reviewItem>
    <reviewItem>
      <errorID>f18660bc-6a27-4a62-8c91-2cf0f89c1e1f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71F44BF</paraID>
      <start>0</start>
      <end>2</end>
      <status>unmodified</status>
      <modifiedWord/>
      <trackRevisions>false</trackRevisions>
    </reviewItem>
    <reviewItem>
      <errorID>b7c49e6d-b53c-422b-be94-9b2988fb4806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4E5F385C</paraID>
      <start>0</start>
      <end>2</end>
      <status>unmodified</status>
      <modifiedWord/>
      <trackRevisions>false</trackRevisions>
    </reviewItem>
    <reviewItem>
      <errorID>4ef2133f-cf0f-4697-8510-1bbcfeba050d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2C53814D</paraID>
      <start>0</start>
      <end>2</end>
      <status>unmodified</status>
      <modifiedWord/>
      <trackRevisions>false</trackRevisions>
    </reviewItem>
    <reviewItem>
      <errorID>833efbe3-88d2-41d0-86da-bd2ac4eb5e90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E4EAE32</paraID>
      <start>0</start>
      <end>2</end>
      <status>unmodified</status>
      <modifiedWord/>
      <trackRevisions>false</trackRevisions>
    </reviewItem>
    <reviewItem>
      <errorID>670df6c2-8e10-46a9-8bf6-b57a12c5db1b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2487A2F1</paraID>
      <start>0</start>
      <end>2</end>
      <status>unmodified</status>
      <modifiedWord/>
      <trackRevisions>false</trackRevisions>
    </reviewItem>
    <reviewItem>
      <errorID>a0335197-f5e5-443e-8ea9-7df5a07eba96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117AD6F6</paraID>
      <start>0</start>
      <end>2</end>
      <status>unmodified</status>
      <modifiedWord/>
      <trackRevisions>false</trackRevisions>
    </reviewItem>
    <reviewItem>
      <errorID>b6e55491-a7ee-408a-86f0-d8a5ba3cf82e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122FD674</paraID>
      <start>0</start>
      <end>2</end>
      <status>unmodified</status>
      <modifiedWord/>
      <trackRevisions>false</trackRevisions>
    </reviewItem>
    <reviewItem>
      <errorID>97d5ebb7-7d47-4237-9d64-9d87da00eca1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8B2281C</paraID>
      <start>0</start>
      <end>2</end>
      <status>unmodified</status>
      <modifiedWord/>
      <trackRevisions>false</trackRevisions>
    </reviewItem>
    <reviewItem>
      <errorID>b0a98a5e-61ce-45f1-80dd-6e8bb87ff264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77DE400C</paraID>
      <start>0</start>
      <end>2</end>
      <status>unmodified</status>
      <modifiedWord/>
      <trackRevisions>false</trackRevisions>
    </reviewItem>
    <reviewItem>
      <errorID>8409924a-0f32-4152-9348-d3fac23a6843</errorID>
      <errorWord>其他等</errorWord>
      <group>L1_Word</group>
      <groupName>字词问题</groupName>
      <ability>L2_Typo</ability>
      <abilityName>字词错误</abilityName>
      <candidateList>
        <item>其他</item>
      </candidateList>
      <explain/>
      <paraID>77DE400C</paraID>
      <start>104</start>
      <end>107</end>
      <status>unmodified</status>
      <modifiedWord/>
      <trackRevisions>false</trackRevisions>
    </reviewItem>
    <reviewItem>
      <errorID>a67e2fcf-4411-403d-9e23-3df37b18c100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12D849C4</paraID>
      <start>0</start>
      <end>2</end>
      <status>unmodified</status>
      <modifiedWord/>
      <trackRevisions>false</trackRevisions>
    </reviewItem>
    <reviewItem>
      <errorID>21683caa-b5b3-495c-84ef-89911138b0fb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4FCA0AE2</paraID>
      <start>0</start>
      <end>2</end>
      <status>unmodified</status>
      <modifiedWord/>
      <trackRevisions>false</trackRevisions>
    </reviewItem>
    <reviewItem>
      <errorID>b9936b10-9db8-4b38-99d5-657ac7627e33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6850DE08</paraID>
      <start>0</start>
      <end>2</end>
      <status>unmodified</status>
      <modifiedWord/>
      <trackRevisions>false</trackRevisions>
    </reviewItem>
    <reviewItem>
      <errorID>35d6945d-be73-493f-abf2-8499888a4f61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A99CB86</paraID>
      <start>0</start>
      <end>2</end>
      <status>unmodified</status>
      <modifiedWord/>
      <trackRevisions>false</trackRevisions>
    </reviewItem>
    <reviewItem>
      <errorID>81d12568-fc10-4a26-a0d2-17dc43c6da12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16E20009</paraID>
      <start>0</start>
      <end>2</end>
      <status>unmodified</status>
      <modifiedWord/>
      <trackRevisions>false</trackRevisions>
    </reviewItem>
    <reviewItem>
      <errorID>ea91826c-b7a4-479d-a81f-963eabd1262e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EA169CA</paraID>
      <start>0</start>
      <end>2</end>
      <status>unmodified</status>
      <modifiedWord/>
      <trackRevisions>false</trackRevisions>
    </reviewItem>
    <reviewItem>
      <errorID>95e64615-cfa0-4d6f-bb9b-36eca7d15360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6A314EB3</paraID>
      <start>0</start>
      <end>2</end>
      <status>unmodified</status>
      <modifiedWord/>
      <trackRevisions>false</trackRevisions>
    </reviewItem>
    <reviewItem>
      <errorID>0e72830d-12e7-499a-b633-df2d81c3e069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1CAC56D1</paraID>
      <start>0</start>
      <end>2</end>
      <status>unmodified</status>
      <modifiedWord/>
      <trackRevisions>false</trackRevisions>
    </reviewItem>
    <reviewItem>
      <errorID>8e312fdd-4e8b-457c-b4e5-18b944ad7ec9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66285954</paraID>
      <start>0</start>
      <end>2</end>
      <status>unmodified</status>
      <modifiedWord/>
      <trackRevisions>false</trackRevisions>
    </reviewItem>
    <reviewItem>
      <errorID>86c88ea0-be62-4e50-9bc1-d9fd7406d33f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302F07ED</paraID>
      <start>0</start>
      <end>2</end>
      <status>unmodified</status>
      <modifiedWord/>
      <trackRevisions>false</trackRevisions>
    </reviewItem>
    <reviewItem>
      <errorID>5e209df4-4378-4edc-940c-9040d664ac5b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2B126384</paraID>
      <start>0</start>
      <end>2</end>
      <status>unmodified</status>
      <modifiedWord/>
      <trackRevisions>false</trackRevisions>
    </reviewItem>
    <reviewItem>
      <errorID>a1095c6c-2c33-4f14-a0b1-88e300de8ed7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4DF5B79D</paraID>
      <start>0</start>
      <end>2</end>
      <status>unmodified</status>
      <modifiedWord/>
      <trackRevisions>false</trackRevisions>
    </reviewItem>
    <reviewItem>
      <errorID>c289c8bb-e1c1-460f-941e-a9af96ed0ae5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342E6879</paraID>
      <start>0</start>
      <end>3</end>
      <status>unmodified</status>
      <modifiedWord/>
      <trackRevisions>false</trackRevisions>
    </reviewItem>
    <reviewItem>
      <errorID>f4ef25ee-a3c9-4b6e-89c0-be81366e96f8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134A5C34</paraID>
      <start>0</start>
      <end>3</end>
      <status>unmodified</status>
      <modifiedWord/>
      <trackRevisions>false</trackRevisions>
    </reviewItem>
    <reviewItem>
      <errorID>9526a1f7-7803-4031-a642-2d58c39c4025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7E987735</paraID>
      <start>4</start>
      <end>6</end>
      <status>unmodified</status>
      <modifiedWord/>
      <trackRevisions>false</trackRevisions>
    </reviewItem>
    <reviewItem>
      <errorID>4bf54cac-1667-451a-8ad1-2c4eb0d4de27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BFDC3A9</paraID>
      <start>0</start>
      <end>2</end>
      <status>unmodified</status>
      <modifiedWord/>
      <trackRevisions>false</trackRevisions>
    </reviewItem>
    <reviewItem>
      <errorID>96873f58-1faf-44e2-844d-3ebee0b7ce7d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5B2FD055</paraID>
      <start>0</start>
      <end>2</end>
      <status>unmodified</status>
      <modifiedWord/>
      <trackRevisions>false</trackRevisions>
    </reviewItem>
    <reviewItem>
      <errorID>07d61631-0c57-4c80-9ccd-635427300f09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2883EFF5</paraID>
      <start>0</start>
      <end>2</end>
      <status>unmodified</status>
      <modifiedWord/>
      <trackRevisions>false</trackRevisions>
    </reviewItem>
    <reviewItem>
      <errorID>8fea23d3-3fa3-4145-aabc-51cd7e472522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D0B6AE4</paraID>
      <start>0</start>
      <end>2</end>
      <status>unmodified</status>
      <modifiedWord/>
      <trackRevisions>false</trackRevisions>
    </reviewItem>
    <reviewItem>
      <errorID>922ef94d-468b-499c-8548-eaef112dea0c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381116A9</paraID>
      <start>0</start>
      <end>2</end>
      <status>unmodified</status>
      <modifiedWord/>
      <trackRevisions>false</trackRevisions>
    </reviewItem>
    <reviewItem>
      <errorID>12a935d1-0dd8-401d-b259-84395603b19e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37ED246E</paraID>
      <start>0</start>
      <end>2</end>
      <status>unmodified</status>
      <modifiedWord/>
      <trackRevisions>false</trackRevisions>
    </reviewItem>
    <reviewItem>
      <errorID>f26e3f55-0268-4bfc-89cb-b30dbf531d4d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616921FC</paraID>
      <start>0</start>
      <end>2</end>
      <status>unmodified</status>
      <modifiedWord/>
      <trackRevisions>false</trackRevisions>
    </reviewItem>
    <reviewItem>
      <errorID>c51e11f6-b4d8-429c-9506-9c4f7f2e0e6e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7DFF5838</paraID>
      <start>0</start>
      <end>2</end>
      <status>unmodified</status>
      <modifiedWord/>
      <trackRevisions>false</trackRevisions>
    </reviewItem>
    <reviewItem>
      <errorID>4e9a42e3-90f5-4386-868c-8b3e9c04bea4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666E283E</paraID>
      <start>0</start>
      <end>2</end>
      <status>unmodified</status>
      <modifiedWord/>
      <trackRevisions>false</trackRevisions>
    </reviewItem>
    <reviewItem>
      <errorID>b6984cb9-4149-4b0f-b03a-017ddfb00c21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59EF4C74</paraID>
      <start>0</start>
      <end>2</end>
      <status>unmodified</status>
      <modifiedWord/>
      <trackRevisions>false</trackRevisions>
    </reviewItem>
    <reviewItem>
      <errorID>28f7413a-df80-4e2d-bb24-72589372bd46</errorID>
      <errorWord>，</errorWord>
      <group>L1_Word</group>
      <groupName>字词问题</groupName>
      <ability>L2_Typo</ability>
      <abilityName>字词错误</abilityName>
      <candidateList>
        <item>，并</item>
      </candidateList>
      <explain/>
      <paraID>630CAAAD</paraID>
      <start>69</start>
      <end>70</end>
      <status>unmodified</status>
      <modifiedWord/>
      <trackRevisions>false</trackRevisions>
    </reviewItem>
    <reviewItem>
      <errorID>99060659-51ff-46a3-96f8-16fb30b9ea19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3E0F736E</paraID>
      <start>0</start>
      <end>2</end>
      <status>unmodified</status>
      <modifiedWord/>
      <trackRevisions>false</trackRevisions>
    </reviewItem>
    <reviewItem>
      <errorID>e8cb53e2-70d0-4bc9-a510-46b67ca385cc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3FF09AE0</paraID>
      <start>0</start>
      <end>2</end>
      <status>unmodified</status>
      <modifiedWord/>
      <trackRevisions>false</trackRevisions>
    </reviewItem>
    <reviewItem>
      <errorID>186746f1-80fc-4326-9c45-6b978af1b98a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33E8E991</paraID>
      <start>0</start>
      <end>2</end>
      <status>unmodified</status>
      <modifiedWord/>
      <trackRevisions>false</trackRevisions>
    </reviewItem>
    <reviewItem>
      <errorID>b5facff7-a53e-4ad4-a01a-9c2a8dca6a11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44291F15</paraID>
      <start>0</start>
      <end>2</end>
      <status>unmodified</status>
      <modifiedWord/>
      <trackRevisions>false</trackRevisions>
    </reviewItem>
    <reviewItem>
      <errorID>1b15f7f4-3f03-407c-a0fa-f0fded8b3628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7003E057</paraID>
      <start>0</start>
      <end>2</end>
      <status>unmodified</status>
      <modifiedWord/>
      <trackRevisions>false</trackRevisions>
    </reviewItem>
    <reviewItem>
      <errorID>3d0044c7-d282-4f98-8e94-829ddeb6ca14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1B6EBF1</paraID>
      <start>0</start>
      <end>2</end>
      <status>unmodified</status>
      <modifiedWord/>
      <trackRevisions>false</trackRevisions>
    </reviewItem>
    <reviewItem>
      <errorID>0dc03e83-6363-4989-952b-49212de5fb52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6C0D353D</paraID>
      <start>0</start>
      <end>2</end>
      <status>unmodified</status>
      <modifiedWord/>
      <trackRevisions>false</trackRevisions>
    </reviewItem>
    <reviewItem>
      <errorID>fab434f4-5df6-4d01-8ecf-96cb077ee355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2BE179A3</paraID>
      <start>0</start>
      <end>2</end>
      <status>unmodified</status>
      <modifiedWord/>
      <trackRevisions>false</trackRevisions>
    </reviewItem>
    <reviewItem>
      <errorID>9eb5799b-4924-4711-9f8e-83b28bfea552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3136B8BB</paraID>
      <start>0</start>
      <end>2</end>
      <status>unmodified</status>
      <modifiedWord/>
      <trackRevisions>false</trackRevisions>
    </reviewItem>
    <reviewItem>
      <errorID>6474c0cd-1970-46da-97dc-bac709fb7e14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5DAC40CD</paraID>
      <start>0</start>
      <end>2</end>
      <status>unmodified</status>
      <modifiedWord/>
      <trackRevisions>false</trackRevisions>
    </reviewItem>
    <reviewItem>
      <errorID>b3c79ef4-2345-4720-bf29-01c9a949d883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499B965C</paraID>
      <start>0</start>
      <end>2</end>
      <status>unmodified</status>
      <modifiedWord/>
      <trackRevisions>false</trackRevisions>
    </reviewItem>
    <reviewItem>
      <errorID>d5571bde-aea7-4961-b65a-8676903cf874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1D0A6B80</paraID>
      <start>0</start>
      <end>2</end>
      <status>unmodified</status>
      <modifiedWord/>
      <trackRevisions>false</trackRevisions>
    </reviewItem>
    <reviewItem>
      <errorID>45eac38b-1cf6-4f69-8b54-47ee88f9ce22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78A96AFB</paraID>
      <start>0</start>
      <end>2</end>
      <status>unmodified</status>
      <modifiedWord/>
      <trackRevisions>false</trackRevisions>
    </reviewItem>
    <reviewItem>
      <errorID>d9dc1e97-53e4-463d-95fb-779898e9cd79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4D1392C8</paraID>
      <start>0</start>
      <end>2</end>
      <status>unmodified</status>
      <modifiedWord/>
      <trackRevisions>false</trackRevisions>
    </reviewItem>
    <reviewItem>
      <errorID>5fff399d-322f-4b2d-a6a0-3df1ea1b6ed0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26D92D2B</paraID>
      <start>0</start>
      <end>2</end>
      <status>unmodified</status>
      <modifiedWord/>
      <trackRevisions>false</trackRevisions>
    </reviewItem>
    <reviewItem>
      <errorID>21b99a41-6657-4b75-903d-b58474a5672a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1D58E441</paraID>
      <start>0</start>
      <end>2</end>
      <status>unmodified</status>
      <modifiedWord/>
      <trackRevisions>false</trackRevisions>
    </reviewItem>
    <reviewItem>
      <errorID>82fbae2d-96ea-4331-a020-4eee4acd5b6e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32C70C3E</paraID>
      <start>0</start>
      <end>2</end>
      <status>unmodified</status>
      <modifiedWord/>
      <trackRevisions>false</trackRevisions>
    </reviewItem>
    <reviewItem>
      <errorID>d610c104-41eb-486b-97ad-63c6e7d618cb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1D2E94D9</paraID>
      <start>0</start>
      <end>2</end>
      <status>unmodified</status>
      <modifiedWord/>
      <trackRevisions>false</trackRevisions>
    </reviewItem>
    <reviewItem>
      <errorID>c4f8842b-3aee-48b8-80fa-fa9f69be32ec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29064950</paraID>
      <start>0</start>
      <end>2</end>
      <status>unmodified</status>
      <modifiedWord/>
      <trackRevisions>false</trackRevisions>
    </reviewItem>
    <reviewItem>
      <errorID>d9de1bf2-580c-4534-9a59-f0b3a1e6c9b4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5DD1C1EF</paraID>
      <start>0</start>
      <end>2</end>
      <status>unmodified</status>
      <modifiedWord/>
      <trackRevisions>false</trackRevisions>
    </reviewItem>
    <reviewItem>
      <errorID>7c5eb22e-f921-4400-aaba-68feeedd21ca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743EA8D9</paraID>
      <start>0</start>
      <end>2</end>
      <status>unmodified</status>
      <modifiedWord/>
      <trackRevisions>false</trackRevisions>
    </reviewItem>
    <reviewItem>
      <errorID>c913d2c7-0480-408b-9f3e-b167d77a370a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4D7DC416</paraID>
      <start>0</start>
      <end>2</end>
      <status>unmodified</status>
      <modifiedWord/>
      <trackRevisions>false</trackRevisions>
    </reviewItem>
    <reviewItem>
      <errorID>410857cb-6848-41af-a386-167a78231c64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10180061</paraID>
      <start>0</start>
      <end>2</end>
      <status>unmodified</status>
      <modifiedWord/>
      <trackRevisions>false</trackRevisions>
    </reviewItem>
    <reviewItem>
      <errorID>681d2cda-32f7-444e-bc96-762c4952f31c</errorID>
      <errorWord>(</errorWord>
      <group>L1_Format</group>
      <groupName>格式问题</groupName>
      <ability>L2_HalfPunc_CN</ability>
      <abilityName>全半角问题</abilityName>
      <candidateList>
        <item>（</item>
      </candidateList>
      <explain>文本全半角错误。</explain>
      <paraID>60527DFE</paraID>
      <start>8</start>
      <end>9</end>
      <status>unmodified</status>
      <modifiedWord/>
      <trackRevisions>false</trackRevisions>
    </reviewItem>
    <reviewItem>
      <errorID>ce6c856b-b370-4a1d-b28d-4299ddf8bbc0</errorID>
      <errorWord>;</errorWord>
      <group>L1_Format</group>
      <groupName>格式问题</groupName>
      <ability>L2_HalfPunc_CN</ability>
      <abilityName>全半角问题</abilityName>
      <candidateList>
        <item>；</item>
      </candidateList>
      <explain>文本全半角错误。</explain>
      <paraID>74C9DD1F</paraID>
      <start>97</start>
      <end>98</end>
      <status>unmodified</status>
      <modifiedWord/>
      <trackRevisions>false</trackRevisions>
    </reviewItem>
    <reviewItem>
      <errorID>21e692a3-358c-43a2-a686-316e29828f69</errorID>
      <errorWord>;</errorWord>
      <group>L1_Format</group>
      <groupName>格式问题</groupName>
      <ability>L2_HalfPunc_CN</ability>
      <abilityName>全半角问题</abilityName>
      <candidateList>
        <item>；</item>
      </candidateList>
      <explain>文本全半角错误。</explain>
      <paraID>74C9DD1F</paraID>
      <start>164</start>
      <end>165</end>
      <status>unmodified</status>
      <modifiedWord/>
      <trackRevisions>false</trackRevisions>
    </reviewItem>
    <reviewItem>
      <errorID>d8b8dbf8-3457-4369-9203-67052ecb8038</errorID>
      <errorWord>.</errorWord>
      <group>L1_Format</group>
      <groupName>格式问题</groupName>
      <ability>L2_HalfPunc_CN</ability>
      <abilityName>全半角问题</abilityName>
      <candidateList>
        <item>。</item>
      </candidateList>
      <explain>文本全半角错误。</explain>
      <paraID>74C9DD1F</paraID>
      <start>239</start>
      <end>240</end>
      <status>unmodified</status>
      <modifiedWord/>
      <trackRevisions>false</trackRevisions>
    </reviewItem>
    <reviewItem>
      <errorID>7871d529-9f4c-4c36-9a2b-2161a035747c</errorID>
      <errorWord>.</errorWord>
      <group>L1_Format</group>
      <groupName>格式问题</groupName>
      <ability>L2_HalfPunc_CN</ability>
      <abilityName>全半角问题</abilityName>
      <candidateList>
        <item>。</item>
      </candidateList>
      <explain>文本全半角错误。</explain>
      <paraID>74C9DD1F</paraID>
      <start>242</start>
      <end>243</end>
      <status>unmodified</status>
      <modifiedWord/>
      <trackRevisions>false</trackRevisions>
    </reviewItem>
    <reviewItem>
      <errorID>1d1e7a45-1ce1-4325-ad8d-c93ce4d3e44c</errorID>
      <errorWord>.</errorWord>
      <group>L1_Format</group>
      <groupName>格式问题</groupName>
      <ability>L2_HalfPunc_CN</ability>
      <abilityName>全半角问题</abilityName>
      <candidateList>
        <item>。</item>
      </candidateList>
      <explain>文本全半角错误。</explain>
      <paraID>74C9DD1F</paraID>
      <start>335</start>
      <end>336</end>
      <status>unmodified</status>
      <modifiedWord/>
      <trackRevisions>false</trackRevisions>
    </reviewItem>
    <reviewItem>
      <errorID>55277c58-0482-4f34-8ef2-1e985e5b2922</errorID>
      <errorWord>;</errorWord>
      <group>L1_Format</group>
      <groupName>格式问题</groupName>
      <ability>L2_HalfPunc_CN</ability>
      <abilityName>全半角问题</abilityName>
      <candidateList>
        <item>；</item>
      </candidateList>
      <explain>文本全半角错误。</explain>
      <paraID>74C9DD1F</paraID>
      <start>359</start>
      <end>360</end>
      <status>unmodified</status>
      <modifiedWord/>
      <trackRevisions>false</trackRevisions>
    </reviewItem>
    <reviewItem>
      <errorID>2fe723bc-acf4-4b3c-a4d0-f0de485d6cfa</errorID>
      <errorWord>需具备</errorWord>
      <group>L1_Word</group>
      <groupName>字词问题</groupName>
      <ability>L2_Typo</ability>
      <abilityName>字词错误</abilityName>
      <candidateList>
        <item>须具备</item>
      </candidateList>
      <explain/>
      <paraID>74C9DD1F</paraID>
      <start>412</start>
      <end>415</end>
      <status>unmodified</status>
      <modifiedWord/>
      <trackRevisions>false</trackRevisions>
    </reviewItem>
    <reviewItem>
      <errorID>dd365636-3dd8-45e7-a5ee-56fde65de45c</errorID>
      <errorWord>.</errorWord>
      <group>L1_Format</group>
      <groupName>格式问题</groupName>
      <ability>L2_HalfPunc_CN</ability>
      <abilityName>全半角问题</abilityName>
      <candidateList>
        <item>。</item>
      </candidateList>
      <explain>文本全半角错误。</explain>
      <paraID>5228423B</paraID>
      <start>157</start>
      <end>158</end>
      <status>unmodified</status>
      <modifiedWord/>
      <trackRevisions>false</trackRevisions>
    </reviewItem>
    <reviewItem>
      <errorID>752fc5f8-1e60-46ee-9480-1f40904983dd</errorID>
      <errorWord>.</errorWord>
      <group>L1_Format</group>
      <groupName>格式问题</groupName>
      <ability>L2_HalfPunc_CN</ability>
      <abilityName>全半角问题</abilityName>
      <candidateList>
        <item>。</item>
      </candidateList>
      <explain>文本全半角错误。</explain>
      <paraID>5228423B</paraID>
      <start>162</start>
      <end>163</end>
      <status>unmodified</status>
      <modifiedWord/>
      <trackRevisions>false</trackRevisions>
    </reviewItem>
    <reviewItem>
      <errorID>e95b2e64-74b8-42e3-8106-dd159abeade0</errorID>
      <errorWord>.</errorWord>
      <group>L1_Format</group>
      <groupName>格式问题</groupName>
      <ability>L2_HalfPunc_CN</ability>
      <abilityName>全半角问题</abilityName>
      <candidateList>
        <item>。</item>
      </candidateList>
      <explain>文本全半角错误。</explain>
      <paraID>5228423B</paraID>
      <start>167</start>
      <end>168</end>
      <status>unmodified</status>
      <modifiedWord/>
      <trackRevisions>false</trackRevisions>
    </reviewItem>
    <reviewItem>
      <errorID>64645abc-c7c8-478d-8adf-cf6bff2a53dc</errorID>
      <errorWord>.</errorWord>
      <group>L1_Format</group>
      <groupName>格式问题</groupName>
      <ability>L2_HalfPunc_CN</ability>
      <abilityName>全半角问题</abilityName>
      <candidateList>
        <item>。</item>
      </candidateList>
      <explain>文本全半角错误。</explain>
      <paraID>5228423B</paraID>
      <start>174</start>
      <end>175</end>
      <status>unmodified</status>
      <modifiedWord/>
      <trackRevisions>false</trackRevisions>
    </reviewItem>
    <reviewItem>
      <errorID>1f2a7975-480d-40c1-bd6e-3e19e0af4ab6</errorID>
      <errorWord>.</errorWord>
      <group>L1_Format</group>
      <groupName>格式问题</groupName>
      <ability>L2_HalfPunc_CN</ability>
      <abilityName>全半角问题</abilityName>
      <candidateList>
        <item>。</item>
      </candidateList>
      <explain>文本全半角错误。</explain>
      <paraID>5228423B</paraID>
      <start>181</start>
      <end>182</end>
      <status>unmodified</status>
      <modifiedWord/>
      <trackRevisions>false</trackRevisions>
    </reviewItem>
    <reviewItem>
      <errorID>ee4472ce-b142-429e-8275-bd28de842b94</errorID>
      <errorWord>.</errorWord>
      <group>L1_Format</group>
      <groupName>格式问题</groupName>
      <ability>L2_HalfPunc_CN</ability>
      <abilityName>全半角问题</abilityName>
      <candidateList>
        <item>。</item>
      </candidateList>
      <explain>文本全半角错误。</explain>
      <paraID>5228423B</paraID>
      <start>188</start>
      <end>189</end>
      <status>unmodified</status>
      <modifiedWord/>
      <trackRevisions>false</trackRevisions>
    </reviewItem>
    <reviewItem>
      <errorID>5723d83b-f4a6-46d2-b3c2-81f30acfbc90</errorID>
      <errorWord>.</errorWord>
      <group>L1_Format</group>
      <groupName>格式问题</groupName>
      <ability>L2_HalfPunc_CN</ability>
      <abilityName>全半角问题</abilityName>
      <candidateList>
        <item>。</item>
      </candidateList>
      <explain>文本全半角错误。</explain>
      <paraID>5228423B</paraID>
      <start>195</start>
      <end>196</end>
      <status>unmodified</status>
      <modifiedWord/>
      <trackRevisions>false</trackRevisions>
    </reviewItem>
    <reviewItem>
      <errorID>5582c495-828d-43e0-af36-0501bfad25c0</errorID>
      <errorWord>.</errorWord>
      <group>L1_Format</group>
      <groupName>格式问题</groupName>
      <ability>L2_HalfPunc_CN</ability>
      <abilityName>全半角问题</abilityName>
      <candidateList>
        <item>。</item>
      </candidateList>
      <explain>文本全半角错误。</explain>
      <paraID>5228423B</paraID>
      <start>202</start>
      <end>203</end>
      <status>unmodified</status>
      <modifiedWord/>
      <trackRevisions>false</trackRevisions>
    </reviewItem>
    <reviewItem>
      <errorID>8a193524-28aa-44da-847f-9255d1442355</errorID>
      <errorWord>.</errorWord>
      <group>L1_Format</group>
      <groupName>格式问题</groupName>
      <ability>L2_HalfPunc_CN</ability>
      <abilityName>全半角问题</abilityName>
      <candidateList>
        <item>。</item>
      </candidateList>
      <explain>文本全半角错误。</explain>
      <paraID>5228423B</paraID>
      <start>237</start>
      <end>238</end>
      <status>unmodified</status>
      <modifiedWord/>
      <trackRevisions>false</trackRevisions>
    </reviewItem>
    <reviewItem>
      <errorID>1c52a02a-e548-423f-b23f-fda6e754d389</errorID>
      <errorWord>.</errorWord>
      <group>L1_Format</group>
      <groupName>格式问题</groupName>
      <ability>L2_HalfPunc_CN</ability>
      <abilityName>全半角问题</abilityName>
      <candidateList>
        <item>。</item>
      </candidateList>
      <explain>文本全半角错误。</explain>
      <paraID>5228423B</paraID>
      <start>242</start>
      <end>243</end>
      <status>unmodified</status>
      <modifiedWord/>
      <trackRevisions>false</trackRevisions>
    </reviewItem>
    <reviewItem>
      <errorID>3a520381-fac6-4836-b098-e51fe32889bc</errorID>
      <errorWord>.</errorWord>
      <group>L1_Format</group>
      <groupName>格式问题</groupName>
      <ability>L2_HalfPunc_CN</ability>
      <abilityName>全半角问题</abilityName>
      <candidateList>
        <item>。</item>
      </candidateList>
      <explain>文本全半角错误。</explain>
      <paraID>5228423B</paraID>
      <start>245</start>
      <end>246</end>
      <status>unmodified</status>
      <modifiedWord/>
      <trackRevisions>false</trackRevisions>
    </reviewItem>
    <reviewItem>
      <errorID>38877f89-6a9e-45cc-9264-3ced9841fe82</errorID>
      <errorWord>.</errorWord>
      <group>L1_Format</group>
      <groupName>格式问题</groupName>
      <ability>L2_HalfPunc_CN</ability>
      <abilityName>全半角问题</abilityName>
      <candidateList>
        <item>。</item>
      </candidateList>
      <explain>文本全半角错误。</explain>
      <paraID>5228423B</paraID>
      <start>249</start>
      <end>250</end>
      <status>unmodified</status>
      <modifiedWord/>
      <trackRevisions>false</trackRevisions>
    </reviewItem>
    <reviewItem>
      <errorID>ac79af5e-dfb1-4a2a-8a1b-c2d341858b7f</errorID>
      <errorWord>.</errorWord>
      <group>L1_Format</group>
      <groupName>格式问题</groupName>
      <ability>L2_HalfPunc_CN</ability>
      <abilityName>全半角问题</abilityName>
      <candidateList>
        <item>。</item>
      </candidateList>
      <explain>文本全半角错误。</explain>
      <paraID>5228423B</paraID>
      <start>254</start>
      <end>255</end>
      <status>unmodified</status>
      <modifiedWord/>
      <trackRevisions>false</trackRevisions>
    </reviewItem>
    <reviewItem>
      <errorID>1c5f7b52-2ab2-4c33-a87b-e6782b8965fc</errorID>
      <errorWord>.</errorWord>
      <group>L1_Format</group>
      <groupName>格式问题</groupName>
      <ability>L2_HalfPunc_CN</ability>
      <abilityName>全半角问题</abilityName>
      <candidateList>
        <item>。</item>
      </candidateList>
      <explain>文本全半角错误。</explain>
      <paraID>5228423B</paraID>
      <start>259</start>
      <end>260</end>
      <status>unmodified</status>
      <modifiedWord/>
      <trackRevisions>false</trackRevisions>
    </reviewItem>
    <reviewItem>
      <errorID>302d8af3-b891-4f96-8df1-583f7dcaf1a8</errorID>
      <errorWord>.</errorWord>
      <group>L1_Format</group>
      <groupName>格式问题</groupName>
      <ability>L2_HalfPunc_CN</ability>
      <abilityName>全半角问题</abilityName>
      <candidateList>
        <item>。</item>
      </candidateList>
      <explain>文本全半角错误。</explain>
      <paraID>5228423B</paraID>
      <start>264</start>
      <end>265</end>
      <status>unmodified</status>
      <modifiedWord/>
      <trackRevisions>false</trackRevisions>
    </reviewItem>
    <reviewItem>
      <errorID>fa2c2226-5c28-48fb-8056-41ac8c8792e1</errorID>
      <errorWord>.</errorWord>
      <group>L1_Format</group>
      <groupName>格式问题</groupName>
      <ability>L2_HalfPunc_CN</ability>
      <abilityName>全半角问题</abilityName>
      <candidateList>
        <item>。</item>
      </candidateList>
      <explain>文本全半角错误。</explain>
      <paraID>1DC8BDAE</paraID>
      <start>253</start>
      <end>254</end>
      <status>unmodified</status>
      <modifiedWord/>
      <trackRevisions>false</trackRevisions>
    </reviewItem>
    <reviewItem>
      <errorID>51b31ab4-aaa1-4a7c-9438-dd2b9b53cb38</errorID>
      <errorWord>.</errorWord>
      <group>L1_Format</group>
      <groupName>格式问题</groupName>
      <ability>L2_HalfPunc_CN</ability>
      <abilityName>全半角问题</abilityName>
      <candidateList>
        <item>。</item>
      </candidateList>
      <explain>文本全半角错误。</explain>
      <paraID>1DC8BDAE</paraID>
      <start>259</start>
      <end>260</end>
      <status>unmodified</status>
      <modifiedWord/>
      <trackRevisions>false</trackRevisions>
    </reviewItem>
    <reviewItem>
      <errorID>98b8c756-4728-4878-90a8-4db336f35747</errorID>
      <errorWord>.</errorWord>
      <group>L1_Format</group>
      <groupName>格式问题</groupName>
      <ability>L2_HalfPunc_CN</ability>
      <abilityName>全半角问题</abilityName>
      <candidateList>
        <item>。</item>
      </candidateList>
      <explain>文本全半角错误。</explain>
      <paraID>1DC8BDAE</paraID>
      <start>264</start>
      <end>265</end>
      <status>unmodified</status>
      <modifiedWord/>
      <trackRevisions>false</trackRevisions>
    </reviewItem>
    <reviewItem>
      <errorID>af0fbbe3-41bd-4954-a599-15cd0461f94a</errorID>
      <errorWord>.</errorWord>
      <group>L1_Format</group>
      <groupName>格式问题</groupName>
      <ability>L2_HalfPunc_CN</ability>
      <abilityName>全半角问题</abilityName>
      <candidateList>
        <item>。</item>
      </candidateList>
      <explain>文本全半角错误。</explain>
      <paraID>1DC8BDAE</paraID>
      <start>268</start>
      <end>269</end>
      <status>unmodified</status>
      <modifiedWord/>
      <trackRevisions>false</trackRevisions>
    </reviewItem>
    <reviewItem>
      <errorID>8983e601-99d1-4405-833c-12681b3c1e8b</errorID>
      <errorWord>捷</errorWord>
      <group>L1_Word</group>
      <groupName>字词问题</groupName>
      <ability>L2_Typo</ability>
      <abilityName>字词错误</abilityName>
      <candidateList>
        <item>捷地</item>
      </candidateList>
      <explain/>
      <paraID>1DC8BDAE</paraID>
      <start>321</start>
      <end>322</end>
      <status>unmodified</status>
      <modifiedWord/>
      <trackRevisions>false</trackRevisions>
    </reviewItem>
    <reviewItem>
      <errorID>80de109d-5e0a-4547-b84f-1a48017b72ef</errorID>
      <errorWord>,</errorWord>
      <group>L1_Format</group>
      <groupName>格式问题</groupName>
      <ability>L2_HalfPunc_CN</ability>
      <abilityName>全半角问题</abilityName>
      <candidateList>
        <item>，</item>
      </candidateList>
      <explain>文本全半角错误。</explain>
      <paraID>40439647</paraID>
      <start>20</start>
      <end>21</end>
      <status>unmodified</status>
      <modifiedWord/>
      <trackRevisions>false</trackRevisions>
    </reviewItem>
    <reviewItem>
      <errorID>222dedf3-fd04-473e-bb9d-f99e76355edc</errorID>
      <errorWord>噪音</errorWord>
      <group>L1_Word</group>
      <groupName>字词问题</groupName>
      <ability>L2_Alias</ability>
      <abilityName>也作/曾用词</abilityName>
      <candidateList>
        <item>噪声</item>
      </candidateList>
      <explain>词汇[噪音]为不规范表述或旧称，其规范书面表述为[噪声]。</explain>
      <paraID>17445AA7</paraID>
      <start>24</start>
      <end>26</end>
      <status>unmodified</status>
      <modifiedWord/>
      <trackRevisions>false</trackRevisions>
    </reviewItem>
    <reviewItem>
      <errorID>6212874e-9027-45be-b6f3-7db1ea8d2ac8</errorID>
      <errorWord>(</errorWord>
      <group>L1_Format</group>
      <groupName>格式问题</groupName>
      <ability>L2_HalfPunc_CN</ability>
      <abilityName>全半角问题</abilityName>
      <candidateList>
        <item>（</item>
      </candidateList>
      <explain>文本全半角错误。</explain>
      <paraID>303E6AE9</paraID>
      <start>115</start>
      <end>116</end>
      <status>unmodified</status>
      <modifiedWord/>
      <trackRevisions>false</trackRevisions>
    </reviewItem>
    <reviewItem>
      <errorID>9c4cd1ca-f3f4-40f9-918d-e5ffe784fb75</errorID>
      <errorWord>;</errorWord>
      <group>L1_Format</group>
      <groupName>格式问题</groupName>
      <ability>L2_HalfPunc_CN</ability>
      <abilityName>全半角问题</abilityName>
      <candidateList>
        <item>；</item>
      </candidateList>
      <explain>文本全半角错误。</explain>
      <paraID>6F4D149B</paraID>
      <start>8</start>
      <end>9</end>
      <status>unmodified</status>
      <modifiedWord/>
      <trackRevisions>false</trackRevisions>
    </reviewItem>
    <reviewItem>
      <errorID>3cf21ca2-679a-4027-a245-c4cb2dd645f4</errorID>
      <errorWord>.</errorWord>
      <group>L1_Format</group>
      <groupName>格式问题</groupName>
      <ability>L2_HalfPunc_CN</ability>
      <abilityName>全半角问题</abilityName>
      <candidateList>
        <item>。</item>
      </candidateList>
      <explain>文本全半角错误。</explain>
      <paraID>4D422762</paraID>
      <start>22</start>
      <end>23</end>
      <status>unmodified</status>
      <modifiedWord/>
      <trackRevisions>false</trackRevisions>
    </reviewItem>
    <reviewItem>
      <errorID>e41e074c-5986-46ea-9d08-57272446f7c9</errorID>
      <errorWord>.</errorWord>
      <group>L1_Format</group>
      <groupName>格式问题</groupName>
      <ability>L2_HalfPunc_CN</ability>
      <abilityName>全半角问题</abilityName>
      <candidateList>
        <item>。</item>
      </candidateList>
      <explain>文本全半角错误。</explain>
      <paraID>4D422762</paraID>
      <start>46</start>
      <end>47</end>
      <status>unmodified</status>
      <modifiedWord/>
      <trackRevisions>false</trackRevisions>
    </reviewItem>
    <reviewItem>
      <errorID>4199ded4-d917-4215-8dc9-c5e449e497f8</errorID>
      <errorWord>.</errorWord>
      <group>L1_Format</group>
      <groupName>格式问题</groupName>
      <ability>L2_HalfPunc_CN</ability>
      <abilityName>全半角问题</abilityName>
      <candidateList>
        <item>。</item>
      </candidateList>
      <explain>文本全半角错误。</explain>
      <paraID>4D422762</paraID>
      <start>287</start>
      <end>288</end>
      <status>unmodified</status>
      <modifiedWord/>
      <trackRevisions>false</trackRevisions>
    </reviewItem>
    <reviewItem>
      <errorID>f57b50be-22d2-4106-af4e-22d26c170b0c</errorID>
      <errorWord>.</errorWord>
      <group>L1_Format</group>
      <groupName>格式问题</groupName>
      <ability>L2_HalfPunc_CN</ability>
      <abilityName>全半角问题</abilityName>
      <candidateList>
        <item>。</item>
      </candidateList>
      <explain>文本全半角错误。</explain>
      <paraID>4D422762</paraID>
      <start>290</start>
      <end>291</end>
      <status>unmodified</status>
      <modifiedWord/>
      <trackRevisions>false</trackRevisions>
    </reviewItem>
    <reviewItem>
      <errorID>47193753-f946-492f-a4a9-5615e02ef5a1</errorID>
      <errorWord>.</errorWord>
      <group>L1_Format</group>
      <groupName>格式问题</groupName>
      <ability>L2_HalfPunc_CN</ability>
      <abilityName>全半角问题</abilityName>
      <candidateList>
        <item>。</item>
      </candidateList>
      <explain>文本全半角错误。</explain>
      <paraID>4D422762</paraID>
      <start>480</start>
      <end>481</end>
      <status>unmodified</status>
      <modifiedWord/>
      <trackRevisions>false</trackRevisions>
    </reviewItem>
    <reviewItem>
      <errorID>8eb2d35a-a4b7-43a3-87b0-69ffa4405034</errorID>
      <errorWord>.</errorWord>
      <group>L1_Format</group>
      <groupName>格式问题</groupName>
      <ability>L2_HalfPunc_CN</ability>
      <abilityName>全半角问题</abilityName>
      <candidateList>
        <item>。</item>
      </candidateList>
      <explain>文本全半角错误。</explain>
      <paraID>4D422762</paraID>
      <start>488</start>
      <end>489</end>
      <status>unmodified</status>
      <modifiedWord/>
      <trackRevisions>false</trackRevisions>
    </reviewItem>
    <reviewItem>
      <errorID>4ae654c4-0c1b-420e-9c5b-64fafece62a5</errorID>
      <errorWord>.</errorWord>
      <group>L1_Format</group>
      <groupName>格式问题</groupName>
      <ability>L2_HalfPunc_CN</ability>
      <abilityName>全半角问题</abilityName>
      <candidateList>
        <item>。</item>
      </candidateList>
      <explain>文本全半角错误。</explain>
      <paraID>4D422762</paraID>
      <start>493</start>
      <end>494</end>
      <status>unmodified</status>
      <modifiedWord/>
      <trackRevisions>false</trackRevisions>
    </reviewItem>
    <reviewItem>
      <errorID>d4c84e65-a30e-492a-b667-5b0cd52840f6</errorID>
      <errorWord>.</errorWord>
      <group>L1_Format</group>
      <groupName>格式问题</groupName>
      <ability>L2_HalfPunc_CN</ability>
      <abilityName>全半角问题</abilityName>
      <candidateList>
        <item>。</item>
      </candidateList>
      <explain>文本全半角错误。</explain>
      <paraID>31E9E2BF</paraID>
      <start>167</start>
      <end>168</end>
      <status>unmodified</status>
      <modifiedWord/>
      <trackRevisions>false</trackRevisions>
    </reviewItem>
    <reviewItem>
      <errorID>f308adcd-2a25-46df-919f-f4a5ce90313a</errorID>
      <errorWord>通</errorWord>
      <group>L1_Word</group>
      <groupName>字词问题</groupName>
      <ability>L2_Typo</ability>
      <abilityName>字词错误</abilityName>
      <candidateList>
        <item>通过</item>
      </candidateList>
      <explain/>
      <paraID>31E9E2BF</paraID>
      <start>386</start>
      <end>387</end>
      <status>unmodified</status>
      <modifiedWord/>
      <trackRevisions>false</trackRevisions>
    </reviewItem>
    <reviewItem>
      <errorID>039ba28a-21e6-4764-8210-3d1fc7412381</errorID>
      <errorWord>;</errorWord>
      <group>L1_Format</group>
      <groupName>格式问题</groupName>
      <ability>L2_HalfPunc_CN</ability>
      <abilityName>全半角问题</abilityName>
      <candidateList>
        <item>；</item>
      </candidateList>
      <explain>文本全半角错误。</explain>
      <paraID>31E9E2BF</paraID>
      <start>567</start>
      <end>568</end>
      <status>unmodified</status>
      <modifiedWord/>
      <trackRevisions>false</trackRevisions>
    </reviewItem>
    <reviewItem>
      <errorID>6073918c-66a2-4d13-90e5-581996ac8455</errorID>
      <errorWord>文作</errorWord>
      <group>L1_Word</group>
      <groupName>字词问题</groupName>
      <ability>L2_Typo</ability>
      <abilityName>字词错误</abilityName>
      <candidateList>
        <item>文件</item>
      </candidateList>
      <explain/>
      <paraID>6E9E3208</paraID>
      <start>123</start>
      <end>125</end>
      <status>unmodified</status>
      <modifiedWord/>
      <trackRevisions>false</trackRevisions>
    </reviewItem>
    <reviewItem>
      <errorID>9625bde9-b394-48f5-bb69-1226d848bff1</errorID>
      <errorWord>TypeC</errorWord>
      <group>L1_English</group>
      <groupName>英文问题</groupName>
      <ability>L2_Other_Grammar</ability>
      <abilityName>其他语法问题</abilityName>
      <candidateList>
        <item>Type-C</item>
      </candidateList>
      <explain>疑似单词/词组使用不当, 建议将TypeC修改为Type-C</explain>
      <paraID>6E9E3208</paraID>
      <start>348</start>
      <end>353</end>
      <status>unmodified</status>
      <modifiedWord/>
      <trackRevisions>false</trackRevisions>
    </reviewItem>
    <reviewItem>
      <errorID>36025832-570c-4128-a149-0009f690bdef</errorID>
      <errorWord>完</errorWord>
      <group>L1_Word</group>
      <groupName>字词问题</groupName>
      <ability>L2_Typo</ability>
      <abilityName>字词错误</abilityName>
      <candidateList>
        <item>完成</item>
      </candidateList>
      <explain/>
      <paraID>6E9E3208</paraID>
      <start>728</start>
      <end>729</end>
      <status>unmodified</status>
      <modifiedWord/>
      <trackRevisions>false</trackRevisions>
    </reviewItem>
    <reviewItem>
      <errorID>d9fc72d0-e4dc-4e75-af34-1db8fe7e5787</errorID>
      <errorWord>.</errorWord>
      <group>L1_Format</group>
      <groupName>格式问题</groupName>
      <ability>L2_HalfPunc_CN</ability>
      <abilityName>全半角问题</abilityName>
      <candidateList>
        <item>。</item>
      </candidateList>
      <explain>文本全半角错误。</explain>
      <paraID>2EB7DE5C</paraID>
      <start>54</start>
      <end>55</end>
      <status>unmodified</status>
      <modifiedWord/>
      <trackRevisions>false</trackRevisions>
    </reviewItem>
    <reviewItem>
      <errorID>bd33e73e-8150-46da-9ce9-2ce14fb00002</errorID>
      <errorWord>;</errorWord>
      <group>L1_Format</group>
      <groupName>格式问题</groupName>
      <ability>L2_HalfPunc_CN</ability>
      <abilityName>全半角问题</abilityName>
      <candidateList>
        <item>；</item>
      </candidateList>
      <explain>文本全半角错误。</explain>
      <paraID>2EB7DE5C</paraID>
      <start>89</start>
      <end>90</end>
      <status>unmodified</status>
      <modifiedWord/>
      <trackRevisions>false</trackRevisions>
    </reviewItem>
    <reviewItem>
      <errorID>0bf23930-79cf-4473-8b7d-86ac1bbc4980</errorID>
      <errorWord>.</errorWord>
      <group>L1_Format</group>
      <groupName>格式问题</groupName>
      <ability>L2_HalfPunc_CN</ability>
      <abilityName>全半角问题</abilityName>
      <candidateList>
        <item>。</item>
      </candidateList>
      <explain>文本全半角错误。</explain>
      <paraID>2EB7DE5C</paraID>
      <start>754</start>
      <end>755</end>
      <status>unmodified</status>
      <modifiedWord/>
      <trackRevisions>false</trackRevisions>
    </reviewItem>
    <reviewItem>
      <errorID>62f4993f-0f54-4b56-b6fe-8c9189677123</errorID>
      <errorWord>.</errorWord>
      <group>L1_Format</group>
      <groupName>格式问题</groupName>
      <ability>L2_HalfPunc_CN</ability>
      <abilityName>全半角问题</abilityName>
      <candidateList>
        <item>。</item>
      </candidateList>
      <explain>文本全半角错误。</explain>
      <paraID>2EB7DE5C</paraID>
      <start>758</start>
      <end>759</end>
      <status>unmodified</status>
      <modifiedWord/>
      <trackRevisions>false</trackRevisions>
    </reviewItem>
    <reviewItem>
      <errorID>7eb134c0-7ca3-4b5b-8547-1a0cb847e8cd</errorID>
      <errorWord>.</errorWord>
      <group>L1_Format</group>
      <groupName>格式问题</groupName>
      <ability>L2_HalfPunc_CN</ability>
      <abilityName>全半角问题</abilityName>
      <candidateList>
        <item>。</item>
      </candidateList>
      <explain>文本全半角错误。</explain>
      <paraID>2EB7DE5C</paraID>
      <start>764</start>
      <end>765</end>
      <status>unmodified</status>
      <modifiedWord/>
      <trackRevisions>false</trackRevisions>
    </reviewItem>
    <reviewItem>
      <errorID>5d3ae693-7765-4031-a916-b7474eb1c079</errorID>
      <errorWord>hz</errorWord>
      <group>L1_Word</group>
      <groupName>字词问题</groupName>
      <ability>L2_Typo</ability>
      <abilityName>字词错误</abilityName>
      <candidateList>
        <item>Hz</item>
      </candidateList>
      <explain/>
      <paraID>2EB7DE5C</paraID>
      <start>786</start>
      <end>788</end>
      <status>unmodified</status>
      <modifiedWord/>
      <trackRevisions>false</trackRevisions>
    </reviewItem>
    <reviewItem>
      <errorID>dd7d28ed-cd24-4a26-aa02-a5f2230b607f</errorID>
      <errorWord>hz</errorWord>
      <group>L1_Word</group>
      <groupName>字词问题</groupName>
      <ability>L2_Typo</ability>
      <abilityName>字词错误</abilityName>
      <candidateList>
        <item>Hz</item>
      </candidateList>
      <explain/>
      <paraID>2EB7DE5C</paraID>
      <start>791</start>
      <end>793</end>
      <status>unmodified</status>
      <modifiedWord/>
      <trackRevisions>false</trackRevisions>
    </reviewItem>
    <reviewItem>
      <errorID>9358de0a-5822-43cc-a016-5ffca922b13f</errorID>
      <errorWord>;</errorWord>
      <group>L1_Format</group>
      <groupName>格式问题</groupName>
      <ability>L2_HalfPunc_CN</ability>
      <abilityName>全半角问题</abilityName>
      <candidateList>
        <item>；</item>
      </candidateList>
      <explain>文本全半角错误。</explain>
      <paraID>2EB7DE5C</paraID>
      <start>932</start>
      <end>933</end>
      <status>unmodified</status>
      <modifiedWord/>
      <trackRevisions>false</trackRevisions>
    </reviewItem>
    <reviewItem>
      <errorID>0bcefbdf-e55e-4858-960c-9f23dfea0a76</errorID>
      <errorWord>.</errorWord>
      <group>L1_Format</group>
      <groupName>格式问题</groupName>
      <ability>L2_HalfPunc_CN</ability>
      <abilityName>全半角问题</abilityName>
      <candidateList>
        <item>。</item>
      </candidateList>
      <explain>文本全半角错误。</explain>
      <paraID>2EB7DE5C</paraID>
      <start>942</start>
      <end>943</end>
      <status>unmodified</status>
      <modifiedWord/>
      <trackRevisions>false</trackRevisions>
    </reviewItem>
    <reviewItem>
      <errorID>4835a431-d74f-481d-8f3f-6bd793ae22ad</errorID>
      <errorWord>,</errorWord>
      <group>L1_Format</group>
      <groupName>格式问题</groupName>
      <ability>L2_HalfPunc_CN</ability>
      <abilityName>全半角问题</abilityName>
      <candidateList>
        <item>，</item>
      </candidateList>
      <explain>文本全半角错误。</explain>
      <paraID>2EB7DE5C</paraID>
      <start>967</start>
      <end>968</end>
      <status>unmodified</status>
      <modifiedWord/>
      <trackRevisions>false</trackRevisions>
    </reviewItem>
    <reviewItem>
      <errorID>195de4d4-9e9f-46fa-ba25-2d5dfb9f698f</errorID>
      <errorWord>.</errorWord>
      <group>L1_Format</group>
      <groupName>格式问题</groupName>
      <ability>L2_HalfPunc_CN</ability>
      <abilityName>全半角问题</abilityName>
      <candidateList>
        <item>。</item>
      </candidateList>
      <explain>文本全半角错误。</explain>
      <paraID>418D653A</paraID>
      <start>17</start>
      <end>18</end>
      <status>unmodified</status>
      <modifiedWord/>
      <trackRevisions>false</trackRevisions>
    </reviewItem>
    <reviewItem>
      <errorID>626a379a-01b2-411f-baab-a69d43df82dd</errorID>
      <errorWord>.</errorWord>
      <group>L1_Format</group>
      <groupName>格式问题</groupName>
      <ability>L2_HalfPunc_CN</ability>
      <abilityName>全半角问题</abilityName>
      <candidateList>
        <item>。</item>
      </candidateList>
      <explain>文本全半角错误。</explain>
      <paraID>7946BBD7</paraID>
      <start>13</start>
      <end>14</end>
      <status>unmodified</status>
      <modifiedWord/>
      <trackRevisions>false</trackRevisions>
    </reviewItem>
    <reviewItem>
      <errorID>8818b405-212a-4e05-bdab-7e04a8cd44e3</errorID>
      <errorWord>.</errorWord>
      <group>L1_Format</group>
      <groupName>格式问题</groupName>
      <ability>L2_HalfPunc_CN</ability>
      <abilityName>全半角问题</abilityName>
      <candidateList>
        <item>。</item>
      </candidateList>
      <explain>文本全半角错误。</explain>
      <paraID>7946BBD7</paraID>
      <start>24</start>
      <end>25</end>
      <status>unmodified</status>
      <modifiedWord/>
      <trackRevisions>false</trackRevisions>
    </reviewItem>
    <reviewItem>
      <errorID>39e244f2-ce87-4566-97b0-89fde5446209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49258467</paraID>
      <start>51</start>
      <end>52</end>
      <status>unmodified</status>
      <modifiedWord/>
      <trackRevisions>false</trackRevisions>
    </reviewItem>
    <reviewItem>
      <errorID>8202bd68-c760-4bc0-9db0-79c5115c0afb</errorID>
      <errorWord>覆</errorWord>
      <group>L1_Word</group>
      <groupName>字词问题</groupName>
      <ability>L2_Typo</ability>
      <abilityName>字词错误</abilityName>
      <candidateList>
        <item>覆盖</item>
      </candidateList>
      <explain/>
      <paraID>49258467</paraID>
      <start>62</start>
      <end>63</end>
      <status>unmodified</status>
      <modifiedWord/>
      <trackRevisions>false</trackRevisions>
    </reviewItem>
    <reviewItem>
      <errorID>2c2272b9-8a37-471d-8c61-e37e72dc287a</errorID>
      <errorWord>噪音</errorWord>
      <group>L1_Word</group>
      <groupName>字词问题</groupName>
      <ability>L2_Alias</ability>
      <abilityName>也作/曾用词</abilityName>
      <candidateList>
        <item>噪声</item>
      </candidateList>
      <explain>词汇[噪音]为不规范表述或旧称，其规范书面表述为[噪声]。</explain>
      <paraID>49258467</paraID>
      <start>180</start>
      <end>182</end>
      <status>unmodified</status>
      <modifiedWord/>
      <trackRevisions>false</trackRevisions>
    </reviewItem>
    <reviewItem>
      <errorID>932052a7-b50d-4753-bf37-798cb1ceb022</errorID>
      <errorWord>:</errorWord>
      <group>L1_Format</group>
      <groupName>格式问题</groupName>
      <ability>L2_HalfPunc_CN</ability>
      <abilityName>全半角问题</abilityName>
      <candidateList>
        <item>：</item>
      </candidateList>
      <explain>文本全半角错误。</explain>
      <paraID>3D9C2EA8</paraID>
      <start>12</start>
      <end>13</end>
      <status>unmodified</status>
      <modifiedWord/>
      <trackRevisions>false</trackRevisions>
    </reviewItem>
    <reviewItem>
      <errorID>1f42dbe2-3b90-427a-be33-3a4e0277892f</errorID>
      <errorWord>:</errorWord>
      <group>L1_Format</group>
      <groupName>格式问题</groupName>
      <ability>L2_HalfPunc_CN</ability>
      <abilityName>全半角问题</abilityName>
      <candidateList>
        <item>：</item>
      </candidateList>
      <explain>文本全半角错误。</explain>
      <paraID>3D9C2EA8</paraID>
      <start>25</start>
      <end>26</end>
      <status>unmodified</status>
      <modifiedWord/>
      <trackRevisions>false</trackRevisions>
    </reviewItem>
    <reviewItem>
      <errorID>c9fc09ec-e554-4b98-bf9c-d376df913862</errorID>
      <errorWord>:</errorWord>
      <group>L1_Format</group>
      <groupName>格式问题</groupName>
      <ability>L2_HalfPunc_CN</ability>
      <abilityName>全半角问题</abilityName>
      <candidateList>
        <item>：</item>
      </candidateList>
      <explain>文本全半角错误。</explain>
      <paraID>3D9C2EA8</paraID>
      <start>44</start>
      <end>45</end>
      <status>unmodified</status>
      <modifiedWord/>
      <trackRevisions>false</trackRevisions>
    </reviewItem>
    <reviewItem>
      <errorID>c30782ba-fc1a-4c04-90c4-be340bb19ace</errorID>
      <errorWord>:</errorWord>
      <group>L1_Format</group>
      <groupName>格式问题</groupName>
      <ability>L2_HalfPunc_CN</ability>
      <abilityName>全半角问题</abilityName>
      <candidateList>
        <item>：</item>
      </candidateList>
      <explain>文本全半角错误。</explain>
      <paraID>3D9C2EA8</paraID>
      <start>54</start>
      <end>55</end>
      <status>unmodified</status>
      <modifiedWord/>
      <trackRevisions>false</trackRevisions>
    </reviewItem>
    <reviewItem>
      <errorID>bdf87114-efae-45bb-a3e9-6e4f359a5520</errorID>
      <errorWord>:</errorWord>
      <group>L1_Format</group>
      <groupName>格式问题</groupName>
      <ability>L2_HalfPunc_CN</ability>
      <abilityName>全半角问题</abilityName>
      <candidateList>
        <item>：</item>
      </candidateList>
      <explain>文本全半角错误。</explain>
      <paraID>3D9C2EA8</paraID>
      <start>65</start>
      <end>66</end>
      <status>unmodified</status>
      <modifiedWord/>
      <trackRevisions>false</trackRevisions>
    </reviewItem>
    <reviewItem>
      <errorID>7d905260-40c8-4370-8e89-a037de98e2e1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3D9C2EA8</paraID>
      <start>71</start>
      <end>72</end>
      <status>unmodified</status>
      <modifiedWord/>
      <trackRevisions>false</trackRevisions>
    </reviewItem>
    <reviewItem>
      <errorID>ec9a2737-eb5e-4aef-ae87-de5c71384686</errorID>
      <errorWord>:</errorWord>
      <group>L1_Format</group>
      <groupName>格式问题</groupName>
      <ability>L2_HalfPunc_CN</ability>
      <abilityName>全半角问题</abilityName>
      <candidateList>
        <item>：</item>
      </candidateList>
      <explain>文本全半角错误。</explain>
      <paraID>3D9C2EA8</paraID>
      <start>79</start>
      <end>80</end>
      <status>unmodified</status>
      <modifiedWord/>
      <trackRevisions>false</trackRevisions>
    </reviewItem>
    <reviewItem>
      <errorID>15140e65-85dd-4971-8dd4-2a8484a715ad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3D9C2EA8</paraID>
      <start>83</start>
      <end>84</end>
      <status>unmodified</status>
      <modifiedWord/>
      <trackRevisions>false</trackRevisions>
    </reviewItem>
    <reviewItem>
      <errorID>4320ded4-d416-4827-b7bb-c5fc7cdf31ec</errorID>
      <errorWord>HZ</errorWord>
      <group>L1_Word</group>
      <groupName>字词问题</groupName>
      <ability>L2_Typo</ability>
      <abilityName>字词错误</abilityName>
      <candidateList>
        <item>Hz</item>
      </candidateList>
      <explain/>
      <paraID>535EA593</paraID>
      <start>78</start>
      <end>80</end>
      <status>unmodified</status>
      <modifiedWord/>
      <trackRevisions>false</trackRevisions>
    </reviewItem>
    <reviewItem>
      <errorID>e87063e1-305e-47a6-8652-65f0608d5112</errorID>
      <errorWord>形</errorWord>
      <group>L1_Word</group>
      <groupName>字词问题</groupName>
      <ability>L2_Typo</ability>
      <abilityName>字词错误</abilityName>
      <candidateList>
        <item>型</item>
      </candidateList>
      <explain>存在发音相同字词的误用。</explain>
      <paraID>535EA593</paraID>
      <start>104</start>
      <end>105</end>
      <status>unmodified</status>
      <modifiedWord/>
      <trackRevisions>false</trackRevisions>
    </reviewItem>
    <reviewItem>
      <errorID>37161ffe-9f3b-4d01-8f24-f213172bbcf3</errorID>
      <errorWord>,</errorWord>
      <group>L1_Format</group>
      <groupName>格式问题</groupName>
      <ability>L2_HalfPunc_CN</ability>
      <abilityName>全半角问题</abilityName>
      <candidateList>
        <item>，</item>
      </candidateList>
      <explain>文本全半角错误。</explain>
      <paraID>535EA593</paraID>
      <start>129</start>
      <end>130</end>
      <status>unmodified</status>
      <modifiedWord/>
      <trackRevisions>false</trackRevisions>
    </reviewItem>
    <reviewItem>
      <errorID>1078e22e-181a-4073-b1cb-ac3ba2195d86</errorID>
      <errorWord>、以及</errorWord>
      <group>L1_Punc</group>
      <groupName>标点问题</groupName>
      <ability>L2_Punc_CN</ability>
      <abilityName>标点符号问题</abilityName>
      <candidateList>
        <item>，以及</item>
      </candidateList>
      <explain>连接词前后不宜使用顿号，建议使用逗号。</explain>
      <paraID>7B59BA78</paraID>
      <start>504</start>
      <end>507</end>
      <status>unmodified</status>
      <modifiedWord/>
      <trackRevisions>false</trackRevisions>
    </reviewItem>
    <reviewItem>
      <errorID>f92efe2c-2431-4f7f-a0c3-00c512246a6d</errorID>
      <errorWord>、以及</errorWord>
      <group>L1_Punc</group>
      <groupName>标点问题</groupName>
      <ability>L2_Punc_CN</ability>
      <abilityName>标点符号问题</abilityName>
      <candidateList>
        <item>，以及</item>
      </candidateList>
      <explain>连接词前后不宜使用顿号，建议使用逗号。</explain>
      <paraID>7B59BA78</paraID>
      <start>552</start>
      <end>555</end>
      <status>unmodified</status>
      <modifiedWord/>
      <trackRevisions>false</trackRevisions>
    </reviewItem>
    <reviewItem>
      <errorID>b983f0d8-8c40-4237-a20c-ea631aea28f4</errorID>
      <errorWord>.</errorWord>
      <group>L1_Format</group>
      <groupName>格式问题</groupName>
      <ability>L2_HalfPunc_CN</ability>
      <abilityName>全半角问题</abilityName>
      <candidateList>
        <item>。</item>
      </candidateList>
      <explain>文本全半角错误。</explain>
      <paraID>7B59BA78</paraID>
      <start>603</start>
      <end>604</end>
      <status>unmodified</status>
      <modifiedWord/>
      <trackRevisions>false</trackRevisions>
    </reviewItem>
    <reviewItem>
      <errorID>67af9d21-e8af-4a8e-ba2e-9ef21db7a06a</errorID>
      <errorWord>.</errorWord>
      <group>L1_Format</group>
      <groupName>格式问题</groupName>
      <ability>L2_HalfPunc_CN</ability>
      <abilityName>全半角问题</abilityName>
      <candidateList>
        <item>。</item>
      </candidateList>
      <explain>文本全半角错误。</explain>
      <paraID>7B59BA78</paraID>
      <start>608</start>
      <end>609</end>
      <status>unmodified</status>
      <modifiedWord/>
      <trackRevisions>false</trackRevisions>
    </reviewItem>
    <reviewItem>
      <errorID>4e759950-0e33-4c94-a5cf-0e52a75f5a4a</errorID>
      <errorWord>前排就坐</errorWord>
      <group>L1_Word</group>
      <groupName>字词问题</groupName>
      <ability>L2_Variant</ability>
      <abilityName>异形词</abilityName>
      <candidateList>
        <item>前排就座</item>
      </candidateList>
      <explain>词汇[前排就坐]的规范词形写作[前排就座]。</explain>
      <paraID>7B59BA78</paraID>
      <start>894</start>
      <end>898</end>
      <status>modified</status>
      <modifiedWord>前排就座</modifiedWord>
      <trackRevisions>false</trackRevisions>
    </reviewItem>
    <reviewItem>
      <errorID>16372803-11ec-4d64-ba67-985124331387</errorID>
      <errorWord>根据学校需求定制化预警看板维度显示</errorWord>
      <group>L1_Grammar</group>
      <groupName>语法问题</groupName>
      <ability>L2_Grammar</ability>
      <abilityName>语法错误</abilityName>
      <candidateList>
        <item>根据学校需求定制化预警看板维度</item>
      </candidateList>
      <explain>该表达中的“根据学校需求定制化预警看板维度显示”存在语义重复。</explain>
      <paraID>7B59BA78</paraID>
      <start>973</start>
      <end>990</end>
      <status>unmodified</status>
      <modifiedWord/>
      <trackRevisions>false</trackRevisions>
    </reviewItem>
    <reviewItem>
      <errorID>185512cb-82db-4ebb-8b98-468818b9cb58</errorID>
      <errorWord>每节课堂</errorWord>
      <group>L1_Word</group>
      <groupName>字词问题</groupName>
      <ability>L2_Typo</ability>
      <abilityName>字词错误</abilityName>
      <candidateList>
        <item>每节课</item>
      </candidateList>
      <explain/>
      <paraID>7B59BA78</paraID>
      <start>999</start>
      <end>1003</end>
      <status>unmodified</status>
      <modifiedWord/>
      <trackRevisions>false</trackRevisions>
    </reviewItem>
    <reviewItem>
      <errorID>32d55914-d850-4859-b793-e277c8af7f4f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172</start>
      <end>175</end>
      <status>unmodified</status>
      <modifiedWord/>
      <trackRevisions>false</trackRevisions>
    </reviewItem>
    <reviewItem>
      <errorID>f170d488-ce3b-4c11-873b-f70fc26ece31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181</start>
      <end>184</end>
      <status>unmodified</status>
      <modifiedWord/>
      <trackRevisions>false</trackRevisions>
    </reviewItem>
    <reviewItem>
      <errorID>60c884a1-c08c-4709-9a35-c0ae7b3afed8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190</start>
      <end>193</end>
      <status>unmodified</status>
      <modifiedWord/>
      <trackRevisions>false</trackRevisions>
    </reviewItem>
    <reviewItem>
      <errorID>7ddc13f9-664f-44af-aa1b-1c4be6ce7996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199</start>
      <end>202</end>
      <status>unmodified</status>
      <modifiedWord/>
      <trackRevisions>false</trackRevisions>
    </reviewItem>
    <reviewItem>
      <errorID>e3ab79aa-f98a-43c8-8e4c-2ac51067909b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208</start>
      <end>211</end>
      <status>unmodified</status>
      <modifiedWord/>
      <trackRevisions>false</trackRevisions>
    </reviewItem>
    <reviewItem>
      <errorID>a1658234-993d-4cfa-a3e4-b45e297bcb7c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313</start>
      <end>316</end>
      <status>unmodified</status>
      <modifiedWord/>
      <trackRevisions>false</trackRevisions>
    </reviewItem>
    <reviewItem>
      <errorID>b109690b-8c99-4236-87fc-88a442863fb1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320</start>
      <end>323</end>
      <status>unmodified</status>
      <modifiedWord/>
      <trackRevisions>false</trackRevisions>
    </reviewItem>
    <reviewItem>
      <errorID>e828c38d-b321-44ca-9726-a0efd1c607ef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327</start>
      <end>330</end>
      <status>unmodified</status>
      <modifiedWord/>
      <trackRevisions>false</trackRevisions>
    </reviewItem>
    <reviewItem>
      <errorID>abe158b2-f03b-4eaa-b4f6-57d1de979ae0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334</start>
      <end>337</end>
      <status>unmodified</status>
      <modifiedWord/>
      <trackRevisions>false</trackRevisions>
    </reviewItem>
    <reviewItem>
      <errorID>a74755a6-0380-4c65-994a-2bc79d68488c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341</start>
      <end>344</end>
      <status>unmodified</status>
      <modifiedWord/>
      <trackRevisions>false</trackRevisions>
    </reviewItem>
    <reviewItem>
      <errorID>09379d93-652f-45f2-9c76-fdcde0147969</errorID>
      <errorWord>全纪录</errorWord>
      <group>L1_Word</group>
      <groupName>字词问题</groupName>
      <ability>L2_Typo</ability>
      <abilityName>字词错误</abilityName>
      <candidateList>
        <item>全记录</item>
      </candidateList>
      <explain/>
      <paraID>2AC1A9DD</paraID>
      <start>180</start>
      <end>183</end>
      <status>unmodified</status>
      <modifiedWord/>
      <trackRevisions>false</trackRevisions>
    </reviewItem>
    <reviewItem>
      <errorID>a5d2066e-df96-4217-b375-ae917a88671e</errorID>
      <errorWord>(</errorWord>
      <group>L1_Format</group>
      <groupName>格式问题</groupName>
      <ability>L2_HalfPunc_CN</ability>
      <abilityName>全半角问题</abilityName>
      <candidateList>
        <item>（</item>
      </candidateList>
      <explain>文本全半角错误。</explain>
      <paraID>661A4A70</paraID>
      <start>23</start>
      <end>24</end>
      <status>unmodified</status>
      <modifiedWord/>
      <trackRevisions>false</trackRevisions>
    </reviewItem>
    <reviewItem>
      <errorID>846b3cc1-6cc8-4a79-a24c-6fcfd397ee1c</errorID>
      <errorWord>(</errorWord>
      <group>L1_Format</group>
      <groupName>格式问题</groupName>
      <ability>L2_HalfPunc_CN</ability>
      <abilityName>全半角问题</abilityName>
      <candidateList>
        <item>（</item>
      </candidateList>
      <explain>文本全半角错误。</explain>
      <paraID>5D72277D</paraID>
      <start>64</start>
      <end>65</end>
      <status>unmodified</status>
      <modifiedWord/>
      <trackRevisions>false</trackRevisions>
    </reviewItem>
    <reviewItem>
      <errorID>380022cb-de85-4c82-8362-510c39f5f62f</errorID>
      <errorWord>、对</errorWord>
      <group>L1_Word</group>
      <groupName>字词问题</groupName>
      <ability>L2_Typo</ability>
      <abilityName>字词错误</abilityName>
      <candidateList>
        <item>、</item>
      </candidateList>
      <explain/>
      <paraID>275BF80D</paraID>
      <start>51</start>
      <end>53</end>
      <status>unmodified</status>
      <modifiedWord/>
      <trackRevisions>false</trackRevisions>
    </reviewItem>
    <reviewItem>
      <errorID>fdd21116-d485-45ef-8a72-3963e4222231</errorID>
      <errorWord>、对</errorWord>
      <group>L1_Word</group>
      <groupName>字词问题</groupName>
      <ability>L2_Typo</ability>
      <abilityName>字词错误</abilityName>
      <candidateList>
        <item>、</item>
      </candidateList>
      <explain/>
      <paraID>28942558</paraID>
      <start>44</start>
      <end>46</end>
      <status>unmodified</status>
      <modifiedWord/>
      <trackRevisions>false</trackRevisions>
    </reviewItem>
    <reviewItem>
      <errorID>97def6fc-4b83-4ddc-b059-a435b781e3fe</errorID>
      <errorWord>(</errorWord>
      <group>L1_Format</group>
      <groupName>格式问题</groupName>
      <ability>L2_HalfPunc_CN</ability>
      <abilityName>全半角问题</abilityName>
      <candidateList>
        <item>（</item>
      </candidateList>
      <explain>文本全半角错误。</explain>
      <paraID>43752EB8</paraID>
      <start>73</start>
      <end>74</end>
      <status>unmodified</status>
      <modifiedWord/>
      <trackRevisions>false</trackRevisions>
    </reviewItem>
    <reviewItem>
      <errorID>c14be464-8c17-422f-9b38-5e3b6a0ae463</errorID>
      <errorWord>&lt;</errorWord>
      <group>L1_Format</group>
      <groupName>格式问题</groupName>
      <ability>L2_HalfPunc_CN</ability>
      <abilityName>全半角问题</abilityName>
      <candidateList>
        <item>〈</item>
      </candidateList>
      <explain>文本全半角错误。</explain>
      <paraID>7251CC4D</paraID>
      <start>48</start>
      <end>49</end>
      <status>unmodified</status>
      <modifiedWord/>
      <trackRevisions>false</trackRevisions>
    </reviewItem>
    <reviewItem>
      <errorID>04a90f77-5653-4929-96f4-191525f14ca5</errorID>
      <errorWord>&lt;</errorWord>
      <group>L1_Format</group>
      <groupName>格式问题</groupName>
      <ability>L2_HalfPunc_CN</ability>
      <abilityName>全半角问题</abilityName>
      <candidateList>
        <item>〈</item>
      </candidateList>
      <explain>文本全半角错误。</explain>
      <paraID>50038E08</paraID>
      <start>48</start>
      <end>49</end>
      <status>unmodified</status>
      <modifiedWord/>
      <trackRevisions>false</trackRevisions>
    </reviewItem>
    <reviewItem>
      <errorID>9127fec7-041e-4920-94a7-b4ba643f246c</errorID>
      <errorWord>&lt;</errorWord>
      <group>L1_Format</group>
      <groupName>格式问题</groupName>
      <ability>L2_HalfPunc_CN</ability>
      <abilityName>全半角问题</abilityName>
      <candidateList>
        <item>〈</item>
      </candidateList>
      <explain>文本全半角错误。</explain>
      <paraID>41F25B8D</paraID>
      <start>33</start>
      <end>34</end>
      <status>unmodified</status>
      <modifiedWord/>
      <trackRevisions>false</trackRevisions>
    </reviewItem>
    <reviewItem>
      <errorID>3b3e2def-679e-4980-a8a4-54d3628c96cd</errorID>
      <errorWord>，</errorWord>
      <group>L1_Word</group>
      <groupName>字词问题</groupName>
      <ability>L2_Typo</ability>
      <abilityName>字词错误</abilityName>
      <candidateList>
        <item>，并</item>
      </candidateList>
      <explain/>
      <paraID> 535BC00</paraID>
      <start>72</start>
      <end>73</end>
      <status>unmodified</status>
      <modifiedWord/>
      <trackRevisions>false</trackRevisions>
    </reviewItem>
    <reviewItem>
      <errorID>069006c9-d993-4b2e-b36a-20d4c2fa8526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7134FACF</paraID>
      <start>0</start>
      <end>2</end>
      <status>unmodified</status>
      <modifiedWord/>
      <trackRevisions>false</trackRevisions>
    </reviewItem>
    <reviewItem>
      <errorID>5fdbc818-f731-4e12-8cfd-4fe99e653813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2E4E04DA</paraID>
      <start>0</start>
      <end>2</end>
      <status>unmodified</status>
      <modifiedWord/>
      <trackRevisions>false</trackRevisions>
    </reviewItem>
    <reviewItem>
      <errorID>9438e07d-e6b0-4fa1-8b45-28afd1fa5ac8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242A85C1</paraID>
      <start>0</start>
      <end>2</end>
      <status>unmodified</status>
      <modifiedWord/>
      <trackRevisions>false</trackRevisions>
    </reviewItem>
    <reviewItem>
      <errorID>ae779e9a-8911-4afc-9ed8-21ca5046fcbb</errorID>
      <errorWord>(</errorWord>
      <group>L1_Format</group>
      <groupName>格式问题</groupName>
      <ability>L2_HalfPunc_CN</ability>
      <abilityName>全半角问题</abilityName>
      <candidateList>
        <item>（</item>
      </candidateList>
      <explain>文本全半角错误。</explain>
      <paraID>3608B848</paraID>
      <start>8</start>
      <end>9</end>
      <status>unmodified</status>
      <modifiedWord/>
      <trackRevisions>false</trackRevisions>
    </reviewItem>
    <reviewItem>
      <errorID>507d9d29-f7a0-4c86-a9e7-f979f1b205ce</errorID>
      <errorWord>………</errorWord>
      <group>L1_Punc</group>
      <groupName>标点问题</groupName>
      <ability>L2_Punc_CN</ability>
      <abilityName>标点符号问题</abilityName>
      <candidateList>
        <item>……</item>
      </candidateList>
      <explain/>
      <paraID>28A9DF66</paraID>
      <start>0</start>
      <end>3</end>
      <status>unmodified</status>
      <modifiedWord/>
      <trackRevisions>false</trackRevisions>
    </reviewItem>
    <reviewItem>
      <errorID>e149b531-a4da-4953-8875-536ab0df8291</errorID>
      <errorWord>～</errorWord>
      <group>L1_Format</group>
      <groupName>格式问题</groupName>
      <ability>L2_HalfPunc_CN</ability>
      <abilityName>全半角问题</abilityName>
      <candidateList>
        <item>~</item>
      </candidateList>
      <explain>文本全半角错误。</explain>
      <paraID> 123EE4F</paraID>
      <start>1</start>
      <end>2</end>
      <status>unmodified</status>
      <modifiedWord/>
      <trackRevisions>false</trackRevisions>
    </reviewItem>
    <reviewItem>
      <errorID>cd6916df-a09e-4fce-965a-7a56bd72d6a5</errorID>
      <errorWord>………</errorWord>
      <group>L1_Punc</group>
      <groupName>标点问题</groupName>
      <ability>L2_Punc_CN</ability>
      <abilityName>标点符号问题</abilityName>
      <candidateList>
        <item>……</item>
      </candidateList>
      <explain/>
      <paraID>6C995565</paraID>
      <start>0</start>
      <end>3</end>
      <status>unmodified</status>
      <modifiedWord/>
      <trackRevisions>false</trackRevisions>
    </reviewItem>
    <reviewItem>
      <errorID>13bf03ca-6f3a-4fc4-b819-8c74dea8288a</errorID>
      <errorWord>～</errorWord>
      <group>L1_Format</group>
      <groupName>格式问题</groupName>
      <ability>L2_HalfPunc_CN</ability>
      <abilityName>全半角问题</abilityName>
      <candidateList>
        <item>~</item>
      </candidateList>
      <explain>文本全半角错误。</explain>
      <paraID>518D1D1B</paraID>
      <start>1</start>
      <end>2</end>
      <status>unmodified</status>
      <modifiedWord/>
      <trackRevisions>false</trackRevisions>
    </reviewItem>
    <reviewItem>
      <errorID>1894a393-2d1a-4866-8755-3ac054fcc882</errorID>
      <errorWord>………</errorWord>
      <group>L1_Punc</group>
      <groupName>标点问题</groupName>
      <ability>L2_Punc_CN</ability>
      <abilityName>标点符号问题</abilityName>
      <candidateList>
        <item>……</item>
      </candidateList>
      <explain/>
      <paraID> C5E0587</paraID>
      <start>0</start>
      <end>3</end>
      <status>unmodified</status>
      <modifiedWord/>
      <trackRevisions>false</trackRevisions>
    </reviewItem>
    <reviewItem>
      <errorID>6b584841-0560-452f-9804-6bc9c1ebbae3</errorID>
      <errorWord>～</errorWord>
      <group>L1_Format</group>
      <groupName>格式问题</groupName>
      <ability>L2_HalfPunc_CN</ability>
      <abilityName>全半角问题</abilityName>
      <candidateList>
        <item>~</item>
      </candidateList>
      <explain>文本全半角错误。</explain>
      <paraID>54884268</paraID>
      <start>1</start>
      <end>2</end>
      <status>unmodified</status>
      <modifiedWord/>
      <trackRevisions>false</trackRevisions>
    </reviewItem>
    <reviewItem>
      <errorID>ea693524-bc37-4b9d-bbe6-2ccec3332cfe</errorID>
      <errorWord>………</errorWord>
      <group>L1_Punc</group>
      <groupName>标点问题</groupName>
      <ability>L2_Punc_CN</ability>
      <abilityName>标点符号问题</abilityName>
      <candidateList>
        <item>……</item>
      </candidateList>
      <explain/>
      <paraID>4F268359</paraID>
      <start>0</start>
      <end>3</end>
      <status>unmodified</status>
      <modifiedWord/>
      <trackRevisions>false</trackRevisions>
    </reviewItem>
    <reviewItem>
      <errorID>5dc14fb1-090e-4f76-acd3-4f7409e6180b</errorID>
      <errorWord>～</errorWord>
      <group>L1_Format</group>
      <groupName>格式问题</groupName>
      <ability>L2_HalfPunc_CN</ability>
      <abilityName>全半角问题</abilityName>
      <candidateList>
        <item>~</item>
      </candidateList>
      <explain>文本全半角错误。</explain>
      <paraID>74DAD601</paraID>
      <start>1</start>
      <end>2</end>
      <status>unmodified</status>
      <modifiedWord/>
      <trackRevisions>false</trackRevisions>
    </reviewItem>
    <reviewItem>
      <errorID>ff084c23-2200-4f83-9688-c9de66edb4b5</errorID>
      <errorWord>………</errorWord>
      <group>L1_Punc</group>
      <groupName>标点问题</groupName>
      <ability>L2_Punc_CN</ability>
      <abilityName>标点符号问题</abilityName>
      <candidateList>
        <item>……</item>
      </candidateList>
      <explain/>
      <paraID>50693F73</paraID>
      <start>0</start>
      <end>3</end>
      <status>unmodified</status>
      <modifiedWord/>
      <trackRevisions>false</trackRevisions>
    </reviewItem>
    <reviewItem>
      <errorID>89c85817-6887-4ade-8970-901baf66a3c9</errorID>
      <errorWord>～</errorWord>
      <group>L1_Format</group>
      <groupName>格式问题</groupName>
      <ability>L2_HalfPunc_CN</ability>
      <abilityName>全半角问题</abilityName>
      <candidateList>
        <item>~</item>
      </candidateList>
      <explain>文本全半角错误。</explain>
      <paraID>5A00C627</paraID>
      <start>1</start>
      <end>2</end>
      <status>unmodified</status>
      <modifiedWord/>
      <trackRevisions>false</trackRevisions>
    </reviewItem>
    <reviewItem>
      <errorID>e914408d-90a9-4fc8-8ffd-e54dda84c49d</errorID>
      <errorWord>………</errorWord>
      <group>L1_Punc</group>
      <groupName>标点问题</groupName>
      <ability>L2_Punc_CN</ability>
      <abilityName>标点符号问题</abilityName>
      <candidateList>
        <item>……</item>
      </candidateList>
      <explain/>
      <paraID>77366BB0</paraID>
      <start>0</start>
      <end>3</end>
      <status>unmodified</status>
      <modifiedWord/>
      <trackRevisions>false</trackRevisions>
    </reviewItem>
    <reviewItem>
      <errorID>4ccd245e-03ec-4e92-9d0a-76aaa7bf3000</errorID>
      <errorWord>～</errorWord>
      <group>L1_Format</group>
      <groupName>格式问题</groupName>
      <ability>L2_HalfPunc_CN</ability>
      <abilityName>全半角问题</abilityName>
      <candidateList>
        <item>~</item>
      </candidateList>
      <explain>文本全半角错误。</explain>
      <paraID>1770109F</paraID>
      <start>1</start>
      <end>2</end>
      <status>unmodified</status>
      <modifiedWord/>
      <trackRevisions>false</trackRevisions>
    </reviewItem>
    <reviewItem>
      <errorID>fac96e51-aec6-4991-bc23-261bd6d42513</errorID>
      <errorWord>………</errorWord>
      <group>L1_Punc</group>
      <groupName>标点问题</groupName>
      <ability>L2_Punc_CN</ability>
      <abilityName>标点符号问题</abilityName>
      <candidateList>
        <item>……</item>
      </candidateList>
      <explain/>
      <paraID>6A1B07D3</paraID>
      <start>0</start>
      <end>3</end>
      <status>unmodified</status>
      <modifiedWord/>
      <trackRevisions>false</trackRevisions>
    </reviewItem>
    <reviewItem>
      <errorID>263982de-12e2-480a-b343-ad50cc17d86b</errorID>
      <errorWord>～</errorWord>
      <group>L1_Format</group>
      <groupName>格式问题</groupName>
      <ability>L2_HalfPunc_CN</ability>
      <abilityName>全半角问题</abilityName>
      <candidateList>
        <item>~</item>
      </candidateList>
      <explain>文本全半角错误。</explain>
      <paraID> 867186B</paraID>
      <start>1</start>
      <end>2</end>
      <status>unmodified</status>
      <modifiedWord/>
      <trackRevisions>false</trackRevisions>
    </reviewItem>
    <reviewItem>
      <errorID>83915d54-a0b1-4580-a9b3-c296fdf16e1e</errorID>
      <errorWord>………</errorWord>
      <group>L1_Punc</group>
      <groupName>标点问题</groupName>
      <ability>L2_Punc_CN</ability>
      <abilityName>标点符号问题</abilityName>
      <candidateList>
        <item>……</item>
      </candidateList>
      <explain/>
      <paraID>6B708890</paraID>
      <start>0</start>
      <end>3</end>
      <status>unmodified</status>
      <modifiedWord/>
      <trackRevisions>false</trackRevisions>
    </reviewItem>
    <reviewItem>
      <errorID>f68dbeab-3c45-4194-b733-ab64b79e6001</errorID>
      <errorWord>～</errorWord>
      <group>L1_Format</group>
      <groupName>格式问题</groupName>
      <ability>L2_HalfPunc_CN</ability>
      <abilityName>全半角问题</abilityName>
      <candidateList>
        <item>~</item>
      </candidateList>
      <explain>文本全半角错误。</explain>
      <paraID>7B462DD4</paraID>
      <start>1</start>
      <end>2</end>
      <status>unmodified</status>
      <modifiedWord/>
      <trackRevisions>false</trackRevisions>
    </reviewItem>
    <reviewItem>
      <errorID>b79a1528-8a87-48ed-80b5-6ae8106ad2d4</errorID>
      <errorWord>………</errorWord>
      <group>L1_Punc</group>
      <groupName>标点问题</groupName>
      <ability>L2_Punc_CN</ability>
      <abilityName>标点符号问题</abilityName>
      <candidateList>
        <item>……</item>
      </candidateList>
      <explain/>
      <paraID>47745D1F</paraID>
      <start>0</start>
      <end>3</end>
      <status>unmodified</status>
      <modifiedWord/>
      <trackRevisions>false</trackRevisions>
    </reviewItem>
    <reviewItem>
      <errorID>88f83615-f28a-47f2-bed8-fe1b43bfa7f0</errorID>
      <errorWord>～</errorWord>
      <group>L1_Format</group>
      <groupName>格式问题</groupName>
      <ability>L2_HalfPunc_CN</ability>
      <abilityName>全半角问题</abilityName>
      <candidateList>
        <item>~</item>
      </candidateList>
      <explain>文本全半角错误。</explain>
      <paraID>4C08ECC9</paraID>
      <start>1</start>
      <end>2</end>
      <status>unmodified</status>
      <modifiedWord/>
      <trackRevisions>false</trackRevisions>
    </reviewItem>
    <reviewItem>
      <errorID>64e762ca-c194-4889-8816-29b08d93d88e</errorID>
      <errorWord>………</errorWord>
      <group>L1_Punc</group>
      <groupName>标点问题</groupName>
      <ability>L2_Punc_CN</ability>
      <abilityName>标点符号问题</abilityName>
      <candidateList>
        <item>……</item>
      </candidateList>
      <explain/>
      <paraID>4476BE9A</paraID>
      <start>0</start>
      <end>3</end>
      <status>unmodified</status>
      <modifiedWord/>
      <trackRevisions>false</trackRevisions>
    </reviewItem>
    <reviewItem>
      <errorID>aeb52db4-3352-42a3-a5e3-0181746d8891</errorID>
      <errorWord>～</errorWord>
      <group>L1_Format</group>
      <groupName>格式问题</groupName>
      <ability>L2_HalfPunc_CN</ability>
      <abilityName>全半角问题</abilityName>
      <candidateList>
        <item>~</item>
      </candidateList>
      <explain>文本全半角错误。</explain>
      <paraID>2B84AD7A</paraID>
      <start>1</start>
      <end>2</end>
      <status>unmodified</status>
      <modifiedWord/>
      <trackRevisions>false</trackRevisions>
    </reviewItem>
    <reviewItem>
      <errorID>bc95b8be-7a52-48e4-8684-2bf94fb2bfb2</errorID>
      <errorWord>………</errorWord>
      <group>L1_Punc</group>
      <groupName>标点问题</groupName>
      <ability>L2_Punc_CN</ability>
      <abilityName>标点符号问题</abilityName>
      <candidateList>
        <item>……</item>
      </candidateList>
      <explain/>
      <paraID>7EAEC07A</paraID>
      <start>0</start>
      <end>3</end>
      <status>unmodified</status>
      <modifiedWord/>
      <trackRevisions>false</trackRevisions>
    </reviewItem>
    <reviewItem>
      <errorID>ebe3ae95-a2c2-49b3-98a4-5a64b7b7be74</errorID>
      <errorWord>～</errorWord>
      <group>L1_Format</group>
      <groupName>格式问题</groupName>
      <ability>L2_HalfPunc_CN</ability>
      <abilityName>全半角问题</abilityName>
      <candidateList>
        <item>~</item>
      </candidateList>
      <explain>文本全半角错误。</explain>
      <paraID>150480BC</paraID>
      <start>1</start>
      <end>2</end>
      <status>unmodified</status>
      <modifiedWord/>
      <trackRevisions>false</trackRevisions>
    </reviewItem>
    <reviewItem>
      <errorID>19902e73-04d5-4d58-ba22-b9485183ff05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39F7D0D2</paraID>
      <start>15</start>
      <end>17</end>
      <status>modified</status>
      <modifiedWord>》《</modifiedWord>
      <trackRevisions>false</trackRevisions>
    </reviewItem>
    <reviewItem>
      <errorID>984bb07c-07ba-4554-adde-17fbbcd13d87</errorID>
      <errorWord>(</errorWord>
      <group>L1_Format</group>
      <groupName>格式问题</groupName>
      <ability>L2_HalfPunc_CN</ability>
      <abilityName>全半角问题</abilityName>
      <candidateList>
        <item>（</item>
      </candidateList>
      <explain>文本全半角错误。</explain>
      <paraID>66463A4D</paraID>
      <start>2</start>
      <end>3</end>
      <status>unmodified</status>
      <modifiedWord/>
      <trackRevisions>false</trackRevisions>
    </reviewItem>
    <reviewItem>
      <errorID>691ec8ad-5285-4f99-9e41-45255492e39e</errorID>
      <errorWord>(</errorWord>
      <group>L1_Format</group>
      <groupName>格式问题</groupName>
      <ability>L2_HalfPunc_CN</ability>
      <abilityName>全半角问题</abilityName>
      <candidateList>
        <item>（</item>
      </candidateList>
      <explain>文本全半角错误。</explain>
      <paraID>41983D36</paraID>
      <start>2</start>
      <end>3</end>
      <status>unmodified</status>
      <modifiedWord/>
      <trackRevisions>false</trackRevisions>
    </reviewItem>
    <reviewItem>
      <errorID>e3265b45-07e4-4e43-a72e-5f5486131414</errorID>
      <errorWord>：。</errorWord>
      <group>L1_Punc</group>
      <groupName>标点问题</groupName>
      <ability>L2_Punc_CN</ability>
      <abilityName>标点符号问题</abilityName>
      <candidateList>
        <item>：</item>
      </candidateList>
      <explain/>
      <paraID>1B30BCCE</paraID>
      <start>8</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0859d2-b8cd-48e6-b21c-2b6f8120c556}">
  <ds:schemaRefs/>
</ds:datastoreItem>
</file>

<file path=docProps/app.xml><?xml version="1.0" encoding="utf-8"?>
<Properties xmlns="http://schemas.openxmlformats.org/officeDocument/2006/extended-properties" xmlns:vt="http://schemas.openxmlformats.org/officeDocument/2006/docPropsVTypes">
  <Template>Normal</Template>
  <Company>zbzx</Company>
  <Pages>67</Pages>
  <Words>25822</Words>
  <Characters>27681</Characters>
  <TotalTime>136</TotalTime>
  <ScaleCrop>false</ScaleCrop>
  <LinksUpToDate>false</LinksUpToDate>
  <CharactersWithSpaces>27774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2016-04-28T13:44:00Z</dcterms:created>
  <dc:creator>zb</dc:creator>
  <cp:lastModifiedBy>Administrator</cp:lastModifiedBy>
  <dcterms:modified xsi:type="dcterms:W3CDTF">2026-10-13T02:46:55Z</dcterms:modified>
  <dc:title>Z  B  T  C</dc:title>
  <cp:revision>203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43B69748714040AFB2E055FBF45332F0_13</vt:lpwstr>
  </property>
  <property fmtid="{D5CDD505-2E9C-101B-9397-08002B2CF9AE}" pid="3" name="KSOProductBuildVer">
    <vt:lpwstr>2052-12.1.0.24034</vt:lpwstr>
  </property>
  <property fmtid="{D5CDD505-2E9C-101B-9397-08002B2CF9AE}" pid="4" name="KSOTemplateDocerSaveRecord">
    <vt:lpwstr>eyJoZGlkIjoiYWZmZDFmODJhNmEwZWE3NjRkZmQ5ZDk5ZGVhMzk2NTEiLCJ1c2VySWQiOiI0MjUxMDg5NjYifQ==</vt:lpwstr>
  </property>
</Properties>
</file>