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rPr>
          <w:color w:val="auto"/>
        </w:rPr>
      </w:r>
      <w:r/>
    </w:p>
    <w:p>
      <w:pPr>
        <w:jc w:val="center"/>
        <w:spacing w:before="120" w:after="120" w:line="360" w:lineRule="auto"/>
        <w:rPr>
          <w:rFonts w:ascii="Arial" w:hAnsi="Arial" w:eastAsia="黑体"/>
          <w:b/>
          <w:bCs/>
          <w:color w:val="auto"/>
          <w:sz w:val="84"/>
          <w:szCs w:val="24"/>
        </w:rPr>
      </w:pPr>
      <w:r>
        <w:rPr>
          <w:rFonts w:hint="eastAsia" w:ascii="Arial" w:hAnsi="Arial" w:eastAsia="黑体"/>
          <w:b/>
          <w:bCs/>
          <w:color w:val="auto"/>
          <w:sz w:val="84"/>
          <w:szCs w:val="24"/>
        </w:rPr>
        <w:t xml:space="preserve">招　标　文　件</w:t>
      </w:r>
      <w:r>
        <w:rPr>
          <w:color w:val="auto"/>
        </w:rPr>
      </w:r>
      <w:r/>
    </w:p>
    <w:p>
      <w:pPr>
        <w:jc w:val="center"/>
        <w:spacing w:before="120" w:after="120" w:line="360" w:lineRule="auto"/>
        <w:rPr>
          <w:rFonts w:ascii="Arial" w:hAnsi="Arial"/>
          <w:color w:val="auto"/>
          <w:sz w:val="32"/>
          <w:szCs w:val="32"/>
        </w:rPr>
      </w:pPr>
      <w:r>
        <w:rPr>
          <w:rFonts w:hint="eastAsia" w:ascii="Arial" w:hAnsi="Arial"/>
          <w:b/>
          <w:bCs/>
          <w:color w:val="auto"/>
          <w:sz w:val="32"/>
          <w:szCs w:val="24"/>
        </w:rPr>
        <w:t xml:space="preserve">项目名称：</w:t>
      </w:r>
      <w:r>
        <w:rPr>
          <w:rFonts w:hint="eastAsia"/>
          <w:color w:val="auto"/>
          <w:sz w:val="32"/>
          <w:szCs w:val="28"/>
        </w:rPr>
        <w:t xml:space="preserve">江苏省南通中等专业学校工业互联网实训室建设项目</w:t>
      </w:r>
      <w:r>
        <w:rPr>
          <w:color w:val="auto"/>
        </w:rPr>
      </w:r>
      <w:r/>
    </w:p>
    <w:p>
      <w:pPr>
        <w:jc w:val="center"/>
        <w:spacing w:line="1000" w:lineRule="exact"/>
        <w:rPr>
          <w:rFonts w:ascii="宋体" w:hAnsi="宋体" w:cs="宋体"/>
          <w:color w:val="auto"/>
          <w:sz w:val="32"/>
          <w:szCs w:val="32"/>
        </w:rPr>
      </w:pPr>
      <w:r>
        <w:rPr>
          <w:rFonts w:hint="eastAsia" w:ascii="Arial" w:hAnsi="Arial"/>
          <w:b/>
          <w:bCs/>
          <w:color w:val="auto"/>
          <w:sz w:val="32"/>
          <w:szCs w:val="24"/>
        </w:rPr>
        <w:t xml:space="preserve">项目编号：</w:t>
      </w:r>
      <w:r>
        <w:rPr>
          <w:rFonts w:hint="eastAsia" w:ascii="宋体" w:hAnsi="宋体" w:cs="宋体"/>
          <w:color w:val="auto"/>
          <w:sz w:val="32"/>
          <w:szCs w:val="32"/>
        </w:rPr>
        <w:t xml:space="preserve">JSZC-320600-JZCG-G2026-0143</w:t>
      </w:r>
      <w:r>
        <w:rPr>
          <w:color w:val="auto"/>
        </w:rPr>
      </w:r>
      <w:r/>
    </w:p>
    <w:p>
      <w:pPr>
        <w:ind w:left="3012" w:hanging="3012"/>
        <w:rPr>
          <w:b/>
          <w:color w:val="auto"/>
          <w:sz w:val="30"/>
          <w:szCs w:val="30"/>
        </w:rPr>
      </w:pPr>
      <w:r>
        <w:rPr>
          <w:b/>
          <w:color w:val="auto"/>
          <w:sz w:val="30"/>
          <w:szCs w:val="30"/>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pStyle w:val="1016"/>
        <w:ind w:firstLine="0"/>
        <w:rPr>
          <w:rFonts w:ascii="宋体" w:hAnsi="宋体" w:eastAsia="宋体"/>
          <w:color w:val="auto"/>
          <w:sz w:val="24"/>
          <w:szCs w:val="24"/>
        </w:rPr>
      </w:pPr>
      <w:r>
        <w:rPr>
          <w:rFonts w:ascii="宋体" w:hAnsi="宋体" w:eastAsia="宋体"/>
          <w:color w:val="auto"/>
          <w:sz w:val="24"/>
          <w:szCs w:val="24"/>
          <w:lang w:eastAsia="zh-CN"/>
        </w:rPr>
      </w:r>
      <w:r>
        <w:rPr>
          <w:color w:val="auto"/>
        </w:rPr>
      </w:r>
      <w:r/>
    </w:p>
    <w:p>
      <w:pPr>
        <w:pStyle w:val="1016"/>
        <w:ind w:firstLine="0"/>
        <w:rPr>
          <w:rFonts w:ascii="宋体" w:hAnsi="宋体" w:eastAsia="宋体"/>
          <w:color w:val="auto"/>
          <w:sz w:val="24"/>
          <w:szCs w:val="24"/>
        </w:rPr>
      </w:pPr>
      <w:r>
        <w:rPr>
          <w:rFonts w:ascii="宋体" w:hAnsi="宋体" w:eastAsia="宋体"/>
          <w:color w:val="auto"/>
          <w:sz w:val="24"/>
          <w:szCs w:val="24"/>
          <w:lang w:eastAsia="zh-CN"/>
        </w:rPr>
      </w:r>
      <w:r>
        <w:rPr>
          <w:color w:val="auto"/>
        </w:rPr>
      </w:r>
      <w:r/>
    </w:p>
    <w:p>
      <w:pPr>
        <w:pStyle w:val="1016"/>
        <w:ind w:firstLine="0"/>
        <w:rPr>
          <w:color w:val="auto"/>
        </w:rPr>
      </w:pPr>
      <w:r>
        <w:rPr>
          <w:color w:val="auto"/>
          <w:lang w:eastAsia="zh-CN"/>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jc w:val="left"/>
        <w:spacing w:line="360" w:lineRule="auto"/>
        <w:rPr>
          <w:rFonts w:ascii="宋体" w:hAnsi="宋体"/>
          <w:color w:val="auto"/>
          <w:sz w:val="24"/>
          <w:szCs w:val="24"/>
        </w:rPr>
      </w:pPr>
      <w:r>
        <w:rPr>
          <w:rFonts w:ascii="宋体" w:hAnsi="宋体"/>
          <w:color w:val="auto"/>
          <w:sz w:val="24"/>
          <w:szCs w:val="24"/>
        </w:rPr>
      </w:r>
      <w:r>
        <w:rPr>
          <w:color w:val="auto"/>
        </w:rPr>
      </w:r>
      <w:r/>
    </w:p>
    <w:p>
      <w:pPr>
        <w:ind w:firstLine="2720"/>
        <w:spacing w:line="360" w:lineRule="auto"/>
        <w:rPr>
          <w:rFonts w:ascii="宋体" w:hAnsi="宋体"/>
          <w:color w:val="auto"/>
          <w:sz w:val="32"/>
          <w:szCs w:val="20"/>
        </w:rPr>
      </w:pPr>
      <w:r>
        <w:rPr>
          <w:rFonts w:hint="eastAsia" w:ascii="宋体" w:hAnsi="宋体"/>
          <w:color w:val="auto"/>
          <w:sz w:val="32"/>
          <w:szCs w:val="20"/>
        </w:rPr>
        <w:t xml:space="preserve">南通市教育技术中心</w:t>
      </w:r>
      <w:r>
        <w:rPr>
          <w:color w:val="auto"/>
        </w:rPr>
      </w:r>
      <w:r/>
    </w:p>
    <w:p>
      <w:pPr>
        <w:jc w:val="center"/>
        <w:spacing w:before="120" w:after="120" w:line="360" w:lineRule="auto"/>
        <w:rPr>
          <w:rFonts w:ascii="Arial" w:hAnsi="Arial"/>
          <w:bCs/>
          <w:color w:val="auto"/>
          <w:sz w:val="32"/>
          <w:szCs w:val="24"/>
        </w:rPr>
      </w:pPr>
      <w:r>
        <w:rPr>
          <w:rFonts w:hint="eastAsia" w:ascii="Arial" w:hAnsi="Arial"/>
          <w:bCs/>
          <w:color w:val="auto"/>
          <w:sz w:val="32"/>
          <w:szCs w:val="24"/>
        </w:rPr>
        <w:t xml:space="preserve">2026年9月</w:t>
      </w:r>
      <w:r>
        <w:rPr>
          <w:color w:val="auto"/>
        </w:rPr>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rPr>
          <w:color w:val="auto"/>
        </w:rPr>
      </w:r>
      <w:r/>
    </w:p>
    <w:p>
      <w:pPr>
        <w:jc w:val="center"/>
        <w:spacing w:line="480" w:lineRule="auto"/>
        <w:rPr>
          <w:rFonts w:ascii="黑体" w:hAnsi="Arial" w:eastAsia="黑体"/>
          <w:b/>
          <w:color w:val="auto"/>
          <w:sz w:val="44"/>
          <w:szCs w:val="21"/>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color w:val="auto"/>
        </w:rPr>
      </w:r>
      <w:bookmarkStart w:id="0" w:name="_Toc120614210"/>
      <w:r>
        <w:rPr>
          <w:color w:val="auto"/>
        </w:rPr>
      </w:r>
      <w:bookmarkStart w:id="1" w:name="_Toc479757206"/>
      <w:r>
        <w:rPr>
          <w:color w:val="auto"/>
        </w:rPr>
      </w:r>
      <w:bookmarkStart w:id="2" w:name="_Toc513029200"/>
      <w:r>
        <w:rPr>
          <w:color w:val="auto"/>
        </w:rPr>
      </w:r>
      <w:bookmarkStart w:id="3" w:name="_Toc523127445"/>
      <w:r>
        <w:rPr>
          <w:color w:val="auto"/>
        </w:rPr>
      </w:r>
      <w:bookmarkStart w:id="4" w:name="_Toc16938516"/>
      <w:r>
        <w:rPr>
          <w:color w:val="auto"/>
        </w:rPr>
      </w:r>
      <w:bookmarkStart w:id="5" w:name="_Toc20823272"/>
      <w:r>
        <w:rPr>
          <w:color w:val="auto"/>
        </w:rPr>
      </w:r>
      <w:r/>
    </w:p>
    <w:p>
      <w:pPr>
        <w:jc w:val="center"/>
        <w:spacing w:line="480" w:lineRule="auto"/>
        <w:rPr>
          <w:rFonts w:ascii="黑体" w:hAnsi="Arial" w:eastAsia="黑体"/>
          <w:b/>
          <w:color w:val="auto"/>
          <w:sz w:val="44"/>
          <w:szCs w:val="21"/>
        </w:rPr>
      </w:pPr>
      <w:r>
        <w:rPr>
          <w:rFonts w:hint="eastAsia" w:ascii="黑体" w:hAnsi="Arial" w:eastAsia="黑体"/>
          <w:b/>
          <w:color w:val="auto"/>
          <w:sz w:val="44"/>
          <w:szCs w:val="21"/>
        </w:rPr>
        <w:t xml:space="preserve">总  目  录</w:t>
      </w:r>
      <w:r>
        <w:rPr>
          <w:color w:val="auto"/>
        </w:rPr>
      </w:r>
      <w:r/>
    </w:p>
    <w:p>
      <w:pPr>
        <w:pStyle w:val="987"/>
        <w:tabs>
          <w:tab w:val="right" w:pos="8306" w:leader="dot"/>
        </w:tabs>
        <w:rPr>
          <w:color w:val="auto"/>
          <w:sz w:val="44"/>
          <w:szCs w:val="44"/>
        </w:rPr>
      </w:pPr>
      <w:r>
        <w:rPr>
          <w:rFonts w:hint="eastAsia" w:ascii="黑体" w:hAnsi="黑体" w:eastAsia="黑体" w:cs="黑体"/>
          <w:b/>
          <w:color w:val="auto"/>
          <w:sz w:val="40"/>
          <w:szCs w:val="44"/>
        </w:rPr>
        <w:fldChar w:fldCharType="begin"/>
      </w:r>
      <w:r>
        <w:rPr>
          <w:rFonts w:hint="eastAsia" w:ascii="黑体" w:hAnsi="黑体" w:eastAsia="黑体" w:cs="黑体"/>
          <w:b/>
          <w:color w:val="auto"/>
          <w:sz w:val="40"/>
          <w:szCs w:val="44"/>
        </w:rPr>
        <w:instrText xml:space="preserve"> TOC \o "1-1" \h \z \u </w:instrText>
      </w:r>
      <w:r>
        <w:rPr>
          <w:rFonts w:hint="eastAsia" w:ascii="黑体" w:hAnsi="黑体" w:eastAsia="黑体" w:cs="黑体"/>
          <w:b/>
          <w:color w:val="auto"/>
          <w:sz w:val="40"/>
          <w:szCs w:val="44"/>
        </w:rPr>
        <w:fldChar w:fldCharType="separate"/>
      </w:r>
      <w:r>
        <w:rPr>
          <w:color w:val="auto"/>
        </w:rPr>
        <w:fldChar w:fldCharType="begin"/>
      </w:r>
      <w:r>
        <w:rPr>
          <w:color w:val="auto"/>
        </w:rPr>
        <w:instrText xml:space="preserve"> HYPERLINK \l "_Toc19217" </w:instrText>
      </w:r>
      <w:r>
        <w:rPr>
          <w:color w:val="auto"/>
        </w:rPr>
        <w:fldChar w:fldCharType="separate"/>
      </w:r>
      <w:r>
        <w:rPr>
          <w:rFonts w:hint="eastAsia" w:ascii="黑体" w:eastAsia="黑体"/>
          <w:color w:val="auto"/>
          <w:sz w:val="44"/>
          <w:szCs w:val="44"/>
        </w:rPr>
        <w:t xml:space="preserve">第一章  投标邀请</w:t>
      </w:r>
      <w:r>
        <w:rPr>
          <w:color w:val="auto"/>
          <w:sz w:val="44"/>
          <w:szCs w:val="44"/>
        </w:rPr>
        <w:tab/>
      </w:r>
      <w:r>
        <w:rPr>
          <w:color w:val="auto"/>
          <w:sz w:val="44"/>
          <w:szCs w:val="44"/>
        </w:rPr>
        <w:fldChar w:fldCharType="begin"/>
      </w:r>
      <w:r>
        <w:rPr>
          <w:color w:val="auto"/>
          <w:sz w:val="44"/>
          <w:szCs w:val="44"/>
        </w:rPr>
        <w:instrText xml:space="preserve"> PAGEREF _Toc19217 \h </w:instrText>
      </w:r>
      <w:r>
        <w:rPr>
          <w:color w:val="auto"/>
          <w:sz w:val="44"/>
          <w:szCs w:val="44"/>
        </w:rPr>
        <w:fldChar w:fldCharType="separate"/>
      </w:r>
      <w:r>
        <w:rPr>
          <w:color w:val="auto"/>
          <w:sz w:val="44"/>
          <w:szCs w:val="44"/>
        </w:rPr>
        <w:t xml:space="preserve">1</w:t>
      </w:r>
      <w:r>
        <w:rPr>
          <w:color w:val="auto"/>
          <w:sz w:val="44"/>
          <w:szCs w:val="44"/>
        </w:rPr>
        <w:fldChar w:fldCharType="end"/>
      </w:r>
      <w:r>
        <w:rPr>
          <w:color w:val="auto"/>
          <w:sz w:val="44"/>
          <w:szCs w:val="44"/>
        </w:rPr>
        <w:fldChar w:fldCharType="end"/>
      </w:r>
      <w:r>
        <w:rPr>
          <w:color w:val="auto"/>
        </w:rPr>
      </w:r>
      <w:r/>
    </w:p>
    <w:p>
      <w:pPr>
        <w:pStyle w:val="987"/>
        <w:tabs>
          <w:tab w:val="right" w:pos="8306" w:leader="dot"/>
        </w:tabs>
        <w:rPr>
          <w:color w:val="auto"/>
          <w:sz w:val="44"/>
          <w:szCs w:val="44"/>
        </w:rPr>
      </w:pPr>
      <w:r>
        <w:rPr>
          <w:color w:val="auto"/>
        </w:rPr>
        <w:fldChar w:fldCharType="begin"/>
      </w:r>
      <w:r>
        <w:rPr>
          <w:color w:val="auto"/>
        </w:rPr>
        <w:instrText xml:space="preserve"> HYPERLINK \l "_Toc26028" </w:instrText>
      </w:r>
      <w:r>
        <w:rPr>
          <w:color w:val="auto"/>
        </w:rPr>
        <w:fldChar w:fldCharType="separate"/>
      </w:r>
      <w:r>
        <w:rPr>
          <w:rFonts w:hint="eastAsia" w:ascii="黑体" w:hAnsi="Arial" w:eastAsia="黑体" w:cs="Arial"/>
          <w:bCs/>
          <w:color w:val="auto"/>
          <w:sz w:val="44"/>
          <w:szCs w:val="44"/>
        </w:rPr>
        <w:t xml:space="preserve">第二章  投标人须知</w:t>
      </w:r>
      <w:r>
        <w:rPr>
          <w:color w:val="auto"/>
          <w:sz w:val="44"/>
          <w:szCs w:val="44"/>
        </w:rPr>
        <w:tab/>
      </w:r>
      <w:r>
        <w:rPr>
          <w:color w:val="auto"/>
          <w:sz w:val="44"/>
          <w:szCs w:val="44"/>
        </w:rPr>
        <w:fldChar w:fldCharType="begin"/>
      </w:r>
      <w:r>
        <w:rPr>
          <w:color w:val="auto"/>
          <w:sz w:val="44"/>
          <w:szCs w:val="44"/>
        </w:rPr>
        <w:instrText xml:space="preserve"> PAGEREF _Toc26028 \h </w:instrText>
      </w:r>
      <w:r>
        <w:rPr>
          <w:color w:val="auto"/>
          <w:sz w:val="44"/>
          <w:szCs w:val="44"/>
        </w:rPr>
        <w:fldChar w:fldCharType="separate"/>
      </w:r>
      <w:r>
        <w:rPr>
          <w:color w:val="auto"/>
          <w:sz w:val="44"/>
          <w:szCs w:val="44"/>
        </w:rPr>
        <w:t xml:space="preserve">5</w:t>
      </w:r>
      <w:r>
        <w:rPr>
          <w:color w:val="auto"/>
          <w:sz w:val="44"/>
          <w:szCs w:val="44"/>
        </w:rPr>
        <w:fldChar w:fldCharType="end"/>
      </w:r>
      <w:r>
        <w:rPr>
          <w:color w:val="auto"/>
          <w:sz w:val="44"/>
          <w:szCs w:val="44"/>
        </w:rPr>
        <w:fldChar w:fldCharType="end"/>
      </w:r>
      <w:r>
        <w:rPr>
          <w:color w:val="auto"/>
        </w:rPr>
      </w:r>
      <w:r/>
    </w:p>
    <w:p>
      <w:pPr>
        <w:pStyle w:val="987"/>
        <w:tabs>
          <w:tab w:val="right" w:pos="8306" w:leader="dot"/>
        </w:tabs>
        <w:rPr>
          <w:color w:val="auto"/>
          <w:sz w:val="44"/>
          <w:szCs w:val="44"/>
        </w:rPr>
      </w:pPr>
      <w:r>
        <w:rPr>
          <w:color w:val="auto"/>
        </w:rPr>
        <w:fldChar w:fldCharType="begin"/>
      </w:r>
      <w:r>
        <w:rPr>
          <w:color w:val="auto"/>
        </w:rPr>
        <w:instrText xml:space="preserve"> HYPERLINK \l "_Toc23781" </w:instrText>
      </w:r>
      <w:r>
        <w:rPr>
          <w:color w:val="auto"/>
        </w:rPr>
        <w:fldChar w:fldCharType="separate"/>
      </w:r>
      <w:r>
        <w:rPr>
          <w:rFonts w:hint="eastAsia" w:ascii="黑体" w:eastAsia="黑体"/>
          <w:bCs/>
          <w:color w:val="auto"/>
          <w:sz w:val="44"/>
          <w:szCs w:val="44"/>
        </w:rPr>
        <w:t xml:space="preserve">第三章  合同文本</w:t>
      </w:r>
      <w:r>
        <w:rPr>
          <w:color w:val="auto"/>
          <w:sz w:val="44"/>
          <w:szCs w:val="44"/>
        </w:rPr>
        <w:tab/>
      </w:r>
      <w:r>
        <w:rPr>
          <w:color w:val="auto"/>
          <w:sz w:val="44"/>
          <w:szCs w:val="44"/>
        </w:rPr>
        <w:fldChar w:fldCharType="begin"/>
      </w:r>
      <w:r>
        <w:rPr>
          <w:color w:val="auto"/>
          <w:sz w:val="44"/>
          <w:szCs w:val="44"/>
        </w:rPr>
        <w:instrText xml:space="preserve"> PAGEREF _Toc23781 \h </w:instrText>
      </w:r>
      <w:r>
        <w:rPr>
          <w:color w:val="auto"/>
          <w:sz w:val="44"/>
          <w:szCs w:val="44"/>
        </w:rPr>
        <w:fldChar w:fldCharType="separate"/>
      </w:r>
      <w:r>
        <w:rPr>
          <w:color w:val="auto"/>
          <w:sz w:val="44"/>
          <w:szCs w:val="44"/>
        </w:rPr>
        <w:t xml:space="preserve">25</w:t>
      </w:r>
      <w:r>
        <w:rPr>
          <w:color w:val="auto"/>
          <w:sz w:val="44"/>
          <w:szCs w:val="44"/>
        </w:rPr>
        <w:fldChar w:fldCharType="end"/>
      </w:r>
      <w:r>
        <w:rPr>
          <w:color w:val="auto"/>
          <w:sz w:val="44"/>
          <w:szCs w:val="44"/>
        </w:rPr>
        <w:fldChar w:fldCharType="end"/>
      </w:r>
      <w:r>
        <w:rPr>
          <w:color w:val="auto"/>
        </w:rPr>
      </w:r>
      <w:r/>
    </w:p>
    <w:p>
      <w:pPr>
        <w:pStyle w:val="987"/>
        <w:tabs>
          <w:tab w:val="right" w:pos="8306" w:leader="dot"/>
        </w:tabs>
        <w:rPr>
          <w:color w:val="auto"/>
          <w:sz w:val="44"/>
          <w:szCs w:val="44"/>
        </w:rPr>
      </w:pPr>
      <w:r>
        <w:rPr>
          <w:color w:val="auto"/>
        </w:rPr>
        <w:fldChar w:fldCharType="begin"/>
      </w:r>
      <w:r>
        <w:rPr>
          <w:color w:val="auto"/>
        </w:rPr>
        <w:instrText xml:space="preserve"> HYPERLINK \l "_Toc32334" </w:instrText>
      </w:r>
      <w:r>
        <w:rPr>
          <w:color w:val="auto"/>
        </w:rPr>
        <w:fldChar w:fldCharType="separate"/>
      </w:r>
      <w:r>
        <w:rPr>
          <w:rFonts w:hint="eastAsia" w:ascii="黑体" w:hAnsi="Courier New" w:eastAsia="黑体" w:cs="Courier New"/>
          <w:bCs/>
          <w:color w:val="auto"/>
          <w:sz w:val="44"/>
          <w:szCs w:val="44"/>
        </w:rPr>
        <w:t xml:space="preserve">第四章 </w:t>
      </w:r>
      <w:r>
        <w:rPr>
          <w:rFonts w:ascii="黑体" w:hAnsi="Courier New" w:eastAsia="黑体" w:cs="Courier New"/>
          <w:bCs/>
          <w:color w:val="auto"/>
          <w:sz w:val="44"/>
          <w:szCs w:val="44"/>
        </w:rPr>
        <w:t xml:space="preserve"> </w:t>
      </w:r>
      <w:r>
        <w:rPr>
          <w:rFonts w:hint="eastAsia" w:ascii="黑体" w:hAnsi="Courier New" w:eastAsia="黑体" w:cs="Courier New"/>
          <w:bCs/>
          <w:color w:val="auto"/>
          <w:sz w:val="44"/>
          <w:szCs w:val="44"/>
        </w:rPr>
        <w:t xml:space="preserve">采购需求</w:t>
      </w:r>
      <w:r>
        <w:rPr>
          <w:color w:val="auto"/>
          <w:sz w:val="44"/>
          <w:szCs w:val="44"/>
        </w:rPr>
        <w:tab/>
      </w:r>
      <w:r>
        <w:rPr>
          <w:color w:val="auto"/>
          <w:sz w:val="44"/>
          <w:szCs w:val="44"/>
        </w:rPr>
        <w:fldChar w:fldCharType="begin"/>
      </w:r>
      <w:r>
        <w:rPr>
          <w:color w:val="auto"/>
          <w:sz w:val="44"/>
          <w:szCs w:val="44"/>
        </w:rPr>
        <w:instrText xml:space="preserve"> PAGEREF _Toc32334 \h </w:instrText>
      </w:r>
      <w:r>
        <w:rPr>
          <w:color w:val="auto"/>
          <w:sz w:val="44"/>
          <w:szCs w:val="44"/>
        </w:rPr>
        <w:fldChar w:fldCharType="separate"/>
      </w:r>
      <w:r>
        <w:rPr>
          <w:color w:val="auto"/>
          <w:sz w:val="44"/>
          <w:szCs w:val="44"/>
        </w:rPr>
        <w:t xml:space="preserve">41</w:t>
      </w:r>
      <w:r>
        <w:rPr>
          <w:color w:val="auto"/>
          <w:sz w:val="44"/>
          <w:szCs w:val="44"/>
        </w:rPr>
        <w:fldChar w:fldCharType="end"/>
      </w:r>
      <w:r>
        <w:rPr>
          <w:color w:val="auto"/>
          <w:sz w:val="44"/>
          <w:szCs w:val="44"/>
        </w:rPr>
        <w:fldChar w:fldCharType="end"/>
      </w:r>
      <w:r>
        <w:rPr>
          <w:color w:val="auto"/>
        </w:rPr>
      </w:r>
      <w:r/>
    </w:p>
    <w:p>
      <w:pPr>
        <w:pStyle w:val="987"/>
        <w:tabs>
          <w:tab w:val="right" w:pos="8306" w:leader="dot"/>
        </w:tabs>
        <w:rPr>
          <w:color w:val="auto"/>
          <w:sz w:val="44"/>
          <w:szCs w:val="44"/>
        </w:rPr>
      </w:pPr>
      <w:r>
        <w:rPr>
          <w:color w:val="auto"/>
        </w:rPr>
        <w:fldChar w:fldCharType="begin"/>
      </w:r>
      <w:r>
        <w:rPr>
          <w:color w:val="auto"/>
        </w:rPr>
        <w:instrText xml:space="preserve"> HYPERLINK \l "_Toc12359" </w:instrText>
      </w:r>
      <w:r>
        <w:rPr>
          <w:color w:val="auto"/>
        </w:rPr>
        <w:fldChar w:fldCharType="separate"/>
      </w:r>
      <w:r>
        <w:rPr>
          <w:rFonts w:hint="eastAsia" w:ascii="黑体" w:eastAsia="黑体"/>
          <w:bCs/>
          <w:color w:val="auto"/>
          <w:sz w:val="44"/>
          <w:szCs w:val="44"/>
        </w:rPr>
        <w:t xml:space="preserve">第五章  评标方法与评标标准</w:t>
      </w:r>
      <w:r>
        <w:rPr>
          <w:color w:val="auto"/>
          <w:sz w:val="44"/>
          <w:szCs w:val="44"/>
        </w:rPr>
        <w:tab/>
      </w:r>
      <w:r>
        <w:rPr>
          <w:color w:val="auto"/>
          <w:sz w:val="44"/>
          <w:szCs w:val="44"/>
        </w:rPr>
        <w:fldChar w:fldCharType="begin"/>
      </w:r>
      <w:r>
        <w:rPr>
          <w:color w:val="auto"/>
          <w:sz w:val="44"/>
          <w:szCs w:val="44"/>
        </w:rPr>
        <w:instrText xml:space="preserve"> PAGEREF _Toc12359 \h </w:instrText>
      </w:r>
      <w:r>
        <w:rPr>
          <w:color w:val="auto"/>
          <w:sz w:val="44"/>
          <w:szCs w:val="44"/>
        </w:rPr>
        <w:fldChar w:fldCharType="separate"/>
      </w:r>
      <w:r>
        <w:rPr>
          <w:color w:val="auto"/>
          <w:sz w:val="44"/>
          <w:szCs w:val="44"/>
        </w:rPr>
        <w:t xml:space="preserve">61</w:t>
      </w:r>
      <w:r>
        <w:rPr>
          <w:color w:val="auto"/>
          <w:sz w:val="44"/>
          <w:szCs w:val="44"/>
        </w:rPr>
        <w:fldChar w:fldCharType="end"/>
      </w:r>
      <w:r>
        <w:rPr>
          <w:color w:val="auto"/>
          <w:sz w:val="44"/>
          <w:szCs w:val="44"/>
        </w:rPr>
        <w:fldChar w:fldCharType="end"/>
      </w:r>
      <w:r>
        <w:rPr>
          <w:color w:val="auto"/>
        </w:rPr>
      </w:r>
      <w:r/>
    </w:p>
    <w:p>
      <w:pPr>
        <w:pStyle w:val="987"/>
        <w:tabs>
          <w:tab w:val="right" w:pos="8306" w:leader="dot"/>
        </w:tabs>
        <w:rPr>
          <w:color w:val="auto"/>
        </w:rPr>
      </w:pPr>
      <w:r>
        <w:rPr>
          <w:color w:val="auto"/>
        </w:rPr>
        <w:fldChar w:fldCharType="begin"/>
      </w:r>
      <w:r>
        <w:rPr>
          <w:color w:val="auto"/>
        </w:rPr>
        <w:instrText xml:space="preserve"> HYPERLINK \l "_Toc5488" </w:instrText>
      </w:r>
      <w:r>
        <w:rPr>
          <w:color w:val="auto"/>
        </w:rPr>
        <w:fldChar w:fldCharType="separate"/>
      </w:r>
      <w:r>
        <w:rPr>
          <w:rFonts w:hint="eastAsia" w:ascii="黑体" w:eastAsia="黑体"/>
          <w:bCs/>
          <w:color w:val="auto"/>
          <w:sz w:val="44"/>
          <w:szCs w:val="44"/>
        </w:rPr>
        <w:t xml:space="preserve">第六章  投标文件格式</w:t>
      </w:r>
      <w:r>
        <w:rPr>
          <w:color w:val="auto"/>
          <w:sz w:val="44"/>
          <w:szCs w:val="44"/>
        </w:rPr>
        <w:tab/>
      </w:r>
      <w:r>
        <w:rPr>
          <w:color w:val="auto"/>
          <w:sz w:val="44"/>
          <w:szCs w:val="44"/>
        </w:rPr>
        <w:fldChar w:fldCharType="begin"/>
      </w:r>
      <w:r>
        <w:rPr>
          <w:color w:val="auto"/>
          <w:sz w:val="44"/>
          <w:szCs w:val="44"/>
        </w:rPr>
        <w:instrText xml:space="preserve"> PAGEREF _Toc5488 \h </w:instrText>
      </w:r>
      <w:r>
        <w:rPr>
          <w:color w:val="auto"/>
          <w:sz w:val="44"/>
          <w:szCs w:val="44"/>
        </w:rPr>
        <w:fldChar w:fldCharType="separate"/>
      </w:r>
      <w:r>
        <w:rPr>
          <w:color w:val="auto"/>
          <w:sz w:val="44"/>
          <w:szCs w:val="44"/>
        </w:rPr>
        <w:t xml:space="preserve">67</w:t>
      </w:r>
      <w:r>
        <w:rPr>
          <w:color w:val="auto"/>
          <w:sz w:val="44"/>
          <w:szCs w:val="44"/>
        </w:rPr>
        <w:fldChar w:fldCharType="end"/>
      </w:r>
      <w:r>
        <w:rPr>
          <w:color w:val="auto"/>
          <w:sz w:val="44"/>
          <w:szCs w:val="44"/>
        </w:rPr>
        <w:fldChar w:fldCharType="end"/>
      </w:r>
      <w:r>
        <w:rPr>
          <w:color w:val="auto"/>
        </w:rPr>
      </w:r>
      <w:r/>
    </w:p>
    <w:p>
      <w:pPr>
        <w:spacing w:line="360" w:lineRule="auto"/>
        <w:rPr>
          <w:rFonts w:ascii="黑体" w:hAnsi="黑体" w:eastAsia="黑体" w:cs="黑体"/>
          <w:color w:val="auto"/>
          <w:sz w:val="40"/>
          <w:szCs w:val="24"/>
        </w:rPr>
      </w:pPr>
      <w:r>
        <w:rPr>
          <w:rFonts w:hint="eastAsia" w:ascii="黑体" w:hAnsi="黑体" w:eastAsia="黑体" w:cs="黑体"/>
          <w:color w:val="auto"/>
          <w:szCs w:val="44"/>
        </w:rPr>
        <w:fldChar w:fldCharType="end"/>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pPr>
      <w:r>
        <w:rPr>
          <w:color w:val="auto"/>
          <w:szCs w:val="21"/>
        </w:rPr>
      </w:r>
      <w:r>
        <w:rPr>
          <w:color w:val="auto"/>
        </w:rPr>
      </w:r>
      <w:r/>
    </w:p>
    <w:p>
      <w:pPr>
        <w:rPr>
          <w:color w:val="auto"/>
          <w:szCs w:val="21"/>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szCs w:val="21"/>
        </w:rPr>
      </w:r>
      <w:r>
        <w:rPr>
          <w:color w:val="auto"/>
        </w:rPr>
      </w:r>
      <w:r/>
    </w:p>
    <w:p>
      <w:pPr>
        <w:jc w:val="center"/>
        <w:keepNext/>
        <w:rPr>
          <w:rFonts w:ascii="黑体" w:eastAsia="黑体"/>
          <w:bCs/>
          <w:color w:val="auto"/>
          <w:sz w:val="44"/>
          <w:szCs w:val="44"/>
        </w:rPr>
        <w:outlineLvl w:val="0"/>
      </w:pPr>
      <w:r>
        <w:rPr>
          <w:color w:val="auto"/>
        </w:rPr>
      </w:r>
      <w:bookmarkStart w:id="6" w:name="_Toc19217"/>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bookmarkEnd w:id="6"/>
      <w:r>
        <w:rPr>
          <w:color w:val="auto"/>
        </w:rPr>
      </w:r>
      <w:r/>
    </w:p>
    <w:p>
      <w:pPr>
        <w:ind w:firstLine="560"/>
        <w:spacing w:line="480" w:lineRule="exact"/>
        <w:rPr>
          <w:rFonts w:ascii="仿宋" w:hAnsi="仿宋" w:eastAsia="仿宋"/>
          <w:color w:val="auto"/>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rPr>
        <w:t xml:space="preserve">项目概况</w:t>
      </w:r>
      <w:r>
        <w:rPr>
          <w:color w:val="auto"/>
        </w:rPr>
      </w:r>
      <w:r/>
    </w:p>
    <w:p>
      <w:pPr>
        <w:ind w:firstLine="560"/>
        <w:spacing w:line="480" w:lineRule="exact"/>
        <w:rPr>
          <w:rFonts w:ascii="仿宋" w:hAnsi="仿宋" w:eastAsia="仿宋"/>
          <w:color w:val="auto"/>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u w:val="single"/>
        </w:rPr>
        <w:t xml:space="preserve">江苏省南通中等专业学校工业互联网实训室建设项目</w:t>
      </w:r>
      <w:r>
        <w:rPr>
          <w:rFonts w:hint="eastAsia" w:ascii="仿宋" w:hAnsi="仿宋" w:eastAsia="仿宋"/>
          <w:color w:val="auto"/>
          <w:sz w:val="28"/>
          <w:szCs w:val="28"/>
        </w:rPr>
        <w:t xml:space="preserve">的潜在投标人可在</w:t>
      </w:r>
      <w:r>
        <w:rPr>
          <w:rFonts w:hint="eastAsia" w:ascii="仿宋" w:hAnsi="仿宋" w:eastAsia="仿宋"/>
          <w:color w:val="auto"/>
          <w:sz w:val="28"/>
          <w:szCs w:val="28"/>
          <w:u w:val="single"/>
        </w:rPr>
        <w:t xml:space="preserve">“江苏政府采购网”自行免费下载</w:t>
      </w:r>
      <w:r>
        <w:rPr>
          <w:rFonts w:hint="eastAsia" w:ascii="仿宋" w:hAnsi="仿宋" w:eastAsia="仿宋"/>
          <w:color w:val="auto"/>
          <w:sz w:val="28"/>
          <w:szCs w:val="28"/>
        </w:rPr>
        <w:t xml:space="preserve">招标文件，并于</w:t>
      </w:r>
      <w:r>
        <w:rPr>
          <w:rFonts w:hint="eastAsia" w:ascii="仿宋" w:hAnsi="仿宋" w:eastAsia="仿宋"/>
          <w:color w:val="auto"/>
          <w:sz w:val="28"/>
          <w:szCs w:val="28"/>
          <w:u w:val="single"/>
        </w:rPr>
        <w:t xml:space="preserve">2026</w:t>
      </w:r>
      <w:r>
        <w:rPr>
          <w:rFonts w:hint="eastAsia" w:ascii="仿宋" w:hAnsi="仿宋" w:eastAsia="仿宋"/>
          <w:bCs/>
          <w:color w:val="auto"/>
          <w:sz w:val="28"/>
          <w:szCs w:val="28"/>
          <w:u w:val="single"/>
        </w:rPr>
        <w:t xml:space="preserve">年10月21日14:00（</w:t>
      </w:r>
      <w:r>
        <w:rPr>
          <w:rFonts w:hint="eastAsia" w:ascii="仿宋" w:hAnsi="仿宋" w:eastAsia="仿宋"/>
          <w:bCs/>
          <w:color w:val="auto"/>
          <w:sz w:val="28"/>
          <w:szCs w:val="28"/>
        </w:rPr>
        <w:t xml:space="preserve">北京时间）前递交投标</w:t>
      </w:r>
      <w:r>
        <w:rPr>
          <w:rFonts w:ascii="仿宋" w:hAnsi="仿宋" w:eastAsia="仿宋"/>
          <w:bCs/>
          <w:color w:val="auto"/>
          <w:sz w:val="28"/>
          <w:szCs w:val="28"/>
        </w:rPr>
        <w:t xml:space="preserve">文件</w:t>
      </w:r>
      <w:r>
        <w:rPr>
          <w:rFonts w:hint="eastAsia" w:ascii="仿宋" w:hAnsi="仿宋" w:eastAsia="仿宋"/>
          <w:color w:val="auto"/>
          <w:sz w:val="28"/>
          <w:szCs w:val="28"/>
        </w:rPr>
        <w:t xml:space="preserve">。</w:t>
      </w:r>
      <w:r>
        <w:rPr>
          <w:color w:val="auto"/>
        </w:rPr>
      </w:r>
      <w:r/>
    </w:p>
    <w:p>
      <w:pPr>
        <w:keepLines/>
        <w:keepNext/>
        <w:spacing w:before="120" w:after="120" w:line="480" w:lineRule="exact"/>
        <w:rPr>
          <w:rFonts w:ascii="仿宋" w:hAnsi="仿宋" w:eastAsia="仿宋"/>
          <w:b/>
          <w:bCs/>
          <w:color w:val="auto"/>
          <w:sz w:val="28"/>
          <w:szCs w:val="28"/>
        </w:rPr>
        <w:outlineLvl w:val="2"/>
      </w:pPr>
      <w:r>
        <w:rPr>
          <w:rFonts w:hint="eastAsia" w:ascii="仿宋" w:hAnsi="仿宋" w:eastAsia="仿宋"/>
          <w:b/>
          <w:bCs/>
          <w:color w:val="auto"/>
          <w:sz w:val="28"/>
          <w:szCs w:val="28"/>
        </w:rPr>
        <w:t xml:space="preserve">一、项目基本情况</w:t>
      </w:r>
      <w:bookmarkEnd w:id="7"/>
      <w:r>
        <w:rPr>
          <w:color w:val="auto"/>
        </w:rPr>
      </w:r>
      <w:bookmarkEnd w:id="8"/>
      <w:r>
        <w:rPr>
          <w:color w:val="auto"/>
        </w:rPr>
      </w:r>
      <w:bookmarkEnd w:id="9"/>
      <w:r>
        <w:rPr>
          <w:color w:val="auto"/>
        </w:rPr>
      </w:r>
      <w:bookmarkEnd w:id="10"/>
      <w:r>
        <w:rPr>
          <w:color w:val="auto"/>
        </w:rPr>
      </w:r>
      <w:bookmarkEnd w:id="11"/>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1.项目编号：JSZC-320600-JZCG-G2026-0143</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2.项目名称：</w:t>
      </w:r>
      <w:bookmarkEnd w:id="12"/>
      <w:r>
        <w:rPr>
          <w:rFonts w:hint="eastAsia" w:ascii="仿宋" w:hAnsi="仿宋" w:eastAsia="仿宋"/>
          <w:color w:val="auto"/>
          <w:sz w:val="28"/>
          <w:szCs w:val="28"/>
        </w:rPr>
        <w:t xml:space="preserve">江苏省南通中等专业学校工业互联网实训室建设项目</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3.预算金额：</w:t>
      </w:r>
      <w:bookmarkStart w:id="13" w:name="_Toc28359080"/>
      <w:r>
        <w:rPr>
          <w:color w:val="auto"/>
        </w:rPr>
      </w:r>
      <w:bookmarkStart w:id="14" w:name="_Toc28359003"/>
      <w:r>
        <w:rPr>
          <w:color w:val="auto"/>
        </w:rPr>
      </w:r>
      <w:bookmarkStart w:id="15" w:name="_Toc38985264"/>
      <w:r>
        <w:rPr>
          <w:color w:val="auto"/>
        </w:rPr>
      </w:r>
      <w:bookmarkStart w:id="16" w:name="_Toc35393622"/>
      <w:r>
        <w:rPr>
          <w:color w:val="auto"/>
        </w:rPr>
      </w:r>
      <w:bookmarkStart w:id="17" w:name="_Toc35393791"/>
      <w:r>
        <w:rPr>
          <w:rFonts w:hint="eastAsia" w:ascii="仿宋" w:hAnsi="仿宋" w:eastAsia="仿宋"/>
          <w:color w:val="auto"/>
          <w:sz w:val="28"/>
          <w:szCs w:val="28"/>
        </w:rPr>
        <w:t xml:space="preserve">47 万元</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4.最高限价：</w:t>
      </w:r>
      <w:r>
        <w:rPr>
          <w:rFonts w:hint="eastAsia" w:ascii="仿宋" w:hAnsi="仿宋" w:eastAsia="仿宋"/>
          <w:color w:val="auto"/>
          <w:sz w:val="28"/>
          <w:szCs w:val="28"/>
          <w:lang w:val="en-US" w:eastAsia="zh-CN"/>
        </w:rPr>
        <w:t xml:space="preserve">43</w:t>
      </w:r>
      <w:r>
        <w:rPr>
          <w:rFonts w:hint="eastAsia" w:ascii="仿宋" w:hAnsi="仿宋" w:eastAsia="仿宋"/>
          <w:color w:val="auto"/>
          <w:sz w:val="28"/>
          <w:szCs w:val="28"/>
        </w:rPr>
        <w:t xml:space="preserve">万元</w:t>
      </w:r>
      <w:r>
        <w:rPr>
          <w:color w:val="auto"/>
        </w:rPr>
      </w:r>
      <w:r/>
    </w:p>
    <w:p>
      <w:pPr>
        <w:ind w:firstLine="560"/>
        <w:spacing w:after="62" w:line="480" w:lineRule="exact"/>
        <w:rPr>
          <w:rFonts w:eastAsia="仿宋"/>
          <w:color w:val="auto"/>
          <w:sz w:val="28"/>
          <w:szCs w:val="28"/>
        </w:rPr>
      </w:pPr>
      <w:r>
        <w:rPr>
          <w:rFonts w:hint="eastAsia" w:ascii="仿宋" w:hAnsi="仿宋" w:eastAsia="仿宋"/>
          <w:color w:val="auto"/>
          <w:sz w:val="28"/>
          <w:szCs w:val="28"/>
        </w:rPr>
        <w:t xml:space="preserve">5.采购需求（简介）：详见采购文件第四章</w:t>
      </w:r>
      <w:r>
        <w:rPr>
          <w:rFonts w:eastAsia="仿宋"/>
          <w:color w:val="auto"/>
          <w:sz w:val="28"/>
          <w:szCs w:val="28"/>
        </w:rPr>
        <w:t xml:space="preserve">。</w:t>
      </w:r>
      <w:r>
        <w:rPr>
          <w:color w:val="auto"/>
        </w:rPr>
      </w:r>
      <w:r/>
    </w:p>
    <w:p>
      <w:pPr>
        <w:ind w:firstLine="560"/>
        <w:spacing w:line="480" w:lineRule="exact"/>
        <w:rPr>
          <w:rFonts w:eastAsia="仿宋"/>
          <w:color w:val="auto"/>
          <w:sz w:val="28"/>
          <w:szCs w:val="28"/>
        </w:rPr>
      </w:pPr>
      <w:r>
        <w:rPr>
          <w:rFonts w:eastAsia="仿宋"/>
          <w:color w:val="auto"/>
          <w:sz w:val="28"/>
          <w:szCs w:val="28"/>
        </w:rPr>
        <w:t xml:space="preserve">6.合同履行期限：</w:t>
      </w:r>
      <w:r>
        <w:rPr>
          <w:rFonts w:hint="eastAsia" w:eastAsia="仿宋"/>
          <w:color w:val="auto"/>
          <w:sz w:val="28"/>
          <w:szCs w:val="28"/>
        </w:rPr>
        <w:t xml:space="preserve">2026年12月15日前完成供货安装调试，并通过采购人验收。</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二、申请人的资格要求：</w:t>
      </w:r>
      <w:bookmarkEnd w:id="13"/>
      <w:r>
        <w:rPr>
          <w:color w:val="auto"/>
        </w:rPr>
      </w:r>
      <w:bookmarkEnd w:id="14"/>
      <w:r>
        <w:rPr>
          <w:color w:val="auto"/>
        </w:rPr>
      </w:r>
      <w:bookmarkEnd w:id="15"/>
      <w:r>
        <w:rPr>
          <w:color w:val="auto"/>
        </w:rPr>
      </w:r>
      <w:bookmarkEnd w:id="16"/>
      <w:r>
        <w:rPr>
          <w:color w:val="auto"/>
        </w:rPr>
      </w:r>
      <w:bookmarkEnd w:id="17"/>
      <w:r>
        <w:rPr>
          <w:color w:val="auto"/>
        </w:rPr>
      </w:r>
      <w:r/>
    </w:p>
    <w:p>
      <w:pPr>
        <w:ind w:firstLine="560"/>
        <w:spacing w:line="480" w:lineRule="exact"/>
        <w:rPr>
          <w:rFonts w:ascii="仿宋" w:hAnsi="仿宋" w:eastAsia="仿宋"/>
          <w:color w:val="auto"/>
          <w:sz w:val="28"/>
          <w:szCs w:val="28"/>
        </w:rPr>
      </w:pPr>
      <w:r>
        <w:rPr>
          <w:color w:val="auto"/>
        </w:rPr>
      </w:r>
      <w:bookmarkStart w:id="18" w:name="_Toc35393623"/>
      <w:r>
        <w:rPr>
          <w:color w:val="auto"/>
        </w:rPr>
      </w:r>
      <w:bookmarkStart w:id="19" w:name="_Toc28359081"/>
      <w:r>
        <w:rPr>
          <w:color w:val="auto"/>
        </w:rPr>
      </w:r>
      <w:bookmarkStart w:id="20" w:name="_Toc28359004"/>
      <w:r>
        <w:rPr>
          <w:color w:val="auto"/>
        </w:rPr>
      </w:r>
      <w:bookmarkStart w:id="21" w:name="_Toc38985265"/>
      <w:r>
        <w:rPr>
          <w:color w:val="auto"/>
        </w:rPr>
      </w:r>
      <w:bookmarkStart w:id="22" w:name="_Toc35393792"/>
      <w:r>
        <w:rPr>
          <w:rFonts w:hint="eastAsia" w:ascii="仿宋" w:hAnsi="仿宋" w:eastAsia="仿宋"/>
          <w:color w:val="auto"/>
          <w:sz w:val="28"/>
          <w:szCs w:val="28"/>
        </w:rPr>
        <w:t xml:space="preserve">（一</w:t>
      </w:r>
      <w:r>
        <w:rPr>
          <w:rFonts w:ascii="仿宋" w:hAnsi="仿宋" w:eastAsia="仿宋"/>
          <w:color w:val="auto"/>
          <w:sz w:val="28"/>
          <w:szCs w:val="28"/>
        </w:rPr>
        <w:t xml:space="preserve">）</w:t>
      </w:r>
      <w:r>
        <w:rPr>
          <w:rFonts w:hint="eastAsia" w:ascii="仿宋" w:hAnsi="仿宋" w:eastAsia="仿宋"/>
          <w:color w:val="auto"/>
          <w:sz w:val="28"/>
          <w:szCs w:val="28"/>
        </w:rPr>
        <w:t xml:space="preserve">通用</w:t>
      </w:r>
      <w:r>
        <w:rPr>
          <w:rFonts w:ascii="仿宋" w:hAnsi="仿宋" w:eastAsia="仿宋"/>
          <w:color w:val="auto"/>
          <w:sz w:val="28"/>
          <w:szCs w:val="28"/>
        </w:rPr>
        <w:t xml:space="preserve">资格要求</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1.满足《中华人民共和国政府采购法》第二十二条规定。（提供声明函）</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4.本项目不接受联合体投标。</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5.本项目不接受分包。</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（二）本项目的特定资格要求：无</w:t>
      </w:r>
      <w:r>
        <w:rPr>
          <w:color w:val="auto"/>
        </w:rPr>
      </w:r>
      <w:r/>
    </w:p>
    <w:p>
      <w:pPr>
        <w:keepLines/>
        <w:keepNext/>
        <w:spacing w:before="120" w:after="120" w:line="480" w:lineRule="exact"/>
        <w:rPr>
          <w:rFonts w:ascii="仿宋" w:hAnsi="仿宋" w:eastAsia="仿宋"/>
          <w:b/>
          <w:bCs/>
          <w:color w:val="auto"/>
          <w:sz w:val="28"/>
          <w:szCs w:val="28"/>
        </w:rPr>
        <w:outlineLvl w:val="2"/>
      </w:pPr>
      <w:r>
        <w:rPr>
          <w:rFonts w:hint="eastAsia" w:ascii="仿宋" w:hAnsi="仿宋" w:eastAsia="仿宋"/>
          <w:b/>
          <w:bCs/>
          <w:color w:val="auto"/>
          <w:sz w:val="28"/>
          <w:szCs w:val="28"/>
        </w:rPr>
        <w:t xml:space="preserve">三、获取招标文件</w:t>
      </w:r>
      <w:bookmarkEnd w:id="18"/>
      <w:r>
        <w:rPr>
          <w:color w:val="auto"/>
        </w:rPr>
      </w:r>
      <w:bookmarkEnd w:id="19"/>
      <w:r>
        <w:rPr>
          <w:color w:val="auto"/>
        </w:rPr>
      </w:r>
      <w:bookmarkEnd w:id="20"/>
      <w:r>
        <w:rPr>
          <w:color w:val="auto"/>
        </w:rPr>
      </w:r>
      <w:bookmarkEnd w:id="21"/>
      <w:r>
        <w:rPr>
          <w:color w:val="auto"/>
        </w:rPr>
      </w:r>
      <w:bookmarkEnd w:id="22"/>
      <w:r>
        <w:rPr>
          <w:color w:val="auto"/>
        </w:rPr>
      </w:r>
      <w:r/>
    </w:p>
    <w:p>
      <w:pPr>
        <w:ind w:firstLine="540"/>
        <w:spacing w:line="480" w:lineRule="exact"/>
        <w:rPr>
          <w:rFonts w:ascii="仿宋" w:hAnsi="仿宋" w:eastAsia="仿宋" w:cs="宋体"/>
          <w:color w:val="auto"/>
          <w:sz w:val="28"/>
          <w:szCs w:val="28"/>
        </w:rPr>
      </w:pPr>
      <w:r>
        <w:rPr>
          <w:color w:val="auto"/>
        </w:rPr>
      </w:r>
      <w:bookmarkStart w:id="23" w:name="_Toc28359082"/>
      <w:r>
        <w:rPr>
          <w:color w:val="auto"/>
        </w:rPr>
      </w:r>
      <w:bookmarkStart w:id="24" w:name="_Toc28359005"/>
      <w:r>
        <w:rPr>
          <w:color w:val="auto"/>
        </w:rPr>
      </w:r>
      <w:bookmarkStart w:id="25" w:name="_Toc35393624"/>
      <w:r>
        <w:rPr>
          <w:color w:val="auto"/>
        </w:rPr>
      </w:r>
      <w:bookmarkStart w:id="26" w:name="_Toc35393793"/>
      <w:r>
        <w:rPr>
          <w:color w:val="auto"/>
        </w:rPr>
      </w:r>
      <w:bookmarkStart w:id="27" w:name="_Toc38985266"/>
      <w:r>
        <w:rPr>
          <w:rFonts w:hint="eastAsia" w:ascii="仿宋" w:hAnsi="仿宋" w:eastAsia="仿宋" w:cs="宋体"/>
          <w:color w:val="auto"/>
          <w:sz w:val="28"/>
          <w:szCs w:val="28"/>
        </w:rPr>
        <w:t xml:space="preserve">1.时间：2026年9月30日00:00至</w:t>
      </w:r>
      <w:r>
        <w:rPr>
          <w:rFonts w:hint="eastAsia" w:ascii="仿宋" w:hAnsi="仿宋" w:eastAsia="仿宋"/>
          <w:bCs/>
          <w:color w:val="auto"/>
          <w:sz w:val="28"/>
          <w:szCs w:val="28"/>
        </w:rPr>
        <w:t xml:space="preserve">2026年10月21日14:00</w:t>
      </w:r>
      <w:r>
        <w:rPr>
          <w:rFonts w:hint="eastAsia" w:ascii="仿宋" w:hAnsi="仿宋" w:eastAsia="仿宋" w:cs="宋体"/>
          <w:color w:val="auto"/>
          <w:sz w:val="28"/>
          <w:szCs w:val="28"/>
        </w:rPr>
        <w:t xml:space="preserve">（北京时间，法定节假日除外）</w:t>
      </w:r>
      <w:r>
        <w:rPr>
          <w:color w:val="auto"/>
        </w:rPr>
      </w:r>
      <w:r/>
    </w:p>
    <w:p>
      <w:pPr>
        <w:ind w:firstLine="540"/>
        <w:spacing w:line="480" w:lineRule="exact"/>
        <w:rPr>
          <w:rFonts w:ascii="仿宋" w:hAnsi="仿宋" w:eastAsia="仿宋" w:cs="宋体"/>
          <w:color w:val="auto"/>
          <w:sz w:val="28"/>
          <w:szCs w:val="28"/>
          <w:u w:val="single"/>
        </w:rPr>
      </w:pPr>
      <w:r>
        <w:rPr>
          <w:rFonts w:hint="eastAsia" w:ascii="仿宋" w:hAnsi="仿宋" w:eastAsia="仿宋" w:cs="宋体"/>
          <w:color w:val="auto"/>
          <w:sz w:val="28"/>
          <w:szCs w:val="28"/>
        </w:rPr>
        <w:t xml:space="preserve">2.方式：在“江苏政府采购网”自行免费下载招标文件。</w:t>
      </w:r>
      <w:r>
        <w:rPr>
          <w:color w:val="auto"/>
        </w:rPr>
      </w:r>
      <w:r/>
    </w:p>
    <w:p>
      <w:pPr>
        <w:keepLines/>
        <w:keepNext/>
        <w:spacing w:before="120" w:after="120" w:line="480" w:lineRule="exact"/>
        <w:rPr>
          <w:rFonts w:ascii="仿宋" w:hAnsi="仿宋" w:eastAsia="仿宋"/>
          <w:b/>
          <w:bCs/>
          <w:color w:val="auto"/>
          <w:sz w:val="28"/>
          <w:szCs w:val="28"/>
        </w:rPr>
        <w:outlineLvl w:val="2"/>
      </w:pPr>
      <w:r>
        <w:rPr>
          <w:rFonts w:hint="eastAsia" w:ascii="仿宋" w:hAnsi="仿宋" w:eastAsia="仿宋"/>
          <w:b/>
          <w:bCs/>
          <w:color w:val="auto"/>
          <w:sz w:val="28"/>
          <w:szCs w:val="28"/>
        </w:rPr>
        <w:t xml:space="preserve">四、提交投标文件</w:t>
      </w:r>
      <w:bookmarkEnd w:id="23"/>
      <w:r>
        <w:rPr>
          <w:color w:val="auto"/>
        </w:rPr>
      </w:r>
      <w:bookmarkEnd w:id="24"/>
      <w:r>
        <w:rPr>
          <w:rFonts w:hint="eastAsia" w:ascii="仿宋" w:hAnsi="仿宋" w:eastAsia="仿宋"/>
          <w:b/>
          <w:bCs/>
          <w:color w:val="auto"/>
          <w:sz w:val="28"/>
          <w:szCs w:val="28"/>
        </w:rPr>
        <w:t xml:space="preserve">截止时间、开标时间和地点</w:t>
      </w:r>
      <w:bookmarkEnd w:id="25"/>
      <w:r>
        <w:rPr>
          <w:color w:val="auto"/>
        </w:rPr>
      </w:r>
      <w:bookmarkEnd w:id="26"/>
      <w:r>
        <w:rPr>
          <w:color w:val="auto"/>
        </w:rPr>
      </w:r>
      <w:bookmarkEnd w:id="27"/>
      <w:r>
        <w:rPr>
          <w:color w:val="auto"/>
        </w:rPr>
      </w:r>
      <w:r/>
    </w:p>
    <w:p>
      <w:pPr>
        <w:ind w:firstLine="560"/>
        <w:spacing w:line="480" w:lineRule="exact"/>
        <w:rPr>
          <w:rFonts w:ascii="仿宋" w:hAnsi="仿宋" w:eastAsia="仿宋" w:cs="宋体"/>
          <w:i/>
          <w:color w:val="auto"/>
          <w:sz w:val="28"/>
          <w:szCs w:val="28"/>
        </w:rPr>
      </w:pPr>
      <w:r>
        <w:rPr>
          <w:rFonts w:hint="eastAsia" w:ascii="仿宋" w:hAnsi="仿宋" w:eastAsia="仿宋"/>
          <w:bCs/>
          <w:color w:val="auto"/>
          <w:sz w:val="28"/>
          <w:szCs w:val="28"/>
        </w:rPr>
        <w:t xml:space="preserve">1.2026年10月21日14:00（北京时间）</w:t>
      </w:r>
      <w:r>
        <w:rPr>
          <w:color w:val="auto"/>
        </w:rPr>
      </w:r>
      <w:r/>
    </w:p>
    <w:p>
      <w:pPr>
        <w:ind w:firstLine="560"/>
        <w:spacing w:line="480" w:lineRule="exact"/>
        <w:rPr>
          <w:rFonts w:ascii="仿宋" w:hAnsi="仿宋" w:eastAsia="仿宋"/>
          <w:bCs/>
          <w:color w:val="auto"/>
          <w:sz w:val="28"/>
          <w:szCs w:val="28"/>
          <w:u w:val="single"/>
        </w:rPr>
      </w:pPr>
      <w:r>
        <w:rPr>
          <w:rFonts w:hint="eastAsia" w:ascii="仿宋" w:hAnsi="仿宋" w:eastAsia="仿宋"/>
          <w:color w:val="auto"/>
          <w:sz w:val="28"/>
          <w:szCs w:val="28"/>
        </w:rPr>
        <w:t xml:space="preserve">2.地点：“苏采云”政府采购交易系统网上开标大厅</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28" w:name="_Toc28359007"/>
      <w:r>
        <w:rPr>
          <w:color w:val="auto"/>
        </w:rPr>
      </w:r>
      <w:bookmarkStart w:id="29" w:name="_Toc28359084"/>
      <w:r>
        <w:rPr>
          <w:color w:val="auto"/>
        </w:rPr>
      </w:r>
      <w:bookmarkStart w:id="30" w:name="_Toc35393625"/>
      <w:r>
        <w:rPr>
          <w:color w:val="auto"/>
        </w:rPr>
      </w:r>
      <w:bookmarkStart w:id="31" w:name="_Toc38985267"/>
      <w:r>
        <w:rPr>
          <w:color w:val="auto"/>
        </w:rPr>
      </w:r>
      <w:bookmarkStart w:id="32" w:name="_Toc35393794"/>
      <w:r>
        <w:rPr>
          <w:rFonts w:hint="eastAsia" w:ascii="仿宋" w:hAnsi="仿宋" w:eastAsia="仿宋"/>
          <w:b/>
          <w:bCs/>
          <w:color w:val="auto"/>
          <w:sz w:val="28"/>
          <w:szCs w:val="28"/>
        </w:rPr>
        <w:t xml:space="preserve">五、公告期限</w:t>
      </w:r>
      <w:bookmarkEnd w:id="28"/>
      <w:r>
        <w:rPr>
          <w:color w:val="auto"/>
        </w:rPr>
      </w:r>
      <w:bookmarkEnd w:id="29"/>
      <w:r>
        <w:rPr>
          <w:color w:val="auto"/>
        </w:rPr>
      </w:r>
      <w:bookmarkEnd w:id="30"/>
      <w:r>
        <w:rPr>
          <w:color w:val="auto"/>
        </w:rPr>
      </w:r>
      <w:bookmarkEnd w:id="31"/>
      <w:r>
        <w:rPr>
          <w:color w:val="auto"/>
        </w:rPr>
      </w:r>
      <w:bookmarkEnd w:id="32"/>
      <w:r>
        <w:rPr>
          <w:color w:val="auto"/>
        </w:rPr>
      </w:r>
      <w:r/>
    </w:p>
    <w:p>
      <w:pPr>
        <w:ind w:firstLine="560"/>
        <w:spacing w:line="480" w:lineRule="exact"/>
        <w:rPr>
          <w:rFonts w:ascii="仿宋" w:hAnsi="仿宋" w:eastAsia="仿宋" w:cs="宋体"/>
          <w:color w:val="auto"/>
          <w:sz w:val="28"/>
          <w:szCs w:val="28"/>
        </w:rPr>
      </w:pPr>
      <w:r>
        <w:rPr>
          <w:color w:val="auto"/>
        </w:rPr>
      </w:r>
      <w:bookmarkStart w:id="33" w:name="_Toc35393626"/>
      <w:r>
        <w:rPr>
          <w:color w:val="auto"/>
        </w:rPr>
      </w:r>
      <w:bookmarkStart w:id="34" w:name="_Toc38985268"/>
      <w:r>
        <w:rPr>
          <w:color w:val="auto"/>
        </w:rPr>
      </w:r>
      <w:bookmarkStart w:id="35" w:name="_Toc35393795"/>
      <w:r>
        <w:rPr>
          <w:rFonts w:hint="eastAsia" w:ascii="仿宋" w:hAnsi="仿宋" w:eastAsia="仿宋" w:cs="宋体"/>
          <w:color w:val="auto"/>
          <w:sz w:val="28"/>
          <w:szCs w:val="28"/>
        </w:rPr>
        <w:t xml:space="preserve">招标文件公告期限为自本公告发布之日起5个工作日。</w:t>
      </w:r>
      <w:r>
        <w:rPr>
          <w:color w:val="auto"/>
        </w:rPr>
      </w:r>
      <w:r/>
    </w:p>
    <w:p>
      <w:pPr>
        <w:keepLines/>
        <w:keepNext/>
        <w:spacing w:before="120" w:after="120" w:line="480" w:lineRule="exact"/>
        <w:rPr>
          <w:rFonts w:ascii="仿宋" w:hAnsi="仿宋" w:eastAsia="仿宋"/>
          <w:b/>
          <w:bCs/>
          <w:color w:val="auto"/>
          <w:sz w:val="28"/>
          <w:szCs w:val="28"/>
        </w:rPr>
        <w:outlineLvl w:val="2"/>
      </w:pPr>
      <w:r>
        <w:rPr>
          <w:rFonts w:hint="eastAsia" w:ascii="仿宋" w:hAnsi="仿宋" w:eastAsia="仿宋"/>
          <w:b/>
          <w:bCs/>
          <w:color w:val="auto"/>
          <w:sz w:val="28"/>
          <w:szCs w:val="28"/>
        </w:rPr>
        <w:t xml:space="preserve">六、其他补充事宜</w:t>
      </w:r>
      <w:bookmarkEnd w:id="33"/>
      <w:r>
        <w:rPr>
          <w:color w:val="auto"/>
        </w:rPr>
      </w:r>
      <w:bookmarkEnd w:id="34"/>
      <w:r>
        <w:rPr>
          <w:color w:val="auto"/>
        </w:rPr>
      </w:r>
      <w:bookmarkEnd w:id="35"/>
      <w:r>
        <w:rPr>
          <w:color w:val="auto"/>
        </w:rPr>
      </w:r>
      <w:r/>
    </w:p>
    <w:p>
      <w:pPr>
        <w:ind w:right="119"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投标保证金：免收</w:t>
      </w:r>
      <w:r>
        <w:rPr>
          <w:color w:val="auto"/>
        </w:rPr>
      </w:r>
      <w:r/>
    </w:p>
    <w:p>
      <w:pPr>
        <w:ind w:right="119"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ascii="仿宋" w:hAnsi="仿宋" w:eastAsia="仿宋" w:cs="宋体"/>
          <w:color w:val="auto"/>
          <w:sz w:val="28"/>
          <w:szCs w:val="28"/>
        </w:rPr>
        <w:t xml:space="preserve">项目演示、样品、答辩等：</w:t>
      </w:r>
      <w:r>
        <w:rPr>
          <w:rFonts w:hint="eastAsia" w:ascii="仿宋" w:hAnsi="仿宋" w:eastAsia="仿宋" w:cs="宋体"/>
          <w:color w:val="auto"/>
          <w:sz w:val="28"/>
          <w:szCs w:val="28"/>
        </w:rPr>
        <w:t xml:space="preserve">详见采购文件</w:t>
      </w:r>
      <w:r>
        <w:rPr>
          <w:color w:val="auto"/>
        </w:rPr>
      </w:r>
      <w:r/>
    </w:p>
    <w:p>
      <w:pPr>
        <w:ind w:right="119"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auto"/>
        </w:rPr>
      </w:r>
      <w:r/>
    </w:p>
    <w:p>
      <w:pPr>
        <w:ind w:right="119"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4.有关本次招标的事项若存在变动或修改，均以江苏政府采购网发布的更正或补充通知为准，敬请及时关注。</w:t>
      </w:r>
      <w:r>
        <w:rPr>
          <w:color w:val="auto"/>
        </w:rPr>
      </w:r>
      <w:r/>
    </w:p>
    <w:p>
      <w:pPr>
        <w:ind w:right="119"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color w:val="auto"/>
        </w:rPr>
      </w:r>
      <w:r/>
    </w:p>
    <w:p>
      <w:pPr>
        <w:ind w:firstLine="560"/>
        <w:spacing w:line="460" w:lineRule="exact"/>
        <w:rPr>
          <w:rFonts w:ascii="仿宋" w:hAnsi="仿宋" w:eastAsia="仿宋" w:cs="宋体"/>
          <w:bCs/>
          <w:color w:val="auto"/>
          <w:sz w:val="28"/>
          <w:szCs w:val="28"/>
        </w:rPr>
      </w:pPr>
      <w:r>
        <w:rPr>
          <w:rFonts w:hint="eastAsia" w:ascii="仿宋" w:hAnsi="仿宋" w:eastAsia="仿宋" w:cs="仿宋"/>
          <w:color w:val="auto"/>
          <w:sz w:val="28"/>
          <w:szCs w:val="28"/>
        </w:rPr>
        <w:t xml:space="preserve">6.关于个体工商户及分公司参与本项目的资格补充条款，详见第二章“供应商须知”第26.1.1款附上的特别说明。</w:t>
      </w:r>
      <w:r>
        <w:rPr>
          <w:color w:val="auto"/>
        </w:rPr>
      </w:r>
      <w:r/>
    </w:p>
    <w:p>
      <w:pPr>
        <w:ind w:right="119" w:firstLine="560"/>
        <w:spacing w:line="480" w:lineRule="exact"/>
        <w:rPr>
          <w:rFonts w:ascii="仿宋" w:hAnsi="仿宋" w:eastAsia="仿宋" w:cs="宋体"/>
          <w:bCs/>
          <w:color w:val="auto"/>
          <w:sz w:val="28"/>
          <w:szCs w:val="28"/>
        </w:rPr>
      </w:pPr>
      <w:r>
        <w:rPr>
          <w:rFonts w:hint="eastAsia" w:ascii="仿宋" w:hAnsi="仿宋" w:eastAsia="仿宋" w:cs="宋体"/>
          <w:bCs/>
          <w:color w:val="auto"/>
          <w:sz w:val="28"/>
          <w:szCs w:val="28"/>
        </w:rPr>
        <w:t xml:space="preserve">7.“苏采云”系统使用相关提醒</w:t>
      </w:r>
      <w:r>
        <w:rPr>
          <w:color w:val="auto"/>
        </w:rPr>
      </w:r>
      <w:r/>
    </w:p>
    <w:p>
      <w:pPr>
        <w:ind w:right="119" w:firstLine="560"/>
        <w:jc w:val="left"/>
        <w:spacing w:line="480" w:lineRule="exact"/>
        <w:rPr>
          <w:rFonts w:ascii="仿宋" w:hAnsi="仿宋" w:eastAsia="仿宋" w:cs="宋体"/>
          <w:bCs/>
          <w:color w:val="auto"/>
          <w:sz w:val="28"/>
          <w:szCs w:val="28"/>
        </w:rPr>
      </w:pPr>
      <w:r>
        <w:rPr>
          <w:rFonts w:hint="eastAsia" w:ascii="仿宋" w:hAnsi="仿宋" w:eastAsia="仿宋" w:cs="宋体"/>
          <w:bCs/>
          <w:color w:val="auto"/>
          <w:sz w:val="28"/>
          <w:szCs w:val="28"/>
        </w:rPr>
        <w:t xml:space="preserve">7.1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color w:val="auto"/>
        </w:rPr>
      </w:r>
      <w:r/>
    </w:p>
    <w:p>
      <w:pPr>
        <w:ind w:right="119"/>
        <w:jc w:val="left"/>
        <w:spacing w:line="480" w:lineRule="exact"/>
        <w:rPr>
          <w:rFonts w:ascii="仿宋" w:hAnsi="仿宋" w:eastAsia="仿宋" w:cs="宋体"/>
          <w:bCs/>
          <w:color w:val="auto"/>
          <w:sz w:val="24"/>
          <w:szCs w:val="24"/>
        </w:rPr>
      </w:pPr>
      <w:r>
        <w:rPr>
          <w:rFonts w:hint="eastAsia" w:ascii="仿宋" w:hAnsi="仿宋" w:eastAsia="仿宋" w:cs="宋体"/>
          <w:bCs/>
          <w:color w:val="auto"/>
          <w:sz w:val="24"/>
          <w:szCs w:val="24"/>
        </w:rPr>
        <w:t xml:space="preserve">http://www.ccgp-jiangsu.gov.cn/jiangsu/zlxz/ee/ee3a4bc5a3454aa2b0d9312230633ce9.html</w:t>
      </w:r>
      <w:r>
        <w:rPr>
          <w:color w:val="auto"/>
        </w:rPr>
      </w:r>
      <w:r/>
    </w:p>
    <w:p>
      <w:pPr>
        <w:ind w:right="119" w:firstLine="560"/>
        <w:spacing w:line="480" w:lineRule="exact"/>
        <w:rPr>
          <w:rFonts w:ascii="仿宋" w:hAnsi="仿宋" w:eastAsia="仿宋" w:cs="宋体"/>
          <w:bCs/>
          <w:color w:val="auto"/>
          <w:sz w:val="28"/>
          <w:szCs w:val="28"/>
        </w:rPr>
      </w:pPr>
      <w:r>
        <w:rPr>
          <w:rFonts w:hint="eastAsia" w:ascii="仿宋" w:hAnsi="仿宋" w:eastAsia="仿宋" w:cs="宋体"/>
          <w:bCs/>
          <w:color w:val="auto"/>
          <w:sz w:val="28"/>
          <w:szCs w:val="28"/>
        </w:rPr>
        <w:t xml:space="preserve">7.2领取CA和办理电子签章请至南通市政务服务中心裙楼四楼CA办理窗口办理，详见《江苏省政府采购数字证书（供应商）</w:t>
      </w:r>
      <w:r>
        <w:rPr>
          <w:rFonts w:hint="eastAsia" w:ascii="仿宋" w:hAnsi="仿宋" w:eastAsia="仿宋" w:cs="仿宋"/>
          <w:bCs/>
          <w:color w:val="auto"/>
          <w:sz w:val="28"/>
          <w:szCs w:val="28"/>
        </w:rPr>
        <w:t xml:space="preserve">CA</w:t>
      </w:r>
      <w:r>
        <w:rPr>
          <w:rFonts w:hint="eastAsia" w:ascii="仿宋" w:hAnsi="仿宋" w:eastAsia="仿宋" w:cs="宋体"/>
          <w:bCs/>
          <w:color w:val="auto"/>
          <w:sz w:val="28"/>
          <w:szCs w:val="28"/>
        </w:rPr>
        <w:t xml:space="preserve">及电子签章办理指南》，请及时进行注册并按要求制作、上传电子投标文件。</w:t>
      </w:r>
      <w:r>
        <w:rPr>
          <w:color w:val="auto"/>
        </w:rPr>
      </w:r>
      <w:r/>
    </w:p>
    <w:p>
      <w:pPr>
        <w:ind w:right="119" w:firstLine="560"/>
        <w:spacing w:line="480" w:lineRule="exact"/>
        <w:rPr>
          <w:rFonts w:ascii="仿宋" w:hAnsi="仿宋" w:eastAsia="仿宋" w:cs="宋体"/>
          <w:b/>
          <w:color w:val="auto"/>
          <w:sz w:val="28"/>
          <w:szCs w:val="28"/>
        </w:rPr>
      </w:pPr>
      <w:r>
        <w:rPr>
          <w:rFonts w:hint="eastAsia" w:ascii="仿宋" w:hAnsi="仿宋" w:eastAsia="仿宋" w:cs="宋体"/>
          <w:bCs/>
          <w:color w:val="auto"/>
          <w:sz w:val="28"/>
          <w:szCs w:val="28"/>
        </w:rPr>
        <w:t xml:space="preserve">7.3开标当天投标供应商应及时登录“苏采云”不见面开标大厅，并在规定时</w:t>
      </w:r>
      <w:r>
        <w:rPr>
          <w:rFonts w:hint="eastAsia" w:ascii="仿宋" w:hAnsi="仿宋" w:eastAsia="仿宋" w:cs="宋体"/>
          <w:bCs/>
          <w:color w:val="auto"/>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36" w:name="_Toc35393627"/>
      <w:r>
        <w:rPr>
          <w:color w:val="auto"/>
        </w:rPr>
      </w:r>
      <w:bookmarkStart w:id="37" w:name="_Toc38985269"/>
      <w:r>
        <w:rPr>
          <w:color w:val="auto"/>
        </w:rPr>
      </w:r>
      <w:bookmarkStart w:id="38" w:name="_Toc28359085"/>
      <w:r>
        <w:rPr>
          <w:color w:val="auto"/>
        </w:rPr>
      </w:r>
      <w:bookmarkStart w:id="39" w:name="_Toc35393796"/>
      <w:r>
        <w:rPr>
          <w:color w:val="auto"/>
        </w:rPr>
      </w:r>
      <w:bookmarkStart w:id="40" w:name="_Toc28359008"/>
      <w:r>
        <w:rPr>
          <w:rFonts w:hint="eastAsia" w:ascii="仿宋" w:hAnsi="仿宋" w:eastAsia="仿宋"/>
          <w:b/>
          <w:bCs/>
          <w:color w:val="auto"/>
          <w:sz w:val="28"/>
          <w:szCs w:val="28"/>
        </w:rPr>
        <w:t xml:space="preserve">七、本次招标联系方式</w:t>
      </w:r>
      <w:bookmarkEnd w:id="36"/>
      <w:r>
        <w:rPr>
          <w:color w:val="auto"/>
        </w:rPr>
      </w:r>
      <w:bookmarkEnd w:id="37"/>
      <w:r>
        <w:rPr>
          <w:color w:val="auto"/>
        </w:rPr>
      </w:r>
      <w:bookmarkEnd w:id="38"/>
      <w:r>
        <w:rPr>
          <w:color w:val="auto"/>
        </w:rPr>
      </w:r>
      <w:bookmarkEnd w:id="39"/>
      <w:r>
        <w:rPr>
          <w:color w:val="auto"/>
        </w:rPr>
      </w:r>
      <w:bookmarkEnd w:id="40"/>
      <w:r>
        <w:rPr>
          <w:color w:val="auto"/>
        </w:rPr>
      </w:r>
      <w:r/>
    </w:p>
    <w:p>
      <w:pPr>
        <w:jc w:val="left"/>
        <w:spacing w:line="560" w:lineRule="exact"/>
        <w:widowControl/>
        <w:rPr>
          <w:rFonts w:ascii="仿宋" w:hAnsi="仿宋" w:eastAsia="仿宋"/>
          <w:color w:val="auto"/>
          <w:sz w:val="28"/>
          <w:szCs w:val="28"/>
        </w:rPr>
      </w:pPr>
      <w:r>
        <w:rPr>
          <w:rFonts w:hint="eastAsia" w:ascii="仿宋" w:hAnsi="仿宋" w:eastAsia="仿宋" w:cs="宋体"/>
          <w:color w:val="auto"/>
          <w:sz w:val="28"/>
          <w:szCs w:val="28"/>
        </w:rPr>
        <w:t xml:space="preserve">　</w:t>
      </w:r>
      <w:bookmarkStart w:id="41" w:name="_Toc28359010"/>
      <w:r>
        <w:rPr>
          <w:color w:val="auto"/>
        </w:rPr>
      </w:r>
      <w:bookmarkStart w:id="42" w:name="_Toc28359087"/>
      <w:r>
        <w:rPr>
          <w:rFonts w:hint="eastAsia" w:ascii="仿宋" w:hAnsi="仿宋" w:eastAsia="仿宋" w:cs="宋体"/>
          <w:color w:val="auto"/>
          <w:sz w:val="28"/>
          <w:szCs w:val="28"/>
        </w:rPr>
        <w:t xml:space="preserve">1.采购人信息</w:t>
      </w:r>
      <w:r>
        <w:rPr>
          <w:color w:val="auto"/>
        </w:rPr>
      </w:r>
      <w:r/>
    </w:p>
    <w:p>
      <w:pPr>
        <w:ind w:firstLine="280"/>
        <w:jc w:val="left"/>
        <w:spacing w:line="560" w:lineRule="exact"/>
        <w:rPr>
          <w:rFonts w:ascii="仿宋" w:hAnsi="仿宋" w:eastAsia="仿宋"/>
          <w:color w:val="auto"/>
          <w:sz w:val="28"/>
          <w:szCs w:val="28"/>
        </w:rPr>
      </w:pPr>
      <w:r>
        <w:rPr>
          <w:rFonts w:hint="eastAsia" w:ascii="仿宋" w:hAnsi="仿宋" w:eastAsia="仿宋"/>
          <w:color w:val="auto"/>
          <w:sz w:val="28"/>
          <w:szCs w:val="28"/>
        </w:rPr>
        <w:t xml:space="preserve">名称：江苏省南通中等专业学校</w:t>
      </w:r>
      <w:r>
        <w:rPr>
          <w:color w:val="auto"/>
        </w:rPr>
      </w:r>
      <w:r/>
    </w:p>
    <w:p>
      <w:pPr>
        <w:ind w:firstLine="280"/>
        <w:jc w:val="left"/>
        <w:spacing w:line="560" w:lineRule="exact"/>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rPr>
        <w:t xml:space="preserve">江苏省南通市崇川区通宁大道8号</w:t>
      </w:r>
      <w:r>
        <w:rPr>
          <w:color w:val="auto"/>
        </w:rPr>
      </w:r>
      <w:r/>
    </w:p>
    <w:p>
      <w:pPr>
        <w:ind w:firstLine="280"/>
        <w:jc w:val="left"/>
        <w:spacing w:line="560" w:lineRule="exact"/>
        <w:rPr>
          <w:rFonts w:ascii="仿宋" w:hAnsi="仿宋" w:eastAsia="仿宋"/>
          <w:color w:val="auto"/>
          <w:sz w:val="28"/>
          <w:szCs w:val="28"/>
        </w:rPr>
      </w:pPr>
      <w:r>
        <w:rPr>
          <w:rFonts w:hint="eastAsia" w:ascii="仿宋" w:hAnsi="仿宋" w:eastAsia="仿宋"/>
          <w:color w:val="auto"/>
          <w:sz w:val="28"/>
          <w:szCs w:val="28"/>
        </w:rPr>
        <w:t xml:space="preserve">联系人：王老师</w:t>
      </w:r>
      <w:r>
        <w:rPr>
          <w:color w:val="auto"/>
        </w:rPr>
      </w:r>
      <w:r/>
    </w:p>
    <w:p>
      <w:pPr>
        <w:ind w:firstLine="280"/>
        <w:jc w:val="left"/>
        <w:spacing w:line="560" w:lineRule="exact"/>
        <w:rPr>
          <w:rFonts w:ascii="仿宋" w:hAnsi="仿宋" w:eastAsia="仿宋"/>
          <w:color w:val="auto"/>
          <w:sz w:val="28"/>
          <w:szCs w:val="28"/>
        </w:rPr>
      </w:pPr>
      <w:r>
        <w:rPr>
          <w:rFonts w:hint="eastAsia" w:ascii="仿宋" w:hAnsi="仿宋" w:eastAsia="仿宋"/>
          <w:color w:val="auto"/>
          <w:sz w:val="28"/>
          <w:szCs w:val="28"/>
        </w:rPr>
        <w:t xml:space="preserve">联系方式：</w:t>
      </w:r>
      <w:bookmarkStart w:id="43" w:name="_Toc28359009"/>
      <w:r>
        <w:rPr>
          <w:color w:val="auto"/>
        </w:rPr>
      </w:r>
      <w:bookmarkStart w:id="44" w:name="_Toc28359086"/>
      <w:r>
        <w:rPr>
          <w:rFonts w:hint="eastAsia" w:ascii="仿宋" w:hAnsi="仿宋" w:eastAsia="仿宋"/>
          <w:color w:val="auto"/>
          <w:sz w:val="28"/>
          <w:szCs w:val="28"/>
        </w:rPr>
        <w:t xml:space="preserve">13773629531 </w:t>
      </w:r>
      <w:r>
        <w:rPr>
          <w:color w:val="auto"/>
        </w:rPr>
      </w:r>
      <w:r/>
    </w:p>
    <w:p>
      <w:pPr>
        <w:ind w:firstLine="280"/>
        <w:jc w:val="left"/>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2.采购代理机构信息</w:t>
      </w:r>
      <w:bookmarkEnd w:id="43"/>
      <w:r>
        <w:rPr>
          <w:color w:val="auto"/>
        </w:rPr>
      </w:r>
      <w:bookmarkEnd w:id="44"/>
      <w:r>
        <w:rPr>
          <w:color w:val="auto"/>
        </w:rPr>
      </w:r>
      <w:r/>
    </w:p>
    <w:p>
      <w:pPr>
        <w:ind w:firstLine="280"/>
        <w:jc w:val="left"/>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名称：南通市教育技术中心</w:t>
      </w:r>
      <w:r>
        <w:rPr>
          <w:color w:val="auto"/>
        </w:rPr>
      </w:r>
      <w:r/>
    </w:p>
    <w:p>
      <w:pPr>
        <w:ind w:firstLine="280"/>
        <w:spacing w:line="560" w:lineRule="exact"/>
        <w:rPr>
          <w:rFonts w:ascii="仿宋" w:hAnsi="仿宋" w:eastAsia="仿宋"/>
          <w:color w:val="auto"/>
          <w:sz w:val="28"/>
          <w:szCs w:val="28"/>
        </w:rPr>
      </w:pPr>
      <w:r>
        <w:rPr>
          <w:rFonts w:hint="eastAsia" w:ascii="仿宋" w:hAnsi="仿宋" w:eastAsia="仿宋"/>
          <w:color w:val="auto"/>
          <w:sz w:val="28"/>
          <w:szCs w:val="28"/>
        </w:rPr>
        <w:t xml:space="preserve">地址：</w:t>
      </w:r>
      <w:r>
        <w:rPr>
          <w:rFonts w:ascii="仿宋" w:hAnsi="仿宋" w:eastAsia="仿宋"/>
          <w:color w:val="auto"/>
          <w:sz w:val="28"/>
          <w:szCs w:val="28"/>
        </w:rPr>
        <w:t xml:space="preserve">南通市</w:t>
      </w:r>
      <w:r>
        <w:rPr>
          <w:rFonts w:hint="eastAsia" w:ascii="仿宋" w:hAnsi="仿宋" w:eastAsia="仿宋"/>
          <w:color w:val="auto"/>
          <w:sz w:val="28"/>
          <w:szCs w:val="28"/>
        </w:rPr>
        <w:t xml:space="preserve">崇川区板桥路45号</w:t>
      </w:r>
      <w:r>
        <w:rPr>
          <w:color w:val="auto"/>
        </w:rPr>
      </w:r>
      <w:r/>
    </w:p>
    <w:p>
      <w:pPr>
        <w:ind w:firstLine="280"/>
        <w:spacing w:line="560" w:lineRule="exact"/>
        <w:rPr>
          <w:rFonts w:ascii="仿宋" w:hAnsi="仿宋" w:eastAsia="仿宋"/>
          <w:color w:val="auto"/>
          <w:sz w:val="28"/>
          <w:szCs w:val="28"/>
        </w:rPr>
      </w:pPr>
      <w:r>
        <w:rPr>
          <w:rFonts w:hint="eastAsia" w:ascii="仿宋" w:hAnsi="仿宋" w:eastAsia="仿宋"/>
          <w:color w:val="auto"/>
          <w:sz w:val="28"/>
          <w:szCs w:val="28"/>
        </w:rPr>
        <w:t xml:space="preserve">联系人：成老师</w:t>
      </w:r>
      <w:r>
        <w:rPr>
          <w:color w:val="auto"/>
        </w:rPr>
      </w:r>
      <w:r/>
    </w:p>
    <w:p>
      <w:pPr>
        <w:ind w:firstLine="280"/>
        <w:spacing w:line="560" w:lineRule="exact"/>
        <w:rPr>
          <w:rFonts w:ascii="仿宋" w:hAnsi="仿宋" w:eastAsia="仿宋"/>
          <w:color w:val="auto"/>
          <w:sz w:val="28"/>
          <w:szCs w:val="28"/>
          <w:u w:val="single"/>
        </w:rPr>
      </w:pPr>
      <w:r>
        <w:rPr>
          <w:rFonts w:hint="eastAsia" w:ascii="仿宋" w:hAnsi="仿宋" w:eastAsia="仿宋"/>
          <w:color w:val="auto"/>
          <w:sz w:val="28"/>
          <w:szCs w:val="28"/>
        </w:rPr>
        <w:t xml:space="preserve">联系方式：0513-85010355</w:t>
      </w:r>
      <w:r>
        <w:rPr>
          <w:color w:val="auto"/>
        </w:rPr>
      </w:r>
      <w:r/>
    </w:p>
    <w:p>
      <w:pPr>
        <w:ind w:firstLine="280"/>
        <w:jc w:val="center"/>
        <w:spacing w:line="480" w:lineRule="exact"/>
        <w:rPr>
          <w:rFonts w:ascii="黑体" w:hAnsi="Arial" w:eastAsia="黑体" w:cs="Arial"/>
          <w:color w:val="auto"/>
          <w:sz w:val="44"/>
          <w:szCs w:val="44"/>
        </w:rPr>
      </w:pPr>
      <w:r>
        <w:rPr>
          <w:rFonts w:hint="eastAsia" w:ascii="仿宋" w:hAnsi="仿宋" w:eastAsia="仿宋"/>
          <w:color w:val="auto"/>
          <w:sz w:val="28"/>
          <w:szCs w:val="28"/>
        </w:rPr>
        <w:t xml:space="preserve">3.</w:t>
      </w:r>
      <w:bookmarkEnd w:id="41"/>
      <w:r>
        <w:rPr>
          <w:color w:val="auto"/>
        </w:rPr>
      </w:r>
      <w:bookmarkEnd w:id="42"/>
      <w:r>
        <w:rPr>
          <w:rFonts w:hint="eastAsia" w:ascii="仿宋" w:hAnsi="仿宋" w:eastAsia="仿宋"/>
          <w:color w:val="auto"/>
          <w:sz w:val="28"/>
          <w:szCs w:val="28"/>
        </w:rPr>
        <w:t xml:space="preserve">苏采云客服：0519-86722801、0519-86722806、0513-59001950</w:t>
      </w:r>
      <w:bookmarkStart w:id="45" w:name="_Toc120614211"/>
      <w:r>
        <w:rPr>
          <w:rFonts w:hint="eastAsia" w:ascii="黑体" w:hAnsi="Arial" w:eastAsia="黑体" w:cs="Arial"/>
          <w:b/>
          <w:bCs/>
          <w:color w:val="auto"/>
          <w:sz w:val="44"/>
          <w:szCs w:val="44"/>
        </w:rPr>
        <w:br w:type="page" w:clear="all"/>
      </w:r>
      <w:bookmarkStart w:id="46" w:name="_Toc26028"/>
      <w:r>
        <w:rPr>
          <w:rFonts w:hint="eastAsia" w:ascii="黑体" w:hAnsi="Arial" w:eastAsia="黑体" w:cs="Arial"/>
          <w:b/>
          <w:bCs/>
          <w:color w:val="auto"/>
          <w:sz w:val="44"/>
          <w:szCs w:val="44"/>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45"/>
      <w:r>
        <w:rPr>
          <w:color w:val="auto"/>
        </w:rPr>
      </w:r>
      <w:bookmarkStart w:id="47" w:name="_Toc120614213"/>
      <w:r>
        <w:rPr>
          <w:color w:val="auto"/>
        </w:rPr>
      </w:r>
      <w:bookmarkStart w:id="48" w:name="_Toc513029202"/>
      <w:r>
        <w:rPr>
          <w:color w:val="auto"/>
        </w:rPr>
      </w:r>
      <w:bookmarkStart w:id="49" w:name="_Toc20823274"/>
      <w:r>
        <w:rPr>
          <w:color w:val="auto"/>
        </w:rPr>
      </w:r>
      <w:bookmarkStart w:id="50" w:name="_Toc16938518"/>
      <w:r>
        <w:rPr>
          <w:rFonts w:hint="eastAsia" w:ascii="黑体" w:hAnsi="Arial" w:eastAsia="黑体" w:cs="Arial"/>
          <w:b/>
          <w:bCs/>
          <w:color w:val="auto"/>
          <w:sz w:val="44"/>
          <w:szCs w:val="44"/>
        </w:rPr>
        <w:t xml:space="preserve">投标人须知</w:t>
      </w:r>
      <w:bookmarkEnd w:id="46"/>
      <w:r>
        <w:rPr>
          <w:color w:val="auto"/>
        </w:rPr>
      </w:r>
      <w:bookmarkEnd w:id="47"/>
      <w:r>
        <w:rPr>
          <w:color w:val="auto"/>
        </w:rPr>
      </w:r>
      <w:bookmarkEnd w:id="48"/>
      <w:r>
        <w:rPr>
          <w:color w:val="auto"/>
        </w:rPr>
      </w:r>
      <w:bookmarkEnd w:id="49"/>
      <w:r>
        <w:rPr>
          <w:color w:val="auto"/>
        </w:rPr>
      </w:r>
      <w:bookmarkEnd w:id="50"/>
      <w:r>
        <w:rPr>
          <w:color w:val="auto"/>
        </w:rPr>
      </w:r>
      <w:r/>
    </w:p>
    <w:p>
      <w:pPr>
        <w:keepLines/>
        <w:keepNext/>
        <w:spacing w:line="480" w:lineRule="exact"/>
        <w:rPr>
          <w:rFonts w:ascii="仿宋" w:hAnsi="仿宋" w:eastAsia="仿宋"/>
          <w:b/>
          <w:bCs/>
          <w:color w:val="auto"/>
          <w:sz w:val="28"/>
          <w:szCs w:val="28"/>
        </w:rPr>
        <w:outlineLvl w:val="2"/>
      </w:pPr>
      <w:r>
        <w:rPr>
          <w:color w:val="auto"/>
        </w:rPr>
      </w:r>
      <w:bookmarkStart w:id="51" w:name="_Toc120614214"/>
      <w:r>
        <w:rPr>
          <w:color w:val="auto"/>
        </w:rPr>
      </w:r>
      <w:bookmarkStart w:id="52" w:name="_Toc513029203"/>
      <w:r>
        <w:rPr>
          <w:color w:val="auto"/>
        </w:rPr>
      </w:r>
      <w:bookmarkStart w:id="53" w:name="_Toc16938519"/>
      <w:r>
        <w:rPr>
          <w:color w:val="auto"/>
        </w:rPr>
      </w:r>
      <w:bookmarkStart w:id="54" w:name="_Toc20823275"/>
      <w:r>
        <w:rPr>
          <w:rFonts w:ascii="仿宋" w:hAnsi="仿宋" w:eastAsia="仿宋"/>
          <w:b/>
          <w:bCs/>
          <w:color w:val="auto"/>
          <w:sz w:val="28"/>
          <w:szCs w:val="28"/>
        </w:rPr>
        <w:t xml:space="preserve">（一）总则</w:t>
      </w:r>
      <w:bookmarkEnd w:id="51"/>
      <w:r>
        <w:rPr>
          <w:color w:val="auto"/>
        </w:rPr>
      </w:r>
      <w:bookmarkEnd w:id="52"/>
      <w:r>
        <w:rPr>
          <w:color w:val="auto"/>
        </w:rPr>
      </w:r>
      <w:bookmarkEnd w:id="53"/>
      <w:r>
        <w:rPr>
          <w:color w:val="auto"/>
        </w:rPr>
      </w:r>
      <w:bookmarkEnd w:id="54"/>
      <w:r>
        <w:rPr>
          <w:color w:val="auto"/>
        </w:rPr>
      </w:r>
      <w:r/>
    </w:p>
    <w:p>
      <w:pPr>
        <w:keepNext/>
        <w:spacing w:line="480" w:lineRule="exact"/>
        <w:rPr>
          <w:rFonts w:ascii="仿宋" w:hAnsi="仿宋" w:eastAsia="仿宋"/>
          <w:b/>
          <w:bCs/>
          <w:color w:val="auto"/>
          <w:sz w:val="28"/>
          <w:szCs w:val="28"/>
        </w:rPr>
        <w:outlineLvl w:val="3"/>
      </w:pPr>
      <w:r>
        <w:rPr>
          <w:color w:val="auto"/>
        </w:rPr>
      </w:r>
      <w:bookmarkStart w:id="55" w:name="_Hlt16619475"/>
      <w:r>
        <w:rPr>
          <w:color w:val="auto"/>
        </w:rPr>
      </w:r>
      <w:bookmarkEnd w:id="55"/>
      <w:r>
        <w:rPr>
          <w:color w:val="auto"/>
        </w:rPr>
      </w:r>
      <w:bookmarkStart w:id="56" w:name="_Toc458694821"/>
      <w:r>
        <w:rPr>
          <w:color w:val="auto"/>
        </w:rPr>
      </w:r>
      <w:bookmarkStart w:id="57" w:name="_Toc513029204"/>
      <w:r>
        <w:rPr>
          <w:color w:val="auto"/>
        </w:rPr>
      </w:r>
      <w:bookmarkStart w:id="58" w:name="_Toc20823276"/>
      <w:r>
        <w:rPr>
          <w:color w:val="auto"/>
        </w:rPr>
      </w:r>
      <w:bookmarkStart w:id="59" w:name="_Toc16938520"/>
      <w:r>
        <w:rPr>
          <w:rFonts w:ascii="仿宋" w:hAnsi="仿宋" w:eastAsia="仿宋"/>
          <w:color w:val="auto"/>
          <w:sz w:val="28"/>
          <w:szCs w:val="28"/>
        </w:rPr>
        <w:t xml:space="preserve">1</w:t>
      </w:r>
      <w:bookmarkEnd w:id="56"/>
      <w:r>
        <w:rPr>
          <w:rFonts w:ascii="仿宋" w:hAnsi="仿宋" w:eastAsia="仿宋"/>
          <w:color w:val="auto"/>
          <w:sz w:val="28"/>
          <w:szCs w:val="28"/>
        </w:rPr>
        <w:t xml:space="preserve">.招标方式</w:t>
      </w:r>
      <w:bookmarkEnd w:id="57"/>
      <w:r>
        <w:rPr>
          <w:color w:val="auto"/>
        </w:rPr>
      </w:r>
      <w:bookmarkEnd w:id="58"/>
      <w:r>
        <w:rPr>
          <w:color w:val="auto"/>
        </w:rPr>
      </w:r>
      <w:bookmarkEnd w:id="59"/>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t xml:space="preserve">1.1 本次招标采取公开招标方式，本招标文件仅适用于招标公告中所述项目。</w:t>
      </w:r>
      <w:r>
        <w:rPr>
          <w:color w:val="auto"/>
        </w:rPr>
      </w:r>
      <w:r/>
    </w:p>
    <w:p>
      <w:pPr>
        <w:keepNext/>
        <w:spacing w:line="480" w:lineRule="exact"/>
        <w:rPr>
          <w:rFonts w:ascii="仿宋" w:hAnsi="仿宋" w:eastAsia="仿宋"/>
          <w:b/>
          <w:bCs/>
          <w:color w:val="auto"/>
          <w:sz w:val="28"/>
          <w:szCs w:val="28"/>
        </w:rPr>
        <w:outlineLvl w:val="3"/>
      </w:pPr>
      <w:r>
        <w:rPr>
          <w:color w:val="auto"/>
        </w:rPr>
      </w:r>
      <w:bookmarkStart w:id="60" w:name="_Toc513029205"/>
      <w:r>
        <w:rPr>
          <w:color w:val="auto"/>
        </w:rPr>
      </w:r>
      <w:bookmarkStart w:id="61" w:name="_Toc16938521"/>
      <w:r>
        <w:rPr>
          <w:color w:val="auto"/>
        </w:rPr>
      </w:r>
      <w:bookmarkStart w:id="62" w:name="_Toc20823277"/>
      <w:r>
        <w:rPr>
          <w:rFonts w:ascii="仿宋" w:hAnsi="仿宋" w:eastAsia="仿宋"/>
          <w:color w:val="auto"/>
          <w:sz w:val="28"/>
          <w:szCs w:val="28"/>
        </w:rPr>
        <w:t xml:space="preserve">2.合格的投标人</w:t>
      </w:r>
      <w:bookmarkEnd w:id="60"/>
      <w:r>
        <w:rPr>
          <w:color w:val="auto"/>
        </w:rPr>
      </w:r>
      <w:bookmarkEnd w:id="61"/>
      <w:r>
        <w:rPr>
          <w:color w:val="auto"/>
        </w:rPr>
      </w:r>
      <w:bookmarkEnd w:id="62"/>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t xml:space="preserve">2.1满足招标公告中供应商的资格要求的规定。</w:t>
      </w:r>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t xml:space="preserve">2.2 满足本文件实质性条款的规定。</w:t>
      </w:r>
      <w:r>
        <w:rPr>
          <w:color w:val="auto"/>
        </w:rPr>
      </w:r>
      <w:r/>
    </w:p>
    <w:p>
      <w:pPr>
        <w:keepNext/>
        <w:spacing w:line="480" w:lineRule="exact"/>
        <w:rPr>
          <w:rFonts w:ascii="仿宋" w:hAnsi="仿宋" w:eastAsia="仿宋"/>
          <w:b/>
          <w:bCs/>
          <w:color w:val="auto"/>
          <w:sz w:val="28"/>
          <w:szCs w:val="28"/>
        </w:rPr>
        <w:outlineLvl w:val="3"/>
      </w:pPr>
      <w:r>
        <w:rPr>
          <w:color w:val="auto"/>
        </w:rPr>
      </w:r>
      <w:bookmarkStart w:id="63" w:name="_Toc16938522"/>
      <w:r>
        <w:rPr>
          <w:color w:val="auto"/>
        </w:rPr>
      </w:r>
      <w:bookmarkStart w:id="64" w:name="_Toc513029206"/>
      <w:r>
        <w:rPr>
          <w:color w:val="auto"/>
        </w:rPr>
      </w:r>
      <w:bookmarkStart w:id="65" w:name="_Toc20823278"/>
      <w:r>
        <w:rPr>
          <w:rFonts w:ascii="仿宋" w:hAnsi="仿宋" w:eastAsia="仿宋"/>
          <w:color w:val="auto"/>
          <w:sz w:val="28"/>
          <w:szCs w:val="28"/>
        </w:rPr>
        <w:t xml:space="preserve">3.适用法律</w:t>
      </w:r>
      <w:bookmarkEnd w:id="63"/>
      <w:r>
        <w:rPr>
          <w:color w:val="auto"/>
        </w:rPr>
      </w:r>
      <w:bookmarkEnd w:id="64"/>
      <w:r>
        <w:rPr>
          <w:color w:val="auto"/>
        </w:rPr>
      </w:r>
      <w:bookmarkEnd w:id="65"/>
      <w:r>
        <w:rPr>
          <w:color w:val="auto"/>
        </w:rPr>
      </w:r>
      <w:r/>
    </w:p>
    <w:p>
      <w:pPr>
        <w:ind w:firstLine="490"/>
        <w:spacing w:line="480" w:lineRule="exact"/>
        <w:rPr>
          <w:rFonts w:ascii="仿宋" w:hAnsi="仿宋" w:eastAsia="仿宋"/>
          <w:color w:val="auto"/>
          <w:sz w:val="28"/>
          <w:szCs w:val="28"/>
        </w:rPr>
      </w:pPr>
      <w:r>
        <w:rPr>
          <w:rFonts w:ascii="仿宋" w:hAnsi="仿宋" w:eastAsia="仿宋"/>
          <w:color w:val="auto"/>
          <w:sz w:val="28"/>
          <w:szCs w:val="28"/>
        </w:rPr>
        <w:t xml:space="preserve">3.1 本次招标及由此产生的合同受中华人民共和国有关的法律法规制约和保护。</w:t>
      </w:r>
      <w:r>
        <w:rPr>
          <w:color w:val="auto"/>
        </w:rPr>
      </w:r>
      <w:r/>
    </w:p>
    <w:p>
      <w:pPr>
        <w:keepNext/>
        <w:spacing w:line="480" w:lineRule="exact"/>
        <w:rPr>
          <w:rFonts w:ascii="仿宋" w:hAnsi="仿宋" w:eastAsia="仿宋"/>
          <w:b/>
          <w:bCs/>
          <w:color w:val="auto"/>
          <w:sz w:val="28"/>
          <w:szCs w:val="28"/>
        </w:rPr>
        <w:outlineLvl w:val="3"/>
      </w:pPr>
      <w:r>
        <w:rPr>
          <w:color w:val="auto"/>
        </w:rPr>
      </w:r>
      <w:bookmarkStart w:id="66" w:name="_Toc16938523"/>
      <w:r>
        <w:rPr>
          <w:color w:val="auto"/>
        </w:rPr>
      </w:r>
      <w:bookmarkStart w:id="67" w:name="_Toc462564067"/>
      <w:r>
        <w:rPr>
          <w:color w:val="auto"/>
        </w:rPr>
      </w:r>
      <w:bookmarkStart w:id="68" w:name="_Toc20823279"/>
      <w:r>
        <w:rPr>
          <w:color w:val="auto"/>
        </w:rPr>
      </w:r>
      <w:bookmarkStart w:id="69" w:name="_Toc513029207"/>
      <w:r>
        <w:rPr>
          <w:rFonts w:ascii="仿宋" w:hAnsi="仿宋" w:eastAsia="仿宋"/>
          <w:color w:val="auto"/>
          <w:sz w:val="28"/>
          <w:szCs w:val="28"/>
        </w:rPr>
        <w:t xml:space="preserve">4.投标费用</w:t>
      </w:r>
      <w:bookmarkEnd w:id="66"/>
      <w:r>
        <w:rPr>
          <w:color w:val="auto"/>
        </w:rPr>
      </w:r>
      <w:bookmarkEnd w:id="67"/>
      <w:r>
        <w:rPr>
          <w:color w:val="auto"/>
        </w:rPr>
      </w:r>
      <w:bookmarkEnd w:id="68"/>
      <w:r>
        <w:rPr>
          <w:color w:val="auto"/>
        </w:rPr>
      </w:r>
      <w:bookmarkEnd w:id="69"/>
      <w:r>
        <w:rPr>
          <w:color w:val="auto"/>
        </w:rPr>
      </w:r>
      <w:r/>
    </w:p>
    <w:p>
      <w:pPr>
        <w:ind w:firstLine="560"/>
        <w:spacing w:line="480" w:lineRule="exact"/>
        <w:rPr>
          <w:rFonts w:ascii="仿宋" w:hAnsi="仿宋" w:eastAsia="仿宋"/>
          <w:color w:val="auto"/>
          <w:sz w:val="28"/>
          <w:szCs w:val="28"/>
        </w:rPr>
      </w:pPr>
      <w:r>
        <w:rPr>
          <w:rFonts w:ascii="仿宋" w:hAnsi="仿宋" w:eastAsia="仿宋"/>
          <w:bCs/>
          <w:color w:val="auto"/>
          <w:sz w:val="28"/>
          <w:szCs w:val="28"/>
        </w:rPr>
        <w:t xml:space="preserve">4.1</w:t>
      </w:r>
      <w:r>
        <w:rPr>
          <w:rFonts w:ascii="仿宋" w:hAnsi="仿宋" w:eastAsia="仿宋"/>
          <w:color w:val="auto"/>
          <w:sz w:val="28"/>
          <w:szCs w:val="28"/>
        </w:rPr>
        <w:t xml:space="preserve"> 投标人应自行承担所有与参加投标有关的费用，无论投标过程中的做法和结果如何，</w:t>
      </w:r>
      <w:r>
        <w:rPr>
          <w:rFonts w:hint="eastAsia" w:ascii="仿宋" w:hAnsi="仿宋" w:eastAsia="仿宋"/>
          <w:color w:val="auto"/>
          <w:sz w:val="28"/>
          <w:szCs w:val="28"/>
        </w:rPr>
        <w:t xml:space="preserve">南通市教育技术中心</w:t>
      </w:r>
      <w:r>
        <w:rPr>
          <w:rFonts w:ascii="仿宋" w:hAnsi="仿宋" w:eastAsia="仿宋"/>
          <w:color w:val="auto"/>
          <w:sz w:val="28"/>
          <w:szCs w:val="28"/>
        </w:rPr>
        <w:t xml:space="preserve">在任何情况下均无义务和责任承担这些费用。</w:t>
      </w:r>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t xml:space="preserve">4.2本次招标</w:t>
      </w:r>
      <w:r>
        <w:rPr>
          <w:rFonts w:hint="eastAsia" w:ascii="仿宋" w:hAnsi="仿宋" w:eastAsia="仿宋"/>
          <w:color w:val="auto"/>
          <w:sz w:val="28"/>
          <w:szCs w:val="28"/>
        </w:rPr>
        <w:t xml:space="preserve">南通市教育技术</w:t>
      </w:r>
      <w:r>
        <w:rPr>
          <w:rFonts w:ascii="仿宋" w:hAnsi="仿宋" w:eastAsia="仿宋"/>
          <w:color w:val="auto"/>
          <w:sz w:val="28"/>
          <w:szCs w:val="28"/>
        </w:rPr>
        <w:t xml:space="preserve">中心和采购人不收取标书工本费与中标服务费。</w:t>
      </w:r>
      <w:r>
        <w:rPr>
          <w:color w:val="auto"/>
        </w:rPr>
      </w:r>
      <w:r/>
    </w:p>
    <w:p>
      <w:pPr>
        <w:keepNext/>
        <w:spacing w:line="480" w:lineRule="exact"/>
        <w:rPr>
          <w:rFonts w:ascii="仿宋" w:hAnsi="仿宋" w:eastAsia="仿宋"/>
          <w:b/>
          <w:bCs/>
          <w:color w:val="auto"/>
          <w:sz w:val="28"/>
          <w:szCs w:val="28"/>
        </w:rPr>
        <w:outlineLvl w:val="3"/>
      </w:pPr>
      <w:r>
        <w:rPr>
          <w:rFonts w:ascii="仿宋" w:hAnsi="仿宋" w:eastAsia="仿宋"/>
          <w:color w:val="auto"/>
          <w:sz w:val="28"/>
          <w:szCs w:val="28"/>
        </w:rPr>
        <w:t xml:space="preserve">5.招标文件的约束力</w:t>
      </w:r>
      <w:r>
        <w:rPr>
          <w:color w:val="auto"/>
        </w:rPr>
      </w:r>
      <w:r/>
    </w:p>
    <w:p>
      <w:pPr>
        <w:ind w:firstLine="560"/>
        <w:spacing w:line="480" w:lineRule="exact"/>
        <w:rPr>
          <w:rFonts w:ascii="仿宋" w:hAnsi="仿宋" w:eastAsia="仿宋"/>
          <w:color w:val="auto"/>
          <w:sz w:val="28"/>
          <w:szCs w:val="28"/>
        </w:rPr>
      </w:pPr>
      <w:r>
        <w:rPr>
          <w:rFonts w:ascii="仿宋" w:hAnsi="仿宋" w:eastAsia="仿宋"/>
          <w:bCs/>
          <w:color w:val="auto"/>
          <w:sz w:val="28"/>
          <w:szCs w:val="28"/>
        </w:rPr>
        <w:t xml:space="preserve">5.1</w:t>
      </w:r>
      <w:r>
        <w:rPr>
          <w:rFonts w:ascii="仿宋" w:hAnsi="仿宋" w:eastAsia="仿宋"/>
          <w:color w:val="auto"/>
          <w:sz w:val="28"/>
          <w:szCs w:val="28"/>
        </w:rPr>
        <w:t xml:space="preserve"> 投标人一旦参加本项目采购活动，即被认为接受了本招标文件的规定和约束。</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70" w:name="_Toc120614215"/>
      <w:r>
        <w:rPr>
          <w:color w:val="auto"/>
        </w:rPr>
      </w:r>
      <w:bookmarkStart w:id="71" w:name="_Toc513029209"/>
      <w:r>
        <w:rPr>
          <w:color w:val="auto"/>
        </w:rPr>
      </w:r>
      <w:bookmarkStart w:id="72" w:name="_Toc20823281"/>
      <w:r>
        <w:rPr>
          <w:color w:val="auto"/>
        </w:rPr>
      </w:r>
      <w:bookmarkStart w:id="73" w:name="_Toc16938525"/>
      <w:r>
        <w:rPr>
          <w:rFonts w:hint="eastAsia" w:ascii="仿宋" w:hAnsi="仿宋" w:eastAsia="仿宋"/>
          <w:b/>
          <w:bCs/>
          <w:color w:val="auto"/>
          <w:sz w:val="28"/>
          <w:szCs w:val="28"/>
        </w:rPr>
        <w:t xml:space="preserve">二、招标文件</w:t>
      </w:r>
      <w:bookmarkEnd w:id="70"/>
      <w:r>
        <w:rPr>
          <w:color w:val="auto"/>
        </w:rPr>
      </w:r>
      <w:bookmarkEnd w:id="71"/>
      <w:r>
        <w:rPr>
          <w:color w:val="auto"/>
        </w:rPr>
      </w:r>
      <w:bookmarkEnd w:id="72"/>
      <w:r>
        <w:rPr>
          <w:color w:val="auto"/>
        </w:rPr>
      </w:r>
      <w:bookmarkEnd w:id="73"/>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74" w:name="_Toc16938526"/>
      <w:r>
        <w:rPr>
          <w:color w:val="auto"/>
        </w:rPr>
      </w:r>
      <w:bookmarkStart w:id="75" w:name="_Toc513029210"/>
      <w:r>
        <w:rPr>
          <w:color w:val="auto"/>
        </w:rPr>
      </w:r>
      <w:bookmarkStart w:id="76" w:name="_Toc20823282"/>
      <w:r>
        <w:rPr>
          <w:rFonts w:hint="eastAsia" w:ascii="仿宋" w:hAnsi="仿宋" w:eastAsia="仿宋" w:cs="Arial"/>
          <w:color w:val="auto"/>
          <w:sz w:val="28"/>
          <w:szCs w:val="28"/>
        </w:rPr>
        <w:t xml:space="preserve">6.招标文件构成</w:t>
      </w:r>
      <w:bookmarkEnd w:id="74"/>
      <w:r>
        <w:rPr>
          <w:color w:val="auto"/>
        </w:rPr>
      </w:r>
      <w:bookmarkEnd w:id="75"/>
      <w:r>
        <w:rPr>
          <w:color w:val="auto"/>
        </w:rPr>
      </w:r>
      <w:bookmarkEnd w:id="76"/>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6.1</w:t>
      </w:r>
      <w:r>
        <w:rPr>
          <w:rFonts w:hint="eastAsia" w:ascii="仿宋" w:hAnsi="仿宋" w:eastAsia="仿宋"/>
          <w:color w:val="auto"/>
          <w:sz w:val="28"/>
          <w:szCs w:val="28"/>
        </w:rPr>
        <w:t xml:space="preserve"> 招标文件由以下部分组成：</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（1）投标</w:t>
      </w:r>
      <w:r>
        <w:rPr>
          <w:rFonts w:ascii="仿宋" w:hAnsi="仿宋" w:eastAsia="仿宋"/>
          <w:color w:val="auto"/>
          <w:sz w:val="28"/>
          <w:szCs w:val="28"/>
        </w:rPr>
        <w:t xml:space="preserve">邀请</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（2）投标人须知</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（3）合同文本</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（4）采购需求</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（5）评标方法与评标标准</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（6）投标文件格式</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请仔细检查招标文件是否齐全，如有缺漏请立即与南通市教育技术中心联系解决。</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6.2</w:t>
      </w:r>
      <w:r>
        <w:rPr>
          <w:rFonts w:hint="eastAsia" w:ascii="仿宋" w:hAnsi="仿宋" w:eastAsia="仿宋"/>
          <w:color w:val="auto"/>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77" w:name="_Toc20823283"/>
      <w:r>
        <w:rPr>
          <w:color w:val="auto"/>
        </w:rPr>
      </w:r>
      <w:bookmarkStart w:id="78" w:name="_Toc513029211"/>
      <w:r>
        <w:rPr>
          <w:color w:val="auto"/>
        </w:rPr>
      </w:r>
      <w:bookmarkStart w:id="79" w:name="_Toc462564070"/>
      <w:r>
        <w:rPr>
          <w:color w:val="auto"/>
        </w:rPr>
      </w:r>
      <w:bookmarkStart w:id="80" w:name="_Toc16938527"/>
      <w:r>
        <w:rPr>
          <w:rFonts w:hint="eastAsia" w:ascii="仿宋" w:hAnsi="仿宋" w:eastAsia="仿宋" w:cs="Arial"/>
          <w:color w:val="auto"/>
          <w:sz w:val="28"/>
          <w:szCs w:val="28"/>
        </w:rPr>
        <w:t xml:space="preserve">7.招标文件的澄清</w:t>
      </w:r>
      <w:bookmarkEnd w:id="77"/>
      <w:r>
        <w:rPr>
          <w:color w:val="auto"/>
        </w:rPr>
      </w:r>
      <w:bookmarkEnd w:id="78"/>
      <w:r>
        <w:rPr>
          <w:color w:val="auto"/>
        </w:rPr>
      </w:r>
      <w:bookmarkEnd w:id="79"/>
      <w:r>
        <w:rPr>
          <w:color w:val="auto"/>
        </w:rPr>
      </w:r>
      <w:bookmarkEnd w:id="80"/>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任何要求对招标文件进行澄清的投标人，应在投标截止期</w:t>
      </w:r>
      <w:r>
        <w:rPr>
          <w:rFonts w:hint="eastAsia" w:ascii="仿宋" w:hAnsi="仿宋" w:eastAsia="仿宋"/>
          <w:b/>
          <w:color w:val="auto"/>
          <w:sz w:val="28"/>
          <w:szCs w:val="28"/>
        </w:rPr>
        <w:t xml:space="preserve">十日</w:t>
      </w:r>
      <w:r>
        <w:rPr>
          <w:rFonts w:hint="eastAsia" w:ascii="仿宋" w:hAnsi="仿宋" w:eastAsia="仿宋"/>
          <w:color w:val="auto"/>
          <w:sz w:val="28"/>
          <w:szCs w:val="28"/>
        </w:rPr>
        <w:t xml:space="preserve">前按招标公告中的通讯地址，以书面形式通知南通市教育技术中心。采购人有权对发出的招标文件进行必要的澄清或修改。</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81" w:name="_Toc20823284"/>
      <w:r>
        <w:rPr>
          <w:color w:val="auto"/>
        </w:rPr>
      </w:r>
      <w:bookmarkStart w:id="82" w:name="_Toc462564071"/>
      <w:r>
        <w:rPr>
          <w:color w:val="auto"/>
        </w:rPr>
      </w:r>
      <w:bookmarkStart w:id="83" w:name="_Toc16938528"/>
      <w:r>
        <w:rPr>
          <w:color w:val="auto"/>
        </w:rPr>
      </w:r>
      <w:bookmarkStart w:id="84" w:name="_Toc513029212"/>
      <w:r>
        <w:rPr>
          <w:rFonts w:hint="eastAsia" w:ascii="仿宋" w:hAnsi="仿宋" w:eastAsia="仿宋" w:cs="Arial"/>
          <w:color w:val="auto"/>
          <w:sz w:val="28"/>
          <w:szCs w:val="28"/>
        </w:rPr>
        <w:t xml:space="preserve">8.招标文件的修改</w:t>
      </w:r>
      <w:bookmarkEnd w:id="81"/>
      <w:r>
        <w:rPr>
          <w:color w:val="auto"/>
        </w:rPr>
      </w:r>
      <w:bookmarkEnd w:id="82"/>
      <w:r>
        <w:rPr>
          <w:color w:val="auto"/>
        </w:rPr>
      </w:r>
      <w:bookmarkEnd w:id="83"/>
      <w:r>
        <w:rPr>
          <w:color w:val="auto"/>
        </w:rPr>
      </w:r>
      <w:bookmarkEnd w:id="84"/>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8.1</w:t>
      </w:r>
      <w:r>
        <w:rPr>
          <w:rFonts w:hint="eastAsia" w:ascii="仿宋" w:hAnsi="仿宋" w:eastAsia="仿宋"/>
          <w:color w:val="auto"/>
          <w:sz w:val="28"/>
          <w:szCs w:val="28"/>
        </w:rPr>
        <w:t xml:space="preserve"> 在投标截止时间之前，南通市教育技术中心可以对招标文件进行修改。</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8.2 </w:t>
      </w:r>
      <w:r>
        <w:rPr>
          <w:rFonts w:hint="eastAsia" w:ascii="仿宋" w:hAnsi="仿宋" w:eastAsia="仿宋"/>
          <w:color w:val="auto"/>
          <w:sz w:val="28"/>
          <w:szCs w:val="28"/>
        </w:rPr>
        <w:t xml:space="preserve">南通市教育技术中心有权按照法定的要求推迟投标截止日期和开标日期。</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8.3 </w:t>
      </w:r>
      <w:r>
        <w:rPr>
          <w:rFonts w:hint="eastAsia" w:ascii="仿宋" w:hAnsi="仿宋" w:eastAsia="仿宋"/>
          <w:color w:val="auto"/>
          <w:sz w:val="28"/>
          <w:szCs w:val="28"/>
        </w:rPr>
        <w:t xml:space="preserve">招标文件的修改将在江苏政府采购网公布，补充文件将作为招标文件的组成部分，并对投标人具有约束力。</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85" w:name="_Toc513029213"/>
      <w:r>
        <w:rPr>
          <w:color w:val="auto"/>
        </w:rPr>
      </w:r>
      <w:bookmarkStart w:id="86" w:name="_Toc16938529"/>
      <w:r>
        <w:rPr>
          <w:color w:val="auto"/>
        </w:rPr>
      </w:r>
      <w:bookmarkStart w:id="87" w:name="_Toc20823285"/>
      <w:r>
        <w:rPr>
          <w:color w:val="auto"/>
        </w:rPr>
      </w:r>
      <w:bookmarkStart w:id="88" w:name="_Toc120614216"/>
      <w:r>
        <w:rPr>
          <w:color w:val="auto"/>
        </w:rPr>
      </w:r>
      <w:bookmarkStart w:id="89" w:name="_Toc462564072"/>
      <w:r>
        <w:rPr>
          <w:rFonts w:hint="eastAsia" w:ascii="仿宋" w:hAnsi="仿宋" w:eastAsia="仿宋"/>
          <w:b/>
          <w:bCs/>
          <w:color w:val="auto"/>
          <w:sz w:val="28"/>
          <w:szCs w:val="28"/>
        </w:rPr>
        <w:t xml:space="preserve">三、投标文件的编制</w:t>
      </w:r>
      <w:bookmarkEnd w:id="85"/>
      <w:r>
        <w:rPr>
          <w:color w:val="auto"/>
        </w:rPr>
      </w:r>
      <w:bookmarkEnd w:id="86"/>
      <w:r>
        <w:rPr>
          <w:color w:val="auto"/>
        </w:rPr>
      </w:r>
      <w:bookmarkEnd w:id="87"/>
      <w:r>
        <w:rPr>
          <w:color w:val="auto"/>
        </w:rPr>
      </w:r>
      <w:bookmarkEnd w:id="88"/>
      <w:r>
        <w:rPr>
          <w:color w:val="auto"/>
        </w:rPr>
      </w:r>
      <w:bookmarkEnd w:id="89"/>
      <w:r>
        <w:rPr>
          <w:color w:val="auto"/>
        </w:rPr>
      </w:r>
      <w:r/>
    </w:p>
    <w:p>
      <w:pPr>
        <w:keepLines/>
        <w:keepNext/>
        <w:spacing w:line="480" w:lineRule="exact"/>
        <w:rPr>
          <w:rFonts w:ascii="仿宋" w:hAnsi="仿宋" w:eastAsia="仿宋" w:cs="Arial"/>
          <w:b/>
          <w:color w:val="auto"/>
          <w:sz w:val="28"/>
          <w:szCs w:val="28"/>
        </w:rPr>
        <w:outlineLvl w:val="3"/>
      </w:pPr>
      <w:r>
        <w:rPr>
          <w:color w:val="auto"/>
        </w:rPr>
      </w:r>
      <w:bookmarkStart w:id="90" w:name="_Toc513029214"/>
      <w:r>
        <w:rPr>
          <w:color w:val="auto"/>
        </w:rPr>
      </w:r>
      <w:bookmarkStart w:id="91" w:name="_Toc462564073"/>
      <w:r>
        <w:rPr>
          <w:color w:val="auto"/>
        </w:rPr>
      </w:r>
      <w:bookmarkStart w:id="92" w:name="_Toc16938530"/>
      <w:r>
        <w:rPr>
          <w:color w:val="auto"/>
        </w:rPr>
      </w:r>
      <w:bookmarkStart w:id="93" w:name="_Toc20823286"/>
      <w:r>
        <w:rPr>
          <w:rFonts w:hint="eastAsia" w:ascii="仿宋" w:hAnsi="仿宋" w:eastAsia="仿宋" w:cs="Arial"/>
          <w:color w:val="auto"/>
          <w:sz w:val="28"/>
          <w:szCs w:val="28"/>
        </w:rPr>
        <w:t xml:space="preserve">9.投标文件的语言及度量衡单位</w:t>
      </w:r>
      <w:bookmarkEnd w:id="90"/>
      <w:r>
        <w:rPr>
          <w:color w:val="auto"/>
        </w:rPr>
      </w:r>
      <w:bookmarkEnd w:id="91"/>
      <w:r>
        <w:rPr>
          <w:color w:val="auto"/>
        </w:rPr>
      </w:r>
      <w:bookmarkEnd w:id="92"/>
      <w:r>
        <w:rPr>
          <w:color w:val="auto"/>
        </w:rPr>
      </w:r>
      <w:bookmarkEnd w:id="93"/>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9.1</w:t>
      </w:r>
      <w:r>
        <w:rPr>
          <w:rFonts w:hint="eastAsia" w:ascii="仿宋" w:hAnsi="仿宋" w:eastAsia="仿宋"/>
          <w:color w:val="auto"/>
          <w:sz w:val="28"/>
          <w:szCs w:val="28"/>
        </w:rPr>
        <w:t xml:space="preserve"> 投标人提交的投标文件以及投标人与南通市教育技术中心就有关投标的所有来往通知、函件和文件均应使用简体中文。</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9.2</w:t>
      </w:r>
      <w:r>
        <w:rPr>
          <w:rFonts w:hint="eastAsia" w:ascii="仿宋" w:hAnsi="仿宋" w:eastAsia="仿宋"/>
          <w:color w:val="auto"/>
          <w:sz w:val="28"/>
          <w:szCs w:val="28"/>
        </w:rPr>
        <w:t xml:space="preserve"> 除技术性能另有规定外，投标文件所使用的度量衡单位，均须采用国家法定计量单位。</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94" w:name="_Toc16938531"/>
      <w:r>
        <w:rPr>
          <w:color w:val="auto"/>
        </w:rPr>
      </w:r>
      <w:bookmarkStart w:id="95" w:name="_Toc462564074"/>
      <w:r>
        <w:rPr>
          <w:color w:val="auto"/>
        </w:rPr>
      </w:r>
      <w:bookmarkStart w:id="96" w:name="_Toc20823287"/>
      <w:r>
        <w:rPr>
          <w:color w:val="auto"/>
        </w:rPr>
      </w:r>
      <w:bookmarkStart w:id="97" w:name="_Toc513029215"/>
      <w:r>
        <w:rPr>
          <w:rFonts w:hint="eastAsia" w:ascii="仿宋" w:hAnsi="仿宋" w:eastAsia="仿宋" w:cs="Arial"/>
          <w:color w:val="auto"/>
          <w:sz w:val="28"/>
          <w:szCs w:val="28"/>
        </w:rPr>
        <w:t xml:space="preserve">10.投标文件构成</w:t>
      </w:r>
      <w:bookmarkEnd w:id="94"/>
      <w:r>
        <w:rPr>
          <w:color w:val="auto"/>
        </w:rPr>
      </w:r>
      <w:bookmarkEnd w:id="95"/>
      <w:r>
        <w:rPr>
          <w:color w:val="auto"/>
        </w:rPr>
      </w:r>
      <w:bookmarkEnd w:id="96"/>
      <w:r>
        <w:rPr>
          <w:color w:val="auto"/>
        </w:rPr>
      </w:r>
      <w:bookmarkEnd w:id="97"/>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10.1</w:t>
      </w:r>
      <w:r>
        <w:rPr>
          <w:rFonts w:hint="eastAsia" w:ascii="仿宋" w:hAnsi="仿宋" w:eastAsia="仿宋"/>
          <w:color w:val="auto"/>
          <w:sz w:val="28"/>
          <w:szCs w:val="28"/>
        </w:rPr>
        <w:t xml:space="preserve"> 投标人编写的投标文件应包括资格证明文件、开标一览表、投标分项报价表、技术要求响应及偏离表、商务要求响应及偏离表、其他证明文件等部分。</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10.2 如标书制作工具中格式和内容与“江苏政府采购网”发布的招标文件不一致，请以“江苏政府采购网”发布的招标文件为准。</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98" w:name="_Hlt26670360"/>
      <w:r>
        <w:rPr>
          <w:color w:val="auto"/>
        </w:rPr>
      </w:r>
      <w:bookmarkEnd w:id="98"/>
      <w:r>
        <w:rPr>
          <w:color w:val="auto"/>
        </w:rPr>
      </w:r>
      <w:bookmarkStart w:id="99" w:name="_Hlt26668975"/>
      <w:r>
        <w:rPr>
          <w:color w:val="auto"/>
        </w:rPr>
      </w:r>
      <w:bookmarkEnd w:id="99"/>
      <w:r>
        <w:rPr>
          <w:color w:val="auto"/>
        </w:rPr>
      </w:r>
      <w:bookmarkStart w:id="100" w:name="_Hlt26954838"/>
      <w:r>
        <w:rPr>
          <w:color w:val="auto"/>
        </w:rPr>
      </w:r>
      <w:bookmarkEnd w:id="100"/>
      <w:r>
        <w:rPr>
          <w:color w:val="auto"/>
        </w:rPr>
      </w:r>
      <w:bookmarkStart w:id="101" w:name="_Toc14577354"/>
      <w:r>
        <w:rPr>
          <w:color w:val="auto"/>
        </w:rPr>
      </w:r>
      <w:bookmarkStart w:id="102" w:name="_Toc513029216"/>
      <w:r>
        <w:rPr>
          <w:color w:val="auto"/>
        </w:rPr>
      </w:r>
      <w:bookmarkStart w:id="103" w:name="_Toc513029219"/>
      <w:r>
        <w:rPr>
          <w:color w:val="auto"/>
        </w:rPr>
      </w:r>
      <w:bookmarkStart w:id="104" w:name="_Toc49090507"/>
      <w:r>
        <w:rPr>
          <w:color w:val="auto"/>
        </w:rPr>
      </w:r>
      <w:bookmarkStart w:id="105" w:name="_Toc14577357"/>
      <w:r>
        <w:rPr>
          <w:color w:val="auto"/>
        </w:rPr>
      </w:r>
      <w:bookmarkStart w:id="106" w:name="_Toc49090509"/>
      <w:r>
        <w:rPr>
          <w:color w:val="auto"/>
        </w:rPr>
      </w:r>
      <w:bookmarkStart w:id="107" w:name="_Toc49090508"/>
      <w:r>
        <w:rPr>
          <w:color w:val="auto"/>
        </w:rPr>
      </w:r>
      <w:bookmarkStart w:id="108" w:name="_Toc14577355"/>
      <w:r>
        <w:rPr>
          <w:rFonts w:hint="eastAsia" w:ascii="仿宋" w:hAnsi="仿宋" w:eastAsia="仿宋" w:cs="Arial"/>
          <w:color w:val="auto"/>
          <w:sz w:val="28"/>
          <w:szCs w:val="28"/>
        </w:rPr>
        <w:t xml:space="preserve">11.证明投标人及投标标的符合招标文件规定的文件</w:t>
      </w:r>
      <w:bookmarkEnd w:id="101"/>
      <w:r>
        <w:rPr>
          <w:color w:val="auto"/>
        </w:rPr>
      </w:r>
      <w:bookmarkEnd w:id="102"/>
      <w:r>
        <w:rPr>
          <w:color w:val="auto"/>
        </w:rPr>
      </w:r>
      <w:bookmarkEnd w:id="103"/>
      <w:r>
        <w:rPr>
          <w:color w:val="auto"/>
        </w:rPr>
      </w:r>
      <w:bookmarkEnd w:id="104"/>
      <w:r>
        <w:rPr>
          <w:color w:val="auto"/>
        </w:rPr>
      </w:r>
      <w:bookmarkEnd w:id="105"/>
      <w:r>
        <w:rPr>
          <w:color w:val="auto"/>
        </w:rPr>
      </w:r>
      <w:bookmarkEnd w:id="106"/>
      <w:r>
        <w:rPr>
          <w:color w:val="auto"/>
        </w:rPr>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    11.1 投标人应按照招标文件要求提交证明文件，证明其及投标标的符合招标文件规定。</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11.2招标文件对证明文件无明确形式要求的，证明文件可以以文字资料、图纸和数据等形式提交。</w:t>
      </w:r>
      <w:bookmarkEnd w:id="107"/>
      <w:r>
        <w:rPr>
          <w:color w:val="auto"/>
        </w:rPr>
      </w:r>
      <w:bookmarkEnd w:id="108"/>
      <w:r>
        <w:rPr>
          <w:color w:val="auto"/>
        </w:rPr>
      </w:r>
      <w:r/>
    </w:p>
    <w:p>
      <w:pPr>
        <w:keepLines/>
        <w:keepNext/>
        <w:spacing w:line="480" w:lineRule="exact"/>
        <w:rPr>
          <w:rFonts w:ascii="仿宋" w:hAnsi="仿宋" w:eastAsia="仿宋" w:cs="Arial"/>
          <w:color w:val="auto"/>
          <w:sz w:val="28"/>
          <w:szCs w:val="28"/>
        </w:rPr>
        <w:outlineLvl w:val="3"/>
      </w:pPr>
      <w:r>
        <w:rPr>
          <w:rFonts w:hint="eastAsia" w:ascii="仿宋" w:hAnsi="仿宋" w:eastAsia="仿宋" w:cs="Arial"/>
          <w:color w:val="auto"/>
          <w:sz w:val="28"/>
          <w:szCs w:val="28"/>
        </w:rPr>
        <w:t xml:space="preserve">12.投标分项报价表</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12.1</w:t>
      </w:r>
      <w:r>
        <w:rPr>
          <w:rFonts w:hint="eastAsia" w:ascii="仿宋" w:hAnsi="仿宋" w:eastAsia="仿宋"/>
          <w:color w:val="auto"/>
          <w:sz w:val="28"/>
          <w:szCs w:val="28"/>
        </w:rPr>
        <w:t xml:space="preserve"> 投标人按照招标文件规定格式填报投标分项报价表。</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12.2</w:t>
      </w:r>
      <w:r>
        <w:rPr>
          <w:rFonts w:hint="eastAsia" w:ascii="仿宋" w:hAnsi="仿宋" w:eastAsia="仿宋"/>
          <w:bCs/>
          <w:color w:val="auto"/>
          <w:sz w:val="28"/>
          <w:szCs w:val="28"/>
        </w:rPr>
        <w:t xml:space="preserve">投标货币。投标文件中的单价和总价无特殊规定的采用人民币报价，以元为单位标注。</w:t>
      </w:r>
      <w:r>
        <w:rPr>
          <w:rFonts w:hint="eastAsia" w:ascii="仿宋" w:hAnsi="仿宋" w:eastAsia="仿宋"/>
          <w:color w:val="auto"/>
          <w:sz w:val="28"/>
          <w:szCs w:val="28"/>
        </w:rPr>
        <w:t xml:space="preserve">招标文件中另有规定的按规定执行。</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09" w:name="_Hlt26670486"/>
      <w:r>
        <w:rPr>
          <w:color w:val="auto"/>
        </w:rPr>
      </w:r>
      <w:bookmarkEnd w:id="109"/>
      <w:r>
        <w:rPr>
          <w:color w:val="auto"/>
        </w:rPr>
      </w:r>
      <w:bookmarkStart w:id="110" w:name="_Hlt26954846"/>
      <w:r>
        <w:rPr>
          <w:color w:val="auto"/>
        </w:rPr>
      </w:r>
      <w:bookmarkEnd w:id="110"/>
      <w:r>
        <w:rPr>
          <w:color w:val="auto"/>
        </w:rPr>
      </w:r>
      <w:bookmarkStart w:id="111" w:name="_Hlt26670482"/>
      <w:r>
        <w:rPr>
          <w:color w:val="auto"/>
        </w:rPr>
      </w:r>
      <w:bookmarkEnd w:id="111"/>
      <w:r>
        <w:rPr>
          <w:color w:val="auto"/>
        </w:rPr>
      </w:r>
      <w:bookmarkStart w:id="112" w:name="_Hlt26954731"/>
      <w:r>
        <w:rPr>
          <w:color w:val="auto"/>
        </w:rPr>
      </w:r>
      <w:bookmarkEnd w:id="112"/>
      <w:r>
        <w:rPr>
          <w:color w:val="auto"/>
        </w:rPr>
      </w:r>
      <w:bookmarkStart w:id="113" w:name="_Hlt26954848"/>
      <w:r>
        <w:rPr>
          <w:color w:val="auto"/>
        </w:rPr>
      </w:r>
      <w:bookmarkEnd w:id="113"/>
      <w:r>
        <w:rPr>
          <w:rFonts w:hint="eastAsia" w:ascii="仿宋" w:hAnsi="仿宋" w:eastAsia="仿宋" w:cs="Arial"/>
          <w:color w:val="auto"/>
          <w:sz w:val="28"/>
          <w:szCs w:val="28"/>
        </w:rPr>
        <w:t xml:space="preserve">13.技术要求响应及偏离表、商务要求响应及偏离表</w:t>
      </w:r>
      <w:r>
        <w:rPr>
          <w:color w:val="auto"/>
        </w:rPr>
      </w:r>
      <w:r/>
    </w:p>
    <w:p>
      <w:pPr>
        <w:ind w:firstLine="480"/>
        <w:spacing w:line="480" w:lineRule="exact"/>
        <w:rPr>
          <w:rFonts w:ascii="仿宋" w:hAnsi="仿宋" w:eastAsia="仿宋" w:cs="宋体"/>
          <w:color w:val="auto"/>
          <w:sz w:val="28"/>
          <w:szCs w:val="28"/>
        </w:rPr>
      </w:pPr>
      <w:r>
        <w:rPr>
          <w:rFonts w:ascii="仿宋" w:hAnsi="仿宋" w:eastAsia="仿宋" w:cs="宋体"/>
          <w:bCs/>
          <w:color w:val="auto"/>
          <w:sz w:val="28"/>
          <w:szCs w:val="28"/>
          <w:lang w:val="zh-CN"/>
        </w:rPr>
        <w:t xml:space="preserve">1</w:t>
      </w:r>
      <w:r>
        <w:rPr>
          <w:rFonts w:hint="eastAsia" w:ascii="仿宋" w:hAnsi="仿宋" w:eastAsia="仿宋" w:cs="宋体"/>
          <w:bCs/>
          <w:color w:val="auto"/>
          <w:sz w:val="28"/>
          <w:szCs w:val="28"/>
          <w:lang w:val="zh-CN"/>
        </w:rPr>
        <w:t xml:space="preserve">3</w:t>
      </w:r>
      <w:r>
        <w:rPr>
          <w:rFonts w:ascii="仿宋" w:hAnsi="仿宋" w:eastAsia="仿宋" w:cs="宋体"/>
          <w:bCs/>
          <w:color w:val="auto"/>
          <w:sz w:val="28"/>
          <w:szCs w:val="28"/>
          <w:lang w:val="zh-CN"/>
        </w:rPr>
        <w:t xml:space="preserve">.1</w:t>
      </w:r>
      <w:r>
        <w:rPr>
          <w:rFonts w:hint="eastAsia" w:ascii="仿宋" w:hAnsi="仿宋" w:eastAsia="仿宋" w:cs="宋体"/>
          <w:bCs/>
          <w:color w:val="auto"/>
          <w:sz w:val="28"/>
          <w:szCs w:val="28"/>
          <w:lang w:val="zh-CN"/>
        </w:rPr>
        <w:t xml:space="preserve"> </w:t>
      </w:r>
      <w:r>
        <w:rPr>
          <w:rFonts w:hint="eastAsia" w:ascii="仿宋" w:hAnsi="仿宋" w:eastAsia="仿宋" w:cs="宋体"/>
          <w:color w:val="auto"/>
          <w:sz w:val="28"/>
          <w:szCs w:val="28"/>
          <w:lang w:val="zh-CN"/>
        </w:rPr>
        <w:t xml:space="preserve">投标人需对招标文件中的技术要求与商务要求逐项作出响应或偏离，并说明原因。</w:t>
      </w:r>
      <w:r>
        <w:rPr>
          <w:color w:val="auto"/>
        </w:rPr>
      </w:r>
      <w:r/>
    </w:p>
    <w:p>
      <w:pPr>
        <w:ind w:firstLine="480"/>
        <w:spacing w:line="480" w:lineRule="exact"/>
        <w:rPr>
          <w:rFonts w:ascii="仿宋" w:hAnsi="仿宋" w:eastAsia="仿宋" w:cs="宋体"/>
          <w:color w:val="auto"/>
          <w:sz w:val="28"/>
          <w:szCs w:val="28"/>
        </w:rPr>
      </w:pPr>
      <w:r>
        <w:rPr>
          <w:rFonts w:hint="eastAsia" w:ascii="仿宋" w:hAnsi="仿宋" w:eastAsia="仿宋" w:cs="宋体"/>
          <w:color w:val="auto"/>
          <w:sz w:val="28"/>
          <w:szCs w:val="28"/>
          <w:lang w:val="zh-CN"/>
        </w:rPr>
        <w:t xml:space="preserve">13.2投标人需按照招标文件要求，在投标文件中提供与技术要求和商务要求相关的佐证材料。</w:t>
      </w:r>
      <w:r>
        <w:rPr>
          <w:color w:val="auto"/>
        </w:rPr>
      </w:r>
      <w:r/>
    </w:p>
    <w:p>
      <w:pPr>
        <w:keepLines/>
        <w:keepNext/>
        <w:spacing w:line="480" w:lineRule="exact"/>
        <w:rPr>
          <w:rFonts w:ascii="仿宋" w:hAnsi="仿宋" w:eastAsia="仿宋" w:cs="Arial"/>
          <w:color w:val="auto"/>
          <w:sz w:val="28"/>
          <w:szCs w:val="28"/>
        </w:rPr>
        <w:outlineLvl w:val="3"/>
      </w:pPr>
      <w:r>
        <w:rPr>
          <w:rFonts w:hint="eastAsia" w:ascii="仿宋" w:hAnsi="仿宋" w:eastAsia="仿宋" w:cs="Arial"/>
          <w:color w:val="auto"/>
          <w:sz w:val="28"/>
          <w:szCs w:val="28"/>
        </w:rPr>
        <w:t xml:space="preserve">14.服务承诺、培训计划、人员安排及其他</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14.1 </w:t>
      </w:r>
      <w:r>
        <w:rPr>
          <w:rFonts w:hint="eastAsia" w:ascii="仿宋" w:hAnsi="仿宋" w:eastAsia="仿宋"/>
          <w:color w:val="auto"/>
          <w:sz w:val="28"/>
          <w:szCs w:val="28"/>
        </w:rPr>
        <w:t xml:space="preserve">投标人需根据招标文件要求提供有关售后服务的管理制度，售后服务机构的分布情况，售后服务人员的数量、素质、技术水平及售后服务的反应能力等。</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14.2 投标人需根据招标文件要求提供培训计划。</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14.3投标人需根据招标文件要求提供</w:t>
      </w:r>
      <w:r>
        <w:rPr>
          <w:rFonts w:hint="eastAsia" w:ascii="仿宋" w:hAnsi="仿宋" w:eastAsia="仿宋" w:cs="宋体"/>
          <w:color w:val="auto"/>
          <w:sz w:val="28"/>
          <w:szCs w:val="28"/>
          <w:lang w:val="zh-CN"/>
        </w:rPr>
        <w:t xml:space="preserve">所投标的的主要组成部分、功能设计、实现思路及关键技术等。</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14" w:name="_Toc49090510"/>
      <w:r>
        <w:rPr>
          <w:color w:val="auto"/>
        </w:rPr>
      </w:r>
      <w:bookmarkStart w:id="115" w:name="_Toc14577359"/>
      <w:r>
        <w:rPr>
          <w:rFonts w:hint="eastAsia" w:ascii="仿宋" w:hAnsi="仿宋" w:eastAsia="仿宋" w:cs="Arial"/>
          <w:color w:val="auto"/>
          <w:sz w:val="28"/>
          <w:szCs w:val="28"/>
        </w:rPr>
        <w:t xml:space="preserve">15.投标函和开标一览表</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15.1</w:t>
      </w:r>
      <w:r>
        <w:rPr>
          <w:rFonts w:hint="eastAsia" w:ascii="仿宋" w:hAnsi="仿宋" w:eastAsia="仿宋"/>
          <w:color w:val="auto"/>
          <w:sz w:val="28"/>
          <w:szCs w:val="28"/>
        </w:rPr>
        <w:t xml:space="preserve"> 投标人应按照招标文件中提供的格式完整、正确填写投标函、开标一览表。</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15.2 对于采用货币报价的项目，开标一览表中的投标总报价应与分项报价表中的投标总报价一致，如不一致，不作为无效投标处理，但评标时按开标一览表中价格为准。</w:t>
      </w:r>
      <w:bookmarkEnd w:id="114"/>
      <w:r>
        <w:rPr>
          <w:color w:val="auto"/>
        </w:rPr>
      </w:r>
      <w:bookmarkEnd w:id="115"/>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16" w:name="_Toc14577360"/>
      <w:r>
        <w:rPr>
          <w:color w:val="auto"/>
        </w:rPr>
      </w:r>
      <w:bookmarkStart w:id="117" w:name="_Toc49090511"/>
      <w:r>
        <w:rPr>
          <w:rFonts w:hint="eastAsia" w:ascii="仿宋" w:hAnsi="仿宋" w:eastAsia="仿宋" w:cs="Arial"/>
          <w:color w:val="auto"/>
          <w:sz w:val="28"/>
          <w:szCs w:val="28"/>
        </w:rPr>
        <w:t xml:space="preserve">16.投标有效期</w:t>
      </w:r>
      <w:bookmarkEnd w:id="116"/>
      <w:r>
        <w:rPr>
          <w:color w:val="auto"/>
        </w:rPr>
      </w:r>
      <w:bookmarkEnd w:id="117"/>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16.1投标有效期为</w:t>
      </w:r>
      <w:r>
        <w:rPr>
          <w:rFonts w:hint="eastAsia" w:ascii="仿宋" w:hAnsi="仿宋" w:eastAsia="仿宋"/>
          <w:color w:val="auto"/>
          <w:sz w:val="28"/>
          <w:szCs w:val="28"/>
        </w:rPr>
        <w:t xml:space="preserve">南通市教育技术中心</w:t>
      </w:r>
      <w:r>
        <w:rPr>
          <w:rFonts w:hint="eastAsia" w:ascii="仿宋" w:hAnsi="仿宋" w:eastAsia="仿宋"/>
          <w:bCs/>
          <w:color w:val="auto"/>
          <w:sz w:val="28"/>
          <w:szCs w:val="28"/>
        </w:rPr>
        <w:t xml:space="preserve">规定的开标之日后</w:t>
      </w:r>
      <w:r>
        <w:rPr>
          <w:rFonts w:hint="eastAsia" w:ascii="仿宋" w:hAnsi="仿宋" w:eastAsia="仿宋"/>
          <w:color w:val="auto"/>
          <w:sz w:val="28"/>
          <w:szCs w:val="28"/>
          <w:u w:val="single"/>
        </w:rPr>
        <w:t xml:space="preserve">九十（90）天</w:t>
      </w:r>
      <w:r>
        <w:rPr>
          <w:rFonts w:hint="eastAsia" w:ascii="仿宋" w:hAnsi="仿宋" w:eastAsia="仿宋"/>
          <w:bCs/>
          <w:color w:val="auto"/>
          <w:sz w:val="28"/>
          <w:szCs w:val="28"/>
        </w:rPr>
        <w:t xml:space="preserve">。投标有效期比规定短的将被视为未实质性响应招标文件而予以拒绝。</w:t>
      </w:r>
      <w:r>
        <w:rPr>
          <w:color w:val="auto"/>
        </w:rPr>
      </w:r>
      <w:r/>
    </w:p>
    <w:p>
      <w:pPr>
        <w:keepLines/>
        <w:keepNext/>
        <w:spacing w:line="480" w:lineRule="exact"/>
        <w:rPr>
          <w:rFonts w:ascii="仿宋" w:hAnsi="仿宋" w:eastAsia="仿宋" w:cs="Arial"/>
          <w:color w:val="auto"/>
          <w:sz w:val="28"/>
          <w:szCs w:val="28"/>
        </w:rPr>
        <w:outlineLvl w:val="3"/>
      </w:pPr>
      <w:r>
        <w:rPr>
          <w:rFonts w:hint="eastAsia" w:ascii="仿宋" w:hAnsi="仿宋" w:eastAsia="仿宋" w:cs="Arial"/>
          <w:color w:val="auto"/>
          <w:sz w:val="28"/>
          <w:szCs w:val="28"/>
        </w:rPr>
        <w:t xml:space="preserve">17.投标有效期的延长</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17.1在特殊情况下，</w:t>
      </w:r>
      <w:r>
        <w:rPr>
          <w:rFonts w:hint="eastAsia" w:ascii="仿宋" w:hAnsi="仿宋" w:eastAsia="仿宋"/>
          <w:color w:val="auto"/>
          <w:sz w:val="28"/>
          <w:szCs w:val="28"/>
        </w:rPr>
        <w:t xml:space="preserve">南通市教育技术中心</w:t>
      </w:r>
      <w:r>
        <w:rPr>
          <w:rFonts w:hint="eastAsia" w:ascii="仿宋" w:hAnsi="仿宋" w:eastAsia="仿宋"/>
          <w:bCs/>
          <w:color w:val="auto"/>
          <w:sz w:val="28"/>
          <w:szCs w:val="28"/>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rPr>
        <w:t xml:space="preserve">受投标有效期约束的所有权利与义务均延长至新的有效期</w:t>
      </w:r>
      <w:r>
        <w:rPr>
          <w:rFonts w:hint="eastAsia" w:ascii="仿宋" w:hAnsi="仿宋" w:eastAsia="仿宋"/>
          <w:bCs/>
          <w:color w:val="auto"/>
          <w:sz w:val="28"/>
          <w:szCs w:val="28"/>
        </w:rPr>
        <w:t xml:space="preserve">。</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118" w:name="_Hlt26954739"/>
      <w:r>
        <w:rPr>
          <w:color w:val="auto"/>
        </w:rPr>
      </w:r>
      <w:bookmarkEnd w:id="118"/>
      <w:r>
        <w:rPr>
          <w:color w:val="auto"/>
        </w:rPr>
      </w:r>
      <w:bookmarkStart w:id="119" w:name="_Hlt26954852"/>
      <w:r>
        <w:rPr>
          <w:color w:val="auto"/>
        </w:rPr>
      </w:r>
      <w:bookmarkEnd w:id="119"/>
      <w:r>
        <w:rPr>
          <w:color w:val="auto"/>
        </w:rPr>
      </w:r>
      <w:bookmarkStart w:id="120" w:name="_Toc120614217"/>
      <w:r>
        <w:rPr>
          <w:color w:val="auto"/>
        </w:rPr>
      </w:r>
      <w:bookmarkStart w:id="121" w:name="_Toc20823296"/>
      <w:r>
        <w:rPr>
          <w:color w:val="auto"/>
        </w:rPr>
      </w:r>
      <w:bookmarkStart w:id="122" w:name="_Toc513029224"/>
      <w:r>
        <w:rPr>
          <w:color w:val="auto"/>
        </w:rPr>
      </w:r>
      <w:bookmarkStart w:id="123" w:name="_Toc16938540"/>
      <w:r>
        <w:rPr>
          <w:rFonts w:hint="eastAsia" w:ascii="仿宋" w:hAnsi="仿宋" w:eastAsia="仿宋"/>
          <w:b/>
          <w:bCs/>
          <w:color w:val="auto"/>
          <w:sz w:val="28"/>
          <w:szCs w:val="28"/>
        </w:rPr>
        <w:t xml:space="preserve">四、投标文件的递交</w:t>
      </w:r>
      <w:bookmarkEnd w:id="120"/>
      <w:r>
        <w:rPr>
          <w:color w:val="auto"/>
        </w:rPr>
      </w:r>
      <w:bookmarkEnd w:id="121"/>
      <w:r>
        <w:rPr>
          <w:color w:val="auto"/>
        </w:rPr>
      </w:r>
      <w:bookmarkEnd w:id="122"/>
      <w:r>
        <w:rPr>
          <w:color w:val="auto"/>
        </w:rPr>
      </w:r>
      <w:bookmarkEnd w:id="123"/>
      <w:r>
        <w:rPr>
          <w:color w:val="auto"/>
        </w:rPr>
      </w:r>
      <w:r/>
    </w:p>
    <w:p>
      <w:pPr>
        <w:keepLines/>
        <w:keepNext/>
        <w:spacing w:line="480" w:lineRule="exact"/>
        <w:rPr>
          <w:rFonts w:ascii="仿宋" w:hAnsi="仿宋" w:eastAsia="仿宋"/>
          <w:bCs/>
          <w:color w:val="auto"/>
          <w:sz w:val="28"/>
          <w:szCs w:val="28"/>
        </w:rPr>
        <w:outlineLvl w:val="3"/>
      </w:pPr>
      <w:r>
        <w:rPr>
          <w:color w:val="auto"/>
        </w:rPr>
      </w:r>
      <w:bookmarkStart w:id="124" w:name="_Toc20823297"/>
      <w:r>
        <w:rPr>
          <w:color w:val="auto"/>
        </w:rPr>
      </w:r>
      <w:bookmarkStart w:id="125" w:name="_Toc462564084"/>
      <w:r>
        <w:rPr>
          <w:color w:val="auto"/>
        </w:rPr>
      </w:r>
      <w:bookmarkStart w:id="126" w:name="_Toc16938541"/>
      <w:r>
        <w:rPr>
          <w:color w:val="auto"/>
        </w:rPr>
      </w:r>
      <w:bookmarkStart w:id="127" w:name="_Toc513029225"/>
      <w:r>
        <w:rPr>
          <w:rFonts w:hint="eastAsia" w:ascii="仿宋" w:hAnsi="仿宋" w:eastAsia="仿宋"/>
          <w:bCs/>
          <w:color w:val="auto"/>
          <w:sz w:val="28"/>
          <w:szCs w:val="28"/>
        </w:rPr>
        <w:t xml:space="preserve">18.电子投标文件</w:t>
      </w:r>
      <w:bookmarkEnd w:id="124"/>
      <w:r>
        <w:rPr>
          <w:color w:val="auto"/>
        </w:rPr>
      </w:r>
      <w:bookmarkEnd w:id="125"/>
      <w:r>
        <w:rPr>
          <w:color w:val="auto"/>
        </w:rPr>
      </w:r>
      <w:bookmarkEnd w:id="126"/>
      <w:r>
        <w:rPr>
          <w:color w:val="auto"/>
        </w:rPr>
      </w:r>
      <w:bookmarkEnd w:id="127"/>
      <w:r>
        <w:rPr>
          <w:rFonts w:hint="eastAsia" w:ascii="仿宋" w:hAnsi="仿宋" w:eastAsia="仿宋"/>
          <w:bCs/>
          <w:color w:val="auto"/>
          <w:sz w:val="28"/>
          <w:szCs w:val="28"/>
        </w:rPr>
        <w:t xml:space="preserve">的递交</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18.1投标人应当按照《操作手册》规定，在投标截止时间前</w:t>
      </w:r>
      <w:r>
        <w:rPr>
          <w:rFonts w:ascii="仿宋" w:hAnsi="仿宋" w:eastAsia="仿宋"/>
          <w:bCs/>
          <w:color w:val="auto"/>
          <w:sz w:val="28"/>
          <w:szCs w:val="28"/>
        </w:rPr>
        <w:t xml:space="preserve">制作</w:t>
      </w:r>
      <w:r>
        <w:rPr>
          <w:rFonts w:hint="eastAsia" w:ascii="仿宋" w:hAnsi="仿宋" w:eastAsia="仿宋"/>
          <w:bCs/>
          <w:color w:val="auto"/>
          <w:sz w:val="28"/>
          <w:szCs w:val="28"/>
        </w:rPr>
        <w:t xml:space="preserve">并上传电子投标文件。</w:t>
      </w:r>
      <w:bookmarkStart w:id="128" w:name="_Toc20823298"/>
      <w:r>
        <w:rPr>
          <w:color w:val="auto"/>
        </w:rPr>
      </w:r>
      <w:bookmarkStart w:id="129" w:name="_Toc513029226"/>
      <w:r>
        <w:rPr>
          <w:color w:val="auto"/>
        </w:rPr>
      </w:r>
      <w:bookmarkStart w:id="130" w:name="_Toc16938542"/>
      <w:r>
        <w:rPr>
          <w:color w:val="auto"/>
        </w:rPr>
      </w:r>
      <w:r/>
    </w:p>
    <w:p>
      <w:pPr>
        <w:keepLines/>
        <w:keepNext/>
        <w:spacing w:line="480" w:lineRule="exact"/>
        <w:rPr>
          <w:rFonts w:ascii="仿宋" w:hAnsi="仿宋" w:eastAsia="仿宋"/>
          <w:bCs/>
          <w:color w:val="auto"/>
          <w:sz w:val="28"/>
          <w:szCs w:val="28"/>
        </w:rPr>
        <w:outlineLvl w:val="3"/>
      </w:pPr>
      <w:r>
        <w:rPr>
          <w:rFonts w:hint="eastAsia" w:ascii="仿宋" w:hAnsi="仿宋" w:eastAsia="仿宋"/>
          <w:bCs/>
          <w:color w:val="auto"/>
          <w:sz w:val="28"/>
          <w:szCs w:val="28"/>
        </w:rPr>
        <w:t xml:space="preserve">19.投标截止日期</w:t>
      </w:r>
      <w:bookmarkEnd w:id="128"/>
      <w:r>
        <w:rPr>
          <w:color w:val="auto"/>
        </w:rPr>
      </w:r>
      <w:bookmarkEnd w:id="129"/>
      <w:r>
        <w:rPr>
          <w:color w:val="auto"/>
        </w:rPr>
      </w:r>
      <w:bookmarkEnd w:id="130"/>
      <w:r>
        <w:rPr>
          <w:color w:val="auto"/>
        </w:rPr>
      </w:r>
      <w:r/>
    </w:p>
    <w:p>
      <w:pPr>
        <w:ind w:firstLine="562"/>
        <w:spacing w:line="480" w:lineRule="exact"/>
        <w:rPr>
          <w:rFonts w:ascii="仿宋" w:hAnsi="仿宋" w:eastAsia="仿宋"/>
          <w:b/>
          <w:bCs/>
          <w:color w:val="auto"/>
          <w:sz w:val="28"/>
          <w:szCs w:val="28"/>
          <w:u w:val="single"/>
        </w:rPr>
      </w:pPr>
      <w:r>
        <w:rPr>
          <w:rFonts w:ascii="仿宋" w:hAnsi="仿宋" w:eastAsia="仿宋"/>
          <w:b/>
          <w:color w:val="auto"/>
          <w:sz w:val="28"/>
          <w:szCs w:val="28"/>
          <w:u w:val="single"/>
        </w:rPr>
        <w:t xml:space="preserve">19</w:t>
      </w:r>
      <w:r>
        <w:rPr>
          <w:rFonts w:hint="eastAsia" w:ascii="仿宋" w:hAnsi="仿宋" w:eastAsia="仿宋"/>
          <w:b/>
          <w:color w:val="auto"/>
          <w:sz w:val="28"/>
          <w:szCs w:val="28"/>
          <w:u w:val="single"/>
        </w:rPr>
        <w:t xml:space="preserve">.1</w:t>
      </w:r>
      <w:r>
        <w:rPr>
          <w:rFonts w:hint="eastAsia" w:ascii="仿宋" w:hAnsi="仿宋" w:eastAsia="仿宋"/>
          <w:b/>
          <w:bCs/>
          <w:color w:val="auto"/>
          <w:sz w:val="28"/>
          <w:szCs w:val="28"/>
          <w:u w:val="single"/>
        </w:rPr>
        <w:t xml:space="preserve"> 投标人上传电子投标文件的时间不得迟于招标公告中规定的投标截止时间。</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投标人应充分考虑网络环境、网络带宽等风险因素，如因投标人自身原因造成电子投标文件上传不成功的，按照本招标文件第二章第27.1.2条规定作无效投标处理。</w:t>
      </w:r>
      <w:r>
        <w:rPr>
          <w:color w:val="auto"/>
        </w:rPr>
      </w:r>
      <w:r/>
    </w:p>
    <w:p>
      <w:pPr>
        <w:ind w:firstLine="560"/>
        <w:spacing w:line="480" w:lineRule="exact"/>
        <w:rPr>
          <w:rFonts w:ascii="仿宋" w:hAnsi="仿宋" w:eastAsia="仿宋"/>
          <w:bCs/>
          <w:color w:val="auto"/>
          <w:sz w:val="28"/>
          <w:szCs w:val="28"/>
        </w:rPr>
      </w:pPr>
      <w:r>
        <w:rPr>
          <w:rFonts w:ascii="仿宋" w:hAnsi="仿宋" w:eastAsia="仿宋"/>
          <w:color w:val="auto"/>
          <w:sz w:val="28"/>
          <w:szCs w:val="28"/>
        </w:rPr>
        <w:t xml:space="preserve">19</w:t>
      </w:r>
      <w:r>
        <w:rPr>
          <w:rFonts w:hint="eastAsia" w:ascii="仿宋" w:hAnsi="仿宋" w:eastAsia="仿宋"/>
          <w:color w:val="auto"/>
          <w:sz w:val="28"/>
          <w:szCs w:val="28"/>
        </w:rPr>
        <w:t xml:space="preserve">.2</w:t>
      </w:r>
      <w:r>
        <w:rPr>
          <w:rFonts w:hint="eastAsia" w:ascii="仿宋" w:hAnsi="仿宋" w:eastAsia="仿宋"/>
          <w:bCs/>
          <w:color w:val="auto"/>
          <w:sz w:val="28"/>
          <w:szCs w:val="28"/>
        </w:rPr>
        <w:t xml:space="preserve"> 南通市教育技术中心可以按照规定，通过修改招标文件酌情延长投标截止日期，在此情况下，投标人的所有权利和义务以及投标人受制的截止日期均应以延长后新的截止日期为准。</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31" w:name="_Toc513029227"/>
      <w:r>
        <w:rPr>
          <w:color w:val="auto"/>
        </w:rPr>
      </w:r>
      <w:bookmarkStart w:id="132" w:name="_Toc20823299"/>
      <w:r>
        <w:rPr>
          <w:color w:val="auto"/>
        </w:rPr>
      </w:r>
      <w:bookmarkStart w:id="133" w:name="_Toc16938543"/>
      <w:r>
        <w:rPr>
          <w:rFonts w:hint="eastAsia" w:ascii="仿宋" w:hAnsi="仿宋" w:eastAsia="仿宋" w:cs="Arial"/>
          <w:color w:val="auto"/>
          <w:sz w:val="28"/>
          <w:szCs w:val="28"/>
        </w:rPr>
        <w:t xml:space="preserve">20.投标文件</w:t>
      </w:r>
      <w:bookmarkEnd w:id="131"/>
      <w:r>
        <w:rPr>
          <w:color w:val="auto"/>
        </w:rPr>
      </w:r>
      <w:bookmarkEnd w:id="132"/>
      <w:r>
        <w:rPr>
          <w:color w:val="auto"/>
        </w:rPr>
      </w:r>
      <w:bookmarkEnd w:id="133"/>
      <w:r>
        <w:rPr>
          <w:rFonts w:hint="eastAsia" w:ascii="仿宋" w:hAnsi="仿宋" w:eastAsia="仿宋" w:cs="Arial"/>
          <w:color w:val="auto"/>
          <w:sz w:val="28"/>
          <w:szCs w:val="28"/>
        </w:rPr>
        <w:t xml:space="preserve">的拒收</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20.1 南通市教育技术中心拒绝接收在其规定的投标截止时间后上传的任何投标文件。</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34" w:name="_Toc16938544"/>
      <w:r>
        <w:rPr>
          <w:color w:val="auto"/>
        </w:rPr>
      </w:r>
      <w:bookmarkStart w:id="135" w:name="_Toc513029228"/>
      <w:r>
        <w:rPr>
          <w:color w:val="auto"/>
        </w:rPr>
      </w:r>
      <w:bookmarkStart w:id="136" w:name="_Toc20823300"/>
      <w:r>
        <w:rPr>
          <w:rFonts w:hint="eastAsia" w:ascii="仿宋" w:hAnsi="仿宋" w:eastAsia="仿宋" w:cs="Arial"/>
          <w:color w:val="auto"/>
          <w:sz w:val="28"/>
          <w:szCs w:val="28"/>
        </w:rPr>
        <w:t xml:space="preserve">21.投标文件的撤回和修改</w:t>
      </w:r>
      <w:bookmarkEnd w:id="134"/>
      <w:r>
        <w:rPr>
          <w:color w:val="auto"/>
        </w:rPr>
      </w:r>
      <w:bookmarkEnd w:id="135"/>
      <w:r>
        <w:rPr>
          <w:color w:val="auto"/>
        </w:rPr>
      </w:r>
      <w:bookmarkEnd w:id="136"/>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 投标文件的撤回</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.1.1 电子投标文件的撤回</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投标人可在投标截止时间前，撤回其电子投标文件，具体操作方法见《操作手册》。</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投标人撤回电子投标文件，则认为其不再参与本项目投标活动。</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.2 投标文件的修改</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21.2.1投标人可在投标截止时间前，对其电子投标文件进行修改，具体操作方法见《操作手册》。</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2.2</w:t>
      </w:r>
      <w:r>
        <w:rPr>
          <w:rFonts w:hint="eastAsia" w:ascii="仿宋" w:hAnsi="仿宋" w:eastAsia="仿宋"/>
          <w:bCs/>
          <w:color w:val="auto"/>
          <w:sz w:val="28"/>
          <w:szCs w:val="28"/>
        </w:rPr>
        <w:t xml:space="preserve"> 在投标截止时间之后，投标人不得对其电子投标文件作任何修改。</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 在投标截止时间至招标文件中规定的投标有效期满之间的这段时间内，投标人不得撤回其投标。</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137" w:name="_Toc513029229"/>
      <w:r>
        <w:rPr>
          <w:color w:val="auto"/>
        </w:rPr>
      </w:r>
      <w:bookmarkStart w:id="138" w:name="_Toc16938545"/>
      <w:r>
        <w:rPr>
          <w:color w:val="auto"/>
        </w:rPr>
      </w:r>
      <w:bookmarkStart w:id="139" w:name="_Toc20823301"/>
      <w:r>
        <w:rPr>
          <w:color w:val="auto"/>
        </w:rPr>
      </w:r>
      <w:bookmarkStart w:id="140" w:name="_Toc120614218"/>
      <w:r>
        <w:rPr>
          <w:rFonts w:hint="eastAsia" w:ascii="仿宋" w:hAnsi="仿宋" w:eastAsia="仿宋"/>
          <w:b/>
          <w:bCs/>
          <w:color w:val="auto"/>
          <w:sz w:val="28"/>
          <w:szCs w:val="28"/>
        </w:rPr>
        <w:t xml:space="preserve">五、开标与评标</w:t>
      </w:r>
      <w:bookmarkEnd w:id="137"/>
      <w:r>
        <w:rPr>
          <w:color w:val="auto"/>
        </w:rPr>
      </w:r>
      <w:bookmarkEnd w:id="138"/>
      <w:r>
        <w:rPr>
          <w:color w:val="auto"/>
        </w:rPr>
      </w:r>
      <w:bookmarkEnd w:id="139"/>
      <w:r>
        <w:rPr>
          <w:color w:val="auto"/>
        </w:rPr>
      </w:r>
      <w:bookmarkEnd w:id="140"/>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41" w:name="_Toc513029230"/>
      <w:r>
        <w:rPr>
          <w:color w:val="auto"/>
        </w:rPr>
      </w:r>
      <w:bookmarkStart w:id="142" w:name="_Toc16938546"/>
      <w:r>
        <w:rPr>
          <w:color w:val="auto"/>
        </w:rPr>
      </w:r>
      <w:bookmarkStart w:id="143" w:name="_Toc20823302"/>
      <w:r>
        <w:rPr>
          <w:rFonts w:hint="eastAsia" w:ascii="仿宋" w:hAnsi="仿宋" w:eastAsia="仿宋" w:cs="Arial"/>
          <w:color w:val="auto"/>
          <w:sz w:val="28"/>
          <w:szCs w:val="28"/>
        </w:rPr>
        <w:t xml:space="preserve">22.开标</w:t>
      </w:r>
      <w:bookmarkEnd w:id="141"/>
      <w:r>
        <w:rPr>
          <w:color w:val="auto"/>
        </w:rPr>
      </w:r>
      <w:bookmarkEnd w:id="142"/>
      <w:r>
        <w:rPr>
          <w:color w:val="auto"/>
        </w:rPr>
      </w:r>
      <w:bookmarkEnd w:id="143"/>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 南通市教育技术中心将在招标公告中规定的时间和地点组织公开开标</w:t>
      </w:r>
      <w:r>
        <w:rPr>
          <w:rFonts w:hint="eastAsia" w:ascii="仿宋" w:hAnsi="仿宋" w:eastAsia="仿宋"/>
          <w:color w:val="auto"/>
          <w:sz w:val="28"/>
          <w:szCs w:val="28"/>
        </w:rPr>
        <w:t xml:space="preserve">。投标人应当按照《操作手册》规定，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.2</w:t>
      </w:r>
      <w:r>
        <w:rPr>
          <w:rFonts w:hint="eastAsia" w:ascii="仿宋" w:hAnsi="仿宋" w:eastAsia="仿宋"/>
          <w:color w:val="auto"/>
          <w:sz w:val="28"/>
          <w:szCs w:val="28"/>
        </w:rPr>
        <w:t xml:space="preserve">开标仪式由南通市教育技术中心组织。苏采云系统将自动对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.3投标人在开标过程中涉及的投标文件解密、开标结果确认等工作，应按照《操作手册》规定执行。</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.4投标人如果对开标过程和开标记录有疑义，应当根据《操作手册》规定提出，如苏采云系统中《开标记录表》宣布后5分钟内未提出的，视同认可开标结果。</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44" w:name="_Toc16938547"/>
      <w:r>
        <w:rPr>
          <w:color w:val="auto"/>
        </w:rPr>
      </w:r>
      <w:bookmarkStart w:id="145" w:name="_Toc20823303"/>
      <w:r>
        <w:rPr>
          <w:color w:val="auto"/>
        </w:rPr>
      </w:r>
      <w:bookmarkStart w:id="146" w:name="_Toc513029231"/>
      <w:r>
        <w:rPr>
          <w:rFonts w:hint="eastAsia" w:ascii="仿宋" w:hAnsi="仿宋" w:eastAsia="仿宋" w:cs="Arial"/>
          <w:color w:val="auto"/>
          <w:sz w:val="28"/>
          <w:szCs w:val="28"/>
        </w:rPr>
        <w:t xml:space="preserve">23.评标委员会</w:t>
      </w:r>
      <w:r>
        <w:rPr>
          <w:color w:val="auto"/>
        </w:rPr>
      </w:r>
      <w:r/>
    </w:p>
    <w:p>
      <w:pP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 2</w:t>
      </w:r>
      <w:r>
        <w:rPr>
          <w:rFonts w:ascii="仿宋" w:hAnsi="仿宋" w:eastAsia="仿宋"/>
          <w:color w:val="auto"/>
          <w:sz w:val="28"/>
          <w:szCs w:val="28"/>
        </w:rPr>
        <w:t xml:space="preserve">3</w:t>
      </w:r>
      <w:r>
        <w:rPr>
          <w:rFonts w:hint="eastAsia" w:ascii="仿宋" w:hAnsi="仿宋" w:eastAsia="仿宋"/>
          <w:color w:val="auto"/>
          <w:sz w:val="28"/>
          <w:szCs w:val="28"/>
        </w:rPr>
        <w:t xml:space="preserve">.1</w:t>
      </w: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开标后，南通市教育技术中心将立即组织评标委员会（以下简称评委会）进行评标。</w:t>
      </w:r>
      <w:r>
        <w:rPr>
          <w:color w:val="auto"/>
        </w:rPr>
      </w:r>
      <w:r/>
    </w:p>
    <w:p>
      <w:pPr>
        <w:spacing w:line="480" w:lineRule="exact"/>
        <w:rPr>
          <w:rFonts w:ascii="仿宋" w:hAnsi="仿宋" w:eastAsia="仿宋"/>
          <w:color w:val="auto"/>
          <w:sz w:val="28"/>
          <w:szCs w:val="28"/>
        </w:rPr>
      </w:pP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 2</w:t>
      </w:r>
      <w:r>
        <w:rPr>
          <w:rFonts w:ascii="仿宋" w:hAnsi="仿宋" w:eastAsia="仿宋"/>
          <w:color w:val="auto"/>
          <w:sz w:val="28"/>
          <w:szCs w:val="28"/>
        </w:rPr>
        <w:t xml:space="preserve">3</w:t>
      </w:r>
      <w:r>
        <w:rPr>
          <w:rFonts w:hint="eastAsia" w:ascii="仿宋" w:hAnsi="仿宋" w:eastAsia="仿宋"/>
          <w:color w:val="auto"/>
          <w:sz w:val="28"/>
          <w:szCs w:val="28"/>
        </w:rPr>
        <w:t xml:space="preserve">.2 评委会由采购人代表和有关技术、经济等方面的专家组成，且人员构成符合政府采购有关规定。</w:t>
      </w:r>
      <w:r>
        <w:rPr>
          <w:color w:val="auto"/>
        </w:rPr>
      </w:r>
      <w:r/>
    </w:p>
    <w:p>
      <w:pPr>
        <w:spacing w:line="480" w:lineRule="exact"/>
        <w:rPr>
          <w:rFonts w:ascii="仿宋" w:hAnsi="仿宋" w:eastAsia="仿宋"/>
          <w:color w:val="auto"/>
          <w:sz w:val="28"/>
          <w:szCs w:val="28"/>
        </w:rPr>
      </w:pP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 2</w:t>
      </w:r>
      <w:r>
        <w:rPr>
          <w:rFonts w:ascii="仿宋" w:hAnsi="仿宋" w:eastAsia="仿宋"/>
          <w:color w:val="auto"/>
          <w:sz w:val="28"/>
          <w:szCs w:val="28"/>
        </w:rPr>
        <w:t xml:space="preserve">3</w:t>
      </w:r>
      <w:r>
        <w:rPr>
          <w:rFonts w:hint="eastAsia" w:ascii="仿宋" w:hAnsi="仿宋" w:eastAsia="仿宋"/>
          <w:color w:val="auto"/>
          <w:sz w:val="28"/>
          <w:szCs w:val="28"/>
        </w:rPr>
        <w:t xml:space="preserve">.3评委会独立工作，负责评审所有投标文件并确定中标候选人。</w:t>
      </w:r>
      <w:r>
        <w:rPr>
          <w:color w:val="auto"/>
        </w:rPr>
      </w:r>
      <w:r/>
    </w:p>
    <w:p>
      <w:pPr>
        <w:keepLines/>
        <w:keepNext/>
        <w:spacing w:line="480" w:lineRule="exact"/>
        <w:rPr>
          <w:rFonts w:ascii="仿宋" w:hAnsi="仿宋" w:eastAsia="仿宋" w:cs="Arial"/>
          <w:color w:val="auto"/>
          <w:sz w:val="28"/>
          <w:szCs w:val="28"/>
        </w:rPr>
        <w:outlineLvl w:val="3"/>
      </w:pPr>
      <w:r>
        <w:rPr>
          <w:rFonts w:hint="eastAsia" w:ascii="仿宋" w:hAnsi="仿宋" w:eastAsia="仿宋" w:cs="Arial"/>
          <w:color w:val="auto"/>
          <w:sz w:val="28"/>
          <w:szCs w:val="28"/>
        </w:rPr>
        <w:t xml:space="preserve">24.评标过程的保密与公正</w:t>
      </w:r>
      <w:bookmarkEnd w:id="144"/>
      <w:r>
        <w:rPr>
          <w:color w:val="auto"/>
        </w:rPr>
      </w:r>
      <w:bookmarkEnd w:id="145"/>
      <w:r>
        <w:rPr>
          <w:color w:val="auto"/>
        </w:rPr>
      </w:r>
      <w:bookmarkEnd w:id="146"/>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凡是与审查、澄清、评价和比较投标的有关资料以及授标建议等，采购人、评委、南通市教育技术中心均不得向投标人或与评标无关的其他人员透露。</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.2在评标过程中，投标人不得以任何行为影响评标过程，否则其投标文件将被作为无效投标文件。</w:t>
      </w:r>
      <w:r>
        <w:rPr>
          <w:color w:val="auto"/>
        </w:rPr>
      </w:r>
      <w:r/>
    </w:p>
    <w:p>
      <w:pPr>
        <w:ind w:firstLine="560"/>
        <w:spacing w:line="480" w:lineRule="exact"/>
        <w:rPr>
          <w:rFonts w:ascii="仿宋" w:hAnsi="仿宋" w:eastAsia="仿宋"/>
          <w:b/>
          <w:color w:val="auto"/>
          <w:sz w:val="28"/>
          <w:szCs w:val="28"/>
        </w:rPr>
      </w:pPr>
      <w:r>
        <w:rPr>
          <w:rFonts w:ascii="仿宋" w:hAnsi="仿宋" w:eastAsia="仿宋"/>
          <w:color w:val="auto"/>
          <w:sz w:val="28"/>
          <w:szCs w:val="28"/>
        </w:rPr>
        <w:t xml:space="preserve">24</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 南通市教育技术中心和评标委员会不向未中标的投标人解释未中标原因，也不公布评标过程中的相关细节。</w:t>
      </w:r>
      <w:r>
        <w:rPr>
          <w:color w:val="auto"/>
        </w:rPr>
      </w:r>
      <w:r/>
    </w:p>
    <w:p>
      <w:pPr>
        <w:ind w:firstLine="560"/>
        <w:spacing w:line="480" w:lineRule="exact"/>
        <w:rPr>
          <w:rFonts w:ascii="仿宋" w:hAnsi="仿宋" w:eastAsia="仿宋"/>
          <w:i/>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rPr>
          <w:color w:val="auto"/>
        </w:rPr>
      </w:r>
      <w:r/>
    </w:p>
    <w:p>
      <w:pPr>
        <w:keepLines/>
        <w:keepNext/>
        <w:spacing w:line="480" w:lineRule="exact"/>
        <w:rPr>
          <w:rFonts w:ascii="仿宋" w:hAnsi="仿宋" w:eastAsia="仿宋" w:cs="Arial"/>
          <w:color w:val="auto"/>
          <w:sz w:val="28"/>
          <w:szCs w:val="28"/>
        </w:rPr>
        <w:outlineLvl w:val="3"/>
      </w:pPr>
      <w:r>
        <w:rPr>
          <w:color w:val="auto"/>
        </w:rPr>
      </w:r>
      <w:bookmarkStart w:id="147" w:name="_Toc16938548"/>
      <w:r>
        <w:rPr>
          <w:color w:val="auto"/>
        </w:rPr>
      </w:r>
      <w:bookmarkStart w:id="148" w:name="_Toc513029232"/>
      <w:r>
        <w:rPr>
          <w:color w:val="auto"/>
        </w:rPr>
      </w:r>
      <w:bookmarkStart w:id="149" w:name="_Toc20823304"/>
      <w:r>
        <w:rPr>
          <w:rFonts w:hint="eastAsia" w:ascii="仿宋" w:hAnsi="仿宋" w:eastAsia="仿宋" w:cs="Arial"/>
          <w:color w:val="auto"/>
          <w:sz w:val="28"/>
          <w:szCs w:val="28"/>
        </w:rPr>
        <w:t xml:space="preserve">25.投标文件的澄清</w:t>
      </w:r>
      <w:bookmarkEnd w:id="147"/>
      <w:r>
        <w:rPr>
          <w:color w:val="auto"/>
        </w:rPr>
      </w:r>
      <w:bookmarkEnd w:id="148"/>
      <w:r>
        <w:rPr>
          <w:color w:val="auto"/>
        </w:rPr>
      </w:r>
      <w:bookmarkEnd w:id="149"/>
      <w:r>
        <w:rPr>
          <w:color w:val="auto"/>
        </w:rPr>
      </w:r>
      <w:r/>
    </w:p>
    <w:p>
      <w:pPr>
        <w:ind w:firstLine="560"/>
        <w:spacing w:line="480" w:lineRule="exact"/>
        <w:rPr>
          <w:rFonts w:ascii="仿宋" w:hAnsi="仿宋" w:eastAsia="仿宋"/>
          <w:color w:val="auto"/>
          <w:sz w:val="28"/>
          <w:szCs w:val="28"/>
        </w:rPr>
      </w:pPr>
      <w:r>
        <w:rPr>
          <w:color w:val="auto"/>
        </w:rPr>
      </w:r>
      <w:bookmarkStart w:id="150" w:name="_Toc20823305"/>
      <w:r>
        <w:rPr>
          <w:color w:val="auto"/>
        </w:rPr>
      </w:r>
      <w:bookmarkStart w:id="151" w:name="_Toc16938549"/>
      <w:r>
        <w:rPr>
          <w:color w:val="auto"/>
        </w:rPr>
      </w:r>
      <w:bookmarkStart w:id="152" w:name="_Toc513029233"/>
      <w:r>
        <w:rPr>
          <w:rFonts w:ascii="仿宋" w:hAnsi="仿宋" w:eastAsia="仿宋"/>
          <w:color w:val="auto"/>
          <w:sz w:val="28"/>
          <w:szCs w:val="28"/>
        </w:rPr>
        <w:t xml:space="preserve">25</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w:t>
      </w:r>
      <w:r>
        <w:rPr>
          <w:rFonts w:ascii="仿宋" w:hAnsi="仿宋" w:eastAsia="仿宋"/>
          <w:color w:val="auto"/>
          <w:sz w:val="28"/>
          <w:szCs w:val="28"/>
        </w:rPr>
        <w:t xml:space="preserve"> </w:t>
      </w:r>
      <w:r>
        <w:rPr>
          <w:rFonts w:hint="eastAsia" w:ascii="仿宋" w:hAnsi="仿宋" w:eastAsia="仿宋"/>
          <w:color w:val="auto"/>
          <w:sz w:val="28"/>
          <w:szCs w:val="28"/>
        </w:rPr>
        <w:t xml:space="preserve">，有权要求投标人作出必要的澄清、说明或者补正。</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评标</w:t>
      </w:r>
      <w:r>
        <w:rPr>
          <w:rFonts w:ascii="仿宋" w:hAnsi="仿宋" w:eastAsia="仿宋"/>
          <w:color w:val="auto"/>
          <w:sz w:val="28"/>
          <w:szCs w:val="28"/>
        </w:rPr>
        <w:t xml:space="preserve">委员会并非对每个投标人都做澄清要求</w:t>
      </w:r>
      <w:r>
        <w:rPr>
          <w:rFonts w:hint="eastAsia" w:ascii="仿宋" w:hAnsi="仿宋" w:eastAsia="仿宋"/>
          <w:color w:val="auto"/>
          <w:sz w:val="28"/>
          <w:szCs w:val="28"/>
        </w:rPr>
        <w:t xml:space="preserve">。</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.3 接到评委会澄清、说明和补正要求的投标人如未按规定作出澄清、说明和补正，其风险由投标人自行承担。</w:t>
      </w:r>
      <w:r>
        <w:rPr>
          <w:color w:val="auto"/>
        </w:rPr>
      </w:r>
      <w:r/>
    </w:p>
    <w:p>
      <w:pPr>
        <w:keepLines/>
        <w:keepNext/>
        <w:spacing w:line="480" w:lineRule="exact"/>
        <w:rPr>
          <w:rFonts w:ascii="仿宋" w:hAnsi="仿宋" w:eastAsia="仿宋" w:cs="Arial"/>
          <w:color w:val="auto"/>
          <w:sz w:val="28"/>
          <w:szCs w:val="28"/>
        </w:rPr>
        <w:outlineLvl w:val="3"/>
      </w:pPr>
      <w:r>
        <w:rPr>
          <w:rFonts w:hint="eastAsia" w:ascii="仿宋" w:hAnsi="仿宋" w:eastAsia="仿宋" w:cs="Arial"/>
          <w:color w:val="auto"/>
          <w:sz w:val="28"/>
          <w:szCs w:val="28"/>
        </w:rPr>
        <w:t xml:space="preserve">26.对投标文件的初审</w:t>
      </w:r>
      <w:bookmarkEnd w:id="150"/>
      <w:r>
        <w:rPr>
          <w:color w:val="auto"/>
        </w:rPr>
      </w:r>
      <w:bookmarkEnd w:id="151"/>
      <w:r>
        <w:rPr>
          <w:color w:val="auto"/>
        </w:rPr>
      </w:r>
      <w:bookmarkEnd w:id="152"/>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投标文件初审分为资格审查和符合性审查。</w:t>
      </w:r>
      <w:r>
        <w:rPr>
          <w:color w:val="auto"/>
        </w:rPr>
      </w:r>
      <w:r/>
    </w:p>
    <w:p>
      <w:pPr>
        <w:ind w:firstLine="562"/>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.1.1 资格审查：依据法律法规和招标文件的规定，由采购人对投标文件中的资格证明文件进行审查。资格审查的结论，采购人以书面形式向评委会进行反馈。</w:t>
      </w:r>
      <w:r>
        <w:rPr>
          <w:color w:val="auto"/>
        </w:rPr>
      </w:r>
      <w:r/>
    </w:p>
    <w:p>
      <w:pPr>
        <w:ind w:firstLine="562"/>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采购人在进行资格性审查的同时，将在“信用中国”网站（www.creditchina.gov.cn）查询投标人的信用记录，以确定投标人是否具备投标资格，查询结果留存并归档。</w:t>
      </w:r>
      <w:r>
        <w:rPr>
          <w:color w:val="auto"/>
        </w:rPr>
      </w:r>
      <w:r/>
    </w:p>
    <w:p>
      <w:pPr>
        <w:pStyle w:val="971"/>
        <w:ind w:firstLine="560"/>
        <w:jc w:val="left"/>
        <w:spacing w:line="480" w:lineRule="exact"/>
        <w:rPr>
          <w:rFonts w:ascii="仿宋" w:hAnsi="仿宋" w:eastAsia="仿宋"/>
          <w:bCs/>
          <w:color w:val="auto"/>
          <w:sz w:val="28"/>
          <w:szCs w:val="28"/>
        </w:rPr>
        <w:outlineLvl w:val="1"/>
      </w:pPr>
      <w:r>
        <w:rPr>
          <w:rFonts w:hint="eastAsia" w:ascii="仿宋" w:hAnsi="仿宋" w:eastAsia="仿宋"/>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r/>
    </w:p>
    <w:p>
      <w:pPr>
        <w:pStyle w:val="971"/>
        <w:ind w:firstLine="0"/>
        <w:jc w:val="center"/>
        <w:spacing w:line="480" w:lineRule="exact"/>
        <w:rPr>
          <w:rFonts w:ascii="仿宋" w:hAnsi="仿宋" w:eastAsia="仿宋" w:cs="仿宋"/>
          <w:b/>
          <w:color w:val="auto"/>
          <w:sz w:val="24"/>
          <w:szCs w:val="18"/>
          <w:u w:val="single"/>
        </w:rPr>
        <w:outlineLvl w:val="1"/>
      </w:pPr>
      <w:r>
        <w:rPr>
          <w:rFonts w:hint="eastAsia" w:ascii="仿宋" w:hAnsi="仿宋" w:eastAsia="仿宋" w:cs="仿宋"/>
          <w:b/>
          <w:color w:val="auto"/>
          <w:sz w:val="24"/>
          <w:szCs w:val="18"/>
          <w:u w:val="single"/>
        </w:rPr>
        <w:t xml:space="preserve">特别说明：关于个体工商户及分公司（分支机构）参与本项目的资格补充条款</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一、个体工商户</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符合中小企业划分标准的个体工商户，在政府采购活动中视同中小企业，享受相关扶持政策。</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个体工商户以经营者对应本文件中的“法定代表人”，相关材料可由经营者身份证明书及授权委托书替代。</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二、分公司及非法人性质分支机构（含电信、银行、保险、石油石化、电力等行业）</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此项无佐证材料视为无效响应。</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分公司以负责人对应本文件中的“法定代表人”，相关材料可由负责人身份证明书及授权委托书替代。</w:t>
      </w:r>
      <w:r>
        <w:rPr>
          <w:color w:val="auto"/>
        </w:rPr>
      </w:r>
      <w:r/>
    </w:p>
    <w:p>
      <w:pPr>
        <w:pStyle w:val="971"/>
        <w:ind w:firstLine="480"/>
        <w:spacing w:line="480" w:lineRule="exact"/>
        <w:rPr>
          <w:rFonts w:ascii="仿宋" w:hAnsi="仿宋" w:eastAsia="仿宋" w:cs="仿宋"/>
          <w:bCs/>
          <w:color w:val="auto"/>
          <w:sz w:val="24"/>
          <w:szCs w:val="18"/>
          <w:u w:val="single"/>
        </w:rPr>
        <w:outlineLvl w:val="1"/>
      </w:pPr>
      <w:r>
        <w:rPr>
          <w:rFonts w:hint="eastAsia" w:ascii="仿宋" w:hAnsi="仿宋" w:eastAsia="仿宋" w:cs="仿宋"/>
          <w:bCs/>
          <w:color w:val="auto"/>
          <w:sz w:val="24"/>
          <w:szCs w:val="18"/>
          <w:u w:val="single"/>
        </w:rPr>
        <w:t xml:space="preserve">同一总公司仅能授权一家分公司参与本项目；总公司与其分公司不得同时参与同一项目，否则相关响应均按无效处理。</w:t>
      </w:r>
      <w:r>
        <w:rPr>
          <w:color w:val="auto"/>
        </w:rPr>
      </w:r>
      <w:r/>
    </w:p>
    <w:p>
      <w:pPr>
        <w:pStyle w:val="971"/>
        <w:ind w:firstLine="480"/>
        <w:spacing w:line="480" w:lineRule="exact"/>
        <w:rPr>
          <w:color w:val="auto"/>
          <w:u w:val="single"/>
        </w:rPr>
        <w:outlineLvl w:val="1"/>
      </w:pPr>
      <w:r>
        <w:rPr>
          <w:rFonts w:hint="eastAsia" w:ascii="仿宋" w:hAnsi="仿宋" w:eastAsia="仿宋" w:cs="仿宋"/>
          <w:bCs/>
          <w:color w:val="auto"/>
          <w:sz w:val="24"/>
          <w:szCs w:val="18"/>
          <w:u w:val="single"/>
        </w:rPr>
        <w:t xml:space="preserve">分公司原则上不得使用总公司的业绩和资质；采购文件另有规定的除外。</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6</w:t>
      </w:r>
      <w:r>
        <w:rPr>
          <w:rFonts w:hint="eastAsia" w:ascii="仿宋" w:hAnsi="仿宋" w:eastAsia="仿宋"/>
          <w:bCs/>
          <w:color w:val="auto"/>
          <w:sz w:val="28"/>
          <w:szCs w:val="28"/>
        </w:rPr>
        <w:t xml:space="preserve">.1.2 符合性审查：依据招标文件的规定，由评委会从投标文件的有效性、完整性和对招标文件的响应程度进行审查，以确定是否对招标文件的实质性要求作出响应。</w:t>
      </w:r>
      <w:r>
        <w:rPr>
          <w:color w:val="auto"/>
        </w:rPr>
      </w:r>
      <w:r/>
    </w:p>
    <w:p>
      <w:pPr>
        <w:ind w:firstLine="562"/>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.1.3 未通过资格审查或符合性审查的投标人，南通市教育技术中心将在</w:t>
      </w:r>
      <w:r>
        <w:rPr>
          <w:rFonts w:hint="eastAsia" w:ascii="仿宋" w:hAnsi="仿宋" w:eastAsia="仿宋"/>
          <w:b/>
          <w:color w:val="auto"/>
          <w:sz w:val="28"/>
          <w:szCs w:val="28"/>
        </w:rPr>
        <w:t xml:space="preserve">苏采云系统</w:t>
      </w:r>
      <w:r>
        <w:rPr>
          <w:rFonts w:hint="eastAsia" w:ascii="仿宋" w:hAnsi="仿宋" w:eastAsia="仿宋"/>
          <w:b/>
          <w:bCs/>
          <w:color w:val="auto"/>
          <w:sz w:val="28"/>
          <w:szCs w:val="28"/>
        </w:rPr>
        <w:t xml:space="preserve">中告知未通过资格审查或符合性审查的原因，评审结束后，南通市教育技术中心将不再告知未通过资格审查或符合性审查的原因。</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rPr>
        <w:t xml:space="preserve">评委决定投标文件的响应性只根据投标文件本身的内容，而不寻求外部的证据。</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如果投标文件实质上没有响应招标文件的要求，评委会将予以拒绝，投标人不得通过修改或撤销不符合要求的偏离或保留而使其投标成为实质性响应的投标。</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.4</w:t>
      </w:r>
      <w:r>
        <w:rPr>
          <w:rFonts w:hint="eastAsia" w:ascii="仿宋" w:hAnsi="仿宋" w:eastAsia="仿宋"/>
          <w:bCs/>
          <w:color w:val="auto"/>
          <w:sz w:val="28"/>
          <w:szCs w:val="28"/>
        </w:rPr>
        <w:t xml:space="preserve">评委会将对确定为实质性响应的投标进行进一步审核，看其是否有计算上或累加上的算术错误，修正错误的原则如下：</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（1）投标文件中开标一览表内容与投标文件中相应内容不一致的，以开标一览表为准。</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（2）大写金额和小写金额不一致的，以大写金额为准。</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（3）单价金额小数点或者百分比有明显错位的，以开标一览表的总价为准，并修改单价。</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（4）总价金额与按单价汇总金额不一致的，以单价金额计算结果为准。</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同时出现两种以上错误的，按照前款规定的顺序修正。</w:t>
      </w:r>
      <w:r>
        <w:rPr>
          <w:color w:val="auto"/>
        </w:rPr>
      </w:r>
      <w:r/>
    </w:p>
    <w:p>
      <w:pPr>
        <w:ind w:firstLine="560"/>
        <w:spacing w:line="480" w:lineRule="exact"/>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.5</w:t>
      </w:r>
      <w:r>
        <w:rPr>
          <w:rFonts w:hint="eastAsia" w:ascii="仿宋" w:hAnsi="仿宋" w:eastAsia="仿宋"/>
          <w:bCs/>
          <w:color w:val="auto"/>
          <w:sz w:val="28"/>
          <w:szCs w:val="28"/>
        </w:rPr>
        <w:t xml:space="preserve">评委会将按上述修正错误的方法调整投标文件中的投标报价，并</w:t>
      </w:r>
      <w:r>
        <w:rPr>
          <w:rFonts w:ascii="仿宋" w:hAnsi="仿宋" w:eastAsia="仿宋"/>
          <w:bCs/>
          <w:color w:val="auto"/>
          <w:sz w:val="28"/>
          <w:szCs w:val="28"/>
        </w:rPr>
        <w:t xml:space="preserve">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告知</w:t>
      </w:r>
      <w:r>
        <w:rPr>
          <w:rFonts w:ascii="仿宋" w:hAnsi="仿宋" w:eastAsia="仿宋"/>
          <w:bCs/>
          <w:color w:val="auto"/>
          <w:sz w:val="28"/>
          <w:szCs w:val="28"/>
        </w:rPr>
        <w:t xml:space="preserve">投标人，</w:t>
      </w:r>
      <w:r>
        <w:rPr>
          <w:rFonts w:hint="eastAsia" w:ascii="仿宋" w:hAnsi="仿宋" w:eastAsia="仿宋"/>
          <w:bCs/>
          <w:color w:val="auto"/>
          <w:sz w:val="28"/>
          <w:szCs w:val="28"/>
        </w:rPr>
        <w:t xml:space="preserve">调整后的价格应对投标人具有约束力。如果投标人不接受修正后的价格，则其投标将被拒绝。</w:t>
      </w:r>
      <w:r>
        <w:rPr>
          <w:color w:val="auto"/>
        </w:rPr>
      </w:r>
      <w:r/>
    </w:p>
    <w:p>
      <w:pPr>
        <w:ind w:firstLine="560"/>
        <w:spacing w:line="480" w:lineRule="exact"/>
        <w:rPr>
          <w:rFonts w:ascii="仿宋" w:hAnsi="仿宋" w:eastAsia="仿宋"/>
          <w:color w:val="auto"/>
          <w:sz w:val="28"/>
          <w:szCs w:val="28"/>
        </w:rPr>
      </w:pPr>
      <w:r>
        <w:rPr>
          <w:color w:val="auto"/>
        </w:rPr>
      </w:r>
      <w:bookmarkStart w:id="153" w:name="_Toc20823306"/>
      <w:r>
        <w:rPr>
          <w:color w:val="auto"/>
        </w:rPr>
      </w:r>
      <w:bookmarkStart w:id="154" w:name="_Toc16938550"/>
      <w:r>
        <w:rPr>
          <w:color w:val="auto"/>
        </w:rPr>
      </w:r>
      <w:bookmarkStart w:id="155" w:name="_Toc513029234"/>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rPr>
          <w:color w:val="auto"/>
        </w:rPr>
      </w:r>
      <w:r/>
    </w:p>
    <w:p>
      <w:pPr>
        <w:ind w:firstLine="420"/>
        <w:spacing w:line="480" w:lineRule="exact"/>
        <w:rPr>
          <w:rFonts w:ascii="仿宋" w:hAnsi="仿宋" w:eastAsia="仿宋"/>
          <w:color w:val="auto"/>
          <w:sz w:val="28"/>
          <w:szCs w:val="28"/>
        </w:rPr>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将载明其中的核心产品</w:t>
      </w:r>
      <w:r>
        <w:rPr>
          <w:rFonts w:ascii="仿宋" w:hAnsi="仿宋" w:eastAsia="仿宋"/>
          <w:color w:val="auto"/>
          <w:sz w:val="28"/>
          <w:szCs w:val="28"/>
        </w:rPr>
        <w:t xml:space="preserve">。多家投标人提供的核心产品品牌相同的，按前两款规定处理。</w:t>
      </w:r>
      <w:r>
        <w:rPr>
          <w:color w:val="auto"/>
        </w:rPr>
      </w:r>
      <w:r/>
    </w:p>
    <w:p>
      <w:pPr>
        <w:ind w:firstLine="420"/>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.7投标人在开、评标全过程中应保持通信畅通，及时登录苏采云系统查阅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并安排专人与南通市教育技术中心及评标委员会联系。</w:t>
      </w:r>
      <w:bookmarkEnd w:id="153"/>
      <w:r>
        <w:rPr>
          <w:color w:val="auto"/>
        </w:rPr>
      </w:r>
      <w:bookmarkEnd w:id="154"/>
      <w:r>
        <w:rPr>
          <w:color w:val="auto"/>
        </w:rPr>
      </w:r>
      <w:bookmarkEnd w:id="155"/>
      <w:r>
        <w:rPr>
          <w:color w:val="auto"/>
        </w:rPr>
      </w:r>
      <w:r/>
    </w:p>
    <w:p>
      <w:pPr>
        <w:pStyle w:val="1302"/>
        <w:ind w:firstLine="0"/>
        <w:spacing w:line="480" w:lineRule="exact"/>
        <w:rPr>
          <w:rFonts w:ascii="仿宋" w:hAnsi="仿宋" w:eastAsia="仿宋"/>
          <w:b/>
          <w:bCs/>
          <w:color w:val="auto"/>
          <w:sz w:val="28"/>
          <w:szCs w:val="28"/>
        </w:rPr>
      </w:pPr>
      <w:r>
        <w:rPr>
          <w:color w:val="auto"/>
        </w:rPr>
      </w:r>
      <w:bookmarkStart w:id="156" w:name="_Toc16938551"/>
      <w:r>
        <w:rPr>
          <w:color w:val="auto"/>
        </w:rPr>
      </w:r>
      <w:bookmarkStart w:id="157" w:name="_Toc513029235"/>
      <w:r>
        <w:rPr>
          <w:color w:val="auto"/>
        </w:rPr>
      </w:r>
      <w:bookmarkStart w:id="158" w:name="_Toc20823307"/>
      <w:r>
        <w:rPr>
          <w:rFonts w:hint="eastAsia" w:ascii="仿宋" w:hAnsi="仿宋" w:eastAsia="仿宋"/>
          <w:b/>
          <w:bCs/>
          <w:color w:val="auto"/>
          <w:sz w:val="28"/>
          <w:szCs w:val="28"/>
        </w:rPr>
        <w:t xml:space="preserve">27.异常低价审查</w:t>
      </w:r>
      <w:r>
        <w:rPr>
          <w:color w:val="auto"/>
        </w:rPr>
      </w:r>
      <w:r/>
    </w:p>
    <w:p>
      <w:pPr>
        <w:pStyle w:val="1302"/>
        <w:ind w:firstLine="562"/>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（1）投标（响应）报价低于全部通过符合性审查供应商投标（响应）报价平均值50%的，即投标（响应）报价</w:t>
      </w:r>
      <w:r>
        <w:rPr>
          <w:rFonts w:hint="eastAsia" w:ascii="微软雅黑" w:hAnsi="微软雅黑" w:eastAsia="微软雅黑" w:cs="微软雅黑"/>
          <w:color w:val="auto"/>
          <w:sz w:val="28"/>
          <w:szCs w:val="28"/>
        </w:rPr>
        <w:t xml:space="preserve">＜</w:t>
      </w:r>
      <w:r>
        <w:rPr>
          <w:rFonts w:hint="eastAsia" w:ascii="仿宋" w:hAnsi="仿宋" w:eastAsia="仿宋"/>
          <w:color w:val="auto"/>
          <w:sz w:val="28"/>
          <w:szCs w:val="28"/>
        </w:rPr>
        <w:t xml:space="preserve">全部通过符合性审查供应商投标（响应）报价平均值×50%； </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（2）投标（响应）报价低于通过符合性审查的次低报价供应商投标（响应）报价50%的，即投标（响应）报价</w:t>
      </w:r>
      <w:r>
        <w:rPr>
          <w:rFonts w:hint="eastAsia" w:ascii="微软雅黑" w:hAnsi="微软雅黑" w:eastAsia="微软雅黑" w:cs="微软雅黑"/>
          <w:color w:val="auto"/>
          <w:sz w:val="28"/>
          <w:szCs w:val="28"/>
        </w:rPr>
        <w:t xml:space="preserve">&lt;</w:t>
      </w:r>
      <w:r>
        <w:rPr>
          <w:rFonts w:hint="eastAsia" w:ascii="仿宋" w:hAnsi="仿宋" w:eastAsia="仿宋"/>
          <w:color w:val="auto"/>
          <w:sz w:val="28"/>
          <w:szCs w:val="28"/>
        </w:rPr>
        <w:t xml:space="preserve">通过符合性审查的次低报价供应商投标（响应）报价×50%； </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（3）投标（响应）报价低于采购项目最高限价45%的，即投标（响应）报价</w:t>
      </w:r>
      <w:r>
        <w:rPr>
          <w:rFonts w:hint="eastAsia" w:ascii="微软雅黑" w:hAnsi="微软雅黑" w:eastAsia="微软雅黑" w:cs="微软雅黑"/>
          <w:color w:val="auto"/>
          <w:sz w:val="28"/>
          <w:szCs w:val="28"/>
        </w:rPr>
        <w:t xml:space="preserve">&lt;</w:t>
      </w:r>
      <w:r>
        <w:rPr>
          <w:rFonts w:hint="eastAsia" w:ascii="仿宋" w:hAnsi="仿宋" w:eastAsia="仿宋"/>
          <w:color w:val="auto"/>
          <w:sz w:val="28"/>
          <w:szCs w:val="28"/>
        </w:rPr>
        <w:t xml:space="preserve">采购项目最高限价×45%； </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（4）评审委员会基于专业判断，认为供应商报价过低，有可能影响产品质量或者不能诚信履约的其他情形。</w:t>
      </w:r>
      <w:r>
        <w:rPr>
          <w:color w:val="auto"/>
        </w:rPr>
      </w:r>
      <w:r/>
    </w:p>
    <w:p>
      <w:pPr>
        <w:ind w:firstLine="480"/>
        <w:spacing w:line="480" w:lineRule="exact"/>
        <w:rPr>
          <w:rFonts w:ascii="仿宋" w:hAnsi="仿宋" w:eastAsia="仿宋"/>
          <w:color w:val="auto"/>
          <w:sz w:val="28"/>
          <w:szCs w:val="28"/>
        </w:rPr>
      </w:pPr>
      <w:r>
        <w:rPr>
          <w:rFonts w:hint="eastAsia" w:ascii="仿宋" w:hAnsi="仿宋" w:eastAsia="仿宋"/>
          <w:color w:val="auto"/>
          <w:sz w:val="28"/>
          <w:szCs w:val="28"/>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rPr>
          <w:color w:val="auto"/>
        </w:rPr>
      </w:r>
      <w:r/>
    </w:p>
    <w:p>
      <w:pPr>
        <w:ind w:firstLine="480"/>
        <w:spacing w:line="480" w:lineRule="exact"/>
        <w:rPr>
          <w:rFonts w:ascii="仿宋" w:hAnsi="仿宋" w:eastAsia="仿宋"/>
          <w:b/>
          <w:bCs/>
          <w:color w:val="auto"/>
          <w:sz w:val="28"/>
          <w:szCs w:val="28"/>
        </w:rPr>
      </w:pPr>
      <w:r>
        <w:rPr>
          <w:rFonts w:hint="eastAsia" w:ascii="仿宋" w:hAnsi="仿宋" w:eastAsia="仿宋"/>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b/>
          <w:bCs/>
          <w:color w:val="auto"/>
          <w:sz w:val="28"/>
          <w:szCs w:val="28"/>
        </w:rPr>
        <w:t xml:space="preserve"> </w:t>
      </w:r>
      <w:r>
        <w:rPr>
          <w:color w:val="auto"/>
        </w:rPr>
      </w:r>
      <w:r/>
    </w:p>
    <w:p>
      <w:pPr>
        <w:spacing w:line="480" w:lineRule="exact"/>
        <w:rPr>
          <w:rFonts w:ascii="仿宋" w:hAnsi="仿宋" w:eastAsia="仿宋" w:cs="仿宋"/>
          <w:b/>
          <w:color w:val="auto"/>
          <w:sz w:val="28"/>
        </w:rPr>
      </w:pPr>
      <w:r>
        <w:rPr>
          <w:rFonts w:hint="eastAsia" w:ascii="仿宋" w:hAnsi="仿宋" w:eastAsia="仿宋" w:cs="仿宋"/>
          <w:b/>
          <w:color w:val="auto"/>
          <w:sz w:val="28"/>
        </w:rPr>
        <w:t xml:space="preserve">28.政府采购政策功能落实</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28.1小微型企业价格扣除</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28.1.1本项目对小型和微型企业产品给予10%的扣除价格，用扣除后的价格参与评审。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28.1.2供应商需按照采购文件的要求提供相应的《小型、微型企业声明函》。</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28.1.3企业标准请参照《关于印发中小企业划型标准规定的通知》（工信部联企业〔2011〕300号）文件规定自行填写。</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28.2残疾人福利单位价格扣除</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28.2.1本项目对残疾人福利性单位视同小型、微型企业，给予10%的价格扣除，用扣除后的价格参与评审。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28.2.2残疾人福利单位需按照采购文件的要求提供《残疾人福利性单位声明函》。</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28.2.3残疾人福利单位标准请参照《关于促进残疾人就业政府采购政策的通知》（财库〔2017〕141号）。</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28.3监狱和戒毒企业价格扣除</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28.3.1本项目对监狱和戒毒企业（简称监狱企业）视同小型、微型企业，给予10%的价格扣除，用扣除后的价格参与评审。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28.3.2监狱企业参加政府采购活动时，需提供由省级以上监狱管理局、戒毒管理局（含新疆生产建设兵团）出具的属于监狱企业的证明文件。供应商如不提供上述证明文件，价格将不做相应扣除。</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28.3.3监狱企业标准请参照《关于政府采购支持监狱企业发展有关问题的通知》（财库〔2014〕68号）。</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28.4疾人福利单位、监狱企业属于小型、微型企业的，不重复享受政策。</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28.6联合体各方均为小型、微型企业（残疾人福利单位、监狱企业）的，联合体享受5%价格扣除，用扣除后的价格参与评审。</w:t>
      </w:r>
      <w:r>
        <w:rPr>
          <w:color w:val="auto"/>
        </w:rPr>
      </w:r>
      <w:r/>
    </w:p>
    <w:p>
      <w:pPr>
        <w:ind w:firstLine="560"/>
        <w:spacing w:line="480" w:lineRule="exact"/>
        <w:rPr>
          <w:rFonts w:ascii="仿宋" w:hAnsi="仿宋" w:eastAsia="仿宋" w:cs="仿宋"/>
          <w:b/>
          <w:color w:val="auto"/>
          <w:sz w:val="28"/>
          <w:szCs w:val="28"/>
        </w:rPr>
      </w:pPr>
      <w:r>
        <w:rPr>
          <w:rFonts w:hint="eastAsia" w:ascii="仿宋" w:hAnsi="仿宋" w:eastAsia="仿宋" w:cs="仿宋"/>
          <w:b/>
          <w:color w:val="auto"/>
          <w:sz w:val="28"/>
          <w:szCs w:val="28"/>
          <w:u w:val="single"/>
        </w:rPr>
        <w:t xml:space="preserve">28.7专门面向中小企业采购的项目或者采购包，不再执行价格评审优惠的扶持政策。</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28.8强制采购节能产品。政府强制采购节能产品是指</w:t>
      </w:r>
      <w:bookmarkStart w:id="159" w:name="OLE_LINK209"/>
      <w:r>
        <w:rPr>
          <w:rFonts w:hint="eastAsia" w:ascii="仿宋" w:hAnsi="仿宋" w:eastAsia="仿宋" w:cs="仿宋"/>
          <w:color w:val="auto"/>
          <w:sz w:val="28"/>
          <w:szCs w:val="28"/>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rPr>
        <w:t xml:space="preserve">；本项目中涉及强制采购产品的，供应商须按照上述要求提供相关产品的证明材料，否则投标（响应）无效。</w:t>
      </w:r>
      <w:bookmarkStart w:id="160" w:name="OLE_LINK210"/>
      <w:r>
        <w:rPr>
          <w:color w:val="auto"/>
        </w:rPr>
      </w:r>
      <w:r/>
    </w:p>
    <w:p>
      <w:pPr>
        <w:ind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28.9绿色采购。本次采购需切实履行绿色采购，参照《江苏省财政</w:t>
      </w:r>
      <w:r>
        <w:rPr>
          <w:rFonts w:hint="eastAsia" w:ascii="仿宋" w:hAnsi="仿宋" w:eastAsia="仿宋" w:cs="仿宋"/>
          <w:color w:val="auto"/>
          <w:sz w:val="28"/>
          <w:szCs w:val="28"/>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rPr>
        <w:t xml:space="preserve">  </w:t>
      </w:r>
      <w:r>
        <w:rPr>
          <w:color w:val="auto"/>
        </w:rPr>
      </w:r>
      <w:r/>
    </w:p>
    <w:p>
      <w:pPr>
        <w:ind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28.9.1商品包装环保要求：</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（1）商品包装层数不得超过3层，空隙率不大于40%；</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（2）商品包装尽可能使用单一材质的包装材料，如因功能需求必须使用不同材质，不同材质间应便于分离；</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（3）商品包装中铅、汞、镉、六价铬的总含量应不大于100mg/kg；</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（4）商品包装印刷使用的油墨中挥发性有机化合物（VOCs）含量应不大于5%（以重量计）；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（5）塑料材质商品包装上呈现的印刷颜色不得超过6色；</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（6）纸质商品包装应使用75%以上的可再生纤维原料生产；</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（7）木质商品包装的原料应来源于可持续性森林。</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28.9.2快递包装环保要求：</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（1）快递包装中重金属（铅、汞、镉、六价铬）总量应不大于100mg/kg；</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（2）快递包装印刷使用的油墨中不应添加邻苯二甲酸酯，其挥发性有机化合物（VOCs）含量应不大于5%（以重量计）；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（3）快递包装中使用纸基材的包装材料，纸基材中的有机氯的含量应不大于150mg/kg；</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（5）快递中使用的塑料包装袋不得使用聚氯乙烯作为原料，且原料应为单一材质制成，生物分解率大于60%；</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（6）快递中使用的充气类填充物不得使用聚氯乙烯作为原料，且原料为单一材质制成，生物分解率大于60%；</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（7）快递中使用的集装袋应为单一材质制成，其重复使用次数应不小于80次；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（8）快递中应使用幅宽不大于45mm的生物降解胶带；</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（9）快递包装中不得使用溶剂型胶黏剂；</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（11）快递应使用电子面单；</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（12）直接使用商品包装作为快递包装的商品，其商品包装满足《商品包装政府采购需求标准（试行）》即可；</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（13）快递包装产品质量和封装方式应符合相关国家或行业标准技术指标要求。</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28.9.3低挥发性有机化合物产品：</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color w:val="auto"/>
        </w:rPr>
      </w:r>
      <w:r/>
    </w:p>
    <w:p>
      <w:pPr>
        <w:ind w:firstLine="560"/>
        <w:spacing w:line="48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28.10</w:t>
      </w:r>
      <w:r>
        <w:rPr>
          <w:rFonts w:hint="eastAsia" w:ascii="仿宋" w:hAnsi="仿宋" w:eastAsia="仿宋" w:cs="仿宋"/>
          <w:b/>
          <w:bCs/>
          <w:color w:val="auto"/>
          <w:sz w:val="28"/>
          <w:szCs w:val="28"/>
        </w:rPr>
        <w:t xml:space="preserve">采购本国产品的支持政策</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28.10.1</w:t>
      </w:r>
      <w:r>
        <w:rPr>
          <w:rFonts w:hint="eastAsia" w:ascii="仿宋" w:hAnsi="仿宋" w:eastAsia="仿宋" w:cs="仿宋"/>
          <w:b/>
          <w:bCs/>
          <w:color w:val="auto"/>
          <w:sz w:val="28"/>
          <w:szCs w:val="28"/>
        </w:rPr>
        <w:t xml:space="preserve">本项目政府采购活动中既有本国产品又有非本国产品参与竞争的，依法对本国产品给予价格评审优惠，对本国产品的报价给予20%的价格扣除，用扣除后的价格参与评审。</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28.10.2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28.10.3供应商需按照招标文件的要求提供《关于符合本国产品标准的声明函》（以下简称《声明函》），如不提供将不享受本国产品价格评审优惠。</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28.10.4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28.10.5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keepLines/>
        <w:keepNext/>
        <w:spacing w:line="480" w:lineRule="exact"/>
        <w:rPr>
          <w:rFonts w:ascii="仿宋" w:hAnsi="仿宋" w:eastAsia="仿宋"/>
          <w:b/>
          <w:bCs/>
          <w:color w:val="auto"/>
          <w:sz w:val="28"/>
          <w:szCs w:val="28"/>
        </w:rPr>
        <w:outlineLvl w:val="3"/>
      </w:pPr>
      <w:r>
        <w:rPr>
          <w:rFonts w:hint="eastAsia" w:ascii="仿宋" w:hAnsi="仿宋" w:eastAsia="仿宋"/>
          <w:b/>
          <w:bCs/>
          <w:color w:val="auto"/>
          <w:sz w:val="28"/>
          <w:szCs w:val="28"/>
        </w:rPr>
        <w:t xml:space="preserve">29.无效投标条款和废标条款</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29.1无效投标条款</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 投标人在苏采云系统规定的时间内未成功解密电子投标文件的。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29.1.2 投标人未按照招标文件要求上传电子投标文件的。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29.1.3投标人同一分包提交两个（含两个）以上不同的投标报价的。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29.1.4投标人不具备招标文件中规定资格要求的。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29.1.5投标人的报价超过了采购预算或最高限价的。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29.1.6未通过符合性审查的。</w:t>
      </w:r>
      <w:r>
        <w:rPr>
          <w:color w:val="auto"/>
        </w:rPr>
      </w:r>
      <w:r/>
    </w:p>
    <w:p>
      <w:pPr>
        <w:ind w:firstLine="560"/>
        <w:spacing w:line="480" w:lineRule="exact"/>
        <w:rPr>
          <w:rFonts w:ascii="仿宋" w:hAnsi="仿宋" w:eastAsia="仿宋" w:cs="仿宋"/>
          <w:color w:val="auto"/>
          <w:sz w:val="28"/>
          <w:szCs w:val="28"/>
          <w:u w:val="single"/>
        </w:rPr>
      </w:pPr>
      <w:r>
        <w:rPr>
          <w:rFonts w:hint="eastAsia" w:ascii="仿宋" w:hAnsi="仿宋" w:eastAsia="仿宋"/>
          <w:color w:val="auto"/>
          <w:sz w:val="28"/>
          <w:szCs w:val="28"/>
        </w:rPr>
        <w:t xml:space="preserve">29.1.7</w:t>
      </w:r>
      <w:r>
        <w:rPr>
          <w:rFonts w:hint="eastAsia" w:ascii="仿宋" w:hAnsi="仿宋" w:eastAsia="仿宋" w:cs="仿宋"/>
          <w:color w:val="auto"/>
          <w:sz w:val="28"/>
          <w:szCs w:val="28"/>
          <w:u w:val="single"/>
        </w:rPr>
        <w:t xml:space="preserve">不符合招标文件中规定的实质性要求的（详见本招标文件第四章采购需求中“四、采购需求中必须满足的实质性要求”部分）。</w:t>
      </w:r>
      <w:r>
        <w:rPr>
          <w:color w:val="auto"/>
        </w:rPr>
      </w:r>
      <w:r/>
    </w:p>
    <w:p>
      <w:pPr>
        <w:ind w:firstLine="560"/>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其中，实质性要求的佐证材料应按采购文件规定在《技术要求响应及偏离表》或《商务要求响应及偏离表》下方列明。若评标委员会在规定的部位查找不到相关佐证材料，或材料内容不完整、不清晰，评标委员会将以书面形式要求供应商在合理期限内作出说明、补充或澄清。供应商拒不作出说明、补充或澄清，或澄清后仍不能满足实质性要求的，其响应文件按无效处理。</w:t>
      </w:r>
      <w:r>
        <w:rPr>
          <w:color w:val="auto"/>
        </w:rPr>
      </w:r>
      <w:r/>
    </w:p>
    <w:p>
      <w:pPr>
        <w:ind w:firstLine="560"/>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评标委员会给予供应商的澄清、说明或补正时间一般不超过30分钟，具体时限由评标委员会根据实际情况确定。</w:t>
      </w:r>
      <w:r>
        <w:rPr>
          <w:color w:val="auto"/>
        </w:rPr>
      </w:r>
      <w:r/>
    </w:p>
    <w:p>
      <w:pPr>
        <w:ind w:firstLine="560"/>
        <w:jc w:val="left"/>
        <w:spacing w:line="480" w:lineRule="exact"/>
        <w:rPr>
          <w:rFonts w:ascii="仿宋" w:hAnsi="仿宋" w:eastAsia="仿宋"/>
          <w:color w:val="auto"/>
          <w:sz w:val="28"/>
          <w:szCs w:val="28"/>
        </w:rPr>
      </w:pPr>
      <w:r>
        <w:rPr>
          <w:rFonts w:hint="eastAsia" w:ascii="仿宋" w:hAnsi="仿宋" w:eastAsia="仿宋"/>
          <w:color w:val="auto"/>
          <w:sz w:val="28"/>
          <w:szCs w:val="28"/>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29.1.9 投标文件含有采购人不能接受的附加条件的。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29.1.12 投标文件未按照招标文件要求加盖CA电子公章的。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29.1.13投标人的商务技术部分得分相差异常悬殊，评标委员会一致认为得分畸低者有可能影响产品质量或者不能诚信履约的。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29.1.14启动异常低价投标审查后，投标人不提供书面说明、佐证材料，或者提供的书面说明、佐证材料不能证明其报价合理性的。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29.1.15其他法律法规及本招标文件规定的属于无效投标的情形。</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29.2废标条款</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29.2.1符合专业条件的供应商或者对招标文件作实质响应的供应商不足三家的。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29.2.2出现影响采购公正的违法、违规行为的。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29.2.3因重大变故，采购任务取消的。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29.2.4评标委员会认定招标文件存在歧义、重大缺陷导致评审工作无法进行。</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29.2.5 因苏采云系统故障原因造成开标不成功的。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29.3 投标截止时间结束后参加投标的供应商不足三家的处理：</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29.3.1如出现投标截止时间结束后参加投标的供应商或者在评标期间对招标文件做出实质响应的供应商不足三家情况，按政府采购相关规定执行。</w:t>
      </w:r>
      <w:r>
        <w:rPr>
          <w:color w:val="auto"/>
        </w:rPr>
      </w:r>
      <w:r/>
    </w:p>
    <w:p>
      <w:pPr>
        <w:keepLines/>
        <w:keepNext/>
        <w:spacing w:before="120" w:after="120" w:line="480" w:lineRule="exact"/>
        <w:rPr>
          <w:rFonts w:ascii="仿宋" w:hAnsi="仿宋" w:eastAsia="仿宋"/>
          <w:color w:val="auto"/>
          <w:sz w:val="28"/>
          <w:szCs w:val="28"/>
        </w:rPr>
        <w:outlineLvl w:val="2"/>
      </w:pPr>
      <w:r>
        <w:rPr>
          <w:color w:val="auto"/>
        </w:rPr>
      </w:r>
      <w:bookmarkStart w:id="161" w:name="_Toc120614219"/>
      <w:r>
        <w:rPr>
          <w:rFonts w:hint="eastAsia" w:ascii="仿宋" w:hAnsi="仿宋" w:eastAsia="仿宋"/>
          <w:color w:val="auto"/>
          <w:sz w:val="28"/>
          <w:szCs w:val="28"/>
        </w:rPr>
        <w:t xml:space="preserve">六、</w:t>
      </w:r>
      <w:bookmarkEnd w:id="156"/>
      <w:r>
        <w:rPr>
          <w:color w:val="auto"/>
        </w:rPr>
      </w:r>
      <w:bookmarkEnd w:id="157"/>
      <w:r>
        <w:rPr>
          <w:color w:val="auto"/>
        </w:rPr>
      </w:r>
      <w:bookmarkEnd w:id="158"/>
      <w:r>
        <w:rPr>
          <w:rFonts w:hint="eastAsia" w:ascii="仿宋" w:hAnsi="仿宋" w:eastAsia="仿宋"/>
          <w:color w:val="auto"/>
          <w:sz w:val="28"/>
          <w:szCs w:val="28"/>
        </w:rPr>
        <w:t xml:space="preserve">定标</w:t>
      </w:r>
      <w:bookmarkEnd w:id="161"/>
      <w:r>
        <w:rPr>
          <w:color w:val="auto"/>
        </w:rPr>
      </w:r>
      <w:r/>
    </w:p>
    <w:p>
      <w:pPr>
        <w:keepLines/>
        <w:keepNext/>
        <w:spacing w:line="480" w:lineRule="exact"/>
        <w:rPr>
          <w:rFonts w:ascii="仿宋" w:hAnsi="仿宋" w:eastAsia="仿宋"/>
          <w:color w:val="auto"/>
          <w:sz w:val="28"/>
          <w:szCs w:val="28"/>
        </w:rPr>
        <w:outlineLvl w:val="3"/>
      </w:pPr>
      <w:r>
        <w:rPr>
          <w:color w:val="auto"/>
        </w:rPr>
      </w:r>
      <w:bookmarkStart w:id="162" w:name="_Toc513029238"/>
      <w:r>
        <w:rPr>
          <w:color w:val="auto"/>
        </w:rPr>
      </w:r>
      <w:bookmarkStart w:id="163" w:name="_Toc16938554"/>
      <w:r>
        <w:rPr>
          <w:color w:val="auto"/>
        </w:rPr>
      </w:r>
      <w:bookmarkStart w:id="164" w:name="_Toc20823310"/>
      <w:r>
        <w:rPr>
          <w:rFonts w:hint="eastAsia" w:ascii="仿宋" w:hAnsi="仿宋" w:eastAsia="仿宋"/>
          <w:color w:val="auto"/>
          <w:sz w:val="28"/>
          <w:szCs w:val="28"/>
        </w:rPr>
        <w:t xml:space="preserve">30.</w:t>
      </w:r>
      <w:bookmarkEnd w:id="162"/>
      <w:r>
        <w:rPr>
          <w:rFonts w:hint="eastAsia" w:ascii="仿宋" w:hAnsi="仿宋" w:eastAsia="仿宋"/>
          <w:color w:val="auto"/>
          <w:sz w:val="28"/>
          <w:szCs w:val="28"/>
        </w:rPr>
        <w:t xml:space="preserve">确定</w:t>
      </w:r>
      <w:bookmarkEnd w:id="163"/>
      <w:r>
        <w:rPr>
          <w:color w:val="auto"/>
        </w:rPr>
      </w:r>
      <w:bookmarkEnd w:id="164"/>
      <w:r>
        <w:rPr>
          <w:rFonts w:hint="eastAsia" w:ascii="仿宋" w:hAnsi="仿宋" w:eastAsia="仿宋"/>
          <w:color w:val="auto"/>
          <w:sz w:val="28"/>
          <w:szCs w:val="28"/>
        </w:rPr>
        <w:t xml:space="preserve">中标单位</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30.1中标候选人的选取原则和数量见招标文件第五章规定。 </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30.2 采购人应根据评委会推荐的中标候选人确定中标人。</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30.3 南通市教育技术中心将在“江苏政府采购网”发布中标公告，公告期限为1个工作日。</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 若有充分证据证明，中标人出现下列情况之一的，一经查实，将被取消中标资格：</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30.4.1提供虚假材料谋取中标的。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30.4.2向采购人、南通市教育技术中心行贿或者提供其他不正当利益的。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30.4.3属于本文件规定的无效条件，但在评标过程中又未被评委会发现的。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30.4.4与采购人或者其他供应商恶意串通的。</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30.4.5采取不正当手段诋毁、排挤其他供应商的。</w:t>
      </w:r>
      <w:r>
        <w:rPr>
          <w:color w:val="auto"/>
        </w:rPr>
      </w:r>
      <w:r/>
    </w:p>
    <w:p>
      <w:pPr>
        <w:ind w:firstLine="560"/>
        <w:spacing w:line="480" w:lineRule="exact"/>
        <w:rPr>
          <w:rFonts w:ascii="仿宋" w:hAnsi="仿宋" w:eastAsia="仿宋"/>
          <w:color w:val="auto"/>
          <w:sz w:val="28"/>
          <w:szCs w:val="28"/>
        </w:rPr>
      </w:pPr>
      <w:r>
        <w:rPr>
          <w:color w:val="auto"/>
        </w:rPr>
      </w:r>
      <w:bookmarkStart w:id="165" w:name="_Toc200451960"/>
      <w:r>
        <w:rPr>
          <w:rFonts w:hint="eastAsia" w:ascii="仿宋" w:hAnsi="仿宋" w:eastAsia="仿宋"/>
          <w:color w:val="auto"/>
          <w:sz w:val="28"/>
          <w:szCs w:val="28"/>
        </w:rPr>
        <w:t xml:space="preserve">30.5.有下列情形之一的，视为投标人串通投标，投标无效：</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30.5.1不同投标人的投标文件由同一单位或者个人编制；</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30.5.2不同投标人委托同一单位或者个人办理投标事宜；</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30.5.3 不同投标人的投标文件载明的项目管理成员或者联系人员为同一人；</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30.5.4不同投标人的投标文件异常一致或者投标报价呈规律性差异；</w:t>
      </w:r>
      <w:r>
        <w:rPr>
          <w:color w:val="auto"/>
        </w:rPr>
      </w:r>
      <w:r/>
    </w:p>
    <w:p>
      <w:pPr>
        <w:keepLines/>
        <w:keepNext/>
        <w:spacing w:line="480" w:lineRule="exact"/>
        <w:rPr>
          <w:rFonts w:ascii="仿宋" w:hAnsi="仿宋" w:eastAsia="仿宋"/>
          <w:bCs/>
          <w:color w:val="auto"/>
          <w:sz w:val="28"/>
          <w:szCs w:val="28"/>
        </w:rPr>
        <w:outlineLvl w:val="3"/>
      </w:pPr>
      <w:r>
        <w:rPr>
          <w:rFonts w:hint="eastAsia" w:ascii="仿宋" w:hAnsi="仿宋" w:eastAsia="仿宋"/>
          <w:bCs/>
          <w:color w:val="auto"/>
          <w:sz w:val="28"/>
          <w:szCs w:val="28"/>
        </w:rPr>
        <w:t xml:space="preserve">31.质疑处理</w:t>
      </w:r>
      <w:bookmarkEnd w:id="165"/>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31.1 提出质疑的供应商应当是参与所质疑项目采购活动的供应商。潜在供应商依法获取其可质疑的采购文件的，可以对采购文件提出质疑。</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color w:val="auto"/>
        </w:rPr>
      </w:r>
      <w:r/>
    </w:p>
    <w:p>
      <w:pPr>
        <w:ind w:firstLine="560"/>
        <w:jc w:val="left"/>
        <w:spacing w:line="480" w:lineRule="exact"/>
        <w:rPr>
          <w:rFonts w:ascii="仿宋" w:hAnsi="仿宋" w:eastAsia="仿宋" w:cs="宋体"/>
          <w:color w:val="auto"/>
          <w:sz w:val="28"/>
          <w:szCs w:val="28"/>
        </w:rPr>
      </w:pPr>
      <w:r>
        <w:rPr>
          <w:rFonts w:hint="eastAsia" w:ascii="仿宋" w:hAnsi="仿宋" w:eastAsia="仿宋"/>
          <w:color w:val="auto"/>
          <w:sz w:val="28"/>
          <w:szCs w:val="28"/>
        </w:rPr>
        <w:t xml:space="preserve">31.2.1</w:t>
      </w:r>
      <w:r>
        <w:rPr>
          <w:rFonts w:ascii="仿宋" w:hAnsi="仿宋" w:eastAsia="仿宋" w:cs="宋体"/>
          <w:color w:val="auto"/>
          <w:sz w:val="28"/>
          <w:szCs w:val="28"/>
        </w:rPr>
        <w:t xml:space="preserve">对可以质疑的采购文件提出质疑的，为收到采购文件之日或者采购文件公告期限届满之日；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rPr>
        <w:t xml:space="preserve">31.2.2</w:t>
      </w:r>
      <w:r>
        <w:rPr>
          <w:rFonts w:ascii="仿宋" w:hAnsi="仿宋" w:eastAsia="仿宋" w:cs="宋体"/>
          <w:color w:val="auto"/>
          <w:sz w:val="28"/>
          <w:szCs w:val="28"/>
        </w:rPr>
        <w:t xml:space="preserve">对采购过程提出质疑的，为各采购程序环节结束之日；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rPr>
        <w:t xml:space="preserve">31.2.3</w:t>
      </w:r>
      <w:r>
        <w:rPr>
          <w:rFonts w:ascii="仿宋" w:hAnsi="仿宋" w:eastAsia="仿宋" w:cs="宋体"/>
          <w:color w:val="auto"/>
          <w:sz w:val="28"/>
          <w:szCs w:val="28"/>
        </w:rPr>
        <w:t xml:space="preserve">对中标或者成交结果提出质疑的，为中标或者成交结果公告期限届满之日。</w:t>
      </w:r>
      <w:r>
        <w:rPr>
          <w:color w:val="auto"/>
        </w:rPr>
      </w:r>
      <w:r/>
    </w:p>
    <w:p>
      <w:pPr>
        <w:ind w:firstLine="560"/>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rPr>
        <w:t xml:space="preserve">采购人</w:t>
      </w:r>
      <w:r>
        <w:rPr>
          <w:rFonts w:hint="eastAsia" w:ascii="仿宋" w:hAnsi="仿宋" w:eastAsia="仿宋" w:cs="宋体"/>
          <w:color w:val="auto"/>
          <w:sz w:val="28"/>
          <w:szCs w:val="28"/>
        </w:rPr>
        <w:t xml:space="preserve">将只对供应商第一次质疑作出答复。</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r/>
    </w:p>
    <w:p>
      <w:pPr>
        <w:ind w:right="119" w:firstLine="560"/>
        <w:spacing w:line="480" w:lineRule="exact"/>
        <w:rPr>
          <w:rFonts w:ascii="仿宋" w:hAnsi="仿宋" w:eastAsia="仿宋" w:cs="宋体"/>
          <w:b/>
          <w:bCs/>
          <w:color w:val="auto"/>
          <w:sz w:val="28"/>
          <w:szCs w:val="28"/>
        </w:rPr>
      </w:pPr>
      <w:r>
        <w:rPr>
          <w:rFonts w:hint="eastAsia" w:ascii="仿宋" w:hAnsi="仿宋" w:eastAsia="仿宋"/>
          <w:b/>
          <w:bCs/>
          <w:color w:val="auto"/>
          <w:sz w:val="28"/>
          <w:szCs w:val="28"/>
        </w:rPr>
        <w:t xml:space="preserve">31.4 </w:t>
      </w:r>
      <w:r>
        <w:rPr>
          <w:rFonts w:hint="eastAsia" w:ascii="仿宋" w:hAnsi="仿宋" w:eastAsia="仿宋" w:cs="宋体"/>
          <w:b/>
          <w:bCs/>
          <w:color w:val="auto"/>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采购人及南通市教育技术中心只接收以纸质原件形式送达的质疑，建议供应商尽量通过邮寄方式提交质疑（采购人和南通市教育技术中心不接受无快递运</w:t>
      </w:r>
      <w:r>
        <w:rPr>
          <w:rFonts w:ascii="仿宋" w:hAnsi="仿宋" w:eastAsia="仿宋"/>
          <w:b/>
          <w:bCs/>
          <w:color w:val="auto"/>
          <w:sz w:val="28"/>
          <w:szCs w:val="28"/>
        </w:rPr>
        <w:t xml:space="preserve">单号</w:t>
      </w:r>
      <w:r>
        <w:rPr>
          <w:rFonts w:hint="eastAsia" w:ascii="仿宋" w:hAnsi="仿宋" w:eastAsia="仿宋"/>
          <w:b/>
          <w:bCs/>
          <w:color w:val="auto"/>
          <w:sz w:val="28"/>
          <w:szCs w:val="28"/>
        </w:rPr>
        <w:t xml:space="preserve">的快递）。</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南通市教育技术中心质疑接收部门为采购科（快递运单上的收件人填写“采购科”即可），联系地址：南通市崇川区板桥路45号南通市教育技术中心采购科，联系电话：0513-85010355。</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采购人质疑接收人及联系方式见招标文件第一章。</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31.5 以下情形的质疑不予受理</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31.5.1 内容不符合《政府采购质疑和投诉办法》第十二条规定的质疑。</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31.5.2 超出政府采购法定期限的质疑。</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31.5.3 以传真、电子邮件等方式递交的非原件形式的质疑。</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31.5.4 未参加投标活动的供应商或在投标活动中自身权益未受到损害的供应商所提出的质疑。</w:t>
      </w:r>
      <w:r>
        <w:rPr>
          <w:color w:val="auto"/>
        </w:rPr>
      </w:r>
      <w:r/>
    </w:p>
    <w:p>
      <w:pPr>
        <w:ind w:firstLine="560"/>
        <w:jc w:val="left"/>
        <w:spacing w:line="480" w:lineRule="exact"/>
        <w:rPr>
          <w:rFonts w:ascii="仿宋" w:hAnsi="仿宋" w:eastAsia="仿宋"/>
          <w:color w:val="auto"/>
          <w:sz w:val="28"/>
          <w:szCs w:val="28"/>
        </w:rPr>
      </w:pPr>
      <w:r>
        <w:rPr>
          <w:rFonts w:hint="eastAsia" w:ascii="仿宋" w:hAnsi="仿宋" w:eastAsia="仿宋"/>
          <w:color w:val="auto"/>
          <w:sz w:val="28"/>
          <w:szCs w:val="28"/>
        </w:rPr>
        <w:t xml:space="preserve">31.5.5供应商组成联合体参加投标，联合体中任何一方或多方未按要求签字、盖章、加盖公章的质疑。</w:t>
      </w:r>
      <w:r>
        <w:rPr>
          <w:color w:val="auto"/>
        </w:rPr>
      </w:r>
      <w:r/>
    </w:p>
    <w:p>
      <w:pPr>
        <w:ind w:firstLine="546"/>
        <w:jc w:val="left"/>
        <w:spacing w:line="480" w:lineRule="exact"/>
        <w:rPr>
          <w:rFonts w:ascii="仿宋" w:hAnsi="仿宋" w:eastAsia="仿宋"/>
          <w:color w:val="auto"/>
          <w:sz w:val="28"/>
          <w:szCs w:val="28"/>
        </w:rPr>
      </w:pPr>
      <w:r>
        <w:rPr>
          <w:rFonts w:hint="eastAsia" w:ascii="仿宋" w:hAnsi="仿宋" w:eastAsia="仿宋"/>
          <w:color w:val="auto"/>
          <w:sz w:val="28"/>
          <w:szCs w:val="28"/>
        </w:rPr>
        <w:t xml:space="preserve">31.6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color w:val="auto"/>
        </w:rPr>
      </w:r>
      <w:r/>
    </w:p>
    <w:p>
      <w:pPr>
        <w:keepLines/>
        <w:keepNext/>
        <w:spacing w:line="480" w:lineRule="exact"/>
        <w:rPr>
          <w:rFonts w:ascii="仿宋" w:hAnsi="仿宋" w:eastAsia="仿宋"/>
          <w:bCs/>
          <w:color w:val="auto"/>
          <w:sz w:val="28"/>
          <w:szCs w:val="28"/>
        </w:rPr>
        <w:outlineLvl w:val="3"/>
      </w:pPr>
      <w:r>
        <w:rPr>
          <w:rFonts w:hint="eastAsia" w:ascii="仿宋" w:hAnsi="仿宋" w:eastAsia="仿宋"/>
          <w:bCs/>
          <w:color w:val="auto"/>
          <w:sz w:val="28"/>
          <w:szCs w:val="28"/>
        </w:rPr>
        <w:t xml:space="preserve">32.中标通知书</w:t>
      </w:r>
      <w:r>
        <w:rPr>
          <w:color w:val="auto"/>
        </w:rPr>
      </w:r>
      <w:r/>
    </w:p>
    <w:p>
      <w:pPr>
        <w:ind w:firstLine="560"/>
        <w:jc w:val="left"/>
        <w:spacing w:line="480" w:lineRule="exact"/>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2.l</w:t>
      </w: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中标结果确定后，南通市教育技术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rPr>
      </w:r>
      <w:r/>
    </w:p>
    <w:p>
      <w:pPr>
        <w:ind w:firstLine="560"/>
        <w:jc w:val="left"/>
        <w:spacing w:line="480" w:lineRule="exact"/>
        <w:rPr>
          <w:rFonts w:ascii="仿宋" w:hAnsi="仿宋" w:eastAsia="仿宋"/>
          <w:color w:val="auto"/>
          <w:sz w:val="28"/>
          <w:szCs w:val="28"/>
        </w:rPr>
      </w:pPr>
      <w:r>
        <w:rPr>
          <w:rFonts w:hint="eastAsia" w:ascii="仿宋" w:hAnsi="仿宋" w:eastAsia="仿宋"/>
          <w:color w:val="auto"/>
          <w:sz w:val="28"/>
          <w:szCs w:val="28"/>
        </w:rPr>
        <w:t xml:space="preserve">32.2中标通知书将是合同的一个组成部分。对采购人和中标人均具有法律效力。中标通知书发出后，采购人改变中标结果的，或者中标人放弃中标项目的，应当依法承担法律责任。</w:t>
      </w:r>
      <w:r>
        <w:rPr>
          <w:color w:val="auto"/>
        </w:rPr>
      </w:r>
      <w:r/>
    </w:p>
    <w:p>
      <w:pPr>
        <w:keepLines/>
        <w:keepNext/>
        <w:spacing w:before="120" w:after="120" w:line="480" w:lineRule="exact"/>
        <w:rPr>
          <w:rFonts w:ascii="仿宋" w:hAnsi="仿宋" w:eastAsia="仿宋"/>
          <w:b/>
          <w:bCs/>
          <w:color w:val="auto"/>
          <w:sz w:val="28"/>
          <w:szCs w:val="28"/>
        </w:rPr>
        <w:outlineLvl w:val="2"/>
      </w:pPr>
      <w:r>
        <w:rPr>
          <w:color w:val="auto"/>
        </w:rPr>
      </w:r>
      <w:bookmarkStart w:id="166" w:name="_Toc120614220"/>
      <w:r>
        <w:rPr>
          <w:color w:val="auto"/>
        </w:rPr>
      </w:r>
      <w:bookmarkStart w:id="167" w:name="_Toc16938552"/>
      <w:r>
        <w:rPr>
          <w:color w:val="auto"/>
        </w:rPr>
      </w:r>
      <w:bookmarkStart w:id="168" w:name="_Toc513029236"/>
      <w:r>
        <w:rPr>
          <w:color w:val="auto"/>
        </w:rPr>
      </w:r>
      <w:bookmarkStart w:id="169" w:name="_Toc20823308"/>
      <w:r>
        <w:rPr>
          <w:rFonts w:hint="eastAsia" w:ascii="仿宋" w:hAnsi="仿宋" w:eastAsia="仿宋"/>
          <w:b/>
          <w:bCs/>
          <w:color w:val="auto"/>
          <w:sz w:val="28"/>
          <w:szCs w:val="28"/>
        </w:rPr>
        <w:t xml:space="preserve">七、授予合同</w:t>
      </w:r>
      <w:bookmarkEnd w:id="166"/>
      <w:r>
        <w:rPr>
          <w:color w:val="auto"/>
        </w:rPr>
      </w:r>
      <w:bookmarkEnd w:id="167"/>
      <w:r>
        <w:rPr>
          <w:color w:val="auto"/>
        </w:rPr>
      </w:r>
      <w:bookmarkEnd w:id="168"/>
      <w:r>
        <w:rPr>
          <w:color w:val="auto"/>
        </w:rPr>
      </w:r>
      <w:bookmarkEnd w:id="169"/>
      <w:r>
        <w:rPr>
          <w:color w:val="auto"/>
        </w:rPr>
      </w:r>
      <w:r/>
    </w:p>
    <w:p>
      <w:pPr>
        <w:keepLines/>
        <w:keepNext/>
        <w:spacing w:line="480" w:lineRule="exact"/>
        <w:rPr>
          <w:rFonts w:ascii="仿宋" w:hAnsi="仿宋" w:eastAsia="仿宋"/>
          <w:bCs/>
          <w:color w:val="auto"/>
          <w:sz w:val="28"/>
          <w:szCs w:val="28"/>
        </w:rPr>
        <w:outlineLvl w:val="3"/>
      </w:pPr>
      <w:r>
        <w:rPr>
          <w:color w:val="auto"/>
        </w:rPr>
      </w:r>
      <w:bookmarkStart w:id="170" w:name="_Toc20823309"/>
      <w:r>
        <w:rPr>
          <w:color w:val="auto"/>
        </w:rPr>
      </w:r>
      <w:bookmarkStart w:id="171" w:name="_Toc513029237"/>
      <w:r>
        <w:rPr>
          <w:color w:val="auto"/>
        </w:rPr>
      </w:r>
      <w:bookmarkStart w:id="172" w:name="_Toc16938553"/>
      <w:r>
        <w:rPr>
          <w:rFonts w:hint="eastAsia" w:ascii="仿宋" w:hAnsi="仿宋" w:eastAsia="仿宋"/>
          <w:bCs/>
          <w:color w:val="auto"/>
          <w:sz w:val="28"/>
          <w:szCs w:val="28"/>
        </w:rPr>
        <w:t xml:space="preserve">33. 签订合同</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bCs/>
          <w:color w:val="auto"/>
          <w:sz w:val="28"/>
          <w:szCs w:val="28"/>
        </w:rPr>
        <w:t xml:space="preserve">33</w:t>
      </w:r>
      <w:r>
        <w:rPr>
          <w:rFonts w:hint="eastAsia" w:ascii="仿宋" w:hAnsi="仿宋" w:eastAsia="仿宋"/>
          <w:color w:val="auto"/>
          <w:sz w:val="28"/>
          <w:szCs w:val="28"/>
        </w:rPr>
        <w:t xml:space="preserve">.l中标人应当在中标通知书发出之日起三十日内，按照招标文件确定的事项与采购人签订政府采购合同。</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33.2</w:t>
      </w:r>
      <w:r>
        <w:rPr>
          <w:rFonts w:hint="eastAsia" w:ascii="仿宋" w:hAnsi="仿宋" w:eastAsia="仿宋"/>
          <w:b/>
          <w:color w:val="auto"/>
          <w:sz w:val="28"/>
          <w:szCs w:val="28"/>
        </w:rPr>
        <w:t xml:space="preserve"> </w:t>
      </w:r>
      <w:r>
        <w:rPr>
          <w:rFonts w:hint="eastAsia" w:ascii="仿宋" w:hAnsi="仿宋" w:eastAsia="仿宋"/>
          <w:color w:val="auto"/>
          <w:sz w:val="28"/>
          <w:szCs w:val="28"/>
        </w:rPr>
        <w:t xml:space="preserve">招标文件、中标人的投标文件及招标过程中有关澄清、承诺文件均应作为合同附件。</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33.3 签订合同后，中标人不得将合同标的进行转包。未经采购人同意，中标人也不得采用分包的形式履行合同，否则采购人有权终止合同。转包或分包造成采购人损失的，中标人应承担相应赔偿责任。</w:t>
      </w:r>
      <w:r>
        <w:rPr>
          <w:color w:val="auto"/>
        </w:rPr>
      </w:r>
      <w:r/>
    </w:p>
    <w:p>
      <w:pPr>
        <w:keepLines/>
        <w:keepNext/>
        <w:spacing w:line="480" w:lineRule="exact"/>
        <w:rPr>
          <w:rFonts w:ascii="仿宋" w:hAnsi="仿宋" w:eastAsia="仿宋"/>
          <w:bCs/>
          <w:color w:val="auto"/>
          <w:sz w:val="28"/>
          <w:szCs w:val="28"/>
        </w:rPr>
        <w:outlineLvl w:val="3"/>
      </w:pPr>
      <w:r>
        <w:rPr>
          <w:rFonts w:hint="eastAsia" w:ascii="仿宋" w:hAnsi="仿宋" w:eastAsia="仿宋"/>
          <w:bCs/>
          <w:color w:val="auto"/>
          <w:sz w:val="28"/>
          <w:szCs w:val="28"/>
        </w:rPr>
        <w:t xml:space="preserve">34.货物（包含与货物相关的服务）的追加</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rPr>
          <w:color w:val="auto"/>
        </w:rPr>
      </w:r>
      <w:bookmarkEnd w:id="171"/>
      <w:r>
        <w:rPr>
          <w:color w:val="auto"/>
        </w:rPr>
      </w:r>
      <w:bookmarkEnd w:id="172"/>
      <w:r>
        <w:rPr>
          <w:color w:val="auto"/>
        </w:rPr>
      </w:r>
      <w:r/>
    </w:p>
    <w:p>
      <w:pPr>
        <w:keepLines/>
        <w:keepNext/>
        <w:spacing w:line="480" w:lineRule="exact"/>
        <w:rPr>
          <w:rFonts w:ascii="仿宋" w:hAnsi="仿宋" w:eastAsia="仿宋"/>
          <w:bCs/>
          <w:color w:val="auto"/>
          <w:sz w:val="28"/>
          <w:szCs w:val="28"/>
        </w:rPr>
        <w:outlineLvl w:val="3"/>
      </w:pPr>
      <w:r>
        <w:rPr>
          <w:color w:val="auto"/>
        </w:rPr>
      </w:r>
      <w:bookmarkStart w:id="173" w:name="_Toc16938558"/>
      <w:r>
        <w:rPr>
          <w:color w:val="auto"/>
        </w:rPr>
      </w:r>
      <w:bookmarkStart w:id="174" w:name="_Toc479757207"/>
      <w:r>
        <w:rPr>
          <w:color w:val="auto"/>
        </w:rPr>
      </w:r>
      <w:bookmarkStart w:id="175" w:name="_Toc20823314"/>
      <w:r>
        <w:rPr>
          <w:color w:val="auto"/>
        </w:rPr>
      </w:r>
      <w:bookmarkStart w:id="176" w:name="_Toc120614221"/>
      <w:r>
        <w:rPr>
          <w:color w:val="auto"/>
        </w:rPr>
      </w:r>
      <w:bookmarkStart w:id="177" w:name="_Toc513029242"/>
      <w:r>
        <w:rPr>
          <w:rFonts w:hint="eastAsia" w:ascii="仿宋" w:hAnsi="仿宋" w:eastAsia="仿宋"/>
          <w:bCs/>
          <w:color w:val="auto"/>
          <w:sz w:val="28"/>
          <w:szCs w:val="28"/>
        </w:rPr>
        <w:t xml:space="preserve">35.政府采购履约资金扶持政策</w:t>
      </w:r>
      <w:r>
        <w:rPr>
          <w:color w:val="auto"/>
        </w:rPr>
      </w:r>
      <w:r/>
    </w:p>
    <w:p>
      <w:pPr>
        <w:ind w:firstLine="555"/>
        <w:spacing w:line="480" w:lineRule="exact"/>
        <w:rPr>
          <w:rFonts w:ascii="仿宋" w:hAnsi="仿宋" w:eastAsia="仿宋"/>
          <w:bCs/>
          <w:color w:val="auto"/>
          <w:sz w:val="28"/>
          <w:szCs w:val="28"/>
        </w:rPr>
      </w:pPr>
      <w:r>
        <w:rPr>
          <w:rFonts w:hint="eastAsia" w:ascii="仿宋" w:hAnsi="仿宋" w:eastAsia="仿宋"/>
          <w:bCs/>
          <w:color w:val="auto"/>
          <w:sz w:val="28"/>
          <w:szCs w:val="28"/>
        </w:rPr>
        <w:t xml:space="preserve">根据《关于深入开展南通市政府采购线上合同信用融资工作的通知》（通财购〔2022〕68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rPr>
          <w:color w:val="auto"/>
        </w:rPr>
      </w:r>
      <w:r/>
    </w:p>
    <w:p>
      <w:pPr>
        <w:spacing w:line="560" w:lineRule="exact"/>
        <w:rPr>
          <w:color w:val="auto"/>
          <w:szCs w:val="21"/>
        </w:rPr>
      </w:pPr>
      <w:r>
        <w:rPr>
          <w:color w:val="auto"/>
          <w:szCs w:val="21"/>
        </w:rPr>
      </w:r>
      <w:r>
        <w:rPr>
          <w:color w:val="auto"/>
        </w:rPr>
      </w:r>
      <w:r/>
    </w:p>
    <w:p>
      <w:pPr>
        <w:spacing w:line="560" w:lineRule="exact"/>
        <w:rPr>
          <w:rFonts w:ascii="黑体" w:eastAsia="黑体"/>
          <w:bCs/>
          <w:color w:val="auto"/>
          <w:sz w:val="44"/>
          <w:szCs w:val="28"/>
        </w:rPr>
      </w:pPr>
      <w:r>
        <w:rPr>
          <w:rFonts w:hint="eastAsia" w:ascii="黑体" w:eastAsia="黑体"/>
          <w:bCs/>
          <w:color w:val="auto"/>
          <w:sz w:val="44"/>
          <w:szCs w:val="28"/>
        </w:rPr>
        <w:br w:type="page" w:clear="all"/>
      </w:r>
      <w:r>
        <w:rPr>
          <w:color w:val="auto"/>
        </w:rPr>
      </w:r>
      <w:r/>
    </w:p>
    <w:p>
      <w:pPr>
        <w:jc w:val="center"/>
        <w:keepNext/>
        <w:rPr>
          <w:rFonts w:ascii="黑体" w:eastAsia="黑体"/>
          <w:bCs/>
          <w:color w:val="auto"/>
          <w:sz w:val="44"/>
          <w:szCs w:val="28"/>
        </w:rPr>
        <w:outlineLvl w:val="0"/>
      </w:pPr>
      <w:r>
        <w:rPr>
          <w:color w:val="auto"/>
        </w:rPr>
      </w:r>
      <w:bookmarkStart w:id="178" w:name="_Toc23781"/>
      <w:r>
        <w:rPr>
          <w:rFonts w:hint="eastAsia" w:ascii="黑体" w:eastAsia="黑体"/>
          <w:bCs/>
          <w:color w:val="auto"/>
          <w:sz w:val="44"/>
          <w:szCs w:val="28"/>
        </w:rPr>
        <w:t xml:space="preserve">第三章  合同</w:t>
      </w:r>
      <w:bookmarkEnd w:id="173"/>
      <w:r>
        <w:rPr>
          <w:color w:val="auto"/>
        </w:rPr>
      </w:r>
      <w:bookmarkEnd w:id="174"/>
      <w:r>
        <w:rPr>
          <w:color w:val="auto"/>
        </w:rPr>
      </w:r>
      <w:bookmarkEnd w:id="175"/>
      <w:r>
        <w:rPr>
          <w:color w:val="auto"/>
        </w:rPr>
      </w:r>
      <w:bookmarkEnd w:id="176"/>
      <w:r>
        <w:rPr>
          <w:color w:val="auto"/>
        </w:rPr>
      </w:r>
      <w:bookmarkEnd w:id="177"/>
      <w:r>
        <w:rPr>
          <w:rFonts w:hint="eastAsia" w:ascii="黑体" w:eastAsia="黑体"/>
          <w:bCs/>
          <w:color w:val="auto"/>
          <w:sz w:val="44"/>
          <w:szCs w:val="28"/>
        </w:rPr>
        <w:t xml:space="preserve">文本</w:t>
      </w:r>
      <w:bookmarkEnd w:id="178"/>
      <w:r>
        <w:rPr>
          <w:color w:val="auto"/>
        </w:rPr>
      </w:r>
      <w:bookmarkStart w:id="179" w:name="_Hlt16619369"/>
      <w:r>
        <w:rPr>
          <w:color w:val="auto"/>
        </w:rPr>
      </w:r>
      <w:bookmarkEnd w:id="179"/>
      <w:r>
        <w:rPr>
          <w:color w:val="auto"/>
        </w:rPr>
      </w:r>
      <w:bookmarkStart w:id="180" w:name="_Hlt16619350"/>
      <w:r>
        <w:rPr>
          <w:color w:val="auto"/>
        </w:rPr>
      </w:r>
      <w:bookmarkStart w:id="181" w:name="_Toc20823346"/>
      <w:r>
        <w:rPr>
          <w:color w:val="auto"/>
        </w:rPr>
      </w:r>
      <w:bookmarkStart w:id="182" w:name="_Toc120614244"/>
      <w:r>
        <w:rPr>
          <w:color w:val="auto"/>
        </w:rPr>
      </w:r>
      <w:bookmarkStart w:id="183" w:name="_Toc16938590"/>
      <w:r>
        <w:rPr>
          <w:color w:val="auto"/>
        </w:rPr>
      </w:r>
      <w:bookmarkStart w:id="184" w:name="_Toc462564139"/>
      <w:r>
        <w:rPr>
          <w:color w:val="auto"/>
        </w:rPr>
      </w:r>
      <w:bookmarkStart w:id="185" w:name="_Toc479757211"/>
      <w:r>
        <w:rPr>
          <w:color w:val="auto"/>
        </w:rPr>
      </w:r>
      <w:r/>
    </w:p>
    <w:p>
      <w:pPr>
        <w:jc w:val="center"/>
        <w:rPr>
          <w:rFonts w:ascii="宋体" w:hAnsi="宋体" w:cs="宋体"/>
          <w:b/>
          <w:bCs/>
          <w:color w:val="auto"/>
          <w:spacing w:val="-20"/>
          <w:sz w:val="48"/>
          <w:szCs w:val="48"/>
        </w:rPr>
      </w:pPr>
      <w:r>
        <w:rPr>
          <w:color w:val="auto"/>
        </w:rPr>
      </w:r>
      <w:bookmarkStart w:id="186" w:name="_Toc3995"/>
      <w:r>
        <w:rPr>
          <w:color w:val="auto"/>
        </w:rPr>
      </w:r>
      <w:r/>
    </w:p>
    <w:p>
      <w:pPr>
        <w:jc w:val="center"/>
        <w:rPr>
          <w:rFonts w:ascii="宋体" w:hAnsi="宋体" w:cs="宋体"/>
          <w:b/>
          <w:bCs/>
          <w:color w:val="auto"/>
          <w:spacing w:val="-20"/>
          <w:sz w:val="48"/>
          <w:szCs w:val="48"/>
        </w:rPr>
      </w:pPr>
      <w:r>
        <w:rPr>
          <w:rFonts w:ascii="宋体" w:hAnsi="宋体" w:cs="宋体"/>
          <w:b/>
          <w:bCs/>
          <w:color w:val="auto"/>
          <w:spacing w:val="-20"/>
          <w:sz w:val="48"/>
          <w:szCs w:val="48"/>
        </w:rPr>
      </w:r>
      <w:r>
        <w:rPr>
          <w:color w:val="auto"/>
        </w:rPr>
      </w:r>
      <w:r/>
    </w:p>
    <w:p>
      <w:pPr>
        <w:jc w:val="center"/>
        <w:rPr>
          <w:rFonts w:ascii="宋体" w:hAnsi="宋体" w:cs="宋体"/>
          <w:b/>
          <w:bCs/>
          <w:color w:val="auto"/>
          <w:spacing w:val="-20"/>
          <w:sz w:val="48"/>
          <w:szCs w:val="48"/>
        </w:rPr>
      </w:pPr>
      <w:r>
        <w:rPr>
          <w:rFonts w:ascii="宋体" w:hAnsi="宋体" w:cs="宋体"/>
          <w:b/>
          <w:bCs/>
          <w:color w:val="auto"/>
          <w:spacing w:val="-20"/>
          <w:sz w:val="48"/>
          <w:szCs w:val="48"/>
        </w:rPr>
      </w:r>
      <w:r>
        <w:rPr>
          <w:color w:val="auto"/>
        </w:rPr>
      </w:r>
      <w:r/>
    </w:p>
    <w:p>
      <w:pPr>
        <w:jc w:val="center"/>
        <w:rPr>
          <w:rFonts w:ascii="宋体" w:hAnsi="宋体" w:cs="宋体"/>
          <w:b/>
          <w:bCs/>
          <w:color w:val="auto"/>
          <w:spacing w:val="-20"/>
          <w:sz w:val="48"/>
          <w:szCs w:val="48"/>
        </w:rPr>
      </w:pPr>
      <w:r>
        <w:rPr>
          <w:rFonts w:ascii="宋体" w:hAnsi="宋体" w:cs="宋体"/>
          <w:b/>
          <w:bCs/>
          <w:color w:val="auto"/>
          <w:spacing w:val="-20"/>
          <w:sz w:val="48"/>
          <w:szCs w:val="48"/>
        </w:rPr>
      </w:r>
      <w:r>
        <w:rPr>
          <w:color w:val="auto"/>
        </w:rPr>
      </w:r>
      <w:r/>
    </w:p>
    <w:p>
      <w:pPr>
        <w:jc w:val="center"/>
        <w:rPr>
          <w:rFonts w:ascii="宋体" w:hAnsi="宋体" w:cs="宋体"/>
          <w:b/>
          <w:bCs/>
          <w:color w:val="auto"/>
          <w:spacing w:val="-20"/>
          <w:sz w:val="48"/>
          <w:szCs w:val="48"/>
        </w:rPr>
      </w:pPr>
      <w:r>
        <w:rPr>
          <w:rFonts w:ascii="宋体" w:hAnsi="宋体" w:cs="宋体"/>
          <w:b/>
          <w:bCs/>
          <w:color w:val="auto"/>
          <w:spacing w:val="-20"/>
          <w:sz w:val="48"/>
          <w:szCs w:val="48"/>
        </w:rPr>
      </w:r>
      <w:r>
        <w:rPr>
          <w:color w:val="auto"/>
        </w:rPr>
      </w:r>
      <w:r/>
    </w:p>
    <w:p>
      <w:pPr>
        <w:jc w:val="center"/>
        <w:rPr>
          <w:rFonts w:ascii="宋体" w:hAnsi="宋体" w:cs="宋体"/>
          <w:b/>
          <w:bCs/>
          <w:color w:val="auto"/>
          <w:spacing w:val="-20"/>
          <w:sz w:val="48"/>
          <w:szCs w:val="48"/>
        </w:rPr>
      </w:pPr>
      <w:r>
        <w:rPr>
          <w:rFonts w:hint="eastAsia" w:ascii="宋体" w:hAnsi="宋体" w:cs="宋体"/>
          <w:b/>
          <w:bCs/>
          <w:color w:val="auto"/>
          <w:spacing w:val="-20"/>
          <w:sz w:val="48"/>
          <w:szCs w:val="48"/>
        </w:rPr>
        <w:t xml:space="preserve">政府采购货物买卖合同</w:t>
      </w:r>
      <w:r>
        <w:rPr>
          <w:color w:val="auto"/>
        </w:rPr>
      </w:r>
      <w:r/>
    </w:p>
    <w:p>
      <w:pPr>
        <w:jc w:val="center"/>
        <w:rPr>
          <w:rFonts w:ascii="宋体" w:hAnsi="宋体" w:cs="宋体"/>
          <w:b/>
          <w:bCs/>
          <w:color w:val="auto"/>
          <w:spacing w:val="-20"/>
          <w:sz w:val="48"/>
          <w:szCs w:val="48"/>
        </w:rPr>
      </w:pPr>
      <w:r>
        <w:rPr>
          <w:rFonts w:hint="eastAsia" w:ascii="宋体" w:hAnsi="宋体" w:cs="宋体"/>
          <w:b/>
          <w:bCs/>
          <w:color w:val="auto"/>
          <w:spacing w:val="-20"/>
          <w:sz w:val="48"/>
          <w:szCs w:val="48"/>
        </w:rPr>
        <w:t xml:space="preserve">（试行）</w:t>
      </w:r>
      <w:r>
        <w:rPr>
          <w:color w:val="auto"/>
        </w:rPr>
      </w:r>
      <w:r/>
    </w:p>
    <w:p>
      <w:pPr>
        <w:rPr>
          <w:rFonts w:ascii="宋体" w:hAnsi="宋体" w:cs="宋体"/>
          <w:b/>
          <w:bCs/>
          <w:color w:val="auto"/>
          <w:spacing w:val="-20"/>
          <w:sz w:val="40"/>
          <w:szCs w:val="40"/>
        </w:rPr>
      </w:pPr>
      <w:r>
        <w:rPr>
          <w:rFonts w:ascii="宋体" w:hAnsi="宋体" w:cs="宋体"/>
          <w:b/>
          <w:bCs/>
          <w:color w:val="auto"/>
          <w:spacing w:val="-20"/>
          <w:sz w:val="40"/>
          <w:szCs w:val="40"/>
        </w:rPr>
      </w:r>
      <w:r>
        <w:rPr>
          <w:color w:val="auto"/>
        </w:rPr>
      </w:r>
      <w:r/>
    </w:p>
    <w:p>
      <w:pPr>
        <w:rPr>
          <w:rFonts w:ascii="宋体" w:hAnsi="宋体" w:cs="宋体"/>
          <w:b/>
          <w:bCs/>
          <w:color w:val="auto"/>
          <w:spacing w:val="-20"/>
          <w:sz w:val="40"/>
          <w:szCs w:val="40"/>
        </w:rPr>
      </w:pPr>
      <w:r>
        <w:rPr>
          <w:rFonts w:ascii="宋体" w:hAnsi="宋体" w:cs="宋体"/>
          <w:b/>
          <w:bCs/>
          <w:color w:val="auto"/>
          <w:spacing w:val="-20"/>
          <w:sz w:val="40"/>
          <w:szCs w:val="40"/>
        </w:rPr>
      </w:r>
      <w:r>
        <w:rPr>
          <w:color w:val="auto"/>
        </w:rPr>
      </w:r>
      <w:r/>
    </w:p>
    <w:p>
      <w:pPr>
        <w:rPr>
          <w:rFonts w:ascii="宋体" w:hAnsi="宋体" w:cs="宋体"/>
          <w:b/>
          <w:bCs/>
          <w:color w:val="auto"/>
          <w:spacing w:val="-20"/>
          <w:sz w:val="40"/>
          <w:szCs w:val="40"/>
        </w:rPr>
      </w:pPr>
      <w:r>
        <w:rPr>
          <w:rFonts w:ascii="宋体" w:hAnsi="宋体" w:cs="宋体"/>
          <w:b/>
          <w:bCs/>
          <w:color w:val="auto"/>
          <w:spacing w:val="-20"/>
          <w:sz w:val="40"/>
          <w:szCs w:val="40"/>
        </w:rPr>
      </w:r>
      <w:r>
        <w:rPr>
          <w:color w:val="auto"/>
        </w:rPr>
      </w:r>
      <w:r/>
    </w:p>
    <w:p>
      <w:pPr>
        <w:ind w:firstLine="480"/>
        <w:spacing w:line="360" w:lineRule="auto"/>
        <w:rPr>
          <w:color w:val="auto"/>
          <w:sz w:val="32"/>
          <w:szCs w:val="32"/>
        </w:rPr>
      </w:pPr>
      <w:r>
        <w:rPr>
          <w:rFonts w:hint="eastAsia" w:ascii="宋体" w:hAnsi="宋体" w:cs="宋体"/>
          <w:color w:val="auto"/>
          <w:sz w:val="32"/>
          <w:szCs w:val="32"/>
        </w:rPr>
        <w:t xml:space="preserve">项目名称：</w:t>
      </w:r>
      <w:r>
        <w:rPr>
          <w:rFonts w:hint="eastAsia"/>
          <w:color w:val="auto"/>
          <w:sz w:val="32"/>
          <w:szCs w:val="32"/>
          <w:u w:val="single"/>
        </w:rPr>
        <w:t xml:space="preserve">                             </w:t>
      </w:r>
      <w:r>
        <w:rPr>
          <w:color w:val="auto"/>
        </w:rPr>
      </w:r>
      <w:r/>
    </w:p>
    <w:p>
      <w:pPr>
        <w:ind w:firstLine="480"/>
        <w:spacing w:line="360" w:lineRule="auto"/>
        <w:rPr>
          <w:color w:val="auto"/>
          <w:sz w:val="32"/>
          <w:szCs w:val="32"/>
          <w:u w:val="single"/>
        </w:rPr>
      </w:pPr>
      <w:r>
        <w:rPr>
          <w:rFonts w:hint="eastAsia"/>
          <w:color w:val="auto"/>
          <w:sz w:val="32"/>
          <w:szCs w:val="32"/>
        </w:rPr>
        <w:t xml:space="preserve">合同编号：</w:t>
      </w:r>
      <w:r>
        <w:rPr>
          <w:rFonts w:hint="eastAsia"/>
          <w:color w:val="auto"/>
          <w:sz w:val="32"/>
          <w:szCs w:val="32"/>
          <w:u w:val="single"/>
        </w:rPr>
        <w:t xml:space="preserve">                             </w:t>
      </w:r>
      <w:r>
        <w:rPr>
          <w:color w:val="auto"/>
        </w:rPr>
      </w:r>
      <w:r/>
    </w:p>
    <w:p>
      <w:pPr>
        <w:ind w:firstLine="480"/>
        <w:spacing w:line="360" w:lineRule="auto"/>
        <w:rPr>
          <w:color w:val="auto"/>
          <w:sz w:val="32"/>
          <w:szCs w:val="32"/>
        </w:rPr>
      </w:pPr>
      <w:r>
        <w:rPr>
          <w:rFonts w:hint="eastAsia"/>
          <w:color w:val="auto"/>
          <w:sz w:val="32"/>
          <w:szCs w:val="32"/>
        </w:rPr>
        <w:t xml:space="preserve">甲    方：</w:t>
      </w:r>
      <w:r>
        <w:rPr>
          <w:rFonts w:hint="eastAsia"/>
          <w:color w:val="auto"/>
          <w:sz w:val="32"/>
          <w:szCs w:val="32"/>
          <w:u w:val="single"/>
        </w:rPr>
        <w:t xml:space="preserve">                             </w:t>
      </w:r>
      <w:r>
        <w:rPr>
          <w:color w:val="auto"/>
        </w:rPr>
      </w:r>
      <w:r/>
    </w:p>
    <w:p>
      <w:pPr>
        <w:ind w:firstLine="480"/>
        <w:spacing w:line="360" w:lineRule="auto"/>
        <w:rPr>
          <w:color w:val="auto"/>
          <w:sz w:val="32"/>
          <w:szCs w:val="32"/>
          <w:u w:val="single"/>
        </w:rPr>
      </w:pPr>
      <w:r>
        <w:rPr>
          <w:rFonts w:hint="eastAsia"/>
          <w:color w:val="auto"/>
          <w:sz w:val="32"/>
          <w:szCs w:val="32"/>
        </w:rPr>
        <w:t xml:space="preserve">乙    方：</w:t>
      </w:r>
      <w:r>
        <w:rPr>
          <w:rFonts w:hint="eastAsia"/>
          <w:color w:val="auto"/>
          <w:sz w:val="32"/>
          <w:szCs w:val="32"/>
          <w:u w:val="single"/>
        </w:rPr>
        <w:t xml:space="preserve">                             </w:t>
      </w:r>
      <w:r>
        <w:rPr>
          <w:color w:val="auto"/>
        </w:rPr>
      </w:r>
      <w:r/>
    </w:p>
    <w:p>
      <w:pPr>
        <w:ind w:firstLine="480"/>
        <w:spacing w:line="360" w:lineRule="auto"/>
        <w:rPr>
          <w:color w:val="auto"/>
          <w:sz w:val="32"/>
          <w:szCs w:val="32"/>
        </w:rPr>
      </w:pPr>
      <w:r>
        <w:rPr>
          <w:rFonts w:hint="eastAsia"/>
          <w:color w:val="auto"/>
          <w:sz w:val="32"/>
          <w:szCs w:val="32"/>
        </w:rPr>
        <w:t xml:space="preserve">签订时间：</w:t>
      </w:r>
      <w:r>
        <w:rPr>
          <w:rFonts w:hint="eastAsia"/>
          <w:color w:val="auto"/>
          <w:sz w:val="32"/>
          <w:szCs w:val="32"/>
          <w:u w:val="single"/>
        </w:rPr>
        <w:t xml:space="preserve">      </w:t>
      </w:r>
      <w:r>
        <w:rPr>
          <w:color w:val="auto"/>
          <w:sz w:val="32"/>
          <w:szCs w:val="32"/>
          <w:u w:val="single"/>
        </w:rPr>
        <w:t xml:space="preserve">           </w:t>
      </w:r>
      <w:r>
        <w:rPr>
          <w:rFonts w:hint="eastAsia"/>
          <w:color w:val="auto"/>
          <w:sz w:val="32"/>
          <w:szCs w:val="32"/>
          <w:u w:val="single"/>
        </w:rPr>
        <w:t xml:space="preserve">            </w:t>
      </w:r>
      <w:r>
        <w:rPr>
          <w:color w:val="auto"/>
        </w:rPr>
      </w:r>
      <w:r/>
    </w:p>
    <w:p>
      <w:pPr>
        <w:rPr>
          <w:color w:val="auto"/>
          <w:szCs w:val="24"/>
        </w:rPr>
      </w:pPr>
      <w:r>
        <w:rPr>
          <w:color w:val="auto"/>
          <w:szCs w:val="24"/>
        </w:rPr>
      </w:r>
      <w:r>
        <w:rPr>
          <w:color w:val="auto"/>
        </w:rPr>
      </w:r>
      <w:r/>
    </w:p>
    <w:p>
      <w:pPr>
        <w:rPr>
          <w:rFonts w:eastAsia="黑体"/>
          <w:color w:val="auto"/>
          <w:sz w:val="44"/>
          <w:szCs w:val="44"/>
        </w:rPr>
      </w:pPr>
      <w:r>
        <w:rPr>
          <w:rFonts w:eastAsia="黑体"/>
          <w:color w:val="auto"/>
          <w:sz w:val="44"/>
          <w:szCs w:val="44"/>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jc w:val="center"/>
        <w:rPr>
          <w:rFonts w:eastAsia="黑体"/>
          <w:color w:val="auto"/>
          <w:sz w:val="44"/>
          <w:szCs w:val="44"/>
        </w:rPr>
      </w:pPr>
      <w:r>
        <w:rPr>
          <w:rFonts w:hint="eastAsia" w:eastAsia="黑体"/>
          <w:color w:val="auto"/>
          <w:sz w:val="44"/>
          <w:szCs w:val="44"/>
        </w:rPr>
        <w:t xml:space="preserve">使 用 说 明</w:t>
      </w:r>
      <w:r>
        <w:rPr>
          <w:color w:val="auto"/>
        </w:rPr>
      </w:r>
      <w:r/>
    </w:p>
    <w:p>
      <w:pPr>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rPr>
          <w:color w:val="auto"/>
        </w:rPr>
      </w:r>
      <w:r/>
    </w:p>
    <w:p>
      <w:pPr>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1.本合同标准文本适用于购买现成货物的采购项目，不包括需要供应商定制开发、创新研发的货物采购项目。</w:t>
      </w:r>
      <w:r>
        <w:rPr>
          <w:color w:val="auto"/>
        </w:rPr>
      </w:r>
      <w:r/>
    </w:p>
    <w:p>
      <w:pPr>
        <w:rPr>
          <w:rFonts w:eastAsia="黑体"/>
          <w:color w:val="auto"/>
          <w:sz w:val="44"/>
          <w:szCs w:val="44"/>
        </w:rPr>
      </w:pPr>
      <w:r>
        <w:rPr>
          <w:rFonts w:hint="eastAsia" w:ascii="仿宋_GB2312" w:hAnsi="仿宋_GB2312" w:eastAsia="仿宋_GB2312" w:cs="仿宋_GB2312"/>
          <w:color w:val="auto"/>
          <w:sz w:val="32"/>
          <w:szCs w:val="32"/>
        </w:rPr>
        <w:t xml:space="preserve">2.本合同标准文本为政府采购货物买卖合同编制提供参考，可以结合采购项目具体情况，对文本作必要的调整修订后使用。</w:t>
      </w:r>
      <w:r>
        <w:rPr>
          <w:color w:val="auto"/>
        </w:rPr>
      </w:r>
      <w:r/>
    </w:p>
    <w:p>
      <w:pPr>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3.本合同标准文本各条款中，如涉及填写多家供应商、制造商，多种采购标的、分包主要内容等信息的，可根据采购项目具体情况添加信息项。</w:t>
      </w:r>
      <w:bookmarkEnd w:id="186"/>
      <w:r>
        <w:rPr>
          <w:color w:val="auto"/>
        </w:rPr>
      </w:r>
      <w:r/>
    </w:p>
    <w:p>
      <w:pPr>
        <w:rPr>
          <w:rFonts w:eastAsia="黑体"/>
          <w:color w:val="auto"/>
          <w:sz w:val="44"/>
          <w:szCs w:val="44"/>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rPr>
      </w:r>
      <w:r>
        <w:rPr>
          <w:color w:val="auto"/>
        </w:rPr>
      </w:r>
      <w:r/>
    </w:p>
    <w:p>
      <w:pPr>
        <w:jc w:val="center"/>
        <w:keepLines/>
        <w:keepNext/>
        <w:spacing w:before="260" w:after="260" w:line="400" w:lineRule="exact"/>
        <w:rPr>
          <w:rFonts w:ascii="黑体" w:hAnsi="华文中宋" w:eastAsia="黑体"/>
          <w:color w:val="auto"/>
          <w:sz w:val="28"/>
          <w:szCs w:val="28"/>
        </w:rPr>
        <w:outlineLvl w:val="1"/>
      </w:pPr>
      <w:r>
        <w:rPr>
          <w:color w:val="auto"/>
        </w:rPr>
      </w:r>
      <w:bookmarkStart w:id="187" w:name="_Toc22209"/>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bookmarkEnd w:id="187"/>
      <w:r>
        <w:rPr>
          <w:color w:val="auto"/>
        </w:rPr>
      </w:r>
      <w:r/>
    </w:p>
    <w:p>
      <w:pPr>
        <w:jc w:val="center"/>
        <w:keepLines/>
        <w:keepNext/>
        <w:spacing w:before="260" w:after="260" w:line="400" w:lineRule="exact"/>
        <w:rPr>
          <w:rFonts w:ascii="黑体" w:hAnsi="华文中宋" w:eastAsia="黑体"/>
          <w:color w:val="auto"/>
          <w:sz w:val="28"/>
          <w:szCs w:val="28"/>
        </w:rPr>
        <w:outlineLvl w:val="1"/>
      </w:pPr>
      <w:r>
        <w:rPr>
          <w:rFonts w:ascii="黑体" w:hAnsi="华文中宋" w:eastAsia="黑体"/>
          <w:color w:val="auto"/>
          <w:sz w:val="28"/>
          <w:szCs w:val="28"/>
        </w:rPr>
      </w:r>
      <w:r>
        <w:rPr>
          <w:color w:val="auto"/>
        </w:rPr>
      </w:r>
      <w:r/>
    </w:p>
    <w:p>
      <w:pPr>
        <w:spacing w:line="400" w:lineRule="exact"/>
        <w:rPr>
          <w:rFonts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                        </w:t>
      </w:r>
      <w:r>
        <w:rPr>
          <w:rFonts w:hint="eastAsia" w:ascii="宋体" w:hAnsi="宋体"/>
          <w:color w:val="auto"/>
          <w:szCs w:val="21"/>
        </w:rPr>
        <w:t xml:space="preserve">（采购人）</w:t>
      </w:r>
      <w:r>
        <w:rPr>
          <w:color w:val="auto"/>
        </w:rPr>
      </w:r>
      <w:r/>
    </w:p>
    <w:p>
      <w:pPr>
        <w:spacing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rPr>
          <w:color w:val="auto"/>
        </w:rPr>
      </w:r>
      <w:r/>
    </w:p>
    <w:p>
      <w:pPr>
        <w:spacing w:line="400" w:lineRule="exact"/>
        <w:rPr>
          <w:color w:val="auto"/>
          <w:szCs w:val="24"/>
        </w:rPr>
      </w:pPr>
      <w:r>
        <w:rPr>
          <w:color w:val="auto"/>
          <w:szCs w:val="24"/>
        </w:rPr>
      </w:r>
      <w:r>
        <w:rPr>
          <w:color w:val="auto"/>
        </w:rPr>
      </w:r>
      <w:r/>
    </w:p>
    <w:p>
      <w:pPr>
        <w:spacing w:line="400" w:lineRule="exact"/>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项目信息</w:t>
      </w:r>
      <w:r>
        <w:rPr>
          <w:color w:val="auto"/>
        </w:rPr>
      </w:r>
      <w:r/>
    </w:p>
    <w:p>
      <w:pPr>
        <w:numPr>
          <w:ilvl w:val="0"/>
          <w:numId w:val="6"/>
        </w:numPr>
        <w:ind w:firstLine="420"/>
        <w:spacing w:line="400" w:lineRule="exact"/>
        <w:rPr>
          <w:rFonts w:ascii="宋体" w:hAnsi="宋体"/>
          <w:color w:val="auto"/>
          <w:szCs w:val="21"/>
          <w:u w:val="single"/>
        </w:rPr>
      </w:pPr>
      <w:r>
        <w:rPr>
          <w:rFonts w:hint="eastAsia" w:ascii="宋体" w:hAnsi="宋体"/>
          <w:color w:val="auto"/>
          <w:szCs w:val="21"/>
        </w:rPr>
        <w:t xml:space="preserve">采购项目名称：</w:t>
      </w:r>
      <w:r>
        <w:rPr>
          <w:rFonts w:ascii="宋体" w:hAnsi="宋体"/>
          <w:color w:val="auto"/>
          <w:szCs w:val="21"/>
          <w:u w:val="single"/>
        </w:rPr>
        <w:t xml:space="preserve">                                          </w:t>
      </w:r>
      <w:r>
        <w:rPr>
          <w:color w:val="auto"/>
        </w:rPr>
      </w:r>
      <w:r/>
    </w:p>
    <w:p>
      <w:pPr>
        <w:spacing w:line="400" w:lineRule="exact"/>
        <w:tabs>
          <w:tab w:val="left" w:pos="999" w:leader="none"/>
        </w:tabs>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（3）项目内容：</w:t>
      </w:r>
      <w:r>
        <w:rPr>
          <w:color w:val="auto"/>
        </w:rPr>
      </w:r>
      <w:r/>
    </w:p>
    <w:p>
      <w:pPr>
        <w:spacing w:line="400" w:lineRule="exact"/>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 xml:space="preserve">/</w:t>
      </w:r>
      <w:r>
        <w:rPr>
          <w:rFonts w:hint="eastAsia" w:ascii="宋体" w:hAnsi="宋体"/>
          <w:color w:val="auto"/>
          <w:szCs w:val="21"/>
          <w:lang w:val="en"/>
        </w:rPr>
        <w:t xml:space="preserve">个</w:t>
      </w:r>
      <w:r>
        <w:rPr>
          <w:rFonts w:ascii="宋体" w:hAnsi="宋体"/>
          <w:color w:val="auto"/>
          <w:szCs w:val="21"/>
          <w:lang w:val="en"/>
        </w:rPr>
        <w:t xml:space="preserve">/</w:t>
      </w:r>
      <w:r>
        <w:rPr>
          <w:rFonts w:hint="eastAsia" w:ascii="宋体" w:hAnsi="宋体"/>
          <w:color w:val="auto"/>
          <w:szCs w:val="21"/>
          <w:lang w:val="en"/>
        </w:rPr>
        <w:t xml:space="preserve">架</w:t>
      </w:r>
      <w:r>
        <w:rPr>
          <w:rFonts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color w:val="auto"/>
        </w:rPr>
      </w:r>
      <w:r/>
    </w:p>
    <w:p>
      <w:pPr>
        <w:spacing w:line="400" w:lineRule="exact"/>
        <w:rPr>
          <w:rFonts w:ascii="宋体" w:hAnsi="宋体" w:cs="宋体"/>
          <w:color w:val="auto"/>
          <w:szCs w:val="21"/>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color w:val="auto"/>
        </w:rPr>
      </w:r>
      <w:r/>
    </w:p>
    <w:p>
      <w:pPr>
        <w:ind w:firstLine="525"/>
        <w:spacing w:line="400" w:lineRule="exact"/>
        <w:rPr>
          <w:rFonts w:ascii="宋体" w:hAnsi="宋体"/>
          <w:color w:val="auto"/>
          <w:szCs w:val="21"/>
          <w:u w:val="single"/>
        </w:rPr>
      </w:pPr>
      <w:r>
        <w:rPr>
          <w:rFonts w:hint="eastAsia" w:ascii="宋体" w:hAnsi="宋体"/>
          <w:color w:val="auto"/>
          <w:szCs w:val="21"/>
        </w:rPr>
        <w:t xml:space="preserve">采购标的的技术要求、商务要求具体见附件。</w:t>
      </w:r>
      <w:r>
        <w:rPr>
          <w:color w:val="auto"/>
        </w:rPr>
      </w:r>
      <w:r/>
    </w:p>
    <w:p>
      <w:pPr>
        <w:ind w:firstLine="525"/>
        <w:spacing w:line="400" w:lineRule="exact"/>
        <w:rPr>
          <w:rFonts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rPr>
          <w:color w:val="auto"/>
        </w:rPr>
      </w:r>
      <w:r/>
    </w:p>
    <w:p>
      <w:pPr>
        <w:spacing w:line="400" w:lineRule="exact"/>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color w:val="auto"/>
        </w:rPr>
      </w:r>
      <w:r/>
    </w:p>
    <w:p>
      <w:pPr>
        <w:spacing w:line="400" w:lineRule="exact"/>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（注：关键部件是指财政部会同有关部门发布的政府采购需求标准规定的需要通过国家有关部门指定的测评机构开展的安全可靠测评的软硬件，如CPU芯片、操作系统、数据库等。）</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w:t>
      </w:r>
      <w:r>
        <w:rPr>
          <w:rFonts w:hint="eastAsia" w:ascii="汉仪书宋二S" w:hAnsi="汉仪书宋二S" w:eastAsia="汉仪书宋二S" w:cs="汉仪书宋二S"/>
          <w:color w:val="auto"/>
          <w:szCs w:val="21"/>
        </w:rPr>
        <w:t xml:space="preserve">②</w:t>
      </w:r>
      <w:r>
        <w:rPr>
          <w:rFonts w:hint="eastAsia" w:ascii="宋体" w:hAnsi="宋体" w:cs="宋体"/>
          <w:color w:val="auto"/>
          <w:szCs w:val="21"/>
        </w:rPr>
        <w:t xml:space="preserve">涉及车辆采购，请填写是否属于新能源汽车：</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数量：</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否</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lang w:val="en"/>
        </w:rPr>
        <w:t xml:space="preserve">4</w:t>
      </w:r>
      <w:r>
        <w:rPr>
          <w:rFonts w:hint="eastAsia" w:ascii="宋体" w:hAnsi="宋体" w:cs="宋体"/>
          <w:color w:val="auto"/>
          <w:szCs w:val="21"/>
        </w:rPr>
        <w:t xml:space="preserve">）政府采购组织形式：</w:t>
      </w:r>
      <w:r>
        <w:rPr>
          <w:rFonts w:ascii="Wingdings" w:hAnsi="Wingdings" w:eastAsia="Wingdings" w:cs="Wingdings"/>
          <w:color w:val="auto"/>
          <w:szCs w:val="21"/>
        </w:rPr>
        <w:t xml:space="preserve">¨</w:t>
      </w:r>
      <w:r>
        <w:rPr>
          <w:rFonts w:hint="eastAsia" w:ascii="宋体" w:hAnsi="宋体" w:cs="宋体"/>
          <w:color w:val="auto"/>
          <w:szCs w:val="21"/>
        </w:rPr>
        <w:t xml:space="preserve">政府集中采购  </w:t>
      </w:r>
      <w:r>
        <w:rPr>
          <w:rFonts w:ascii="Wingdings" w:hAnsi="Wingdings" w:eastAsia="Wingdings" w:cs="Wingdings"/>
          <w:color w:val="auto"/>
          <w:szCs w:val="21"/>
        </w:rPr>
        <w:t xml:space="preserve">¨</w:t>
      </w:r>
      <w:r>
        <w:rPr>
          <w:rFonts w:hint="eastAsia" w:ascii="宋体" w:hAnsi="宋体" w:cs="宋体"/>
          <w:color w:val="auto"/>
          <w:szCs w:val="21"/>
        </w:rPr>
        <w:t xml:space="preserve">部门集中采购  </w:t>
      </w:r>
      <w:r>
        <w:rPr>
          <w:rFonts w:ascii="Wingdings" w:hAnsi="Wingdings" w:eastAsia="Wingdings" w:cs="Wingdings"/>
          <w:color w:val="auto"/>
          <w:szCs w:val="21"/>
        </w:rPr>
        <w:t xml:space="preserve">¨</w:t>
      </w:r>
      <w:r>
        <w:rPr>
          <w:rFonts w:hint="eastAsia" w:ascii="宋体" w:hAnsi="宋体" w:cs="宋体"/>
          <w:color w:val="auto"/>
          <w:szCs w:val="21"/>
        </w:rPr>
        <w:t xml:space="preserve">分散采购</w:t>
      </w:r>
      <w:r>
        <w:rPr>
          <w:color w:val="auto"/>
        </w:rPr>
      </w:r>
      <w:r/>
    </w:p>
    <w:p>
      <w:pPr>
        <w:ind w:firstLine="420"/>
        <w:jc w:val="left"/>
        <w:spacing w:line="400" w:lineRule="exact"/>
        <w:widowControl/>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5</w:t>
      </w:r>
      <w:r>
        <w:rPr>
          <w:rFonts w:hint="eastAsia" w:ascii="宋体" w:hAnsi="宋体" w:cs="宋体"/>
          <w:color w:val="auto"/>
          <w:szCs w:val="21"/>
        </w:rPr>
        <w:t xml:space="preserve">）政府采购方式：</w:t>
      </w:r>
      <w:r>
        <w:rPr>
          <w:rFonts w:ascii="Wingdings" w:hAnsi="Wingdings" w:eastAsia="Wingdings" w:cs="Wingdings"/>
          <w:color w:val="auto"/>
          <w:szCs w:val="21"/>
        </w:rPr>
        <w:t xml:space="preserve">¨</w:t>
      </w:r>
      <w:r>
        <w:rPr>
          <w:rFonts w:hint="eastAsia" w:ascii="宋体" w:hAnsi="宋体" w:cs="宋体"/>
          <w:color w:val="auto"/>
          <w:szCs w:val="21"/>
        </w:rPr>
        <w:t xml:space="preserve">公开招标 </w:t>
      </w:r>
      <w:r>
        <w:rPr>
          <w:rFonts w:ascii="Wingdings" w:hAnsi="Wingdings" w:eastAsia="Wingdings" w:cs="Wingdings"/>
          <w:color w:val="auto"/>
          <w:szCs w:val="21"/>
        </w:rPr>
        <w:t xml:space="preserve">¨</w:t>
      </w:r>
      <w:r>
        <w:rPr>
          <w:rFonts w:hint="eastAsia" w:ascii="宋体" w:hAnsi="宋体" w:cs="宋体"/>
          <w:color w:val="auto"/>
          <w:szCs w:val="21"/>
        </w:rPr>
        <w:t xml:space="preserve">邀请招标 </w:t>
      </w:r>
      <w:r>
        <w:rPr>
          <w:rFonts w:ascii="Wingdings" w:hAnsi="Wingdings" w:eastAsia="Wingdings" w:cs="Wingdings"/>
          <w:color w:val="auto"/>
          <w:szCs w:val="21"/>
        </w:rPr>
        <w:t xml:space="preserve">¨</w:t>
      </w:r>
      <w:r>
        <w:rPr>
          <w:rFonts w:hint="eastAsia" w:ascii="宋体" w:hAnsi="宋体" w:cs="宋体"/>
          <w:color w:val="auto"/>
          <w:szCs w:val="21"/>
        </w:rPr>
        <w:t xml:space="preserve">竞争性谈判 </w:t>
      </w:r>
      <w:r>
        <w:rPr>
          <w:rFonts w:ascii="Wingdings" w:hAnsi="Wingdings" w:eastAsia="Wingdings" w:cs="Wingdings"/>
          <w:color w:val="auto"/>
          <w:szCs w:val="21"/>
        </w:rPr>
        <w:t xml:space="preserve">¨</w:t>
      </w:r>
      <w:r>
        <w:rPr>
          <w:rFonts w:hint="eastAsia" w:ascii="宋体" w:hAnsi="宋体" w:cs="宋体"/>
          <w:color w:val="auto"/>
          <w:szCs w:val="21"/>
        </w:rPr>
        <w:t xml:space="preserve">竞争性磋商</w:t>
      </w:r>
      <w:r>
        <w:rPr>
          <w:color w:val="auto"/>
        </w:rPr>
      </w:r>
      <w:r/>
    </w:p>
    <w:p>
      <w:pPr>
        <w:jc w:val="left"/>
        <w:spacing w:line="400" w:lineRule="exact"/>
        <w:widowControl/>
        <w:rPr>
          <w:rFonts w:ascii="宋体" w:hAnsi="宋体" w:cs="宋体"/>
          <w:color w:val="auto"/>
          <w:szCs w:val="21"/>
          <w:u w:val="single"/>
        </w:rPr>
      </w:pPr>
      <w:r>
        <w:rPr>
          <w:rFonts w:hint="eastAsia" w:ascii="宋体" w:hAnsi="宋体" w:eastAsia="华文楷体" w:cs="宋体"/>
          <w:color w:val="auto"/>
          <w:sz w:val="22"/>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询价 </w:t>
      </w:r>
      <w:r>
        <w:rPr>
          <w:rFonts w:ascii="Wingdings" w:hAnsi="Wingdings" w:eastAsia="Wingdings" w:cs="Wingdings"/>
          <w:color w:val="auto"/>
          <w:szCs w:val="21"/>
        </w:rPr>
        <w:t xml:space="preserve">¨</w:t>
      </w:r>
      <w:r>
        <w:rPr>
          <w:rFonts w:hint="eastAsia" w:ascii="宋体" w:hAnsi="宋体" w:cs="宋体"/>
          <w:color w:val="auto"/>
          <w:szCs w:val="21"/>
        </w:rPr>
        <w:t xml:space="preserve">单一来源 </w:t>
      </w:r>
      <w:r>
        <w:rPr>
          <w:rFonts w:ascii="Wingdings" w:hAnsi="Wingdings" w:eastAsia="Wingdings" w:cs="Wingdings"/>
          <w:color w:val="auto"/>
          <w:szCs w:val="21"/>
        </w:rPr>
        <w:t xml:space="preserve">¨</w:t>
      </w:r>
      <w:r>
        <w:rPr>
          <w:rFonts w:hint="eastAsia" w:ascii="宋体" w:hAnsi="宋体" w:cs="宋体"/>
          <w:color w:val="auto"/>
          <w:szCs w:val="21"/>
        </w:rPr>
        <w:t xml:space="preserve">框架协议 </w:t>
      </w:r>
      <w:r>
        <w:rPr>
          <w:rFonts w:ascii="Wingdings" w:hAnsi="Wingdings" w:eastAsia="Wingdings" w:cs="Wingdings"/>
          <w:color w:val="auto"/>
          <w:szCs w:val="21"/>
        </w:rPr>
        <w:t xml:space="preserve">¨</w:t>
      </w:r>
      <w:r>
        <w:rPr>
          <w:rFonts w:hint="eastAsia" w:ascii="宋体" w:hAnsi="宋体" w:cs="宋体"/>
          <w:color w:val="auto"/>
          <w:szCs w:val="21"/>
        </w:rPr>
        <w:t xml:space="preserve">其他：</w:t>
      </w:r>
      <w:r>
        <w:rPr>
          <w:rFonts w:hint="eastAsia" w:ascii="宋体" w:hAnsi="宋体" w:cs="宋体"/>
          <w:color w:val="auto"/>
          <w:szCs w:val="21"/>
          <w:u w:val="single"/>
        </w:rPr>
        <w:t xml:space="preserve">          </w:t>
      </w:r>
      <w:r>
        <w:rPr>
          <w:color w:val="auto"/>
        </w:rPr>
      </w:r>
      <w:r/>
    </w:p>
    <w:p>
      <w:pPr>
        <w:ind w:firstLine="840"/>
        <w:jc w:val="left"/>
        <w:spacing w:line="400" w:lineRule="exact"/>
        <w:widowControl/>
        <w:rPr>
          <w:rFonts w:ascii="宋体" w:hAnsi="宋体" w:cs="宋体"/>
          <w:color w:val="auto"/>
          <w:szCs w:val="21"/>
        </w:rPr>
      </w:pPr>
      <w:r>
        <w:rPr>
          <w:rFonts w:hint="eastAsia" w:ascii="宋体" w:hAnsi="宋体" w:cs="宋体"/>
          <w:color w:val="auto"/>
          <w:szCs w:val="21"/>
        </w:rPr>
        <w:t xml:space="preserve">（注：在框架协议采购的第二阶段，可选择使用该合同文本）</w:t>
      </w:r>
      <w:r>
        <w:rPr>
          <w:color w:val="auto"/>
        </w:rPr>
      </w:r>
      <w:r/>
    </w:p>
    <w:p>
      <w:pPr>
        <w:jc w:val="left"/>
        <w:spacing w:line="400" w:lineRule="exact"/>
        <w:widowControl/>
        <w:rPr>
          <w:rFonts w:ascii="宋体" w:hAnsi="宋体"/>
          <w:color w:val="auto"/>
          <w:szCs w:val="21"/>
        </w:rPr>
      </w:pPr>
      <w:r>
        <w:rPr>
          <w:rFonts w:hint="eastAsia" w:ascii="宋体" w:hAnsi="宋体" w:eastAsia="华文楷体" w:cs="华文楷体"/>
          <w:color w:val="auto"/>
          <w:sz w:val="22"/>
          <w:szCs w:val="21"/>
        </w:rPr>
        <w:t xml:space="preserve">    </w:t>
      </w:r>
      <w:r>
        <w:rPr>
          <w:rFonts w:hint="eastAsia" w:ascii="宋体" w:hAnsi="宋体" w:cs="宋体"/>
          <w:color w:val="auto"/>
          <w:szCs w:val="21"/>
        </w:rPr>
        <w:t xml:space="preserve">（</w:t>
      </w:r>
      <w:r>
        <w:rPr>
          <w:rFonts w:ascii="宋体" w:hAnsi="宋体" w:cs="宋体"/>
          <w:color w:val="auto"/>
          <w:szCs w:val="21"/>
        </w:rPr>
        <w:t xml:space="preserve">6</w:t>
      </w:r>
      <w:r>
        <w:rPr>
          <w:rFonts w:hint="eastAsia" w:ascii="宋体" w:hAnsi="宋体" w:cs="宋体"/>
          <w:color w:val="auto"/>
          <w:szCs w:val="21"/>
        </w:rPr>
        <w:t xml:space="preserve">）</w:t>
      </w:r>
      <w:r>
        <w:rPr>
          <w:rFonts w:hint="eastAsia" w:ascii="宋体" w:hAnsi="宋体"/>
          <w:color w:val="auto"/>
          <w:szCs w:val="21"/>
        </w:rPr>
        <w:t xml:space="preserve">中标（成交）采购标的制造商是否为中小企业：</w:t>
      </w: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w:t>
      </w:r>
      <w:r>
        <w:rPr>
          <w:color w:val="auto"/>
        </w:rPr>
      </w:r>
      <w:r/>
    </w:p>
    <w:p>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rPr>
          <w:color w:val="auto"/>
        </w:rPr>
      </w:r>
      <w:r/>
    </w:p>
    <w:p>
      <w:pPr>
        <w:spacing w:line="400" w:lineRule="exact"/>
        <w:rPr>
          <w:rFonts w:ascii="宋体" w:hAnsi="宋体"/>
          <w:iCs/>
          <w:color w:val="auto"/>
          <w:szCs w:val="21"/>
        </w:rPr>
      </w:pPr>
      <w:r>
        <w:rPr>
          <w:rFonts w:hint="eastAsia"/>
          <w:color w:val="auto"/>
          <w:szCs w:val="24"/>
        </w:rPr>
        <w:t xml:space="preserve">         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rPr>
          <w:color w:val="auto"/>
        </w:rPr>
      </w:r>
      <w:r/>
    </w:p>
    <w:p>
      <w:pPr>
        <w:spacing w:line="400" w:lineRule="exact"/>
        <w:rPr>
          <w:color w:val="auto"/>
          <w:szCs w:val="24"/>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color w:val="auto"/>
          <w:szCs w:val="24"/>
        </w:rPr>
      </w:r>
      <w:r>
        <w:rPr>
          <w:color w:val="auto"/>
        </w:rPr>
      </w:r>
      <w:r/>
    </w:p>
    <w:p>
      <w:pPr>
        <w:spacing w:line="400" w:lineRule="exact"/>
        <w:rPr>
          <w:rFonts w:ascii="宋体" w:hAnsi="宋体"/>
          <w:iCs/>
          <w:color w:val="auto"/>
          <w:szCs w:val="21"/>
        </w:rPr>
      </w:pPr>
      <w:r>
        <w:rPr>
          <w:rFonts w:hint="eastAsia"/>
          <w:color w:val="auto"/>
          <w:szCs w:val="24"/>
        </w:rPr>
        <w:t xml:space="preserve">         中标（成交）采购标的制造商是否为残疾人福利性单位：</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rPr>
          <w:color w:val="auto"/>
        </w:rPr>
      </w:r>
      <w:r/>
    </w:p>
    <w:p>
      <w:pPr>
        <w:spacing w:line="400" w:lineRule="exact"/>
        <w:rPr>
          <w:color w:val="auto"/>
          <w:szCs w:val="24"/>
        </w:rPr>
      </w:pPr>
      <w:r>
        <w:rPr>
          <w:rFonts w:hint="eastAsia"/>
          <w:color w:val="auto"/>
          <w:szCs w:val="24"/>
        </w:rPr>
        <w:t xml:space="preserve">         中标（成交）采购标的制造商是否为监狱企业：</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lang w:val="en"/>
        </w:rPr>
        <w:t xml:space="preserve">7</w:t>
      </w:r>
      <w:r>
        <w:rPr>
          <w:rFonts w:hint="eastAsia" w:ascii="宋体" w:hAnsi="宋体"/>
          <w:color w:val="auto"/>
          <w:szCs w:val="21"/>
        </w:rPr>
        <w:t xml:space="preserve">）合同是否分包：</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rPr>
          <w:color w:val="auto"/>
        </w:rPr>
      </w:r>
      <w:r/>
    </w:p>
    <w:p>
      <w:pPr>
        <w:ind w:firstLine="840"/>
        <w:spacing w:line="400" w:lineRule="exact"/>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rPr>
      </w:pPr>
      <w:r>
        <w:rPr>
          <w:rFonts w:hint="eastAsia" w:ascii="宋体" w:hAnsi="宋体"/>
          <w:color w:val="auto"/>
          <w:szCs w:val="21"/>
        </w:rPr>
        <w:t xml:space="preserve">         分包供应商/制造商名称（如供应商和制造商不同，请分别填写）：</w:t>
      </w:r>
      <w:r>
        <w:rPr>
          <w:color w:val="auto"/>
        </w:rPr>
      </w:r>
      <w:r/>
    </w:p>
    <w:p>
      <w:pPr>
        <w:spacing w:line="400" w:lineRule="exact"/>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r>
        <w:rPr>
          <w:color w:val="auto"/>
        </w:rPr>
      </w:r>
      <w:r/>
    </w:p>
    <w:p>
      <w:pPr>
        <w:ind w:firstLine="840"/>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  </w:t>
      </w:r>
      <w:r>
        <w:rPr>
          <w:color w:val="auto"/>
        </w:rPr>
      </w:r>
      <w:r/>
    </w:p>
    <w:p>
      <w:pPr>
        <w:spacing w:line="400" w:lineRule="exact"/>
        <w:rPr>
          <w:rFonts w:eastAsia="华文楷体"/>
          <w:color w:val="auto"/>
          <w:szCs w:val="24"/>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color w:val="auto"/>
        </w:rPr>
      </w:r>
      <w:r/>
    </w:p>
    <w:p>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rPr>
          <w:color w:val="auto"/>
        </w:rPr>
      </w:r>
      <w:r/>
    </w:p>
    <w:p>
      <w:pPr>
        <w:jc w:val="left"/>
        <w:spacing w:line="400" w:lineRule="exact"/>
        <w:widowControl/>
        <w:tabs>
          <w:tab w:val="left" w:pos="1340" w:leader="none"/>
        </w:tabs>
        <w:rPr>
          <w:rFonts w:ascii="宋体" w:hAnsi="宋体" w:cs="宋体"/>
          <w:color w:val="auto"/>
          <w:szCs w:val="21"/>
          <w:u w:val="single"/>
        </w:rPr>
      </w:pPr>
      <w:r>
        <w:rPr>
          <w:rFonts w:hint="eastAsia" w:ascii="宋体" w:hAnsi="宋体" w:cs="宋体"/>
          <w:color w:val="auto"/>
          <w:szCs w:val="21"/>
        </w:rPr>
        <w:t xml:space="preserve">         外商投资企业类型：</w:t>
      </w:r>
      <w:r>
        <w:rPr>
          <w:rFonts w:ascii="Wingdings" w:hAnsi="Wingdings" w:eastAsia="Wingdings" w:cs="Wingdings"/>
          <w:iCs/>
          <w:color w:val="auto"/>
          <w:szCs w:val="21"/>
        </w:rPr>
        <w:t xml:space="preserve">¨</w:t>
      </w:r>
      <w:r>
        <w:rPr>
          <w:rFonts w:hint="eastAsia" w:ascii="宋体" w:hAnsi="宋体" w:cs="宋体"/>
          <w:color w:val="auto"/>
          <w:szCs w:val="21"/>
        </w:rPr>
        <w:t xml:space="preserve">全部由外国投资者投资  </w:t>
      </w:r>
      <w:r>
        <w:rPr>
          <w:rFonts w:ascii="Wingdings" w:hAnsi="Wingdings" w:eastAsia="Wingdings" w:cs="Wingdings"/>
          <w:iCs/>
          <w:color w:val="auto"/>
          <w:szCs w:val="21"/>
        </w:rPr>
        <w:t xml:space="preserve">¨</w:t>
      </w:r>
      <w:r>
        <w:rPr>
          <w:rFonts w:hint="eastAsia" w:ascii="宋体" w:hAnsi="宋体" w:cs="宋体"/>
          <w:iCs/>
          <w:color w:val="auto"/>
          <w:szCs w:val="21"/>
        </w:rPr>
        <w:t xml:space="preserve">部分由外国投资者投资</w:t>
      </w:r>
      <w:r>
        <w:rPr>
          <w:color w:val="auto"/>
        </w:rPr>
      </w:r>
      <w:r/>
    </w:p>
    <w:p>
      <w:pPr>
        <w:ind w:firstLine="420"/>
        <w:spacing w:line="400" w:lineRule="exact"/>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9</w:t>
      </w:r>
      <w:r>
        <w:rPr>
          <w:rFonts w:hint="eastAsia" w:ascii="宋体" w:hAnsi="宋体" w:cs="宋体"/>
          <w:color w:val="auto"/>
          <w:szCs w:val="21"/>
        </w:rPr>
        <w:t xml:space="preserve">）是否涉及进口产品：</w:t>
      </w:r>
      <w:r>
        <w:rPr>
          <w:color w:val="auto"/>
        </w:rPr>
      </w:r>
      <w:r/>
    </w:p>
    <w:p>
      <w:pPr>
        <w:ind w:firstLine="630"/>
        <w:spacing w:line="400" w:lineRule="exact"/>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rPr>
          <w:color w:val="auto"/>
        </w:rPr>
      </w:r>
      <w:r/>
    </w:p>
    <w:p>
      <w:pPr>
        <w:spacing w:line="400" w:lineRule="exact"/>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rPr>
          <w:color w:val="auto"/>
        </w:rPr>
      </w:r>
      <w:r/>
    </w:p>
    <w:p>
      <w:pPr>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rPr>
          <w:color w:val="auto"/>
        </w:rPr>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0</w:t>
      </w:r>
      <w:r>
        <w:rPr>
          <w:rFonts w:hint="eastAsia" w:ascii="宋体" w:hAnsi="宋体"/>
          <w:color w:val="auto"/>
          <w:szCs w:val="21"/>
        </w:rPr>
        <w:t xml:space="preserve">）是否涉及节能产品：</w:t>
      </w:r>
      <w:r>
        <w:rPr>
          <w:color w:val="auto"/>
        </w:rPr>
      </w:r>
      <w:r/>
    </w:p>
    <w:p>
      <w:pPr>
        <w:spacing w:line="400" w:lineRule="exact"/>
        <w:tabs>
          <w:tab w:val="left" w:pos="740" w:leader="none"/>
        </w:tabs>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rPr>
          <w:color w:val="auto"/>
        </w:rPr>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rPr>
          <w:color w:val="auto"/>
        </w:rPr>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rPr>
          <w:color w:val="auto"/>
        </w:rPr>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是否涉及环境标志产品：</w:t>
      </w:r>
      <w:r>
        <w:rPr>
          <w:color w:val="auto"/>
        </w:rPr>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rPr>
          <w:color w:val="auto"/>
        </w:rPr>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rPr>
          <w:color w:val="auto"/>
        </w:rPr>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rPr>
          <w:color w:val="auto"/>
        </w:rPr>
      </w:r>
      <w:r/>
    </w:p>
    <w:p>
      <w:pPr>
        <w:jc w:val="left"/>
        <w:spacing w:line="400" w:lineRule="exact"/>
        <w:widowControl/>
        <w:rPr>
          <w:rFonts w:ascii="宋体" w:hAnsi="宋体"/>
          <w:color w:val="auto"/>
          <w:szCs w:val="21"/>
        </w:rPr>
      </w:pPr>
      <w:r>
        <w:rPr>
          <w:rFonts w:hint="eastAsia" w:ascii="宋体" w:hAnsi="宋体" w:eastAsia="华文楷体" w:cs="华文楷体"/>
          <w:color w:val="auto"/>
          <w:szCs w:val="21"/>
        </w:rPr>
        <w:t xml:space="preserve">          </w:t>
      </w:r>
      <w:r>
        <w:rPr>
          <w:rFonts w:hint="eastAsia" w:ascii="宋体" w:hAnsi="宋体"/>
          <w:color w:val="auto"/>
          <w:szCs w:val="21"/>
        </w:rPr>
        <w:t xml:space="preserve">是否涉及绿色产品： </w:t>
      </w:r>
      <w:r>
        <w:rPr>
          <w:color w:val="auto"/>
        </w:rPr>
      </w:r>
      <w:r/>
    </w:p>
    <w:p>
      <w:pPr>
        <w:jc w:val="left"/>
        <w:spacing w:line="400" w:lineRule="exact"/>
        <w:widowControl/>
        <w:rPr>
          <w:rFonts w:ascii="宋体" w:hAnsi="宋体" w:cs="华文楷体"/>
          <w:color w:val="auto"/>
          <w:sz w:val="22"/>
          <w:szCs w:val="21"/>
          <w:u w:val="single"/>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是，绿色产品政府采购相关政策确定的底级品目名称：</w:t>
      </w:r>
      <w:r>
        <w:rPr>
          <w:rFonts w:hint="eastAsia" w:ascii="宋体" w:hAnsi="宋体" w:cs="华文楷体"/>
          <w:color w:val="auto"/>
          <w:sz w:val="22"/>
          <w:szCs w:val="21"/>
          <w:u w:val="single"/>
        </w:rPr>
        <w:t xml:space="preserve">         </w:t>
      </w:r>
      <w:r>
        <w:rPr>
          <w:color w:val="auto"/>
        </w:rPr>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rPr>
          <w:color w:val="auto"/>
        </w:rPr>
      </w:r>
      <w:r/>
    </w:p>
    <w:p>
      <w:pPr>
        <w:jc w:val="left"/>
        <w:spacing w:line="400" w:lineRule="exact"/>
        <w:widowControl/>
        <w:rPr>
          <w:rFonts w:ascii="宋体" w:hAnsi="宋体" w:eastAsia="华文楷体" w:cs="华文楷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rPr>
          <w:color w:val="auto"/>
        </w:rPr>
      </w:r>
      <w:r/>
    </w:p>
    <w:p>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rPr>
          <w:color w:val="auto"/>
        </w:rPr>
      </w:r>
      <w:r/>
    </w:p>
    <w:p>
      <w:pPr>
        <w:ind w:firstLine="945"/>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      </w:t>
      </w:r>
      <w:r>
        <w:rPr>
          <w:rFonts w:ascii="Wingdings" w:hAnsi="Wingdings" w:eastAsia="Wingdings" w:cs="Wingdings"/>
          <w:color w:val="auto"/>
          <w:szCs w:val="21"/>
        </w:rPr>
        <w:t xml:space="preserve">¨</w:t>
      </w:r>
      <w:r>
        <w:rPr>
          <w:rFonts w:hint="eastAsia" w:ascii="宋体" w:hAnsi="宋体"/>
          <w:color w:val="auto"/>
          <w:szCs w:val="21"/>
        </w:rPr>
        <w:t xml:space="preserve">不涉及</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合同金额</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rPr>
          <w:color w:val="auto"/>
        </w:rPr>
      </w:r>
      <w:r/>
    </w:p>
    <w:p>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r>
        <w:rPr>
          <w:color w:val="auto"/>
        </w:rPr>
      </w:r>
      <w:r/>
    </w:p>
    <w:p>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r>
        <w:rPr>
          <w:color w:val="auto"/>
        </w:rPr>
      </w:r>
      <w:r/>
    </w:p>
    <w:p>
      <w:pPr>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w:t>
      </w:r>
      <w:r>
        <w:rPr>
          <w:rFonts w:hint="eastAsia" w:ascii="宋体" w:hAnsi="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rPr>
          <w:color w:val="auto"/>
        </w:rPr>
      </w:r>
      <w:r/>
    </w:p>
    <w:p>
      <w:pPr>
        <w:ind w:firstLine="420"/>
        <w:spacing w:line="400" w:lineRule="exact"/>
        <w:rPr>
          <w:color w:val="auto"/>
          <w:szCs w:val="21"/>
        </w:rPr>
      </w:pPr>
      <w:r>
        <w:rPr>
          <w:rFonts w:hint="eastAsia" w:ascii="宋体" w:hAnsi="宋体"/>
          <w:color w:val="auto"/>
          <w:szCs w:val="21"/>
        </w:rPr>
        <w:t xml:space="preserve">（3）付款方式（按项目实际勾选填写）：</w:t>
      </w:r>
      <w:r>
        <w:rPr>
          <w:color w:val="auto"/>
        </w:rPr>
      </w:r>
      <w:r/>
    </w:p>
    <w:p>
      <w:pPr>
        <w:ind w:firstLine="525"/>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rPr>
          <w:color w:val="auto"/>
        </w:rPr>
      </w:r>
      <w:r/>
    </w:p>
    <w:p>
      <w:pPr>
        <w:ind w:firstLine="525"/>
        <w:spacing w:line="400" w:lineRule="exact"/>
        <w:rPr>
          <w:color w:val="auto"/>
          <w:szCs w:val="24"/>
        </w:rPr>
      </w:pPr>
      <w:r>
        <w:rPr>
          <w:rFonts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（应明确分期支付合同款项的各期比例和支付条件，各期支付条件应与分期履约验收情况挂钩） </w:t>
      </w:r>
      <w:r>
        <w:rPr>
          <w:rFonts w:hint="eastAsia" w:ascii="宋体" w:hAnsi="宋体"/>
          <w:color w:val="auto"/>
          <w:szCs w:val="21"/>
        </w:rPr>
        <w:t xml:space="preserve">，其中涉及预付款的：</w:t>
      </w:r>
      <w:r>
        <w:rPr>
          <w:rFonts w:hint="eastAsia" w:ascii="宋体" w:hAnsi="宋体"/>
          <w:color w:val="auto"/>
          <w:szCs w:val="21"/>
          <w:u w:val="single"/>
        </w:rPr>
        <w:t xml:space="preserve"> （应明确预付款的支付比例和支付条件） </w:t>
      </w:r>
      <w:r>
        <w:rPr>
          <w:color w:val="auto"/>
        </w:rPr>
      </w:r>
      <w:r/>
    </w:p>
    <w:p>
      <w:pPr>
        <w:ind w:firstLine="525"/>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rPr>
        <w:t xml:space="preserve">      （应明确按照成本补偿方式的支付方式和支付条件）   </w:t>
      </w:r>
      <w:r>
        <w:rPr>
          <w:color w:val="auto"/>
        </w:rPr>
      </w:r>
      <w:r/>
    </w:p>
    <w:p>
      <w:pPr>
        <w:ind w:firstLine="525"/>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（应明确按照绩效激励方式的支付方式和支付条件）   </w:t>
      </w:r>
      <w:r>
        <w:rPr>
          <w:color w:val="auto"/>
        </w:rPr>
      </w:r>
      <w:r/>
    </w:p>
    <w:p>
      <w:pPr>
        <w:numPr>
          <w:ilvl w:val="0"/>
          <w:numId w:val="5"/>
        </w:numPr>
        <w:ind w:firstLine="421"/>
        <w:spacing w:line="400" w:lineRule="exact"/>
        <w:rPr>
          <w:rFonts w:ascii="宋体" w:hAnsi="宋体"/>
          <w:b/>
          <w:color w:val="auto"/>
          <w:szCs w:val="21"/>
          <w:u w:val="single"/>
        </w:rPr>
      </w:pPr>
      <w:r>
        <w:rPr>
          <w:rFonts w:hint="eastAsia" w:ascii="宋体" w:hAnsi="宋体"/>
          <w:b/>
          <w:color w:val="auto"/>
          <w:szCs w:val="21"/>
        </w:rPr>
        <w:t xml:space="preserve">合同履行</w:t>
      </w:r>
      <w:r>
        <w:rPr>
          <w:color w:val="auto"/>
        </w:rPr>
      </w:r>
      <w:r/>
    </w:p>
    <w:p>
      <w:pPr>
        <w:ind w:firstLine="315"/>
        <w:spacing w:line="400" w:lineRule="exact"/>
        <w:rPr>
          <w:rFonts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rPr>
          <w:color w:val="auto"/>
        </w:rPr>
      </w:r>
      <w:r/>
    </w:p>
    <w:p>
      <w:pPr>
        <w:ind w:firstLine="315"/>
        <w:spacing w:line="400" w:lineRule="exact"/>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rPr>
          <w:color w:val="auto"/>
        </w:rPr>
      </w:r>
      <w:r/>
    </w:p>
    <w:p>
      <w:pPr>
        <w:ind w:firstLine="315"/>
        <w:spacing w:line="400" w:lineRule="exact"/>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szCs w:val="24"/>
        </w:rPr>
        <w:t xml:space="preserve">是否收取履约保证金：</w:t>
      </w:r>
      <w:r>
        <w:rPr>
          <w:rFonts w:ascii="Wingdings" w:hAnsi="Wingdings" w:eastAsia="Wingdings" w:cs="Wingdings"/>
          <w:color w:val="auto"/>
          <w:szCs w:val="21"/>
        </w:rPr>
        <w:t xml:space="preserve">¨</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rPr>
          <w:color w:val="auto"/>
        </w:rPr>
      </w:r>
      <w:r/>
    </w:p>
    <w:p>
      <w:pPr>
        <w:jc w:val="left"/>
        <w:spacing w:line="400" w:lineRule="exact"/>
        <w:widowControl/>
        <w:rPr>
          <w:rFonts w:ascii="宋体" w:hAnsi="宋体" w:cs="宋体"/>
          <w:color w:val="auto"/>
          <w:szCs w:val="21"/>
        </w:rPr>
      </w:pPr>
      <w:r>
        <w:rPr>
          <w:rFonts w:hint="eastAsia" w:ascii="宋体" w:hAnsi="宋体" w:eastAsia="华文楷体" w:cs="宋体"/>
          <w:bCs/>
          <w:color w:val="auto"/>
          <w:sz w:val="22"/>
          <w:szCs w:val="21"/>
        </w:rPr>
        <w:t xml:space="preserve">  </w:t>
      </w:r>
      <w:r>
        <w:rPr>
          <w:rFonts w:hint="eastAsia" w:ascii="宋体" w:hAnsi="宋体" w:cs="宋体"/>
          <w:color w:val="auto"/>
          <w:szCs w:val="21"/>
        </w:rPr>
        <w:t xml:space="preserve">  收取履约保证金形式：</w:t>
      </w:r>
      <w:r>
        <w:rPr>
          <w:rFonts w:hint="eastAsia" w:ascii="宋体" w:hAnsi="宋体" w:cs="宋体"/>
          <w:bCs/>
          <w:color w:val="auto"/>
          <w:szCs w:val="21"/>
          <w:u w:val="single"/>
        </w:rPr>
        <w:t xml:space="preserve">                            </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    收取履约保证金金额：</w:t>
      </w:r>
      <w:r>
        <w:rPr>
          <w:rFonts w:hint="eastAsia" w:ascii="宋体" w:hAnsi="宋体" w:cs="宋体"/>
          <w:bCs/>
          <w:color w:val="auto"/>
          <w:szCs w:val="21"/>
          <w:u w:val="single"/>
        </w:rPr>
        <w:t xml:space="preserve">                            </w:t>
      </w:r>
      <w:r>
        <w:rPr>
          <w:color w:val="auto"/>
        </w:rPr>
      </w:r>
      <w:r/>
    </w:p>
    <w:p>
      <w:pPr>
        <w:spacing w:line="400" w:lineRule="exact"/>
        <w:rPr>
          <w:rFonts w:ascii="宋体" w:hAnsi="宋体" w:cs="宋体"/>
          <w:color w:val="auto"/>
          <w:szCs w:val="24"/>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color w:val="auto"/>
        </w:rPr>
      </w:r>
      <w:r/>
    </w:p>
    <w:p>
      <w:pPr>
        <w:ind w:firstLine="315"/>
        <w:spacing w:line="400" w:lineRule="exact"/>
        <w:rPr>
          <w:rFonts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rPr>
          <w:color w:val="auto"/>
        </w:rPr>
      </w:r>
      <w:r/>
    </w:p>
    <w:p>
      <w:pPr>
        <w:ind w:firstLine="315"/>
        <w:spacing w:line="400" w:lineRule="exact"/>
        <w:rPr>
          <w:rFonts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合同验收</w:t>
      </w:r>
      <w:r>
        <w:rPr>
          <w:color w:val="auto"/>
        </w:rPr>
      </w:r>
      <w:r/>
    </w:p>
    <w:p>
      <w:pPr>
        <w:numPr>
          <w:ilvl w:val="0"/>
          <w:numId w:val="7"/>
        </w:numPr>
        <w:ind w:firstLine="420"/>
        <w:spacing w:line="400" w:lineRule="exact"/>
        <w:rPr>
          <w:rFonts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Cs w:val="21"/>
        </w:rPr>
        <w:t xml:space="preserve">¨</w:t>
      </w:r>
      <w:r>
        <w:rPr>
          <w:rFonts w:hint="eastAsia" w:ascii="宋体" w:hAnsi="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bCs/>
          <w:color w:val="auto"/>
          <w:szCs w:val="21"/>
        </w:rPr>
        <w:t xml:space="preserve">委托第三方组织</w:t>
      </w:r>
      <w:r>
        <w:rPr>
          <w:color w:val="auto"/>
        </w:rPr>
      </w:r>
      <w:r/>
    </w:p>
    <w:p>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rPr>
          <w:color w:val="auto"/>
        </w:rPr>
      </w:r>
      <w:r/>
    </w:p>
    <w:p>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rPr>
      </w:pPr>
      <w:r>
        <w:rPr>
          <w:rFonts w:hint="eastAsia" w:ascii="宋体" w:hAnsi="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rPr>
      </w:pPr>
      <w:r>
        <w:rPr>
          <w:rFonts w:hint="eastAsia" w:ascii="宋体" w:hAnsi="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rPr>
      </w:pPr>
      <w:r>
        <w:rPr>
          <w:rFonts w:hint="eastAsia" w:ascii="宋体" w:hAnsi="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rPr>
      </w:pPr>
      <w:r>
        <w:rPr>
          <w:rFonts w:hint="eastAsia" w:ascii="宋体" w:hAnsi="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u w:val="single"/>
        </w:rPr>
      </w:pPr>
      <w:r>
        <w:rPr>
          <w:rFonts w:hint="eastAsia" w:ascii="宋体" w:hAnsi="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rPr>
          <w:rFonts w:ascii="Wingdings" w:hAnsi="Wingdings" w:eastAsia="Wingdings" w:cs="Wingdings"/>
          <w:color w:val="auto"/>
          <w:szCs w:val="21"/>
        </w:rPr>
        <w:t xml:space="preserve">¨</w:t>
      </w:r>
      <w:r>
        <w:rPr>
          <w:rFonts w:hint="eastAsia" w:ascii="宋体" w:hAnsi="宋体"/>
          <w:bCs/>
          <w:color w:val="auto"/>
          <w:szCs w:val="21"/>
        </w:rPr>
        <w:t xml:space="preserve">否</w:t>
      </w:r>
      <w:r>
        <w:rPr>
          <w:color w:val="auto"/>
        </w:rPr>
      </w:r>
      <w:r/>
    </w:p>
    <w:p>
      <w:pPr>
        <w:ind w:firstLine="840"/>
        <w:spacing w:line="400" w:lineRule="exact"/>
        <w:rPr>
          <w:rFonts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rPr>
          <w:color w:val="auto"/>
        </w:rPr>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rPr>
          <w:color w:val="auto"/>
        </w:rPr>
      </w:r>
      <w:r/>
    </w:p>
    <w:p>
      <w:pPr>
        <w:ind w:firstLine="420"/>
        <w:spacing w:line="400" w:lineRule="exact"/>
        <w:rPr>
          <w:rFonts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Cs w:val="21"/>
        </w:rPr>
        <w:t xml:space="preserve">¨</w:t>
      </w:r>
      <w:r>
        <w:rPr>
          <w:rFonts w:hint="eastAsia" w:ascii="宋体" w:hAnsi="宋体"/>
          <w:bCs/>
          <w:color w:val="auto"/>
          <w:szCs w:val="21"/>
        </w:rPr>
        <w:t xml:space="preserve">一次性验收         </w:t>
      </w:r>
      <w:r>
        <w:rPr>
          <w:color w:val="auto"/>
        </w:rPr>
      </w:r>
      <w:r/>
    </w:p>
    <w:p>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rPr>
          <w:color w:val="auto"/>
        </w:rPr>
      </w:r>
      <w:r/>
    </w:p>
    <w:p>
      <w:pPr>
        <w:ind w:firstLine="420"/>
        <w:spacing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rPr>
          <w:color w:val="auto"/>
        </w:rPr>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r>
        <w:rPr>
          <w:color w:val="auto"/>
        </w:rPr>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                                         </w:t>
      </w:r>
      <w:r>
        <w:rPr>
          <w:color w:val="auto"/>
        </w:rPr>
      </w:r>
      <w:r/>
    </w:p>
    <w:p>
      <w:pPr>
        <w:ind w:firstLine="420"/>
        <w:jc w:val="left"/>
        <w:spacing w:line="400" w:lineRule="exact"/>
        <w:widowControl/>
        <w:rPr>
          <w:rFonts w:ascii="宋体" w:hAnsi="宋体" w:cs="宋体"/>
          <w:color w:val="auto"/>
          <w:szCs w:val="21"/>
        </w:rPr>
      </w:pPr>
      <w:r>
        <w:rPr>
          <w:rFonts w:hint="eastAsia" w:ascii="宋体" w:hAnsi="宋体" w:cs="宋体"/>
          <w:bCs/>
          <w:color w:val="auto"/>
          <w:szCs w:val="21"/>
        </w:rPr>
        <w:t xml:space="preserve">（7）是否以采购活动中供应商提供的样品作为参考：</w:t>
      </w:r>
      <w:r>
        <w:rPr>
          <w:rFonts w:ascii="Wingdings" w:hAnsi="Wingdings" w:eastAsia="Wingdings" w:cs="Wingdings"/>
          <w:color w:val="auto"/>
          <w:szCs w:val="21"/>
        </w:rPr>
        <w:t xml:space="preserve">¨</w:t>
      </w:r>
      <w:r>
        <w:rPr>
          <w:rFonts w:hint="eastAsia" w:ascii="宋体" w:hAnsi="宋体" w:cs="宋体"/>
          <w:bCs/>
          <w:color w:val="auto"/>
          <w:szCs w:val="21"/>
        </w:rPr>
        <w:t xml:space="preserve">是  </w:t>
      </w:r>
      <w:r>
        <w:rPr>
          <w:rFonts w:ascii="Wingdings" w:hAnsi="Wingdings" w:eastAsia="Wingdings" w:cs="Wingdings"/>
          <w:color w:val="auto"/>
          <w:szCs w:val="21"/>
        </w:rPr>
        <w:t xml:space="preserve">¨</w:t>
      </w:r>
      <w:r>
        <w:rPr>
          <w:rFonts w:hint="eastAsia" w:ascii="宋体" w:hAnsi="宋体" w:cs="宋体"/>
          <w:bCs/>
          <w:color w:val="auto"/>
          <w:szCs w:val="21"/>
        </w:rPr>
        <w:t xml:space="preserve">否</w:t>
      </w:r>
      <w:r>
        <w:rPr>
          <w:color w:val="auto"/>
        </w:rPr>
      </w:r>
      <w:r/>
    </w:p>
    <w:p>
      <w:pPr>
        <w:ind w:firstLine="420"/>
        <w:spacing w:line="400" w:lineRule="exact"/>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组成合同的文件</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（1）政府采购合同协议书及其变更、补充协议</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（2）政府采购合同专用条款</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（3）政府采购合同通用条款</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（4）中标（成交）通知书</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（5）投标（响应）文件</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（6）采购文件</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（7）有关技术文件，图纸</w:t>
      </w:r>
      <w:r>
        <w:rPr>
          <w:color w:val="auto"/>
        </w:rPr>
      </w:r>
      <w:r/>
    </w:p>
    <w:p>
      <w:pPr>
        <w:ind w:firstLine="420"/>
        <w:jc w:val="left"/>
        <w:spacing w:line="400" w:lineRule="exact"/>
        <w:widowControl/>
        <w:rPr>
          <w:rFonts w:ascii="宋体" w:hAnsi="宋体" w:cs="宋体"/>
          <w:color w:val="auto"/>
          <w:szCs w:val="21"/>
        </w:rPr>
      </w:pPr>
      <w:r>
        <w:rPr>
          <w:rFonts w:hint="eastAsia" w:ascii="宋体" w:hAnsi="宋体" w:cs="宋体"/>
          <w:color w:val="auto"/>
          <w:szCs w:val="21"/>
        </w:rPr>
        <w:t xml:space="preserve">（8）国家法律、行政法规和规章制度规定或合同约定的作为合同组成部分的其他文件</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合同生效</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rPr>
          <w:color w:val="auto"/>
        </w:rPr>
      </w:r>
      <w:r/>
    </w:p>
    <w:p>
      <w:pPr>
        <w:numPr>
          <w:ilvl w:val="0"/>
          <w:numId w:val="5"/>
        </w:numPr>
        <w:ind w:firstLine="421"/>
        <w:spacing w:line="400" w:lineRule="exact"/>
        <w:rPr>
          <w:rFonts w:ascii="宋体" w:hAnsi="宋体"/>
          <w:b/>
          <w:color w:val="auto"/>
          <w:szCs w:val="21"/>
        </w:rPr>
      </w:pPr>
      <w:r>
        <w:rPr>
          <w:rFonts w:hint="eastAsia" w:ascii="宋体" w:hAnsi="宋体"/>
          <w:b/>
          <w:color w:val="auto"/>
          <w:szCs w:val="21"/>
        </w:rPr>
        <w:t xml:space="preserve">合同份数</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rPr>
          <w:color w:val="auto"/>
        </w:rPr>
      </w:r>
      <w:r/>
    </w:p>
    <w:p>
      <w:pPr>
        <w:ind w:firstLine="420"/>
        <w:spacing w:line="400" w:lineRule="exact"/>
        <w:rPr>
          <w:rFonts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rPr>
          <w:color w:val="auto"/>
        </w:rPr>
      </w:r>
      <w:r/>
    </w:p>
    <w:p>
      <w:pPr>
        <w:ind w:firstLine="420"/>
        <w:spacing w:line="400" w:lineRule="exact"/>
        <w:rPr>
          <w:color w:val="auto"/>
          <w:szCs w:val="24"/>
        </w:rPr>
      </w:pPr>
      <w:r>
        <w:rPr>
          <w:rFonts w:hint="eastAsia" w:ascii="宋体" w:hAnsi="宋体"/>
          <w:color w:val="auto"/>
          <w:szCs w:val="21"/>
        </w:rPr>
        <w:t xml:space="preserve">附件：具体标的及其技术要求和商务要求、联合协议、分包意向协议等。</w:t>
      </w:r>
      <w:r>
        <w:rPr>
          <w:color w:val="auto"/>
        </w:rPr>
      </w:r>
      <w:r/>
    </w:p>
    <w:p>
      <w:pPr>
        <w:spacing w:line="400" w:lineRule="exact"/>
        <w:rPr>
          <w:color w:val="auto"/>
          <w:szCs w:val="21"/>
        </w:rPr>
      </w:pPr>
      <w:r>
        <w:rPr>
          <w:color w:val="auto"/>
          <w:szCs w:val="21"/>
        </w:rPr>
      </w:r>
      <w:r>
        <w:rPr>
          <w:color w:val="auto"/>
        </w:rPr>
      </w:r>
      <w:r/>
    </w:p>
    <w:p>
      <w:pPr>
        <w:keepLines/>
        <w:keepNext/>
        <w:spacing w:before="260" w:after="260" w:line="400" w:lineRule="exact"/>
        <w:rPr>
          <w:rFonts w:ascii="Calibri Light" w:hAnsi="Calibri Light"/>
          <w:b/>
          <w:bCs/>
          <w:color w:val="auto"/>
          <w:sz w:val="32"/>
          <w:szCs w:val="32"/>
        </w:rPr>
        <w:outlineLvl w:val="1"/>
      </w:pPr>
      <w:r>
        <w:rPr>
          <w:rFonts w:hint="eastAsia" w:ascii="Calibri Light" w:hAnsi="Calibri Light"/>
          <w:b/>
          <w:bCs/>
          <w:color w:val="auto"/>
          <w:sz w:val="32"/>
          <w:szCs w:val="32"/>
        </w:rPr>
        <w:br w:type="page" w:clear="all"/>
      </w:r>
      <w:r>
        <w:rPr>
          <w:color w:val="auto"/>
        </w:rPr>
      </w:r>
      <w:r/>
    </w:p>
    <w:tbl>
      <w:tblPr>
        <w:tblStyle w:val="970"/>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3732"/>
        <w:gridCol w:w="1232"/>
        <w:gridCol w:w="3595"/>
      </w:tblGrid>
      <w:tr>
        <w:trPr>
          <w:trHeight w:val="490"/>
        </w:trPr>
        <w:tc>
          <w:tcPr>
            <w:gridSpan w:val="2"/>
            <w:tcW w:w="4623" w:type="dxa"/>
            <w:vAlign w:val="center"/>
            <w:textDirection w:val="lrTb"/>
            <w:noWrap w:val="false"/>
          </w:tcPr>
          <w:p>
            <w:pPr>
              <w:jc w:val="center"/>
              <w:spacing w:line="300" w:lineRule="exact"/>
              <w:rPr>
                <w:color w:val="auto"/>
                <w:szCs w:val="24"/>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rPr>
                <w:color w:val="auto"/>
              </w:rPr>
            </w:r>
            <w:r/>
          </w:p>
        </w:tc>
        <w:tc>
          <w:tcPr>
            <w:gridSpan w:val="2"/>
            <w:tcW w:w="4546" w:type="dxa"/>
            <w:vAlign w:val="center"/>
            <w:textDirection w:val="lrTb"/>
            <w:noWrap w:val="false"/>
          </w:tcPr>
          <w:p>
            <w:pPr>
              <w:jc w:val="center"/>
              <w:spacing w:line="300" w:lineRule="exact"/>
              <w:rPr>
                <w:color w:val="auto"/>
                <w:szCs w:val="24"/>
              </w:rPr>
            </w:pPr>
            <w:r>
              <w:rPr>
                <w:color w:val="auto"/>
                <w:szCs w:val="21"/>
              </w:rPr>
              <w:t xml:space="preserve">乙方</w:t>
            </w:r>
            <w:r>
              <w:rPr>
                <w:rFonts w:hint="eastAsia"/>
                <w:color w:val="auto"/>
                <w:szCs w:val="21"/>
              </w:rPr>
              <w:t xml:space="preserve">（供应商）</w:t>
            </w:r>
            <w:r>
              <w:rPr>
                <w:color w:val="auto"/>
              </w:rPr>
            </w:r>
            <w:r/>
          </w:p>
        </w:tc>
      </w:tr>
      <w:tr>
        <w:trPr>
          <w:trHeight w:val="917"/>
        </w:trPr>
        <w:tc>
          <w:tcPr>
            <w:tcW w:w="1108" w:type="dxa"/>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cantSplit/>
          <w:trHeight w:val="1171"/>
        </w:trPr>
        <w:tc>
          <w:tcPr>
            <w:tcW w:w="1108" w:type="dxa"/>
            <w:vAlign w:val="center"/>
            <w:vMerge w:val="restart"/>
            <w:textDirection w:val="lrTb"/>
            <w:noWrap w:val="false"/>
          </w:tcPr>
          <w:p>
            <w:pPr>
              <w:jc w:val="center"/>
              <w:spacing w:line="300" w:lineRule="exact"/>
              <w:rPr>
                <w:color w:val="auto"/>
                <w:szCs w:val="21"/>
              </w:rPr>
            </w:pPr>
            <w:r>
              <w:rPr>
                <w:color w:val="auto"/>
                <w:szCs w:val="21"/>
              </w:rPr>
              <w:t xml:space="preserve">法定代表人</w:t>
            </w:r>
            <w:r>
              <w:rPr>
                <w:color w:val="auto"/>
              </w:rPr>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rPr>
                <w:color w:val="auto"/>
              </w:rPr>
            </w:r>
            <w:r/>
          </w:p>
        </w:tc>
        <w:tc>
          <w:tcPr>
            <w:tcW w:w="1413" w:type="dxa"/>
            <w:vAlign w:val="center"/>
            <w:vMerge w:val="restart"/>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法定代表人</w:t>
            </w:r>
            <w:r>
              <w:rPr>
                <w:color w:val="auto"/>
              </w:rPr>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rPr>
                <w:color w:val="auto"/>
              </w:rPr>
            </w:r>
            <w:r/>
          </w:p>
        </w:tc>
        <w:tc>
          <w:tcPr>
            <w:tcW w:w="1319" w:type="dxa"/>
            <w:vAlign w:val="center"/>
            <w:textDirection w:val="lrTb"/>
            <w:noWrap w:val="false"/>
          </w:tcPr>
          <w:p>
            <w:pPr>
              <w:jc w:val="center"/>
              <w:spacing w:line="300" w:lineRule="exact"/>
              <w:rPr>
                <w:color w:val="auto"/>
                <w:szCs w:val="21"/>
              </w:rPr>
            </w:pPr>
            <w:r>
              <w:rPr>
                <w:color w:val="auto"/>
                <w:szCs w:val="21"/>
              </w:rPr>
            </w:r>
            <w:r>
              <w:rPr>
                <w:color w:val="auto"/>
              </w:rPr>
            </w:r>
            <w:r/>
          </w:p>
        </w:tc>
      </w:tr>
      <w:tr>
        <w:trPr>
          <w:cantSplit/>
          <w:trHeight w:val="483"/>
        </w:trPr>
        <w:tc>
          <w:tcPr>
            <w:tcW w:w="1108" w:type="dxa"/>
            <w:vAlign w:val="center"/>
            <w:vMerge w:val="continue"/>
            <w:textDirection w:val="lrTb"/>
            <w:noWrap w:val="false"/>
          </w:tcPr>
          <w:p>
            <w:pPr>
              <w:jc w:val="center"/>
              <w:spacing w:line="300" w:lineRule="exact"/>
              <w:rPr>
                <w:szCs w:val="21"/>
              </w:rPr>
            </w:pPr>
            <w:r>
              <w:rPr>
                <w:szCs w:val="21"/>
              </w:rPr>
            </w:r>
            <w:r/>
          </w:p>
        </w:tc>
        <w:tc>
          <w:tcPr>
            <w:tcW w:w="1413" w:type="dxa"/>
            <w:vAlign w:val="center"/>
            <w:vMerge w:val="continue"/>
            <w:textDirection w:val="lrTb"/>
            <w:noWrap w:val="false"/>
          </w:tcPr>
          <w:p>
            <w:pPr>
              <w:jc w:val="center"/>
              <w:spacing w:line="300" w:lineRule="exact"/>
              <w:rPr>
                <w:szCs w:val="21"/>
              </w:rPr>
            </w:pPr>
            <w:r>
              <w:rPr>
                <w:szCs w:val="21"/>
              </w:rPr>
            </w:r>
            <w:r/>
          </w:p>
        </w:tc>
        <w:tc>
          <w:tcPr>
            <w:tcW w:w="1160" w:type="dxa"/>
            <w:vAlign w:val="center"/>
            <w:textDirection w:val="lrTb"/>
            <w:noWrap w:val="false"/>
          </w:tcPr>
          <w:p>
            <w:pPr>
              <w:jc w:val="center"/>
              <w:spacing w:line="300" w:lineRule="exact"/>
              <w:rPr>
                <w:color w:val="auto"/>
                <w:szCs w:val="21"/>
              </w:rPr>
            </w:pPr>
            <w:r>
              <w:rPr>
                <w:rFonts w:hint="eastAsia"/>
                <w:color w:val="auto"/>
                <w:szCs w:val="21"/>
              </w:rPr>
              <w:t xml:space="preserve">拥有者性别</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rFonts w:hint="eastAsia"/>
                <w:color w:val="auto"/>
                <w:szCs w:val="21"/>
              </w:rPr>
              <w:t xml:space="preserve">住  所</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rFonts w:hint="eastAsia"/>
                <w:color w:val="auto"/>
                <w:szCs w:val="21"/>
              </w:rPr>
              <w:t xml:space="preserve">住  所</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t xml:space="preserve">联 系 人</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联 系 人</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t xml:space="preserve">联系电话</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联系电话</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rFonts w:hint="eastAsia"/>
                <w:color w:val="auto"/>
                <w:szCs w:val="21"/>
              </w:rPr>
              <w:t xml:space="preserve">通信地址</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rFonts w:hint="eastAsia"/>
                <w:color w:val="auto"/>
                <w:szCs w:val="21"/>
              </w:rPr>
              <w:t xml:space="preserve">通信地址</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t xml:space="preserve">邮政编码</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邮政编码</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rFonts w:hint="eastAsia"/>
                <w:color w:val="auto"/>
                <w:szCs w:val="21"/>
              </w:rPr>
              <w:t xml:space="preserve">电子邮箱</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rFonts w:hint="eastAsia"/>
                <w:color w:val="auto"/>
                <w:szCs w:val="21"/>
              </w:rPr>
              <w:t xml:space="preserve">电子邮箱</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开户名称</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开户银行</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483"/>
        </w:trPr>
        <w:tc>
          <w:tcPr>
            <w:tcW w:w="1108"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413" w:type="dxa"/>
            <w:vAlign w:val="center"/>
            <w:textDirection w:val="lrTb"/>
            <w:noWrap w:val="false"/>
          </w:tcPr>
          <w:p>
            <w:pPr>
              <w:jc w:val="center"/>
              <w:spacing w:line="300" w:lineRule="exact"/>
              <w:rPr>
                <w:color w:val="auto"/>
                <w:szCs w:val="21"/>
              </w:rPr>
            </w:pPr>
            <w:r>
              <w:rPr>
                <w:color w:val="auto"/>
                <w:szCs w:val="21"/>
              </w:rPr>
            </w:r>
            <w:r>
              <w:rPr>
                <w:color w:val="auto"/>
              </w:rPr>
            </w:r>
            <w:r/>
          </w:p>
        </w:tc>
        <w:tc>
          <w:tcPr>
            <w:tcW w:w="1160" w:type="dxa"/>
            <w:vAlign w:val="center"/>
            <w:textDirection w:val="lrTb"/>
            <w:noWrap w:val="false"/>
          </w:tcPr>
          <w:p>
            <w:pPr>
              <w:jc w:val="center"/>
              <w:spacing w:line="300" w:lineRule="exact"/>
              <w:rPr>
                <w:color w:val="auto"/>
                <w:szCs w:val="21"/>
              </w:rPr>
            </w:pPr>
            <w:r>
              <w:rPr>
                <w:color w:val="auto"/>
                <w:szCs w:val="21"/>
              </w:rPr>
              <w:t xml:space="preserve">银行账号</w:t>
            </w:r>
            <w:r>
              <w:rPr>
                <w:color w:val="auto"/>
              </w:rPr>
            </w:r>
            <w:r/>
          </w:p>
        </w:tc>
        <w:tc>
          <w:tcPr>
            <w:tcW w:w="1319" w:type="dxa"/>
            <w:vAlign w:val="center"/>
            <w:textDirection w:val="lrTb"/>
            <w:noWrap w:val="false"/>
          </w:tcPr>
          <w:p>
            <w:pPr>
              <w:jc w:val="center"/>
              <w:spacing w:line="300" w:lineRule="exact"/>
              <w:rPr>
                <w:color w:val="auto"/>
                <w:spacing w:val="20"/>
                <w:szCs w:val="21"/>
              </w:rPr>
            </w:pPr>
            <w:r>
              <w:rPr>
                <w:color w:val="auto"/>
                <w:spacing w:val="20"/>
                <w:szCs w:val="21"/>
              </w:rPr>
            </w:r>
            <w:r>
              <w:rPr>
                <w:color w:val="auto"/>
              </w:rPr>
            </w:r>
            <w:r/>
          </w:p>
        </w:tc>
      </w:tr>
      <w:tr>
        <w:trPr>
          <w:trHeight w:val="586"/>
        </w:trPr>
        <w:tc>
          <w:tcPr>
            <w:gridSpan w:val="4"/>
            <w:tcW w:w="9169" w:type="dxa"/>
            <w:vAlign w:val="center"/>
            <w:textDirection w:val="lrTb"/>
            <w:noWrap w:val="false"/>
          </w:tcPr>
          <w:p>
            <w:pPr>
              <w:jc w:val="left"/>
              <w:spacing w:before="156" w:line="360" w:lineRule="auto"/>
              <w:rPr>
                <w:color w:val="auto"/>
                <w:spacing w:val="20"/>
                <w:szCs w:val="21"/>
              </w:rPr>
            </w:pPr>
            <w:r>
              <w:rPr>
                <w:rFonts w:hint="eastAsia" w:ascii="宋体" w:hAnsi="宋体"/>
                <w:color w:val="auto"/>
                <w:szCs w:val="21"/>
              </w:rPr>
              <w:t xml:space="preserve">注：涉及联合体或其他合同主体的信息应按上表格式加列。</w:t>
            </w:r>
            <w:r>
              <w:rPr>
                <w:color w:val="auto"/>
              </w:rPr>
            </w:r>
            <w:r/>
          </w:p>
        </w:tc>
      </w:tr>
    </w:tbl>
    <w:p>
      <w:pPr>
        <w:jc w:val="center"/>
        <w:keepLines/>
        <w:keepNext/>
        <w:spacing w:before="156" w:after="260" w:line="416" w:lineRule="auto"/>
        <w:rPr>
          <w:rFonts w:ascii="黑体" w:hAnsi="黑体" w:eastAsia="黑体"/>
          <w:b/>
          <w:bCs/>
          <w:color w:val="auto"/>
          <w:sz w:val="28"/>
          <w:szCs w:val="28"/>
        </w:rPr>
        <w:outlineLvl w:val="1"/>
      </w:pPr>
      <w:r>
        <w:rPr>
          <w:rFonts w:ascii="宋体" w:hAnsi="宋体"/>
          <w:b/>
          <w:bCs/>
          <w:color w:val="auto"/>
          <w:szCs w:val="21"/>
          <w:u w:val="single"/>
        </w:rPr>
        <w:br w:type="page" w:clear="all"/>
      </w:r>
      <w:bookmarkStart w:id="188" w:name="_Toc27624"/>
      <w:r>
        <w:rPr>
          <w:rFonts w:hint="eastAsia" w:ascii="黑体" w:hAnsi="黑体" w:eastAsia="黑体"/>
          <w:color w:val="auto"/>
          <w:sz w:val="28"/>
          <w:szCs w:val="28"/>
        </w:rPr>
        <w:t xml:space="preserve">第二节 政府采购合同通用条款</w:t>
      </w:r>
      <w:bookmarkEnd w:id="188"/>
      <w:r>
        <w:rPr>
          <w:color w:val="auto"/>
        </w:rPr>
      </w:r>
      <w:r/>
    </w:p>
    <w:p>
      <w:pPr>
        <w:jc w:val="left"/>
        <w:spacing w:line="400" w:lineRule="exact"/>
        <w:tabs>
          <w:tab w:val="left" w:pos="8820" w:leader="none"/>
          <w:tab w:val="left" w:pos="9345" w:leader="none"/>
          <w:tab w:val="left" w:pos="9765" w:leader="none"/>
        </w:tabs>
        <w:rPr>
          <w:rFonts w:ascii="宋体" w:hAnsi="宋体"/>
          <w:b/>
          <w:bCs/>
          <w:color w:val="auto"/>
          <w:sz w:val="24"/>
          <w:szCs w:val="24"/>
        </w:rPr>
      </w:pPr>
      <w:r>
        <w:rPr>
          <w:rFonts w:hint="eastAsia" w:ascii="宋体" w:hAnsi="宋体"/>
          <w:b/>
          <w:color w:val="auto"/>
          <w:sz w:val="24"/>
          <w:szCs w:val="24"/>
        </w:rPr>
        <w:t xml:space="preserve">1. </w:t>
      </w:r>
      <w:r>
        <w:rPr>
          <w:rFonts w:hint="eastAsia" w:ascii="宋体" w:hAnsi="宋体"/>
          <w:b/>
          <w:bCs/>
          <w:color w:val="auto"/>
          <w:sz w:val="24"/>
          <w:szCs w:val="24"/>
        </w:rPr>
        <w:t xml:space="preserve">定义</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1.1合同当事人</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（1）采购人（以下称甲方）是指使用财政性资金，通过政府采购方式向供应商购买货物及其相关服务的国家机关、事业单位、团体组织。</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（2）供应商（以下称乙方）是指参加政府采购活动并且中标（成交），向采购人提供合同约定的货物及其相关服务的法人、非法人组织或者自然人。</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rPr>
          <w:color w:val="auto"/>
        </w:rPr>
      </w:r>
      <w:r/>
    </w:p>
    <w:p>
      <w:pPr>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1.2本合同下列术语应解释为：</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rPr>
          <w:color w:val="auto"/>
        </w:rPr>
      </w:r>
      <w:r/>
    </w:p>
    <w:p>
      <w:pPr>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rPr>
          <w:color w:val="auto"/>
        </w:rPr>
      </w:r>
      <w:r/>
    </w:p>
    <w:p>
      <w:pPr>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（3）“货物”系指乙方根据本合同规定须向甲方提供的各种形态和种类的物品，包括原材料、设备、产品（包括软件）及相关的其他备品备件、工具、手册及</w:t>
      </w:r>
      <w:r>
        <w:rPr>
          <w:rFonts w:ascii="宋体" w:hAnsi="宋体"/>
          <w:color w:val="auto"/>
          <w:szCs w:val="21"/>
          <w:lang w:val="en"/>
        </w:rPr>
        <w:t xml:space="preserve">其他</w:t>
      </w:r>
      <w:r>
        <w:rPr>
          <w:rFonts w:hint="eastAsia" w:ascii="宋体" w:hAnsi="宋体"/>
          <w:color w:val="auto"/>
          <w:szCs w:val="21"/>
        </w:rPr>
        <w:t xml:space="preserve">技术资料和材料等。</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（4）“相关服务”系指根据合同规定，乙方应提供的与货物有关的技术、管理和</w:t>
      </w:r>
      <w:r>
        <w:rPr>
          <w:rFonts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ascii="宋体" w:hAnsi="宋体"/>
          <w:color w:val="auto"/>
          <w:szCs w:val="21"/>
          <w:lang w:val="en"/>
        </w:rPr>
        <w:t xml:space="preserve">其他</w:t>
      </w:r>
      <w:r>
        <w:rPr>
          <w:rFonts w:hint="eastAsia" w:ascii="宋体" w:hAnsi="宋体"/>
          <w:color w:val="auto"/>
          <w:szCs w:val="21"/>
        </w:rPr>
        <w:t xml:space="preserve">义务。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rPr>
          <w:color w:val="auto"/>
        </w:rPr>
      </w:r>
      <w:r/>
    </w:p>
    <w:p>
      <w:pPr>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rPr>
          <w:color w:val="auto"/>
        </w:rPr>
      </w:r>
      <w:r/>
    </w:p>
    <w:p>
      <w:pPr>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rPr>
          <w:color w:val="auto"/>
        </w:rPr>
      </w:r>
      <w:r/>
    </w:p>
    <w:p>
      <w:pPr>
        <w:numPr>
          <w:ilvl w:val="0"/>
          <w:numId w:val="8"/>
        </w:numPr>
        <w:jc w:val="left"/>
        <w:spacing w:line="400" w:lineRule="exact"/>
        <w:rPr>
          <w:rFonts w:ascii="宋体" w:hAnsi="宋体"/>
          <w:b/>
          <w:bCs/>
          <w:color w:val="auto"/>
          <w:sz w:val="24"/>
          <w:szCs w:val="24"/>
        </w:rPr>
      </w:pPr>
      <w:r>
        <w:rPr>
          <w:rFonts w:hint="eastAsia" w:ascii="宋体" w:hAnsi="宋体"/>
          <w:b/>
          <w:color w:val="auto"/>
          <w:sz w:val="24"/>
          <w:szCs w:val="24"/>
        </w:rPr>
        <w:t xml:space="preserve">合同标的及金额</w:t>
      </w:r>
      <w:r>
        <w:rPr>
          <w:color w:val="auto"/>
        </w:rPr>
      </w:r>
      <w:r/>
    </w:p>
    <w:p>
      <w:pPr>
        <w:jc w:val="left"/>
        <w:spacing w:line="400" w:lineRule="exact"/>
        <w:rPr>
          <w:rFonts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ascii="宋体" w:hAnsi="宋体"/>
          <w:color w:val="auto"/>
          <w:szCs w:val="21"/>
          <w:lang w:val="en"/>
        </w:rPr>
        <w:t xml:space="preserve">其他</w:t>
      </w:r>
      <w:r>
        <w:rPr>
          <w:rFonts w:hint="eastAsia" w:ascii="宋体" w:hAnsi="宋体"/>
          <w:color w:val="auto"/>
          <w:szCs w:val="21"/>
        </w:rPr>
        <w:t xml:space="preserve">任何费用。</w:t>
      </w:r>
      <w:r>
        <w:rPr>
          <w:color w:val="auto"/>
        </w:rPr>
      </w:r>
      <w:r/>
    </w:p>
    <w:p>
      <w:pPr>
        <w:jc w:val="left"/>
        <w:spacing w:line="400" w:lineRule="exact"/>
        <w:rPr>
          <w:rFonts w:ascii="宋体" w:hAnsi="宋体"/>
          <w:b/>
          <w:color w:val="auto"/>
          <w:sz w:val="24"/>
          <w:szCs w:val="24"/>
        </w:rPr>
      </w:pPr>
      <w:r>
        <w:rPr>
          <w:rFonts w:hint="eastAsia" w:ascii="宋体" w:hAnsi="宋体"/>
          <w:b/>
          <w:color w:val="auto"/>
          <w:sz w:val="24"/>
          <w:szCs w:val="24"/>
        </w:rPr>
        <w:t xml:space="preserve">3. 履行合同的时间、地点和方式</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4. 甲方的权利和义务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 签署合同后，甲方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rFonts w:hint="eastAsia" w:ascii="宋体" w:hAnsi="宋体"/>
          <w:color w:val="auto"/>
          <w:szCs w:val="21"/>
        </w:rPr>
        <w:t xml:space="preserve">甲方有权对乙方的履约行为进行检查，并</w:t>
      </w:r>
      <w:r>
        <w:rPr>
          <w:rFonts w:ascii="宋体" w:hAnsi="宋体"/>
          <w:color w:val="auto"/>
          <w:szCs w:val="21"/>
        </w:rPr>
        <w:t xml:space="preserve">及时确认乙方提交的事项</w:t>
      </w:r>
      <w:r>
        <w:rPr>
          <w:rFonts w:hint="eastAsia" w:ascii="宋体" w:hAnsi="宋体"/>
          <w:color w:val="auto"/>
          <w:szCs w:val="21"/>
        </w:rPr>
        <w:t xml:space="preserve">。甲方应当</w:t>
      </w:r>
      <w:r>
        <w:rPr>
          <w:rFonts w:ascii="宋体" w:hAnsi="宋体"/>
          <w:color w:val="auto"/>
          <w:szCs w:val="21"/>
        </w:rPr>
        <w:t xml:space="preserve">配合乙方完成</w:t>
      </w:r>
      <w:r>
        <w:rPr>
          <w:rFonts w:hint="eastAsia" w:ascii="宋体" w:hAnsi="宋体"/>
          <w:color w:val="auto"/>
          <w:szCs w:val="21"/>
        </w:rPr>
        <w:t xml:space="preserve">相关项目</w:t>
      </w:r>
      <w:r>
        <w:rPr>
          <w:rFonts w:ascii="宋体" w:hAnsi="宋体"/>
          <w:color w:val="auto"/>
          <w:szCs w:val="21"/>
        </w:rPr>
        <w:t xml:space="preserve">实施工作。</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4.2 </w:t>
      </w:r>
      <w:r>
        <w:rPr>
          <w:rFonts w:ascii="宋体" w:hAnsi="宋体"/>
          <w:color w:val="auto"/>
          <w:szCs w:val="21"/>
        </w:rPr>
        <w:t xml:space="preserve">甲方有权要求乙方按时提交各阶段有关</w:t>
      </w:r>
      <w:r>
        <w:rPr>
          <w:rFonts w:hint="eastAsia" w:ascii="宋体" w:hAnsi="宋体"/>
          <w:color w:val="auto"/>
          <w:szCs w:val="21"/>
        </w:rPr>
        <w:t xml:space="preserve">安排计划</w:t>
      </w:r>
      <w:r>
        <w:rPr>
          <w:rFonts w:ascii="宋体" w:hAnsi="宋体"/>
          <w:color w:val="auto"/>
          <w:szCs w:val="21"/>
        </w:rPr>
        <w:t xml:space="preserve">，并有权</w:t>
      </w:r>
      <w:r>
        <w:rPr>
          <w:rFonts w:hint="eastAsia" w:ascii="宋体" w:hAnsi="宋体"/>
          <w:color w:val="auto"/>
          <w:szCs w:val="21"/>
        </w:rPr>
        <w:t xml:space="preserve">定期核对乙方提供货物数量、规格、质量等内容。甲方</w:t>
      </w:r>
      <w:r>
        <w:rPr>
          <w:rFonts w:ascii="宋体" w:hAnsi="宋体"/>
          <w:color w:val="auto"/>
          <w:szCs w:val="21"/>
        </w:rPr>
        <w:t xml:space="preserve">有权督促乙方工作并要求乙方</w:t>
      </w:r>
      <w:r>
        <w:rPr>
          <w:rFonts w:hint="eastAsia" w:ascii="宋体" w:hAnsi="宋体"/>
          <w:color w:val="auto"/>
          <w:szCs w:val="21"/>
        </w:rPr>
        <w:t xml:space="preserve">更</w:t>
      </w:r>
      <w:r>
        <w:rPr>
          <w:rFonts w:ascii="宋体" w:hAnsi="宋体"/>
          <w:color w:val="auto"/>
          <w:szCs w:val="21"/>
        </w:rPr>
        <w:t xml:space="preserve">换不符合要求的</w:t>
      </w:r>
      <w:r>
        <w:rPr>
          <w:rFonts w:hint="eastAsia" w:ascii="宋体" w:hAnsi="宋体"/>
          <w:color w:val="auto"/>
          <w:szCs w:val="21"/>
        </w:rPr>
        <w:t xml:space="preserve">货物</w:t>
      </w:r>
      <w:r>
        <w:rPr>
          <w:rFonts w:ascii="宋体" w:hAnsi="宋体"/>
          <w:color w:val="auto"/>
          <w:szCs w:val="21"/>
        </w:rPr>
        <w:t xml:space="preserve">。</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w:t>
      </w:r>
      <w:r>
        <w:rPr>
          <w:rFonts w:hint="eastAsia" w:ascii="宋体" w:hAnsi="宋体"/>
          <w:color w:val="auto"/>
          <w:szCs w:val="21"/>
        </w:rPr>
        <w:t xml:space="preserve"> </w:t>
      </w:r>
      <w:r>
        <w:rPr>
          <w:rFonts w:ascii="宋体" w:hAnsi="宋体"/>
          <w:color w:val="auto"/>
          <w:szCs w:val="21"/>
        </w:rPr>
        <w:t xml:space="preserve">甲方</w:t>
      </w:r>
      <w:r>
        <w:rPr>
          <w:rFonts w:hint="eastAsia" w:ascii="宋体" w:hAnsi="宋体"/>
          <w:color w:val="auto"/>
          <w:szCs w:val="21"/>
        </w:rPr>
        <w:t xml:space="preserve">有权要求乙方对缺陷部分予以修复，并按合同约定享有货物保修及其他合同约定的权利。</w:t>
      </w:r>
      <w:r>
        <w:rPr>
          <w:color w:val="auto"/>
        </w:rPr>
      </w:r>
      <w:r/>
    </w:p>
    <w:p>
      <w:pPr>
        <w:spacing w:line="400" w:lineRule="exact"/>
        <w:rPr>
          <w:rFonts w:eastAsia="华文楷体"/>
          <w:color w:val="auto"/>
          <w:szCs w:val="24"/>
        </w:rPr>
      </w:pPr>
      <w:r>
        <w:rPr>
          <w:rFonts w:ascii="宋体" w:hAnsi="宋体"/>
          <w:color w:val="auto"/>
          <w:szCs w:val="21"/>
        </w:rPr>
        <w:t xml:space="preserve">4.4 甲方应当按照合同约定及时对交付的货物进行验收</w:t>
      </w:r>
      <w:r>
        <w:rPr>
          <w:rFonts w:hint="eastAsia" w:ascii="宋体" w:hAnsi="宋体"/>
          <w:color w:val="auto"/>
          <w:szCs w:val="21"/>
        </w:rPr>
        <w:t xml:space="preserve">，</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rPr>
          <w:color w:val="auto"/>
        </w:rPr>
      </w:r>
      <w:r/>
    </w:p>
    <w:p>
      <w:pPr>
        <w:jc w:val="left"/>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w:t>
      </w:r>
      <w:r>
        <w:rPr>
          <w:rFonts w:ascii="宋体" w:hAnsi="宋体"/>
          <w:color w:val="auto"/>
          <w:szCs w:val="21"/>
        </w:rPr>
        <w:t xml:space="preserve">5 </w:t>
      </w:r>
      <w:r>
        <w:rPr>
          <w:rFonts w:hint="eastAsia" w:ascii="宋体" w:hAnsi="宋体"/>
          <w:color w:val="auto"/>
          <w:szCs w:val="21"/>
        </w:rPr>
        <w:t xml:space="preserve">甲方应当根据合同约定及时向乙方支付合同价款</w:t>
      </w:r>
      <w:r>
        <w:rPr>
          <w:rFonts w:ascii="宋体" w:hAnsi="宋体"/>
          <w:color w:val="auto"/>
          <w:szCs w:val="21"/>
        </w:rPr>
        <w:t xml:space="preserve">，不得以内部人员变更、履行内部付款流程等为由，拒绝或迟延支付。</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 </w:t>
      </w:r>
      <w:r>
        <w:rPr>
          <w:rFonts w:hint="eastAsia" w:ascii="宋体" w:hAnsi="宋体"/>
          <w:color w:val="auto"/>
          <w:szCs w:val="21"/>
        </w:rPr>
        <w:t xml:space="preserve">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5. 乙方的权利和义务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5.1 </w:t>
      </w:r>
      <w:r>
        <w:rPr>
          <w:rFonts w:ascii="宋体" w:hAnsi="宋体"/>
          <w:color w:val="auto"/>
          <w:szCs w:val="21"/>
        </w:rPr>
        <w:t xml:space="preserve">签署合同后，乙方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2 乙方应按照合同要求</w:t>
      </w:r>
      <w:r>
        <w:rPr>
          <w:rFonts w:hint="eastAsia" w:ascii="宋体" w:hAnsi="宋体"/>
          <w:color w:val="auto"/>
          <w:szCs w:val="21"/>
        </w:rPr>
        <w:t xml:space="preserve">履约</w:t>
      </w:r>
      <w:r>
        <w:rPr>
          <w:rFonts w:ascii="宋体" w:hAnsi="宋体"/>
          <w:color w:val="auto"/>
          <w:szCs w:val="21"/>
        </w:rPr>
        <w:t xml:space="preserve">，充分合理安排，确保</w:t>
      </w:r>
      <w:r>
        <w:rPr>
          <w:rFonts w:hint="eastAsia" w:ascii="宋体" w:hAnsi="宋体"/>
          <w:color w:val="auto"/>
          <w:szCs w:val="21"/>
        </w:rPr>
        <w:t xml:space="preserve">提供的货物及相关服务符合合同有关</w:t>
      </w:r>
      <w:r>
        <w:rPr>
          <w:rFonts w:ascii="宋体" w:hAnsi="宋体"/>
          <w:color w:val="auto"/>
          <w:szCs w:val="21"/>
        </w:rPr>
        <w:t xml:space="preserve">要求</w:t>
      </w:r>
      <w:r>
        <w:rPr>
          <w:rFonts w:hint="eastAsia" w:ascii="宋体" w:hAnsi="宋体"/>
          <w:color w:val="auto"/>
          <w:szCs w:val="21"/>
        </w:rPr>
        <w:t xml:space="preserve">。接受项目行业管理部门及政府有关部门的指导，配合甲方的履约检查及验收，并</w:t>
      </w:r>
      <w:r>
        <w:rPr>
          <w:rFonts w:ascii="宋体" w:hAnsi="宋体"/>
          <w:color w:val="auto"/>
          <w:szCs w:val="21"/>
        </w:rPr>
        <w:t xml:space="preserve">负责项目实施过程中的所有协调工作。</w:t>
      </w:r>
      <w:r>
        <w:rPr>
          <w:color w:val="auto"/>
        </w:rPr>
      </w:r>
      <w:r/>
    </w:p>
    <w:p>
      <w:pPr>
        <w:spacing w:line="400" w:lineRule="exact"/>
        <w:rPr>
          <w:rFonts w:ascii="宋体" w:hAnsi="宋体" w:cs="宋体"/>
          <w:color w:val="auto"/>
          <w:szCs w:val="21"/>
        </w:rPr>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乙方有权</w:t>
      </w:r>
      <w:r>
        <w:rPr>
          <w:rFonts w:hint="eastAsia" w:ascii="宋体" w:hAnsi="宋体" w:cs="宋体"/>
          <w:color w:val="auto"/>
          <w:szCs w:val="21"/>
        </w:rPr>
        <w:t xml:space="preserve">根据合同约定向甲方收取合同价款。</w:t>
      </w:r>
      <w:r>
        <w:rPr>
          <w:color w:val="auto"/>
        </w:rPr>
      </w:r>
      <w:r/>
    </w:p>
    <w:p>
      <w:pPr>
        <w:spacing w:line="400" w:lineRule="exact"/>
        <w:rPr>
          <w:rFonts w:ascii="宋体" w:hAnsi="宋体" w:cs="宋体"/>
          <w:color w:val="auto"/>
          <w:szCs w:val="21"/>
        </w:rPr>
      </w:pPr>
      <w:r>
        <w:rPr>
          <w:rFonts w:hint="eastAsia" w:ascii="宋体" w:hAnsi="宋体"/>
          <w:color w:val="auto"/>
          <w:szCs w:val="21"/>
        </w:rPr>
        <w:t xml:space="preserve">5.</w:t>
      </w:r>
      <w:r>
        <w:rPr>
          <w:rFonts w:ascii="宋体" w:hAnsi="宋体"/>
          <w:color w:val="auto"/>
          <w:szCs w:val="21"/>
        </w:rPr>
        <w:t xml:space="preserve">4</w:t>
      </w:r>
      <w:r>
        <w:rPr>
          <w:rFonts w:hint="eastAsia" w:ascii="宋体" w:hAnsi="宋体" w:cs="宋体"/>
          <w:color w:val="auto"/>
          <w:szCs w:val="21"/>
        </w:rPr>
        <w:t xml:space="preserve">国家法律法规规定</w:t>
      </w:r>
      <w:r>
        <w:rPr>
          <w:rFonts w:hint="eastAsia" w:ascii="宋体" w:hAnsi="宋体"/>
          <w:color w:val="auto"/>
          <w:szCs w:val="21"/>
        </w:rPr>
        <w:t xml:space="preserve">及</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约定应由乙方承担的其他义务和责任。</w:t>
      </w:r>
      <w:r>
        <w:rPr>
          <w:color w:val="auto"/>
        </w:rPr>
      </w:r>
      <w:r/>
    </w:p>
    <w:p>
      <w:pPr>
        <w:numPr>
          <w:ilvl w:val="0"/>
          <w:numId w:val="9"/>
        </w:numPr>
        <w:jc w:val="left"/>
        <w:spacing w:line="400" w:lineRule="exact"/>
        <w:rPr>
          <w:rFonts w:ascii="宋体" w:hAnsi="宋体"/>
          <w:b/>
          <w:bCs/>
          <w:color w:val="auto"/>
          <w:sz w:val="24"/>
          <w:szCs w:val="24"/>
        </w:rPr>
      </w:pPr>
      <w:r>
        <w:rPr>
          <w:rFonts w:hint="eastAsia" w:ascii="宋体" w:hAnsi="宋体"/>
          <w:b/>
          <w:bCs/>
          <w:color w:val="auto"/>
          <w:sz w:val="24"/>
          <w:szCs w:val="24"/>
        </w:rPr>
        <w:t xml:space="preserve">合同履行</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rPr>
          <w:color w:val="auto"/>
        </w:rPr>
      </w:r>
      <w:r/>
    </w:p>
    <w:p>
      <w:pPr>
        <w:jc w:val="left"/>
        <w:spacing w:line="400" w:lineRule="exact"/>
        <w:rPr>
          <w:color w:val="auto"/>
          <w:szCs w:val="24"/>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7. 货物包装、运输、保险和交付要求</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rPr>
          <w:color w:val="auto"/>
        </w:rPr>
      </w:r>
      <w:r/>
    </w:p>
    <w:p>
      <w:pPr>
        <w:jc w:val="left"/>
        <w:spacing w:line="400" w:lineRule="exact"/>
        <w:widowControl/>
        <w:rPr>
          <w:rFonts w:ascii="华文楷体" w:hAnsi="华文楷体" w:eastAsia="华文楷体" w:cs="华文楷体"/>
          <w:color w:val="auto"/>
          <w:szCs w:val="21"/>
        </w:rPr>
      </w:pPr>
      <w:r>
        <w:rPr>
          <w:rFonts w:hint="eastAsia" w:ascii="宋体" w:hAnsi="宋体"/>
          <w:color w:val="auto"/>
          <w:szCs w:val="21"/>
        </w:rPr>
        <w:t xml:space="preserve">7.6 如因包装、运输问题导致货物损毁、丢失或者品质下降，甲方有权要求降价、换货、拒收部分或整批货物，由此产生的费用和损失，均由乙方承担。</w:t>
      </w:r>
      <w:r>
        <w:rPr>
          <w:color w:val="auto"/>
        </w:rPr>
      </w:r>
      <w:r/>
    </w:p>
    <w:p>
      <w:pPr>
        <w:jc w:val="left"/>
        <w:spacing w:line="400" w:lineRule="exact"/>
        <w:rPr>
          <w:rFonts w:ascii="宋体" w:hAnsi="宋体"/>
          <w:b/>
          <w:color w:val="auto"/>
          <w:sz w:val="24"/>
          <w:szCs w:val="24"/>
        </w:rPr>
      </w:pPr>
      <w:r>
        <w:rPr>
          <w:rFonts w:hint="eastAsia" w:ascii="宋体" w:hAnsi="宋体"/>
          <w:b/>
          <w:color w:val="auto"/>
          <w:sz w:val="24"/>
          <w:szCs w:val="24"/>
        </w:rPr>
        <w:t xml:space="preserve">8. 质量标准和保证</w:t>
      </w:r>
      <w:r>
        <w:rPr>
          <w:color w:val="auto"/>
        </w:rPr>
      </w:r>
      <w:r/>
    </w:p>
    <w:p>
      <w:pPr>
        <w:jc w:val="left"/>
        <w:spacing w:line="400" w:lineRule="exact"/>
        <w:rPr>
          <w:rFonts w:ascii="宋体" w:hAnsi="宋体" w:cs="Courier New"/>
          <w:b/>
          <w:color w:val="auto"/>
          <w:szCs w:val="21"/>
        </w:rPr>
      </w:pPr>
      <w:r>
        <w:rPr>
          <w:rFonts w:hint="eastAsia" w:ascii="宋体" w:hAnsi="宋体" w:cs="Courier New"/>
          <w:color w:val="auto"/>
          <w:szCs w:val="21"/>
        </w:rPr>
        <w:t xml:space="preserve">8.1 质量标准</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auto"/>
        </w:rPr>
      </w:r>
      <w:r/>
    </w:p>
    <w:p>
      <w:pPr>
        <w:jc w:val="left"/>
        <w:spacing w:line="400" w:lineRule="exact"/>
        <w:rPr>
          <w:rFonts w:ascii="宋体" w:hAnsi="宋体" w:cs="Courier New"/>
          <w:color w:val="auto"/>
          <w:szCs w:val="21"/>
        </w:rPr>
      </w:pPr>
      <w:r>
        <w:rPr>
          <w:rFonts w:hint="eastAsia" w:ascii="宋体" w:hAnsi="宋体" w:cs="Courier New"/>
          <w:color w:val="auto"/>
          <w:szCs w:val="21"/>
        </w:rPr>
        <w:t xml:space="preserve">（2）采用中华人民共和国法定计量单位。</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（3）乙方所提供的货物应符合国家有关安全、环保、卫生的规定。</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8.2 保证</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（2）在质量保证期内所发现的缺陷，甲方应尽快以书面形式通知乙方。</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auto"/>
        </w:rPr>
      </w:r>
      <w:r/>
    </w:p>
    <w:p>
      <w:pPr>
        <w:jc w:val="left"/>
        <w:spacing w:line="400" w:lineRule="exact"/>
        <w:rPr>
          <w:color w:val="auto"/>
          <w:szCs w:val="24"/>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9. 权利瑕疵担保</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9.1 乙方保证对其出售的货物享有合法的权利。</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9.3 如甲方使用上述货物构成对第三人侵权的，则由乙方承担全部责任。</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10. 知识产权保护</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rPr>
        <w:t xml:space="preserve">。</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11. 保密义务</w:t>
      </w:r>
      <w:r>
        <w:rPr>
          <w:color w:val="auto"/>
        </w:rPr>
      </w:r>
      <w:r/>
    </w:p>
    <w:p>
      <w:pPr>
        <w:jc w:val="left"/>
        <w:spacing w:line="400" w:lineRule="exact"/>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12. 合同价款支付</w:t>
      </w:r>
      <w:r>
        <w:rPr>
          <w:color w:val="auto"/>
        </w:rPr>
      </w:r>
      <w:r/>
    </w:p>
    <w:p>
      <w:pPr>
        <w:jc w:val="left"/>
        <w:spacing w:line="400" w:lineRule="exact"/>
        <w:rPr>
          <w:color w:val="auto"/>
        </w:rPr>
      </w:pPr>
      <w:r>
        <w:rPr>
          <w:rFonts w:hint="eastAsia" w:ascii="宋体" w:hAnsi="宋体"/>
          <w:color w:val="auto"/>
          <w:szCs w:val="21"/>
        </w:rPr>
        <w:t xml:space="preserve">12.1 合同价款支付按照国库集中支付制度及财政管理相关规定执行。</w:t>
      </w:r>
      <w:r>
        <w:rPr>
          <w:color w:val="auto"/>
        </w:rPr>
      </w:r>
      <w:r/>
    </w:p>
    <w:p>
      <w:pPr>
        <w:keepLines/>
        <w:keepNext/>
        <w:spacing w:before="260" w:after="260" w:line="400" w:lineRule="exact"/>
        <w:rPr>
          <w:rFonts w:ascii="Calibri Light" w:hAnsi="Calibri Light"/>
          <w:b/>
          <w:bCs/>
          <w:color w:val="auto"/>
          <w:sz w:val="32"/>
          <w:szCs w:val="32"/>
        </w:rPr>
        <w:outlineLvl w:val="1"/>
      </w:pPr>
      <w:r>
        <w:rPr>
          <w:rFonts w:hint="eastAsia" w:ascii="宋体" w:hAnsi="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 xml:space="preserve">政府采购合同专用条款</w:t>
      </w:r>
      <w:r>
        <w:rPr>
          <w:rFonts w:hint="eastAsia" w:ascii="宋体" w:hAnsi="宋体"/>
          <w:color w:val="auto"/>
          <w:szCs w:val="21"/>
        </w:rPr>
        <w:t xml:space="preserve">】中约定。</w:t>
      </w:r>
      <w:r>
        <w:rPr>
          <w:color w:val="auto"/>
        </w:rPr>
      </w:r>
      <w:r/>
    </w:p>
    <w:p>
      <w:pPr>
        <w:spacing w:line="400" w:lineRule="exact"/>
        <w:rPr>
          <w:rFonts w:ascii="宋体" w:hAnsi="宋体"/>
          <w:b/>
          <w:bCs/>
          <w:color w:val="auto"/>
          <w:sz w:val="24"/>
          <w:szCs w:val="24"/>
        </w:rPr>
      </w:pPr>
      <w:r>
        <w:rPr>
          <w:rFonts w:hint="eastAsia" w:ascii="宋体" w:hAnsi="宋体"/>
          <w:b/>
          <w:bCs/>
          <w:color w:val="auto"/>
          <w:sz w:val="24"/>
          <w:szCs w:val="24"/>
        </w:rPr>
        <w:t xml:space="preserve">13. 履约保证金</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color w:val="auto"/>
        </w:rPr>
      </w:r>
      <w:r/>
    </w:p>
    <w:p>
      <w:pPr>
        <w:spacing w:line="400" w:lineRule="exact"/>
        <w:rPr>
          <w:color w:val="auto"/>
          <w:szCs w:val="24"/>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rPr>
          <w:color w:val="auto"/>
        </w:rPr>
      </w:r>
      <w:r/>
    </w:p>
    <w:p>
      <w:pPr>
        <w:jc w:val="left"/>
        <w:spacing w:line="400" w:lineRule="exact"/>
        <w:rPr>
          <w:rFonts w:ascii="宋体" w:hAnsi="宋体"/>
          <w:b/>
          <w:color w:val="auto"/>
          <w:sz w:val="24"/>
          <w:szCs w:val="24"/>
        </w:rPr>
      </w:pPr>
      <w:r>
        <w:rPr>
          <w:rFonts w:hint="eastAsia" w:ascii="宋体" w:hAnsi="宋体"/>
          <w:b/>
          <w:bCs/>
          <w:color w:val="auto"/>
          <w:sz w:val="24"/>
          <w:szCs w:val="24"/>
        </w:rPr>
        <w:t xml:space="preserve">14. </w:t>
      </w:r>
      <w:r>
        <w:rPr>
          <w:rFonts w:hint="eastAsia"/>
          <w:b/>
          <w:color w:val="auto"/>
          <w:sz w:val="24"/>
          <w:szCs w:val="24"/>
        </w:rPr>
        <w:t xml:space="preserve">售后</w:t>
      </w:r>
      <w:r>
        <w:rPr>
          <w:rFonts w:hint="eastAsia" w:ascii="宋体" w:hAnsi="宋体"/>
          <w:b/>
          <w:color w:val="auto"/>
          <w:sz w:val="24"/>
          <w:szCs w:val="24"/>
        </w:rPr>
        <w:t xml:space="preserve">服务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（1）货物的现场移动、安装、调试、启动监督及技术支持；</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（2）提供货物组装和维修所需的专用工具和辅助材料；</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rPr>
          <w:color w:val="auto"/>
        </w:rPr>
      </w:r>
      <w:r/>
    </w:p>
    <w:p>
      <w:pPr>
        <w:jc w:val="left"/>
        <w:spacing w:line="400" w:lineRule="exact"/>
        <w:widowControl/>
        <w:rPr>
          <w:rFonts w:ascii="宋体" w:hAnsi="宋体" w:cs="宋体"/>
          <w:color w:val="auto"/>
          <w:szCs w:val="21"/>
        </w:rPr>
      </w:pPr>
      <w:r>
        <w:rPr>
          <w:rFonts w:hint="eastAsia" w:ascii="宋体" w:hAnsi="宋体" w:cs="宋体"/>
          <w:color w:val="auto"/>
          <w:szCs w:val="21"/>
        </w:rPr>
        <w:t xml:space="preserve">（5）依照法律、行政法规的规定或者按照</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约定，货物在有效使用年限届满后应予回收的，乙方负有自行或者委托第三人对货物予以回收的义务；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14.2 乙方提供的售后服务的费用已包含在合同价款中，甲方不再另行支付。</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15. 违约责任</w:t>
      </w:r>
      <w:r>
        <w:rPr>
          <w:color w:val="auto"/>
        </w:rPr>
      </w:r>
      <w:r/>
    </w:p>
    <w:p>
      <w:pPr>
        <w:jc w:val="left"/>
        <w:spacing w:line="400" w:lineRule="exact"/>
        <w:rPr>
          <w:rFonts w:ascii="宋体" w:hAnsi="宋体"/>
          <w:bCs/>
          <w:color w:val="auto"/>
          <w:szCs w:val="21"/>
        </w:rPr>
      </w:pPr>
      <w:r>
        <w:rPr>
          <w:rFonts w:hint="eastAsia" w:ascii="宋体" w:hAnsi="宋体"/>
          <w:bCs/>
          <w:color w:val="auto"/>
          <w:szCs w:val="21"/>
        </w:rPr>
        <w:t xml:space="preserve">15.1质量瑕疵的违约责任</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rPr>
          <w:color w:val="auto"/>
        </w:rPr>
      </w:r>
      <w:r/>
    </w:p>
    <w:p>
      <w:pPr>
        <w:jc w:val="left"/>
        <w:spacing w:line="400" w:lineRule="exact"/>
        <w:rPr>
          <w:rFonts w:ascii="宋体" w:hAnsi="宋体"/>
          <w:bCs/>
          <w:color w:val="auto"/>
          <w:szCs w:val="21"/>
        </w:rPr>
      </w:pPr>
      <w:r>
        <w:rPr>
          <w:rFonts w:hint="eastAsia" w:ascii="宋体" w:hAnsi="宋体"/>
          <w:bCs/>
          <w:color w:val="auto"/>
          <w:szCs w:val="21"/>
        </w:rPr>
        <w:t xml:space="preserve">15.2 迟延交货的违约责任</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15.3 迟延支付的违约责任</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rPr>
          <w:color w:val="auto"/>
        </w:rPr>
      </w:r>
      <w:r/>
    </w:p>
    <w:p>
      <w:pPr>
        <w:jc w:val="left"/>
        <w:spacing w:line="400" w:lineRule="exact"/>
        <w:rPr>
          <w:rFonts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rPr>
          <w:color w:val="auto"/>
        </w:rPr>
      </w:r>
      <w:r/>
    </w:p>
    <w:p>
      <w:pPr>
        <w:numPr>
          <w:ilvl w:val="0"/>
          <w:numId w:val="10"/>
        </w:numPr>
        <w:jc w:val="left"/>
        <w:spacing w:line="400" w:lineRule="exact"/>
        <w:rPr>
          <w:rFonts w:ascii="宋体" w:hAnsi="宋体"/>
          <w:b/>
          <w:color w:val="auto"/>
          <w:sz w:val="24"/>
          <w:szCs w:val="24"/>
        </w:rPr>
      </w:pPr>
      <w:r>
        <w:rPr>
          <w:rFonts w:hint="eastAsia" w:ascii="宋体" w:hAnsi="宋体"/>
          <w:b/>
          <w:color w:val="auto"/>
          <w:sz w:val="24"/>
          <w:szCs w:val="24"/>
        </w:rPr>
        <w:t xml:space="preserve">合同变更、中止与终止</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16.1合同的变更</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16.2合同的中止</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auto"/>
        </w:rPr>
      </w:r>
      <w:r/>
    </w:p>
    <w:p>
      <w:pPr>
        <w:spacing w:line="400" w:lineRule="exact"/>
        <w:widowControl/>
        <w:rPr>
          <w:rFonts w:ascii="华文楷体" w:hAnsi="华文楷体" w:eastAsia="华文楷体" w:cs="华文楷体"/>
          <w:color w:val="auto"/>
          <w:szCs w:val="21"/>
        </w:rPr>
      </w:pPr>
      <w:r>
        <w:rPr>
          <w:rFonts w:hint="eastAsia" w:ascii="宋体" w:hAnsi="宋体" w:cs="宋体"/>
          <w:color w:val="auto"/>
          <w:szCs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auto"/>
        </w:rPr>
      </w:r>
      <w:r/>
    </w:p>
    <w:p>
      <w:pPr>
        <w:jc w:val="left"/>
        <w:spacing w:line="400" w:lineRule="exact"/>
        <w:rPr>
          <w:color w:val="auto"/>
          <w:szCs w:val="24"/>
        </w:rPr>
      </w:pPr>
      <w:r>
        <w:rPr>
          <w:rFonts w:hint="eastAsia" w:ascii="宋体" w:hAnsi="宋体"/>
          <w:color w:val="auto"/>
          <w:szCs w:val="21"/>
        </w:rPr>
        <w:t xml:space="preserve">（4）甲方不得以行政区划调整、政府换届、机构或者职能调整以及相关责任人更替为由中止合同。</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16.3合同的终止</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（1）合同因有效期限届满而终止；</w:t>
      </w:r>
      <w:r>
        <w:rPr>
          <w:color w:val="auto"/>
        </w:rPr>
      </w:r>
      <w:r/>
    </w:p>
    <w:p>
      <w:pPr>
        <w:spacing w:line="400" w:lineRule="exact"/>
        <w:rPr>
          <w:rFonts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rPr>
          <w:color w:val="auto"/>
        </w:rPr>
      </w:r>
      <w:r/>
    </w:p>
    <w:p>
      <w:pPr>
        <w:jc w:val="left"/>
        <w:spacing w:line="400" w:lineRule="exact"/>
        <w:widowControl/>
        <w:rPr>
          <w:rFonts w:ascii="宋体" w:hAnsi="宋体" w:eastAsia="华文楷体" w:cs="华文楷体"/>
          <w:color w:val="auto"/>
          <w:sz w:val="22"/>
          <w:szCs w:val="21"/>
        </w:rPr>
      </w:pPr>
      <w:r>
        <w:rPr>
          <w:rFonts w:hint="eastAsia" w:ascii="宋体" w:hAnsi="宋体" w:eastAsia="华文楷体" w:cs="华文楷体"/>
          <w:color w:val="auto"/>
          <w:sz w:val="22"/>
          <w:szCs w:val="21"/>
        </w:rPr>
        <w:t xml:space="preserve">16.4 </w:t>
      </w:r>
      <w:r>
        <w:rPr>
          <w:rFonts w:hint="eastAsia" w:ascii="宋体" w:hAnsi="宋体"/>
          <w:color w:val="auto"/>
          <w:szCs w:val="21"/>
        </w:rPr>
        <w:t xml:space="preserve">涉及国家利益、社会公共利益的情形</w:t>
      </w:r>
      <w:r>
        <w:rPr>
          <w:color w:val="auto"/>
        </w:rPr>
      </w:r>
      <w:r/>
    </w:p>
    <w:p>
      <w:pPr>
        <w:spacing w:line="400" w:lineRule="exact"/>
        <w:widowControl/>
        <w:rPr>
          <w:rFonts w:ascii="华文楷体" w:hAnsi="华文楷体" w:eastAsia="华文楷体" w:cs="华文楷体"/>
          <w:color w:val="auto"/>
          <w:szCs w:val="21"/>
        </w:rPr>
      </w:pPr>
      <w:r>
        <w:rPr>
          <w:rFonts w:hint="eastAsia" w:ascii="宋体" w:hAnsi="宋体" w:cs="宋体"/>
          <w:color w:val="auto"/>
          <w:szCs w:val="21"/>
        </w:rPr>
        <w:t xml:space="preserve">政府采购合同继续履行将损害国家利益和社会公共利益的，双方当事人应当变更、中止或者终止合同。有过错的一方应当承担赔偿责任，双方都有过错的，各自承担相应的责任。</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17. 合同分包</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18. 不可抗力</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18.1 不可抗力是指合同双方不能预见、不能避免且不能克服的客观情况。</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auto"/>
        </w:rPr>
      </w:r>
      <w:r/>
    </w:p>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19. 解决争议的方法</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19.2 选择仲裁的，应在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中明确仲裁机构及仲裁地；通过诉讼方式解决的，可以在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中进一步约定选择与争议有实际联系的地点的人民法院管辖，但管辖法院的约定不得违反级别管辖和专属管辖的规定。</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19.3 如甲乙双方有争议的事项不影响合同其他部分的履行，在争议解决期间，合同其他部分应当继续履行。</w:t>
      </w:r>
      <w:r>
        <w:rPr>
          <w:color w:val="auto"/>
        </w:rPr>
      </w:r>
      <w:r/>
    </w:p>
    <w:p>
      <w:pPr>
        <w:jc w:val="left"/>
        <w:spacing w:line="400" w:lineRule="exact"/>
        <w:rPr>
          <w:rFonts w:ascii="宋体" w:hAnsi="宋体"/>
          <w:color w:val="auto"/>
          <w:sz w:val="24"/>
          <w:szCs w:val="24"/>
        </w:rPr>
      </w:pPr>
      <w:r>
        <w:rPr>
          <w:rFonts w:hint="eastAsia" w:ascii="宋体" w:hAnsi="宋体"/>
          <w:b/>
          <w:color w:val="auto"/>
          <w:sz w:val="24"/>
          <w:szCs w:val="24"/>
        </w:rPr>
        <w:t xml:space="preserve">20. 政府采购政策</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szCs w:val="24"/>
          <w:lang w:val="en-GB"/>
        </w:rPr>
        <w:t xml:space="preserve">本合同应当按照规定执行政府采购政策。</w:t>
      </w:r>
      <w:r>
        <w:rPr>
          <w:color w:val="auto"/>
        </w:rPr>
      </w:r>
      <w:r/>
    </w:p>
    <w:p>
      <w:pPr>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0.2 本合同依法执行政府采购政策的方式和内容，属于合同履约验收的范围。</w:t>
      </w:r>
      <w:r>
        <w:rPr>
          <w:rFonts w:hint="eastAsia" w:ascii="宋体" w:hAnsi="宋体" w:cs="宋体"/>
          <w:color w:val="auto"/>
          <w:szCs w:val="24"/>
        </w:rPr>
        <w:t xml:space="preserve">甲乙双方</w:t>
      </w:r>
      <w:r>
        <w:rPr>
          <w:rFonts w:hint="eastAsia" w:ascii="宋体" w:hAnsi="宋体" w:cs="宋体"/>
          <w:color w:val="auto"/>
          <w:szCs w:val="24"/>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rPr>
          <w:color w:val="auto"/>
        </w:rPr>
      </w:r>
      <w:r/>
    </w:p>
    <w:p>
      <w:pPr>
        <w:spacing w:line="400" w:lineRule="exact"/>
        <w:rPr>
          <w:rFonts w:ascii="Calibri" w:hAnsi="Calibri"/>
          <w:color w:val="auto"/>
        </w:rPr>
      </w:pPr>
      <w:r>
        <w:rPr>
          <w:rFonts w:ascii="宋体" w:hAnsi="宋体"/>
          <w:color w:val="auto"/>
          <w:szCs w:val="21"/>
        </w:rPr>
        <w:t xml:space="preserve">2</w:t>
      </w:r>
      <w:r>
        <w:rPr>
          <w:rFonts w:hint="eastAsia" w:ascii="宋体" w:hAnsi="宋体"/>
          <w:color w:val="auto"/>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rPr>
      </w:r>
      <w:r/>
    </w:p>
    <w:p>
      <w:pPr>
        <w:jc w:val="left"/>
        <w:spacing w:line="400" w:lineRule="exact"/>
        <w:rPr>
          <w:rFonts w:ascii="宋体" w:hAnsi="宋体"/>
          <w:b/>
          <w:color w:val="auto"/>
          <w:sz w:val="24"/>
          <w:szCs w:val="24"/>
        </w:rPr>
      </w:pPr>
      <w:r>
        <w:rPr>
          <w:rFonts w:hint="eastAsia" w:ascii="宋体" w:hAnsi="宋体"/>
          <w:b/>
          <w:color w:val="auto"/>
          <w:sz w:val="24"/>
          <w:szCs w:val="24"/>
        </w:rPr>
        <w:t xml:space="preserve">21. 法律适用</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21.1 本合同的订立、生效、解释、履行及与本合同有关的争议解决，均适用法律、行政法规。</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21.2 本合同条款与法律、行政法规的强制性规定不一致的，双方当事人应按照法律、行政法规的强制性规定修改本合同的相关条款。</w:t>
      </w:r>
      <w:r>
        <w:rPr>
          <w:color w:val="auto"/>
        </w:rPr>
      </w:r>
      <w:r/>
    </w:p>
    <w:p>
      <w:pPr>
        <w:jc w:val="left"/>
        <w:spacing w:line="400" w:lineRule="exact"/>
        <w:rPr>
          <w:rFonts w:ascii="宋体" w:hAnsi="宋体"/>
          <w:b/>
          <w:color w:val="auto"/>
          <w:sz w:val="24"/>
          <w:szCs w:val="24"/>
        </w:rPr>
      </w:pPr>
      <w:r>
        <w:rPr>
          <w:rFonts w:hint="eastAsia" w:ascii="宋体" w:hAnsi="宋体"/>
          <w:b/>
          <w:color w:val="auto"/>
          <w:sz w:val="24"/>
          <w:szCs w:val="24"/>
        </w:rPr>
        <w:t xml:space="preserve">22. 通知</w:t>
      </w:r>
      <w:r>
        <w:rPr>
          <w:color w:val="auto"/>
        </w:rPr>
      </w:r>
      <w:r/>
    </w:p>
    <w:p>
      <w:pPr>
        <w:spacing w:line="400" w:lineRule="exact"/>
        <w:widowControl/>
        <w:rPr>
          <w:rFonts w:ascii="宋体" w:hAnsi="宋体" w:cs="宋体"/>
          <w:color w:val="auto"/>
          <w:szCs w:val="21"/>
        </w:rPr>
      </w:pPr>
      <w:r>
        <w:rPr>
          <w:rFonts w:hint="eastAsia" w:ascii="宋体" w:hAnsi="宋体" w:cs="宋体"/>
          <w:color w:val="auto"/>
          <w:szCs w:val="21"/>
        </w:rPr>
        <w:t xml:space="preserve">22.1 本合同任何一方向对方发出的通知、信件、数据电文等，应当发送至本合同第一部分《政府采购合同协议书》所约定的通讯地址、联系人、联系电话或电子邮箱。</w:t>
      </w:r>
      <w:r>
        <w:rPr>
          <w:color w:val="auto"/>
        </w:rPr>
      </w:r>
      <w:r/>
    </w:p>
    <w:p>
      <w:pPr>
        <w:spacing w:line="400" w:lineRule="exact"/>
        <w:widowControl/>
        <w:rPr>
          <w:rFonts w:ascii="华文楷体" w:hAnsi="华文楷体" w:eastAsia="华文楷体" w:cs="华文楷体"/>
          <w:color w:val="auto"/>
          <w:szCs w:val="21"/>
        </w:rPr>
      </w:pPr>
      <w:r>
        <w:rPr>
          <w:rFonts w:hint="eastAsia" w:ascii="宋体" w:hAnsi="宋体" w:cs="宋体"/>
          <w:color w:val="auto"/>
          <w:szCs w:val="21"/>
        </w:rPr>
        <w:t xml:space="preserve">22.2 一方当事人变更名称、住所、联系人、联系电话或电子邮箱等信息的，应当在变更后3日内及时书面通知对方，对方实际收到变更通知前的送达仍为有效送达。</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rPr>
          <w:color w:val="auto"/>
        </w:rPr>
      </w:r>
      <w:r/>
    </w:p>
    <w:p>
      <w:pPr>
        <w:jc w:val="left"/>
        <w:spacing w:line="400" w:lineRule="exact"/>
        <w:rPr>
          <w:rFonts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rPr>
          <w:color w:val="auto"/>
        </w:rPr>
      </w:r>
      <w:r/>
    </w:p>
    <w:p>
      <w:pPr>
        <w:numPr>
          <w:ilvl w:val="0"/>
          <w:numId w:val="11"/>
        </w:numPr>
        <w:jc w:val="left"/>
        <w:spacing w:line="400" w:lineRule="exact"/>
        <w:rPr>
          <w:rFonts w:ascii="宋体" w:hAnsi="宋体"/>
          <w:b/>
          <w:bCs/>
          <w:color w:val="auto"/>
          <w:sz w:val="24"/>
          <w:szCs w:val="24"/>
        </w:rPr>
      </w:pPr>
      <w:r>
        <w:rPr>
          <w:rFonts w:hint="eastAsia" w:ascii="宋体" w:hAnsi="宋体"/>
          <w:b/>
          <w:bCs/>
          <w:color w:val="auto"/>
          <w:sz w:val="24"/>
          <w:szCs w:val="24"/>
        </w:rPr>
        <w:t xml:space="preserve">合同未尽事项</w:t>
      </w:r>
      <w:r>
        <w:rPr>
          <w:color w:val="auto"/>
        </w:rPr>
      </w:r>
      <w:r/>
    </w:p>
    <w:p>
      <w:pPr>
        <w:jc w:val="left"/>
        <w:spacing w:line="400" w:lineRule="exact"/>
        <w:rPr>
          <w:rFonts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rPr>
          <w:color w:val="auto"/>
        </w:rPr>
      </w:r>
      <w:r/>
    </w:p>
    <w:p>
      <w:pPr>
        <w:jc w:val="left"/>
        <w:spacing w:line="400" w:lineRule="exact"/>
        <w:rPr>
          <w:rFonts w:ascii="黑体" w:hAnsi="华文中宋" w:eastAsia="黑体"/>
          <w:color w:val="auto"/>
          <w:sz w:val="28"/>
          <w:szCs w:val="28"/>
        </w:rPr>
      </w:pPr>
      <w:r>
        <w:rPr>
          <w:rFonts w:hint="eastAsia" w:ascii="宋体" w:hAnsi="宋体"/>
          <w:bCs/>
          <w:color w:val="auto"/>
          <w:szCs w:val="21"/>
        </w:rPr>
        <w:t xml:space="preserve">23.2 合同附件与合同正文具有同等的法律效力。</w:t>
      </w:r>
      <w:bookmarkStart w:id="190" w:name="_Toc20313"/>
      <w:r>
        <w:rPr>
          <w:color w:val="auto"/>
        </w:rPr>
      </w:r>
      <w:r/>
    </w:p>
    <w:p>
      <w:pPr>
        <w:jc w:val="center"/>
        <w:rPr>
          <w:rFonts w:ascii="黑体" w:hAnsi="华文中宋" w:eastAsia="黑体"/>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color w:val="auto"/>
          <w:sz w:val="28"/>
          <w:szCs w:val="28"/>
        </w:rPr>
        <w:t xml:space="preserve">第三节 政府采购合同专用条款</w:t>
      </w:r>
      <w:bookmarkEnd w:id="190"/>
      <w:r>
        <w:rPr>
          <w:color w:val="auto"/>
        </w:rPr>
      </w:r>
      <w:r/>
    </w:p>
    <w:tbl>
      <w:tblPr>
        <w:tblStyle w:val="970"/>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第1.2（6）项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联合体具体要求</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60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第1.2（7）项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其他术语解释</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第4.4款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履约验收中甲方提出异议或作出说明的期限</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第4.6款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约定甲方承担的其他义务和责任</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color w:val="auto"/>
                <w:szCs w:val="24"/>
              </w:rPr>
            </w:pPr>
            <w:r>
              <w:rPr>
                <w:rFonts w:hint="eastAsia" w:ascii="宋体" w:hAnsi="宋体"/>
                <w:color w:val="auto"/>
                <w:szCs w:val="21"/>
              </w:rPr>
              <w:t xml:space="preserve">第5.4款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约定乙方承担的其他义务和责任</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第6.1款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履行合同义务的顺序</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cantSplit/>
          <w:trHeight w:val="667"/>
        </w:trPr>
        <w:tc>
          <w:tcPr>
            <w:tcW w:w="1607" w:type="dxa"/>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第7.1款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包装特殊要求</w:t>
            </w:r>
            <w:r>
              <w:rPr>
                <w:color w:val="auto"/>
              </w:rPr>
            </w:r>
            <w:r/>
          </w:p>
        </w:tc>
        <w:tc>
          <w:tcPr>
            <w:tcW w:w="5024" w:type="dxa"/>
            <w:vAlign w:val="center"/>
            <w:textDirection w:val="lrTb"/>
            <w:noWrap w:val="false"/>
          </w:tcPr>
          <w:p>
            <w:pPr>
              <w:rPr>
                <w:color w:val="auto"/>
                <w:szCs w:val="24"/>
              </w:rPr>
            </w:pPr>
            <w:r>
              <w:rPr>
                <w:color w:val="auto"/>
                <w:szCs w:val="24"/>
              </w:rPr>
            </w:r>
            <w:r>
              <w:rPr>
                <w:color w:val="auto"/>
              </w:rPr>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指定现场</w:t>
            </w:r>
            <w:r>
              <w:rPr>
                <w:color w:val="auto"/>
              </w:rPr>
            </w:r>
            <w:r/>
          </w:p>
        </w:tc>
        <w:tc>
          <w:tcPr>
            <w:tcW w:w="5024" w:type="dxa"/>
            <w:vAlign w:val="center"/>
            <w:textDirection w:val="lrTb"/>
            <w:noWrap w:val="false"/>
          </w:tcPr>
          <w:p>
            <w:pPr>
              <w:rPr>
                <w:color w:val="auto"/>
                <w:szCs w:val="24"/>
              </w:rPr>
            </w:pPr>
            <w:r>
              <w:rPr>
                <w:color w:val="auto"/>
                <w:szCs w:val="24"/>
              </w:rPr>
            </w:r>
            <w:r>
              <w:rPr>
                <w:color w:val="auto"/>
              </w:rPr>
            </w:r>
            <w:r/>
          </w:p>
        </w:tc>
      </w:tr>
      <w:tr>
        <w:trPr>
          <w:trHeight w:val="772"/>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第7.2款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运输特殊要求</w:t>
            </w:r>
            <w:r>
              <w:rPr>
                <w:color w:val="auto"/>
              </w:rPr>
            </w:r>
            <w:r/>
          </w:p>
        </w:tc>
        <w:tc>
          <w:tcPr>
            <w:tcW w:w="5024" w:type="dxa"/>
            <w:vAlign w:val="center"/>
            <w:textDirection w:val="lrTb"/>
            <w:noWrap w:val="false"/>
          </w:tcPr>
          <w:p>
            <w:pPr>
              <w:rPr>
                <w:color w:val="auto"/>
                <w:szCs w:val="24"/>
              </w:rPr>
            </w:pPr>
            <w:r>
              <w:rPr>
                <w:color w:val="auto"/>
                <w:szCs w:val="24"/>
              </w:rPr>
            </w:r>
            <w:r>
              <w:rPr>
                <w:color w:val="auto"/>
              </w:rPr>
            </w:r>
            <w:r/>
          </w:p>
        </w:tc>
      </w:tr>
      <w:tr>
        <w:trPr>
          <w:trHeight w:val="66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第7.3款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保险要求</w:t>
            </w:r>
            <w:r>
              <w:rPr>
                <w:color w:val="auto"/>
              </w:rPr>
            </w:r>
            <w:r/>
          </w:p>
        </w:tc>
        <w:tc>
          <w:tcPr>
            <w:tcW w:w="5024" w:type="dxa"/>
            <w:vAlign w:val="center"/>
            <w:textDirection w:val="lrTb"/>
            <w:noWrap w:val="false"/>
          </w:tcPr>
          <w:p>
            <w:pPr>
              <w:rPr>
                <w:color w:val="auto"/>
                <w:szCs w:val="24"/>
              </w:rPr>
            </w:pPr>
            <w:r>
              <w:rPr>
                <w:color w:val="auto"/>
                <w:szCs w:val="24"/>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第8.2（1）项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质量保证期</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第8.2（3）项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货物质量缺陷</w:t>
            </w:r>
            <w:r>
              <w:rPr>
                <w:color w:val="auto"/>
              </w:rPr>
            </w:r>
            <w:r/>
          </w:p>
          <w:p>
            <w:pPr>
              <w:jc w:val="left"/>
              <w:rPr>
                <w:rFonts w:ascii="宋体" w:hAnsi="宋体"/>
                <w:color w:val="auto"/>
                <w:szCs w:val="21"/>
              </w:rPr>
            </w:pPr>
            <w:r>
              <w:rPr>
                <w:rFonts w:hint="eastAsia" w:ascii="宋体" w:hAnsi="宋体"/>
                <w:color w:val="auto"/>
                <w:szCs w:val="21"/>
              </w:rPr>
              <w:t xml:space="preserve">响应时间</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rPr>
                <w:color w:val="auto"/>
              </w:rPr>
            </w:r>
            <w:r/>
          </w:p>
          <w:p>
            <w:pPr>
              <w:jc w:val="center"/>
              <w:spacing w:line="400" w:lineRule="exact"/>
              <w:widowControl/>
              <w:rPr>
                <w:rFonts w:ascii="华文楷体" w:hAnsi="华文楷体" w:eastAsia="华文楷体" w:cs="华文楷体"/>
                <w:color w:val="auto"/>
                <w:sz w:val="22"/>
                <w:szCs w:val="21"/>
              </w:rPr>
            </w:pPr>
            <w:r>
              <w:rPr>
                <w:rFonts w:hint="eastAsia" w:ascii="宋体" w:hAnsi="宋体" w:cs="宋体"/>
                <w:color w:val="auto"/>
                <w:sz w:val="22"/>
                <w:szCs w:val="21"/>
              </w:rPr>
              <w:t xml:space="preserve">第11.1款</w:t>
            </w:r>
            <w:r>
              <w:rPr>
                <w:color w:val="auto"/>
              </w:rPr>
            </w:r>
            <w:r/>
          </w:p>
        </w:tc>
        <w:tc>
          <w:tcPr>
            <w:tcW w:w="2300" w:type="dxa"/>
            <w:vAlign w:val="center"/>
            <w:textDirection w:val="lrTb"/>
            <w:noWrap w:val="false"/>
          </w:tcPr>
          <w:p>
            <w:pPr>
              <w:rPr>
                <w:rFonts w:ascii="宋体" w:hAnsi="宋体"/>
                <w:color w:val="auto"/>
                <w:szCs w:val="21"/>
              </w:rPr>
            </w:pPr>
            <w:r>
              <w:rPr>
                <w:rFonts w:hint="eastAsia" w:ascii="宋体" w:hAnsi="宋体"/>
                <w:color w:val="auto"/>
                <w:szCs w:val="21"/>
              </w:rPr>
              <w:t xml:space="preserve">其他应当保密的信息</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第12.2款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合同价款支付时间</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第13.2款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履约保证金不予退还的情形</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第13.3款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履约保证金退还时间及逾期退还的违约金</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第14.1（3）项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运行监督、维修期限</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第14.1（5）项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货物回收的约定</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第14.1（6）项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乙方提供的其他服务</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第15.1款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修理、重做、更换相关具体规定</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第15.2（2）项</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迟延交货赔偿费</w:t>
            </w:r>
            <w:r>
              <w:rPr>
                <w:color w:val="auto"/>
              </w:rPr>
            </w:r>
            <w:r/>
          </w:p>
        </w:tc>
        <w:tc>
          <w:tcPr>
            <w:tcW w:w="5024" w:type="dxa"/>
            <w:vAlign w:val="center"/>
            <w:textDirection w:val="lrTb"/>
            <w:noWrap w:val="false"/>
          </w:tcPr>
          <w:p>
            <w:pPr>
              <w:jc w:val="left"/>
              <w:rPr>
                <w:rFonts w:ascii="宋体" w:hAnsi="宋体"/>
                <w:color w:val="auto"/>
                <w:szCs w:val="21"/>
                <w:u w:val="single"/>
              </w:rPr>
            </w:pPr>
            <w:r>
              <w:rPr>
                <w:rFonts w:ascii="宋体" w:hAnsi="宋体"/>
                <w:color w:val="auto"/>
                <w:szCs w:val="21"/>
                <w:u w:val="single"/>
              </w:rPr>
            </w:r>
            <w:r>
              <w:rPr>
                <w:color w:val="auto"/>
              </w:rPr>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第15.3款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逾期付款利息</w:t>
            </w:r>
            <w:r>
              <w:rPr>
                <w:color w:val="auto"/>
              </w:rPr>
            </w:r>
            <w:r/>
          </w:p>
        </w:tc>
        <w:tc>
          <w:tcPr>
            <w:tcW w:w="5024" w:type="dxa"/>
            <w:vAlign w:val="center"/>
            <w:textDirection w:val="lrTb"/>
            <w:noWrap w:val="false"/>
          </w:tcPr>
          <w:p>
            <w:pPr>
              <w:jc w:val="left"/>
              <w:rPr>
                <w:rFonts w:ascii="宋体" w:hAnsi="宋体"/>
                <w:color w:val="auto"/>
                <w:szCs w:val="21"/>
                <w:u w:val="single"/>
              </w:rPr>
            </w:pPr>
            <w:r>
              <w:rPr>
                <w:rFonts w:ascii="宋体" w:hAnsi="宋体"/>
                <w:color w:val="auto"/>
                <w:szCs w:val="21"/>
                <w:u w:val="single"/>
              </w:rPr>
            </w:r>
            <w:r>
              <w:rPr>
                <w:color w:val="auto"/>
              </w:rPr>
            </w:r>
            <w:r/>
          </w:p>
        </w:tc>
      </w:tr>
      <w:tr>
        <w:trPr>
          <w:trHeight w:val="87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第15.4款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其他违约责任</w:t>
            </w:r>
            <w:r>
              <w:rPr>
                <w:color w:val="auto"/>
              </w:rPr>
            </w:r>
            <w:r/>
          </w:p>
        </w:tc>
        <w:tc>
          <w:tcPr>
            <w:tcW w:w="5024" w:type="dxa"/>
            <w:vAlign w:val="center"/>
            <w:textDirection w:val="lrTb"/>
            <w:noWrap w:val="false"/>
          </w:tcPr>
          <w:p>
            <w:pPr>
              <w:jc w:val="left"/>
              <w:rPr>
                <w:rFonts w:ascii="宋体" w:hAnsi="宋体"/>
                <w:color w:val="auto"/>
                <w:szCs w:val="21"/>
                <w:u w:val="single"/>
              </w:rPr>
            </w:pPr>
            <w:r>
              <w:rPr>
                <w:rFonts w:ascii="宋体" w:hAnsi="宋体"/>
                <w:color w:val="auto"/>
                <w:szCs w:val="21"/>
                <w:u w:val="single"/>
              </w:rPr>
            </w:r>
            <w:r>
              <w:rPr>
                <w:color w:val="auto"/>
              </w:rPr>
            </w:r>
            <w:r/>
          </w:p>
        </w:tc>
      </w:tr>
      <w:tr>
        <w:trPr>
          <w:trHeight w:val="9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第19.2款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解决争议的方法</w:t>
            </w:r>
            <w:r>
              <w:rPr>
                <w:color w:val="auto"/>
              </w:rPr>
            </w:r>
            <w:r/>
          </w:p>
        </w:tc>
        <w:tc>
          <w:tcPr>
            <w:tcW w:w="5024" w:type="dxa"/>
            <w:vAlign w:val="center"/>
            <w:textDirection w:val="lrTb"/>
            <w:noWrap w:val="false"/>
          </w:tcPr>
          <w:p>
            <w:pPr>
              <w:jc w:val="left"/>
              <w:spacing w:line="400" w:lineRule="exact"/>
              <w:rPr>
                <w:rFonts w:ascii="宋体" w:hAnsi="宋体" w:cs="宋体"/>
                <w:iCs/>
                <w:color w:val="auto"/>
                <w:szCs w:val="21"/>
              </w:rPr>
            </w:pPr>
            <w:r>
              <w:rPr>
                <w:rFonts w:hint="eastAsia" w:ascii="宋体" w:hAnsi="宋体" w:cs="宋体"/>
                <w:iCs/>
                <w:color w:val="auto"/>
                <w:szCs w:val="21"/>
              </w:rPr>
              <w:t xml:space="preserve">因本合同及合同有关事项发生的争议，按下列第</w:t>
            </w:r>
            <w:r>
              <w:rPr>
                <w:rFonts w:hint="eastAsia" w:ascii="宋体" w:hAnsi="宋体" w:cs="宋体"/>
                <w:iCs/>
                <w:color w:val="auto"/>
                <w:szCs w:val="21"/>
                <w:u w:val="single"/>
              </w:rPr>
              <w:t xml:space="preserve">   </w:t>
            </w:r>
            <w:r>
              <w:rPr>
                <w:rFonts w:hint="eastAsia" w:ascii="宋体" w:hAnsi="宋体" w:cs="宋体"/>
                <w:iCs/>
                <w:color w:val="auto"/>
                <w:szCs w:val="21"/>
              </w:rPr>
              <w:t xml:space="preserve">种方式解决：</w:t>
            </w:r>
            <w:r>
              <w:rPr>
                <w:color w:val="auto"/>
              </w:rPr>
            </w:r>
            <w:r/>
          </w:p>
          <w:p>
            <w:pPr>
              <w:jc w:val="left"/>
              <w:spacing w:line="400" w:lineRule="exact"/>
              <w:rPr>
                <w:rFonts w:ascii="宋体" w:hAnsi="宋体" w:cs="宋体"/>
                <w:iCs/>
                <w:color w:val="auto"/>
                <w:szCs w:val="21"/>
              </w:rPr>
            </w:pPr>
            <w:r>
              <w:rPr>
                <w:rFonts w:hint="eastAsia" w:ascii="宋体" w:hAnsi="宋体" w:cs="宋体"/>
                <w:iCs/>
                <w:color w:val="auto"/>
                <w:szCs w:val="21"/>
              </w:rPr>
              <w:t xml:space="preserve">（1）向</w:t>
            </w:r>
            <w:r>
              <w:rPr>
                <w:rFonts w:hint="eastAsia" w:ascii="宋体" w:hAnsi="宋体" w:cs="宋体"/>
                <w:iCs/>
                <w:color w:val="auto"/>
                <w:szCs w:val="21"/>
                <w:u w:val="single"/>
              </w:rPr>
              <w:t xml:space="preserve">                    </w:t>
            </w:r>
            <w:r>
              <w:rPr>
                <w:rFonts w:hint="eastAsia" w:ascii="宋体" w:hAnsi="宋体" w:cs="宋体"/>
                <w:iCs/>
                <w:color w:val="auto"/>
                <w:szCs w:val="21"/>
              </w:rPr>
              <w:t xml:space="preserve">仲裁委员会申请仲裁，仲裁地点为</w:t>
            </w:r>
            <w:r>
              <w:rPr>
                <w:rFonts w:hint="eastAsia" w:ascii="宋体" w:hAnsi="宋体" w:cs="宋体"/>
                <w:iCs/>
                <w:color w:val="auto"/>
                <w:szCs w:val="21"/>
                <w:u w:val="single"/>
              </w:rPr>
              <w:t xml:space="preserve">           </w:t>
            </w:r>
            <w:r>
              <w:rPr>
                <w:rFonts w:hint="eastAsia" w:ascii="宋体" w:hAnsi="宋体" w:cs="宋体"/>
                <w:iCs/>
                <w:color w:val="auto"/>
                <w:szCs w:val="21"/>
              </w:rPr>
              <w:t xml:space="preserve">；</w:t>
            </w:r>
            <w:r>
              <w:rPr>
                <w:color w:val="auto"/>
              </w:rPr>
            </w:r>
            <w:r/>
          </w:p>
          <w:p>
            <w:pPr>
              <w:jc w:val="left"/>
              <w:rPr>
                <w:rFonts w:ascii="宋体" w:hAnsi="宋体"/>
                <w:color w:val="auto"/>
                <w:szCs w:val="21"/>
                <w:u w:val="single"/>
              </w:rPr>
            </w:pPr>
            <w:r>
              <w:rPr>
                <w:rFonts w:hint="eastAsia" w:ascii="宋体" w:hAnsi="宋体" w:cs="宋体"/>
                <w:iCs/>
                <w:color w:val="auto"/>
                <w:szCs w:val="21"/>
              </w:rPr>
              <w:t xml:space="preserve">（2）向</w:t>
            </w:r>
            <w:r>
              <w:rPr>
                <w:rFonts w:hint="eastAsia" w:ascii="宋体" w:hAnsi="宋体" w:cs="宋体"/>
                <w:iCs/>
                <w:color w:val="auto"/>
                <w:szCs w:val="21"/>
                <w:u w:val="single"/>
              </w:rPr>
              <w:t xml:space="preserve">                    </w:t>
            </w:r>
            <w:r>
              <w:rPr>
                <w:rFonts w:hint="eastAsia" w:ascii="宋体" w:hAnsi="宋体" w:cs="宋体"/>
                <w:iCs/>
                <w:color w:val="auto"/>
                <w:szCs w:val="21"/>
              </w:rPr>
              <w:t xml:space="preserve">人民法院起诉。</w:t>
            </w:r>
            <w:r>
              <w:rPr>
                <w:color w:val="auto"/>
              </w:rPr>
            </w:r>
            <w:r/>
          </w:p>
        </w:tc>
      </w:tr>
      <w:tr>
        <w:trPr>
          <w:trHeight w:val="77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rPr>
                <w:color w:val="auto"/>
              </w:rPr>
            </w:r>
            <w:r/>
          </w:p>
          <w:p>
            <w:pPr>
              <w:jc w:val="center"/>
              <w:rPr>
                <w:rFonts w:ascii="宋体" w:hAnsi="宋体"/>
                <w:color w:val="auto"/>
                <w:szCs w:val="21"/>
              </w:rPr>
            </w:pPr>
            <w:r>
              <w:rPr>
                <w:rFonts w:hint="eastAsia" w:ascii="宋体" w:hAnsi="宋体"/>
                <w:color w:val="auto"/>
                <w:szCs w:val="21"/>
              </w:rPr>
              <w:t xml:space="preserve">第23.1款</w:t>
            </w:r>
            <w:r>
              <w:rPr>
                <w:color w:val="auto"/>
              </w:rPr>
            </w:r>
            <w:r/>
          </w:p>
        </w:tc>
        <w:tc>
          <w:tcPr>
            <w:tcW w:w="2300" w:type="dxa"/>
            <w:vAlign w:val="center"/>
            <w:textDirection w:val="lrTb"/>
            <w:noWrap w:val="false"/>
          </w:tcPr>
          <w:p>
            <w:pPr>
              <w:jc w:val="left"/>
              <w:rPr>
                <w:rFonts w:ascii="宋体" w:hAnsi="宋体"/>
                <w:color w:val="auto"/>
                <w:szCs w:val="21"/>
              </w:rPr>
            </w:pPr>
            <w:r>
              <w:rPr>
                <w:rFonts w:hint="eastAsia" w:ascii="宋体" w:hAnsi="宋体"/>
                <w:bCs/>
                <w:color w:val="auto"/>
                <w:szCs w:val="21"/>
              </w:rPr>
              <w:t xml:space="preserve">其他专用条款</w:t>
            </w:r>
            <w:r>
              <w:rPr>
                <w:color w:val="auto"/>
              </w:rPr>
            </w:r>
            <w:r/>
          </w:p>
        </w:tc>
        <w:tc>
          <w:tcPr>
            <w:tcW w:w="5024" w:type="dxa"/>
            <w:vAlign w:val="center"/>
            <w:textDirection w:val="lrTb"/>
            <w:noWrap w:val="false"/>
          </w:tcPr>
          <w:p>
            <w:pPr>
              <w:jc w:val="left"/>
              <w:rPr>
                <w:rFonts w:ascii="宋体" w:hAnsi="宋体"/>
                <w:color w:val="auto"/>
                <w:szCs w:val="21"/>
              </w:rPr>
            </w:pPr>
            <w:r>
              <w:rPr>
                <w:rFonts w:ascii="宋体" w:hAnsi="宋体"/>
                <w:color w:val="auto"/>
                <w:szCs w:val="21"/>
              </w:rPr>
            </w:r>
            <w:r>
              <w:rPr>
                <w:color w:val="auto"/>
              </w:rPr>
            </w:r>
            <w:r/>
          </w:p>
        </w:tc>
      </w:tr>
    </w:tbl>
    <w:p>
      <w:pPr>
        <w:rPr>
          <w:color w:val="auto"/>
          <w:szCs w:val="24"/>
        </w:rPr>
      </w:pPr>
      <w:r>
        <w:rPr>
          <w:color w:val="auto"/>
          <w:szCs w:val="24"/>
        </w:rPr>
      </w:r>
      <w:r>
        <w:rPr>
          <w:color w:val="auto"/>
        </w:rPr>
      </w:r>
      <w:r/>
    </w:p>
    <w:p>
      <w:pPr>
        <w:spacing w:line="360" w:lineRule="auto"/>
        <w:rPr>
          <w:rFonts w:ascii="等线" w:hAnsi="等线" w:eastAsia="等线" w:cs="仿宋"/>
          <w:color w:val="auto"/>
          <w:szCs w:val="21"/>
        </w:rPr>
      </w:pPr>
      <w:r>
        <w:rPr>
          <w:rFonts w:ascii="等线" w:hAnsi="等线" w:eastAsia="等线" w:cs="仿宋"/>
          <w:color w:val="auto"/>
          <w:szCs w:val="21"/>
        </w:rPr>
      </w:r>
      <w:r>
        <w:rPr>
          <w:color w:val="auto"/>
        </w:rPr>
      </w:r>
      <w:r/>
    </w:p>
    <w:p>
      <w:pPr>
        <w:jc w:val="center"/>
        <w:spacing w:before="120" w:after="120" w:line="480" w:lineRule="exact"/>
        <w:rPr>
          <w:rFonts w:ascii="宋体" w:hAnsi="宋体" w:cs="Courier New"/>
          <w:color w:val="auto"/>
          <w:sz w:val="24"/>
          <w:szCs w:val="24"/>
        </w:rPr>
        <w:outlineLvl w:val="0"/>
      </w:pPr>
      <w:r>
        <w:rPr>
          <w:rFonts w:ascii="黑体" w:hAnsi="Courier New" w:eastAsia="黑体" w:cs="Courier New"/>
          <w:bCs/>
          <w:color w:val="auto"/>
          <w:sz w:val="44"/>
          <w:szCs w:val="21"/>
        </w:rPr>
        <w:br w:type="page" w:clear="all"/>
      </w:r>
      <w:bookmarkStart w:id="191" w:name="_Toc32334"/>
      <w:r>
        <w:rPr>
          <w:rFonts w:hint="eastAsia" w:ascii="黑体" w:hAnsi="Courier New" w:eastAsia="黑体" w:cs="Courier New"/>
          <w:bCs/>
          <w:color w:val="auto"/>
          <w:sz w:val="44"/>
          <w:szCs w:val="21"/>
        </w:rPr>
        <w:t xml:space="preserve">第</w:t>
      </w:r>
      <w:bookmarkEnd w:id="180"/>
      <w:r>
        <w:rPr>
          <w:rFonts w:hint="eastAsia" w:ascii="黑体" w:hAnsi="Courier New" w:eastAsia="黑体" w:cs="Courier New"/>
          <w:bCs/>
          <w:color w:val="auto"/>
          <w:sz w:val="44"/>
          <w:szCs w:val="21"/>
        </w:rPr>
        <w:t xml:space="preserve">四章 </w:t>
      </w:r>
      <w:r>
        <w:rPr>
          <w:rFonts w:ascii="黑体" w:hAnsi="Courier New" w:eastAsia="黑体" w:cs="Courier New"/>
          <w:bCs/>
          <w:color w:val="auto"/>
          <w:sz w:val="44"/>
          <w:szCs w:val="21"/>
        </w:rPr>
        <w:t xml:space="preserve"> </w:t>
      </w:r>
      <w:r>
        <w:rPr>
          <w:rFonts w:hint="eastAsia" w:ascii="黑体" w:hAnsi="Courier New" w:eastAsia="黑体" w:cs="Courier New"/>
          <w:bCs/>
          <w:color w:val="auto"/>
          <w:sz w:val="44"/>
          <w:szCs w:val="21"/>
        </w:rPr>
        <w:t xml:space="preserve">采购需求</w:t>
      </w:r>
      <w:bookmarkEnd w:id="181"/>
      <w:r>
        <w:rPr>
          <w:color w:val="auto"/>
        </w:rPr>
      </w:r>
      <w:bookmarkEnd w:id="182"/>
      <w:r>
        <w:rPr>
          <w:color w:val="auto"/>
        </w:rPr>
      </w:r>
      <w:bookmarkEnd w:id="183"/>
      <w:r>
        <w:rPr>
          <w:color w:val="auto"/>
        </w:rPr>
      </w:r>
      <w:bookmarkEnd w:id="191"/>
      <w:r>
        <w:rPr>
          <w:color w:val="auto"/>
        </w:rPr>
      </w:r>
      <w:r/>
    </w:p>
    <w:p>
      <w:pPr>
        <w:spacing w:after="62" w:line="480" w:lineRule="exact"/>
        <w:rPr>
          <w:rFonts w:eastAsia="仿宋"/>
          <w:color w:val="auto"/>
          <w:sz w:val="28"/>
          <w:szCs w:val="28"/>
        </w:rPr>
      </w:pPr>
      <w:r>
        <w:rPr>
          <w:color w:val="auto"/>
        </w:rPr>
      </w:r>
      <w:bookmarkStart w:id="192" w:name="_Toc26554093"/>
      <w:r>
        <w:rPr>
          <w:color w:val="auto"/>
        </w:rPr>
      </w:r>
      <w:bookmarkStart w:id="193" w:name="_Toc49090575"/>
      <w:r>
        <w:rPr>
          <w:color w:val="auto"/>
        </w:rPr>
      </w:r>
      <w:bookmarkStart w:id="194" w:name="_Toc120614281"/>
      <w:r>
        <w:rPr>
          <w:rFonts w:eastAsia="仿宋"/>
          <w:color w:val="auto"/>
          <w:sz w:val="28"/>
          <w:szCs w:val="28"/>
        </w:rPr>
        <w:t xml:space="preserve">项目属性</w:t>
      </w:r>
      <w:r>
        <w:rPr>
          <w:rFonts w:hint="eastAsia" w:eastAsia="仿宋"/>
          <w:color w:val="auto"/>
          <w:sz w:val="28"/>
          <w:szCs w:val="28"/>
        </w:rPr>
        <w:t xml:space="preserve">：</w:t>
      </w:r>
      <w:r>
        <w:rPr>
          <w:rFonts w:eastAsia="仿宋"/>
          <w:color w:val="auto"/>
          <w:sz w:val="28"/>
          <w:szCs w:val="28"/>
        </w:rPr>
        <w:t xml:space="preserve">货物类项目。</w:t>
      </w:r>
      <w:r>
        <w:rPr>
          <w:color w:val="auto"/>
        </w:rPr>
      </w:r>
      <w:r/>
    </w:p>
    <w:p>
      <w:pPr>
        <w:spacing w:after="62" w:line="540" w:lineRule="exact"/>
        <w:rPr>
          <w:rFonts w:eastAsia="仿宋"/>
          <w:color w:val="auto"/>
          <w:sz w:val="28"/>
          <w:szCs w:val="28"/>
        </w:rPr>
      </w:pPr>
      <w:r>
        <w:rPr>
          <w:rFonts w:eastAsia="仿宋"/>
          <w:b/>
          <w:color w:val="auto"/>
          <w:sz w:val="28"/>
          <w:szCs w:val="28"/>
        </w:rPr>
        <w:t xml:space="preserve">一、采购标的清单：</w:t>
      </w:r>
      <w:r>
        <w:rPr>
          <w:color w:val="auto"/>
        </w:rPr>
      </w:r>
      <w:r/>
    </w:p>
    <w:tbl>
      <w:tblPr>
        <w:tblStyle w:val="970"/>
        <w:tblW w:w="8742" w:type="dxa"/>
        <w:jc w:val="center"/>
        <w:tblLayout w:type="autofit"/>
        <w:tblCellMar>
          <w:left w:w="108" w:type="dxa"/>
          <w:top w:w="0" w:type="dxa"/>
          <w:right w:w="108" w:type="dxa"/>
          <w:bottom w:w="0" w:type="dxa"/>
        </w:tblCellMar>
        <w:tblLook w:val="04A0" w:firstRow="1" w:lastRow="0" w:firstColumn="1" w:lastColumn="0" w:noHBand="0" w:noVBand="1"/>
      </w:tblPr>
      <w:tblGrid>
        <w:gridCol w:w="544"/>
        <w:gridCol w:w="1833"/>
        <w:gridCol w:w="544"/>
        <w:gridCol w:w="544"/>
        <w:gridCol w:w="1060"/>
        <w:gridCol w:w="1060"/>
        <w:gridCol w:w="1062"/>
        <w:gridCol w:w="2095"/>
      </w:tblGrid>
      <w:tr>
        <w:trPr>
          <w:jc w:val="center"/>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设备名称</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数量</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是否主要标的</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是否核心产品</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是否强制节能</w:t>
            </w:r>
            <w:r>
              <w:rPr>
                <w:color w:val="auto"/>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对应中小企业划分标准所属行业</w:t>
            </w:r>
            <w:r>
              <w:rPr>
                <w:color w:val="auto"/>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b/>
                <w:bCs/>
                <w:color w:val="auto"/>
                <w:sz w:val="24"/>
                <w:szCs w:val="24"/>
              </w:rPr>
              <w:t xml:space="preserve">工业网络控制技术应用平台</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4"/>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4"/>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b/>
                <w:color w:val="auto"/>
                <w:sz w:val="24"/>
                <w:szCs w:val="28"/>
              </w:rPr>
            </w:pPr>
            <w:r>
              <w:rPr>
                <w:rFonts w:hint="eastAsia" w:ascii="仿宋" w:hAnsi="仿宋" w:eastAsia="仿宋" w:cs="仿宋"/>
                <w:b/>
                <w:color w:val="auto"/>
                <w:sz w:val="24"/>
                <w:szCs w:val="28"/>
              </w:rPr>
              <w:t xml:space="preserve">是</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是</w:t>
            </w: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否</w:t>
            </w:r>
            <w:r>
              <w:rPr>
                <w:color w:val="auto"/>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工业</w:t>
            </w:r>
            <w:r>
              <w:rPr>
                <w:color w:val="auto"/>
              </w:rPr>
            </w:r>
            <w:r/>
          </w:p>
        </w:tc>
      </w:tr>
      <w:tr>
        <w:trPr>
          <w:jc w:val="cente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4"/>
              </w:rPr>
              <w:t xml:space="preserve">工业网络控制平台</w:t>
            </w:r>
            <w:r>
              <w:rPr>
                <w:color w:val="auto"/>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4"/>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4"/>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ascii="仿宋" w:hAnsi="仿宋" w:eastAsia="仿宋" w:cs="仿宋"/>
                <w:b/>
                <w:color w:val="auto"/>
                <w:sz w:val="24"/>
                <w:szCs w:val="28"/>
                <w:highlight w:val="green"/>
              </w:rPr>
            </w:pPr>
            <w:r>
              <w:rPr>
                <w:rFonts w:hint="eastAsia" w:ascii="仿宋" w:hAnsi="仿宋" w:eastAsia="仿宋" w:cs="仿宋"/>
                <w:b/>
                <w:color w:val="auto"/>
                <w:sz w:val="24"/>
                <w:szCs w:val="28"/>
              </w:rPr>
              <w:t xml:space="preserve">否</w:t>
            </w:r>
            <w:r>
              <w:rPr>
                <w:color w:val="auto"/>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ascii="仿宋" w:hAnsi="仿宋" w:eastAsia="仿宋" w:cs="仿宋"/>
                <w:color w:val="auto"/>
                <w:sz w:val="24"/>
                <w:szCs w:val="28"/>
                <w:highlight w:val="green"/>
              </w:rPr>
            </w:pPr>
            <w:r>
              <w:rPr>
                <w:rFonts w:hint="eastAsia" w:ascii="仿宋" w:hAnsi="仿宋" w:eastAsia="仿宋" w:cs="仿宋"/>
                <w:color w:val="auto"/>
                <w:sz w:val="24"/>
                <w:szCs w:val="28"/>
              </w:rPr>
              <w:t xml:space="preserve">否</w:t>
            </w:r>
            <w:r>
              <w:rPr>
                <w:color w:val="auto"/>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否</w:t>
            </w:r>
            <w:r>
              <w:rPr>
                <w:color w:val="auto"/>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ascii="仿宋" w:hAnsi="仿宋" w:eastAsia="仿宋" w:cs="仿宋"/>
                <w:color w:val="auto"/>
                <w:sz w:val="24"/>
                <w:szCs w:val="28"/>
              </w:rPr>
            </w:pPr>
            <w:r>
              <w:rPr>
                <w:rFonts w:hint="eastAsia" w:ascii="仿宋" w:hAnsi="仿宋" w:eastAsia="仿宋" w:cs="仿宋"/>
                <w:color w:val="auto"/>
                <w:sz w:val="24"/>
                <w:szCs w:val="28"/>
              </w:rPr>
              <w:t xml:space="preserve">工业</w:t>
            </w:r>
            <w:r>
              <w:rPr>
                <w:color w:val="auto"/>
              </w:rPr>
            </w:r>
            <w:r/>
          </w:p>
        </w:tc>
      </w:tr>
    </w:tbl>
    <w:p>
      <w:pPr>
        <w:spacing w:after="62" w:line="480" w:lineRule="exact"/>
        <w:rPr>
          <w:rFonts w:eastAsia="仿宋"/>
          <w:b/>
          <w:color w:val="auto"/>
          <w:sz w:val="28"/>
          <w:szCs w:val="28"/>
        </w:rPr>
      </w:pPr>
      <w:r>
        <w:rPr>
          <w:rFonts w:eastAsia="仿宋"/>
          <w:b/>
          <w:color w:val="auto"/>
          <w:sz w:val="28"/>
          <w:szCs w:val="28"/>
        </w:rPr>
        <w:t xml:space="preserve">二、技术要求</w:t>
      </w:r>
      <w:r>
        <w:rPr>
          <w:color w:val="auto"/>
        </w:rPr>
      </w:r>
      <w:r/>
    </w:p>
    <w:p>
      <w:pPr>
        <w:spacing w:after="62" w:line="480" w:lineRule="exact"/>
        <w:rPr>
          <w:rFonts w:eastAsia="仿宋"/>
          <w:bCs/>
          <w:color w:val="auto"/>
          <w:sz w:val="24"/>
          <w:szCs w:val="24"/>
        </w:rPr>
      </w:pPr>
      <w:r>
        <w:rPr>
          <w:rFonts w:eastAsia="仿宋"/>
          <w:bCs/>
          <w:color w:val="auto"/>
          <w:sz w:val="24"/>
          <w:szCs w:val="24"/>
        </w:rPr>
        <w:t xml:space="preserve">包括性能、材料、结构、外观、安全，或者服务内容和标准等：</w:t>
      </w:r>
      <w:r>
        <w:rPr>
          <w:color w:val="auto"/>
        </w:rPr>
      </w:r>
      <w:r/>
    </w:p>
    <w:p>
      <w:pPr>
        <w:spacing w:after="62" w:line="480" w:lineRule="exact"/>
        <w:rPr>
          <w:rFonts w:eastAsia="仿宋"/>
          <w:b/>
          <w:bCs/>
          <w:color w:val="auto"/>
          <w:sz w:val="28"/>
          <w:szCs w:val="28"/>
        </w:rPr>
      </w:pPr>
      <w:r>
        <w:rPr>
          <w:rFonts w:eastAsia="仿宋"/>
          <w:b/>
          <w:bCs/>
          <w:color w:val="auto"/>
          <w:sz w:val="28"/>
          <w:szCs w:val="28"/>
        </w:rPr>
        <w:t xml:space="preserve">（一）采购标的需实现的功能或者目标</w:t>
      </w:r>
      <w:r>
        <w:rPr>
          <w:rFonts w:hint="eastAsia" w:eastAsia="仿宋"/>
          <w:b/>
          <w:bCs/>
          <w:color w:val="auto"/>
          <w:sz w:val="28"/>
          <w:szCs w:val="28"/>
        </w:rPr>
        <w:t xml:space="preserve">，</w:t>
      </w:r>
      <w:r>
        <w:rPr>
          <w:rFonts w:eastAsia="仿宋"/>
          <w:b/>
          <w:bCs/>
          <w:color w:val="auto"/>
          <w:sz w:val="28"/>
          <w:szCs w:val="28"/>
        </w:rPr>
        <w:t xml:space="preserve"> 以及为落实政府采购政策需满足的要求</w:t>
      </w:r>
      <w:r>
        <w:rPr>
          <w:color w:val="auto"/>
        </w:rPr>
      </w:r>
      <w:r/>
    </w:p>
    <w:p>
      <w:pPr>
        <w:ind w:firstLine="480"/>
        <w:rPr>
          <w:rFonts w:ascii="仿宋" w:hAnsi="仿宋" w:eastAsia="仿宋" w:cs="仿宋"/>
          <w:color w:val="auto"/>
          <w:sz w:val="24"/>
          <w:szCs w:val="28"/>
        </w:rPr>
      </w:pPr>
      <w:r>
        <w:rPr>
          <w:rFonts w:hint="eastAsia" w:ascii="仿宋" w:hAnsi="仿宋" w:eastAsia="仿宋" w:cs="仿宋"/>
          <w:color w:val="auto"/>
          <w:sz w:val="24"/>
          <w:szCs w:val="28"/>
        </w:rPr>
        <w:t xml:space="preserve">1.依据国家《“十四五”智能制造发展规划》中“夯实基础支撑、强化人才培养、推进产教融合”的发展部署，以及《</w:t>
      </w:r>
      <w:r>
        <w:rPr>
          <w:rFonts w:hint="eastAsia" w:ascii="仿宋" w:hAnsi="仿宋" w:eastAsia="仿宋" w:cs="仿宋"/>
          <w:color w:val="auto"/>
          <w:sz w:val="24"/>
          <w:szCs w:val="28"/>
        </w:rPr>
        <w:t xml:space="preserve">职业教育产教融合赋能提升行动实施方案》关于聚焦工业互联网、智能制造等战略性新兴产业深化产教融合、培养技能人才的工作要求；衔接《江苏省“十四五”教育发展规划》和《江苏省“十四五”职业教育发展规划》中推动职业教育产教深度融合、建设高水平实训基地、服务先进制造业发展的目标任务，落实《江苏省深化制造业智能化改造数字化转型网络化联接三年行动计划（2025－2027年）》中加强数字技术技能人才队伍建设的工作部署，通过建设工业网络控制实训平台，完善专业实训条件，对接区域产业发展人才需求，助力制造业数字化转型与高质量发展。</w:t>
      </w:r>
      <w:r>
        <w:rPr>
          <w:color w:val="auto"/>
        </w:rPr>
      </w:r>
      <w:r/>
    </w:p>
    <w:p>
      <w:pPr>
        <w:ind w:firstLine="480"/>
        <w:rPr>
          <w:rFonts w:ascii="仿宋" w:hAnsi="仿宋" w:eastAsia="仿宋" w:cs="仿宋"/>
          <w:color w:val="auto"/>
          <w:sz w:val="24"/>
          <w:szCs w:val="28"/>
        </w:rPr>
      </w:pPr>
      <w:r>
        <w:rPr>
          <w:rFonts w:hint="eastAsia" w:ascii="仿宋" w:hAnsi="仿宋" w:eastAsia="仿宋" w:cs="仿宋"/>
          <w:color w:val="auto"/>
          <w:sz w:val="24"/>
          <w:szCs w:val="28"/>
        </w:rPr>
        <w:t xml:space="preserve">2.工业网络控制技术是智能制造、工业互联网体系的核心支撑技术，广泛应用于工业以太网组网、现场总线通信、设备数据采集与传输、生</w:t>
      </w:r>
      <w:r>
        <w:rPr>
          <w:rFonts w:hint="eastAsia" w:ascii="仿宋" w:hAnsi="仿宋" w:eastAsia="仿宋" w:cs="仿宋"/>
          <w:color w:val="auto"/>
          <w:sz w:val="24"/>
          <w:szCs w:val="28"/>
        </w:rPr>
        <w:t xml:space="preserve">产系统互联互通、远程监控与故障诊断等工业生产全场景。当前江苏省正纵深推进制造业智能化改造、数字化转型、网络化联接，规上工业企业加速工业网络升级与工控系统迭代，行业内对具备工业网络规划设计、组网调试、通信参数配置、控制系统联调、运行维护与故障排查能力的高素质技术技能人才需求持续攀升。职业院校作为技能人才培养主阵地，需建设与产业技术标准同步、与岗位能力需求对接的实训教学载体，将工业企业典型工作任务转化为实训教学项目，推动岗课赛证综合育人，提升人才培养与产业发展的适配度，为江苏先进制造业集群发展输送合格技能人才。</w:t>
      </w:r>
      <w:r>
        <w:rPr>
          <w:color w:val="auto"/>
        </w:rPr>
      </w:r>
      <w:r/>
    </w:p>
    <w:p>
      <w:pPr>
        <w:ind w:firstLine="480"/>
        <w:rPr>
          <w:rFonts w:ascii="仿宋" w:hAnsi="仿宋" w:eastAsia="仿宋" w:cs="仿宋"/>
          <w:color w:val="auto"/>
          <w:sz w:val="24"/>
          <w:szCs w:val="28"/>
        </w:rPr>
      </w:pPr>
      <w:r>
        <w:rPr>
          <w:rFonts w:hint="eastAsia" w:ascii="仿宋" w:hAnsi="仿宋" w:eastAsia="仿宋" w:cs="仿宋"/>
          <w:color w:val="auto"/>
          <w:sz w:val="24"/>
          <w:szCs w:val="28"/>
        </w:rPr>
        <w:t xml:space="preserve">3.智能机电技术的发展对人才的培养提出了新的要求，建设智能机电技术实训中心已经成为迫切需求。智能制造行业的发展需要大量具备先进技术能力的工程技术人员，尤其是在智能产线、自动化控制、机电一体化等关键领域。传统的教学模式和实训条件难以满足当前产业发展的需求，实训中心的建设不仅可以提升人才的实践能力，还能够有效缩短毕业生适应企业岗位的时间，满足市场对高端技术人才的需求。</w:t>
      </w:r>
      <w:r>
        <w:rPr>
          <w:color w:val="auto"/>
        </w:rPr>
      </w:r>
      <w:r/>
    </w:p>
    <w:p>
      <w:pPr>
        <w:ind w:firstLine="480"/>
        <w:rPr>
          <w:rFonts w:ascii="仿宋" w:hAnsi="仿宋" w:eastAsia="仿宋" w:cs="仿宋"/>
          <w:color w:val="auto"/>
          <w:sz w:val="24"/>
          <w:szCs w:val="28"/>
        </w:rPr>
      </w:pPr>
      <w:r>
        <w:rPr>
          <w:rFonts w:hint="eastAsia" w:ascii="仿宋" w:hAnsi="仿宋" w:eastAsia="仿宋" w:cs="仿宋"/>
          <w:color w:val="auto"/>
          <w:sz w:val="24"/>
          <w:szCs w:val="28"/>
        </w:rPr>
        <w:t xml:space="preserve">4.本项目采购工业</w:t>
      </w:r>
      <w:r>
        <w:rPr>
          <w:rFonts w:hint="eastAsia" w:ascii="仿宋" w:hAnsi="仿宋" w:eastAsia="仿宋" w:cs="仿宋"/>
          <w:color w:val="auto"/>
          <w:sz w:val="24"/>
          <w:szCs w:val="28"/>
        </w:rPr>
        <w:t xml:space="preserve">网络控制设备是学校工业网络控制、工业自动化类专业核心实训教学体系的关键基础支撑，一是支撑专业内涵建设与课程体系优化升级，对接智能制造与工业互联网产业技术标准和岗位能力要求，完善专业实践教学体系，助力构建“岗课赛证”深度融合的课程体系，推动专业教学内容持续迭代更新，保障教学内容与产业技术发展同频同步；二是赋能教学模式创新与教学质量提升，打破理论教学与实践教学的壁垒，支撑理实一体化教学、项目化教学、任务驱动式教学等多元教学模式落地，丰富教学实施场景，强化学生沉浸式学习体验，切实提升课堂教学成效与人才培养质量；三</w:t>
      </w:r>
      <w:r>
        <w:rPr>
          <w:rFonts w:hint="eastAsia" w:ascii="仿宋" w:hAnsi="仿宋" w:eastAsia="仿宋" w:cs="仿宋"/>
          <w:color w:val="auto"/>
          <w:sz w:val="24"/>
          <w:szCs w:val="28"/>
        </w:rPr>
        <w:t xml:space="preserve">是筑牢实践育人载体与核心能力培养阵地，以平台为核心搭建系统化实践教学路径，着重培养学生的工程思维、系统认知、实操应用与问题解决能力，全面提升学生的职业核心素养与岗位适配能力，落实高素质技术技能人才培养目标；四是统筹师资队伍建设、教学资源开发与技能竞赛支撑，既为专业教师提供教学研究、实训项目开发、技能研修的实践载体，助力“双师型”教师队伍成长，带动配套实训教材、教学案例等教学资源开发沉淀，同时可支撑校内课程考核、技能等级评价等教学评价工作，为各级职业技能竞赛提供集训备赛条件，充分发挥以赛促教、以赛促学的作用。</w:t>
      </w:r>
      <w:r>
        <w:rPr>
          <w:color w:val="auto"/>
        </w:rPr>
      </w:r>
      <w:r/>
    </w:p>
    <w:p>
      <w:pPr>
        <w:spacing w:after="62" w:line="480" w:lineRule="exact"/>
        <w:rPr>
          <w:rFonts w:eastAsia="仿宋"/>
          <w:b/>
          <w:bCs/>
          <w:color w:val="auto"/>
          <w:sz w:val="28"/>
          <w:szCs w:val="28"/>
        </w:rPr>
      </w:pPr>
      <w:r>
        <w:rPr>
          <w:rFonts w:eastAsia="仿宋"/>
          <w:b/>
          <w:bCs/>
          <w:color w:val="auto"/>
          <w:sz w:val="28"/>
          <w:szCs w:val="28"/>
        </w:rPr>
        <w:t xml:space="preserve">（二）采购标的需执行的国家相关标准、行业标准、地方标准或者其他标准、规范</w:t>
      </w:r>
      <w:r>
        <w:rPr>
          <w:color w:val="auto"/>
        </w:rPr>
      </w:r>
      <w:r/>
    </w:p>
    <w:p>
      <w:pPr>
        <w:spacing w:after="62" w:line="480" w:lineRule="exact"/>
        <w:rPr>
          <w:rFonts w:eastAsia="仿宋"/>
          <w:color w:val="auto"/>
          <w:sz w:val="24"/>
          <w:szCs w:val="24"/>
        </w:rPr>
      </w:pPr>
      <w:r>
        <w:rPr>
          <w:rFonts w:hint="eastAsia" w:eastAsia="仿宋"/>
          <w:color w:val="auto"/>
          <w:sz w:val="24"/>
          <w:szCs w:val="24"/>
        </w:rPr>
        <w:t xml:space="preserve">1.</w:t>
      </w:r>
      <w:r>
        <w:rPr>
          <w:rFonts w:eastAsia="仿宋"/>
          <w:color w:val="auto"/>
          <w:sz w:val="24"/>
          <w:szCs w:val="24"/>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eastAsia="仿宋"/>
          <w:color w:val="auto"/>
          <w:sz w:val="24"/>
          <w:szCs w:val="24"/>
        </w:rPr>
        <w:t xml:space="preserve">法律法规</w:t>
      </w:r>
      <w:r>
        <w:rPr>
          <w:rFonts w:eastAsia="仿宋"/>
          <w:color w:val="auto"/>
          <w:sz w:val="24"/>
          <w:szCs w:val="24"/>
        </w:rPr>
        <w:t xml:space="preserve">规定的要求。</w:t>
      </w:r>
      <w:r>
        <w:rPr>
          <w:color w:val="auto"/>
        </w:rPr>
      </w:r>
      <w:r/>
    </w:p>
    <w:p>
      <w:pPr>
        <w:spacing w:after="62" w:line="480" w:lineRule="exact"/>
        <w:rPr>
          <w:rFonts w:eastAsia="仿宋"/>
          <w:color w:val="auto"/>
          <w:sz w:val="24"/>
          <w:szCs w:val="24"/>
        </w:rPr>
      </w:pPr>
      <w:r>
        <w:rPr>
          <w:rFonts w:hint="eastAsia" w:eastAsia="仿宋"/>
          <w:color w:val="auto"/>
          <w:sz w:val="24"/>
          <w:szCs w:val="24"/>
        </w:rPr>
        <w:t xml:space="preserve">2.</w:t>
      </w:r>
      <w:r>
        <w:rPr>
          <w:rFonts w:eastAsia="仿宋"/>
          <w:color w:val="auto"/>
          <w:sz w:val="24"/>
          <w:szCs w:val="24"/>
        </w:rPr>
        <w:t xml:space="preserve">项目提供的技术要求</w:t>
      </w:r>
      <w:r>
        <w:rPr>
          <w:rFonts w:hint="eastAsia" w:eastAsia="仿宋"/>
          <w:color w:val="auto"/>
          <w:sz w:val="24"/>
          <w:szCs w:val="24"/>
        </w:rPr>
        <w:t xml:space="preserve">（</w:t>
      </w:r>
      <w:r>
        <w:rPr>
          <w:rFonts w:eastAsia="仿宋"/>
          <w:color w:val="auto"/>
          <w:sz w:val="24"/>
          <w:szCs w:val="24"/>
        </w:rPr>
        <w:t xml:space="preserve">规格</w:t>
      </w:r>
      <w:r>
        <w:rPr>
          <w:rFonts w:hint="eastAsia" w:eastAsia="仿宋"/>
          <w:color w:val="auto"/>
          <w:sz w:val="24"/>
          <w:szCs w:val="24"/>
        </w:rPr>
        <w:t xml:space="preserve">）</w:t>
      </w:r>
      <w:r>
        <w:rPr>
          <w:rFonts w:eastAsia="仿宋"/>
          <w:color w:val="auto"/>
          <w:sz w:val="24"/>
          <w:szCs w:val="24"/>
        </w:rPr>
        <w:t xml:space="preserve">只是对产品的一些原则性要求，并不是最详尽的描述和要求，投标人有责任依据相关设计技术规范和有关行业国家标准执行。</w:t>
      </w:r>
      <w:r>
        <w:rPr>
          <w:color w:val="auto"/>
        </w:rPr>
      </w:r>
      <w:r/>
    </w:p>
    <w:p>
      <w:pPr>
        <w:spacing w:after="62" w:line="480" w:lineRule="exact"/>
        <w:rPr>
          <w:rFonts w:eastAsia="仿宋"/>
          <w:color w:val="auto"/>
          <w:sz w:val="24"/>
          <w:szCs w:val="24"/>
        </w:rPr>
      </w:pPr>
      <w:r>
        <w:rPr>
          <w:rFonts w:hint="eastAsia" w:eastAsia="仿宋"/>
          <w:color w:val="auto"/>
          <w:sz w:val="24"/>
          <w:szCs w:val="24"/>
        </w:rPr>
        <w:t xml:space="preserve">3.</w:t>
      </w:r>
      <w:r>
        <w:rPr>
          <w:rFonts w:eastAsia="仿宋"/>
          <w:color w:val="auto"/>
          <w:sz w:val="24"/>
          <w:szCs w:val="24"/>
        </w:rPr>
        <w:t xml:space="preserve">投标人应保证提供的产品不得侵犯第三方专利权、商标权和设计权、版权等。否则，投标人应负全部责任，并承担由此引起的一切后果。</w:t>
      </w:r>
      <w:r>
        <w:rPr>
          <w:color w:val="auto"/>
        </w:rPr>
      </w:r>
      <w:r/>
    </w:p>
    <w:p>
      <w:pPr>
        <w:spacing w:after="62" w:line="480" w:lineRule="exact"/>
        <w:rPr>
          <w:rFonts w:eastAsia="仿宋"/>
          <w:color w:val="auto"/>
          <w:sz w:val="24"/>
          <w:szCs w:val="24"/>
          <w:u w:val="single"/>
        </w:rPr>
      </w:pPr>
      <w:r>
        <w:rPr>
          <w:rFonts w:hint="eastAsia" w:eastAsia="仿宋"/>
          <w:color w:val="auto"/>
          <w:sz w:val="24"/>
          <w:szCs w:val="24"/>
          <w:u w:val="single"/>
        </w:rPr>
        <w:t xml:space="preserve">4.投标人提供的软件产品自主可控，符合国家有关的软硬件信创国产化要求、国家标准和行业标准的要求，确保知识产权无风险。产品需要与主流的国产操作系统、数据库、中间件等软硬件环境有良好的兼容性，并支持学校现有虚拟化平台备份需求，同时满足学校未来建设的主流信创新平台及信息系统的兼容性备份需求，</w:t>
      </w:r>
      <w:r>
        <w:rPr>
          <w:rFonts w:eastAsia="仿宋"/>
          <w:color w:val="auto"/>
          <w:sz w:val="24"/>
          <w:szCs w:val="24"/>
          <w:u w:val="single"/>
        </w:rPr>
        <w:t xml:space="preserve">5 年内免费提供系统平台对接授权及配套技术支持，5 年后基础对接授权持续有效。</w:t>
      </w:r>
      <w:r>
        <w:rPr>
          <w:color w:val="auto"/>
        </w:rPr>
      </w:r>
      <w:r/>
    </w:p>
    <w:p>
      <w:pPr>
        <w:spacing w:after="62" w:line="479" w:lineRule="atLeast"/>
        <w:rPr>
          <w:rFonts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（三）采购标的需满足的质量、安全、技术规格、物理特性等要求</w:t>
      </w:r>
      <w:r>
        <w:rPr>
          <w:color w:val="auto"/>
        </w:rPr>
      </w:r>
      <w:r/>
    </w:p>
    <w:p>
      <w:pPr>
        <w:numPr>
          <w:ilvl w:val="0"/>
          <w:numId w:val="12"/>
        </w:numPr>
        <w:jc w:val="left"/>
        <w:spacing w:line="40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技术参数要求</w:t>
      </w:r>
      <w:r>
        <w:rPr>
          <w:color w:val="auto"/>
        </w:rPr>
      </w:r>
      <w:r/>
    </w:p>
    <w:tbl>
      <w:tblPr>
        <w:tblStyle w:val="999"/>
        <w:tblW w:w="10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4"/>
        <w:gridCol w:w="1156"/>
        <w:gridCol w:w="8457"/>
      </w:tblGrid>
      <w:tr>
        <w:trPr>
          <w:jc w:val="center"/>
        </w:trPr>
        <w:tc>
          <w:tcPr>
            <w:tcW w:w="494"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序号</w:t>
            </w:r>
            <w:r>
              <w:rPr>
                <w:color w:val="auto"/>
              </w:rPr>
            </w:r>
            <w:r/>
          </w:p>
        </w:tc>
        <w:tc>
          <w:tcPr>
            <w:tcW w:w="1156"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设备名称</w:t>
            </w:r>
            <w:r>
              <w:rPr>
                <w:color w:val="auto"/>
              </w:rPr>
            </w:r>
            <w:r/>
          </w:p>
        </w:tc>
        <w:tc>
          <w:tcPr>
            <w:tcW w:w="8457"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技术参数要求</w:t>
            </w:r>
            <w:r>
              <w:rPr>
                <w:color w:val="auto"/>
              </w:rPr>
            </w:r>
            <w:r/>
          </w:p>
        </w:tc>
      </w:tr>
      <w:tr>
        <w:trPr>
          <w:jc w:val="center"/>
        </w:trPr>
        <w:tc>
          <w:tcPr>
            <w:tcW w:w="494"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1</w:t>
            </w:r>
            <w:r>
              <w:rPr>
                <w:color w:val="auto"/>
              </w:rPr>
            </w:r>
            <w:r/>
          </w:p>
        </w:tc>
        <w:tc>
          <w:tcPr>
            <w:tcW w:w="1156"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工业网络控制技术应用平台</w:t>
            </w:r>
            <w:r>
              <w:rPr>
                <w:color w:val="auto"/>
              </w:rPr>
            </w:r>
            <w:r/>
          </w:p>
        </w:tc>
        <w:tc>
          <w:tcPr>
            <w:tcW w:w="845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一、设备整体要求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要求该平台至少集成PLC、工业以太网、现场总线、工业机械手、RFID、传感检测系统、视觉检测系统等，应至少支持工业现场总线设备、工业控制、边缘计算、工业网络技术、数据信息采集等工业互联网应用场景，要求还应至少融入云平台数据管理与ERP、MES管理系统，可实现对生产现场的实时监控、调度和优化等功能。</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二、设备技术指标要求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1.工作台尺寸：长×宽×高</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1800mm×800mm×1800mm；</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2.输入电源：AC 220V±10% /50Hz；输入功率：≤3kW；工作环境：常温、室内；温度：-10℃～+50℃；相对湿度：≤90%（+20℃）；海拔高度：≤4000m；</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3.设备重量：≥450kg；</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安全保护：具有接地保护、漏电保护功能，安全性符合相关的国际标准。采用高绝缘的安全型插座及带绝缘护套的高强度安全型实验导线。为确保教学过程中使用安全，设备应配备电气线路短路限制及保护装置。</w:t>
            </w:r>
            <w:r>
              <w:rPr>
                <w:rFonts w:hint="eastAsia" w:ascii="仿宋" w:hAnsi="仿宋" w:eastAsia="仿宋" w:cs="仿宋"/>
                <w:b/>
                <w:color w:val="auto"/>
                <w:sz w:val="24"/>
                <w:szCs w:val="24"/>
              </w:rPr>
              <w:t xml:space="preserve">（提供所投产品满足上述安全保护要求的技术证明材料）</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三、设备功能与特点</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1.设备的网络拓扑构成要求：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要求设备至少由控制网络单元和设备单元组成。控制网络单元要求至少包含三层交换机、防火墙、物联网关、PLC、变频器、伺服、触摸屏、工业交换机、按钮、指示灯等器件，能够实现工业网络搭建、工业通讯应用、工业现场接线编程等，最终实现对设备单元的统一控制；设备单元要求至少包含RFID、视觉、伺服电机、三相异步电机、传感器、电磁阀等器件，可实现对环形输送线、龙门架单元、视觉检测单元的控制。要求控制网络单元和设备单元均可拆卸更换，设备模块要求相对独立，可根据需求灵活配置、组合。</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2.信息管理</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w:t>
            </w:r>
            <w:r>
              <w:rPr>
                <w:rFonts w:hint="eastAsia" w:ascii="仿宋" w:hAnsi="仿宋" w:eastAsia="仿宋" w:cs="仿宋"/>
                <w:b/>
                <w:color w:val="auto"/>
                <w:sz w:val="24"/>
                <w:szCs w:val="24"/>
              </w:rPr>
              <w:t xml:space="preserve">MES制造执行单元：</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系统要求根据选手所有工作任务均从个性化需求订单及共线生产出发，允许用户通过平台进行任务下发，并进行共线生产的全自动化作业。从订单加工、生产、装配到成品的检测，订单制造过程的每一个环节，均可通过MES 软件进行实时查询与追踪。本单元包含基础数据、仓位管理、设备单元管理，报警参数设置、设备运行及生产订单管理操作界面，要求如下：</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（1）基础数据界面：可进行对工厂信息、用户信息、设备信息、生产订单进行设置。</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数据管理单元：可对设备数据、输送供料、旋转供料、高度检测、钢珠装配、龙门入库、分拣检测等单元，可对其进行单站单机运行测试，并提取各设备的状态信息，比如环境检测、伺服状态、生产状态、库位状态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（3）设备数据管理界面：可对设备数据状态进行数据采集，包括电压、功率、温度、湿度、大气压力、振动数据等信息。</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（4）生产订单界面：可对其进行订单的创建，明细的添加，订单下发等。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（5）报警参数设置界面：可对设备数据状态进行阈值设置，包括电压、功率、温度、湿度、大气压力、振动数据等信息。</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2）信息层云平台单元：</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平台采用国产企业级平台，界面制作便捷，功能丰富，数据处理稳定。平台功能包括设备接入、设备管理、数据存储、数据展示、数据分析、用户管理、维保工单、配方管理等功能。平台免编程可快速便捷实现产品与系统的联接，实现物联平台。可实现多样快捷的连接监控方式（业务系统、地图、视频监控），实时、精准的数据信息来源，精准高效的数据透视（柱状图、趋势图、定制数据透视报表），设备间更紧密的组合联动（多台PLC构成的设备系统的集中监控）。</w:t>
            </w:r>
            <w:r>
              <w:rPr>
                <w:rFonts w:hint="eastAsia" w:ascii="仿宋" w:hAnsi="仿宋" w:eastAsia="仿宋" w:cs="仿宋"/>
                <w:b/>
                <w:color w:val="auto"/>
                <w:sz w:val="24"/>
                <w:szCs w:val="24"/>
              </w:rPr>
              <w:t xml:space="preserve">（提供信息层平台界面截图）</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具体内容要求如下</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（1）项目配置：项目支持导入、导出、删除、编辑，方便操作，包括设备配置、项目组态配置、报警源配置、设备状态统计、条件赋值、报表。</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组态页功能，提供不同类型可编辑的基础元件、基础和高级控件，通过图形化界面呈现相关数据信息，使用户能够一目了然地查看整个系统的状态信息，组态界面用户可自定义，包括界面的布局，颜色，控件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（3）基础元件：直线，圆，矩形，文本，图片，折线，多边形，表格等；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基础控件：按钮、指示灯、按钮指示灯、数据显示、数据输入、数据控制、组合框输入、滑动输入、画面跳转、变量图片等。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（4）高级控件：环形图、棒图、流体、轮播动画、历史曲线、实时曲线、日期时间、实时事件、历史事件、天气、视频控件、功能键、功能域。</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（5）可根据需求编辑多个组态画面同时进行组合排列显示。</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3）可视化数据管理单元：</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要求可完成生产可视化、设备状态可视化、设备状态管理可视化、维保过程数字化、维保经验数字化等功能。</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4）工业网络设备</w:t>
            </w:r>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（1）环网三层管理工业交换机：</w:t>
            </w:r>
            <w:r>
              <w:rPr>
                <w:rFonts w:ascii="仿宋" w:hAnsi="仿宋" w:eastAsia="仿宋" w:cs="仿宋"/>
                <w:bCs/>
                <w:color w:val="auto"/>
                <w:sz w:val="24"/>
                <w:szCs w:val="24"/>
              </w:rPr>
              <w:t xml:space="preserve">设备配置不少于8个10/100/1000M自适应RJ45 端口及4个千兆SFP端口，支持ERPS环网协议与RPL配置，直流输入电压范围 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 w:val="24"/>
                <w:szCs w:val="24"/>
              </w:rPr>
              <w:t xml:space="preserve">。</w:t>
            </w:r>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（2）工业级防火墙：</w:t>
            </w:r>
            <w:r>
              <w:rPr>
                <w:rFonts w:hint="eastAsia" w:ascii="仿宋" w:hAnsi="仿宋" w:eastAsia="仿宋" w:cs="仿宋"/>
                <w:bCs/>
                <w:color w:val="auto"/>
                <w:sz w:val="24"/>
                <w:szCs w:val="24"/>
                <w:highlight w:val="none"/>
              </w:rPr>
              <w:t xml:space="preserve">≥双核64位网络专用处理器，单核主频≥1GHz，≥1GB DDRIV 高速内存；≥3个10/100/1000M RJ45端口，≥1个MGMT管理口；工业级工作温度：-40</w:t>
            </w:r>
            <w:r>
              <w:rPr>
                <w:rFonts w:hint="eastAsia" w:ascii="仿宋" w:hAnsi="仿宋" w:eastAsia="仿宋" w:cs="仿宋"/>
                <w:bCs/>
                <w:color w:val="auto"/>
                <w:sz w:val="24"/>
                <w:szCs w:val="24"/>
                <w:highlight w:val="none"/>
              </w:rPr>
              <w:t xml:space="preserve">℃~75℃；EMS高级防护，三冗余电源输入；支持端口bypas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多管理员角色，精细化权限管理。</w:t>
            </w:r>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（3）边缘网关：</w:t>
            </w:r>
            <w:r>
              <w:rPr>
                <w:rFonts w:hint="eastAsia" w:ascii="仿宋" w:hAnsi="仿宋" w:eastAsia="仿宋" w:cs="仿宋"/>
                <w:bCs/>
                <w:color w:val="auto"/>
                <w:sz w:val="24"/>
                <w:szCs w:val="24"/>
              </w:rPr>
              <w:t xml:space="preserve">应采用 mips架构CPU，主频不低于300MHz，内存不低于128M DDR，16M FLASH，支持WIFI和以太网接入网络，应能支持2路10M/100M自适应端口，应能支持RS232/RS485/RS422端口，应具有看门狗管理，应能支持数据采集、PLC远程上下载程序、断网续传和交换机功能。</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（4）工业级双频无线接入点：</w:t>
            </w:r>
            <w:r>
              <w:rPr>
                <w:rFonts w:hint="eastAsia" w:ascii="仿宋" w:hAnsi="仿宋" w:eastAsia="仿宋" w:cs="仿宋"/>
                <w:bCs/>
                <w:color w:val="auto"/>
                <w:sz w:val="24"/>
                <w:szCs w:val="24"/>
              </w:rPr>
              <w:t xml:space="preserve">要求至少适应-40℃～+75℃温度下严苛</w:t>
            </w:r>
            <w:r>
              <w:rPr>
                <w:rFonts w:hint="eastAsia" w:ascii="仿宋" w:hAnsi="仿宋" w:eastAsia="仿宋" w:cs="仿宋"/>
                <w:bCs/>
                <w:color w:val="auto"/>
                <w:sz w:val="24"/>
                <w:szCs w:val="24"/>
              </w:rPr>
              <w:t xml:space="preserve">的工业级工作环境；冗余双路直流供电，以及标准PoE供电，适应工业环境组网要求，稳定可靠；IEC/EN 61000-4 高标准工业级防护设计，适应恶劣环境；2.4GHz和5GHz双频段并发射频，无线速率可达1900Mbps；独立功放电路，提升发射功率；支持设备工作为AP或Client两种覆盖/传输模式以及 Router 上网模式，应用灵活；强双频漫游技术，Client 模式设备可快速漫游至信号更优的AP；无线冗余技术，干扰下设备通信不中断；标准DIN导轨/壁挂安装，维护简便；支持AC或商用网络云平台集中管理。</w:t>
            </w:r>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w:t>
            </w:r>
            <w:r>
              <w:rPr>
                <w:rFonts w:hint="eastAsia" w:ascii="仿宋" w:hAnsi="仿宋" w:eastAsia="仿宋" w:cs="仿宋"/>
                <w:b/>
                <w:color w:val="auto"/>
                <w:sz w:val="24"/>
                <w:szCs w:val="24"/>
                <w:highlight w:val="none"/>
              </w:rPr>
              <w:t xml:space="preserve">5）环境传感器：</w:t>
            </w:r>
            <w:bookmarkStart w:id="195" w:name="OLE_LINK13"/>
            <w:r>
              <w:rPr>
                <w:rFonts w:hint="eastAsia" w:ascii="仿宋" w:hAnsi="仿宋" w:eastAsia="仿宋" w:cs="仿宋"/>
                <w:bCs/>
                <w:color w:val="auto"/>
                <w:sz w:val="24"/>
                <w:szCs w:val="24"/>
                <w:highlight w:val="none"/>
              </w:rPr>
              <w:t xml:space="preserve">能测量</w:t>
            </w:r>
            <w:bookmarkStart w:id="196" w:name="OLE_LINK12"/>
            <w:r>
              <w:rPr>
                <w:rFonts w:hint="eastAsia" w:ascii="仿宋" w:hAnsi="仿宋" w:eastAsia="仿宋" w:cs="仿宋"/>
                <w:bCs/>
                <w:color w:val="auto"/>
                <w:sz w:val="24"/>
                <w:szCs w:val="24"/>
                <w:highlight w:val="none"/>
              </w:rPr>
              <w:t xml:space="preserve">湿度、温度、大气压力、二氧化碳环境数据，支持RS485通讯，标准modbusRTU协议。</w:t>
            </w:r>
            <w:bookmarkEnd w:id="195"/>
            <w:r>
              <w:rPr>
                <w:color w:val="auto"/>
              </w:rPr>
            </w:r>
            <w:bookmarkEnd w:id="196"/>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（6）智能电表：</w:t>
            </w:r>
            <w:r>
              <w:rPr>
                <w:rFonts w:hint="eastAsia" w:ascii="仿宋" w:hAnsi="仿宋" w:eastAsia="仿宋" w:cs="仿宋"/>
                <w:bCs/>
                <w:color w:val="auto"/>
                <w:sz w:val="24"/>
                <w:szCs w:val="24"/>
              </w:rPr>
              <w:t xml:space="preserve">能实现对系统电压、电流、功率等电量的采集和显示，支持RS485通讯，采集的数据也可通过通讯传输给PLC。</w:t>
            </w:r>
            <w:r>
              <w:rPr>
                <w:color w:val="auto"/>
              </w:rPr>
            </w:r>
            <w:r/>
          </w:p>
          <w:p>
            <w:pPr>
              <w:rPr>
                <w:rFonts w:ascii="仿宋" w:hAnsi="仿宋" w:eastAsia="仿宋" w:cs="仿宋"/>
                <w:bCs/>
                <w:color w:val="auto"/>
                <w:sz w:val="24"/>
                <w:szCs w:val="24"/>
              </w:rPr>
            </w:pPr>
            <w:r>
              <w:rPr>
                <w:rFonts w:hint="eastAsia" w:ascii="仿宋" w:hAnsi="仿宋" w:eastAsia="仿宋" w:cs="仿宋"/>
                <w:b/>
                <w:color w:val="auto"/>
                <w:sz w:val="24"/>
                <w:szCs w:val="24"/>
              </w:rPr>
              <w:t xml:space="preserve">（7）LORA模块：</w:t>
            </w:r>
            <w:r>
              <w:rPr>
                <w:rFonts w:hint="eastAsia" w:ascii="仿宋" w:hAnsi="仿宋" w:eastAsia="仿宋" w:cs="仿宋"/>
                <w:bCs/>
                <w:color w:val="auto"/>
                <w:sz w:val="24"/>
                <w:szCs w:val="24"/>
              </w:rPr>
              <w:t xml:space="preserve">支持RS232、485-LoRa通讯，纯射频模组，支持发送、接收数据，与PLC直接通讯。</w:t>
            </w:r>
            <w:r>
              <w:rPr>
                <w:color w:val="auto"/>
              </w:rPr>
            </w:r>
            <w:r/>
          </w:p>
          <w:p>
            <w:pPr>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（8）协议网关</w:t>
            </w:r>
            <w:r>
              <w:rPr>
                <w:rFonts w:hint="eastAsia" w:ascii="仿宋" w:hAnsi="仿宋" w:eastAsia="仿宋" w:cs="仿宋"/>
                <w:bCs/>
                <w:color w:val="auto"/>
                <w:sz w:val="24"/>
                <w:szCs w:val="24"/>
                <w:highlight w:val="none"/>
              </w:rPr>
              <w:t xml:space="preserve">：应支持Modbus-RTU/ASCII到ProfiNet协议的转换</w:t>
            </w:r>
            <w:r>
              <w:rPr>
                <w:color w:val="auto"/>
              </w:rPr>
            </w:r>
            <w:r/>
          </w:p>
          <w:p>
            <w:pPr>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（9）IOT工业控制器：</w:t>
            </w:r>
            <w:bookmarkStart w:id="197" w:name="OLE_LINK15"/>
            <w:r>
              <w:rPr>
                <w:rFonts w:hint="eastAsia" w:ascii="仿宋" w:hAnsi="仿宋" w:eastAsia="仿宋" w:cs="仿宋"/>
                <w:bCs/>
                <w:color w:val="auto"/>
                <w:sz w:val="24"/>
                <w:szCs w:val="24"/>
                <w:highlight w:val="none"/>
              </w:rPr>
              <w:t xml:space="preserve">要求</w:t>
            </w:r>
            <w:bookmarkEnd w:id="197"/>
            <w:r>
              <w:rPr>
                <w:rFonts w:hint="eastAsia" w:ascii="仿宋" w:hAnsi="仿宋" w:eastAsia="仿宋" w:cs="仿宋"/>
                <w:bCs/>
                <w:color w:val="auto"/>
                <w:sz w:val="24"/>
                <w:szCs w:val="24"/>
                <w:highlight w:val="none"/>
              </w:rPr>
              <w:t xml:space="preserve">控制</w:t>
            </w:r>
            <w:r>
              <w:rPr>
                <w:rFonts w:ascii="仿宋" w:hAnsi="仿宋" w:eastAsia="仿宋" w:cs="仿宋"/>
                <w:bCs/>
                <w:color w:val="auto"/>
                <w:sz w:val="24"/>
                <w:szCs w:val="24"/>
                <w:highlight w:val="none"/>
              </w:rPr>
              <w:t xml:space="preserve">处理器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I3</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内存</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8GB</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存储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容量≥128GB</w:t>
            </w:r>
            <w:r>
              <w:rPr>
                <w:rFonts w:hint="eastAsia" w:ascii="仿宋" w:hAnsi="仿宋" w:eastAsia="仿宋" w:cs="仿宋"/>
                <w:bCs/>
                <w:color w:val="auto"/>
                <w:sz w:val="24"/>
                <w:szCs w:val="24"/>
                <w:highlight w:val="none"/>
              </w:rPr>
              <w:t xml:space="preserve">。</w:t>
            </w:r>
            <w:r>
              <w:rPr>
                <w:color w:val="auto"/>
              </w:rPr>
            </w:r>
            <w:r/>
          </w:p>
          <w:p>
            <w:pP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3.设备层组成</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1）设备要求至少由供料站点、传送带装置、传感器系统、视觉检测站点、到位阻挡站点、龙门十字滑台、气动控制站点等组成。</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2）供料站：要求至少提供塑料和金属两种材质的物料，同时物料应至少包含白色、红色、黑色三种颜色，每个物料上端 都有不同图形下陷。供料控制要求由一个供料气缸完成，气缸至少安装两个传感器，分别为伸出到位传感器和缩回到位传感器。物料用尽后需手动将物料加入供料库内。</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传送带装置：要求至少由一条机械环形传送带为主体，控制要求应由减速电机（三相电机带减速器）来完成，减速电机减速比要求不低于10：1，减速电机尾部要求至少安装一个增量式编码器作为反馈检测使用。</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4）传感器系统：传感器要求安装在装置多处位置，如龙门十字滑台的各个极限位置及原点位置、传送带装置上的到位传感器、颜色传感器、金属传感器、气缸上的到位传感器等。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w:t>
            </w:r>
            <w:r>
              <w:rPr>
                <w:rFonts w:hint="eastAsia" w:ascii="仿宋" w:hAnsi="仿宋" w:eastAsia="仿宋" w:cs="仿宋"/>
                <w:bCs/>
                <w:color w:val="auto"/>
                <w:sz w:val="24"/>
                <w:szCs w:val="24"/>
              </w:rPr>
              <w:t xml:space="preserve">视觉检测站点：工业视觉要求至少由支架、光源、智能相机等组成，可完成物料数量、外观、颜色等检测：具有强大的通信功能，至少支持 MODBUS-TCP、TCP/IP和S7等通讯；工业相机彩色相机，尺寸：</w:t>
            </w:r>
            <w:bookmarkStart w:id="198" w:name="OLE_LINK3"/>
            <w:r>
              <w:rPr>
                <w:rFonts w:hint="eastAsia" w:ascii="仿宋" w:hAnsi="仿宋" w:eastAsia="仿宋" w:cs="仿宋"/>
                <w:bCs/>
                <w:color w:val="auto"/>
                <w:sz w:val="24"/>
                <w:szCs w:val="24"/>
              </w:rPr>
              <w:t xml:space="preserve">≥</w:t>
            </w:r>
            <w:bookmarkEnd w:id="198"/>
            <w:r>
              <w:rPr>
                <w:rFonts w:hint="eastAsia" w:ascii="仿宋" w:hAnsi="仿宋" w:eastAsia="仿宋" w:cs="仿宋"/>
                <w:bCs/>
                <w:color w:val="auto"/>
                <w:sz w:val="24"/>
                <w:szCs w:val="24"/>
              </w:rPr>
              <w:t xml:space="preserve">29 mm×29 mm×30 mm，，分辨率：≥2592×1944，相机像素≥500万像素数据接口：不低于USB3.0，传感器类型：CMOS，卷帘快门，工作温度 0 ~ 50℃，储藏温度-30 ~ 70℃；视觉算法平台软件：要求兼容GigE Vision和USB3.0 Vision协议标准，可以接入多种品牌的相机。要求支持本地图像处理和相机数据图像处理光源：白色漫射LED环形灯。</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6）到位阻挡站点：要求由一个阻挡气缸和一个到位近点传感器组成，当物料检测通过后由近点传感器发送信号控制阻挡气缸伸出，帮助物料准确入库。</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7）龙门十字滑台：要求至少由伺服电机控制的X轴滑台和气动控制的Y轴滑台组成，X轴滑台上安装至少三个传感器，分别为左极限、右极限、原点传感器，Y轴气爪夹取物料出入物料库。</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8）气动控制站点：至少由一套气动系统组成，主要包含气泵、电磁阀、油水分离器、各类气动接头、气管等组成，负责给装置内气动部件提供动力。</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9）电气控制系统：</w:t>
            </w:r>
            <w:r>
              <w:rPr>
                <w:color w:val="auto"/>
              </w:rPr>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rPr>
              <w:t xml:space="preserve">（1）</w:t>
            </w:r>
            <w:r>
              <w:rPr>
                <w:rFonts w:hint="eastAsia" w:ascii="仿宋" w:hAnsi="仿宋" w:eastAsia="仿宋" w:cs="仿宋"/>
                <w:bCs/>
                <w:color w:val="auto"/>
                <w:sz w:val="24"/>
                <w:szCs w:val="24"/>
                <w:highlight w:val="none"/>
              </w:rPr>
              <w:t xml:space="preserve">主控PLC：CPU 带有显示屏；工作存储器可存储 ≥150 KB 代码和1MB数据；位指令执行时间≤ 60 ns；4级防护机制，工艺功能：运动控制，闭环控制，计数与测量；跟踪功能；适用于所有PROFINET 接口：传输协议 TCP/IP，开放式用户安全通信，S7 通信，S7 路由，IP 转发，Web服务器，DNS客户端，OPC UA：服务器DA，客户端DA，方法，配套规范；PROFINET IO控制器，支持RT/IRT，性能升级 PROFINET V2.3，双端口。存储卡≥4MB。</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（2）执行端控制PLC：≥125 </w:t>
            </w:r>
            <w:r>
              <w:rPr>
                <w:rFonts w:hint="eastAsia" w:ascii="仿宋" w:hAnsi="仿宋" w:eastAsia="仿宋" w:cs="仿宋"/>
                <w:bCs/>
                <w:color w:val="auto"/>
                <w:sz w:val="24"/>
                <w:szCs w:val="24"/>
              </w:rPr>
              <w:t xml:space="preserve">KB 工作存储器；24VDC 电源，板载≥ DI14 x 24VDC 漏型/源型，板载 ≥DQ10 x 24VDC、AI2 和 AQ2；板载 6 个高速计数器和 4 个脉冲输出；信号板扩展板载式 I/O；最多 3 个通信模块用于串行通信；最多8个信号模块用于 I/O 扩展；PROFINET IO 控制器，双端口，智能设备，TCP/IP 传输协议，开放式用户安全通信，S7 通信，Web 服务器，OPC UA：服务器DAPROFINET接口，用于编程、HMI 以及PLC 间数据通信，配套相应的 PLC编程软件。</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（3）远程 I/O：≥2 个 RJ45 接口，24VDC 供电 性能稳定、抗干扰性能强，总线协议：PROFINET 、通用线缆：五类双绞线、传输距离：100m（站站距离）、传输速率：100Mbps、工作环境温度：-10～55°C ；相对湿度：5%～90%（无凝露）。</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（4）工业交换机：至少提供8个10/100M自适应RJ45端口，导轨式安装。</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（5）触摸屏：触摸屏精智面板，触摸操作，≥ 7寸TFT 显示屏，≥800 x 480 像素，≥64K 色；按键和触摸操作，≥8 个功能键；≥1 x PROFINET，≥1 x USB，以上器件均安装在移动安装盒上。</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（6）变频器系统：额定输入：单相220-240V 18.0A 50/60Hz；额定输出：三相AC0-240V 8.0A，频率范围：0 - 500Hz；功率1.5kW；载波频率：0.8kHz - 11kHz可根据负载特性，自动调整载波频率；控制方</w:t>
            </w:r>
            <w:r>
              <w:rPr>
                <w:rFonts w:hint="eastAsia" w:ascii="仿宋" w:hAnsi="仿宋" w:eastAsia="仿宋" w:cs="仿宋"/>
                <w:bCs/>
                <w:color w:val="auto"/>
                <w:sz w:val="24"/>
                <w:szCs w:val="24"/>
              </w:rPr>
              <w:t xml:space="preserve">式：V/F控制和SVC控制；转矩提升：自动转矩提升；手动转矩提升0.1% - 30.0%；输入端子：4个数字输入端子，其中1个支持最高20KHz的高速脉冲输入1个模拟量输入端子，支持 0 - 10V/0 - 20mA输入；输出端子：1个继电器输出端子，1个模拟输出端子，支持0 ~10V电压输出；1路RS485接口，支持modbus rtu ，can总线等通讯；LED显示：显示参数；环境温度：-10℃ 到+ 50℃；湿度：小于95%RH，无水珠凝结；振动：小于 5.9m/s2（0.6g）；防护等级：IP20。</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（7）伺服系统：应能支持PROFINET通信方式，输入电压200-240V，电机功率≥400W。</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（8）空气压缩机：电源220V、额定功率</w:t>
            </w:r>
            <w:bookmarkStart w:id="199" w:name="OLE_LINK1"/>
            <w:r>
              <w:rPr>
                <w:rFonts w:hint="eastAsia" w:ascii="仿宋" w:hAnsi="仿宋" w:eastAsia="仿宋" w:cs="仿宋"/>
                <w:bCs/>
                <w:color w:val="auto"/>
                <w:sz w:val="24"/>
                <w:szCs w:val="24"/>
              </w:rPr>
              <w:t xml:space="preserve">≥</w:t>
            </w:r>
            <w:bookmarkEnd w:id="199"/>
            <w:r>
              <w:rPr>
                <w:rFonts w:hint="eastAsia" w:ascii="仿宋" w:hAnsi="仿宋" w:eastAsia="仿宋" w:cs="仿宋"/>
                <w:bCs/>
                <w:color w:val="auto"/>
                <w:sz w:val="24"/>
                <w:szCs w:val="24"/>
              </w:rPr>
              <w:t xml:space="preserve">550W、排气量≥58L/min、排气压力≥0.8MPa。</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四、配置的数字化资源要求</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1、在线教育平台要求</w:t>
            </w:r>
            <w:r>
              <w:rPr>
                <w:color w:val="auto"/>
              </w:rPr>
            </w:r>
            <w:r/>
          </w:p>
          <w:p>
            <w:pPr>
              <w:rPr>
                <w:rFonts w:ascii="仿宋" w:hAnsi="仿宋" w:eastAsia="仿宋" w:cs="仿宋"/>
                <w:bCs/>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1.1总体平台要求为B2B2C类型，可以通过PC端或手机端实现观看视频课程、网络直播、网上答疑、安排课前预习等，能适用于高校师生、企业员工的各类网络学习培训。</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1.2教育平台要求有课程、直播、课程答疑、新闻公告、个人中心模块。可以通过电脑端、公众号或小程序等进入学习。</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1.3平台课程类型包括但不限于：工业网络相关课程至少包含——HMI群控指令、旋转开关切换HMI、MES操作、MES的简便体验、多人协同作业、PLC置位指令使用、快速配置环网交换机、PLC切换云平台画面、仪表盘使用方法等微课视频内容。</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2、配置数字孪生设计与规划软件</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2.1高保真虚拟调试环境：软件需基于海量元素模型库，支持以拖拽方式快速搭建仿真工程。支持设置模型位置、尺寸、颜色等参数，确保虚拟设备具备与真实设备一致的运行特性。</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2.2全生态驱动与验证：深度集成PLC、机器人及智能工厂仿真功能。支持导入实际的PLC程序与机器人程序直接驱动虚拟设备，在虚拟场景中完成从设计、调试到验证的全流程闭环，实现“虚实同步”。</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2.3开放式二次开发SDK：为用户提供一套开放的接口，便于用户与系统数据交互，实现二次开发功能，提供C#的API接口以及python的API接口，可通过编程的形式进行驱动场景模型，可通过sdk扩展虚实仿真功能。</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2.4模型规模与分类：内置工业级标准模型库，总数模量不少于1000种，涵盖机器人、供料装置、装配装置、检测装置、电气控制等9大类。其中，可参数化模型不少于600种。</w:t>
            </w:r>
            <w:r>
              <w:rPr>
                <w:rFonts w:hint="eastAsia" w:ascii="仿宋" w:hAnsi="仿宋" w:eastAsia="仿宋" w:cs="仿宋"/>
                <w:b/>
                <w:bCs/>
                <w:color w:val="auto"/>
                <w:sz w:val="24"/>
                <w:szCs w:val="24"/>
              </w:rPr>
              <w:t xml:space="preserve">（提供（模组类机器人、加工中心、传感器、气动元件等模型库）的软件功能清晰截图）</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2.5）深度参数化适配：针对输送线、模组机器人、供料单元、装配单元、五轴加工中心、智能仓储等关键设备，支持通过手动输入数值或滑动阈值的方式，对尺寸、方向等参数进行适配。参数化调整不仅包含长宽高的缩放，更需支持结构形式的实质性变更。</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2.6开放式模型编辑与轻量化：支持用户通过模型编辑器导入GLB、OBJ等常规格式模型，构建用户专用库，可对模型进行定制化控制。</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2.7支持3D模型上传/导出/新增/删除/查看/渲染/基础配置；支持360度旋转查看、拆解显示。</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2.8AI智能识别与推荐：系统采用先进AI技术自动识别导入模型中的设备组件，基于智能分析从现有库中推荐高度匹配或功能相似的替代方案，加速项目开发流程。</w:t>
            </w:r>
            <w:r>
              <w:rPr>
                <w:rFonts w:hint="eastAsia" w:ascii="仿宋" w:hAnsi="仿宋" w:eastAsia="仿宋" w:cs="仿宋"/>
                <w:b/>
                <w:bCs/>
                <w:color w:val="auto"/>
                <w:sz w:val="24"/>
                <w:szCs w:val="24"/>
              </w:rPr>
              <w:t xml:space="preserve">（提供（AI智能识别）的软件功能界面清晰截图）</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●2.9AI自动生成产线：接入AI大模型接口（支持师生二次开发），支持自然语言指令（如“请搭建一条汽车生产线”）。关键词触发后，AI模块可自动搭建相应的产线场景。</w:t>
            </w:r>
            <w:r>
              <w:rPr>
                <w:rFonts w:hint="eastAsia" w:ascii="仿宋" w:hAnsi="仿宋" w:eastAsia="仿宋" w:cs="仿宋"/>
                <w:b/>
                <w:bCs/>
                <w:color w:val="auto"/>
                <w:sz w:val="24"/>
                <w:szCs w:val="24"/>
              </w:rPr>
              <w:t xml:space="preserve">（提供（AI搭建汽车生产线）的软件功能演示）</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2.10场景树与BOM管理：具备层级化场景树功能，可按模块分类展示产线构成的所有模块。支持一键生成并导出BOM清单，内容涵盖设备名称、型号、数量等关键信息。</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2.11数字孪生功能：用户通过导入或库中的模型搭建场景，绑定对外变量，可实现实机信号驱动虚拟场景，也可实现虚拟场景驱动实机场景进行动作；通讯延迟低于100ms；虚拟场景的动作可以依据实机信号驱动，实机变量状态可被虚拟场景改变。</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2.12智能避障功能：能够基于预设的即关键位置点进行自动避障轨迹规划，这一功能特适用于复杂的工作环境，提高了焊接过程的安全性和精度。此外，平台还支持双机器人在干涉区域的互锁信号自动添加，当两个机器人在同一工作区域内操作时，系统会自动检测并生成互锁信号，防止碰撞和干涉，保证作业流程的顺畅与安全。</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rPr>
              <w:t xml:space="preserve">提供（智能避障）的软件功能演示）</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2.13精细化点线轨迹编辑功能：支持焊点投影、公共边提取以及曲线点平滑等操作。用户可以精确地定义和调整焊接点的位置，并通过焊点投影确保其在三维空间中的准确性。</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2.14软件系统界面应包含案例库模块，至少包含光伏、3C、激光、锂电、汽车、仓储物流等六大场景的成熟案例应用：</w:t>
            </w:r>
            <w:r>
              <w:rPr>
                <w:rFonts w:hint="eastAsia" w:ascii="仿宋" w:hAnsi="仿宋" w:eastAsia="仿宋" w:cs="仿宋"/>
                <w:b/>
                <w:bCs/>
                <w:color w:val="auto"/>
                <w:sz w:val="24"/>
                <w:szCs w:val="24"/>
              </w:rPr>
              <w:t xml:space="preserve">提供（至少包含光伏接线盒虚拟仿真、光伏排版机虚拟仿真、涂胶锁附工作站虚拟仿真教学、伺服电机线总装虚拟仿真、机床自动上下料连线虚拟仿真、动力锂电池pack线虚拟仿真、搬运A to B虚拟仿真、钣金搬运虚拟仿真、电子产品仓储物流系统虚拟仿真、光伏串焊机虚拟仿真、发动机去毛刺工作站虚拟仿真、电机组装线虚拟仿真、双机协同虚拟仿真、双机焊接虚拟仿真、锂膜包装线虚拟仿真、汽车配件焊接工站虚拟仿真等教学场景）的软件功能清晰截图。</w:t>
            </w:r>
            <w:r>
              <w:rPr>
                <w:color w:val="auto"/>
              </w:rPr>
            </w:r>
            <w:r/>
          </w:p>
          <w:p>
            <w:pPr>
              <w:rPr>
                <w:rFonts w:ascii="仿宋" w:hAnsi="仿宋" w:eastAsia="仿宋" w:cs="仿宋"/>
                <w:b/>
                <w:bCs/>
                <w:color w:val="auto"/>
                <w:sz w:val="24"/>
                <w:szCs w:val="24"/>
              </w:rPr>
            </w:pPr>
            <w:r>
              <w:rPr>
                <w:rFonts w:hint="eastAsia" w:ascii="仿宋" w:hAnsi="仿宋" w:eastAsia="仿宋" w:cs="仿宋"/>
                <w:b/>
                <w:bCs/>
                <w:color w:val="auto"/>
                <w:sz w:val="24"/>
                <w:szCs w:val="24"/>
              </w:rPr>
              <w:t xml:space="preserve">3、配置AI-Native 数字化控制工程开发平台</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3.1支持电气控制、可编程控制器编程、运动控制三大仿真领域，配备完整教学管理系统（考试、题库、案例、作业、班级、实训、项目式学习）。</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3.2电气控制回路原理图可视化拖拽编辑，支持正交连线与软线连线多种布线模式。</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3.3内置电气元件库，涵盖电源与保护、控制元件、接触器与继电器、执行元件、辅助元件、测量仪表、可编程控制器等分类。</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3.4支持节点电压标签与颜色映射、支路电流方向与数值标注，内置布线诊断面板自动检测连线错误。</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3.5支持电气回路与可编程控制器程序联合仿真运行。</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3.6支持自由定义电气三维元件模型3D展示。</w:t>
            </w:r>
            <w:r>
              <w:rPr>
                <w:rFonts w:hint="eastAsia" w:ascii="仿宋" w:hAnsi="仿宋" w:eastAsia="仿宋" w:cs="仿宋"/>
                <w:b/>
                <w:bCs/>
                <w:color w:val="auto"/>
                <w:sz w:val="24"/>
                <w:szCs w:val="24"/>
              </w:rPr>
              <w:t xml:space="preserve">（提供清晰截图证明）</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3.7独立运动控制仿真编辑器，可视化画布支持缩放、小地图、网格吸附。</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3.8运动控制仿真编辑器元件库涵盖驱动电机、驱动器、传动机构、反馈元件、信号处理、数学运算、传感器、多轴联动等分类；元件端子配备中文悬停提示与连接指引。</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3.9运动控制仿真编辑器元件支持参数化属性面板，含默认值、单位、取值范围约束和中文描述；连线时自动校验端子兼容性，不合法连接即时阻止。</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●3.10运动控制仿真编辑器内置运动控制标准功能模块（使能、定位、速度模式、回零、紧急停止、电子齿轮与凸轮啮合等。</w:t>
            </w:r>
            <w:r>
              <w:rPr>
                <w:rFonts w:hint="eastAsia" w:ascii="仿宋" w:hAnsi="仿宋" w:eastAsia="仿宋" w:cs="仿宋"/>
                <w:b/>
                <w:bCs/>
                <w:color w:val="auto"/>
                <w:sz w:val="24"/>
                <w:szCs w:val="24"/>
              </w:rPr>
              <w:t xml:space="preserve">（提供清晰功能视频展示伺服的原理性运动控制框图原理，包括相关的运行曲线实时运行）</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3.11运动控制仿真编辑器支持梯形速度曲线和S曲线速度规划；播放控制支持单步进退、多倍速调节，时间轴同步驱动波形图与时序图。</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3.12当前平台还支持PLC仿真模拟支持梯形图、结构化文本、功能块图、顺序功能图、指令表五种编程语言，各语言间可双向切换。</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3.13PLC仿真包括独立仿真控制面板，支持运行、停止、单步、复位四种执行模式，数字输入输出手动切换与状态显示，定时器与计数器实时监控。</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3.14在线调试器支持断点管理、单步执行、变量监视、执行追踪与回溯分析；内置标准验证框架，预置典型工业控制测试用例。</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3.15全局智能助手，支持渐进式交互（从被动提示到主动对话），接收当前页面上下文实现感知式智能对话，能够直接对编辑器中的器件选中进行解答问题。</w:t>
            </w:r>
            <w:r>
              <w:rPr>
                <w:color w:val="auto"/>
              </w:rPr>
            </w:r>
            <w:r/>
          </w:p>
          <w:p>
            <w:pPr>
              <w:rPr>
                <w:rFonts w:ascii="仿宋" w:hAnsi="仿宋" w:eastAsia="仿宋" w:cs="仿宋"/>
                <w:b/>
                <w:bCs/>
                <w:color w:val="auto"/>
                <w:sz w:val="24"/>
                <w:szCs w:val="24"/>
              </w:rPr>
            </w:pPr>
            <w:r>
              <w:rPr>
                <w:rFonts w:hint="eastAsia" w:ascii="仿宋" w:hAnsi="仿宋" w:eastAsia="仿宋" w:cs="仿宋"/>
                <w:color w:val="auto"/>
                <w:sz w:val="24"/>
                <w:szCs w:val="24"/>
              </w:rPr>
              <w:t xml:space="preserve">●3.16智能回路生成：自然语言描述自动生成完整回路图，覆盖电气、运动控制、PLC编程，一键导入画布。</w:t>
            </w:r>
            <w:r>
              <w:rPr>
                <w:rFonts w:hint="eastAsia" w:ascii="仿宋" w:hAnsi="仿宋" w:eastAsia="仿宋" w:cs="仿宋"/>
                <w:b/>
                <w:bCs/>
                <w:color w:val="auto"/>
                <w:sz w:val="24"/>
                <w:szCs w:val="24"/>
              </w:rPr>
              <w:t xml:space="preserve">（提供完整的功能展示，要体现出通过自然语言方式生成电气回路，PLC程序，并且能够运行仿真展示回路原理）</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3.17智能诊断与生成：自动生成可编程控制器程序，分析程序逻辑错误，定位仿真错误并给出修改建议。</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3.18支持与硬件通讯功能。能够实现与外部PLC以及第三方平台实际交互。</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4、配套教材</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要求教材编写满足《工业互联网应用专业教学标准（高等职业教育专科）》的要求，实操案例为知识载体，通过案例、图表、</w:t>
            </w:r>
            <w:r>
              <w:rPr>
                <w:rFonts w:hint="eastAsia" w:ascii="仿宋" w:hAnsi="仿宋" w:eastAsia="仿宋" w:cs="仿宋"/>
                <w:color w:val="auto"/>
                <w:sz w:val="24"/>
                <w:szCs w:val="24"/>
              </w:rPr>
              <w:t xml:space="preserve">微课视频等形式呈现。内容要求至少涵盖三大维度：包括但不限于（1）基础知识部分：要求系统讲解工业网络、产线网络、数据采集、智慧仓储、生产数字化及产线维护等关键环节的理论框架；（2）实操演练部分：要求提供网络拓扑图绘制、工业网络配置、工业协议应用（如Modbus、Profibus、Profinet）、MES订单操作等丰富素材；（3）综合应用部分：要求聚焦MES集成、云平台数据分析、机电系统调试及工业互联网优化四大方向，均需通过真实案例展现技术落地场景。要求教材具有配套的视频讲解，无需下载扫描二维码即可在线观看。</w:t>
            </w:r>
            <w:r>
              <w:rPr>
                <w:rFonts w:hint="eastAsia" w:ascii="仿宋" w:hAnsi="仿宋" w:eastAsia="仿宋" w:cs="仿宋"/>
                <w:b/>
                <w:bCs/>
                <w:color w:val="auto"/>
                <w:sz w:val="24"/>
                <w:szCs w:val="24"/>
              </w:rPr>
              <w:t xml:space="preserve">（提供教材封面、目录页和二维码索引页扫描截图，以及ISBN码）</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五、★配置清单及要求</w:t>
            </w:r>
            <w:r>
              <w:rPr>
                <w:color w:val="auto"/>
              </w:rPr>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2"/>
              <w:gridCol w:w="993"/>
              <w:gridCol w:w="5776"/>
              <w:gridCol w:w="508"/>
              <w:gridCol w:w="525"/>
            </w:tblGrid>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序号</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名称</w:t>
                  </w:r>
                  <w:r>
                    <w:rPr>
                      <w:color w:val="auto"/>
                    </w:rPr>
                  </w:r>
                  <w:r/>
                </w:p>
              </w:tc>
              <w:tc>
                <w:tcPr>
                  <w:tcW w:w="577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技术参数</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数量</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单位</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实训台</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工作台尺寸：长×宽×高≥1800mm×800mm×1800mm</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2</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可编程控制器1</w:t>
                  </w:r>
                  <w:r>
                    <w:rPr>
                      <w:color w:val="auto"/>
                    </w:rPr>
                  </w:r>
                  <w:r/>
                </w:p>
              </w:tc>
              <w:tc>
                <w:tcPr>
                  <w:tcW w:w="5776" w:type="dxa"/>
                  <w:vAlign w:val="center"/>
                  <w:textDirection w:val="lrTb"/>
                  <w:noWrap w:val="false"/>
                </w:tcPr>
                <w:p>
                  <w:pPr>
                    <w:pStyle w:val="1314"/>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≥125 KB工作存储器；24VDC电源，板载DI14 x 24VDC 漏型/源型，板载DQ10 x 24VDC、AI2和AQ2；板载6个高速计数器和4个脉冲输出；信号板扩展板载式I/O；最多3个通信模块用于串行通信；最多8个信号模块用于 I/O扩展；PROFINET IO控制器，双端口，智能设备，TCP/IP 传输协议，开放式用户安全通信，S7通信，Web服务器，OPC UA：服务器DAPROFINET接口，用于编程、HMI以及PLC间数据通信，配套相应的PLC编程软件。</w:t>
                  </w:r>
                  <w:r>
                    <w:rPr>
                      <w:color w:val="auto"/>
                    </w:rPr>
                  </w:r>
                  <w:r/>
                </w:p>
                <w:p>
                  <w:pPr>
                    <w:pStyle w:val="1314"/>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配有通讯板1个；PROFIBUS CM 通信模块1个。</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3</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可编程控制器2</w:t>
                  </w:r>
                  <w:r>
                    <w:rPr>
                      <w:color w:val="auto"/>
                    </w:rPr>
                  </w:r>
                  <w:r/>
                </w:p>
              </w:tc>
              <w:tc>
                <w:tcPr>
                  <w:tcW w:w="5776" w:type="dxa"/>
                  <w:vAlign w:val="center"/>
                  <w:textDirection w:val="lrTb"/>
                  <w:noWrap w:val="false"/>
                </w:tcPr>
                <w:p>
                  <w:pPr>
                    <w:pStyle w:val="1314"/>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CPU要求带有显示屏；工作存储器可存</w:t>
                  </w:r>
                  <w:r>
                    <w:rPr>
                      <w:rFonts w:hint="eastAsia" w:ascii="仿宋" w:hAnsi="仿宋" w:eastAsia="仿宋" w:cs="仿宋"/>
                      <w:color w:val="auto"/>
                      <w:sz w:val="24"/>
                      <w:szCs w:val="24"/>
                    </w:rPr>
                    <w:t xml:space="preserve">储≥150 KB代码和≥1 MB数据；位指令执行时间 60 ns；4级防护机制，工艺功能：运动控制，闭环控制，计数与测量；跟踪功能；运行系统选件；等时同步模式（集中）；适用于所有 PROFINET接口：传输协议TCP/IP，开放式用户安全通信，S7通信，S7路由，IP转发，Web服务器，DNS客户端，OPC UA：服务器DA，客户端DA，方法，配套规范；PROFINET IO 控制器，支持RT/IRT，性能升级PROFINET V2.3，双端口，智能设备，支持MRP、MRPD，等时同步模式。存储卡≥4MB。</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4</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工业视觉</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工业视觉要求至少由支架、光源、智能相机等组成，可完成物料数量、外观、颜色等检测：具有强大的通信功能，至少支持MODBUS-TCP、TCP/IP和S7等通讯；</w:t>
                  </w:r>
                  <w:r>
                    <w:rPr>
                      <w:color w:val="auto"/>
                    </w:rPr>
                  </w:r>
                  <w:r/>
                </w:p>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工业相机彩色相机，尺寸：</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29mm×29mm×30mm，镜头接口：C-Mount，分辨率：</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2592×1944，相机像素</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500万像素数据接口：USB3.0，传感器类型：CMOS，卷帘快门，工作温度0~50℃，储藏温度-30~70℃；视觉算法平台软件：要求兼容GigE Vision和USB3.0Vision协议标准，可以接入多种品牌的相机。要求支持本地图像处理和相机数据图像处理光源：白色漫射LED环形灯。</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5</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伺服系统</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支持PROFINET通信方式，输入电压200-240V</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Height w:val="5496"/>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6</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变频器系统</w:t>
                  </w:r>
                  <w:r>
                    <w:rPr>
                      <w:color w:val="auto"/>
                    </w:rPr>
                  </w:r>
                  <w:r/>
                </w:p>
              </w:tc>
              <w:tc>
                <w:tcPr>
                  <w:tcW w:w="5776" w:type="dxa"/>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驱动器要求为通用高性能电流矢量变频器，主要用于控制和调节三相交流异步电机的速度和转矩，最高频率：0 - 500Hz；载波频率：0.8kHz - 11kHz可根据负载特性，自动调整载波频率；控制方式：至少包含V/F控制和SVC控制；转矩提升：自动转矩提升；手动转矩提升0.1% - 30.0%；输入端子：</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4个数字输入端子，其中1个支持最高20KHz的高速脉冲输入1个模拟量输入端子，支持 0 - 10V/0 - 20mA输入；输出端子：1个继电器输出端子，1个模拟输出端子，支持0~10V电压输出；LED显示：显示参数；环境温度：-10℃到+50℃；湿度：小于95%RH，无水珠凝结；振动：小于5.9m/s2（0.6g）；防护等级：不低于IP20；</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7</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远程 I/O</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至少2个RJ45接口，24VDC供电性能稳定、抗干扰性能强，总线协议：PROFINET、通用线缆：五类双绞线、传输距离：100m（站站距离）、传输速率：100Mbps、工作环境温度：-10～55°C ；相对湿度：5%～90%（无凝露）</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8</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工业交换机</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提供</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8个10/100M自适应RJ45端口，导轨式安装</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9</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环形输送线</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至少包含环形输送线机构、三相异步电机、编码器、RFID、IO-Link主站、扫码器、称重传感器等</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10</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触摸屏</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触摸屏精智面板，触摸操作，</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7寸TFT显示屏，</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800x 480像素，</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64K色；按键和触摸操作，</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8个功能键；</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 x PROFINET，</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 x USB </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11</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环网三层管理工业交换机</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ascii="仿宋" w:hAnsi="仿宋" w:eastAsia="仿宋" w:cs="仿宋"/>
                      <w:bCs/>
                      <w:color w:val="auto"/>
                      <w:sz w:val="24"/>
                      <w:szCs w:val="24"/>
                    </w:rPr>
                    <w:t xml:space="preserve">设备配置不少于8个10/100/1000M自适应RJ45端口及 4个千兆SFP端口，支持ERPS环网协议与RPL配置，直流输入电压范围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color w:val="auto"/>
                      <w:sz w:val="24"/>
                      <w:szCs w:val="24"/>
                    </w:rPr>
                    <w:t xml:space="preserve">。</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3</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12</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工业级防火墙</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不低于双核64位网络专用处理器，单核主频1GHz，1GB DDRIV高速内存；</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3个10/100/1000M RJ45端口，</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1个MGMT管理口；工业级工作温度：-40℃~75℃；EMS高级防护，三冗余电源输入，工作更可靠；支持端口bypass功能，断电后端口直连；支持配置</w:t>
                  </w:r>
                  <w:r>
                    <w:rPr>
                      <w:rFonts w:hint="eastAsia" w:ascii="仿宋" w:hAnsi="仿宋" w:eastAsia="仿宋" w:cs="仿宋"/>
                      <w:color w:val="auto"/>
                      <w:sz w:val="24"/>
                      <w:szCs w:val="24"/>
                    </w:rPr>
                    <w:t xml:space="preserve">安全策略、审计策略、带宽策略、NAT策略、ALG策略等；支持多种安全防护功能，防御ARP欺骗、ARP攻击、DDoS攻击、网络扫描、可疑包攻击等；支持可拓展的一体化 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VPN）、DDNS等；多管理员角色，精细化权限管理。</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13</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边缘网关</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要求采用mips架构CPU，主频</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300MHz，内存</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128M DDR，</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16M FLASH，支持WIFI和以太网接入网络，支持</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2路10M/100M自适应端口，至少支持RS232/RS485/RS422端口，具有看门狗管理，支持数据采集、PLC远程上下载程序、断网续传和交换机功能。</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14</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工业级双频无线接入点</w:t>
                  </w:r>
                  <w:r>
                    <w:rPr>
                      <w:color w:val="auto"/>
                    </w:rPr>
                  </w:r>
                  <w:r/>
                </w:p>
              </w:tc>
              <w:tc>
                <w:tcPr>
                  <w:tcW w:w="5776" w:type="dxa"/>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适应-40℃～+75℃温度下严苛的工业</w:t>
                  </w:r>
                  <w:r>
                    <w:rPr>
                      <w:rFonts w:hint="eastAsia" w:ascii="仿宋" w:hAnsi="仿宋" w:eastAsia="仿宋" w:cs="仿宋"/>
                      <w:color w:val="auto"/>
                      <w:sz w:val="24"/>
                      <w:szCs w:val="24"/>
                    </w:rPr>
                    <w:t xml:space="preserve">级工作环境；冗余双路直流供电，以及标准PoE供电，适应工业环境组网要求，稳定可靠；IEC/EN 61000-4高标准工业级防护设计，适应恶劣环境；2.4GHz和5GHz双频段并发射频，无线速率可达1900Mbps；独立功放电路，提升发射功率；支持设备工作为AP或Client两种覆盖/传输模式以及Router上网模式，应用灵活；强双频漫游技术，Client模式设备可快速漫游至信号更优的AP；无线冗余技术，干扰下设备通信不中断；标准DIN导轨/壁挂安装，维护简便；支持AC或TP-LINK商用网络云平台集中管理。</w:t>
                  </w:r>
                  <w:r>
                    <w:rPr>
                      <w:color w:val="auto"/>
                    </w:rPr>
                  </w:r>
                  <w:r/>
                </w:p>
              </w:tc>
              <w:tc>
                <w:tcPr>
                  <w:tcW w:w="508" w:type="dxa"/>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15</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环境传感器</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可测量湿度、温度、大气压力、二氧化碳环境数据，支持RS485通讯，标准modbusRTU协议。</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16</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智能电表</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可实现对系统电压、电流、功率等电量的采集和显示，支持RS485通讯，采集的数据也可通过通讯传输给PLC。</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17</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LORA 模块</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要求支持RS232、485-LoRa通讯，纯射频模组，支持发送、接收数据，与PLC直接通讯。</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18</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协议网关</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要求可完成Modbus-RTU/ASCII到ProfiNet协议的转换</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19</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数据终端处理器</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包含可视化交互功能，可以实时查看相关数据，同时具备静态数据处理和存储能力，可完成MES、云平台相关部署。</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20</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其他器件</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要求至少包括断路器、导轨插座、开关电源、继电器、器件导轨等；</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0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21</w:t>
                  </w:r>
                  <w:r>
                    <w:rPr>
                      <w:color w:val="auto"/>
                    </w:rPr>
                  </w:r>
                  <w:r/>
                </w:p>
              </w:tc>
              <w:tc>
                <w:tcPr>
                  <w:tcW w:w="993"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空气压缩机</w:t>
                  </w:r>
                  <w:r>
                    <w:rPr>
                      <w:color w:val="auto"/>
                    </w:rPr>
                  </w:r>
                  <w:r/>
                </w:p>
              </w:tc>
              <w:tc>
                <w:tcPr>
                  <w:tcW w:w="5776"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电源</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220V、额定功率</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560W、排气量</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58L/min、排气压力</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0.8MPa。</w:t>
                  </w:r>
                  <w:r>
                    <w:rPr>
                      <w:color w:val="auto"/>
                    </w:rPr>
                  </w:r>
                  <w:r/>
                </w:p>
              </w:tc>
              <w:tc>
                <w:tcPr>
                  <w:tcW w:w="50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25"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台</w:t>
                  </w:r>
                  <w:r>
                    <w:rPr>
                      <w:color w:val="auto"/>
                    </w:rPr>
                  </w:r>
                  <w:r/>
                </w:p>
              </w:tc>
            </w:tr>
          </w:tbl>
          <w:p>
            <w:pPr>
              <w:jc w:val="left"/>
              <w:rPr>
                <w:rFonts w:ascii="仿宋" w:hAnsi="仿宋" w:eastAsia="仿宋" w:cs="仿宋"/>
                <w:b/>
                <w:color w:val="auto"/>
                <w:sz w:val="24"/>
                <w:szCs w:val="24"/>
              </w:rPr>
            </w:pPr>
            <w:r>
              <w:rPr>
                <w:rFonts w:ascii="仿宋" w:hAnsi="仿宋" w:eastAsia="仿宋" w:cs="仿宋"/>
                <w:b/>
                <w:color w:val="auto"/>
                <w:sz w:val="24"/>
                <w:szCs w:val="24"/>
              </w:rPr>
            </w:r>
            <w:r>
              <w:rPr>
                <w:color w:val="auto"/>
              </w:rPr>
            </w:r>
            <w:r/>
          </w:p>
        </w:tc>
      </w:tr>
      <w:tr>
        <w:trPr>
          <w:jc w:val="center"/>
        </w:trPr>
        <w:tc>
          <w:tcPr>
            <w:tcW w:w="494"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2</w:t>
            </w:r>
            <w:r>
              <w:rPr>
                <w:color w:val="auto"/>
              </w:rPr>
            </w:r>
            <w:r/>
          </w:p>
        </w:tc>
        <w:tc>
          <w:tcPr>
            <w:tcW w:w="1156" w:type="dxa"/>
            <w:vAlign w:val="center"/>
            <w:textDirection w:val="lrTb"/>
            <w:noWrap w:val="false"/>
          </w:tcPr>
          <w:p>
            <w:pPr>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工业网络控制平台</w:t>
            </w:r>
            <w:r>
              <w:rPr>
                <w:color w:val="auto"/>
              </w:rPr>
            </w:r>
            <w:r/>
          </w:p>
        </w:tc>
        <w:tc>
          <w:tcPr>
            <w:tcW w:w="8457" w:type="dxa"/>
            <w:vAlign w:val="center"/>
            <w:textDirection w:val="lrTb"/>
            <w:noWrap w:val="false"/>
          </w:tcPr>
          <w:p>
            <w:pPr>
              <w:rPr>
                <w:rFonts w:ascii="仿宋" w:hAnsi="仿宋" w:eastAsia="仿宋" w:cs="仿宋"/>
                <w:b/>
                <w:color w:val="auto"/>
                <w:sz w:val="24"/>
                <w:szCs w:val="24"/>
              </w:rPr>
            </w:pPr>
            <w:r>
              <w:rPr>
                <w:rFonts w:hint="eastAsia" w:ascii="仿宋" w:hAnsi="仿宋" w:eastAsia="仿宋" w:cs="仿宋"/>
                <w:b/>
                <w:color w:val="auto"/>
                <w:sz w:val="24"/>
                <w:szCs w:val="24"/>
              </w:rPr>
              <w:t xml:space="preserve">一、设备整体要求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要求该平台至少集成PLC、工业以太网、现场总线等，应至少支持工业现场总线设备、工业控制、边缘计算、工业网络技术、数据信息采集等工业互联网应用场景，要求还应至少融入云平台数据管理与MES管理系统，可实现对生产现场的实时监控、调度和优化等功能。</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二、设备技术指标要求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1.工作台尺寸：长×宽×高≥1000mm×800mm×1800mm；</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2.输入电源：AC 220V±10% /50Hz；输入功率：≤3kW；工作环境：常温、室内；温度：-10℃～+50℃ ；相对湿度：≤90%（+20℃）；海拔高度：≤4000m；</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3.设备重量：≥450kg；</w:t>
            </w:r>
            <w:r>
              <w:rPr>
                <w:color w:val="auto"/>
              </w:rPr>
            </w:r>
            <w:r/>
          </w:p>
          <w:p>
            <w:pPr>
              <w:rPr>
                <w:rFonts w:ascii="仿宋" w:hAnsi="仿宋" w:eastAsia="仿宋" w:cs="仿宋"/>
                <w:bCs/>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4.安全保护：具有接地保护、漏电保护功能，安全性符合相关的国际标准。采用高绝缘的安全型插座及带绝缘护套的高强度安全型实验导线。为确保教学过程中使用安全，设备应配备电气线路短路限制及保护装置。</w:t>
            </w:r>
            <w:r>
              <w:rPr>
                <w:rFonts w:hint="eastAsia" w:ascii="仿宋" w:hAnsi="仿宋" w:eastAsia="仿宋" w:cs="仿宋"/>
                <w:b/>
                <w:color w:val="auto"/>
                <w:sz w:val="24"/>
                <w:szCs w:val="24"/>
              </w:rPr>
              <w:t xml:space="preserve">（提供所投产品满足上述安全保护要求的技术证明材料）</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三、设备功能与特点</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1.设备的网络拓扑构成要求：</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控制网络单元要求至少包含三层交换机、防火墙、物联网关、PLC、工业交换机等器件，能够实现工业网络搭建、工业通讯应用、工业现场接线编程等，最终实现对设备单元的统一控制。</w:t>
            </w:r>
            <w:r>
              <w:rPr>
                <w:rFonts w:hint="eastAsia" w:ascii="仿宋" w:hAnsi="仿宋" w:eastAsia="仿宋" w:cs="仿宋"/>
                <w:b/>
                <w:color w:val="auto"/>
                <w:sz w:val="24"/>
                <w:szCs w:val="24"/>
              </w:rPr>
              <w:t xml:space="preserve">（提供设备的网络拓扑图）</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2.信息管理</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w:t>
            </w:r>
            <w:r>
              <w:rPr>
                <w:rFonts w:hint="eastAsia" w:ascii="仿宋" w:hAnsi="仿宋" w:eastAsia="仿宋" w:cs="仿宋"/>
                <w:b/>
                <w:color w:val="auto"/>
                <w:sz w:val="24"/>
                <w:szCs w:val="24"/>
              </w:rPr>
              <w:t xml:space="preserve">MES制造执行单元：</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系统要求根据选手所有工作任务均从个性化需求订单及共线生产出发，允许用户通过平台进行任务下发，并进行共线生产的全自动化作业。从订单加工、生产、装配到成品的检测，订单制造过程的每一个环节，均可通过MES 软件进行实时查询与追踪。本单元包含基础数据、仓位管理、设备单元管理，报警参数设置、设备运行及生产管理操作等功能，要求如下：</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（1）基础数据界面：可进行对工厂信息、用户信息、设备信息、生产订单进行设置。</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数据管理单元：可对设备数据、输送供料、旋转供料、高度检测、钢珠装配、龙门入库、分拣检测等单元，可对其进行单站单机运行测试，并提取各设备的状态信息，比如环境检测、伺服状态、生产状态、库位状态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（3）设备数据管理界面：可对设备数据状态进行数据采集，包括电压、功率、温度、湿度、大气压力、振动数据等信息。</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（4）生产订单界面：可对其进行订单的创建，明细的添加，订单下发等。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（5）报警参数设置界面：可对设备数据状态进行阈值设置，包括电压、功率、温度、湿度、大气压力、振动数据等信息。</w:t>
            </w:r>
            <w:r>
              <w:rPr>
                <w:color w:val="auto"/>
              </w:rPr>
            </w:r>
            <w:r/>
          </w:p>
          <w:p>
            <w:pPr>
              <w:rPr>
                <w:rFonts w:ascii="仿宋" w:hAnsi="仿宋" w:eastAsia="仿宋" w:cs="仿宋"/>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color w:val="auto"/>
                <w:sz w:val="24"/>
                <w:szCs w:val="24"/>
              </w:rPr>
              <w:t xml:space="preserve">（6）为确保该系统的稳定性与教学适配扩展性。系统应通过GB/T 25000.51-2016《系统与软件工程系统与软件质量要求和评价（SQuaRE）第51部分：就绪可用软件产品（RUSP）的质量要求和测试细则》测试标准的要求。</w:t>
            </w:r>
            <w:r>
              <w:rPr>
                <w:rFonts w:hint="eastAsia" w:ascii="仿宋" w:hAnsi="仿宋" w:eastAsia="仿宋" w:cs="仿宋"/>
                <w:b/>
                <w:bCs/>
                <w:color w:val="auto"/>
                <w:sz w:val="24"/>
                <w:szCs w:val="24"/>
              </w:rPr>
              <w:t xml:space="preserve">（投标时提供承诺函（格式自拟），承诺函应明确：若中标，将在项目验收前提供由具有CMA资质的第三方检验检测机构出具的检测（评测）报告；报告结论应为合格/符合，检测内容应覆盖或对应上述技术参数指标。该报告作为项目验收依据之一。中标人未按期提供、报告不可查验或检测内容不符合要求的，采购人有权不予验收，并按合同约定追究违约责任）</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2）信息层云平台单元：</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平台采用国产企业级平台，界面制作便捷，功能丰富，数据处理稳定。平台功能包括设备接入、设备管理、数据存储、数据展示、数据分析、用户管理、维保工单、配方管理等功能。平台免编程可快速便捷实现产品与系统的联接，实现物联平台。可实现多样快捷的连接监控方式（业务系统、地图、视频监控），实时、精准的数据信息来源，精准高效的数据透视（柱状图、趋势图、定制数据透视报表），设备间更紧密的组合联动（多台PLC构成的设备系统的集中监控）。</w:t>
            </w:r>
            <w:r>
              <w:rPr>
                <w:rFonts w:hint="eastAsia" w:ascii="仿宋" w:hAnsi="仿宋" w:eastAsia="仿宋" w:cs="仿宋"/>
                <w:b/>
                <w:color w:val="auto"/>
                <w:sz w:val="24"/>
                <w:szCs w:val="24"/>
              </w:rPr>
              <w:t xml:space="preserve">（提供信息层平台界面截图）</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具体内容要求如下</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（1）项目配置：项目支持导入、导出、删除、编辑，方便操作，包括设备配置、项目组态配置、报警源配置、设备状态统计、条件赋值、报表。</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组态页功能，提供不同类型可编辑的基础元件、基础和高级控件，通过图形化界面呈现相关数据信息，使用户能够一目了然地查看整个系统的状态信息，组态界面用户可自定义，包括界面的布局，颜色，控件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（3）基础元件：直线，圆，矩形，文本，图片，折线，多边形，表格等；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基础控件：按钮、指示灯、按钮指示灯、数据显示、数据输入、数据控制、组合框输入、滑动输入、画面跳转、变量图片等。</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（4）高级控件：环形图、棒图、流体、轮播动画、历史曲线、实时曲线、日期时间、实时事件、历史事件、天气、视频控件、功能键、功能域。</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（5）可根据需求编辑多个组态画面同时进行组合排列显示。</w:t>
            </w:r>
            <w:r>
              <w:rPr>
                <w:color w:val="auto"/>
              </w:rPr>
            </w:r>
            <w:r/>
          </w:p>
          <w:p>
            <w:pPr>
              <w:pStyle w:val="998"/>
              <w:ind w:firstLine="0"/>
              <w:rPr>
                <w:rFonts w:ascii="仿宋" w:hAnsi="仿宋" w:eastAsia="仿宋" w:cs="仿宋"/>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color w:val="auto"/>
                <w:sz w:val="24"/>
                <w:szCs w:val="24"/>
              </w:rPr>
              <w:t xml:space="preserve">（6）为确保该系统的稳定性与教学适配扩展性。系统应通过GB/T 25000.51-2016《系统与软件工程系统与软件质量要求和评价（SQuaRE）第51部分：就绪可用软件产品（RUSP）的质量要求和测试细则》测试标准的要求。</w:t>
            </w:r>
            <w:r>
              <w:rPr>
                <w:rFonts w:hint="eastAsia" w:ascii="仿宋" w:hAnsi="仿宋" w:eastAsia="仿宋" w:cs="仿宋"/>
                <w:b/>
                <w:bCs/>
                <w:color w:val="auto"/>
                <w:sz w:val="24"/>
                <w:szCs w:val="24"/>
              </w:rPr>
              <w:t xml:space="preserve">（投标时提供承诺函（格式自拟），承诺函应明确：若中标，将在项目验收前提供由具有CMA资质的第三方检验检测机构出具的检测（评测）报告；报告结论应为合格/符合，检测内容应覆盖或对应上述技术参数指标。该报告作为项目验收依据之一。中标人未按期提供、报告不可查验或检测内容不符合要求的，采购人有权不予验收，并按合同约定追究违约责任）</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3）可视化数据管理单元：</w:t>
            </w:r>
            <w:r>
              <w:rPr>
                <w:color w:val="auto"/>
              </w:rPr>
            </w:r>
            <w:r/>
          </w:p>
          <w:p>
            <w:pPr>
              <w:rPr>
                <w:rFonts w:ascii="仿宋" w:hAnsi="仿宋" w:eastAsia="仿宋" w:cs="仿宋"/>
                <w:b/>
                <w:color w:val="auto"/>
                <w:sz w:val="24"/>
                <w:szCs w:val="24"/>
              </w:rPr>
            </w:pPr>
            <w:r>
              <w:rPr>
                <w:rFonts w:hint="eastAsia" w:ascii="仿宋" w:hAnsi="仿宋" w:eastAsia="仿宋" w:cs="仿宋"/>
                <w:bCs/>
                <w:color w:val="auto"/>
                <w:sz w:val="24"/>
                <w:szCs w:val="24"/>
              </w:rPr>
              <w:t xml:space="preserve">要求可完成生产可视化、设备状态可视化、设备状态管理可视化、维保过程数字化、维保经验数字化等功能。</w:t>
            </w:r>
            <w:r>
              <w:rPr>
                <w:rFonts w:hint="eastAsia" w:ascii="仿宋" w:hAnsi="仿宋" w:eastAsia="仿宋" w:cs="仿宋"/>
                <w:b/>
                <w:color w:val="auto"/>
                <w:sz w:val="24"/>
                <w:szCs w:val="24"/>
              </w:rPr>
              <w:t xml:space="preserve">（提供不少于2张功能截图）</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4）工业网络设备</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w:t>
            </w:r>
            <w:r>
              <w:rPr>
                <w:rFonts w:hint="eastAsia" w:ascii="仿宋" w:hAnsi="仿宋" w:eastAsia="仿宋" w:cs="仿宋"/>
                <w:b/>
                <w:color w:val="auto"/>
                <w:sz w:val="24"/>
                <w:szCs w:val="24"/>
              </w:rPr>
              <w:t xml:space="preserve">可编程控制器：</w:t>
            </w:r>
            <w:r>
              <w:rPr>
                <w:rFonts w:hint="eastAsia" w:ascii="仿宋" w:hAnsi="仿宋" w:eastAsia="仿宋" w:cs="仿宋"/>
                <w:bCs/>
                <w:color w:val="auto"/>
                <w:sz w:val="24"/>
                <w:szCs w:val="24"/>
              </w:rPr>
              <w:t xml:space="preserve">要求不低于双PROFINET以太网接口，支持手拉手拓扑，集成NFC调试接口；工</w:t>
            </w:r>
            <w:r>
              <w:rPr>
                <w:rFonts w:hint="eastAsia" w:ascii="仿宋" w:hAnsi="仿宋" w:eastAsia="仿宋" w:cs="仿宋"/>
                <w:bCs/>
                <w:color w:val="auto"/>
                <w:sz w:val="24"/>
                <w:szCs w:val="24"/>
              </w:rPr>
              <w:t xml:space="preserve">作存储器：程序≥250 KB，数据≥750 KB；24VDC 电源，板载≥DI14 x 24VDC 漏型 / 源型，板载≥DQ10 x 24VDC；板载≥ 6 个高速计数器和≥2个脉冲输出；信号板扩展板载式 I/O；最多2个通信板用于串行通信；最多8个信号模块用于 I/O 扩展；PROFINET IO 控制器，双端口，智能设备，TCP/IP传输协议，开放式用户安全通信，S7通信，Web 服务器，OPC UA：服务器DA，PROFINET接口，用于编程、HMI以及PLC 间数据通信，配套相应的PLC编程软件。</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（2）配有同品牌通讯板1个，要求设备成熟稳定，配置有嵌入式的PLC控制软件，软件应通过具有检测资质的机构的测评。</w:t>
            </w:r>
            <w:r>
              <w:rPr>
                <w:rFonts w:hint="eastAsia" w:ascii="仿宋" w:hAnsi="仿宋" w:eastAsia="仿宋" w:cs="仿宋"/>
                <w:b/>
                <w:color w:val="auto"/>
                <w:sz w:val="24"/>
                <w:szCs w:val="24"/>
              </w:rPr>
              <w:t xml:space="preserve">（提供能够证明所投嵌入式PLC控制软件满足上述要求的技术材料）</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
                <w:color w:val="auto"/>
                <w:sz w:val="24"/>
                <w:szCs w:val="24"/>
              </w:rPr>
              <w:t xml:space="preserve">环网三层管理工业交换机：</w:t>
            </w:r>
            <w:r>
              <w:rPr>
                <w:rFonts w:ascii="仿宋" w:hAnsi="仿宋" w:eastAsia="仿宋" w:cs="仿宋"/>
                <w:bCs/>
                <w:color w:val="auto"/>
                <w:sz w:val="24"/>
                <w:szCs w:val="24"/>
              </w:rPr>
              <w:t xml:space="preserve">设备配置不少于8个10/100/1000M自适应RJ45 端口及4个千兆SFP端口，支持ERPS环网协议与RPL配置，直流输入电压范围 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 w:val="24"/>
                <w:szCs w:val="24"/>
              </w:rPr>
              <w:t xml:space="preserve">。</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（4）</w:t>
            </w:r>
            <w:r>
              <w:rPr>
                <w:rFonts w:hint="eastAsia" w:ascii="仿宋" w:hAnsi="仿宋" w:eastAsia="仿宋" w:cs="仿宋"/>
                <w:b/>
                <w:color w:val="auto"/>
                <w:sz w:val="24"/>
                <w:szCs w:val="24"/>
              </w:rPr>
              <w:t xml:space="preserve">工业级防火墙：</w:t>
            </w:r>
            <w:r>
              <w:rPr>
                <w:rFonts w:hint="eastAsia" w:ascii="仿宋" w:hAnsi="仿宋" w:eastAsia="仿宋" w:cs="仿宋"/>
                <w:bCs/>
                <w:color w:val="auto"/>
                <w:sz w:val="24"/>
                <w:szCs w:val="24"/>
              </w:rPr>
              <w:t xml:space="preserve">≥双核64位网络专</w:t>
            </w:r>
            <w:r>
              <w:rPr>
                <w:rFonts w:hint="eastAsia" w:ascii="仿宋" w:hAnsi="仿宋" w:eastAsia="仿宋" w:cs="仿宋"/>
                <w:bCs/>
                <w:color w:val="auto"/>
                <w:sz w:val="24"/>
                <w:szCs w:val="24"/>
              </w:rPr>
              <w:t xml:space="preserve">用处理器，单核主频≥1GHz，≥1GB DDRIV 高速内存；≥3个10/100/1000M RJ45端口，≥1个MGMT 管理口；工业级工作温度：-40℃~75℃；EMS高级防护，三冗余电源输入；支持端口bypas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w:t>
            </w:r>
            <w:r>
              <w:rPr>
                <w:rFonts w:hint="eastAsia" w:ascii="仿宋" w:hAnsi="仿宋" w:eastAsia="仿宋" w:cs="仿宋"/>
                <w:bCs/>
                <w:color w:val="auto"/>
                <w:sz w:val="24"/>
                <w:szCs w:val="24"/>
              </w:rPr>
              <w:t xml:space="preserve">的策略对象（安全区域、地址、用户、服务、网站、应用、黑白名单、安全配置文件、入侵防御、审计配置文件等）；支持丰富的网络功能；多管理员角色，精细化权限管理。</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（5）</w:t>
            </w:r>
            <w:r>
              <w:rPr>
                <w:rFonts w:hint="eastAsia" w:ascii="仿宋" w:hAnsi="仿宋" w:eastAsia="仿宋" w:cs="仿宋"/>
                <w:b/>
                <w:color w:val="auto"/>
                <w:sz w:val="24"/>
                <w:szCs w:val="24"/>
              </w:rPr>
              <w:t xml:space="preserve">边缘网关：</w:t>
            </w:r>
            <w:r>
              <w:rPr>
                <w:rFonts w:hint="eastAsia" w:ascii="仿宋" w:hAnsi="仿宋" w:eastAsia="仿宋" w:cs="仿宋"/>
                <w:bCs/>
                <w:color w:val="auto"/>
                <w:sz w:val="24"/>
                <w:szCs w:val="24"/>
              </w:rPr>
              <w:t xml:space="preserve">应采用mips架构CPU，主频不低于300MHz，内存不低于128M DDR，16M FLASH，支持WIFI和以太网接入网络，应能支持2路10M/100M自适应端口，应能支持RS232/RS485/RS422端口，应具有看门狗管理，应能支持数据采集、PLC远程上下载程序、断网续传和交换机功能。</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（6）工业级双频无线接入点：</w:t>
            </w:r>
            <w:r>
              <w:rPr>
                <w:rFonts w:hint="eastAsia" w:ascii="仿宋" w:hAnsi="仿宋" w:eastAsia="仿宋" w:cs="仿宋"/>
                <w:bCs/>
                <w:color w:val="auto"/>
                <w:sz w:val="24"/>
                <w:szCs w:val="24"/>
              </w:rPr>
              <w:t xml:space="preserve">要求至少适应-40℃～+75℃温度下</w:t>
            </w:r>
            <w:r>
              <w:rPr>
                <w:rFonts w:hint="eastAsia" w:ascii="仿宋" w:hAnsi="仿宋" w:eastAsia="仿宋" w:cs="仿宋"/>
                <w:bCs/>
                <w:color w:val="auto"/>
                <w:sz w:val="24"/>
                <w:szCs w:val="24"/>
              </w:rPr>
              <w:t xml:space="preserve">严苛的工业级工作环境；冗余双路直流供电，以及标准PoE供电，适应工业环境组网要求，稳定可靠；IEC/EN 61000-4 高标准工业级防护设计，适应恶劣环境；2.4GHz和5GHz双频段并发射频，无线速率可达1900Mbps；独立功放电路，提升发射功率；支持设备工作为AP或Client两种覆盖/传输模式以及Router 上网模式，应用灵活；强双频漫游技术，Client模式设备可快速漫游至信号更优的AP；无线冗余技术，干扰下设备通信不中断；标准DIN导轨/壁挂安装，维护简便；支持AC或商用网络云平台集中管理。</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（7）</w:t>
            </w:r>
            <w:r>
              <w:rPr>
                <w:rFonts w:hint="eastAsia" w:ascii="仿宋" w:hAnsi="仿宋" w:eastAsia="仿宋" w:cs="仿宋"/>
                <w:b/>
                <w:color w:val="auto"/>
                <w:sz w:val="24"/>
                <w:szCs w:val="24"/>
              </w:rPr>
              <w:t xml:space="preserve">环境传感器：</w:t>
            </w:r>
            <w:r>
              <w:rPr>
                <w:rFonts w:hint="eastAsia" w:ascii="仿宋" w:hAnsi="仿宋" w:eastAsia="仿宋" w:cs="仿宋"/>
                <w:bCs/>
                <w:color w:val="auto"/>
                <w:sz w:val="24"/>
                <w:szCs w:val="24"/>
                <w:highlight w:val="none"/>
              </w:rPr>
              <w:t xml:space="preserve">能测量湿度、温度、大气压力、二氧化碳环境数据，支持RS485通讯，标准modbusRTU协议。</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（8）</w:t>
            </w:r>
            <w:r>
              <w:rPr>
                <w:rFonts w:hint="eastAsia" w:ascii="仿宋" w:hAnsi="仿宋" w:eastAsia="仿宋" w:cs="仿宋"/>
                <w:b/>
                <w:color w:val="auto"/>
                <w:sz w:val="24"/>
                <w:szCs w:val="24"/>
              </w:rPr>
              <w:t xml:space="preserve">智能电表：</w:t>
            </w:r>
            <w:r>
              <w:rPr>
                <w:rFonts w:hint="eastAsia" w:ascii="仿宋" w:hAnsi="仿宋" w:eastAsia="仿宋" w:cs="仿宋"/>
                <w:bCs/>
                <w:color w:val="auto"/>
                <w:sz w:val="24"/>
                <w:szCs w:val="24"/>
              </w:rPr>
              <w:t xml:space="preserve">能实现对系统电压、电流、功率等电量的采集和显示，支持RS485通讯，采集的数据也可通过通讯传输给PLC。</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（9）</w:t>
            </w:r>
            <w:r>
              <w:rPr>
                <w:rFonts w:hint="eastAsia" w:ascii="仿宋" w:hAnsi="仿宋" w:eastAsia="仿宋" w:cs="仿宋"/>
                <w:b/>
                <w:color w:val="auto"/>
                <w:sz w:val="24"/>
                <w:szCs w:val="24"/>
              </w:rPr>
              <w:t xml:space="preserve">LORA 模块：</w:t>
            </w:r>
            <w:r>
              <w:rPr>
                <w:rFonts w:hint="eastAsia" w:ascii="仿宋" w:hAnsi="仿宋" w:eastAsia="仿宋" w:cs="仿宋"/>
                <w:bCs/>
                <w:color w:val="auto"/>
                <w:sz w:val="24"/>
                <w:szCs w:val="24"/>
              </w:rPr>
              <w:t xml:space="preserve">支持RS232、485-LoRa通讯，纯射频模组，支持发送、接收数据，与PLC直接通讯。</w:t>
            </w:r>
            <w:r>
              <w:rPr>
                <w:color w:val="auto"/>
              </w:rPr>
            </w:r>
            <w:r/>
          </w:p>
          <w:p>
            <w:pPr>
              <w:rPr>
                <w:rFonts w:ascii="仿宋" w:hAnsi="仿宋" w:eastAsia="仿宋" w:cs="仿宋"/>
                <w:bCs/>
                <w:color w:val="auto"/>
                <w:sz w:val="24"/>
                <w:szCs w:val="24"/>
              </w:rPr>
            </w:pPr>
            <w:r>
              <w:rPr>
                <w:rFonts w:hint="eastAsia" w:ascii="仿宋" w:hAnsi="仿宋" w:eastAsia="仿宋" w:cs="仿宋"/>
                <w:bCs/>
                <w:color w:val="auto"/>
                <w:sz w:val="24"/>
                <w:szCs w:val="24"/>
              </w:rPr>
              <w:t xml:space="preserve">（10）</w:t>
            </w:r>
            <w:r>
              <w:rPr>
                <w:rFonts w:hint="eastAsia" w:ascii="仿宋" w:hAnsi="仿宋" w:eastAsia="仿宋" w:cs="仿宋"/>
                <w:b/>
                <w:color w:val="auto"/>
                <w:sz w:val="24"/>
                <w:szCs w:val="24"/>
              </w:rPr>
              <w:t xml:space="preserve">协议网关</w:t>
            </w:r>
            <w:r>
              <w:rPr>
                <w:rFonts w:hint="eastAsia" w:ascii="仿宋" w:hAnsi="仿宋" w:eastAsia="仿宋" w:cs="仿宋"/>
                <w:bCs/>
                <w:color w:val="auto"/>
                <w:sz w:val="24"/>
                <w:szCs w:val="24"/>
              </w:rPr>
              <w:t xml:space="preserve">：应支持Modbus-RTU/ASCII到ProfiNet协议的转换</w:t>
            </w:r>
            <w:r>
              <w:rPr>
                <w:color w:val="auto"/>
              </w:rPr>
            </w:r>
            <w:r/>
          </w:p>
          <w:p>
            <w:pPr>
              <w:rPr>
                <w:rFonts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b/>
                <w:color w:val="auto"/>
                <w:sz w:val="24"/>
                <w:szCs w:val="24"/>
              </w:rPr>
              <w:t xml:space="preserve">IOT工业控制器：</w:t>
            </w:r>
            <w:r>
              <w:rPr>
                <w:rFonts w:hint="eastAsia" w:ascii="仿宋" w:hAnsi="仿宋" w:eastAsia="仿宋" w:cs="仿宋"/>
                <w:bCs/>
                <w:color w:val="auto"/>
                <w:sz w:val="24"/>
                <w:szCs w:val="24"/>
                <w:highlight w:val="none"/>
              </w:rPr>
              <w:t xml:space="preserve">要求控制</w:t>
            </w:r>
            <w:r>
              <w:rPr>
                <w:rFonts w:ascii="仿宋" w:hAnsi="仿宋" w:eastAsia="仿宋" w:cs="仿宋"/>
                <w:bCs/>
                <w:color w:val="auto"/>
                <w:sz w:val="24"/>
                <w:szCs w:val="24"/>
                <w:highlight w:val="none"/>
              </w:rPr>
              <w:t xml:space="preserve">处理器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I3</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内存</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8GB</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存储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容量≥128GB</w:t>
            </w:r>
            <w:r>
              <w:rPr>
                <w:rFonts w:hint="eastAsia" w:ascii="仿宋" w:hAnsi="仿宋" w:eastAsia="仿宋" w:cs="仿宋"/>
                <w:bCs/>
                <w:color w:val="auto"/>
                <w:sz w:val="24"/>
                <w:szCs w:val="24"/>
                <w:highlight w:val="none"/>
              </w:rPr>
              <w:t xml:space="preserve">。</w:t>
            </w:r>
            <w:r>
              <w:rPr>
                <w:color w:val="auto"/>
              </w:rPr>
            </w:r>
            <w:r/>
          </w:p>
          <w:p>
            <w:pPr>
              <w:rPr>
                <w:rFonts w:ascii="仿宋" w:hAnsi="仿宋" w:eastAsia="仿宋" w:cs="仿宋"/>
                <w:b/>
                <w:color w:val="auto"/>
                <w:sz w:val="24"/>
                <w:szCs w:val="24"/>
              </w:rPr>
            </w:pPr>
            <w:r>
              <w:rPr>
                <w:rFonts w:hint="eastAsia" w:ascii="仿宋" w:hAnsi="仿宋" w:eastAsia="仿宋" w:cs="仿宋"/>
                <w:b/>
                <w:color w:val="auto"/>
                <w:sz w:val="24"/>
                <w:szCs w:val="24"/>
              </w:rPr>
              <w:t xml:space="preserve">四、★配置清单及要求</w:t>
            </w:r>
            <w:r>
              <w:rPr>
                <w:color w:val="auto"/>
              </w:rPr>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86"/>
              <w:gridCol w:w="951"/>
              <w:gridCol w:w="5582"/>
              <w:gridCol w:w="516"/>
              <w:gridCol w:w="538"/>
            </w:tblGrid>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序号</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名称</w:t>
                  </w:r>
                  <w:r>
                    <w:rPr>
                      <w:color w:val="auto"/>
                    </w:rPr>
                  </w:r>
                  <w:r/>
                </w:p>
              </w:tc>
              <w:tc>
                <w:tcPr>
                  <w:tcW w:w="5582"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技术参数</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数量</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lang w:bidi="ar"/>
                    </w:rPr>
                    <w:t xml:space="preserve">单位</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实训台</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工作台尺寸：长×宽×高≥1000mm×800mm×1800mm</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color w:val="auto"/>
                    </w:rPr>
                  </w:r>
                  <w:bookmarkStart w:id="200" w:name="OLE_LINK2"/>
                  <w:r>
                    <w:rPr>
                      <w:rFonts w:hint="eastAsia" w:ascii="仿宋" w:hAnsi="仿宋" w:eastAsia="仿宋" w:cs="仿宋"/>
                      <w:color w:val="auto"/>
                      <w:sz w:val="24"/>
                      <w:szCs w:val="24"/>
                    </w:rPr>
                    <w:t xml:space="preserve">2</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可编程控制器</w:t>
                  </w:r>
                  <w:r>
                    <w:rPr>
                      <w:color w:val="auto"/>
                    </w:rPr>
                  </w:r>
                  <w:r/>
                </w:p>
              </w:tc>
              <w:tc>
                <w:tcPr>
                  <w:tcW w:w="5582" w:type="dxa"/>
                  <w:vAlign w:val="center"/>
                  <w:textDirection w:val="lrTb"/>
                  <w:noWrap w:val="false"/>
                </w:tcPr>
                <w:p>
                  <w:pPr>
                    <w:pStyle w:val="1314"/>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要求不低于双PROFINET 以太网接口，支持手拉手拓扑，集成NFC调试</w:t>
                  </w:r>
                  <w:r>
                    <w:rPr>
                      <w:rFonts w:hint="eastAsia" w:ascii="仿宋" w:hAnsi="仿宋" w:eastAsia="仿宋" w:cs="仿宋"/>
                      <w:color w:val="auto"/>
                      <w:sz w:val="24"/>
                      <w:szCs w:val="24"/>
                    </w:rPr>
                    <w:t xml:space="preserve">接口；工作存储器：程序≥250 KB，数据≥750 KB；24VDC电源，板载≥DI14 x 24VDC 漏型 / 源型，板载≥DQ10 x 24VDC；板载≥6个高速计数器和≥2个脉冲输出；信号板扩展板载式 I/O；最多2个通信板用于串行通信；最多8个信号模块用于 I/O 扩展；PROFINET IO 控制器，双端口，智能设备，TCP/IP传输协议，开放式用户安全通信，S7通信，Web服务器，OPC UA：服务器DA，PROFINET接口，用于编程、HMI以及PLC间数据通信，配套相应的 PLC编程软件。</w:t>
                  </w:r>
                  <w:r>
                    <w:rPr>
                      <w:color w:val="auto"/>
                    </w:rPr>
                  </w:r>
                  <w:r/>
                </w:p>
                <w:p>
                  <w:pPr>
                    <w:pStyle w:val="1314"/>
                    <w:jc w:val="both"/>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配有同品牌通讯板1个</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bookmarkEnd w:id="200"/>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color w:val="auto"/>
                    </w:rPr>
                  </w:r>
                  <w:bookmarkStart w:id="201" w:name="_Hlk241052044"/>
                  <w:r>
                    <w:rPr>
                      <w:rFonts w:hint="eastAsia" w:ascii="仿宋" w:hAnsi="仿宋" w:eastAsia="仿宋" w:cs="仿宋"/>
                      <w:color w:val="auto"/>
                      <w:sz w:val="24"/>
                      <w:szCs w:val="24"/>
                    </w:rPr>
                    <w:t xml:space="preserve">3</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触摸屏</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触摸屏面板，触摸操作，</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7寸TFT显示屏，</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800x 480像素，</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64K色；按键和触摸操作，</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8个功能键；</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 x PROFINET，</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 x USB</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bookmarkEnd w:id="201"/>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4</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环网三层管理工业交换机</w:t>
                  </w:r>
                  <w:r>
                    <w:rPr>
                      <w:color w:val="auto"/>
                    </w:rPr>
                  </w:r>
                  <w:r/>
                </w:p>
              </w:tc>
              <w:tc>
                <w:tcPr>
                  <w:tcW w:w="5582" w:type="dxa"/>
                  <w:vAlign w:val="center"/>
                  <w:textDirection w:val="lrTb"/>
                  <w:noWrap w:val="false"/>
                </w:tcPr>
                <w:p>
                  <w:pPr>
                    <w:pStyle w:val="998"/>
                    <w:ind w:firstLine="0"/>
                    <w:rPr>
                      <w:rFonts w:hint="eastAsia" w:ascii="仿宋" w:hAnsi="仿宋" w:eastAsia="仿宋" w:cs="仿宋"/>
                      <w:color w:val="auto"/>
                      <w:sz w:val="24"/>
                      <w:szCs w:val="24"/>
                    </w:rPr>
                  </w:pPr>
                  <w:r>
                    <w:rPr>
                      <w:rFonts w:ascii="仿宋" w:hAnsi="仿宋" w:eastAsia="仿宋" w:cs="仿宋"/>
                      <w:bCs/>
                      <w:color w:val="auto"/>
                      <w:sz w:val="24"/>
                      <w:szCs w:val="24"/>
                    </w:rPr>
                    <w:t xml:space="preserve">设备配置不少于8个10/100/1000M自适应RJ45端口及4个千兆SFP端口，支持ERPS环网协议与RPL配置，直流输入电压范围9.6V~60VDC，支持IEEE1588 精密时钟同步协议，时钟同步精度为亚微秒级，支持导轨式安装、壁挂安装，支持三层路由协议，具备安全防护机制、ACL 访问控制策略及QoS策略，配备两路电源输入，支持电源冗余备份，EMC满足高防护等级，可适用于各类现场环境</w:t>
                  </w:r>
                  <w:r>
                    <w:rPr>
                      <w:rFonts w:hint="eastAsia" w:ascii="仿宋" w:hAnsi="仿宋" w:eastAsia="仿宋" w:cs="仿宋"/>
                      <w:bCs/>
                      <w:color w:val="auto"/>
                      <w:sz w:val="24"/>
                      <w:szCs w:val="24"/>
                      <w:lang w:eastAsia="zh-CN"/>
                    </w:rPr>
                    <w:t xml:space="preserve">。</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3</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5</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工业级防火墙</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不低于双核64位网络专用处理器，单核主频1GHz，1GB DDRIV高速内存；</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3个10/100/1000M RJ45端口，</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1个MGMT管理口；工业级工作温度：-40℃~75℃；EMS高级防护，三冗余电源输入，工作更可靠；支持端口bypass功能，断电后端口直连；支持配置安</w:t>
                  </w:r>
                  <w:r>
                    <w:rPr>
                      <w:rFonts w:hint="eastAsia" w:ascii="仿宋" w:hAnsi="仿宋" w:eastAsia="仿宋" w:cs="仿宋"/>
                      <w:color w:val="auto"/>
                      <w:sz w:val="24"/>
                      <w:szCs w:val="24"/>
                    </w:rPr>
                    <w:t xml:space="preserve">全策略、审计策略、带宽策略、NAT策略、ALG 策略等；支持多种安全防护功能，防御ARP欺骗、ARP 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VPN）、DDNS等；多管理员角色，精细化权限管理。</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6</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边缘网关</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要求采用mips架构CPU，主频</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300MHz，内存</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128M DDR，</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16M FLASH，支持WIFI和以太网接入网络，支持</w:t>
                  </w:r>
                  <w:r>
                    <w:rPr>
                      <w:rFonts w:hint="eastAsia" w:ascii="仿宋" w:hAnsi="仿宋" w:eastAsia="仿宋" w:cs="仿宋"/>
                      <w:bCs/>
                      <w:color w:val="auto"/>
                      <w:sz w:val="24"/>
                      <w:szCs w:val="24"/>
                    </w:rPr>
                    <w:t xml:space="preserve">≥</w:t>
                  </w:r>
                  <w:r>
                    <w:rPr>
                      <w:rFonts w:hint="eastAsia" w:ascii="仿宋" w:hAnsi="仿宋" w:eastAsia="仿宋" w:cs="仿宋"/>
                      <w:color w:val="auto"/>
                      <w:sz w:val="24"/>
                      <w:szCs w:val="24"/>
                    </w:rPr>
                    <w:t xml:space="preserve">2路10M/100M自适应端口，至少支持RS232/RS485/RS422端口，具有看门狗管理，支持数据采集、PLC远程上下载程序、断网续传和交换机功能。</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7</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工业级双频无线接入点</w:t>
                  </w:r>
                  <w:r>
                    <w:rPr>
                      <w:color w:val="auto"/>
                    </w:rPr>
                  </w:r>
                  <w:r/>
                </w:p>
              </w:tc>
              <w:tc>
                <w:tcPr>
                  <w:tcW w:w="5582" w:type="dxa"/>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适应-40℃～+75℃温度下严苛的工业级工</w:t>
                  </w:r>
                  <w:r>
                    <w:rPr>
                      <w:rFonts w:hint="eastAsia" w:ascii="仿宋" w:hAnsi="仿宋" w:eastAsia="仿宋" w:cs="仿宋"/>
                      <w:color w:val="auto"/>
                      <w:sz w:val="24"/>
                      <w:szCs w:val="24"/>
                    </w:rPr>
                    <w:t xml:space="preserve">作环境；冗余双路直流供电，以及标准PoE供电，适应工业环境组网要求，稳定可靠；IEC/EN 61000-4高标准工业级防护设计，适应恶劣环境；2.4GHz和5GHz双频段并发射频，无线速率可达1900Mbps；独立功放电路，提升发射功率；支持设备工作为AP或Client两种覆盖/传输模式以及Router上网模式，应用灵活；强双频漫游技术，Client模式设备可快速漫游至信号更优的 AP；无线冗余技术，干扰下设备通信不中断；标准DIN导轨/壁挂安装，维护简便；支持AC或TP-LINK 商用网络云平台集中管理。</w:t>
                  </w:r>
                  <w:r>
                    <w:rPr>
                      <w:color w:val="auto"/>
                    </w:rPr>
                  </w:r>
                  <w:r/>
                </w:p>
              </w:tc>
              <w:tc>
                <w:tcPr>
                  <w:tcW w:w="516" w:type="dxa"/>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8</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环境传感器</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可测量湿度、温度、大气压力、二氧化碳环境数据，支持RS485通讯，标准modbusRTU协议。</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9</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智能电表</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可实现对系统电压、电流、功率等电量的采集和显示，支持RS485通讯，采集的数据也可通过通讯传输给 PLC。</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10</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LORA 模块</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要求支持RS232、485-LoRa通讯，纯射频模组，支持发送、接收数据，与PLC直接通讯。</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11</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协议网关</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要求可完成Modbus-RTU/ASCII到ProfiNet协议的转换</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个</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12</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远程 I/O</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要求≥2个RJ45接口，24VDC供电性能稳定、抗干扰性能强，总线协议：至少具有PROFINET、通用线缆：五类双绞线、传输距离：≥100m（站站距离）、传输速率：100Mbps、工作环境温度：-10～55°C；相对湿度：5%～90%（无凝露）</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13</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数据终端处理器</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包含可视化交互功能，可以实时查看相关数据，同时具备静态数据处理和存储能力，可完成MES、云平台相关部署。</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r>
              <w:trPr>
                <w:jc w:val="center"/>
              </w:trPr>
              <w:tc>
                <w:tcPr>
                  <w:tcW w:w="58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14</w:t>
                  </w:r>
                  <w:r>
                    <w:rPr>
                      <w:color w:val="auto"/>
                    </w:rPr>
                  </w:r>
                  <w:r/>
                </w:p>
              </w:tc>
              <w:tc>
                <w:tcPr>
                  <w:tcW w:w="951"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其他器件</w:t>
                  </w:r>
                  <w:r>
                    <w:rPr>
                      <w:color w:val="auto"/>
                    </w:rPr>
                  </w:r>
                  <w:r/>
                </w:p>
              </w:tc>
              <w:tc>
                <w:tcPr>
                  <w:tcW w:w="5582" w:type="dxa"/>
                  <w:vAlign w:val="center"/>
                  <w:textDirection w:val="lrTb"/>
                  <w:noWrap w:val="false"/>
                </w:tcPr>
                <w:p>
                  <w:pPr>
                    <w:pStyle w:val="998"/>
                    <w:ind w:firstLine="0"/>
                    <w:rPr>
                      <w:rFonts w:ascii="仿宋" w:hAnsi="仿宋" w:eastAsia="仿宋" w:cs="仿宋"/>
                      <w:color w:val="auto"/>
                      <w:sz w:val="24"/>
                      <w:szCs w:val="24"/>
                    </w:rPr>
                  </w:pPr>
                  <w:r>
                    <w:rPr>
                      <w:rFonts w:hint="eastAsia" w:ascii="仿宋" w:hAnsi="仿宋" w:eastAsia="仿宋" w:cs="仿宋"/>
                      <w:color w:val="auto"/>
                      <w:sz w:val="24"/>
                      <w:szCs w:val="24"/>
                    </w:rPr>
                    <w:t xml:space="preserve">包括断路器、导轨插座、开关电源、继电器、器件导轨等；</w:t>
                  </w:r>
                  <w:r>
                    <w:rPr>
                      <w:color w:val="auto"/>
                    </w:rPr>
                  </w:r>
                  <w:r/>
                </w:p>
              </w:tc>
              <w:tc>
                <w:tcPr>
                  <w:tcW w:w="516"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1</w:t>
                  </w:r>
                  <w:r>
                    <w:rPr>
                      <w:color w:val="auto"/>
                    </w:rPr>
                  </w:r>
                  <w:r/>
                </w:p>
              </w:tc>
              <w:tc>
                <w:tcPr>
                  <w:tcW w:w="538" w:type="dxa"/>
                  <w:vAlign w:val="center"/>
                  <w:textDirection w:val="lrTb"/>
                  <w:noWrap w:val="false"/>
                </w:tcPr>
                <w:p>
                  <w:pPr>
                    <w:pStyle w:val="998"/>
                    <w:ind w:firstLine="0"/>
                    <w:jc w:val="center"/>
                    <w:rPr>
                      <w:rFonts w:ascii="仿宋" w:hAnsi="仿宋" w:eastAsia="仿宋" w:cs="仿宋"/>
                      <w:color w:val="auto"/>
                      <w:sz w:val="24"/>
                      <w:szCs w:val="24"/>
                    </w:rPr>
                  </w:pPr>
                  <w:r>
                    <w:rPr>
                      <w:rFonts w:hint="eastAsia" w:ascii="仿宋" w:hAnsi="仿宋" w:eastAsia="仿宋" w:cs="仿宋"/>
                      <w:color w:val="auto"/>
                      <w:sz w:val="24"/>
                      <w:szCs w:val="24"/>
                    </w:rPr>
                    <w:t xml:space="preserve">套</w:t>
                  </w:r>
                  <w:r>
                    <w:rPr>
                      <w:color w:val="auto"/>
                    </w:rPr>
                  </w:r>
                  <w:r/>
                </w:p>
              </w:tc>
            </w:tr>
          </w:tbl>
          <w:p>
            <w:pPr>
              <w:jc w:val="left"/>
              <w:rPr>
                <w:rFonts w:ascii="仿宋" w:hAnsi="仿宋" w:eastAsia="仿宋" w:cs="仿宋"/>
                <w:b/>
                <w:color w:val="auto"/>
                <w:sz w:val="24"/>
                <w:szCs w:val="24"/>
              </w:rPr>
            </w:pPr>
            <w:r>
              <w:rPr>
                <w:rFonts w:ascii="仿宋" w:hAnsi="仿宋" w:eastAsia="仿宋" w:cs="仿宋"/>
                <w:b/>
                <w:color w:val="auto"/>
                <w:sz w:val="24"/>
                <w:szCs w:val="24"/>
              </w:rPr>
            </w:r>
            <w:r>
              <w:rPr>
                <w:color w:val="auto"/>
              </w:rPr>
            </w:r>
            <w:r/>
          </w:p>
        </w:tc>
      </w:tr>
    </w:tbl>
    <w:p>
      <w:pPr>
        <w:rPr>
          <w:rFonts w:ascii="仿宋" w:hAnsi="仿宋" w:eastAsia="仿宋" w:cs="仿宋"/>
          <w:b/>
          <w:color w:val="auto"/>
          <w:sz w:val="28"/>
        </w:rPr>
      </w:pPr>
      <w:r>
        <w:rPr>
          <w:rFonts w:ascii="仿宋" w:hAnsi="仿宋" w:eastAsia="仿宋" w:cs="仿宋"/>
          <w:b/>
          <w:color w:val="auto"/>
          <w:sz w:val="28"/>
        </w:rPr>
      </w:r>
      <w:r>
        <w:rPr>
          <w:color w:val="auto"/>
        </w:rPr>
      </w:r>
      <w:r/>
    </w:p>
    <w:p>
      <w:pPr>
        <w:rPr>
          <w:rFonts w:ascii="仿宋" w:hAnsi="仿宋" w:eastAsia="仿宋" w:cs="仿宋"/>
          <w:b/>
          <w:color w:val="auto"/>
          <w:sz w:val="28"/>
        </w:rPr>
      </w:pPr>
      <w:r>
        <w:rPr>
          <w:rFonts w:hint="eastAsia" w:ascii="仿宋" w:hAnsi="仿宋" w:eastAsia="仿宋" w:cs="仿宋"/>
          <w:b/>
          <w:color w:val="auto"/>
          <w:sz w:val="28"/>
        </w:rPr>
        <w:t xml:space="preserve">2.其他要求：</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演示讲解（具体要求详见第五章的评分点“技术演示”部分）</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共2项演示，具体演示内容如下：</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1.为更好地展示数字孪生设计与规划软件功能，需对软件中的2个功能进行视频功能演示，要求如下：</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功能1：AI自动生成产线：接入AI大模型接口（支持师生二次开发），支持自然语言指令（如“请搭建一条汽车生产线”）。关键词触发后，AI模块可自动搭建相应的产线场景；</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功能2：智能避障功能：能够基于预设的即关键位置点进行自动避障轨迹规划，这一功能特适用于复杂的工作环境，提高了焊接过程的安全性和精度。此外，平台还支持双机器人在干涉区域的互锁信号自动添加，当两个机器人在同一工作区域内操作时，系统会自动检测并生成互锁信号，防止碰撞和干涉，保证作业流程的顺畅与安全。</w:t>
      </w:r>
      <w:r>
        <w:rPr>
          <w:color w:val="auto"/>
        </w:rPr>
      </w:r>
      <w:r/>
    </w:p>
    <w:p>
      <w:pPr>
        <w:pStyle w:val="971"/>
        <w:rPr>
          <w:color w:val="auto"/>
        </w:rPr>
      </w:pPr>
      <w:r>
        <w:rPr>
          <w:color w:val="auto"/>
        </w:rPr>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2.为更好地展示AI-Native 数字化控制工程开发平台功能，需对软件中的2个功能进行视频功能演示，要求如下：</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功能1：运动控制仿真编辑器内置运动控制标准功能模块（使能、定位、速度模式、回零、紧急停止、电子齿轮与凸轮啮合等。要求展示伺服的原理性运动控制框图原理，包括相关的运行曲线实时运行；</w:t>
      </w:r>
      <w:r>
        <w:rPr>
          <w:color w:val="auto"/>
        </w:rPr>
      </w:r>
      <w:r/>
    </w:p>
    <w:p>
      <w:pPr>
        <w:rPr>
          <w:rFonts w:ascii="仿宋" w:hAnsi="仿宋" w:eastAsia="仿宋" w:cs="仿宋"/>
          <w:bCs/>
          <w:color w:val="auto"/>
          <w:sz w:val="24"/>
          <w:szCs w:val="21"/>
        </w:rPr>
      </w:pPr>
      <w:r>
        <w:rPr>
          <w:rFonts w:hint="eastAsia" w:ascii="仿宋" w:hAnsi="仿宋" w:eastAsia="仿宋" w:cs="仿宋"/>
          <w:bCs/>
          <w:color w:val="auto"/>
          <w:sz w:val="24"/>
          <w:szCs w:val="21"/>
        </w:rPr>
        <w:t xml:space="preserve">功能2：智能回路生成：自然语言描述自动生成完整回路图，覆盖电气、运动控制、PLC编程，一键导入画布。要求体现出通过自然语言方式生成电气回路，PLC程序，并且能够运行仿真展示回路原理。</w:t>
      </w:r>
      <w:r>
        <w:rPr>
          <w:color w:val="auto"/>
        </w:rPr>
      </w:r>
      <w:r/>
    </w:p>
    <w:p>
      <w:pPr>
        <w:rPr>
          <w:rFonts w:ascii="仿宋" w:hAnsi="仿宋" w:eastAsia="仿宋" w:cs="仿宋"/>
          <w:b/>
          <w:color w:val="auto"/>
          <w:sz w:val="28"/>
        </w:rPr>
      </w:pPr>
      <w:r>
        <w:rPr>
          <w:rFonts w:ascii="仿宋" w:hAnsi="仿宋" w:eastAsia="仿宋" w:cs="仿宋"/>
          <w:bCs/>
          <w:color w:val="auto"/>
          <w:sz w:val="24"/>
          <w:szCs w:val="21"/>
        </w:rPr>
        <w:br w:type="page" w:clear="all"/>
      </w:r>
      <w:r>
        <w:rPr>
          <w:color w:val="auto"/>
        </w:rPr>
      </w:r>
      <w:r/>
    </w:p>
    <w:p>
      <w:pPr>
        <w:spacing w:after="62"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三、商务要求</w:t>
      </w:r>
      <w:r>
        <w:rPr>
          <w:color w:val="auto"/>
        </w:rPr>
      </w:r>
      <w:r/>
    </w:p>
    <w:p>
      <w:pPr>
        <w:spacing w:after="62" w:line="479" w:lineRule="atLeast"/>
        <w:rPr>
          <w:color w:val="auto"/>
          <w:sz w:val="20"/>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rPr>
        <w:t xml:space="preserve">包括交付</w:t>
      </w:r>
      <w:r>
        <w:rPr>
          <w:rFonts w:hint="eastAsia" w:ascii="仿宋" w:hAnsi="仿宋" w:eastAsia="仿宋" w:cs="仿宋"/>
          <w:color w:val="auto"/>
          <w:sz w:val="24"/>
          <w:szCs w:val="21"/>
        </w:rPr>
        <w:t xml:space="preserve">要求、安装调试、质保及售后服务要求</w:t>
      </w:r>
      <w:r>
        <w:rPr>
          <w:rFonts w:ascii="仿宋" w:hAnsi="仿宋" w:eastAsia="仿宋" w:cs="仿宋"/>
          <w:color w:val="auto"/>
          <w:sz w:val="24"/>
          <w:szCs w:val="21"/>
        </w:rPr>
        <w:t xml:space="preserve">、验收</w:t>
      </w:r>
      <w:r>
        <w:rPr>
          <w:rFonts w:hint="eastAsia" w:ascii="仿宋" w:hAnsi="仿宋" w:eastAsia="仿宋" w:cs="仿宋"/>
          <w:color w:val="auto"/>
          <w:sz w:val="24"/>
          <w:szCs w:val="21"/>
        </w:rPr>
        <w:t xml:space="preserve">要求、付款方式、履约保证金</w:t>
      </w:r>
      <w:r>
        <w:rPr>
          <w:rFonts w:ascii="仿宋" w:hAnsi="仿宋" w:eastAsia="仿宋" w:cs="仿宋"/>
          <w:color w:val="auto"/>
          <w:sz w:val="24"/>
          <w:szCs w:val="21"/>
        </w:rPr>
        <w:t xml:space="preserve">等：</w:t>
      </w:r>
      <w:r>
        <w:rPr>
          <w:color w:val="auto"/>
        </w:rPr>
      </w:r>
      <w:r/>
    </w:p>
    <w:p>
      <w:pPr>
        <w:spacing w:after="62"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（一）交付</w:t>
      </w:r>
      <w:r>
        <w:rPr>
          <w:rFonts w:hint="eastAsia" w:ascii="仿宋" w:hAnsi="仿宋" w:eastAsia="仿宋" w:cs="仿宋"/>
          <w:b/>
          <w:color w:val="auto"/>
          <w:sz w:val="28"/>
        </w:rPr>
        <w:t xml:space="preserve">要求</w:t>
      </w:r>
      <w:r>
        <w:rPr>
          <w:color w:val="auto"/>
        </w:rPr>
      </w:r>
      <w:r/>
    </w:p>
    <w:p>
      <w:pPr>
        <w:spacing w:line="479" w:lineRule="atLeast"/>
        <w:rPr>
          <w:rFonts w:ascii="仿宋" w:hAnsi="仿宋" w:eastAsia="仿宋" w:cs="仿宋"/>
          <w:bCs/>
          <w:color w:val="auto"/>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1"/>
        </w:rPr>
        <w:t xml:space="preserve">（1）实施时间：2026年12月15日前完成供货安装调试，并通过采购人验收。</w:t>
      </w:r>
      <w:r>
        <w:rPr>
          <w:color w:val="auto"/>
        </w:rPr>
      </w:r>
      <w:r/>
    </w:p>
    <w:p>
      <w:pPr>
        <w:spacing w:line="479" w:lineRule="atLeast"/>
        <w:rPr>
          <w:rFonts w:ascii="仿宋" w:hAnsi="仿宋" w:eastAsia="仿宋" w:cs="仿宋"/>
          <w:bCs/>
          <w:color w:val="auto"/>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1"/>
        </w:rPr>
        <w:t xml:space="preserve">（2）交付地点：江苏省南通中等专业学校。</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（二）安装调试、质保及售后服务要求</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1.总体服务要求：</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中标人须提供安装、调试、培训、维护等服务，硬件设备</w:t>
      </w:r>
      <w:r>
        <w:rPr>
          <w:rFonts w:hint="eastAsia" w:eastAsia="仿宋"/>
          <w:b/>
          <w:color w:val="auto"/>
          <w:sz w:val="24"/>
          <w:szCs w:val="24"/>
        </w:rPr>
        <w:t xml:space="preserve">原厂三年质保</w:t>
      </w:r>
      <w:r>
        <w:rPr>
          <w:rFonts w:hint="eastAsia" w:eastAsia="仿宋"/>
          <w:bCs/>
          <w:color w:val="auto"/>
          <w:sz w:val="24"/>
          <w:szCs w:val="24"/>
        </w:rPr>
        <w:t xml:space="preserve">、课程资源包可以单独下载，软件永久授权，所有设备质保期内免费维护维修及技术支持，保修期以外提供免费维护和技术支持，维修只收材料成本费及交通费。设备发生故障时，接到用户通知需24小时内上门，48小时内解决问题。</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2.培训要求：</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（1）对采购单位人员进行该技术内容操作使用和维护保养的培训不少于2天。</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（2）对采购单位人员进行设备安全培训。</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（3）提供设备运行、调试、维护过程中必要的专用工具、软件，以及对相关人员进行工艺设置、设备运行、调试和维护过程中相关的专用工具及软件使用的培训。</w:t>
      </w:r>
      <w:r>
        <w:rPr>
          <w:color w:val="auto"/>
        </w:rPr>
      </w:r>
      <w:r/>
    </w:p>
    <w:p>
      <w:pPr>
        <w:spacing w:after="62" w:line="460" w:lineRule="exact"/>
        <w:rPr>
          <w:rFonts w:eastAsia="仿宋"/>
          <w:bCs/>
          <w:color w:val="auto"/>
          <w:sz w:val="24"/>
          <w:szCs w:val="24"/>
        </w:rPr>
      </w:pPr>
      <w:r>
        <w:rPr>
          <w:rFonts w:hint="eastAsia" w:eastAsia="仿宋"/>
          <w:bCs/>
          <w:color w:val="auto"/>
          <w:sz w:val="24"/>
          <w:szCs w:val="24"/>
        </w:rPr>
        <w:t xml:space="preserve">（4）中标人应免费提供一定数量的培训资料。</w:t>
      </w:r>
      <w:r>
        <w:rPr>
          <w:color w:val="auto"/>
        </w:rPr>
      </w:r>
      <w:r/>
    </w:p>
    <w:p>
      <w:pPr>
        <w:spacing w:line="479" w:lineRule="atLeast"/>
        <w:rPr>
          <w:rFonts w:eastAsia="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（三）验收</w:t>
      </w:r>
      <w:r>
        <w:rPr>
          <w:rFonts w:hint="eastAsia" w:ascii="仿宋" w:hAnsi="仿宋" w:eastAsia="仿宋" w:cs="仿宋"/>
          <w:b/>
          <w:color w:val="auto"/>
          <w:sz w:val="28"/>
        </w:rPr>
        <w:t xml:space="preserve">要求</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1.招标文件技术规格书中明确的标准和技术要求；与合同货物有关的最新版本的中华人民共和国国家/国际标准和部颁标准；货物合格证书技术资料中的精度、质量要求；</w:t>
      </w:r>
      <w:r>
        <w:rPr>
          <w:color w:val="auto"/>
        </w:rPr>
      </w:r>
      <w:r/>
    </w:p>
    <w:p>
      <w:pPr>
        <w:spacing w:line="479" w:lineRule="atLeast"/>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供应商在澄清响应文件时作出的承诺，经采购单位确认后，将作为对货物的验收依据之一；双方签订的合同技术附件所规定的条款。</w:t>
      </w:r>
      <w:r>
        <w:rPr>
          <w:color w:val="auto"/>
        </w:rPr>
      </w:r>
      <w:r/>
    </w:p>
    <w:p>
      <w:pPr>
        <w:spacing w:after="62" w:line="460" w:lineRule="exact"/>
        <w:rPr>
          <w:rFonts w:eastAsia="仿宋"/>
          <w:color w:val="auto"/>
          <w:sz w:val="24"/>
          <w:szCs w:val="24"/>
        </w:rPr>
      </w:pPr>
      <w:r>
        <w:rPr>
          <w:rFonts w:hint="eastAsia" w:ascii="仿宋" w:hAnsi="仿宋" w:eastAsia="仿宋" w:cs="仿宋"/>
          <w:color w:val="auto"/>
          <w:sz w:val="24"/>
        </w:rPr>
        <w:t xml:space="preserve">2.</w:t>
      </w:r>
      <w:r>
        <w:rPr>
          <w:rFonts w:eastAsia="仿宋"/>
          <w:color w:val="auto"/>
          <w:sz w:val="24"/>
          <w:szCs w:val="24"/>
        </w:rPr>
        <w:t xml:space="preserve">所供产品交付使用时，供应商必须向需方提供产品说明书、质量保证书、保修卡、合格证等必须具备的相关资料和必备的附件。中标人必须负责所采购产品的运输，并派有经验的技术人员到现场进行卸货、安装，经调试、检测合格后交付使用，其费用由中标人承担，包含在报价中。 </w:t>
      </w:r>
      <w:r>
        <w:rPr>
          <w:color w:val="auto"/>
        </w:rPr>
      </w:r>
      <w:r/>
    </w:p>
    <w:p>
      <w:pPr>
        <w:spacing w:after="62" w:line="460" w:lineRule="exact"/>
        <w:rPr>
          <w:rFonts w:eastAsia="仿宋"/>
          <w:color w:val="auto"/>
          <w:sz w:val="24"/>
          <w:szCs w:val="24"/>
        </w:rPr>
      </w:pPr>
      <w:r>
        <w:rPr>
          <w:rFonts w:hint="eastAsia" w:eastAsia="仿宋"/>
          <w:color w:val="auto"/>
          <w:sz w:val="24"/>
          <w:szCs w:val="24"/>
        </w:rPr>
        <w:t xml:space="preserve">3.因产品质量或运输、安装不当等原因导致验收不合格，应及时处理直至验收合格，期间产生的一切费用由中标人承担；若二次验收不合格，采购人有权退货。采购人在此期间保留对中标人的索赔权利。影响到正常教育教学的，一切责任后果，由中标人承担。</w:t>
      </w:r>
      <w:r>
        <w:rPr>
          <w:color w:val="auto"/>
        </w:rPr>
      </w:r>
      <w:r/>
    </w:p>
    <w:p>
      <w:pPr>
        <w:spacing w:after="62" w:line="460" w:lineRule="exact"/>
        <w:rPr>
          <w:color w:val="auto"/>
          <w:sz w:val="24"/>
          <w:szCs w:val="24"/>
        </w:rPr>
      </w:pPr>
      <w:r>
        <w:rPr>
          <w:rFonts w:hint="eastAsia" w:eastAsia="仿宋"/>
          <w:color w:val="auto"/>
          <w:sz w:val="24"/>
          <w:szCs w:val="24"/>
        </w:rPr>
        <w:t xml:space="preserve">4.在接到中标人以书面形式提出验收申请后，采购人在5个工作日内及时组织相关专业技术人员，必要时邀请第三方质检等部门共同参与验收，并出具验收报告，作为支付货款的依据。在验收过程中因设备本身、调试等原因产生费用，所有费用由中标人负责。验收时，中标人未按照要求提供相关材料的，视为验收不合格；整改期限前仍不能完成整改的，视为中标人无履约能力，采购人有权终止合同，一切责任由中标人承担。 </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（四）付款方式</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1.货物到场、安装调试完毕，并经采购人验收合格后收到中标人正规发票付至货款的100%。</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2.因中标人发票错误、迟延等问题而导致采购人无法付款的，采购人不承担责任。</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（五）履约保证金</w:t>
      </w:r>
      <w:r>
        <w:rPr>
          <w:color w:val="auto"/>
        </w:rPr>
      </w:r>
      <w:r/>
    </w:p>
    <w:p>
      <w:pPr>
        <w:spacing w:line="480" w:lineRule="exact"/>
        <w:rPr>
          <w:rFonts w:ascii="仿宋" w:hAnsi="仿宋" w:eastAsia="仿宋"/>
          <w:color w:val="auto"/>
          <w:sz w:val="24"/>
          <w:szCs w:val="24"/>
        </w:rPr>
      </w:pPr>
      <w:r>
        <w:rPr>
          <w:rFonts w:ascii="仿宋" w:hAnsi="仿宋" w:eastAsia="仿宋" w:cs="仿宋"/>
          <w:color w:val="auto"/>
          <w:sz w:val="24"/>
        </w:rPr>
        <w:t xml:space="preserve">1.本项目</w:t>
      </w:r>
      <w:r>
        <w:rPr>
          <w:rFonts w:ascii="仿宋" w:hAnsi="仿宋" w:eastAsia="仿宋" w:cs="仿宋"/>
          <w:b/>
          <w:bCs/>
          <w:color w:val="auto"/>
          <w:sz w:val="24"/>
        </w:rPr>
        <w:t xml:space="preserve">履约保证金为项目成交价的10%</w:t>
      </w:r>
      <w:r>
        <w:rPr>
          <w:rFonts w:ascii="仿宋" w:hAnsi="仿宋" w:eastAsia="仿宋" w:cs="仿宋"/>
          <w:color w:val="auto"/>
          <w:sz w:val="24"/>
        </w:rPr>
        <w:t xml:space="preserve">，</w:t>
      </w:r>
      <w:r>
        <w:rPr>
          <w:rFonts w:hint="eastAsia" w:ascii="仿宋" w:hAnsi="仿宋" w:eastAsia="仿宋"/>
          <w:color w:val="auto"/>
          <w:sz w:val="24"/>
          <w:szCs w:val="24"/>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w:t>
      </w:r>
      <w:r>
        <w:rPr>
          <w:rFonts w:hint="eastAsia" w:ascii="仿宋" w:hAnsi="仿宋" w:eastAsia="仿宋" w:cs="仿宋"/>
          <w:color w:val="auto"/>
          <w:sz w:val="24"/>
        </w:rPr>
        <w:t xml:space="preserve">中标人</w:t>
      </w:r>
      <w:r>
        <w:rPr>
          <w:rFonts w:ascii="仿宋" w:hAnsi="仿宋" w:eastAsia="仿宋" w:cs="仿宋"/>
          <w:color w:val="auto"/>
          <w:sz w:val="24"/>
        </w:rPr>
        <w:t xml:space="preserve">全部履行合同义务，经采购人验收合格无质量、进度等问题的，采购人在验收合格后一次性退还履约保证金，采购人若逾期退还履约保证金的，按照逾期部分的每日0.05%支付违约金；</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3.发生以下情况的，履约保证金不予退还或部分退还：</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a.签订合同后，</w:t>
      </w:r>
      <w:r>
        <w:rPr>
          <w:rFonts w:hint="eastAsia" w:ascii="仿宋" w:hAnsi="仿宋" w:eastAsia="仿宋" w:cs="仿宋"/>
          <w:color w:val="auto"/>
          <w:sz w:val="24"/>
        </w:rPr>
        <w:t xml:space="preserve">中标人</w:t>
      </w:r>
      <w:r>
        <w:rPr>
          <w:rFonts w:ascii="仿宋" w:hAnsi="仿宋" w:eastAsia="仿宋" w:cs="仿宋"/>
          <w:color w:val="auto"/>
          <w:sz w:val="24"/>
        </w:rPr>
        <w:t xml:space="preserve">不履行合同义务的，采购人有权全额扣除履约保证金，全额不予退还，同时采购人亦有权终止合同，中标人还须承担相应的法律赔偿责任。</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b.</w:t>
      </w:r>
      <w:r>
        <w:rPr>
          <w:rFonts w:hint="eastAsia" w:ascii="仿宋" w:hAnsi="仿宋" w:eastAsia="仿宋" w:cs="仿宋"/>
          <w:color w:val="auto"/>
          <w:sz w:val="24"/>
        </w:rPr>
        <w:t xml:space="preserve">中标人</w:t>
      </w:r>
      <w:r>
        <w:rPr>
          <w:rFonts w:ascii="仿宋" w:hAnsi="仿宋" w:eastAsia="仿宋" w:cs="仿宋"/>
          <w:color w:val="auto"/>
          <w:sz w:val="24"/>
        </w:rPr>
        <w:t xml:space="preserve">在履约过程中发生违约行为，给采购人造成损失的，采购人有权在</w:t>
      </w:r>
      <w:r>
        <w:rPr>
          <w:rFonts w:hint="eastAsia" w:ascii="仿宋" w:hAnsi="仿宋" w:eastAsia="仿宋" w:cs="仿宋"/>
          <w:color w:val="auto"/>
          <w:sz w:val="24"/>
        </w:rPr>
        <w:t xml:space="preserve">中标人</w:t>
      </w:r>
      <w:r>
        <w:rPr>
          <w:rFonts w:ascii="仿宋" w:hAnsi="仿宋" w:eastAsia="仿宋" w:cs="仿宋"/>
          <w:color w:val="auto"/>
          <w:sz w:val="24"/>
        </w:rPr>
        <w:t xml:space="preserve">缴纳的履约保证金中予以扣款，以弥补采购人经济损失，不足的部分</w:t>
      </w:r>
      <w:r>
        <w:rPr>
          <w:rFonts w:hint="eastAsia" w:ascii="仿宋" w:hAnsi="仿宋" w:eastAsia="仿宋" w:cs="仿宋"/>
          <w:color w:val="auto"/>
          <w:sz w:val="24"/>
        </w:rPr>
        <w:t xml:space="preserve">中标人</w:t>
      </w:r>
      <w:r>
        <w:rPr>
          <w:rFonts w:ascii="仿宋" w:hAnsi="仿宋" w:eastAsia="仿宋" w:cs="仿宋"/>
          <w:color w:val="auto"/>
          <w:sz w:val="24"/>
        </w:rPr>
        <w:t xml:space="preserve">另外补齐。</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rPr>
          <w:color w:val="auto"/>
        </w:rPr>
      </w:r>
      <w:r/>
    </w:p>
    <w:p>
      <w:pPr>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rPr>
          <w:color w:val="auto"/>
        </w:rPr>
      </w:r>
      <w:r/>
    </w:p>
    <w:p>
      <w:pPr>
        <w:keepLines w:val="0"/>
        <w:keepNext w:val="0"/>
        <w:pageBreakBefore w:val="0"/>
        <w:spacing w:line="480" w:lineRule="exact"/>
        <w:widowControl w:val="off"/>
        <w:rPr>
          <w:rFonts w:ascii="宋体" w:hAnsi="宋体" w:cs="宋体"/>
          <w:b/>
          <w:color w:val="auto"/>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b/>
          <w:color w:val="auto"/>
          <w:sz w:val="28"/>
          <w:szCs w:val="28"/>
        </w:rPr>
        <w:t xml:space="preserve">四、采购需求中必须满足的实质性要求</w:t>
      </w:r>
      <w:r>
        <w:rPr>
          <w:color w:val="auto"/>
        </w:rPr>
      </w:r>
      <w:r/>
    </w:p>
    <w:p>
      <w:pPr>
        <w:spacing w:line="479" w:lineRule="atLeast"/>
        <w:rPr>
          <w:rFonts w:ascii="仿宋" w:hAnsi="仿宋" w:eastAsia="仿宋" w:cs="仿宋"/>
          <w:color w:val="auto"/>
          <w:sz w:val="24"/>
          <w:u w:val="single"/>
        </w:rPr>
        <w:pBdr>
          <w:top w:val="none" w:color="000000" w:sz="0" w:space="0"/>
          <w:left w:val="none" w:color="000000" w:sz="0" w:space="0"/>
          <w:bottom w:val="none" w:color="000000" w:sz="0" w:space="0"/>
          <w:right w:val="none" w:color="000000" w:sz="0" w:space="0"/>
        </w:pBdr>
      </w:pPr>
      <w:r>
        <w:rPr>
          <w:color w:val="auto"/>
        </w:rPr>
      </w:r>
      <w:bookmarkStart w:id="202" w:name="_Toc12359"/>
      <w:r>
        <w:rPr>
          <w:color w:val="auto"/>
        </w:rPr>
      </w:r>
      <w:bookmarkStart w:id="207" w:name="_GoBack"/>
      <w:r>
        <w:rPr>
          <w:color w:val="auto"/>
        </w:rPr>
      </w:r>
      <w:bookmarkEnd w:id="207"/>
      <w:r>
        <w:rPr>
          <w:rFonts w:hint="eastAsia" w:ascii="仿宋" w:hAnsi="仿宋" w:eastAsia="仿宋" w:cs="仿宋"/>
          <w:color w:val="auto"/>
          <w:sz w:val="24"/>
          <w:u w:val="single"/>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rPr>
          <w:color w:val="auto"/>
        </w:rPr>
      </w:r>
      <w:r/>
    </w:p>
    <w:p>
      <w:pPr>
        <w:keepLines w:val="0"/>
        <w:keepNext w:val="0"/>
        <w:pageBreakBefore w:val="0"/>
        <w:spacing w:line="480" w:lineRule="exact"/>
        <w:widowControl w:val="off"/>
        <w:rPr>
          <w:rFonts w:ascii="仿宋" w:hAnsi="仿宋" w:eastAsia="仿宋" w:cs="仿宋"/>
          <w:b/>
          <w:bCs/>
          <w:iCs/>
          <w:color w:val="auto"/>
          <w:sz w:val="24"/>
          <w:szCs w:val="24"/>
          <w:u w:val="single"/>
        </w:rPr>
        <w:outlineLvl w:val="9"/>
      </w:pPr>
      <w:r>
        <w:rPr>
          <w:rFonts w:hint="eastAsia" w:ascii="仿宋" w:hAnsi="仿宋" w:eastAsia="仿宋" w:cs="仿宋"/>
          <w:b/>
          <w:bCs/>
          <w:iCs/>
          <w:color w:val="auto"/>
          <w:sz w:val="24"/>
          <w:szCs w:val="24"/>
          <w:u w:val="single"/>
        </w:rPr>
        <w:t xml:space="preserve">1.报价实质性要求</w:t>
      </w:r>
      <w:r>
        <w:rPr>
          <w:color w:val="auto"/>
        </w:rPr>
      </w:r>
      <w:r/>
    </w:p>
    <w:p>
      <w:pPr>
        <w:keepLines w:val="0"/>
        <w:keepNext w:val="0"/>
        <w:pageBreakBefore w:val="0"/>
        <w:spacing w:line="480" w:lineRule="exact"/>
        <w:widowControl w:val="off"/>
        <w:rPr>
          <w:rFonts w:ascii="仿宋" w:hAnsi="仿宋" w:eastAsia="仿宋" w:cs="仿宋"/>
          <w:iCs/>
          <w:color w:val="auto"/>
          <w:sz w:val="24"/>
          <w:szCs w:val="24"/>
          <w:u w:val="single"/>
        </w:rPr>
        <w:outlineLvl w:val="9"/>
      </w:pPr>
      <w:r>
        <w:rPr>
          <w:rFonts w:hint="eastAsia" w:ascii="仿宋" w:hAnsi="仿宋" w:eastAsia="仿宋" w:cs="仿宋"/>
          <w:iCs/>
          <w:color w:val="auto"/>
          <w:sz w:val="24"/>
          <w:szCs w:val="24"/>
          <w:u w:val="single"/>
        </w:rPr>
        <w:t xml:space="preserve">投标人应对所投项目的全部内容进行报价，只投其中部分内容者，视为无效投标。</w:t>
      </w:r>
      <w:r>
        <w:rPr>
          <w:color w:val="auto"/>
        </w:rPr>
      </w:r>
      <w:r/>
    </w:p>
    <w:p>
      <w:pPr>
        <w:keepLines w:val="0"/>
        <w:keepNext w:val="0"/>
        <w:pageBreakBefore w:val="0"/>
        <w:spacing w:line="480" w:lineRule="exact"/>
        <w:widowControl w:val="off"/>
        <w:rPr>
          <w:rFonts w:ascii="仿宋" w:hAnsi="仿宋" w:eastAsia="仿宋" w:cs="仿宋"/>
          <w:b/>
          <w:bCs/>
          <w:iCs/>
          <w:color w:val="auto"/>
          <w:sz w:val="24"/>
          <w:szCs w:val="24"/>
          <w:u w:val="single"/>
        </w:rPr>
        <w:outlineLvl w:val="9"/>
      </w:pPr>
      <w:r>
        <w:rPr>
          <w:rFonts w:hint="eastAsia" w:ascii="仿宋" w:hAnsi="仿宋" w:eastAsia="仿宋" w:cs="仿宋"/>
          <w:b/>
          <w:bCs/>
          <w:iCs/>
          <w:color w:val="auto"/>
          <w:sz w:val="24"/>
          <w:szCs w:val="24"/>
          <w:u w:val="single"/>
        </w:rPr>
        <w:t xml:space="preserve">2.技术部分实质性要求（佐证材料须在《技术要求响应及偏离表》下方列明）</w:t>
      </w:r>
      <w:r>
        <w:rPr>
          <w:color w:val="auto"/>
        </w:rPr>
      </w:r>
      <w:r/>
    </w:p>
    <w:p>
      <w:pPr>
        <w:keepLines w:val="0"/>
        <w:keepNext w:val="0"/>
        <w:pageBreakBefore w:val="0"/>
        <w:spacing w:line="480" w:lineRule="exact"/>
        <w:widowControl w:val="off"/>
        <w:rPr>
          <w:rFonts w:ascii="仿宋" w:hAnsi="仿宋" w:eastAsia="仿宋" w:cs="仿宋"/>
          <w:iCs/>
          <w:color w:val="auto"/>
          <w:sz w:val="24"/>
          <w:szCs w:val="24"/>
          <w:u w:val="single"/>
        </w:rPr>
        <w:outlineLvl w:val="9"/>
      </w:pPr>
      <w:r>
        <w:rPr>
          <w:rFonts w:hint="eastAsia" w:ascii="仿宋" w:hAnsi="仿宋" w:eastAsia="仿宋" w:cs="仿宋"/>
          <w:iCs/>
          <w:color w:val="auto"/>
          <w:sz w:val="24"/>
          <w:szCs w:val="24"/>
          <w:u w:val="single"/>
        </w:rPr>
        <w:t xml:space="preserve">2.1标注“★”的技术参数均为实质性参数，不得负偏离，否则视为无效响应。</w:t>
      </w:r>
      <w:r>
        <w:rPr>
          <w:color w:val="auto"/>
        </w:rPr>
      </w:r>
      <w:r/>
    </w:p>
    <w:p>
      <w:pPr>
        <w:keepLines w:val="0"/>
        <w:keepNext w:val="0"/>
        <w:pageBreakBefore w:val="0"/>
        <w:spacing w:line="480" w:lineRule="exact"/>
        <w:widowControl w:val="off"/>
        <w:rPr>
          <w:rFonts w:ascii="仿宋" w:hAnsi="仿宋" w:eastAsia="仿宋" w:cs="仿宋"/>
          <w:b/>
          <w:bCs/>
          <w:iCs/>
          <w:color w:val="auto"/>
          <w:sz w:val="24"/>
          <w:szCs w:val="24"/>
          <w:u w:val="single"/>
        </w:rPr>
        <w:outlineLvl w:val="9"/>
      </w:pPr>
      <w:r>
        <w:rPr>
          <w:rFonts w:hint="eastAsia" w:ascii="仿宋" w:hAnsi="仿宋" w:eastAsia="仿宋" w:cs="仿宋"/>
          <w:b/>
          <w:bCs/>
          <w:iCs/>
          <w:color w:val="auto"/>
          <w:sz w:val="24"/>
          <w:szCs w:val="24"/>
          <w:u w:val="single"/>
        </w:rPr>
        <w:t xml:space="preserve">3.商务部分实质性要求（请单独列出并加斜体下划线）</w:t>
      </w:r>
      <w:r>
        <w:rPr>
          <w:color w:val="auto"/>
        </w:rPr>
      </w:r>
      <w:r/>
    </w:p>
    <w:p>
      <w:pPr>
        <w:keepLines w:val="0"/>
        <w:keepNext w:val="0"/>
        <w:pageBreakBefore w:val="0"/>
        <w:spacing w:line="480" w:lineRule="exact"/>
        <w:widowControl w:val="off"/>
        <w:rPr>
          <w:rFonts w:ascii="仿宋" w:hAnsi="仿宋" w:eastAsia="仿宋" w:cs="仿宋"/>
          <w:iCs/>
          <w:color w:val="auto"/>
          <w:sz w:val="24"/>
          <w:szCs w:val="24"/>
          <w:u w:val="single"/>
        </w:rPr>
        <w:outlineLvl w:val="9"/>
      </w:pPr>
      <w:r>
        <w:rPr>
          <w:rFonts w:hint="eastAsia" w:ascii="仿宋" w:hAnsi="仿宋" w:eastAsia="仿宋" w:cs="仿宋"/>
          <w:iCs/>
          <w:color w:val="auto"/>
          <w:sz w:val="24"/>
          <w:szCs w:val="24"/>
          <w:u w:val="single"/>
        </w:rPr>
        <w:t xml:space="preserve">3.1商务要求不接受负偏离，否则视为无效响应。</w:t>
      </w:r>
      <w:r>
        <w:rPr>
          <w:color w:val="auto"/>
        </w:rPr>
      </w:r>
      <w:r/>
    </w:p>
    <w:p>
      <w:pPr>
        <w:keepLines w:val="0"/>
        <w:keepNext w:val="0"/>
        <w:pageBreakBefore w:val="0"/>
        <w:spacing w:line="480" w:lineRule="exact"/>
        <w:widowControl w:val="off"/>
        <w:rPr>
          <w:rFonts w:ascii="仿宋" w:hAnsi="仿宋" w:eastAsia="仿宋" w:cs="仿宋"/>
          <w:iCs/>
          <w:color w:val="auto"/>
          <w:sz w:val="24"/>
          <w:szCs w:val="24"/>
          <w:u w:val="single"/>
        </w:rPr>
        <w:outlineLvl w:val="9"/>
      </w:pPr>
      <w:r>
        <w:rPr>
          <w:rFonts w:hint="eastAsia" w:ascii="仿宋" w:hAnsi="仿宋" w:eastAsia="仿宋" w:cs="仿宋"/>
          <w:iCs/>
          <w:color w:val="auto"/>
          <w:sz w:val="24"/>
          <w:szCs w:val="24"/>
          <w:u w:val="single"/>
        </w:rPr>
        <w:t xml:space="preserve">3.2投标人须承诺提供的软件在质保期内具有合法有效的知识产权或合法有效的使用权，须做出书面承诺（格式自拟），不提供视为非实质性响应。</w:t>
      </w:r>
      <w:r>
        <w:rPr>
          <w:color w:val="auto"/>
        </w:rPr>
      </w:r>
      <w:r/>
    </w:p>
    <w:p>
      <w:pPr>
        <w:keepLines w:val="0"/>
        <w:keepNext w:val="0"/>
        <w:pageBreakBefore w:val="0"/>
        <w:spacing w:line="480" w:lineRule="exact"/>
        <w:widowControl w:val="off"/>
        <w:rPr>
          <w:rFonts w:ascii="仿宋" w:hAnsi="仿宋" w:eastAsia="仿宋" w:cs="仿宋"/>
          <w:iCs/>
          <w:color w:val="auto"/>
          <w:sz w:val="24"/>
          <w:szCs w:val="24"/>
          <w:u w:val="singl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仿宋" w:hAnsi="仿宋" w:eastAsia="仿宋" w:cs="仿宋"/>
          <w:iCs/>
          <w:color w:val="auto"/>
          <w:sz w:val="24"/>
          <w:szCs w:val="24"/>
          <w:u w:val="single"/>
        </w:rPr>
        <w:t xml:space="preserve">3.3投标人报价为总价包干，须包含完成本项目所需的一切费用，包括但不限于货物、运输、安装、税金等。投标人须提供书面承诺（格式自拟），承诺报价已覆盖全部内容，中标后不得以任何理由要求追加费用。</w:t>
      </w:r>
      <w:r>
        <w:rPr>
          <w:color w:val="auto"/>
        </w:rPr>
      </w:r>
      <w:r/>
    </w:p>
    <w:p>
      <w:pPr>
        <w:jc w:val="center"/>
        <w:keepLines w:val="0"/>
        <w:keepNext/>
        <w:pageBreakBefore w:val="0"/>
        <w:widowControl w:val="off"/>
        <w:rPr>
          <w:rFonts w:hint="eastAsia" w:ascii="黑体" w:eastAsia="黑体"/>
          <w:bCs/>
          <w:color w:val="auto"/>
          <w:sz w:val="44"/>
          <w:szCs w:val="28"/>
        </w:rPr>
        <w:outlineLvl w:val="0"/>
      </w:pPr>
      <w:r>
        <w:rPr>
          <w:rFonts w:hint="eastAsia" w:ascii="黑体" w:eastAsia="黑体"/>
          <w:bCs/>
          <w:color w:val="auto"/>
          <w:sz w:val="44"/>
          <w:szCs w:val="28"/>
          <w:lang w:eastAsia="zh-CN"/>
        </w:rPr>
        <w:t xml:space="preserve">第五章  评标方法与评标标准</w:t>
      </w:r>
      <w:bookmarkEnd w:id="202"/>
      <w:r>
        <w:rPr>
          <w:color w:val="auto"/>
        </w:rPr>
      </w:r>
      <w:r/>
    </w:p>
    <w:p>
      <w:pPr>
        <w:ind w:firstLine="512"/>
        <w:jc w:val="left"/>
        <w:spacing w:before="120" w:after="120" w:line="460" w:lineRule="exact"/>
        <w:rPr>
          <w:rFonts w:ascii="仿宋" w:hAnsi="仿宋" w:eastAsia="仿宋" w:cs="Arial"/>
          <w:color w:val="auto"/>
          <w:sz w:val="28"/>
          <w:szCs w:val="28"/>
        </w:rPr>
      </w:pPr>
      <w:r>
        <w:rPr>
          <w:rFonts w:ascii="仿宋" w:hAnsi="仿宋" w:eastAsia="仿宋" w:cs="Arial"/>
          <w:color w:val="auto"/>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rPr>
        <w:t xml:space="preserve">。本项目选取1名中标候选人。</w:t>
      </w:r>
      <w:bookmarkEnd w:id="192"/>
      <w:r>
        <w:rPr>
          <w:color w:val="auto"/>
        </w:rPr>
      </w:r>
      <w:bookmarkEnd w:id="193"/>
      <w:r>
        <w:rPr>
          <w:color w:val="auto"/>
        </w:rPr>
      </w:r>
      <w:bookmarkEnd w:id="194"/>
      <w:r>
        <w:rPr>
          <w:color w:val="auto"/>
        </w:rPr>
      </w:r>
      <w:r/>
    </w:p>
    <w:p>
      <w:pPr>
        <w:ind w:firstLine="562"/>
        <w:jc w:val="left"/>
        <w:spacing w:before="120" w:after="120" w:line="460" w:lineRule="exact"/>
        <w:rPr>
          <w:rFonts w:ascii="仿宋" w:hAnsi="仿宋" w:eastAsia="仿宋"/>
          <w:b/>
          <w:color w:val="auto"/>
          <w:sz w:val="28"/>
          <w:szCs w:val="28"/>
        </w:rPr>
      </w:pPr>
      <w:r>
        <w:rPr>
          <w:color w:val="auto"/>
        </w:rPr>
      </w:r>
      <w:bookmarkStart w:id="203" w:name="_Toc120614282"/>
      <w:r>
        <w:rPr>
          <w:color w:val="auto"/>
        </w:rPr>
      </w:r>
      <w:bookmarkStart w:id="204" w:name="_Toc49090576"/>
      <w:r>
        <w:rPr>
          <w:color w:val="auto"/>
        </w:rPr>
      </w:r>
      <w:bookmarkStart w:id="205" w:name="_Toc26554094"/>
      <w:r>
        <w:rPr>
          <w:rFonts w:hint="eastAsia" w:ascii="仿宋" w:hAnsi="仿宋" w:eastAsia="仿宋"/>
          <w:b/>
          <w:color w:val="auto"/>
          <w:sz w:val="28"/>
          <w:szCs w:val="28"/>
        </w:rPr>
        <w:t xml:space="preserve">评标方法与评标标准</w:t>
      </w:r>
      <w:r>
        <w:rPr>
          <w:color w:val="auto"/>
        </w:rPr>
      </w:r>
      <w:r/>
    </w:p>
    <w:p>
      <w:pPr>
        <w:ind w:firstLine="562"/>
        <w:jc w:val="left"/>
        <w:spacing w:before="120" w:after="120" w:line="460" w:lineRule="exact"/>
        <w:rPr>
          <w:rFonts w:ascii="仿宋" w:hAnsi="仿宋" w:eastAsia="仿宋"/>
          <w:b/>
          <w:color w:val="auto"/>
          <w:sz w:val="24"/>
          <w:szCs w:val="24"/>
        </w:rPr>
      </w:pPr>
      <w:r>
        <w:rPr>
          <w:rFonts w:hint="eastAsia" w:ascii="仿宋" w:hAnsi="仿宋" w:eastAsia="仿宋"/>
          <w:b/>
          <w:color w:val="auto"/>
          <w:sz w:val="24"/>
          <w:szCs w:val="24"/>
        </w:rPr>
        <w:t xml:space="preserve">1.价格分：50分</w:t>
      </w:r>
      <w:r>
        <w:rPr>
          <w:color w:val="auto"/>
        </w:rPr>
      </w:r>
      <w:r/>
    </w:p>
    <w:p>
      <w:pPr>
        <w:ind w:firstLine="560"/>
        <w:jc w:val="left"/>
        <w:spacing w:before="120" w:after="120" w:line="460" w:lineRule="exact"/>
        <w:rPr>
          <w:rFonts w:ascii="仿宋" w:hAnsi="仿宋" w:eastAsia="仿宋"/>
          <w:b/>
          <w:color w:val="auto"/>
          <w:sz w:val="24"/>
          <w:szCs w:val="24"/>
        </w:rPr>
      </w:pPr>
      <w:r>
        <w:rPr>
          <w:rFonts w:hint="eastAsia" w:ascii="仿宋" w:hAnsi="仿宋" w:eastAsia="仿宋"/>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auto"/>
        </w:rPr>
      </w:r>
      <w:r/>
    </w:p>
    <w:p>
      <w:pPr>
        <w:ind w:left="562"/>
        <w:jc w:val="left"/>
        <w:spacing w:before="120" w:after="62" w:line="460" w:lineRule="exact"/>
        <w:rPr>
          <w:rFonts w:eastAsia="仿宋"/>
          <w:b/>
          <w:color w:val="auto"/>
          <w:sz w:val="24"/>
          <w:szCs w:val="24"/>
        </w:rPr>
      </w:pPr>
      <w:r>
        <w:rPr>
          <w:rFonts w:hint="eastAsia" w:eastAsia="仿宋"/>
          <w:b/>
          <w:color w:val="auto"/>
          <w:sz w:val="24"/>
          <w:szCs w:val="24"/>
        </w:rPr>
        <w:t xml:space="preserve">2.技术分：30分</w:t>
      </w:r>
      <w:r>
        <w:rPr>
          <w:color w:val="auto"/>
        </w:rPr>
      </w:r>
      <w:r/>
    </w:p>
    <w:tbl>
      <w:tblPr>
        <w:tblStyle w:val="99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389"/>
        <w:gridCol w:w="960"/>
        <w:gridCol w:w="4928"/>
        <w:gridCol w:w="1052"/>
      </w:tblGrid>
      <w:tr>
        <w:trPr/>
        <w:tc>
          <w:tcPr>
            <w:tcW w:w="840" w:type="dxa"/>
            <w:vAlign w:val="center"/>
            <w:textDirection w:val="lrTb"/>
            <w:noWrap w:val="false"/>
          </w:tcPr>
          <w:p>
            <w:pPr>
              <w:jc w:val="center"/>
              <w:spacing w:after="62"/>
              <w:rPr>
                <w:rFonts w:ascii="仿宋" w:hAnsi="仿宋" w:eastAsia="仿宋" w:cs="仿宋"/>
                <w:b/>
                <w:bCs/>
                <w:color w:val="auto"/>
                <w:szCs w:val="21"/>
              </w:rPr>
            </w:pPr>
            <w:r>
              <w:rPr>
                <w:rFonts w:hint="eastAsia" w:ascii="仿宋" w:hAnsi="仿宋" w:eastAsia="仿宋" w:cs="仿宋"/>
                <w:b/>
                <w:bCs/>
                <w:color w:val="auto"/>
                <w:szCs w:val="21"/>
              </w:rPr>
              <w:t xml:space="preserve">序号</w:t>
            </w:r>
            <w:r>
              <w:rPr>
                <w:color w:val="auto"/>
              </w:rPr>
            </w:r>
            <w:r/>
          </w:p>
        </w:tc>
        <w:tc>
          <w:tcPr>
            <w:tcW w:w="1389" w:type="dxa"/>
            <w:vAlign w:val="center"/>
            <w:textDirection w:val="lrTb"/>
            <w:noWrap w:val="false"/>
          </w:tcPr>
          <w:p>
            <w:pPr>
              <w:jc w:val="center"/>
              <w:spacing w:after="62"/>
              <w:rPr>
                <w:rFonts w:ascii="仿宋" w:hAnsi="仿宋" w:eastAsia="仿宋" w:cs="仿宋"/>
                <w:b/>
                <w:bCs/>
                <w:color w:val="auto"/>
                <w:szCs w:val="21"/>
              </w:rPr>
            </w:pPr>
            <w:r>
              <w:rPr>
                <w:rFonts w:hint="eastAsia" w:ascii="仿宋" w:hAnsi="仿宋" w:eastAsia="仿宋" w:cs="仿宋"/>
                <w:b/>
                <w:bCs/>
                <w:color w:val="auto"/>
                <w:szCs w:val="21"/>
              </w:rPr>
              <w:t xml:space="preserve">评分点名称</w:t>
            </w:r>
            <w:r>
              <w:rPr>
                <w:color w:val="auto"/>
              </w:rPr>
            </w:r>
            <w:r/>
          </w:p>
        </w:tc>
        <w:tc>
          <w:tcPr>
            <w:tcW w:w="960" w:type="dxa"/>
            <w:vAlign w:val="center"/>
            <w:textDirection w:val="lrTb"/>
            <w:noWrap w:val="false"/>
          </w:tcPr>
          <w:p>
            <w:pPr>
              <w:jc w:val="center"/>
              <w:spacing w:after="62"/>
              <w:rPr>
                <w:rFonts w:ascii="仿宋" w:hAnsi="仿宋" w:eastAsia="仿宋" w:cs="仿宋"/>
                <w:b/>
                <w:bCs/>
                <w:color w:val="auto"/>
                <w:szCs w:val="21"/>
              </w:rPr>
            </w:pPr>
            <w:r>
              <w:rPr>
                <w:rFonts w:hint="eastAsia" w:ascii="仿宋" w:hAnsi="仿宋" w:eastAsia="仿宋" w:cs="仿宋"/>
                <w:b/>
                <w:bCs/>
                <w:color w:val="auto"/>
                <w:szCs w:val="21"/>
              </w:rPr>
              <w:t xml:space="preserve">分值</w:t>
            </w:r>
            <w:r>
              <w:rPr>
                <w:color w:val="auto"/>
              </w:rPr>
            </w:r>
            <w:r/>
          </w:p>
        </w:tc>
        <w:tc>
          <w:tcPr>
            <w:tcW w:w="4928" w:type="dxa"/>
            <w:vAlign w:val="center"/>
            <w:textDirection w:val="lrTb"/>
            <w:noWrap w:val="false"/>
          </w:tcPr>
          <w:p>
            <w:pPr>
              <w:jc w:val="center"/>
              <w:spacing w:after="62"/>
              <w:rPr>
                <w:rFonts w:ascii="仿宋" w:hAnsi="仿宋" w:eastAsia="仿宋" w:cs="仿宋"/>
                <w:b/>
                <w:bCs/>
                <w:color w:val="auto"/>
                <w:szCs w:val="21"/>
              </w:rPr>
            </w:pPr>
            <w:r>
              <w:rPr>
                <w:rFonts w:hint="eastAsia" w:ascii="仿宋" w:hAnsi="仿宋" w:eastAsia="仿宋" w:cs="仿宋"/>
                <w:b/>
                <w:bCs/>
                <w:color w:val="auto"/>
                <w:szCs w:val="21"/>
              </w:rPr>
              <w:t xml:space="preserve">评审标准</w:t>
            </w:r>
            <w:r>
              <w:rPr>
                <w:color w:val="auto"/>
              </w:rPr>
            </w:r>
            <w:r/>
          </w:p>
        </w:tc>
        <w:tc>
          <w:tcPr>
            <w:tcW w:w="1052" w:type="dxa"/>
            <w:vAlign w:val="center"/>
            <w:textDirection w:val="lrTb"/>
            <w:noWrap w:val="false"/>
          </w:tcPr>
          <w:p>
            <w:pPr>
              <w:jc w:val="center"/>
              <w:spacing w:after="62"/>
              <w:rPr>
                <w:rFonts w:ascii="仿宋" w:hAnsi="仿宋" w:eastAsia="仿宋" w:cs="仿宋"/>
                <w:b/>
                <w:bCs/>
                <w:color w:val="auto"/>
                <w:szCs w:val="21"/>
              </w:rPr>
            </w:pPr>
            <w:r>
              <w:rPr>
                <w:rFonts w:hint="eastAsia" w:ascii="仿宋" w:hAnsi="仿宋" w:eastAsia="仿宋" w:cs="仿宋"/>
                <w:b/>
                <w:bCs/>
                <w:color w:val="auto"/>
                <w:szCs w:val="21"/>
              </w:rPr>
              <w:t xml:space="preserve">主/客观分</w:t>
            </w:r>
            <w:r>
              <w:rPr>
                <w:color w:val="auto"/>
              </w:rPr>
            </w:r>
            <w:r/>
          </w:p>
        </w:tc>
      </w:tr>
      <w:tr>
        <w:trPr>
          <w:trHeight w:val="4557"/>
        </w:trPr>
        <w:tc>
          <w:tcPr>
            <w:tcW w:w="840" w:type="dxa"/>
            <w:vAlign w:val="center"/>
            <w:textDirection w:val="lrTb"/>
            <w:noWrap w:val="false"/>
          </w:tcPr>
          <w:p>
            <w:pPr>
              <w:jc w:val="center"/>
              <w:spacing w:after="62"/>
              <w:rPr>
                <w:rFonts w:ascii="仿宋" w:hAnsi="仿宋" w:eastAsia="仿宋" w:cs="仿宋"/>
                <w:color w:val="auto"/>
                <w:szCs w:val="21"/>
              </w:rPr>
            </w:pPr>
            <w:r>
              <w:rPr>
                <w:rFonts w:hint="eastAsia" w:ascii="仿宋" w:hAnsi="仿宋" w:eastAsia="仿宋" w:cs="仿宋"/>
                <w:color w:val="auto"/>
                <w:szCs w:val="21"/>
              </w:rPr>
              <w:t xml:space="preserve">1</w:t>
            </w:r>
            <w:r>
              <w:rPr>
                <w:color w:val="auto"/>
              </w:rPr>
            </w:r>
            <w:r/>
          </w:p>
        </w:tc>
        <w:tc>
          <w:tcPr>
            <w:tcW w:w="1389"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bCs/>
                <w:color w:val="auto"/>
                <w:szCs w:val="24"/>
              </w:rPr>
              <w:t xml:space="preserve">技术指标</w:t>
            </w:r>
            <w:r>
              <w:rPr>
                <w:color w:val="auto"/>
              </w:rPr>
            </w:r>
            <w:r/>
          </w:p>
        </w:tc>
        <w:tc>
          <w:tcPr>
            <w:tcW w:w="960" w:type="dxa"/>
            <w:vAlign w:val="center"/>
            <w:textDirection w:val="lrTb"/>
            <w:noWrap w:val="false"/>
          </w:tcPr>
          <w:p>
            <w:pPr>
              <w:jc w:val="center"/>
              <w:widowControl/>
              <w:rPr>
                <w:rFonts w:ascii="仿宋" w:hAnsi="仿宋" w:eastAsia="仿宋" w:cs="仿宋"/>
                <w:color w:val="auto"/>
                <w:szCs w:val="21"/>
              </w:rPr>
            </w:pPr>
            <w:r>
              <w:rPr>
                <w:rFonts w:hint="eastAsia" w:ascii="仿宋" w:hAnsi="仿宋" w:eastAsia="仿宋" w:cs="仿宋"/>
                <w:bCs/>
                <w:color w:val="auto"/>
                <w:szCs w:val="24"/>
              </w:rPr>
              <w:t xml:space="preserve">24</w:t>
            </w:r>
            <w:r>
              <w:rPr>
                <w:color w:val="auto"/>
              </w:rPr>
            </w:r>
            <w:r/>
          </w:p>
        </w:tc>
        <w:tc>
          <w:tcPr>
            <w:tcW w:w="4928" w:type="dxa"/>
            <w:vAlign w:val="center"/>
            <w:textDirection w:val="lrTb"/>
            <w:noWrap w:val="false"/>
          </w:tcPr>
          <w:p>
            <w:pPr>
              <w:jc w:val="left"/>
              <w:widowControl/>
              <w:rPr>
                <w:rFonts w:ascii="仿宋" w:hAnsi="仿宋" w:eastAsia="仿宋" w:cs="仿宋"/>
                <w:bCs/>
                <w:color w:val="auto"/>
                <w:szCs w:val="24"/>
              </w:rPr>
            </w:pPr>
            <w:r>
              <w:rPr>
                <w:rFonts w:hint="eastAsia" w:ascii="仿宋" w:hAnsi="仿宋" w:eastAsia="仿宋" w:cs="仿宋"/>
                <w:color w:val="auto"/>
                <w:szCs w:val="24"/>
              </w:rPr>
              <w:t xml:space="preserve">投标人应在《技术要求响应及偏离表》中对照招标文件项目需求中“采购标的需满足的质量、安全、技术规格、物理特性等要求设备技术参数要求”中所有招标技术参数进行逐项应答响应，本项满分24分。</w:t>
            </w:r>
            <w:r>
              <w:rPr>
                <w:color w:val="auto"/>
              </w:rPr>
            </w:r>
            <w:r/>
          </w:p>
          <w:p>
            <w:pPr>
              <w:pStyle w:val="979"/>
              <w:ind w:left="0"/>
              <w:rPr>
                <w:rFonts w:ascii="仿宋" w:hAnsi="仿宋" w:eastAsia="仿宋" w:cs="仿宋"/>
                <w:color w:val="auto"/>
                <w:szCs w:val="24"/>
              </w:rPr>
            </w:pPr>
            <w:r>
              <w:rPr>
                <w:rFonts w:hint="eastAsia" w:ascii="仿宋" w:hAnsi="仿宋" w:eastAsia="仿宋" w:cs="仿宋"/>
                <w:color w:val="auto"/>
                <w:szCs w:val="24"/>
              </w:rPr>
              <w:t xml:space="preserve">标“★”项为实质性一票否决项，不参与本次扣分评审；</w:t>
            </w:r>
            <w:r>
              <w:rPr>
                <w:color w:val="auto"/>
              </w:rPr>
            </w:r>
            <w:r/>
          </w:p>
          <w:p>
            <w:pPr>
              <w:pStyle w:val="979"/>
              <w:ind w:left="0"/>
              <w:rPr>
                <w:rFonts w:ascii="仿宋" w:hAnsi="仿宋" w:eastAsia="仿宋" w:cs="仿宋"/>
                <w:color w:val="auto"/>
                <w:szCs w:val="24"/>
              </w:rPr>
            </w:pPr>
            <w:r>
              <w:rPr>
                <w:rFonts w:hint="eastAsia" w:ascii="仿宋" w:hAnsi="仿宋" w:eastAsia="仿宋" w:cs="仿宋"/>
                <w:color w:val="auto"/>
                <w:szCs w:val="24"/>
              </w:rPr>
              <w:t xml:space="preserve">标“</w:t>
            </w:r>
            <w:r>
              <w:rPr>
                <w:rFonts w:hint="eastAsia" w:ascii="仿宋" w:hAnsi="仿宋" w:eastAsia="仿宋" w:cs="仿宋"/>
                <w:bCs/>
                <w:color w:val="auto"/>
                <w:szCs w:val="24"/>
              </w:rPr>
              <w:t xml:space="preserve">▲</w:t>
            </w:r>
            <w:r>
              <w:rPr>
                <w:rFonts w:hint="eastAsia" w:ascii="仿宋" w:hAnsi="仿宋" w:eastAsia="仿宋" w:cs="仿宋"/>
                <w:color w:val="auto"/>
                <w:szCs w:val="24"/>
              </w:rPr>
              <w:t xml:space="preserve">”项为设备重要技术指标，每有一项不满足或负偏离减2分；</w:t>
            </w:r>
            <w:r>
              <w:rPr>
                <w:color w:val="auto"/>
              </w:rPr>
            </w:r>
            <w:r/>
          </w:p>
          <w:p>
            <w:pPr>
              <w:pStyle w:val="979"/>
              <w:ind w:left="0"/>
              <w:rPr>
                <w:rFonts w:ascii="仿宋" w:hAnsi="仿宋" w:eastAsia="仿宋" w:cs="仿宋"/>
                <w:color w:val="auto"/>
                <w:szCs w:val="24"/>
              </w:rPr>
            </w:pPr>
            <w:r>
              <w:rPr>
                <w:rFonts w:hint="eastAsia" w:ascii="仿宋" w:hAnsi="仿宋" w:eastAsia="仿宋" w:cs="仿宋"/>
                <w:color w:val="auto"/>
                <w:szCs w:val="24"/>
              </w:rPr>
              <w:t xml:space="preserve">除此之外，每有一项不满足或负偏离减0.2分扣完为止。</w:t>
            </w:r>
            <w:r>
              <w:rPr>
                <w:color w:val="auto"/>
              </w:rPr>
            </w:r>
            <w:r/>
          </w:p>
          <w:p>
            <w:pPr>
              <w:jc w:val="left"/>
              <w:widowControl/>
              <w:rPr>
                <w:rFonts w:ascii="仿宋" w:hAnsi="仿宋" w:eastAsia="仿宋" w:cs="仿宋"/>
                <w:color w:val="auto"/>
                <w:szCs w:val="21"/>
              </w:rPr>
            </w:pPr>
            <w:r>
              <w:rPr>
                <w:rFonts w:hint="eastAsia" w:ascii="仿宋" w:hAnsi="仿宋" w:eastAsia="仿宋" w:cs="仿宋"/>
                <w:b/>
                <w:bCs/>
                <w:color w:val="auto"/>
                <w:szCs w:val="24"/>
              </w:rPr>
              <w:t xml:space="preserve">（以供应商提供的《技术要求响应及偏离表》为准，各供应商均应如实填写偏离情况。</w:t>
            </w:r>
            <w:r>
              <w:rPr>
                <w:rFonts w:hint="eastAsia" w:ascii="仿宋" w:hAnsi="仿宋" w:eastAsia="仿宋" w:cs="仿宋"/>
                <w:b/>
                <w:bCs/>
                <w:color w:val="auto"/>
              </w:rPr>
              <w:t xml:space="preserve">如果参数描述中要求提供相关证明材料的，则须提供相关证明材料并在技术条款偏离表中详细注明页码，否则视为负偏离扣分；如果参数描述中未要求提供证明材料的，则以技术条款偏离中应答为准</w:t>
            </w:r>
            <w:r>
              <w:rPr>
                <w:rFonts w:hint="eastAsia" w:ascii="仿宋" w:hAnsi="仿宋" w:eastAsia="仿宋" w:cs="仿宋"/>
                <w:b/>
                <w:bCs/>
                <w:color w:val="auto"/>
                <w:szCs w:val="24"/>
              </w:rPr>
              <w:t xml:space="preserve">。）</w:t>
            </w:r>
            <w:r>
              <w:rPr>
                <w:color w:val="auto"/>
              </w:rPr>
            </w:r>
            <w:r/>
          </w:p>
        </w:tc>
        <w:tc>
          <w:tcPr>
            <w:tcW w:w="1052" w:type="dxa"/>
            <w:vAlign w:val="center"/>
            <w:textDirection w:val="lrTb"/>
            <w:noWrap w:val="false"/>
          </w:tcPr>
          <w:p>
            <w:pPr>
              <w:jc w:val="center"/>
              <w:spacing w:after="62"/>
              <w:rPr>
                <w:rFonts w:ascii="仿宋" w:hAnsi="仿宋" w:eastAsia="仿宋" w:cs="仿宋"/>
                <w:color w:val="auto"/>
                <w:szCs w:val="21"/>
              </w:rPr>
            </w:pPr>
            <w:r>
              <w:rPr>
                <w:rFonts w:hint="eastAsia" w:ascii="仿宋" w:hAnsi="仿宋" w:eastAsia="仿宋" w:cs="仿宋"/>
                <w:color w:val="auto"/>
                <w:szCs w:val="21"/>
              </w:rPr>
              <w:t xml:space="preserve">客观分</w:t>
            </w:r>
            <w:r>
              <w:rPr>
                <w:color w:val="auto"/>
              </w:rPr>
            </w:r>
            <w:r/>
          </w:p>
        </w:tc>
      </w:tr>
      <w:tr>
        <w:trPr/>
        <w:tc>
          <w:tcPr>
            <w:tcW w:w="840" w:type="dxa"/>
            <w:vAlign w:val="center"/>
            <w:textDirection w:val="lrTb"/>
            <w:noWrap w:val="false"/>
          </w:tcPr>
          <w:p>
            <w:pPr>
              <w:jc w:val="center"/>
              <w:spacing w:after="62"/>
              <w:rPr>
                <w:rFonts w:ascii="仿宋" w:hAnsi="仿宋" w:eastAsia="仿宋" w:cs="仿宋"/>
                <w:color w:val="auto"/>
                <w:szCs w:val="21"/>
              </w:rPr>
            </w:pPr>
            <w:r>
              <w:rPr>
                <w:rFonts w:hint="eastAsia" w:ascii="仿宋" w:hAnsi="仿宋" w:eastAsia="仿宋" w:cs="仿宋"/>
                <w:color w:val="auto"/>
                <w:szCs w:val="21"/>
              </w:rPr>
              <w:t xml:space="preserve">2</w:t>
            </w:r>
            <w:r>
              <w:rPr>
                <w:color w:val="auto"/>
              </w:rPr>
            </w:r>
            <w:r/>
          </w:p>
        </w:tc>
        <w:tc>
          <w:tcPr>
            <w:tcW w:w="1389" w:type="dxa"/>
            <w:vAlign w:val="center"/>
            <w:textDirection w:val="lrTb"/>
            <w:noWrap w:val="false"/>
          </w:tcPr>
          <w:p>
            <w:pPr>
              <w:jc w:val="center"/>
              <w:rPr>
                <w:rFonts w:ascii="仿宋" w:hAnsi="仿宋" w:eastAsia="仿宋" w:cs="仿宋"/>
                <w:bCs/>
                <w:color w:val="auto"/>
                <w:sz w:val="22"/>
              </w:rPr>
            </w:pPr>
            <w:r>
              <w:rPr>
                <w:rFonts w:hint="eastAsia" w:ascii="仿宋" w:hAnsi="仿宋" w:eastAsia="仿宋" w:cs="仿宋"/>
                <w:bCs/>
                <w:color w:val="auto"/>
                <w:sz w:val="22"/>
              </w:rPr>
              <w:t xml:space="preserve">技术演示</w:t>
            </w:r>
            <w:r>
              <w:rPr>
                <w:color w:val="auto"/>
              </w:rPr>
            </w:r>
            <w:r/>
          </w:p>
        </w:tc>
        <w:tc>
          <w:tcPr>
            <w:tcW w:w="960" w:type="dxa"/>
            <w:vAlign w:val="center"/>
            <w:textDirection w:val="lrTb"/>
            <w:noWrap w:val="false"/>
          </w:tcPr>
          <w:p>
            <w:pPr>
              <w:jc w:val="center"/>
              <w:rPr>
                <w:rFonts w:ascii="仿宋" w:hAnsi="仿宋" w:eastAsia="仿宋" w:cs="仿宋"/>
                <w:color w:val="auto"/>
                <w:sz w:val="22"/>
              </w:rPr>
            </w:pPr>
            <w:r>
              <w:rPr>
                <w:rFonts w:hint="eastAsia" w:ascii="仿宋" w:hAnsi="仿宋" w:eastAsia="仿宋" w:cs="仿宋"/>
                <w:bCs/>
                <w:color w:val="auto"/>
                <w:sz w:val="22"/>
              </w:rPr>
              <w:t xml:space="preserve">6</w:t>
            </w:r>
            <w:r>
              <w:rPr>
                <w:color w:val="auto"/>
              </w:rPr>
            </w:r>
            <w:r/>
          </w:p>
        </w:tc>
        <w:tc>
          <w:tcPr>
            <w:tcW w:w="4928" w:type="dxa"/>
            <w:textDirection w:val="lrTb"/>
            <w:noWrap w:val="false"/>
          </w:tcPr>
          <w:p>
            <w:pPr>
              <w:jc w:val="left"/>
              <w:widowControl/>
              <w:rPr>
                <w:rFonts w:ascii="仿宋" w:hAnsi="仿宋" w:eastAsia="仿宋" w:cs="仿宋"/>
                <w:bCs/>
                <w:color w:val="auto"/>
                <w:sz w:val="22"/>
              </w:rPr>
            </w:pPr>
            <w:r>
              <w:rPr>
                <w:rFonts w:hint="eastAsia" w:ascii="仿宋" w:hAnsi="仿宋" w:eastAsia="仿宋" w:cs="仿宋"/>
                <w:bCs/>
                <w:color w:val="auto"/>
                <w:sz w:val="22"/>
              </w:rPr>
              <w:t xml:space="preserve">投标人须进行演示讲解，演示讲解方式为视频录制，</w:t>
            </w:r>
            <w:r>
              <w:rPr>
                <w:rFonts w:hint="eastAsia" w:ascii="仿宋" w:hAnsi="仿宋" w:eastAsia="仿宋" w:cs="仿宋"/>
                <w:b/>
                <w:color w:val="auto"/>
                <w:sz w:val="22"/>
              </w:rPr>
              <w:t xml:space="preserve">视频时间控制在10分钟内（超过10分钟的，仅根据视频前10分钟所演示讲解内容评分）</w:t>
            </w:r>
            <w:r>
              <w:rPr>
                <w:rFonts w:hint="eastAsia" w:ascii="仿宋" w:hAnsi="仿宋" w:eastAsia="仿宋" w:cs="仿宋"/>
                <w:bCs/>
                <w:color w:val="auto"/>
                <w:sz w:val="22"/>
              </w:rPr>
              <w:t xml:space="preserve">，单个附件压缩包大小不得超过50MB，整体附件压缩包不得超过300MB（演示文件格式仅限采用MP4格式），演示内容确保真实且作为项目履约验收的重要参考依据。</w:t>
            </w:r>
            <w:r>
              <w:rPr>
                <w:rFonts w:hint="eastAsia" w:ascii="仿宋" w:hAnsi="仿宋" w:eastAsia="仿宋" w:cs="仿宋"/>
                <w:b/>
                <w:color w:val="auto"/>
                <w:sz w:val="22"/>
              </w:rPr>
              <w:t xml:space="preserve">因投标人上传文件本身损坏等自身原因导致演示资料无法正常读取的视为无效演示，本项不得分，由投标人自行承担责任。</w:t>
            </w:r>
            <w:r>
              <w:rPr>
                <w:rFonts w:hint="eastAsia" w:ascii="仿宋" w:hAnsi="仿宋" w:eastAsia="仿宋" w:cs="仿宋"/>
                <w:bCs/>
                <w:color w:val="auto"/>
                <w:sz w:val="22"/>
              </w:rPr>
              <w:t xml:space="preserve">具体演示内容如下：</w:t>
            </w:r>
            <w:r>
              <w:rPr>
                <w:color w:val="auto"/>
              </w:rPr>
            </w:r>
            <w:r/>
          </w:p>
          <w:p>
            <w:pPr>
              <w:pStyle w:val="971"/>
              <w:ind w:firstLine="0"/>
              <w:jc w:val="left"/>
              <w:rPr>
                <w:rFonts w:ascii="仿宋" w:hAnsi="仿宋" w:eastAsia="仿宋" w:cs="仿宋"/>
                <w:bCs/>
                <w:color w:val="auto"/>
                <w:sz w:val="22"/>
                <w:szCs w:val="22"/>
              </w:rPr>
            </w:pPr>
            <w:r>
              <w:rPr>
                <w:rFonts w:hint="eastAsia" w:ascii="仿宋" w:hAnsi="仿宋" w:eastAsia="仿宋" w:cs="仿宋"/>
                <w:b/>
                <w:color w:val="auto"/>
                <w:sz w:val="22"/>
                <w:szCs w:val="22"/>
              </w:rPr>
              <w:t xml:space="preserve">演示1</w:t>
            </w:r>
            <w:r>
              <w:rPr>
                <w:rFonts w:hint="eastAsia" w:ascii="仿宋" w:hAnsi="仿宋" w:eastAsia="仿宋" w:cs="仿宋"/>
                <w:bCs/>
                <w:color w:val="auto"/>
                <w:sz w:val="22"/>
                <w:szCs w:val="22"/>
              </w:rPr>
              <w:t xml:space="preserve">：为更好地展示数字孪生设计与规划软件功能，需对软件中的2个功能进行视频功能演示，要求如下：</w:t>
            </w:r>
            <w:r>
              <w:rPr>
                <w:color w:val="auto"/>
              </w:rPr>
            </w:r>
            <w:r/>
          </w:p>
          <w:p>
            <w:pPr>
              <w:pStyle w:val="971"/>
              <w:ind w:firstLine="0"/>
              <w:jc w:val="left"/>
              <w:rPr>
                <w:rFonts w:ascii="仿宋" w:hAnsi="仿宋" w:eastAsia="仿宋" w:cs="仿宋"/>
                <w:bCs/>
                <w:color w:val="auto"/>
                <w:sz w:val="22"/>
                <w:szCs w:val="22"/>
              </w:rPr>
            </w:pPr>
            <w:r>
              <w:rPr>
                <w:rFonts w:hint="eastAsia" w:ascii="仿宋" w:hAnsi="仿宋" w:eastAsia="仿宋" w:cs="仿宋"/>
                <w:b/>
                <w:color w:val="auto"/>
                <w:sz w:val="22"/>
                <w:szCs w:val="22"/>
              </w:rPr>
              <w:t xml:space="preserve">功能1 AI自动生成产线：</w:t>
            </w:r>
            <w:r>
              <w:rPr>
                <w:rFonts w:hint="eastAsia" w:ascii="仿宋" w:hAnsi="仿宋" w:eastAsia="仿宋" w:cs="仿宋"/>
                <w:bCs/>
                <w:color w:val="auto"/>
                <w:sz w:val="22"/>
                <w:szCs w:val="22"/>
              </w:rPr>
              <w:t xml:space="preserve">接入AI大模型接口（支持师生二次开发），支持自然语言指令（如“请搭建一条汽车生产线”）。关键词触发后，AI+模块可自动搭建相应的产线场景；</w:t>
            </w:r>
            <w:r>
              <w:rPr>
                <w:color w:val="auto"/>
              </w:rPr>
            </w:r>
            <w:r/>
          </w:p>
          <w:p>
            <w:pPr>
              <w:pStyle w:val="971"/>
              <w:ind w:firstLine="0"/>
              <w:jc w:val="left"/>
              <w:rPr>
                <w:rFonts w:ascii="仿宋" w:hAnsi="仿宋" w:eastAsia="仿宋" w:cs="仿宋"/>
                <w:bCs/>
                <w:color w:val="auto"/>
                <w:sz w:val="22"/>
                <w:szCs w:val="22"/>
              </w:rPr>
            </w:pPr>
            <w:r>
              <w:rPr>
                <w:rFonts w:hint="eastAsia" w:ascii="仿宋" w:hAnsi="仿宋" w:eastAsia="仿宋" w:cs="仿宋"/>
                <w:b/>
                <w:color w:val="auto"/>
                <w:sz w:val="22"/>
                <w:szCs w:val="22"/>
              </w:rPr>
              <w:t xml:space="preserve">功能2 智能避障功能：</w:t>
            </w:r>
            <w:r>
              <w:rPr>
                <w:rFonts w:hint="eastAsia" w:ascii="仿宋" w:hAnsi="仿宋" w:eastAsia="仿宋" w:cs="仿宋"/>
                <w:bCs/>
                <w:color w:val="auto"/>
                <w:sz w:val="22"/>
                <w:szCs w:val="22"/>
              </w:rPr>
              <w:t xml:space="preserve">能够基于预设的即关键位置点进行自动避障轨迹规划，这一功能特适用于复杂的工作环境，提高了焊接过程的安全性和精度。此外，平台还支持双机器人在干涉区域的互锁信号自动添加，当两个机器人在同一工作区域内操作时，系统会自动检测并生成互锁信号，防止碰撞和干涉，保证作业流程的顺畅与安全。</w:t>
            </w:r>
            <w:r>
              <w:rPr>
                <w:color w:val="auto"/>
              </w:rPr>
            </w:r>
            <w:r/>
          </w:p>
          <w:p>
            <w:pPr>
              <w:contextualSpacing/>
              <w:rPr>
                <w:rFonts w:ascii="仿宋" w:hAnsi="仿宋" w:eastAsia="仿宋" w:cs="仿宋"/>
                <w:bCs/>
                <w:color w:val="auto"/>
                <w:sz w:val="22"/>
              </w:rPr>
            </w:pPr>
            <w:r>
              <w:rPr>
                <w:rFonts w:hint="eastAsia" w:ascii="仿宋" w:hAnsi="仿宋" w:eastAsia="仿宋" w:cs="仿宋"/>
                <w:b/>
                <w:color w:val="auto"/>
                <w:sz w:val="22"/>
              </w:rPr>
              <w:t xml:space="preserve">演示2：</w:t>
            </w:r>
            <w:r>
              <w:rPr>
                <w:rFonts w:hint="eastAsia" w:ascii="仿宋" w:hAnsi="仿宋" w:eastAsia="仿宋" w:cs="仿宋"/>
                <w:bCs/>
                <w:color w:val="auto"/>
                <w:sz w:val="22"/>
              </w:rPr>
              <w:t xml:space="preserve">为更好地展示AI-Native 数字化控制工程开发平台功能，需对软件中的2个功能进行视频功能演示，要求如下：</w:t>
            </w:r>
            <w:r>
              <w:rPr>
                <w:color w:val="auto"/>
              </w:rPr>
            </w:r>
            <w:r/>
          </w:p>
          <w:p>
            <w:pPr>
              <w:contextualSpacing/>
              <w:rPr>
                <w:rFonts w:ascii="仿宋" w:hAnsi="仿宋" w:eastAsia="仿宋" w:cs="仿宋"/>
                <w:bCs/>
                <w:color w:val="auto"/>
                <w:sz w:val="22"/>
              </w:rPr>
            </w:pPr>
            <w:r>
              <w:rPr>
                <w:rFonts w:hint="eastAsia" w:ascii="仿宋" w:hAnsi="仿宋" w:eastAsia="仿宋" w:cs="仿宋"/>
                <w:b/>
                <w:color w:val="auto"/>
                <w:sz w:val="22"/>
              </w:rPr>
              <w:t xml:space="preserve">功能1运动控制仿真编辑器内置运动控制标准功能模块</w:t>
            </w:r>
            <w:r>
              <w:rPr>
                <w:rFonts w:hint="eastAsia" w:ascii="仿宋" w:hAnsi="仿宋" w:eastAsia="仿宋" w:cs="仿宋"/>
                <w:bCs/>
                <w:color w:val="auto"/>
                <w:sz w:val="22"/>
              </w:rPr>
              <w:t xml:space="preserve">（使能、定位、速度模式、回零、紧急停止、电子齿轮与凸轮啮合等。要求展示伺服的原理性运动控制框图原理，包括相关的运行曲线实时运行；</w:t>
            </w:r>
            <w:r>
              <w:rPr>
                <w:color w:val="auto"/>
              </w:rPr>
            </w:r>
            <w:r/>
          </w:p>
          <w:p>
            <w:pPr>
              <w:contextualSpacing/>
              <w:rPr>
                <w:rFonts w:ascii="仿宋" w:hAnsi="仿宋" w:eastAsia="仿宋" w:cs="仿宋"/>
                <w:bCs/>
                <w:color w:val="auto"/>
                <w:sz w:val="22"/>
              </w:rPr>
            </w:pPr>
            <w:r>
              <w:rPr>
                <w:rFonts w:hint="eastAsia" w:ascii="仿宋" w:hAnsi="仿宋" w:eastAsia="仿宋" w:cs="仿宋"/>
                <w:b/>
                <w:color w:val="auto"/>
                <w:sz w:val="22"/>
              </w:rPr>
              <w:t xml:space="preserve">功能2 智能回路生成：</w:t>
            </w:r>
            <w:r>
              <w:rPr>
                <w:rFonts w:hint="eastAsia" w:ascii="仿宋" w:hAnsi="仿宋" w:eastAsia="仿宋" w:cs="仿宋"/>
                <w:bCs/>
                <w:color w:val="auto"/>
                <w:sz w:val="22"/>
              </w:rPr>
              <w:t xml:space="preserve">自然语言描述自动生成完整回路图，覆盖电气、运动控制、PLC编程，一键导入画布。要求体现出通过自然语言方式生成电气回路，PLC程序，并且能够运行仿真展示回路原理。</w:t>
            </w:r>
            <w:r>
              <w:rPr>
                <w:color w:val="auto"/>
              </w:rPr>
            </w:r>
            <w:r/>
          </w:p>
          <w:p>
            <w:pPr>
              <w:pStyle w:val="971"/>
              <w:ind w:firstLine="0"/>
              <w:rPr>
                <w:rFonts w:ascii="仿宋" w:hAnsi="仿宋" w:eastAsia="仿宋" w:cs="仿宋"/>
                <w:color w:val="auto"/>
                <w:sz w:val="22"/>
                <w:szCs w:val="22"/>
              </w:rPr>
            </w:pPr>
            <w:r>
              <w:rPr>
                <w:rFonts w:hint="eastAsia" w:ascii="仿宋" w:hAnsi="仿宋" w:eastAsia="仿宋" w:cs="仿宋"/>
                <w:b/>
                <w:color w:val="auto"/>
                <w:sz w:val="22"/>
                <w:szCs w:val="22"/>
              </w:rPr>
              <w:t xml:space="preserve">以上演示共4个功能点，每个功能点1.5分，</w:t>
            </w:r>
            <w:r>
              <w:rPr>
                <w:rFonts w:hint="eastAsia" w:ascii="仿宋" w:hAnsi="仿宋" w:eastAsia="仿宋" w:cs="仿宋"/>
                <w:b/>
                <w:color w:val="auto"/>
                <w:sz w:val="22"/>
                <w:szCs w:val="22"/>
                <w:shd w:val="clear" w:color="auto" w:fill="ffffff"/>
              </w:rPr>
              <w:t xml:space="preserve">完全演示且能判定真实响应的，每个得1.5分。未演示或不符合要求的不得分。</w:t>
            </w:r>
            <w:r>
              <w:rPr>
                <w:color w:val="auto"/>
              </w:rPr>
            </w:r>
            <w:r/>
          </w:p>
        </w:tc>
        <w:tc>
          <w:tcPr>
            <w:tcW w:w="1052" w:type="dxa"/>
            <w:vAlign w:val="center"/>
            <w:textDirection w:val="lrTb"/>
            <w:noWrap w:val="false"/>
          </w:tcPr>
          <w:p>
            <w:pPr>
              <w:jc w:val="center"/>
              <w:spacing w:after="62"/>
              <w:rPr>
                <w:rFonts w:ascii="仿宋" w:hAnsi="仿宋" w:eastAsia="仿宋" w:cs="仿宋"/>
                <w:color w:val="auto"/>
                <w:szCs w:val="21"/>
              </w:rPr>
            </w:pPr>
            <w:r>
              <w:rPr>
                <w:rFonts w:hint="eastAsia" w:ascii="仿宋" w:hAnsi="仿宋" w:eastAsia="仿宋" w:cs="仿宋"/>
                <w:color w:val="auto"/>
                <w:szCs w:val="21"/>
              </w:rPr>
              <w:t xml:space="preserve">客观分</w:t>
            </w:r>
            <w:r>
              <w:rPr>
                <w:color w:val="auto"/>
              </w:rPr>
            </w:r>
            <w:r/>
          </w:p>
        </w:tc>
      </w:tr>
    </w:tbl>
    <w:p>
      <w:pPr>
        <w:rPr>
          <w:rFonts w:eastAsia="仿宋"/>
          <w:b/>
          <w:color w:val="auto"/>
          <w:sz w:val="24"/>
          <w:szCs w:val="24"/>
        </w:rPr>
      </w:pPr>
      <w:r>
        <w:rPr>
          <w:rFonts w:hint="eastAsia" w:eastAsia="仿宋"/>
          <w:b/>
          <w:color w:val="auto"/>
          <w:sz w:val="24"/>
          <w:szCs w:val="24"/>
        </w:rPr>
        <w:br w:type="page" w:clear="all"/>
      </w:r>
      <w:r>
        <w:rPr>
          <w:color w:val="auto"/>
        </w:rPr>
      </w:r>
      <w:r/>
    </w:p>
    <w:p>
      <w:pPr>
        <w:ind w:left="562"/>
        <w:jc w:val="left"/>
        <w:spacing w:before="120" w:after="62" w:line="480" w:lineRule="exact"/>
        <w:rPr>
          <w:rFonts w:eastAsia="仿宋"/>
          <w:b/>
          <w:color w:val="auto"/>
          <w:sz w:val="24"/>
          <w:szCs w:val="24"/>
        </w:rPr>
      </w:pPr>
      <w:r>
        <w:rPr>
          <w:rFonts w:hint="eastAsia" w:eastAsia="仿宋"/>
          <w:b/>
          <w:color w:val="auto"/>
          <w:sz w:val="24"/>
          <w:szCs w:val="24"/>
        </w:rPr>
        <w:t xml:space="preserve">3.商务分：20分</w:t>
      </w:r>
      <w:r>
        <w:rPr>
          <w:color w:val="auto"/>
        </w:rPr>
      </w:r>
      <w:r/>
    </w:p>
    <w:tbl>
      <w:tblPr>
        <w:tblStyle w:val="999"/>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jc w:val="center"/>
              <w:spacing w:after="62"/>
              <w:rPr>
                <w:rFonts w:eastAsia="方正公文仿宋"/>
                <w:color w:val="auto"/>
                <w:sz w:val="24"/>
              </w:rPr>
            </w:pPr>
            <w:r>
              <w:rPr>
                <w:rFonts w:eastAsia="方正公文仿宋"/>
                <w:color w:val="auto"/>
                <w:sz w:val="24"/>
              </w:rPr>
              <w:t xml:space="preserve">序号</w:t>
            </w:r>
            <w:r>
              <w:rPr>
                <w:color w:val="auto"/>
              </w:rPr>
            </w:r>
            <w:r/>
          </w:p>
        </w:tc>
        <w:tc>
          <w:tcPr>
            <w:tcW w:w="1064" w:type="dxa"/>
            <w:vAlign w:val="center"/>
            <w:textDirection w:val="lrTb"/>
            <w:noWrap w:val="false"/>
          </w:tcPr>
          <w:p>
            <w:pPr>
              <w:jc w:val="center"/>
              <w:spacing w:after="62"/>
              <w:rPr>
                <w:rFonts w:eastAsia="方正公文仿宋"/>
                <w:color w:val="auto"/>
                <w:sz w:val="24"/>
              </w:rPr>
            </w:pPr>
            <w:r>
              <w:rPr>
                <w:rFonts w:eastAsia="方正公文仿宋"/>
                <w:color w:val="auto"/>
                <w:sz w:val="24"/>
              </w:rPr>
              <w:t xml:space="preserve">评分点名称</w:t>
            </w:r>
            <w:r>
              <w:rPr>
                <w:color w:val="auto"/>
              </w:rPr>
            </w:r>
            <w:r/>
          </w:p>
        </w:tc>
        <w:tc>
          <w:tcPr>
            <w:tcW w:w="900" w:type="dxa"/>
            <w:vAlign w:val="center"/>
            <w:textDirection w:val="lrTb"/>
            <w:noWrap w:val="false"/>
          </w:tcPr>
          <w:p>
            <w:pPr>
              <w:jc w:val="center"/>
              <w:spacing w:after="62"/>
              <w:rPr>
                <w:rFonts w:eastAsia="方正公文仿宋"/>
                <w:color w:val="auto"/>
                <w:sz w:val="24"/>
              </w:rPr>
            </w:pPr>
            <w:r>
              <w:rPr>
                <w:rFonts w:eastAsia="方正公文仿宋"/>
                <w:color w:val="auto"/>
                <w:sz w:val="24"/>
              </w:rPr>
              <w:t xml:space="preserve">分值</w:t>
            </w:r>
            <w:r>
              <w:rPr>
                <w:color w:val="auto"/>
              </w:rPr>
            </w:r>
            <w:r/>
          </w:p>
        </w:tc>
        <w:tc>
          <w:tcPr>
            <w:tcW w:w="5205" w:type="dxa"/>
            <w:vAlign w:val="center"/>
            <w:textDirection w:val="lrTb"/>
            <w:noWrap w:val="false"/>
          </w:tcPr>
          <w:p>
            <w:pPr>
              <w:jc w:val="center"/>
              <w:spacing w:after="62"/>
              <w:rPr>
                <w:rFonts w:eastAsia="方正公文仿宋"/>
                <w:color w:val="auto"/>
                <w:sz w:val="24"/>
              </w:rPr>
            </w:pPr>
            <w:r>
              <w:rPr>
                <w:rFonts w:eastAsia="方正公文仿宋"/>
                <w:color w:val="auto"/>
                <w:sz w:val="24"/>
              </w:rPr>
              <w:t xml:space="preserve">评审标准</w:t>
            </w:r>
            <w:r>
              <w:rPr>
                <w:color w:val="auto"/>
              </w:rPr>
            </w:r>
            <w:r/>
          </w:p>
        </w:tc>
        <w:tc>
          <w:tcPr>
            <w:tcW w:w="1120" w:type="dxa"/>
            <w:vAlign w:val="center"/>
            <w:textDirection w:val="lrTb"/>
            <w:noWrap w:val="false"/>
          </w:tcPr>
          <w:p>
            <w:pPr>
              <w:jc w:val="center"/>
              <w:spacing w:after="62"/>
              <w:rPr>
                <w:rFonts w:eastAsia="方正公文仿宋"/>
                <w:color w:val="auto"/>
                <w:sz w:val="24"/>
              </w:rPr>
            </w:pPr>
            <w:r>
              <w:rPr>
                <w:rFonts w:hint="eastAsia" w:eastAsia="方正公文仿宋"/>
                <w:color w:val="auto"/>
                <w:sz w:val="24"/>
              </w:rPr>
              <w:t xml:space="preserve">主/客观分</w:t>
            </w:r>
            <w:r>
              <w:rPr>
                <w:color w:val="auto"/>
              </w:rPr>
            </w:r>
            <w:r/>
          </w:p>
        </w:tc>
      </w:tr>
      <w:tr>
        <w:trPr>
          <w:jc w:val="center"/>
          <w:trHeight w:val="1674"/>
        </w:trPr>
        <w:tc>
          <w:tcPr>
            <w:tcW w:w="88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1</w:t>
            </w:r>
            <w:r>
              <w:rPr>
                <w:color w:val="auto"/>
              </w:rPr>
            </w:r>
            <w:r/>
          </w:p>
        </w:tc>
        <w:tc>
          <w:tcPr>
            <w:tcW w:w="1064" w:type="dxa"/>
            <w:vAlign w:val="center"/>
            <w:textDirection w:val="lrTb"/>
            <w:noWrap w:val="false"/>
          </w:tcPr>
          <w:p>
            <w:pPr>
              <w:jc w:val="center"/>
              <w:widowControl/>
              <w:rPr>
                <w:rFonts w:ascii="仿宋" w:hAnsi="仿宋" w:eastAsia="仿宋" w:cs="仿宋"/>
                <w:color w:val="auto"/>
                <w:szCs w:val="24"/>
              </w:rPr>
            </w:pPr>
            <w:r>
              <w:rPr>
                <w:rFonts w:hint="eastAsia" w:ascii="仿宋" w:hAnsi="仿宋" w:eastAsia="仿宋" w:cs="仿宋"/>
                <w:color w:val="auto"/>
                <w:szCs w:val="24"/>
              </w:rPr>
              <w:t xml:space="preserve">类似</w:t>
            </w:r>
            <w:r>
              <w:rPr>
                <w:color w:val="auto"/>
              </w:rPr>
            </w:r>
            <w:r/>
          </w:p>
          <w:p>
            <w:pPr>
              <w:jc w:val="center"/>
              <w:widowControl/>
              <w:rPr>
                <w:rFonts w:ascii="仿宋" w:hAnsi="仿宋" w:eastAsia="仿宋" w:cs="仿宋"/>
                <w:color w:val="auto"/>
                <w:sz w:val="24"/>
              </w:rPr>
            </w:pPr>
            <w:r>
              <w:rPr>
                <w:rFonts w:hint="eastAsia" w:ascii="仿宋" w:hAnsi="仿宋" w:eastAsia="仿宋" w:cs="仿宋"/>
                <w:color w:val="auto"/>
                <w:szCs w:val="24"/>
              </w:rPr>
              <w:t xml:space="preserve">业绩</w:t>
            </w:r>
            <w:r>
              <w:rPr>
                <w:color w:val="auto"/>
              </w:rPr>
            </w:r>
            <w:r/>
          </w:p>
        </w:tc>
        <w:tc>
          <w:tcPr>
            <w:tcW w:w="900" w:type="dxa"/>
            <w:vAlign w:val="center"/>
            <w:textDirection w:val="lrTb"/>
            <w:noWrap w:val="false"/>
          </w:tcPr>
          <w:p>
            <w:pPr>
              <w:jc w:val="center"/>
              <w:rPr>
                <w:rFonts w:ascii="仿宋" w:hAnsi="仿宋" w:eastAsia="仿宋" w:cs="仿宋"/>
                <w:color w:val="auto"/>
                <w:sz w:val="24"/>
                <w:szCs w:val="24"/>
              </w:rPr>
            </w:pPr>
            <w:r>
              <w:rPr>
                <w:rFonts w:hint="eastAsia" w:ascii="仿宋" w:hAnsi="仿宋" w:eastAsia="仿宋" w:cs="仿宋"/>
                <w:color w:val="auto"/>
                <w:szCs w:val="24"/>
              </w:rPr>
              <w:t xml:space="preserve">2</w:t>
            </w:r>
            <w:r>
              <w:rPr>
                <w:color w:val="auto"/>
              </w:rPr>
            </w:r>
            <w:r/>
          </w:p>
        </w:tc>
        <w:tc>
          <w:tcPr>
            <w:tcW w:w="5205" w:type="dxa"/>
            <w:vAlign w:val="center"/>
            <w:textDirection w:val="lrTb"/>
            <w:noWrap w:val="false"/>
          </w:tcPr>
          <w:p>
            <w:pPr>
              <w:rPr>
                <w:rFonts w:hint="eastAsia" w:ascii="仿宋" w:hAnsi="仿宋" w:eastAsia="仿宋" w:cs="仿宋"/>
                <w:b w:val="0"/>
                <w:bCs w:val="0"/>
                <w:color w:val="auto"/>
              </w:rPr>
            </w:pPr>
            <w:r>
              <w:rPr>
                <w:rFonts w:hint="eastAsia" w:ascii="仿宋" w:hAnsi="仿宋" w:eastAsia="仿宋" w:cs="仿宋"/>
                <w:b w:val="0"/>
                <w:bCs w:val="0"/>
                <w:color w:val="auto"/>
                <w:szCs w:val="24"/>
              </w:rPr>
              <w:t xml:space="preserve">投标单位自2023年1月1日以来（以合同签订时间为准）完成过与本次采购相同或类似的项目业绩的，每提供一个得1分，最高得2分。 提供完整合同及对应的部分结算发票。如未按要求提供证明材料，或所提供的证明材料未能体现上述评分内容的，视为该证明材料无效。</w:t>
            </w:r>
            <w:r>
              <w:rPr>
                <w:color w:val="auto"/>
              </w:rPr>
            </w:r>
            <w:r/>
          </w:p>
          <w:p>
            <w:pPr>
              <w:rPr>
                <w:rFonts w:ascii="仿宋" w:hAnsi="仿宋" w:eastAsia="仿宋" w:cs="仿宋"/>
                <w:color w:val="auto"/>
                <w:sz w:val="24"/>
                <w:szCs w:val="24"/>
              </w:rPr>
            </w:pPr>
            <w:r>
              <w:rPr>
                <w:rFonts w:hint="eastAsia" w:ascii="仿宋" w:hAnsi="仿宋" w:eastAsia="仿宋" w:cs="仿宋"/>
                <w:b w:val="0"/>
                <w:bCs w:val="0"/>
                <w:color w:val="auto"/>
                <w:szCs w:val="24"/>
              </w:rPr>
            </w:r>
            <w:r>
              <w:rPr>
                <w:rFonts w:ascii="仿宋" w:hAnsi="仿宋" w:eastAsia="仿宋" w:cs="仿宋"/>
                <w:b w:val="0"/>
                <w:bCs w:val="0"/>
                <w:color w:val="auto"/>
                <w:szCs w:val="24"/>
              </w:rPr>
              <w:t xml:space="preserve">业绩认定说明：类似项目指包含工业</w:t>
            </w:r>
            <w:r>
              <w:rPr>
                <w:rFonts w:hint="eastAsia" w:ascii="仿宋" w:hAnsi="仿宋" w:eastAsia="仿宋" w:cs="仿宋"/>
                <w:b w:val="0"/>
                <w:bCs w:val="0"/>
                <w:color w:val="auto"/>
                <w:szCs w:val="24"/>
              </w:rPr>
              <w:t xml:space="preserve">网络、工业</w:t>
            </w:r>
            <w:r>
              <w:rPr>
                <w:rFonts w:ascii="仿宋" w:hAnsi="仿宋" w:eastAsia="仿宋" w:cs="仿宋"/>
                <w:b w:val="0"/>
                <w:bCs w:val="0"/>
                <w:color w:val="auto"/>
                <w:szCs w:val="24"/>
              </w:rPr>
              <w:t xml:space="preserve">互联网方向实训室建设等实训软硬件配套实施相同或类似的院校实训室建设项目；业绩材料须提供合同扫描件，合同中需体现项目名称、项目内容、合同签订时间，评审专家依据合同载明内容进行判定</w:t>
            </w:r>
            <w:r>
              <w:rPr>
                <w:rFonts w:hint="eastAsia" w:ascii="仿宋" w:hAnsi="仿宋" w:eastAsia="仿宋" w:cs="仿宋"/>
                <w:b w:val="0"/>
                <w:bCs w:val="0"/>
                <w:color w:val="auto"/>
                <w:szCs w:val="24"/>
              </w:rPr>
              <w:t xml:space="preserve">。</w:t>
            </w:r>
            <w:r>
              <w:rPr>
                <w:color w:val="auto"/>
              </w:rPr>
            </w:r>
            <w:r/>
          </w:p>
        </w:tc>
        <w:tc>
          <w:tcPr>
            <w:tcW w:w="112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客观分</w:t>
            </w:r>
            <w:r>
              <w:rPr>
                <w:color w:val="auto"/>
              </w:rPr>
            </w:r>
            <w:r/>
          </w:p>
        </w:tc>
      </w:tr>
      <w:tr>
        <w:trPr>
          <w:jc w:val="center"/>
        </w:trPr>
        <w:tc>
          <w:tcPr>
            <w:tcW w:w="88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2</w:t>
            </w:r>
            <w:r>
              <w:rPr>
                <w:color w:val="auto"/>
              </w:rPr>
            </w:r>
            <w:r/>
          </w:p>
        </w:tc>
        <w:tc>
          <w:tcPr>
            <w:tcW w:w="1064" w:type="dxa"/>
            <w:vAlign w:val="center"/>
            <w:textDirection w:val="lrTb"/>
            <w:noWrap w:val="false"/>
          </w:tcPr>
          <w:p>
            <w:pPr>
              <w:jc w:val="center"/>
              <w:widowControl/>
              <w:rPr>
                <w:rFonts w:ascii="仿宋" w:hAnsi="仿宋" w:eastAsia="仿宋" w:cs="仿宋"/>
                <w:color w:val="auto"/>
                <w:sz w:val="24"/>
              </w:rPr>
            </w:pPr>
            <w:r>
              <w:rPr>
                <w:rFonts w:hint="eastAsia" w:ascii="仿宋" w:hAnsi="仿宋" w:eastAsia="仿宋" w:cs="仿宋"/>
                <w:color w:val="auto"/>
                <w:szCs w:val="24"/>
              </w:rPr>
              <w:t xml:space="preserve">项目实施方案</w:t>
            </w:r>
            <w:r>
              <w:rPr>
                <w:color w:val="auto"/>
              </w:rPr>
            </w:r>
            <w:r/>
          </w:p>
        </w:tc>
        <w:tc>
          <w:tcPr>
            <w:tcW w:w="900" w:type="dxa"/>
            <w:vAlign w:val="center"/>
            <w:textDirection w:val="lrTb"/>
            <w:noWrap w:val="false"/>
          </w:tcPr>
          <w:p>
            <w:pPr>
              <w:jc w:val="center"/>
              <w:widowControl/>
              <w:rPr>
                <w:rFonts w:ascii="仿宋" w:hAnsi="仿宋" w:eastAsia="仿宋" w:cs="仿宋"/>
                <w:color w:val="auto"/>
                <w:sz w:val="24"/>
              </w:rPr>
            </w:pPr>
            <w:r>
              <w:rPr>
                <w:rFonts w:hint="eastAsia" w:ascii="仿宋" w:hAnsi="仿宋" w:eastAsia="仿宋" w:cs="仿宋"/>
                <w:color w:val="auto"/>
                <w:szCs w:val="24"/>
              </w:rPr>
              <w:t xml:space="preserve">6</w:t>
            </w:r>
            <w:r>
              <w:rPr>
                <w:color w:val="auto"/>
              </w:rPr>
            </w:r>
            <w:r/>
          </w:p>
        </w:tc>
        <w:tc>
          <w:tcPr>
            <w:tcW w:w="5205" w:type="dxa"/>
            <w:vAlign w:val="center"/>
            <w:textDirection w:val="lrTb"/>
            <w:noWrap w:val="false"/>
          </w:tcPr>
          <w:p>
            <w:pPr>
              <w:jc w:val="left"/>
              <w:widowControl/>
              <w:rPr>
                <w:rFonts w:ascii="仿宋" w:hAnsi="仿宋" w:eastAsia="仿宋" w:cs="仿宋"/>
                <w:color w:val="auto"/>
                <w:szCs w:val="24"/>
              </w:rPr>
            </w:pPr>
            <w:r>
              <w:rPr>
                <w:rFonts w:hint="eastAsia" w:ascii="仿宋" w:hAnsi="仿宋" w:eastAsia="仿宋" w:cs="仿宋"/>
                <w:color w:val="auto"/>
                <w:szCs w:val="24"/>
              </w:rPr>
              <w:t xml:space="preserve">投标人根据本项目实施要求，提供项目实施方案，内容包括但不限于针对本项目软硬件设备安装、系统调试、平台部署、网络联调、验收、培训及资料移交等拟定的进度计划和质量保证措施。</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方案完全结合本项目工业互联网实训室建设实际和教学实际情况、教学安排，安装、调试、验收进度计划完整、节点清晰、责任明确，质量保证措施具体可行，涵盖软硬件设备安装、系统调试、平台部署、网络联调、系统集成、培训及资料移交等关键环节，与学校教学管理、安全文明施工和验收要求衔接紧密；方案内容完整、针对性强、条理清晰、可操作性强，无任何瑕疵的得6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存在1处瑕疵的得5分；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存在2处瑕疵的得4分；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未完整阐述项目实施方案内容、核心措施不满足项目实施要求，或存在3处及以上瑕疵的得2分；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未提供的不得分。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注：以上所称“瑕疵”是指：</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①进度计划未结合工业网络控制技术应用平台2套、工业网络控制平台4套的设备数量及学校教学安排，未明确软硬件安装、系统调试、平台部署、网络联调、培训移交、验收等各环节起止时间、关键节点及责任人；</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②质量保证措施未针对PLC、工业视觉、伺服系统、变频器、环形输送线、三层管理工业交换机、工业防火墙、边缘网关、无线接入点、环境传感器、智能电表、LORA模块、协议网关、空气压缩机等设备特点，未明确到货验收、安装规范、调试指标及不合格处理流程；</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③系统集成与网络联调未明确工业网络控制技术应用平台与工业网络控制平台之间、平台与学校现有网络的对接方案、IP规划、联调内容及测试标准，与实训教学管理要求脱节；</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④培训及资料移交未明确对象、内容、课时、考核方式及交付清单，或与设备安装调试、学校教学计划冲突，安全文明施工措施未针对临时用电、设备搬运、高空作业等提出可操作要求；</w:t>
            </w:r>
            <w:r>
              <w:rPr>
                <w:color w:val="auto"/>
              </w:rPr>
            </w:r>
            <w:r/>
          </w:p>
          <w:p>
            <w:pPr>
              <w:jc w:val="left"/>
              <w:widowControl/>
              <w:rPr>
                <w:rFonts w:ascii="仿宋" w:hAnsi="仿宋" w:eastAsia="仿宋" w:cs="仿宋"/>
                <w:color w:val="auto"/>
                <w:sz w:val="24"/>
              </w:rPr>
            </w:pPr>
            <w:r>
              <w:rPr>
                <w:rFonts w:hint="eastAsia" w:ascii="仿宋" w:hAnsi="仿宋" w:eastAsia="仿宋" w:cs="仿宋"/>
                <w:color w:val="auto"/>
                <w:szCs w:val="24"/>
              </w:rPr>
              <w:t xml:space="preserve">⑤人员配置、进度承诺、资源投入与设备数量、安装调试、网络联调、培训验收要求前后矛盾，或违背采购文件硬性要求，现有人力、技术、资源条件下无法落地兑现。</w:t>
            </w:r>
            <w:r>
              <w:rPr>
                <w:color w:val="auto"/>
              </w:rPr>
            </w:r>
            <w:r/>
          </w:p>
        </w:tc>
        <w:tc>
          <w:tcPr>
            <w:tcW w:w="112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主观分</w:t>
            </w:r>
            <w:r>
              <w:rPr>
                <w:color w:val="auto"/>
              </w:rPr>
            </w:r>
            <w:r/>
          </w:p>
        </w:tc>
      </w:tr>
      <w:tr>
        <w:trPr>
          <w:jc w:val="center"/>
          <w:trHeight w:val="1701"/>
        </w:trPr>
        <w:tc>
          <w:tcPr>
            <w:tcW w:w="88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3</w:t>
            </w:r>
            <w:r>
              <w:rPr>
                <w:color w:val="auto"/>
              </w:rPr>
            </w:r>
            <w:r/>
          </w:p>
        </w:tc>
        <w:tc>
          <w:tcPr>
            <w:tcW w:w="1064" w:type="dxa"/>
            <w:vAlign w:val="center"/>
            <w:textDirection w:val="lrTb"/>
            <w:noWrap w:val="false"/>
          </w:tcPr>
          <w:p>
            <w:pPr>
              <w:jc w:val="center"/>
              <w:widowControl/>
              <w:rPr>
                <w:rFonts w:ascii="仿宋" w:hAnsi="仿宋" w:eastAsia="仿宋" w:cs="仿宋"/>
                <w:color w:val="auto"/>
                <w:szCs w:val="24"/>
              </w:rPr>
            </w:pPr>
            <w:r>
              <w:rPr>
                <w:rFonts w:hint="eastAsia" w:ascii="仿宋" w:hAnsi="仿宋" w:eastAsia="仿宋" w:cs="仿宋"/>
                <w:color w:val="auto"/>
                <w:szCs w:val="24"/>
              </w:rPr>
              <w:t xml:space="preserve">培训</w:t>
            </w:r>
            <w:r>
              <w:rPr>
                <w:color w:val="auto"/>
              </w:rPr>
            </w:r>
            <w:r/>
          </w:p>
          <w:p>
            <w:pPr>
              <w:jc w:val="center"/>
              <w:widowControl/>
              <w:rPr>
                <w:rFonts w:eastAsia="方正公文仿宋"/>
                <w:color w:val="auto"/>
                <w:sz w:val="24"/>
              </w:rPr>
            </w:pPr>
            <w:r>
              <w:rPr>
                <w:rFonts w:hint="eastAsia" w:ascii="仿宋" w:hAnsi="仿宋" w:eastAsia="仿宋" w:cs="仿宋"/>
                <w:color w:val="auto"/>
                <w:szCs w:val="24"/>
              </w:rPr>
              <w:t xml:space="preserve">方案</w:t>
            </w:r>
            <w:r>
              <w:rPr>
                <w:color w:val="auto"/>
              </w:rPr>
            </w:r>
            <w:r/>
          </w:p>
        </w:tc>
        <w:tc>
          <w:tcPr>
            <w:tcW w:w="900" w:type="dxa"/>
            <w:vAlign w:val="center"/>
            <w:textDirection w:val="lrTb"/>
            <w:noWrap w:val="false"/>
          </w:tcPr>
          <w:p>
            <w:pPr>
              <w:jc w:val="center"/>
              <w:widowControl/>
              <w:rPr>
                <w:rFonts w:eastAsia="方正公文仿宋"/>
                <w:color w:val="auto"/>
                <w:sz w:val="24"/>
              </w:rPr>
            </w:pPr>
            <w:r>
              <w:rPr>
                <w:rFonts w:hint="eastAsia" w:ascii="仿宋" w:hAnsi="仿宋" w:eastAsia="仿宋" w:cs="仿宋"/>
                <w:color w:val="auto"/>
                <w:szCs w:val="24"/>
              </w:rPr>
              <w:t xml:space="preserve">6</w:t>
            </w:r>
            <w:r>
              <w:rPr>
                <w:color w:val="auto"/>
              </w:rPr>
            </w:r>
            <w:r/>
          </w:p>
        </w:tc>
        <w:tc>
          <w:tcPr>
            <w:tcW w:w="5205" w:type="dxa"/>
            <w:vAlign w:val="center"/>
            <w:textDirection w:val="lrTb"/>
            <w:noWrap w:val="false"/>
          </w:tcPr>
          <w:p>
            <w:pPr>
              <w:jc w:val="left"/>
              <w:widowControl/>
              <w:rPr>
                <w:rFonts w:ascii="仿宋" w:hAnsi="仿宋" w:eastAsia="仿宋" w:cs="仿宋"/>
                <w:color w:val="auto"/>
                <w:szCs w:val="24"/>
              </w:rPr>
            </w:pPr>
            <w:r>
              <w:rPr>
                <w:rFonts w:hint="eastAsia" w:ascii="仿宋" w:hAnsi="仿宋" w:eastAsia="仿宋" w:cs="仿宋"/>
                <w:color w:val="auto"/>
                <w:szCs w:val="24"/>
              </w:rPr>
              <w:t xml:space="preserve">投标人提供本项目培训方案，包括但不限于培训计划、培训方式、培训措施等。</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方案完全结合本项目工业互联网实训室建设实际和学校教学实际情况、教学安排，培训计划完整、阶段清晰、对象明确，培训方式多样且与学校教学组织相适应，培训措施具体可行，涵盖培训对象、培训内容、培训时间、培训地点、培训师资、培训资料、考核方式及效果反馈等，并能覆盖软硬件设备操作、平台使用、系统维护、日常管理、故障处理及教学应用等关键内容；方案内容完整、针对性强、条理清晰、可操作性强，无任何瑕疵的得6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存在1处瑕疵的得5分；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存在2处瑕疵的得4分；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未完整阐述培训方案内容、核心培训措施不满足项目实施要求，或存在3处及以上瑕疵的得2分；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未提供的不得分。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注：以上所称“瑕疵”是指：</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①培训计划未结合工业网络控制技术应用平台2套、工业网络控制平台4套的设备构成及学校教学安排，未明确培训阶段、对象、时间、地点、人数及责任人；</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②培训方式与学校教学组织、实训室条件不适应，未明确集中授课、分组实操、线上辅助、现场跟岗等具体安排；</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③培训内容未覆盖PLC、工业视觉、伺服系统、变频器、环形输送线、三层管理工业交换机、工业防火墙、边缘网关、无线接入点、环境传感器、智能电表、LORA模块、协议网关、数据终端处理器、空气压缩机等软硬件操作、平台使用、系统维护、故障处理及教学应用；</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④培训师资、资料、考核及效果反馈不明确，未明确讲师资质、教材/课件/视频清单、考核标准及复训安排；</w:t>
            </w:r>
            <w:r>
              <w:rPr>
                <w:color w:val="auto"/>
              </w:rPr>
            </w:r>
            <w:r/>
          </w:p>
          <w:p>
            <w:pPr>
              <w:jc w:val="left"/>
              <w:widowControl/>
              <w:rPr>
                <w:rFonts w:eastAsia="方正公文仿宋"/>
                <w:color w:val="auto"/>
                <w:sz w:val="24"/>
                <w:szCs w:val="24"/>
              </w:rPr>
            </w:pPr>
            <w:r>
              <w:rPr>
                <w:rFonts w:hint="eastAsia" w:ascii="仿宋" w:hAnsi="仿宋" w:eastAsia="仿宋" w:cs="仿宋"/>
                <w:color w:val="auto"/>
                <w:szCs w:val="24"/>
              </w:rPr>
              <w:t xml:space="preserve">⑤培训时间、人数、资源投入与设备安装调试、学校教学计划冲突，或相关承诺违背采购文件要求、无法落地兑现。</w:t>
            </w:r>
            <w:r>
              <w:rPr>
                <w:color w:val="auto"/>
              </w:rPr>
            </w:r>
            <w:r/>
          </w:p>
        </w:tc>
        <w:tc>
          <w:tcPr>
            <w:tcW w:w="1120" w:type="dxa"/>
            <w:vAlign w:val="center"/>
            <w:textDirection w:val="lrTb"/>
            <w:noWrap w:val="false"/>
          </w:tcPr>
          <w:p>
            <w:pPr>
              <w:jc w:val="center"/>
              <w:spacing w:after="62" w:line="240" w:lineRule="exact"/>
              <w:rPr>
                <w:rFonts w:eastAsia="方正公文仿宋"/>
                <w:color w:val="auto"/>
                <w:sz w:val="24"/>
                <w:szCs w:val="24"/>
              </w:rPr>
            </w:pPr>
            <w:r>
              <w:rPr>
                <w:rFonts w:hint="eastAsia" w:ascii="仿宋" w:hAnsi="仿宋" w:eastAsia="仿宋" w:cs="仿宋"/>
                <w:color w:val="auto"/>
                <w:szCs w:val="21"/>
              </w:rPr>
              <w:t xml:space="preserve">主观分</w:t>
            </w:r>
            <w:r>
              <w:rPr>
                <w:color w:val="auto"/>
              </w:rPr>
            </w:r>
            <w:r/>
          </w:p>
        </w:tc>
      </w:tr>
      <w:tr>
        <w:trPr>
          <w:jc w:val="center"/>
          <w:trHeight w:val="2866"/>
        </w:trPr>
        <w:tc>
          <w:tcPr>
            <w:tcW w:w="880" w:type="dxa"/>
            <w:vAlign w:val="center"/>
            <w:textDirection w:val="lrTb"/>
            <w:noWrap w:val="false"/>
          </w:tcPr>
          <w:p>
            <w:pPr>
              <w:jc w:val="center"/>
              <w:spacing w:after="62" w:line="240" w:lineRule="exact"/>
              <w:rPr>
                <w:rFonts w:eastAsia="方正公文仿宋"/>
                <w:color w:val="auto"/>
                <w:sz w:val="24"/>
              </w:rPr>
            </w:pPr>
            <w:r>
              <w:rPr>
                <w:rFonts w:hint="eastAsia" w:ascii="仿宋" w:hAnsi="仿宋" w:eastAsia="仿宋" w:cs="仿宋"/>
                <w:color w:val="auto"/>
                <w:szCs w:val="21"/>
              </w:rPr>
              <w:t xml:space="preserve">4</w:t>
            </w:r>
            <w:r>
              <w:rPr>
                <w:color w:val="auto"/>
              </w:rPr>
            </w:r>
            <w:r/>
          </w:p>
        </w:tc>
        <w:tc>
          <w:tcPr>
            <w:tcW w:w="1064" w:type="dxa"/>
            <w:vAlign w:val="center"/>
            <w:textDirection w:val="lrTb"/>
            <w:noWrap w:val="false"/>
          </w:tcPr>
          <w:p>
            <w:pPr>
              <w:jc w:val="center"/>
              <w:widowControl/>
              <w:rPr>
                <w:rFonts w:ascii="仿宋" w:hAnsi="仿宋" w:eastAsia="仿宋" w:cs="仿宋"/>
                <w:color w:val="auto"/>
                <w:sz w:val="24"/>
              </w:rPr>
            </w:pPr>
            <w:r>
              <w:rPr>
                <w:rFonts w:hint="eastAsia" w:ascii="仿宋" w:hAnsi="仿宋" w:eastAsia="仿宋" w:cs="仿宋"/>
                <w:color w:val="auto"/>
                <w:szCs w:val="24"/>
              </w:rPr>
              <w:t xml:space="preserve">售后服务方案</w:t>
            </w:r>
            <w:r>
              <w:rPr>
                <w:color w:val="auto"/>
              </w:rPr>
            </w:r>
            <w:r/>
          </w:p>
        </w:tc>
        <w:tc>
          <w:tcPr>
            <w:tcW w:w="900" w:type="dxa"/>
            <w:vAlign w:val="center"/>
            <w:textDirection w:val="lrTb"/>
            <w:noWrap w:val="false"/>
          </w:tcPr>
          <w:p>
            <w:pPr>
              <w:jc w:val="center"/>
              <w:widowControl/>
              <w:rPr>
                <w:rFonts w:ascii="仿宋" w:hAnsi="仿宋" w:eastAsia="仿宋" w:cs="仿宋"/>
                <w:color w:val="auto"/>
                <w:sz w:val="24"/>
              </w:rPr>
            </w:pPr>
            <w:r>
              <w:rPr>
                <w:rFonts w:hint="eastAsia" w:ascii="仿宋" w:hAnsi="仿宋" w:eastAsia="仿宋" w:cs="仿宋"/>
                <w:color w:val="auto"/>
                <w:szCs w:val="24"/>
              </w:rPr>
              <w:t xml:space="preserve">6</w:t>
            </w:r>
            <w:r>
              <w:rPr>
                <w:color w:val="auto"/>
              </w:rPr>
            </w:r>
            <w:r/>
          </w:p>
        </w:tc>
        <w:tc>
          <w:tcPr>
            <w:tcW w:w="5205" w:type="dxa"/>
            <w:vAlign w:val="center"/>
            <w:textDirection w:val="lrTb"/>
            <w:noWrap w:val="false"/>
          </w:tcPr>
          <w:p>
            <w:pPr>
              <w:jc w:val="left"/>
              <w:widowControl/>
              <w:rPr>
                <w:rFonts w:ascii="仿宋" w:hAnsi="仿宋" w:eastAsia="仿宋" w:cs="仿宋"/>
                <w:color w:val="auto"/>
                <w:szCs w:val="24"/>
              </w:rPr>
            </w:pPr>
            <w:r>
              <w:rPr>
                <w:rFonts w:hint="eastAsia" w:ascii="仿宋" w:hAnsi="仿宋" w:eastAsia="仿宋" w:cs="仿宋"/>
                <w:color w:val="auto"/>
                <w:szCs w:val="24"/>
              </w:rPr>
              <w:t xml:space="preserve">投标人提供售后服务方案，包括但不限于质保期内外的售后服务内容、维护响应计划、故障响应时间、响应方式等。</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方案完全结合本项目工业互联网实训室建设实际和学校教学使用需求，质保期内、外售后服务内容完整、边界清晰，维护响应计划具体，故障响应时间明确且满足招标文件要求，响应方式多样，涵盖电话响应、远程支持、现场服务、备品备件、定期巡检、软件升级、系统维护等；方案内容完整、针对性强、条理清晰、可操作性强，无任何瑕疵的得6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存在1处瑕疵的得5分；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存在2处瑕疵的得4分；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未完整阐述售后服务方案内容、核心服务措施不满足项目实施要求，或存在3处及以上瑕疵的得2分；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未提供的不得分。</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注：以上所称“瑕疵”是指：</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①质保期内外服务内容及边界不清晰，未结合工业网络控制技术应用平台2套、工业网络控制平台4套及PLC、工业视觉、伺服系统、变频器、环形输送线、三层管理工业交换机、工业防火墙、边缘网关、无线接入点、环境传感器、智能电表、LORA模块、协议网关、数据终端处理器、空气压缩机等设备明确质保范围、免费与收费条件；</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②维护响应计划未明确电话响应、远程支持、现场服务、备品备件、定期巡检、软件升级、系统维护等具体方式、周期、责任人及记录要求；</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③故障响应时间未满足招标文件要求，未按设备及系统故障分级明确远程诊断、现场处理、备件更换、返厂维修及替代方案时限；</w:t>
            </w:r>
            <w:r>
              <w:rPr>
                <w:color w:val="auto"/>
              </w:rPr>
            </w:r>
            <w:r/>
          </w:p>
          <w:p>
            <w:pPr>
              <w:jc w:val="left"/>
              <w:widowControl/>
              <w:rPr>
                <w:rFonts w:ascii="仿宋" w:hAnsi="仿宋" w:eastAsia="仿宋" w:cs="仿宋"/>
                <w:color w:val="auto"/>
                <w:szCs w:val="24"/>
              </w:rPr>
            </w:pPr>
            <w:r>
              <w:rPr>
                <w:rFonts w:hint="eastAsia" w:ascii="仿宋" w:hAnsi="仿宋" w:eastAsia="仿宋" w:cs="仿宋"/>
                <w:color w:val="auto"/>
                <w:szCs w:val="24"/>
              </w:rPr>
              <w:t xml:space="preserve">④备品备件供应、软件升级、系统维护承诺笼统，未明确常用备件清单、价格、供货时限及升级维护内容，与学校教学连续使用需求脱节；</w:t>
            </w:r>
            <w:r>
              <w:rPr>
                <w:color w:val="auto"/>
              </w:rPr>
            </w:r>
            <w:r/>
          </w:p>
          <w:p>
            <w:pPr>
              <w:jc w:val="left"/>
              <w:widowControl/>
              <w:rPr>
                <w:rFonts w:ascii="仿宋" w:hAnsi="仿宋" w:eastAsia="仿宋" w:cs="仿宋"/>
                <w:color w:val="auto"/>
                <w:szCs w:val="21"/>
              </w:rPr>
            </w:pPr>
            <w:r>
              <w:rPr>
                <w:rFonts w:hint="eastAsia" w:ascii="仿宋" w:hAnsi="仿宋" w:eastAsia="仿宋" w:cs="仿宋"/>
                <w:color w:val="auto"/>
                <w:szCs w:val="24"/>
              </w:rPr>
              <w:t xml:space="preserve">⑤人员配置、服务网点、响应时限、资源投入与设备数量、实训室分布及采购文件要求前后矛盾，或现有人力、技术、资源条件下无法落地兑现。</w:t>
            </w:r>
            <w:r>
              <w:rPr>
                <w:color w:val="auto"/>
              </w:rPr>
            </w:r>
            <w:r/>
          </w:p>
        </w:tc>
        <w:tc>
          <w:tcPr>
            <w:tcW w:w="1120" w:type="dxa"/>
            <w:vAlign w:val="center"/>
            <w:textDirection w:val="lrTb"/>
            <w:noWrap w:val="false"/>
          </w:tcPr>
          <w:p>
            <w:pPr>
              <w:jc w:val="center"/>
              <w:spacing w:after="62" w:line="240" w:lineRule="exact"/>
              <w:rPr>
                <w:rFonts w:eastAsia="方正公文仿宋"/>
                <w:color w:val="auto"/>
                <w:sz w:val="24"/>
                <w:szCs w:val="24"/>
              </w:rPr>
            </w:pPr>
            <w:r>
              <w:rPr>
                <w:rFonts w:hint="eastAsia" w:ascii="仿宋" w:hAnsi="仿宋" w:eastAsia="仿宋" w:cs="仿宋"/>
                <w:color w:val="auto"/>
                <w:szCs w:val="21"/>
              </w:rPr>
              <w:t xml:space="preserve">客观分</w:t>
            </w:r>
            <w:r>
              <w:rPr>
                <w:color w:val="auto"/>
              </w:rPr>
            </w:r>
            <w:r/>
          </w:p>
        </w:tc>
      </w:tr>
    </w:tbl>
    <w:p>
      <w:pPr>
        <w:rPr>
          <w:rFonts w:eastAsia="方正公文仿宋"/>
          <w:color w:val="auto"/>
          <w:sz w:val="28"/>
          <w:szCs w:val="28"/>
        </w:rPr>
      </w:pPr>
      <w:r>
        <w:rPr>
          <w:rFonts w:eastAsia="方正公文仿宋"/>
          <w:color w:val="auto"/>
          <w:sz w:val="28"/>
          <w:szCs w:val="28"/>
        </w:rPr>
        <w:br w:type="page" w:clear="all"/>
      </w:r>
      <w:r>
        <w:rPr>
          <w:color w:val="auto"/>
        </w:rPr>
      </w:r>
      <w:r/>
    </w:p>
    <w:p>
      <w:pPr>
        <w:pStyle w:val="1016"/>
        <w:jc w:val="center"/>
        <w:rPr>
          <w:color w:val="auto"/>
        </w:rPr>
        <w:outlineLvl w:val="0"/>
      </w:pPr>
      <w:r>
        <w:rPr>
          <w:color w:val="auto"/>
        </w:rPr>
      </w:r>
      <w:bookmarkStart w:id="206" w:name="_Toc5488"/>
      <w:r>
        <w:rPr>
          <w:rFonts w:hint="eastAsia" w:ascii="黑体" w:eastAsia="黑体"/>
          <w:b/>
          <w:bCs/>
          <w:color w:val="auto"/>
          <w:sz w:val="44"/>
          <w:szCs w:val="28"/>
        </w:rPr>
        <w:t xml:space="preserve">第六章</w:t>
      </w:r>
      <w:r>
        <w:rPr>
          <w:rFonts w:hint="eastAsia" w:ascii="黑体" w:eastAsia="黑体"/>
          <w:b/>
          <w:bCs/>
          <w:color w:val="auto"/>
          <w:sz w:val="44"/>
          <w:szCs w:val="28"/>
          <w:lang w:eastAsia="zh-CN"/>
        </w:rPr>
        <w:t xml:space="preserve"> 投标文件格式</w:t>
      </w:r>
      <w:bookmarkEnd w:id="206"/>
      <w:r>
        <w:rPr>
          <w:color w:val="auto"/>
        </w:rPr>
      </w:r>
      <w:r/>
    </w:p>
    <w:p>
      <w:pPr>
        <w:jc w:val="left"/>
        <w:widowControl/>
        <w:rPr>
          <w:rFonts w:ascii="仿宋" w:hAnsi="仿宋" w:eastAsia="仿宋" w:cs="仿宋"/>
          <w:b/>
          <w:color w:val="ff0000"/>
          <w:sz w:val="28"/>
          <w:szCs w:val="28"/>
        </w:rPr>
      </w:pPr>
      <w:r>
        <w:rPr>
          <w:rStyle w:val="1000"/>
          <w:rFonts w:hint="eastAsia" w:ascii="仿宋" w:hAnsi="仿宋" w:eastAsia="仿宋" w:cs="仿宋"/>
          <w:color w:val="ff0000"/>
          <w:sz w:val="28"/>
          <w:szCs w:val="28"/>
          <w:lang w:bidi="ar"/>
        </w:rPr>
        <w:t xml:space="preserve">友情提示：</w:t>
      </w:r>
      <w:r>
        <w:rPr>
          <w:color w:val="ff0000"/>
        </w:rPr>
      </w:r>
      <w:r/>
    </w:p>
    <w:p>
      <w:pPr>
        <w:jc w:val="left"/>
        <w:widowControl/>
        <w:rPr>
          <w:rFonts w:ascii="仿宋" w:hAnsi="仿宋" w:eastAsia="仿宋" w:cs="仿宋"/>
          <w:b/>
          <w:color w:val="ff0000"/>
          <w:sz w:val="28"/>
          <w:szCs w:val="28"/>
        </w:rPr>
      </w:pPr>
      <w:r>
        <w:rPr>
          <w:rFonts w:hint="eastAsia" w:ascii="仿宋" w:hAnsi="仿宋" w:eastAsia="仿宋" w:cs="仿宋"/>
          <w:b/>
          <w:color w:val="ff0000"/>
          <w:sz w:val="28"/>
          <w:szCs w:val="28"/>
          <w:lang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rPr>
          <w:color w:val="ff0000"/>
        </w:rPr>
      </w:r>
      <w:r/>
    </w:p>
    <w:p>
      <w:pPr>
        <w:pStyle w:val="1016"/>
        <w:jc w:val="center"/>
        <w:rPr>
          <w:color w:val="auto"/>
        </w:rPr>
      </w:pPr>
      <w:r>
        <w:rPr>
          <w:color w:val="auto"/>
          <w:lang w:eastAsia="zh-CN"/>
        </w:rPr>
      </w:r>
      <w:r>
        <w:rPr>
          <w:color w:val="auto"/>
        </w:rPr>
      </w:r>
      <w:r/>
    </w:p>
    <w:p>
      <w:pPr>
        <w:pStyle w:val="1016"/>
        <w:jc w:val="center"/>
        <w:rPr>
          <w:color w:val="auto"/>
        </w:rPr>
      </w:pPr>
      <w:r>
        <w:rPr>
          <w:color w:val="auto"/>
          <w:lang w:eastAsia="zh-CN"/>
        </w:rPr>
      </w:r>
      <w:r>
        <w:rPr>
          <w:color w:val="auto"/>
        </w:rPr>
      </w:r>
      <w:r/>
    </w:p>
    <w:p>
      <w:pPr>
        <w:pStyle w:val="1016"/>
        <w:jc w:val="center"/>
        <w:rPr>
          <w:color w:val="auto"/>
        </w:rPr>
      </w:pPr>
      <w:r>
        <w:rPr>
          <w:color w:val="auto"/>
          <w:lang w:eastAsia="zh-CN"/>
        </w:rPr>
      </w:r>
      <w:r>
        <w:rPr>
          <w:color w:val="auto"/>
        </w:rPr>
      </w:r>
      <w:r/>
    </w:p>
    <w:p>
      <w:pPr>
        <w:jc w:val="center"/>
        <w:rPr>
          <w:rFonts w:ascii="宋体" w:hAnsi="宋体"/>
          <w:b/>
          <w:color w:val="auto"/>
          <w:sz w:val="72"/>
          <w:szCs w:val="21"/>
        </w:rPr>
      </w:pPr>
      <w:r>
        <w:rPr>
          <w:rFonts w:hint="eastAsia" w:ascii="宋体" w:hAnsi="宋体"/>
          <w:b/>
          <w:color w:val="auto"/>
          <w:sz w:val="72"/>
          <w:szCs w:val="21"/>
        </w:rPr>
        <w:t xml:space="preserve">投  标  文  件</w:t>
      </w:r>
      <w:r>
        <w:rPr>
          <w:color w:val="auto"/>
        </w:rPr>
      </w:r>
      <w:r/>
    </w:p>
    <w:p>
      <w:pPr>
        <w:jc w:val="center"/>
        <w:rPr>
          <w:rFonts w:ascii="宋体" w:hAnsi="宋体"/>
          <w:b/>
          <w:color w:val="auto"/>
          <w:sz w:val="72"/>
          <w:szCs w:val="21"/>
        </w:rPr>
      </w:pPr>
      <w:r>
        <w:rPr>
          <w:rFonts w:ascii="宋体" w:hAnsi="宋体"/>
          <w:b/>
          <w:color w:val="auto"/>
          <w:sz w:val="72"/>
          <w:szCs w:val="21"/>
        </w:rPr>
      </w:r>
      <w:r>
        <w:rPr>
          <w:color w:val="auto"/>
        </w:rPr>
      </w:r>
      <w:r/>
    </w:p>
    <w:p>
      <w:pPr>
        <w:jc w:val="center"/>
        <w:rPr>
          <w:rFonts w:ascii="宋体" w:hAnsi="宋体"/>
          <w:b/>
          <w:color w:val="auto"/>
          <w:sz w:val="72"/>
          <w:szCs w:val="21"/>
        </w:rPr>
      </w:pPr>
      <w:r>
        <w:rPr>
          <w:rFonts w:ascii="宋体" w:hAnsi="宋体"/>
          <w:b/>
          <w:color w:val="auto"/>
          <w:sz w:val="72"/>
          <w:szCs w:val="21"/>
        </w:rPr>
      </w:r>
      <w:r>
        <w:rPr>
          <w:color w:val="auto"/>
        </w:rPr>
      </w:r>
      <w:r/>
    </w:p>
    <w:p>
      <w:pPr>
        <w:jc w:val="center"/>
        <w:rPr>
          <w:rFonts w:ascii="宋体" w:hAnsi="宋体"/>
          <w:b/>
          <w:color w:val="auto"/>
          <w:sz w:val="36"/>
          <w:szCs w:val="21"/>
        </w:rPr>
      </w:pPr>
      <w:r>
        <w:rPr>
          <w:rFonts w:ascii="宋体" w:hAnsi="宋体"/>
          <w:b/>
          <w:color w:val="auto"/>
          <w:sz w:val="36"/>
          <w:szCs w:val="21"/>
        </w:rPr>
      </w:r>
      <w:r>
        <w:rPr>
          <w:color w:val="auto"/>
        </w:rPr>
      </w:r>
      <w:r/>
    </w:p>
    <w:p>
      <w:pPr>
        <w:jc w:val="center"/>
        <w:rPr>
          <w:rFonts w:ascii="宋体" w:hAnsi="宋体"/>
          <w:b/>
          <w:color w:val="auto"/>
          <w:sz w:val="36"/>
          <w:szCs w:val="21"/>
        </w:rPr>
      </w:pPr>
      <w:r>
        <w:rPr>
          <w:rFonts w:ascii="宋体" w:hAnsi="宋体"/>
          <w:b/>
          <w:color w:val="auto"/>
          <w:sz w:val="36"/>
          <w:szCs w:val="21"/>
        </w:rPr>
      </w:r>
      <w:r>
        <w:rPr>
          <w:color w:val="auto"/>
        </w:rPr>
      </w:r>
      <w:r/>
    </w:p>
    <w:p>
      <w:pPr>
        <w:jc w:val="center"/>
        <w:rPr>
          <w:rFonts w:ascii="宋体" w:hAnsi="宋体"/>
          <w:b/>
          <w:color w:val="auto"/>
          <w:sz w:val="36"/>
          <w:szCs w:val="21"/>
        </w:rPr>
      </w:pPr>
      <w:r>
        <w:rPr>
          <w:rFonts w:ascii="宋体" w:hAnsi="宋体"/>
          <w:b/>
          <w:color w:val="auto"/>
          <w:sz w:val="36"/>
          <w:szCs w:val="21"/>
        </w:rPr>
      </w:r>
      <w:r>
        <w:rPr>
          <w:color w:val="auto"/>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color w:val="auto"/>
        </w:rPr>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color w:val="auto"/>
        </w:rPr>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（加盖CA电子公章）</w:t>
      </w:r>
      <w:r>
        <w:rPr>
          <w:color w:val="auto"/>
        </w:rPr>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color w:val="auto"/>
        </w:rPr>
      </w:r>
      <w:r/>
    </w:p>
    <w:p>
      <w:pPr>
        <w:jc w:val="center"/>
        <w:spacing w:line="440" w:lineRule="exact"/>
        <w:rPr>
          <w:rFonts w:ascii="宋体" w:hAnsi="宋体"/>
          <w:b/>
          <w:bCs/>
          <w:color w:val="auto"/>
          <w:sz w:val="32"/>
          <w:szCs w:val="32"/>
        </w:rPr>
      </w:pPr>
      <w:r>
        <w:rPr>
          <w:rFonts w:ascii="宋体" w:hAnsi="宋体"/>
          <w:b/>
          <w:bCs/>
          <w:color w:val="auto"/>
          <w:sz w:val="32"/>
          <w:szCs w:val="32"/>
        </w:rPr>
      </w:r>
      <w:r>
        <w:rPr>
          <w:color w:val="auto"/>
        </w:rPr>
      </w:r>
      <w:r/>
    </w:p>
    <w:p>
      <w:pPr>
        <w:spacing w:line="440" w:lineRule="exact"/>
        <w:rPr>
          <w:rFonts w:ascii="宋体" w:hAnsi="宋体"/>
          <w:color w:val="auto"/>
          <w:szCs w:val="21"/>
        </w:rPr>
      </w:pPr>
      <w:r>
        <w:rPr>
          <w:rFonts w:ascii="宋体" w:hAnsi="宋体"/>
          <w:color w:val="auto"/>
          <w:szCs w:val="21"/>
        </w:rPr>
      </w:r>
      <w:r>
        <w:rPr>
          <w:color w:val="auto"/>
        </w:rPr>
      </w:r>
      <w:r/>
    </w:p>
    <w:p>
      <w:pPr>
        <w:rPr>
          <w:rFonts w:ascii="宋体" w:hAnsi="宋体"/>
          <w:b/>
          <w:color w:val="auto"/>
          <w:sz w:val="36"/>
          <w:szCs w:val="21"/>
          <w:u w:val="single"/>
        </w:rPr>
      </w:pPr>
      <w:r>
        <w:rPr>
          <w:rFonts w:ascii="宋体" w:hAnsi="宋体"/>
          <w:b/>
          <w:color w:val="auto"/>
          <w:sz w:val="36"/>
          <w:szCs w:val="21"/>
          <w:u w:val="single"/>
        </w:rPr>
      </w:r>
      <w:r>
        <w:rPr>
          <w:color w:val="auto"/>
        </w:rPr>
      </w:r>
      <w:r/>
    </w:p>
    <w:p>
      <w:pPr>
        <w:pStyle w:val="1016"/>
        <w:ind w:firstLine="600"/>
        <w:rPr>
          <w:color w:val="auto"/>
        </w:rPr>
      </w:pPr>
      <w:r>
        <w:rPr>
          <w:color w:val="auto"/>
          <w:lang w:eastAsia="zh-CN"/>
        </w:rPr>
      </w:r>
      <w:r>
        <w:rPr>
          <w:color w:val="auto"/>
        </w:rPr>
      </w:r>
      <w:r/>
    </w:p>
    <w:p>
      <w:pPr>
        <w:pStyle w:val="1016"/>
        <w:ind w:firstLine="600"/>
        <w:rPr>
          <w:color w:val="auto"/>
        </w:rPr>
      </w:pPr>
      <w:r>
        <w:rPr>
          <w:color w:val="auto"/>
          <w:lang w:eastAsia="zh-CN"/>
        </w:rPr>
      </w:r>
      <w:r>
        <w:rPr>
          <w:color w:val="auto"/>
        </w:rPr>
      </w:r>
      <w:r/>
    </w:p>
    <w:p>
      <w:pPr>
        <w:jc w:val="center"/>
        <w:spacing w:line="440" w:lineRule="exact"/>
        <w:rPr>
          <w:rFonts w:ascii="宋体" w:hAnsi="宋体"/>
          <w:b/>
          <w:bCs/>
          <w:color w:val="auto"/>
          <w:sz w:val="32"/>
          <w:szCs w:val="32"/>
        </w:rPr>
      </w:pPr>
      <w:r>
        <w:rPr>
          <w:rFonts w:hint="eastAsia" w:ascii="宋体" w:hAnsi="宋体"/>
          <w:b/>
          <w:bCs/>
          <w:color w:val="auto"/>
          <w:sz w:val="32"/>
          <w:szCs w:val="32"/>
        </w:rPr>
        <w:t xml:space="preserve">投标文件目录</w:t>
      </w:r>
      <w:r>
        <w:rPr>
          <w:color w:val="auto"/>
        </w:rPr>
      </w:r>
      <w:r/>
    </w:p>
    <w:p>
      <w:pPr>
        <w:ind w:left="480"/>
        <w:spacing w:line="440" w:lineRule="exact"/>
        <w:rPr>
          <w:rFonts w:ascii="仿宋" w:hAnsi="仿宋" w:eastAsia="仿宋"/>
          <w:b/>
          <w:color w:val="auto"/>
          <w:sz w:val="28"/>
          <w:szCs w:val="28"/>
        </w:rPr>
      </w:pPr>
      <w:r>
        <w:rPr>
          <w:rFonts w:hint="eastAsia" w:ascii="仿宋" w:hAnsi="仿宋" w:eastAsia="仿宋"/>
          <w:b/>
          <w:color w:val="auto"/>
          <w:sz w:val="28"/>
          <w:szCs w:val="28"/>
        </w:rPr>
        <w:t xml:space="preserve">一、基本目录</w:t>
      </w:r>
      <w:r>
        <w:rPr>
          <w:color w:val="auto"/>
        </w:rPr>
      </w:r>
      <w:r/>
    </w:p>
    <w:p>
      <w:pPr>
        <w:ind w:left="480"/>
        <w:spacing w:line="440" w:lineRule="exact"/>
        <w:rPr>
          <w:rFonts w:ascii="仿宋" w:hAnsi="仿宋" w:eastAsia="仿宋"/>
          <w:color w:val="auto"/>
          <w:sz w:val="28"/>
          <w:szCs w:val="28"/>
        </w:rPr>
      </w:pPr>
      <w:r>
        <w:rPr>
          <w:rFonts w:hint="eastAsia" w:ascii="仿宋" w:hAnsi="仿宋" w:eastAsia="仿宋"/>
          <w:color w:val="auto"/>
          <w:sz w:val="28"/>
          <w:szCs w:val="28"/>
        </w:rPr>
        <w:t xml:space="preserve">1.开标一览表（格式见附件</w:t>
      </w: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color w:val="auto"/>
        </w:rPr>
      </w:r>
      <w:r/>
    </w:p>
    <w:p>
      <w:pPr>
        <w:ind w:left="480"/>
        <w:spacing w:line="44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投标分项报价表（格式见</w:t>
      </w:r>
      <w:r>
        <w:rPr>
          <w:rFonts w:ascii="仿宋" w:hAnsi="仿宋" w:eastAsia="仿宋"/>
          <w:color w:val="auto"/>
          <w:sz w:val="28"/>
          <w:szCs w:val="28"/>
        </w:rPr>
        <w:t xml:space="preserve">附件2</w:t>
      </w:r>
      <w:r>
        <w:rPr>
          <w:rFonts w:hint="eastAsia" w:ascii="仿宋" w:hAnsi="仿宋" w:eastAsia="仿宋"/>
          <w:color w:val="auto"/>
          <w:sz w:val="28"/>
          <w:szCs w:val="28"/>
        </w:rPr>
        <w:t xml:space="preserve">）</w:t>
      </w:r>
      <w:r>
        <w:rPr>
          <w:color w:val="auto"/>
        </w:rPr>
      </w:r>
      <w:r/>
    </w:p>
    <w:p>
      <w:pPr>
        <w:ind w:left="480"/>
        <w:spacing w:line="440" w:lineRule="exact"/>
        <w:rPr>
          <w:rFonts w:ascii="仿宋" w:hAnsi="仿宋" w:eastAsia="仿宋"/>
          <w:b/>
          <w:color w:val="auto"/>
          <w:sz w:val="28"/>
          <w:szCs w:val="28"/>
        </w:rPr>
      </w:pPr>
      <w:r>
        <w:rPr>
          <w:rFonts w:hint="eastAsia" w:ascii="仿宋" w:hAnsi="仿宋" w:eastAsia="仿宋"/>
          <w:b/>
          <w:color w:val="auto"/>
          <w:sz w:val="28"/>
          <w:szCs w:val="28"/>
        </w:rPr>
        <w:t xml:space="preserve">二</w:t>
      </w:r>
      <w:r>
        <w:rPr>
          <w:rFonts w:ascii="仿宋" w:hAnsi="仿宋" w:eastAsia="仿宋"/>
          <w:b/>
          <w:color w:val="auto"/>
          <w:sz w:val="28"/>
          <w:szCs w:val="28"/>
        </w:rPr>
        <w:t xml:space="preserve">、资格审查内容</w:t>
      </w:r>
      <w:r>
        <w:rPr>
          <w:color w:val="auto"/>
        </w:rPr>
      </w:r>
      <w:r/>
    </w:p>
    <w:p>
      <w:pPr>
        <w:ind w:firstLine="560"/>
        <w:spacing w:line="440" w:lineRule="exact"/>
        <w:rPr>
          <w:rFonts w:ascii="宋体" w:hAnsi="宋体" w:eastAsia="仿宋"/>
          <w:b/>
          <w:color w:val="auto"/>
          <w:sz w:val="30"/>
          <w:szCs w:val="30"/>
        </w:rPr>
      </w:pPr>
      <w:r>
        <w:rPr>
          <w:rFonts w:hint="eastAsia" w:ascii="仿宋" w:hAnsi="仿宋" w:eastAsia="仿宋"/>
          <w:color w:val="auto"/>
          <w:sz w:val="28"/>
          <w:szCs w:val="28"/>
        </w:rPr>
        <w:t xml:space="preserve">1</w:t>
      </w:r>
      <w:r>
        <w:rPr>
          <w:rFonts w:ascii="仿宋" w:hAnsi="仿宋" w:eastAsia="仿宋"/>
          <w:color w:val="auto"/>
          <w:sz w:val="28"/>
          <w:szCs w:val="28"/>
        </w:rPr>
        <w:t xml:space="preserve">.</w:t>
      </w:r>
      <w:r>
        <w:rPr>
          <w:rFonts w:hint="eastAsia" w:ascii="仿宋" w:hAnsi="仿宋" w:eastAsia="仿宋"/>
          <w:color w:val="auto"/>
          <w:sz w:val="28"/>
          <w:szCs w:val="28"/>
        </w:rPr>
        <w:t xml:space="preserve">投标人符合《中华人民共和国政府采购法》第二十二条规定条件的声明函（格式见附件3）</w:t>
      </w:r>
      <w:r>
        <w:rPr>
          <w:color w:val="auto"/>
        </w:rPr>
      </w:r>
      <w:r/>
    </w:p>
    <w:p>
      <w:pPr>
        <w:pStyle w:val="1248"/>
        <w:ind w:firstLine="560"/>
        <w:jc w:val="both"/>
        <w:spacing w:before="0" w:beforeAutospacing="0" w:after="0" w:afterAutospacing="0" w:line="44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w:t>
      </w:r>
      <w:r>
        <w:rPr>
          <w:rFonts w:hint="eastAsia" w:ascii="仿宋" w:hAnsi="仿宋" w:eastAsia="仿宋"/>
          <w:color w:val="auto"/>
          <w:sz w:val="28"/>
          <w:szCs w:val="28"/>
        </w:rPr>
        <w:t xml:space="preserve">特定资格要求的证明文件（如果本项目对投标人</w:t>
      </w:r>
      <w:r>
        <w:rPr>
          <w:rFonts w:ascii="仿宋" w:hAnsi="仿宋" w:eastAsia="仿宋"/>
          <w:color w:val="auto"/>
          <w:sz w:val="28"/>
          <w:szCs w:val="28"/>
        </w:rPr>
        <w:t xml:space="preserve">做出特定资格要求的</w:t>
      </w:r>
      <w:r>
        <w:rPr>
          <w:rFonts w:hint="eastAsia" w:ascii="仿宋" w:hAnsi="仿宋" w:eastAsia="仿宋"/>
          <w:color w:val="auto"/>
          <w:sz w:val="28"/>
          <w:szCs w:val="28"/>
        </w:rPr>
        <w:t xml:space="preserve">，必须提供）</w:t>
      </w:r>
      <w:r>
        <w:rPr>
          <w:color w:val="auto"/>
        </w:rPr>
      </w:r>
      <w:r/>
    </w:p>
    <w:p>
      <w:pPr>
        <w:pStyle w:val="1248"/>
        <w:ind w:firstLine="560"/>
        <w:jc w:val="both"/>
        <w:spacing w:before="0" w:beforeAutospacing="0" w:after="0" w:afterAutospacing="0" w:line="44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3.</w:t>
      </w:r>
      <w:r>
        <w:rPr>
          <w:rFonts w:ascii="仿宋" w:hAnsi="仿宋" w:eastAsia="仿宋"/>
          <w:color w:val="auto"/>
          <w:sz w:val="28"/>
          <w:szCs w:val="28"/>
        </w:rPr>
        <w:t xml:space="preserve">提供有效的营业执照</w:t>
      </w:r>
      <w:r>
        <w:rPr>
          <w:rFonts w:hint="eastAsia" w:ascii="仿宋" w:hAnsi="仿宋" w:eastAsia="仿宋"/>
          <w:color w:val="auto"/>
          <w:sz w:val="28"/>
          <w:szCs w:val="28"/>
        </w:rPr>
        <w:t xml:space="preserve">复印件并加盖</w:t>
      </w:r>
      <w:r>
        <w:rPr>
          <w:rFonts w:ascii="仿宋" w:hAnsi="仿宋" w:eastAsia="仿宋"/>
          <w:color w:val="auto"/>
          <w:sz w:val="28"/>
          <w:szCs w:val="28"/>
        </w:rPr>
        <w:t xml:space="preserve">公章</w:t>
      </w:r>
      <w:r>
        <w:rPr>
          <w:color w:val="auto"/>
        </w:rPr>
      </w:r>
      <w:r/>
    </w:p>
    <w:p>
      <w:pPr>
        <w:pStyle w:val="1248"/>
        <w:ind w:firstLine="560"/>
        <w:jc w:val="both"/>
        <w:spacing w:before="0" w:beforeAutospacing="0" w:after="0" w:afterAutospacing="0" w:line="440" w:lineRule="exact"/>
        <w:widowControl w:val="off"/>
        <w:rPr>
          <w:rFonts w:ascii="仿宋" w:hAnsi="仿宋" w:eastAsia="仿宋"/>
          <w:color w:val="auto"/>
          <w:sz w:val="28"/>
          <w:szCs w:val="28"/>
        </w:rPr>
      </w:pPr>
      <w:r>
        <w:rPr>
          <w:rFonts w:ascii="仿宋" w:hAnsi="仿宋" w:eastAsia="仿宋"/>
          <w:color w:val="auto"/>
          <w:sz w:val="28"/>
          <w:szCs w:val="28"/>
        </w:rPr>
        <w:t xml:space="preserve">4.</w:t>
      </w:r>
      <w:r>
        <w:rPr>
          <w:rFonts w:hint="eastAsia" w:ascii="仿宋" w:hAnsi="仿宋" w:eastAsia="仿宋"/>
          <w:color w:val="auto"/>
          <w:sz w:val="28"/>
          <w:szCs w:val="28"/>
        </w:rPr>
        <w:t xml:space="preserve">法定代表人身份证明</w:t>
      </w:r>
      <w:r>
        <w:rPr>
          <w:rFonts w:ascii="仿宋" w:hAnsi="仿宋" w:eastAsia="仿宋"/>
          <w:color w:val="auto"/>
          <w:sz w:val="28"/>
          <w:szCs w:val="28"/>
        </w:rPr>
        <w:t xml:space="preserve">（格式</w:t>
      </w:r>
      <w:r>
        <w:rPr>
          <w:rFonts w:hint="eastAsia" w:ascii="仿宋" w:hAnsi="仿宋" w:eastAsia="仿宋"/>
          <w:color w:val="auto"/>
          <w:sz w:val="28"/>
          <w:szCs w:val="28"/>
        </w:rPr>
        <w:t xml:space="preserve">见附件4</w:t>
      </w:r>
      <w:r>
        <w:rPr>
          <w:rFonts w:ascii="仿宋" w:hAnsi="仿宋" w:eastAsia="仿宋"/>
          <w:color w:val="auto"/>
          <w:sz w:val="28"/>
          <w:szCs w:val="28"/>
        </w:rPr>
        <w:t xml:space="preserve">）</w:t>
      </w:r>
      <w:r>
        <w:rPr>
          <w:color w:val="auto"/>
        </w:rPr>
      </w:r>
      <w:r/>
    </w:p>
    <w:p>
      <w:pPr>
        <w:pStyle w:val="1248"/>
        <w:ind w:firstLine="560"/>
        <w:jc w:val="both"/>
        <w:spacing w:before="0" w:beforeAutospacing="0" w:after="0" w:afterAutospacing="0" w:line="44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5.</w:t>
      </w:r>
      <w:r>
        <w:rPr>
          <w:rFonts w:eastAsia="方正仿宋_GBK"/>
          <w:color w:val="auto"/>
          <w:sz w:val="28"/>
          <w:szCs w:val="28"/>
          <w:lang w:val="zh-CN"/>
        </w:rPr>
        <w:t xml:space="preserve">法定代表人授权委托书</w:t>
      </w:r>
      <w:r>
        <w:rPr>
          <w:rFonts w:hint="eastAsia" w:ascii="仿宋" w:hAnsi="仿宋" w:eastAsia="仿宋"/>
          <w:color w:val="auto"/>
          <w:sz w:val="28"/>
          <w:szCs w:val="28"/>
        </w:rPr>
        <w:t xml:space="preserve">（格式见附件5）</w:t>
      </w:r>
      <w:r>
        <w:rPr>
          <w:color w:val="auto"/>
        </w:rPr>
      </w:r>
      <w:r/>
    </w:p>
    <w:p>
      <w:pPr>
        <w:ind w:firstLine="560"/>
        <w:spacing w:line="44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rPr>
        <w:t xml:space="preserve">6.投标函（格式见附件6）</w:t>
      </w:r>
      <w:r>
        <w:rPr>
          <w:color w:val="auto"/>
        </w:rPr>
      </w:r>
      <w:r/>
    </w:p>
    <w:p>
      <w:pPr>
        <w:ind w:firstLine="560"/>
        <w:spacing w:line="440" w:lineRule="exact"/>
        <w:rPr>
          <w:color w:val="auto"/>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7.中小微企业声明函（如果本项目专门面向中小微型企业采购，则必须提供。格式见附件9）</w:t>
      </w:r>
      <w:r>
        <w:rPr>
          <w:color w:val="auto"/>
        </w:rPr>
      </w:r>
      <w:r/>
    </w:p>
    <w:p>
      <w:pPr>
        <w:ind w:firstLine="560"/>
        <w:spacing w:line="44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8.残疾人福利性单位声明函（如果本项目专门面向中小微型企业采购，供应商为残疾人福利性单位并提供本单位制造的货物，或者提供其他残疾人福利性单位制造的货物，则必须提供。格式见附件10）</w:t>
      </w:r>
      <w:r>
        <w:rPr>
          <w:color w:val="auto"/>
        </w:rPr>
      </w:r>
      <w:r/>
    </w:p>
    <w:p>
      <w:pPr>
        <w:spacing w:line="44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备注：上述“资格审查内容”中1、3、4、6条投标人必须在投标文件中提供相关材料，否则作无效投标处理；2、5、7、8条如招标文件要求必须提供相关材料而未提供的，作无效投标处理。</w:t>
      </w:r>
      <w:r>
        <w:rPr>
          <w:color w:val="auto"/>
        </w:rPr>
      </w:r>
      <w:r/>
    </w:p>
    <w:p>
      <w:pPr>
        <w:ind w:left="480"/>
        <w:spacing w:line="440" w:lineRule="exact"/>
        <w:rPr>
          <w:rFonts w:ascii="仿宋" w:hAnsi="仿宋" w:eastAsia="仿宋"/>
          <w:b/>
          <w:bCs/>
          <w:color w:val="auto"/>
          <w:sz w:val="28"/>
          <w:szCs w:val="28"/>
        </w:rPr>
      </w:pPr>
      <w:r>
        <w:rPr>
          <w:rFonts w:hint="eastAsia" w:ascii="仿宋" w:hAnsi="仿宋" w:eastAsia="仿宋"/>
          <w:b/>
          <w:color w:val="auto"/>
          <w:sz w:val="28"/>
          <w:szCs w:val="28"/>
        </w:rPr>
        <w:t xml:space="preserve">三</w:t>
      </w:r>
      <w:r>
        <w:rPr>
          <w:rFonts w:ascii="仿宋" w:hAnsi="仿宋" w:eastAsia="仿宋"/>
          <w:b/>
          <w:color w:val="auto"/>
          <w:sz w:val="28"/>
          <w:szCs w:val="28"/>
        </w:rPr>
        <w:t xml:space="preserve">、</w:t>
      </w:r>
      <w:r>
        <w:rPr>
          <w:rFonts w:hint="eastAsia" w:ascii="仿宋" w:hAnsi="仿宋" w:eastAsia="仿宋"/>
          <w:b/>
          <w:color w:val="auto"/>
          <w:sz w:val="28"/>
          <w:szCs w:val="28"/>
        </w:rPr>
        <w:t xml:space="preserve">符合性</w:t>
      </w:r>
      <w:r>
        <w:rPr>
          <w:rFonts w:ascii="仿宋" w:hAnsi="仿宋" w:eastAsia="仿宋"/>
          <w:b/>
          <w:color w:val="auto"/>
          <w:sz w:val="28"/>
          <w:szCs w:val="28"/>
        </w:rPr>
        <w:t xml:space="preserve">审查内容</w:t>
      </w:r>
      <w:r>
        <w:rPr>
          <w:color w:val="auto"/>
        </w:rPr>
      </w:r>
      <w:r/>
    </w:p>
    <w:p>
      <w:pPr>
        <w:ind w:firstLine="560"/>
        <w:spacing w:line="440" w:lineRule="exact"/>
        <w:rPr>
          <w:rFonts w:ascii="仿宋" w:hAnsi="仿宋" w:eastAsia="仿宋"/>
          <w:b/>
          <w:bCs/>
          <w:color w:val="auto"/>
          <w:sz w:val="28"/>
          <w:szCs w:val="28"/>
        </w:rPr>
      </w:pPr>
      <w:r>
        <w:rPr>
          <w:rFonts w:hint="eastAsia" w:ascii="仿宋" w:hAnsi="仿宋" w:eastAsia="仿宋"/>
          <w:b/>
          <w:bCs/>
          <w:color w:val="auto"/>
          <w:sz w:val="28"/>
          <w:szCs w:val="28"/>
        </w:rPr>
        <w:t xml:space="preserve">投标人必须</w:t>
      </w:r>
      <w:r>
        <w:rPr>
          <w:rFonts w:ascii="仿宋" w:hAnsi="仿宋" w:eastAsia="仿宋"/>
          <w:b/>
          <w:bCs/>
          <w:color w:val="auto"/>
          <w:sz w:val="28"/>
          <w:szCs w:val="28"/>
        </w:rPr>
        <w:t xml:space="preserve">对</w:t>
      </w:r>
      <w:r>
        <w:rPr>
          <w:rFonts w:hint="eastAsia" w:ascii="仿宋" w:hAnsi="仿宋" w:eastAsia="仿宋"/>
          <w:b/>
          <w:bCs/>
          <w:color w:val="auto"/>
          <w:sz w:val="28"/>
          <w:szCs w:val="28"/>
        </w:rPr>
        <w:t xml:space="preserve">采购需求中</w:t>
      </w:r>
      <w:r>
        <w:rPr>
          <w:rFonts w:ascii="仿宋" w:hAnsi="仿宋" w:eastAsia="仿宋"/>
          <w:b/>
          <w:bCs/>
          <w:color w:val="auto"/>
          <w:sz w:val="28"/>
          <w:szCs w:val="28"/>
        </w:rPr>
        <w:t xml:space="preserve">加下划线的实质性要求</w:t>
      </w:r>
      <w:r>
        <w:rPr>
          <w:rFonts w:hint="eastAsia" w:ascii="仿宋" w:hAnsi="仿宋" w:eastAsia="仿宋"/>
          <w:b/>
          <w:bCs/>
          <w:color w:val="auto"/>
          <w:sz w:val="28"/>
          <w:szCs w:val="28"/>
        </w:rPr>
        <w:t xml:space="preserve">逐条</w:t>
      </w:r>
      <w:r>
        <w:rPr>
          <w:rFonts w:ascii="仿宋" w:hAnsi="仿宋" w:eastAsia="仿宋"/>
          <w:b/>
          <w:bCs/>
          <w:color w:val="auto"/>
          <w:sz w:val="28"/>
          <w:szCs w:val="28"/>
        </w:rPr>
        <w:t xml:space="preserve">做出响应，并按照招标</w:t>
      </w:r>
      <w:r>
        <w:rPr>
          <w:rFonts w:hint="eastAsia" w:ascii="仿宋" w:hAnsi="仿宋" w:eastAsia="仿宋"/>
          <w:b/>
          <w:bCs/>
          <w:color w:val="auto"/>
          <w:sz w:val="28"/>
          <w:szCs w:val="28"/>
        </w:rPr>
        <w:t xml:space="preserve">文件</w:t>
      </w:r>
      <w:r>
        <w:rPr>
          <w:rFonts w:ascii="仿宋" w:hAnsi="仿宋" w:eastAsia="仿宋"/>
          <w:b/>
          <w:bCs/>
          <w:color w:val="auto"/>
          <w:sz w:val="28"/>
          <w:szCs w:val="28"/>
        </w:rPr>
        <w:t xml:space="preserve">要求提供</w:t>
      </w:r>
      <w:r>
        <w:rPr>
          <w:rFonts w:hint="eastAsia" w:ascii="仿宋" w:hAnsi="仿宋" w:eastAsia="仿宋"/>
          <w:b/>
          <w:bCs/>
          <w:color w:val="auto"/>
          <w:sz w:val="28"/>
          <w:szCs w:val="28"/>
        </w:rPr>
        <w:t xml:space="preserve">佐证材料，否则作无效投标处理。</w:t>
      </w:r>
      <w:r>
        <w:rPr>
          <w:color w:val="auto"/>
        </w:rPr>
      </w:r>
      <w:r/>
    </w:p>
    <w:p>
      <w:pPr>
        <w:ind w:firstLine="560"/>
        <w:spacing w:line="440" w:lineRule="exact"/>
        <w:rPr>
          <w:rFonts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技术要求响应及偏离表（格式见</w:t>
      </w:r>
      <w:r>
        <w:rPr>
          <w:rFonts w:ascii="仿宋" w:hAnsi="仿宋" w:eastAsia="仿宋"/>
          <w:color w:val="auto"/>
          <w:sz w:val="28"/>
          <w:szCs w:val="28"/>
        </w:rPr>
        <w:t xml:space="preserve">附件</w:t>
      </w:r>
      <w:r>
        <w:rPr>
          <w:rFonts w:hint="eastAsia" w:ascii="仿宋" w:hAnsi="仿宋" w:eastAsia="仿宋"/>
          <w:color w:val="auto"/>
          <w:sz w:val="28"/>
          <w:szCs w:val="28"/>
        </w:rPr>
        <w:t xml:space="preserve">7）</w:t>
      </w:r>
      <w:r>
        <w:rPr>
          <w:color w:val="auto"/>
        </w:rPr>
      </w:r>
      <w:r/>
    </w:p>
    <w:p>
      <w:pPr>
        <w:ind w:firstLine="560"/>
        <w:spacing w:line="44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商务要求响应及偏离表（格式见</w:t>
      </w:r>
      <w:r>
        <w:rPr>
          <w:rFonts w:ascii="仿宋" w:hAnsi="仿宋" w:eastAsia="仿宋"/>
          <w:color w:val="auto"/>
          <w:sz w:val="28"/>
          <w:szCs w:val="28"/>
        </w:rPr>
        <w:t xml:space="preserve">附件</w:t>
      </w:r>
      <w:r>
        <w:rPr>
          <w:rFonts w:hint="eastAsia" w:ascii="仿宋" w:hAnsi="仿宋" w:eastAsia="仿宋"/>
          <w:color w:val="auto"/>
          <w:sz w:val="28"/>
          <w:szCs w:val="28"/>
        </w:rPr>
        <w:t xml:space="preserve">8）</w:t>
      </w:r>
      <w:r>
        <w:rPr>
          <w:color w:val="auto"/>
        </w:rPr>
      </w:r>
      <w:r/>
    </w:p>
    <w:p>
      <w:pPr>
        <w:ind w:firstLine="480"/>
        <w:spacing w:line="44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四、价格扣除证明文件</w:t>
      </w:r>
      <w:r>
        <w:rPr>
          <w:color w:val="auto"/>
        </w:rPr>
      </w:r>
      <w:r/>
    </w:p>
    <w:p>
      <w:pPr>
        <w:ind w:firstLine="560"/>
        <w:spacing w:line="44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1.中小微企业声明函（格式见附件</w:t>
      </w:r>
      <w:r>
        <w:rPr>
          <w:rFonts w:hint="eastAsia" w:ascii="仿宋" w:hAnsi="仿宋" w:eastAsia="仿宋" w:cs="仿宋"/>
          <w:color w:val="auto"/>
          <w:sz w:val="28"/>
        </w:rPr>
        <w:t xml:space="preserve">9</w:t>
      </w:r>
      <w:r>
        <w:rPr>
          <w:rFonts w:ascii="仿宋" w:hAnsi="仿宋" w:eastAsia="仿宋" w:cs="仿宋"/>
          <w:color w:val="auto"/>
          <w:sz w:val="28"/>
        </w:rPr>
        <w:t xml:space="preserve">）</w:t>
      </w:r>
      <w:r>
        <w:rPr>
          <w:color w:val="auto"/>
        </w:rPr>
      </w:r>
      <w:r/>
    </w:p>
    <w:p>
      <w:pPr>
        <w:ind w:firstLine="560"/>
        <w:spacing w:line="440" w:lineRule="exac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2.残疾人福利性单位声明函（格式见附件</w:t>
      </w:r>
      <w:r>
        <w:rPr>
          <w:rFonts w:hint="eastAsia" w:ascii="仿宋" w:hAnsi="仿宋" w:eastAsia="仿宋" w:cs="仿宋"/>
          <w:color w:val="auto"/>
          <w:sz w:val="28"/>
        </w:rPr>
        <w:t xml:space="preserve">10</w:t>
      </w:r>
      <w:r>
        <w:rPr>
          <w:rFonts w:ascii="仿宋" w:hAnsi="仿宋" w:eastAsia="仿宋" w:cs="仿宋"/>
          <w:color w:val="auto"/>
          <w:sz w:val="28"/>
        </w:rPr>
        <w:t xml:space="preserve">）</w:t>
      </w:r>
      <w:r>
        <w:rPr>
          <w:rFonts w:hint="eastAsia" w:ascii="仿宋" w:hAnsi="仿宋" w:eastAsia="仿宋" w:cs="仿宋"/>
          <w:color w:val="auto"/>
          <w:sz w:val="28"/>
        </w:rPr>
        <w:t xml:space="preserve">或</w:t>
      </w:r>
      <w:r>
        <w:rPr>
          <w:rFonts w:hint="eastAsia" w:ascii="仿宋" w:hAnsi="仿宋" w:eastAsia="仿宋"/>
          <w:color w:val="auto"/>
          <w:sz w:val="28"/>
          <w:szCs w:val="28"/>
        </w:rPr>
        <w:t xml:space="preserve">属于监狱企业的证明文件</w:t>
      </w:r>
      <w:r>
        <w:rPr>
          <w:color w:val="auto"/>
        </w:rPr>
      </w:r>
      <w:r/>
    </w:p>
    <w:p>
      <w:pPr>
        <w:ind w:firstLine="560"/>
        <w:spacing w:line="440" w:lineRule="exac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3.关于符合本国产品标准的声明函（格式见附件</w:t>
      </w:r>
      <w:r>
        <w:rPr>
          <w:rFonts w:ascii="仿宋" w:hAnsi="仿宋" w:eastAsia="仿宋" w:cs="仿宋"/>
          <w:color w:val="auto"/>
          <w:sz w:val="28"/>
        </w:rPr>
        <w:t xml:space="preserve">1</w:t>
      </w:r>
      <w:r>
        <w:rPr>
          <w:rFonts w:hint="eastAsia" w:ascii="仿宋" w:hAnsi="仿宋" w:eastAsia="仿宋" w:cs="仿宋"/>
          <w:color w:val="auto"/>
          <w:sz w:val="28"/>
        </w:rPr>
        <w:t xml:space="preserve">1）</w:t>
      </w:r>
      <w:r>
        <w:rPr>
          <w:color w:val="auto"/>
        </w:rPr>
      </w:r>
      <w:r/>
    </w:p>
    <w:p>
      <w:pPr>
        <w:spacing w:line="480" w:lineRule="exact"/>
        <w:rPr>
          <w:rFonts w:ascii="仿宋" w:hAnsi="仿宋" w:eastAsia="仿宋"/>
          <w:b/>
          <w:color w:val="auto"/>
          <w:sz w:val="28"/>
          <w:szCs w:val="28"/>
        </w:rPr>
      </w:pPr>
      <w:r>
        <w:rPr>
          <w:rFonts w:ascii="仿宋" w:hAnsi="仿宋" w:eastAsia="仿宋"/>
          <w:b/>
          <w:color w:val="auto"/>
          <w:sz w:val="28"/>
          <w:szCs w:val="28"/>
        </w:rPr>
        <w:br w:type="page" w:clear="all"/>
      </w:r>
      <w:r>
        <w:rPr>
          <w:rFonts w:hint="eastAsia" w:ascii="仿宋" w:hAnsi="仿宋" w:eastAsia="仿宋"/>
          <w:b/>
          <w:color w:val="auto"/>
          <w:sz w:val="28"/>
          <w:szCs w:val="28"/>
        </w:rPr>
        <w:t xml:space="preserve">附件</w:t>
      </w:r>
      <w:r>
        <w:rPr>
          <w:rFonts w:ascii="仿宋" w:hAnsi="仿宋" w:eastAsia="仿宋"/>
          <w:b/>
          <w:color w:val="auto"/>
          <w:sz w:val="28"/>
          <w:szCs w:val="28"/>
        </w:rPr>
        <w:t xml:space="preserve">1 </w:t>
      </w:r>
      <w:r>
        <w:rPr>
          <w:color w:val="auto"/>
        </w:rPr>
      </w:r>
      <w:r/>
    </w:p>
    <w:p>
      <w:pPr>
        <w:jc w:val="center"/>
        <w:spacing w:line="480" w:lineRule="exact"/>
        <w:rPr>
          <w:rFonts w:ascii="仿宋" w:hAnsi="仿宋" w:eastAsia="仿宋"/>
          <w:color w:val="auto"/>
          <w:sz w:val="28"/>
          <w:szCs w:val="28"/>
        </w:rPr>
      </w:pPr>
      <w:r>
        <w:rPr>
          <w:rFonts w:hint="eastAsia" w:ascii="仿宋" w:hAnsi="仿宋" w:eastAsia="仿宋"/>
          <w:b/>
          <w:color w:val="auto"/>
          <w:sz w:val="28"/>
          <w:szCs w:val="28"/>
        </w:rPr>
        <w:t xml:space="preserve">开标一览表</w:t>
      </w:r>
      <w:r>
        <w:rPr>
          <w:color w:val="auto"/>
        </w:rPr>
      </w:r>
      <w:r/>
    </w:p>
    <w:p>
      <w:pPr>
        <w:ind w:firstLine="482"/>
        <w:spacing w:line="480" w:lineRule="exact"/>
        <w:rPr>
          <w:rFonts w:ascii="仿宋" w:hAnsi="仿宋" w:eastAsia="仿宋"/>
          <w:color w:val="auto"/>
          <w:sz w:val="28"/>
          <w:szCs w:val="28"/>
        </w:rPr>
      </w:pPr>
      <w:r>
        <w:rPr>
          <w:rFonts w:hint="eastAsia" w:ascii="仿宋" w:hAnsi="仿宋" w:eastAsia="仿宋"/>
          <w:color w:val="auto"/>
          <w:sz w:val="28"/>
          <w:szCs w:val="28"/>
        </w:rPr>
        <w:t xml:space="preserve">项目名称：</w:t>
      </w:r>
      <w:r>
        <w:rPr>
          <w:color w:val="auto"/>
        </w:rPr>
      </w:r>
      <w:r/>
    </w:p>
    <w:p>
      <w:pPr>
        <w:ind w:firstLine="482"/>
        <w:spacing w:line="480" w:lineRule="exact"/>
        <w:rPr>
          <w:rFonts w:ascii="仿宋" w:hAnsi="仿宋" w:eastAsia="仿宋"/>
          <w:color w:val="auto"/>
          <w:sz w:val="28"/>
          <w:szCs w:val="28"/>
        </w:rPr>
      </w:pPr>
      <w:r>
        <w:rPr>
          <w:rFonts w:hint="eastAsia" w:ascii="仿宋" w:hAnsi="仿宋" w:eastAsia="仿宋"/>
          <w:color w:val="auto"/>
          <w:sz w:val="28"/>
          <w:szCs w:val="28"/>
        </w:rPr>
        <w:t xml:space="preserve">项目编号：                          </w:t>
      </w:r>
      <w:r>
        <w:rPr>
          <w:rFonts w:hint="eastAsia" w:ascii="仿宋" w:hAnsi="仿宋" w:eastAsia="仿宋" w:cs="仿宋"/>
          <w:color w:val="auto"/>
          <w:sz w:val="28"/>
          <w:szCs w:val="28"/>
        </w:rPr>
        <w:t xml:space="preserve">货币单位：人民币元</w:t>
      </w:r>
      <w:r>
        <w:rPr>
          <w:color w:val="auto"/>
        </w:rPr>
      </w:r>
      <w:r/>
    </w:p>
    <w:tbl>
      <w:tblPr>
        <w:tblStyle w:val="9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ascii="仿宋" w:hAnsi="仿宋" w:eastAsia="仿宋"/>
                <w:color w:val="auto"/>
                <w:sz w:val="28"/>
                <w:szCs w:val="28"/>
              </w:rPr>
            </w:pPr>
            <w:r>
              <w:rPr>
                <w:rFonts w:hint="eastAsia" w:ascii="仿宋" w:hAnsi="仿宋" w:eastAsia="仿宋" w:cs="宋体"/>
                <w:color w:val="auto"/>
                <w:sz w:val="28"/>
                <w:szCs w:val="28"/>
              </w:rPr>
              <w:t xml:space="preserve">                      </w:t>
            </w:r>
            <w:r>
              <w:rPr>
                <w:rFonts w:hint="eastAsia" w:ascii="仿宋" w:hAnsi="仿宋" w:eastAsia="仿宋"/>
                <w:color w:val="auto"/>
                <w:sz w:val="28"/>
                <w:szCs w:val="28"/>
              </w:rPr>
              <w:t xml:space="preserve">投标总报价</w:t>
            </w:r>
            <w:r>
              <w:rPr>
                <w:color w:val="auto"/>
              </w:rPr>
            </w:r>
            <w:r/>
          </w:p>
        </w:tc>
      </w:tr>
      <w:tr>
        <w:trPr>
          <w:cantSplit/>
          <w:trHeight w:val="612"/>
        </w:trPr>
        <w:tc>
          <w:tcPr>
            <w:gridSpan w:val="2"/>
            <w:tcW w:w="8886" w:type="dxa"/>
            <w:vAlign w:val="center"/>
            <w:textDirection w:val="lrTb"/>
            <w:noWrap w:val="false"/>
          </w:tcPr>
          <w:p>
            <w:pPr>
              <w:jc w:val="left"/>
              <w:spacing w:line="480" w:lineRule="exact"/>
              <w:rPr>
                <w:rFonts w:ascii="仿宋" w:hAnsi="仿宋" w:eastAsia="仿宋"/>
                <w:color w:val="auto"/>
                <w:sz w:val="28"/>
                <w:szCs w:val="28"/>
              </w:rPr>
            </w:pPr>
            <w:r>
              <w:rPr>
                <w:rFonts w:hint="eastAsia" w:ascii="仿宋" w:hAnsi="仿宋" w:eastAsia="仿宋" w:cs="宋体"/>
                <w:color w:val="auto"/>
                <w:sz w:val="28"/>
                <w:szCs w:val="28"/>
              </w:rPr>
              <w:t xml:space="preserve">小写：</w:t>
            </w:r>
            <w:r>
              <w:rPr>
                <w:rFonts w:hint="eastAsia" w:ascii="仿宋" w:hAnsi="仿宋" w:eastAsia="仿宋" w:cs="宋体"/>
                <w:color w:val="auto"/>
                <w:sz w:val="28"/>
                <w:szCs w:val="28"/>
                <w:u w:val="single"/>
              </w:rPr>
              <w:t xml:space="preserve">                         </w:t>
            </w:r>
            <w:r>
              <w:rPr>
                <w:color w:val="auto"/>
              </w:rPr>
            </w:r>
            <w:r/>
          </w:p>
        </w:tc>
      </w:tr>
      <w:tr>
        <w:trPr>
          <w:cantSplit/>
          <w:trHeight w:val="612"/>
        </w:trPr>
        <w:tc>
          <w:tcPr>
            <w:gridSpan w:val="2"/>
            <w:tcW w:w="8886"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大写：</w:t>
            </w:r>
            <w:r>
              <w:rPr>
                <w:rFonts w:ascii="仿宋" w:hAnsi="仿宋" w:eastAsia="仿宋" w:cs="宋体"/>
                <w:color w:val="auto"/>
                <w:sz w:val="28"/>
                <w:szCs w:val="28"/>
                <w:u w:val="single"/>
              </w:rPr>
              <w:t xml:space="preserve">___</w:t>
            </w:r>
            <w:r>
              <w:rPr>
                <w:rFonts w:hint="eastAsia" w:ascii="仿宋" w:hAnsi="仿宋" w:eastAsia="仿宋" w:cs="宋体"/>
                <w:color w:val="auto"/>
                <w:sz w:val="28"/>
                <w:szCs w:val="28"/>
                <w:u w:val="single"/>
              </w:rPr>
              <w:t xml:space="preserve">                   </w:t>
            </w:r>
            <w:r>
              <w:rPr>
                <w:rFonts w:ascii="仿宋" w:hAnsi="仿宋" w:eastAsia="仿宋" w:cs="宋体"/>
                <w:color w:val="auto"/>
                <w:sz w:val="28"/>
                <w:szCs w:val="28"/>
                <w:u w:val="single"/>
              </w:rPr>
              <w:t xml:space="preserve">___</w:t>
            </w:r>
            <w:r>
              <w:rPr>
                <w:rFonts w:ascii="仿宋" w:hAnsi="仿宋" w:eastAsia="仿宋" w:cs="宋体"/>
                <w:color w:val="auto"/>
                <w:sz w:val="28"/>
                <w:szCs w:val="28"/>
              </w:rPr>
              <w:t xml:space="preserve">整</w:t>
            </w:r>
            <w:r>
              <w:rPr>
                <w:color w:val="auto"/>
              </w:rPr>
            </w:r>
            <w:r/>
          </w:p>
        </w:tc>
      </w:tr>
      <w:tr>
        <w:trPr>
          <w:cantSplit/>
          <w:trHeight w:val="612"/>
        </w:trPr>
        <w:tc>
          <w:tcPr>
            <w:tcW w:w="2481" w:type="dxa"/>
            <w:vAlign w:val="center"/>
            <w:textDirection w:val="lrTb"/>
            <w:noWrap w:val="false"/>
          </w:tcPr>
          <w:p>
            <w:pPr>
              <w:jc w:val="center"/>
              <w:spacing w:line="480" w:lineRule="exact"/>
              <w:rPr>
                <w:rFonts w:ascii="仿宋" w:hAnsi="仿宋" w:eastAsia="仿宋" w:cs="宋体"/>
                <w:color w:val="auto"/>
                <w:sz w:val="28"/>
                <w:szCs w:val="28"/>
              </w:rPr>
            </w:pPr>
            <w:r>
              <w:rPr>
                <w:rFonts w:hint="eastAsia" w:ascii="仿宋" w:hAnsi="仿宋" w:eastAsia="仿宋" w:cs="宋体"/>
                <w:color w:val="auto"/>
                <w:sz w:val="28"/>
                <w:szCs w:val="28"/>
              </w:rPr>
              <w:t xml:space="preserve">核心产品品牌</w:t>
            </w:r>
            <w:r>
              <w:rPr>
                <w:color w:val="auto"/>
              </w:rPr>
            </w:r>
            <w:r/>
          </w:p>
        </w:tc>
        <w:tc>
          <w:tcPr>
            <w:tcW w:w="6405" w:type="dxa"/>
            <w:vAlign w:val="center"/>
            <w:textDirection w:val="lrTb"/>
            <w:noWrap w:val="false"/>
          </w:tcPr>
          <w:p>
            <w:pPr>
              <w:jc w:val="left"/>
              <w:spacing w:line="480" w:lineRule="exact"/>
              <w:rPr>
                <w:rFonts w:ascii="仿宋" w:hAnsi="仿宋" w:eastAsia="仿宋" w:cs="宋体"/>
                <w:color w:val="auto"/>
                <w:sz w:val="28"/>
                <w:szCs w:val="28"/>
              </w:rPr>
            </w:pPr>
            <w:r>
              <w:rPr>
                <w:rFonts w:ascii="仿宋" w:hAnsi="仿宋" w:eastAsia="仿宋" w:cs="宋体"/>
                <w:color w:val="auto"/>
                <w:sz w:val="28"/>
                <w:szCs w:val="28"/>
              </w:rPr>
            </w:r>
            <w:r>
              <w:rPr>
                <w:color w:val="auto"/>
              </w:rPr>
            </w:r>
            <w:r/>
          </w:p>
        </w:tc>
      </w:tr>
    </w:tbl>
    <w:p>
      <w:pP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备注：</w:t>
      </w:r>
      <w:r>
        <w:rPr>
          <w:color w:val="auto"/>
        </w:rPr>
      </w:r>
      <w:r/>
    </w:p>
    <w:p>
      <w:pPr>
        <w:pStyle w:val="1013"/>
        <w:ind w:left="0"/>
        <w:spacing w:line="480" w:lineRule="exact"/>
        <w:rPr>
          <w:rFonts w:hint="default" w:ascii="仿宋" w:hAnsi="仿宋" w:eastAsia="仿宋" w:cs="仿宋"/>
          <w:b/>
          <w:bCs/>
          <w:color w:val="auto"/>
          <w:sz w:val="24"/>
          <w:szCs w:val="21"/>
        </w:rPr>
      </w:pPr>
      <w:r>
        <w:rPr>
          <w:rFonts w:ascii="仿宋" w:hAnsi="仿宋" w:eastAsia="仿宋" w:cs="仿宋"/>
          <w:b/>
          <w:bCs/>
          <w:color w:val="auto"/>
          <w:sz w:val="24"/>
          <w:szCs w:val="21"/>
        </w:rPr>
        <w:t xml:space="preserve">1.本附件格式仅作参考，投标人以苏采云平台实际情况进行填报。</w:t>
      </w:r>
      <w:r>
        <w:rPr>
          <w:color w:val="auto"/>
        </w:rPr>
      </w:r>
      <w:r/>
    </w:p>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2.本次报价为总价，大小写不一致时以大写为准；</w:t>
      </w:r>
      <w:r>
        <w:rPr>
          <w:color w:val="auto"/>
        </w:rPr>
      </w:r>
      <w:r/>
    </w:p>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3.本表中的总报价应与“投标分项报价表”中的总报价一致，如不一致以本表为准。</w:t>
      </w:r>
      <w:r>
        <w:rPr>
          <w:color w:val="auto"/>
        </w:rPr>
      </w:r>
      <w:r/>
    </w:p>
    <w:p>
      <w:pPr>
        <w:pStyle w:val="1013"/>
        <w:ind w:left="0"/>
        <w:spacing w:line="480" w:lineRule="exact"/>
        <w:rPr>
          <w:rFonts w:hint="default" w:ascii="仿宋" w:hAnsi="仿宋" w:eastAsia="仿宋" w:cs="仿宋"/>
          <w:color w:val="auto"/>
          <w:sz w:val="24"/>
          <w:szCs w:val="21"/>
        </w:rPr>
      </w:pPr>
      <w:r>
        <w:rPr>
          <w:rFonts w:hint="default" w:ascii="仿宋" w:hAnsi="仿宋" w:eastAsia="仿宋" w:cs="仿宋"/>
          <w:color w:val="auto"/>
          <w:sz w:val="24"/>
          <w:szCs w:val="21"/>
        </w:rPr>
      </w:r>
      <w:r>
        <w:rPr>
          <w:color w:val="auto"/>
        </w:rPr>
      </w:r>
      <w:r/>
    </w:p>
    <w:p>
      <w:pPr>
        <w:pStyle w:val="1013"/>
        <w:ind w:left="0"/>
        <w:spacing w:line="480" w:lineRule="exact"/>
        <w:rPr>
          <w:rFonts w:hint="default" w:ascii="仿宋" w:hAnsi="仿宋" w:eastAsia="仿宋" w:cs="仿宋"/>
          <w:color w:val="auto"/>
          <w:sz w:val="28"/>
        </w:rPr>
      </w:pPr>
      <w:r>
        <w:rPr>
          <w:rFonts w:ascii="仿宋" w:hAnsi="仿宋" w:eastAsia="仿宋" w:cs="仿宋"/>
          <w:color w:val="auto"/>
          <w:sz w:val="28"/>
        </w:rPr>
        <w:t xml:space="preserve">供应商（公章）：</w:t>
      </w:r>
      <w:r>
        <w:rPr>
          <w:color w:val="auto"/>
        </w:rPr>
      </w:r>
      <w:r/>
    </w:p>
    <w:p>
      <w:pPr>
        <w:pStyle w:val="1013"/>
        <w:ind w:left="0"/>
        <w:spacing w:line="480" w:lineRule="exact"/>
        <w:rPr>
          <w:rFonts w:hint="default" w:ascii="仿宋" w:hAnsi="仿宋" w:eastAsia="仿宋" w:cs="仿宋"/>
          <w:color w:val="auto"/>
          <w:sz w:val="28"/>
        </w:rPr>
      </w:pPr>
      <w:r>
        <w:rPr>
          <w:rFonts w:ascii="仿宋" w:hAnsi="仿宋" w:eastAsia="仿宋" w:cs="仿宋"/>
          <w:color w:val="auto"/>
          <w:sz w:val="28"/>
        </w:rPr>
        <w:t xml:space="preserve">法定代表人或授权代表（签字或盖章）：</w:t>
      </w:r>
      <w:r>
        <w:rPr>
          <w:color w:val="auto"/>
        </w:rPr>
      </w:r>
      <w:r/>
    </w:p>
    <w:p>
      <w:pPr>
        <w:pStyle w:val="1013"/>
        <w:ind w:left="0"/>
        <w:spacing w:line="480" w:lineRule="exact"/>
        <w:rPr>
          <w:rFonts w:hint="default" w:ascii="仿宋" w:hAnsi="仿宋" w:eastAsia="仿宋" w:cs="仿宋"/>
          <w:color w:val="auto"/>
          <w:sz w:val="28"/>
        </w:rPr>
      </w:pPr>
      <w:r>
        <w:rPr>
          <w:rFonts w:ascii="仿宋" w:hAnsi="仿宋" w:eastAsia="仿宋" w:cs="仿宋"/>
          <w:color w:val="auto"/>
          <w:sz w:val="28"/>
        </w:rPr>
        <w:t xml:space="preserve">日期：</w:t>
      </w:r>
      <w:r>
        <w:rPr>
          <w:rFonts w:ascii="仿宋" w:hAnsi="仿宋" w:eastAsia="仿宋" w:cs="仿宋"/>
          <w:color w:val="auto"/>
          <w:sz w:val="28"/>
          <w:u w:val="single"/>
        </w:rPr>
        <w:t xml:space="preserve">        </w:t>
      </w:r>
      <w:r>
        <w:rPr>
          <w:rFonts w:ascii="仿宋" w:hAnsi="仿宋" w:eastAsia="仿宋" w:cs="仿宋"/>
          <w:color w:val="auto"/>
          <w:sz w:val="28"/>
        </w:rPr>
        <w:t xml:space="preserve">年</w:t>
      </w:r>
      <w:r>
        <w:rPr>
          <w:rFonts w:ascii="仿宋" w:hAnsi="仿宋" w:eastAsia="仿宋" w:cs="仿宋"/>
          <w:color w:val="auto"/>
          <w:sz w:val="28"/>
          <w:u w:val="single"/>
        </w:rPr>
        <w:t xml:space="preserve">     </w:t>
      </w:r>
      <w:r>
        <w:rPr>
          <w:rFonts w:ascii="仿宋" w:hAnsi="仿宋" w:eastAsia="仿宋" w:cs="仿宋"/>
          <w:color w:val="auto"/>
          <w:sz w:val="28"/>
        </w:rPr>
        <w:t xml:space="preserve">月</w:t>
      </w:r>
      <w:r>
        <w:rPr>
          <w:rFonts w:ascii="仿宋" w:hAnsi="仿宋" w:eastAsia="仿宋" w:cs="仿宋"/>
          <w:color w:val="auto"/>
          <w:sz w:val="28"/>
          <w:u w:val="single"/>
        </w:rPr>
        <w:t xml:space="preserve">     </w:t>
      </w:r>
      <w:r>
        <w:rPr>
          <w:rFonts w:ascii="仿宋" w:hAnsi="仿宋" w:eastAsia="仿宋" w:cs="仿宋"/>
          <w:color w:val="auto"/>
          <w:sz w:val="28"/>
        </w:rPr>
        <w:t xml:space="preserve">日</w:t>
      </w:r>
      <w:r>
        <w:rPr>
          <w:color w:val="auto"/>
        </w:rPr>
      </w:r>
      <w:r/>
    </w:p>
    <w:p>
      <w:pPr>
        <w:pStyle w:val="1043"/>
        <w:ind w:firstLine="0"/>
        <w:rPr>
          <w:b/>
          <w:color w:val="auto"/>
        </w:rPr>
      </w:pPr>
      <w:r>
        <w:rPr>
          <w:b/>
          <w:color w:val="auto"/>
        </w:rPr>
      </w:r>
      <w:r>
        <w:rPr>
          <w:color w:val="auto"/>
        </w:rPr>
      </w:r>
      <w:r/>
    </w:p>
    <w:p>
      <w:pPr>
        <w:spacing w:line="480" w:lineRule="exact"/>
        <w:rPr>
          <w:rFonts w:ascii="仿宋" w:hAnsi="仿宋" w:eastAsia="仿宋"/>
          <w:b/>
          <w:color w:val="auto"/>
          <w:sz w:val="28"/>
          <w:szCs w:val="28"/>
        </w:rPr>
      </w:pPr>
      <w:r>
        <w:rPr>
          <w:color w:val="auto"/>
        </w:rPr>
        <w:br w:type="page" w:clear="all"/>
      </w:r>
      <w:r>
        <w:rPr>
          <w:rFonts w:hint="eastAsia" w:ascii="仿宋" w:hAnsi="仿宋" w:eastAsia="仿宋"/>
          <w:b/>
          <w:color w:val="auto"/>
          <w:sz w:val="28"/>
          <w:szCs w:val="28"/>
        </w:rPr>
        <w:t xml:space="preserve">附件</w:t>
      </w:r>
      <w:r>
        <w:rPr>
          <w:rFonts w:ascii="仿宋" w:hAnsi="仿宋" w:eastAsia="仿宋"/>
          <w:b/>
          <w:color w:val="auto"/>
          <w:sz w:val="28"/>
          <w:szCs w:val="28"/>
        </w:rPr>
        <w:t xml:space="preserve">2</w:t>
      </w:r>
      <w:r>
        <w:rPr>
          <w:rFonts w:hint="eastAsia" w:ascii="仿宋" w:hAnsi="仿宋" w:eastAsia="仿宋"/>
          <w:b/>
          <w:color w:val="auto"/>
          <w:sz w:val="28"/>
          <w:szCs w:val="28"/>
        </w:rPr>
        <w:t xml:space="preserve"> </w:t>
      </w:r>
      <w:r>
        <w:rPr>
          <w:color w:val="auto"/>
        </w:rPr>
      </w:r>
      <w:r/>
    </w:p>
    <w:p>
      <w:pPr>
        <w:jc w:val="cente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投标分项报价表</w:t>
      </w:r>
      <w:r>
        <w:rPr>
          <w:color w:val="auto"/>
        </w:rPr>
      </w:r>
      <w:r/>
    </w:p>
    <w:p>
      <w:pPr>
        <w:jc w:val="left"/>
        <w:spacing w:line="480" w:lineRule="exact"/>
        <w:rPr>
          <w:rFonts w:ascii="仿宋" w:hAnsi="仿宋" w:eastAsia="仿宋" w:cs="仿宋"/>
          <w:color w:val="auto"/>
          <w:sz w:val="22"/>
        </w:rPr>
      </w:pPr>
      <w:r>
        <w:rPr>
          <w:rFonts w:hint="eastAsia" w:ascii="仿宋" w:hAnsi="仿宋" w:eastAsia="仿宋" w:cs="仿宋"/>
          <w:color w:val="auto"/>
          <w:sz w:val="24"/>
          <w:szCs w:val="24"/>
        </w:rPr>
        <w:t xml:space="preserve">项目编号：                                          货币单位：人民币元</w:t>
      </w:r>
      <w:r>
        <w:rPr>
          <w:color w:val="auto"/>
        </w:rPr>
      </w:r>
      <w:r/>
    </w:p>
    <w:tbl>
      <w:tblPr>
        <w:tblStyle w:val="970"/>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序号</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产品</w:t>
            </w:r>
            <w:r>
              <w:rPr>
                <w:color w:val="auto"/>
              </w:rPr>
            </w:r>
            <w:r/>
          </w:p>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名称</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品牌</w:t>
            </w:r>
            <w:r>
              <w:rPr>
                <w:color w:val="auto"/>
              </w:rPr>
            </w:r>
            <w:r/>
          </w:p>
        </w:tc>
        <w:tc>
          <w:tcPr>
            <w:tcW w:w="938"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规格</w:t>
            </w:r>
            <w:r>
              <w:rPr>
                <w:color w:val="auto"/>
              </w:rPr>
            </w:r>
            <w:r/>
          </w:p>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型号</w:t>
            </w:r>
            <w:r>
              <w:rPr>
                <w:color w:val="auto"/>
              </w:rPr>
            </w:r>
            <w:r/>
          </w:p>
        </w:tc>
        <w:tc>
          <w:tcPr>
            <w:tcW w:w="980"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制造商名称</w:t>
            </w:r>
            <w:r>
              <w:rPr>
                <w:color w:val="auto"/>
              </w:rPr>
            </w:r>
            <w:r/>
          </w:p>
        </w:tc>
        <w:tc>
          <w:tcPr>
            <w:tcW w:w="1106"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产地</w:t>
            </w:r>
            <w:r>
              <w:rPr>
                <w:color w:val="auto"/>
              </w:rPr>
            </w:r>
            <w:r/>
          </w:p>
        </w:tc>
        <w:tc>
          <w:tcPr>
            <w:tcW w:w="1385"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交付期</w:t>
            </w:r>
            <w:r>
              <w:rPr>
                <w:color w:val="auto"/>
              </w:rPr>
            </w:r>
            <w:r/>
          </w:p>
        </w:tc>
        <w:tc>
          <w:tcPr>
            <w:tcW w:w="924"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数量</w:t>
            </w:r>
            <w:r>
              <w:rPr>
                <w:color w:val="auto"/>
              </w:rPr>
            </w:r>
            <w:r/>
          </w:p>
        </w:tc>
        <w:tc>
          <w:tcPr>
            <w:tcW w:w="1008"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分项</w:t>
            </w:r>
            <w:r>
              <w:rPr>
                <w:color w:val="auto"/>
              </w:rPr>
            </w:r>
            <w:r/>
          </w:p>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单价</w:t>
            </w:r>
            <w:r>
              <w:rPr>
                <w:color w:val="auto"/>
              </w:rPr>
            </w:r>
            <w:r/>
          </w:p>
        </w:tc>
        <w:tc>
          <w:tcPr>
            <w:tcW w:w="966"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分项</w:t>
            </w:r>
            <w:r>
              <w:rPr>
                <w:color w:val="auto"/>
              </w:rPr>
            </w:r>
            <w:r/>
          </w:p>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总价</w:t>
            </w:r>
            <w:r>
              <w:rPr>
                <w:color w:val="auto"/>
              </w:rPr>
            </w:r>
            <w:r/>
          </w:p>
        </w:tc>
      </w:tr>
      <w:tr>
        <w:trPr>
          <w:cantSplit/>
          <w:trHeight w:val="294"/>
        </w:trPr>
        <w:tc>
          <w:tcPr>
            <w:tcW w:w="500"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1</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3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80"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106"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385"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合同签订后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rPr>
                <w:color w:val="auto"/>
              </w:rPr>
            </w:r>
            <w:r/>
          </w:p>
        </w:tc>
        <w:tc>
          <w:tcPr>
            <w:tcW w:w="924"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00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66"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r>
      <w:tr>
        <w:trPr>
          <w:cantSplit/>
          <w:trHeight w:val="696"/>
        </w:trPr>
        <w:tc>
          <w:tcPr>
            <w:tcW w:w="500"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2</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3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80"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106"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385" w:type="dxa"/>
            <w:vAlign w:val="center"/>
            <w:textDirection w:val="lrTb"/>
            <w:noWrap w:val="false"/>
          </w:tcPr>
          <w:p>
            <w:pPr>
              <w:jc w:val="center"/>
              <w:spacing w:line="480" w:lineRule="exact"/>
              <w:rPr>
                <w:rFonts w:ascii="仿宋" w:hAnsi="仿宋" w:eastAsia="仿宋"/>
                <w:color w:val="auto"/>
                <w:sz w:val="28"/>
                <w:szCs w:val="28"/>
                <w:u w:val="single"/>
              </w:rPr>
            </w:pPr>
            <w:r>
              <w:rPr>
                <w:rFonts w:ascii="仿宋" w:hAnsi="仿宋" w:eastAsia="仿宋"/>
                <w:color w:val="auto"/>
                <w:sz w:val="28"/>
                <w:szCs w:val="28"/>
                <w:u w:val="single"/>
              </w:rPr>
            </w:r>
            <w:r>
              <w:rPr>
                <w:color w:val="auto"/>
              </w:rPr>
            </w:r>
            <w:r/>
          </w:p>
        </w:tc>
        <w:tc>
          <w:tcPr>
            <w:tcW w:w="924"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00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66"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r>
      <w:tr>
        <w:trPr>
          <w:cantSplit/>
          <w:trHeight w:val="580"/>
        </w:trPr>
        <w:tc>
          <w:tcPr>
            <w:tcW w:w="500"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t xml:space="preserve">…</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t xml:space="preserve">……</w:t>
            </w:r>
            <w:r>
              <w:rPr>
                <w:color w:val="auto"/>
              </w:rPr>
            </w:r>
            <w:r/>
          </w:p>
        </w:tc>
        <w:tc>
          <w:tcPr>
            <w:tcW w:w="72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3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80"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106"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385"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24"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1008"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966" w:type="dxa"/>
            <w:vAlign w:val="center"/>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r>
      <w:tr>
        <w:trPr>
          <w:cantSplit/>
          <w:trHeight w:val="249"/>
        </w:trPr>
        <w:tc>
          <w:tcPr>
            <w:gridSpan w:val="10"/>
            <w:tcW w:w="9263" w:type="dxa"/>
            <w:textDirection w:val="lrTb"/>
            <w:noWrap w:val="false"/>
          </w:tcPr>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总报价：</w:t>
            </w:r>
            <w:r>
              <w:rPr>
                <w:color w:val="auto"/>
              </w:rPr>
            </w:r>
            <w:r/>
          </w:p>
        </w:tc>
      </w:tr>
      <w:tr>
        <w:trPr>
          <w:cantSplit/>
          <w:trHeight w:val="249"/>
        </w:trPr>
        <w:tc>
          <w:tcPr>
            <w:gridSpan w:val="10"/>
            <w:tcW w:w="9263" w:type="dxa"/>
            <w:textDirection w:val="lrTb"/>
            <w:noWrap w:val="false"/>
          </w:tcPr>
          <w:p>
            <w:pPr>
              <w:spacing w:line="480" w:lineRule="exact"/>
              <w:rPr>
                <w:rFonts w:ascii="仿宋" w:hAnsi="仿宋" w:eastAsia="仿宋"/>
                <w:color w:val="auto"/>
                <w:sz w:val="28"/>
                <w:szCs w:val="28"/>
              </w:rPr>
            </w:pPr>
            <w:r>
              <w:rPr>
                <w:rFonts w:hint="eastAsia" w:ascii="仿宋" w:hAnsi="仿宋" w:eastAsia="仿宋" w:cs="仿宋"/>
                <w:b/>
                <w:bCs/>
                <w:color w:val="auto"/>
                <w:sz w:val="24"/>
                <w:szCs w:val="24"/>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 xml:space="preserve">%。</w:t>
            </w:r>
            <w:r>
              <w:rPr>
                <w:color w:val="auto"/>
              </w:rPr>
            </w:r>
            <w:r/>
          </w:p>
        </w:tc>
      </w:tr>
    </w:tbl>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供应商（公章）：</w:t>
      </w:r>
      <w:r>
        <w:rPr>
          <w:color w:val="auto"/>
        </w:rPr>
      </w:r>
      <w:r/>
    </w:p>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法定代表人或授权代表（签字或盖章）：</w:t>
      </w:r>
      <w:r>
        <w:rPr>
          <w:color w:val="auto"/>
        </w:rPr>
      </w:r>
      <w:r/>
    </w:p>
    <w:p>
      <w:pPr>
        <w:pStyle w:val="1013"/>
        <w:ind w:left="0"/>
        <w:spacing w:line="480" w:lineRule="exact"/>
        <w:rPr>
          <w:rFonts w:hint="default" w:ascii="仿宋" w:hAnsi="仿宋" w:eastAsia="仿宋" w:cs="仿宋"/>
          <w:color w:val="auto"/>
          <w:sz w:val="24"/>
          <w:szCs w:val="21"/>
        </w:rPr>
      </w:pPr>
      <w:r>
        <w:rPr>
          <w:rFonts w:ascii="仿宋" w:hAnsi="仿宋" w:eastAsia="仿宋" w:cs="仿宋"/>
          <w:color w:val="auto"/>
          <w:sz w:val="24"/>
          <w:szCs w:val="21"/>
        </w:rPr>
        <w:t xml:space="preserve">日期：</w:t>
      </w:r>
      <w:r>
        <w:rPr>
          <w:rFonts w:ascii="仿宋" w:hAnsi="仿宋" w:eastAsia="仿宋" w:cs="仿宋"/>
          <w:color w:val="auto"/>
          <w:sz w:val="24"/>
          <w:szCs w:val="21"/>
          <w:u w:val="single"/>
        </w:rPr>
        <w:t xml:space="preserve">        </w:t>
      </w:r>
      <w:r>
        <w:rPr>
          <w:rFonts w:ascii="仿宋" w:hAnsi="仿宋" w:eastAsia="仿宋" w:cs="仿宋"/>
          <w:color w:val="auto"/>
          <w:sz w:val="24"/>
          <w:szCs w:val="21"/>
        </w:rPr>
        <w:t xml:space="preserve">年</w:t>
      </w:r>
      <w:r>
        <w:rPr>
          <w:rFonts w:ascii="仿宋" w:hAnsi="仿宋" w:eastAsia="仿宋" w:cs="仿宋"/>
          <w:color w:val="auto"/>
          <w:sz w:val="24"/>
          <w:szCs w:val="21"/>
          <w:u w:val="single"/>
        </w:rPr>
        <w:t xml:space="preserve">     </w:t>
      </w:r>
      <w:r>
        <w:rPr>
          <w:rFonts w:ascii="仿宋" w:hAnsi="仿宋" w:eastAsia="仿宋" w:cs="仿宋"/>
          <w:color w:val="auto"/>
          <w:sz w:val="24"/>
          <w:szCs w:val="21"/>
        </w:rPr>
        <w:t xml:space="preserve">月</w:t>
      </w:r>
      <w:r>
        <w:rPr>
          <w:rFonts w:ascii="仿宋" w:hAnsi="仿宋" w:eastAsia="仿宋" w:cs="仿宋"/>
          <w:color w:val="auto"/>
          <w:sz w:val="24"/>
          <w:szCs w:val="21"/>
          <w:u w:val="single"/>
        </w:rPr>
        <w:t xml:space="preserve">     </w:t>
      </w:r>
      <w:r>
        <w:rPr>
          <w:rFonts w:ascii="仿宋" w:hAnsi="仿宋" w:eastAsia="仿宋" w:cs="仿宋"/>
          <w:color w:val="auto"/>
          <w:sz w:val="24"/>
          <w:szCs w:val="21"/>
        </w:rPr>
        <w:t xml:space="preserve">日</w:t>
      </w:r>
      <w:r>
        <w:rPr>
          <w:color w:val="auto"/>
        </w:rPr>
      </w:r>
      <w:r/>
    </w:p>
    <w:p>
      <w:pPr>
        <w:spacing w:line="480" w:lineRule="exact"/>
        <w:rPr>
          <w:rFonts w:ascii="仿宋" w:hAnsi="仿宋" w:eastAsia="仿宋"/>
          <w:color w:val="auto"/>
          <w:sz w:val="24"/>
          <w:szCs w:val="24"/>
        </w:rPr>
      </w:pPr>
      <w:r>
        <w:rPr>
          <w:rFonts w:hint="eastAsia" w:ascii="仿宋" w:hAnsi="仿宋" w:eastAsia="仿宋"/>
          <w:color w:val="auto"/>
          <w:sz w:val="24"/>
          <w:szCs w:val="24"/>
        </w:rPr>
        <w:t xml:space="preserve">备注：</w:t>
      </w:r>
      <w:r>
        <w:rPr>
          <w:color w:val="auto"/>
        </w:rPr>
      </w:r>
      <w:r/>
    </w:p>
    <w:p>
      <w:pPr>
        <w:spacing w:line="480" w:lineRule="exact"/>
        <w:rPr>
          <w:rFonts w:ascii="仿宋" w:hAnsi="仿宋" w:eastAsia="仿宋"/>
          <w:color w:val="auto"/>
          <w:sz w:val="24"/>
          <w:szCs w:val="24"/>
        </w:rPr>
      </w:pPr>
      <w:r>
        <w:rPr>
          <w:rFonts w:hint="eastAsia" w:ascii="仿宋" w:hAnsi="仿宋" w:eastAsia="仿宋"/>
          <w:color w:val="auto"/>
          <w:sz w:val="24"/>
          <w:szCs w:val="24"/>
        </w:rPr>
        <w:t xml:space="preserve">1.报价采用总承包方式，“总报价”应包括所投货物（包含与货物相关的服务）费用、安装调试费、测试验收费、培训费、运行维护费用、税金、国际（如果</w:t>
      </w:r>
      <w:r>
        <w:rPr>
          <w:rFonts w:ascii="仿宋" w:hAnsi="仿宋" w:eastAsia="仿宋"/>
          <w:color w:val="auto"/>
          <w:sz w:val="24"/>
          <w:szCs w:val="24"/>
        </w:rPr>
        <w:t xml:space="preserve">有</w:t>
      </w:r>
      <w:r>
        <w:rPr>
          <w:rFonts w:hint="eastAsia" w:ascii="仿宋" w:hAnsi="仿宋" w:eastAsia="仿宋"/>
          <w:color w:val="auto"/>
          <w:sz w:val="24"/>
          <w:szCs w:val="24"/>
        </w:rPr>
        <w:t xml:space="preserve">）国内运输保险、报关清关（如果</w:t>
      </w:r>
      <w:r>
        <w:rPr>
          <w:rFonts w:ascii="仿宋" w:hAnsi="仿宋" w:eastAsia="仿宋"/>
          <w:color w:val="auto"/>
          <w:sz w:val="24"/>
          <w:szCs w:val="24"/>
        </w:rPr>
        <w:t xml:space="preserve">有</w:t>
      </w:r>
      <w:r>
        <w:rPr>
          <w:rFonts w:hint="eastAsia" w:ascii="仿宋" w:hAnsi="仿宋" w:eastAsia="仿宋"/>
          <w:color w:val="auto"/>
          <w:sz w:val="24"/>
          <w:szCs w:val="24"/>
        </w:rPr>
        <w:t xml:space="preserve">）、开证（如果</w:t>
      </w:r>
      <w:r>
        <w:rPr>
          <w:rFonts w:ascii="仿宋" w:hAnsi="仿宋" w:eastAsia="仿宋"/>
          <w:color w:val="auto"/>
          <w:sz w:val="24"/>
          <w:szCs w:val="24"/>
        </w:rPr>
        <w:t xml:space="preserve">有</w:t>
      </w:r>
      <w:r>
        <w:rPr>
          <w:rFonts w:hint="eastAsia" w:ascii="仿宋" w:hAnsi="仿宋" w:eastAsia="仿宋"/>
          <w:color w:val="auto"/>
          <w:sz w:val="24"/>
          <w:szCs w:val="24"/>
        </w:rPr>
        <w:t xml:space="preserve">）、办理全套免税手续费用（如果</w:t>
      </w:r>
      <w:r>
        <w:rPr>
          <w:rFonts w:ascii="仿宋" w:hAnsi="仿宋" w:eastAsia="仿宋"/>
          <w:color w:val="auto"/>
          <w:sz w:val="24"/>
          <w:szCs w:val="24"/>
        </w:rPr>
        <w:t xml:space="preserve">有</w:t>
      </w:r>
      <w:r>
        <w:rPr>
          <w:rFonts w:hint="eastAsia" w:ascii="仿宋" w:hAnsi="仿宋" w:eastAsia="仿宋"/>
          <w:color w:val="auto"/>
          <w:sz w:val="24"/>
          <w:szCs w:val="24"/>
        </w:rPr>
        <w:t xml:space="preserve">）及其他有关的为完成本项目发生的所有费用，招标文件中另有规定的除外。</w:t>
      </w:r>
      <w:r>
        <w:rPr>
          <w:color w:val="auto"/>
        </w:rPr>
      </w:r>
      <w:r/>
    </w:p>
    <w:p>
      <w:pPr>
        <w:spacing w:line="480" w:lineRule="exact"/>
        <w:rPr>
          <w:rFonts w:ascii="仿宋" w:hAnsi="仿宋" w:eastAsia="仿宋"/>
          <w:color w:val="auto"/>
          <w:sz w:val="24"/>
          <w:szCs w:val="24"/>
        </w:rPr>
      </w:pPr>
      <w:r>
        <w:rPr>
          <w:rFonts w:hint="eastAsia" w:ascii="仿宋" w:hAnsi="仿宋" w:eastAsia="仿宋"/>
          <w:color w:val="auto"/>
          <w:sz w:val="24"/>
          <w:szCs w:val="24"/>
        </w:rPr>
        <w:t xml:space="preserve">2.本表中“总报价”应当与“开标一览表”中“ 投标总报价”一致。</w:t>
      </w:r>
      <w:r>
        <w:rPr>
          <w:color w:val="auto"/>
        </w:rPr>
      </w:r>
      <w:r/>
    </w:p>
    <w:p>
      <w:pPr>
        <w:spacing w:line="480" w:lineRule="exact"/>
        <w:rPr>
          <w:rFonts w:ascii="仿宋" w:hAnsi="仿宋" w:eastAsia="仿宋"/>
          <w:color w:val="auto"/>
          <w:sz w:val="24"/>
          <w:szCs w:val="24"/>
        </w:rPr>
      </w:pPr>
      <w:r>
        <w:rPr>
          <w:rFonts w:hint="eastAsia" w:ascii="仿宋" w:hAnsi="仿宋" w:eastAsia="仿宋"/>
          <w:color w:val="auto"/>
          <w:sz w:val="24"/>
          <w:szCs w:val="24"/>
        </w:rPr>
        <w:t xml:space="preserve">3.供应商需认真填写本表，尤其注意规格型号的准确填写。</w:t>
      </w:r>
      <w:r>
        <w:rPr>
          <w:color w:val="auto"/>
        </w:rPr>
      </w:r>
      <w:r/>
    </w:p>
    <w:p>
      <w:pPr>
        <w:spacing w:line="480" w:lineRule="exact"/>
        <w:rPr>
          <w:rFonts w:ascii="仿宋" w:hAnsi="仿宋" w:eastAsia="仿宋"/>
          <w:b/>
          <w:bCs/>
          <w:color w:val="auto"/>
          <w:sz w:val="28"/>
          <w:szCs w:val="28"/>
        </w:rPr>
      </w:pPr>
      <w:r>
        <w:rPr>
          <w:rFonts w:hint="eastAsia" w:ascii="仿宋" w:hAnsi="仿宋" w:eastAsia="仿宋"/>
          <w:color w:val="auto"/>
          <w:sz w:val="24"/>
          <w:szCs w:val="24"/>
        </w:rPr>
        <w:t xml:space="preserve">4.</w:t>
      </w:r>
      <w:r>
        <w:rPr>
          <w:rFonts w:hint="eastAsia" w:ascii="仿宋" w:hAnsi="仿宋" w:eastAsia="仿宋" w:cs="仿宋"/>
          <w:color w:val="auto"/>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rPr>
      </w:r>
      <w:r/>
    </w:p>
    <w:p>
      <w:pPr>
        <w:spacing w:line="480" w:lineRule="exact"/>
        <w:rPr>
          <w:rFonts w:ascii="仿宋" w:hAnsi="仿宋" w:eastAsia="仿宋"/>
          <w:b/>
          <w:bCs/>
          <w:color w:val="auto"/>
          <w:sz w:val="28"/>
          <w:szCs w:val="28"/>
        </w:rPr>
      </w:pPr>
      <w:r>
        <w:rPr>
          <w:rFonts w:hint="eastAsia" w:ascii="仿宋" w:hAnsi="仿宋" w:eastAsia="仿宋"/>
          <w:b/>
          <w:color w:val="auto"/>
          <w:sz w:val="28"/>
          <w:szCs w:val="28"/>
        </w:rPr>
        <w:t xml:space="preserve">附件3</w:t>
      </w:r>
      <w:r>
        <w:rPr>
          <w:color w:val="auto"/>
        </w:rPr>
      </w:r>
      <w:r/>
    </w:p>
    <w:p>
      <w:pPr>
        <w:jc w:val="center"/>
        <w:rPr>
          <w:rFonts w:ascii="仿宋" w:hAnsi="仿宋" w:eastAsia="仿宋"/>
          <w:b/>
          <w:color w:val="auto"/>
          <w:sz w:val="30"/>
          <w:szCs w:val="30"/>
        </w:rPr>
      </w:pPr>
      <w:r>
        <w:rPr>
          <w:rFonts w:hint="eastAsia" w:ascii="仿宋" w:hAnsi="仿宋" w:eastAsia="仿宋"/>
          <w:b/>
          <w:color w:val="auto"/>
          <w:sz w:val="30"/>
          <w:szCs w:val="30"/>
        </w:rPr>
        <w:t xml:space="preserve">投标人符合《中华人民共和国政府采购法》第二十二条规定条件的声明函</w:t>
      </w:r>
      <w:r>
        <w:rPr>
          <w:color w:val="auto"/>
        </w:rPr>
      </w:r>
      <w:r/>
    </w:p>
    <w:p>
      <w:pPr>
        <w:spacing w:line="460" w:lineRule="exact"/>
        <w:rPr>
          <w:rFonts w:ascii="仿宋" w:hAnsi="仿宋" w:eastAsia="仿宋"/>
          <w:b/>
          <w:bCs/>
          <w:color w:val="auto"/>
          <w:sz w:val="44"/>
          <w:szCs w:val="44"/>
        </w:rPr>
      </w:pPr>
      <w:r>
        <w:rPr>
          <w:rFonts w:hint="eastAsia" w:ascii="仿宋" w:hAnsi="仿宋" w:eastAsia="仿宋"/>
          <w:b/>
          <w:bCs/>
          <w:color w:val="auto"/>
          <w:sz w:val="24"/>
          <w:szCs w:val="21"/>
        </w:rPr>
        <w:t xml:space="preserve">                       </w:t>
      </w:r>
      <w:r>
        <w:rPr>
          <w:rFonts w:hint="eastAsia" w:ascii="仿宋" w:hAnsi="仿宋" w:eastAsia="仿宋"/>
          <w:b/>
          <w:bCs/>
          <w:color w:val="auto"/>
          <w:sz w:val="44"/>
          <w:szCs w:val="44"/>
        </w:rPr>
        <w:t xml:space="preserve">   </w:t>
      </w:r>
      <w:r>
        <w:rPr>
          <w:color w:val="auto"/>
        </w:rPr>
      </w:r>
      <w:r/>
    </w:p>
    <w:p>
      <w:pPr>
        <w:ind w:firstLine="560"/>
        <w:spacing w:line="520" w:lineRule="exact"/>
        <w:rPr>
          <w:rFonts w:ascii="仿宋" w:hAnsi="仿宋" w:eastAsia="仿宋"/>
          <w:b/>
          <w:bCs/>
          <w:color w:val="auto"/>
          <w:sz w:val="24"/>
          <w:szCs w:val="21"/>
        </w:rPr>
      </w:pPr>
      <w:r>
        <w:rPr>
          <w:rFonts w:hint="eastAsia" w:ascii="仿宋" w:hAnsi="仿宋" w:eastAsia="仿宋"/>
          <w:bCs/>
          <w:color w:val="auto"/>
          <w:sz w:val="24"/>
          <w:szCs w:val="21"/>
        </w:rPr>
        <w:t xml:space="preserve">我单位参加</w:t>
      </w:r>
      <w:r>
        <w:rPr>
          <w:rFonts w:hint="eastAsia" w:ascii="仿宋" w:hAnsi="仿宋" w:eastAsia="仿宋"/>
          <w:bCs/>
          <w:color w:val="auto"/>
          <w:sz w:val="24"/>
          <w:szCs w:val="20"/>
          <w:u w:val="single"/>
        </w:rPr>
        <w:t xml:space="preserve">________________ _</w:t>
      </w:r>
      <w:r>
        <w:rPr>
          <w:rFonts w:hint="eastAsia" w:ascii="仿宋" w:hAnsi="仿宋" w:eastAsia="仿宋"/>
          <w:bCs/>
          <w:color w:val="auto"/>
          <w:sz w:val="24"/>
          <w:szCs w:val="20"/>
        </w:rPr>
        <w:t xml:space="preserve">（项目名称），</w:t>
      </w:r>
      <w:r>
        <w:rPr>
          <w:rFonts w:hint="eastAsia" w:ascii="仿宋" w:hAnsi="仿宋" w:eastAsia="仿宋"/>
          <w:bCs/>
          <w:color w:val="auto"/>
          <w:sz w:val="24"/>
          <w:szCs w:val="20"/>
          <w:u w:val="single"/>
        </w:rPr>
        <w:t xml:space="preserve">_______ __________</w:t>
      </w:r>
      <w:r>
        <w:rPr>
          <w:rFonts w:hint="eastAsia" w:ascii="仿宋" w:hAnsi="仿宋" w:eastAsia="仿宋"/>
          <w:bCs/>
          <w:color w:val="auto"/>
          <w:sz w:val="24"/>
          <w:szCs w:val="20"/>
        </w:rPr>
        <w:t xml:space="preserve">（项目编号）投标活动。针对《中华人民共和国政府采购法》第二十二条规定做出如下声明：</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bCs/>
          <w:color w:val="auto"/>
          <w:sz w:val="24"/>
          <w:szCs w:val="20"/>
        </w:rPr>
        <w:t xml:space="preserve">1.我单位具有独立承担民事责任的能力；</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color w:val="auto"/>
          <w:sz w:val="24"/>
          <w:szCs w:val="21"/>
        </w:rPr>
        <w:t xml:space="preserve">2.我单位具有良好的商业信誉和健全的财务会计制度；</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color w:val="auto"/>
          <w:sz w:val="24"/>
          <w:szCs w:val="21"/>
        </w:rPr>
        <w:t xml:space="preserve">3.我单位具有履行合同所必需的设备和专业技术能力；</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color w:val="auto"/>
          <w:sz w:val="24"/>
          <w:szCs w:val="21"/>
        </w:rPr>
        <w:t xml:space="preserve">4.我单位有依法缴纳税收和社会保障资金的良好记录；</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color w:val="auto"/>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auto"/>
        </w:rPr>
      </w:r>
      <w:r/>
    </w:p>
    <w:p>
      <w:pPr>
        <w:ind w:firstLine="482"/>
        <w:spacing w:line="520" w:lineRule="exact"/>
        <w:rPr>
          <w:rFonts w:ascii="仿宋" w:hAnsi="仿宋" w:eastAsia="仿宋"/>
          <w:color w:val="auto"/>
          <w:sz w:val="24"/>
          <w:szCs w:val="21"/>
        </w:rPr>
      </w:pPr>
      <w:r>
        <w:rPr>
          <w:rFonts w:hint="eastAsia" w:ascii="仿宋" w:hAnsi="仿宋" w:eastAsia="仿宋"/>
          <w:color w:val="auto"/>
          <w:sz w:val="24"/>
          <w:szCs w:val="21"/>
        </w:rPr>
        <w:t xml:space="preserve">6.我单位满足法律、行政法规规定的其他条件。</w:t>
      </w:r>
      <w:r>
        <w:rPr>
          <w:color w:val="auto"/>
        </w:rPr>
      </w:r>
      <w:r/>
    </w:p>
    <w:p>
      <w:pPr>
        <w:pStyle w:val="1016"/>
        <w:ind w:firstLine="640"/>
        <w:rPr>
          <w:rFonts w:ascii="仿宋" w:hAnsi="仿宋" w:eastAsia="仿宋"/>
          <w:color w:val="auto"/>
          <w:sz w:val="28"/>
          <w:szCs w:val="28"/>
        </w:rPr>
      </w:pPr>
      <w:r>
        <w:rPr>
          <w:rFonts w:ascii="仿宋" w:hAnsi="仿宋" w:eastAsia="仿宋"/>
          <w:color w:val="auto"/>
          <w:sz w:val="28"/>
          <w:szCs w:val="28"/>
          <w:lang w:eastAsia="zh-CN"/>
        </w:rPr>
      </w:r>
      <w:r>
        <w:rPr>
          <w:color w:val="auto"/>
        </w:rPr>
      </w:r>
      <w:r/>
    </w:p>
    <w:p>
      <w:pPr>
        <w:jc w:val="center"/>
        <w:spacing w:line="480" w:lineRule="exact"/>
        <w:rPr>
          <w:rFonts w:ascii="仿宋" w:hAnsi="仿宋" w:eastAsia="仿宋" w:cs="仿宋"/>
          <w:b/>
          <w:color w:val="auto"/>
          <w:sz w:val="24"/>
          <w:szCs w:val="28"/>
        </w:rPr>
      </w:pPr>
      <w:r>
        <w:rPr>
          <w:rFonts w:hint="eastAsia" w:ascii="仿宋" w:hAnsi="仿宋" w:eastAsia="仿宋"/>
          <w:bCs/>
          <w:color w:val="auto"/>
          <w:sz w:val="24"/>
          <w:szCs w:val="20"/>
        </w:rPr>
        <w:t xml:space="preserve">                                          </w:t>
      </w:r>
      <w:r>
        <w:rPr>
          <w:rFonts w:hint="eastAsia" w:ascii="仿宋" w:hAnsi="仿宋" w:eastAsia="仿宋" w:cs="仿宋"/>
          <w:color w:val="auto"/>
          <w:sz w:val="24"/>
          <w:szCs w:val="28"/>
        </w:rPr>
        <w:t xml:space="preserve">供应商</w:t>
      </w:r>
      <w:r>
        <w:rPr>
          <w:rFonts w:hint="eastAsia" w:ascii="仿宋" w:hAnsi="仿宋" w:eastAsia="仿宋" w:cs="仿宋"/>
          <w:bCs/>
          <w:color w:val="auto"/>
          <w:sz w:val="24"/>
          <w:szCs w:val="28"/>
        </w:rPr>
        <w:t xml:space="preserve">名称：</w:t>
      </w:r>
      <w:r>
        <w:rPr>
          <w:rFonts w:hint="eastAsia" w:ascii="仿宋" w:hAnsi="仿宋" w:eastAsia="仿宋" w:cs="仿宋"/>
          <w:b/>
          <w:color w:val="auto"/>
          <w:sz w:val="24"/>
          <w:szCs w:val="28"/>
        </w:rPr>
        <w:t xml:space="preserve">（加盖CA电子公章）</w:t>
      </w:r>
      <w:r>
        <w:rPr>
          <w:color w:val="auto"/>
        </w:rPr>
      </w:r>
      <w:r/>
    </w:p>
    <w:p>
      <w:pPr>
        <w:jc w:val="center"/>
        <w:spacing w:line="480" w:lineRule="exact"/>
        <w:rPr>
          <w:rFonts w:ascii="仿宋" w:hAnsi="仿宋" w:eastAsia="仿宋"/>
          <w:bCs/>
          <w:color w:val="auto"/>
          <w:sz w:val="24"/>
          <w:szCs w:val="20"/>
        </w:rPr>
      </w:pPr>
      <w:r>
        <w:rPr>
          <w:rFonts w:hint="eastAsia" w:ascii="仿宋" w:hAnsi="仿宋" w:eastAsia="仿宋"/>
          <w:bCs/>
          <w:color w:val="auto"/>
          <w:sz w:val="24"/>
          <w:szCs w:val="20"/>
        </w:rPr>
        <w:t xml:space="preserve">  </w:t>
      </w:r>
      <w:r>
        <w:rPr>
          <w:color w:val="auto"/>
        </w:rPr>
      </w:r>
      <w:r/>
    </w:p>
    <w:p>
      <w:pPr>
        <w:jc w:val="right"/>
        <w:spacing w:line="460" w:lineRule="exact"/>
        <w:rPr>
          <w:rFonts w:ascii="仿宋" w:hAnsi="仿宋" w:eastAsia="仿宋"/>
          <w:bCs/>
          <w:color w:val="auto"/>
          <w:sz w:val="24"/>
          <w:szCs w:val="20"/>
        </w:rPr>
      </w:pPr>
      <w:r>
        <w:rPr>
          <w:rFonts w:hint="eastAsia" w:ascii="仿宋" w:hAnsi="仿宋" w:eastAsia="仿宋"/>
          <w:bCs/>
          <w:color w:val="auto"/>
          <w:sz w:val="24"/>
          <w:szCs w:val="20"/>
        </w:rPr>
        <w:t xml:space="preserve">                                 日期：</w:t>
      </w:r>
      <w:r>
        <w:rPr>
          <w:rFonts w:hint="eastAsia" w:ascii="仿宋" w:hAnsi="仿宋" w:eastAsia="仿宋"/>
          <w:bCs/>
          <w:color w:val="auto"/>
          <w:sz w:val="24"/>
          <w:szCs w:val="20"/>
          <w:u w:val="single"/>
        </w:rPr>
        <w:t xml:space="preserve">______</w:t>
      </w:r>
      <w:r>
        <w:rPr>
          <w:rFonts w:hint="eastAsia" w:ascii="仿宋" w:hAnsi="仿宋" w:eastAsia="仿宋"/>
          <w:bCs/>
          <w:color w:val="auto"/>
          <w:sz w:val="24"/>
          <w:szCs w:val="20"/>
        </w:rPr>
        <w:t xml:space="preserve">年</w:t>
      </w:r>
      <w:r>
        <w:rPr>
          <w:rFonts w:hint="eastAsia" w:ascii="仿宋" w:hAnsi="仿宋" w:eastAsia="仿宋"/>
          <w:bCs/>
          <w:color w:val="auto"/>
          <w:sz w:val="24"/>
          <w:szCs w:val="20"/>
          <w:u w:val="single"/>
        </w:rPr>
        <w:t xml:space="preserve">    </w:t>
      </w:r>
      <w:r>
        <w:rPr>
          <w:rFonts w:hint="eastAsia" w:ascii="仿宋" w:hAnsi="仿宋" w:eastAsia="仿宋"/>
          <w:bCs/>
          <w:color w:val="auto"/>
          <w:sz w:val="24"/>
          <w:szCs w:val="20"/>
        </w:rPr>
        <w:t xml:space="preserve">月</w:t>
      </w:r>
      <w:r>
        <w:rPr>
          <w:rFonts w:hint="eastAsia" w:ascii="仿宋" w:hAnsi="仿宋" w:eastAsia="仿宋"/>
          <w:bCs/>
          <w:color w:val="auto"/>
          <w:sz w:val="24"/>
          <w:szCs w:val="20"/>
          <w:u w:val="single"/>
        </w:rPr>
        <w:t xml:space="preserve">    </w:t>
      </w:r>
      <w:r>
        <w:rPr>
          <w:rFonts w:hint="eastAsia" w:ascii="仿宋" w:hAnsi="仿宋" w:eastAsia="仿宋"/>
          <w:bCs/>
          <w:color w:val="auto"/>
          <w:sz w:val="24"/>
          <w:szCs w:val="20"/>
        </w:rPr>
        <w:t xml:space="preserve">日</w:t>
      </w:r>
      <w:r>
        <w:rPr>
          <w:color w:val="auto"/>
        </w:rPr>
      </w:r>
      <w:r/>
    </w:p>
    <w:p>
      <w:pPr>
        <w:spacing w:line="480" w:lineRule="exact"/>
        <w:rPr>
          <w:rFonts w:ascii="仿宋" w:hAnsi="仿宋" w:eastAsia="仿宋"/>
          <w:b/>
          <w:color w:val="auto"/>
          <w:sz w:val="24"/>
          <w:szCs w:val="24"/>
        </w:rPr>
      </w:pPr>
      <w:r>
        <w:rPr>
          <w:rFonts w:ascii="仿宋" w:hAnsi="仿宋" w:eastAsia="仿宋"/>
          <w:b/>
          <w:color w:val="auto"/>
          <w:sz w:val="24"/>
          <w:szCs w:val="24"/>
        </w:rPr>
      </w:r>
      <w:r>
        <w:rPr>
          <w:color w:val="auto"/>
        </w:rPr>
      </w:r>
      <w:r/>
    </w:p>
    <w:p>
      <w:pPr>
        <w:spacing w:line="480" w:lineRule="exact"/>
        <w:rPr>
          <w:rFonts w:ascii="仿宋" w:hAnsi="仿宋" w:eastAsia="仿宋"/>
          <w:b/>
          <w:color w:val="auto"/>
          <w:sz w:val="28"/>
          <w:szCs w:val="28"/>
        </w:rPr>
      </w:pPr>
      <w:r>
        <w:rPr>
          <w:rFonts w:ascii="仿宋" w:hAnsi="仿宋" w:eastAsia="仿宋"/>
          <w:b/>
          <w:color w:val="auto"/>
          <w:sz w:val="28"/>
          <w:szCs w:val="28"/>
        </w:rPr>
      </w:r>
      <w:r>
        <w:rPr>
          <w:color w:val="auto"/>
        </w:rPr>
      </w:r>
      <w:r/>
    </w:p>
    <w:p>
      <w:pPr>
        <w:spacing w:line="480" w:lineRule="exact"/>
        <w:rPr>
          <w:rFonts w:ascii="仿宋" w:hAnsi="仿宋" w:eastAsia="仿宋"/>
          <w:b/>
          <w:color w:val="auto"/>
          <w:sz w:val="28"/>
          <w:szCs w:val="28"/>
        </w:rPr>
      </w:pPr>
      <w:r>
        <w:rPr>
          <w:rFonts w:ascii="仿宋" w:hAnsi="仿宋" w:eastAsia="仿宋"/>
          <w:b/>
          <w:color w:val="auto"/>
          <w:sz w:val="28"/>
          <w:szCs w:val="28"/>
        </w:rPr>
        <w:br w:type="page" w:clear="all"/>
      </w:r>
      <w:r>
        <w:rPr>
          <w:rFonts w:hint="eastAsia" w:ascii="仿宋" w:hAnsi="仿宋" w:eastAsia="仿宋"/>
          <w:b/>
          <w:color w:val="auto"/>
          <w:sz w:val="28"/>
          <w:szCs w:val="28"/>
        </w:rPr>
        <w:t xml:space="preserve">附件4</w:t>
      </w:r>
      <w:r>
        <w:rPr>
          <w:color w:val="auto"/>
        </w:rPr>
      </w:r>
      <w:r/>
    </w:p>
    <w:p>
      <w:pPr>
        <w:pStyle w:val="1016"/>
        <w:ind w:firstLine="600"/>
        <w:rPr>
          <w:color w:val="auto"/>
        </w:rPr>
      </w:pPr>
      <w:r>
        <w:rPr>
          <w:color w:val="auto"/>
          <w:lang w:eastAsia="zh-CN"/>
        </w:rPr>
      </w:r>
      <w:r>
        <w:rPr>
          <w:color w:val="auto"/>
        </w:rPr>
      </w:r>
      <w:r/>
    </w:p>
    <w:p>
      <w:pPr>
        <w:jc w:val="cente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法定代表人身份证明</w:t>
      </w:r>
      <w:r>
        <w:rPr>
          <w:color w:val="auto"/>
        </w:rPr>
      </w:r>
      <w:r/>
    </w:p>
    <w:p>
      <w:pPr>
        <w:spacing w:line="480" w:lineRule="exact"/>
        <w:rPr>
          <w:rFonts w:ascii="宋体" w:hAnsi="宋体"/>
          <w:color w:val="auto"/>
          <w:sz w:val="24"/>
        </w:rPr>
      </w:pPr>
      <w:r>
        <w:rPr>
          <w:rFonts w:ascii="宋体" w:hAnsi="宋体"/>
          <w:color w:val="auto"/>
          <w:sz w:val="24"/>
        </w:rPr>
      </w:r>
      <w:r>
        <w:rPr>
          <w:color w:val="auto"/>
        </w:rPr>
      </w:r>
      <w:r/>
    </w:p>
    <w:p>
      <w:pPr>
        <w:ind w:firstLine="480"/>
        <w:spacing w:line="480" w:lineRule="exact"/>
        <w:rPr>
          <w:rFonts w:ascii="仿宋" w:hAnsi="仿宋" w:eastAsia="仿宋"/>
          <w:color w:val="auto"/>
          <w:sz w:val="28"/>
        </w:rPr>
      </w:pPr>
      <w:r>
        <w:rPr>
          <w:rFonts w:ascii="宋体" w:hAnsi="宋体"/>
          <w:color w:val="auto"/>
          <w:sz w:val="24"/>
          <w:u w:val="single"/>
        </w:rPr>
        <w:t xml:space="preserve">  </w:t>
      </w:r>
      <w:r>
        <w:rPr>
          <w:rFonts w:ascii="仿宋" w:hAnsi="仿宋" w:eastAsia="仿宋"/>
          <w:color w:val="auto"/>
          <w:sz w:val="28"/>
          <w:u w:val="single"/>
        </w:rPr>
        <w:t xml:space="preserve">      </w:t>
      </w:r>
      <w:r>
        <w:rPr>
          <w:rFonts w:hint="eastAsia" w:ascii="仿宋" w:hAnsi="仿宋" w:eastAsia="仿宋"/>
          <w:color w:val="auto"/>
          <w:sz w:val="28"/>
        </w:rPr>
        <w:t xml:space="preserve">先生/女士：</w:t>
      </w:r>
      <w:r>
        <w:rPr>
          <w:rFonts w:ascii="仿宋" w:hAnsi="仿宋" w:eastAsia="仿宋"/>
          <w:color w:val="auto"/>
          <w:sz w:val="28"/>
        </w:rPr>
        <w:t xml:space="preserve"> </w:t>
      </w:r>
      <w:r>
        <w:rPr>
          <w:rFonts w:hint="eastAsia" w:ascii="仿宋" w:hAnsi="仿宋" w:eastAsia="仿宋"/>
          <w:color w:val="auto"/>
          <w:sz w:val="28"/>
        </w:rPr>
        <w:t xml:space="preserve">现任我单位</w:t>
      </w:r>
      <w:r>
        <w:rPr>
          <w:rFonts w:ascii="仿宋" w:hAnsi="仿宋" w:eastAsia="仿宋"/>
          <w:color w:val="auto"/>
          <w:sz w:val="28"/>
          <w:u w:val="single"/>
        </w:rPr>
        <w:t xml:space="preserve">        </w:t>
      </w:r>
      <w:r>
        <w:rPr>
          <w:rFonts w:hint="eastAsia" w:ascii="仿宋" w:hAnsi="仿宋" w:eastAsia="仿宋"/>
          <w:color w:val="auto"/>
          <w:sz w:val="28"/>
        </w:rPr>
        <w:t xml:space="preserve">职务，为法定代表人，特此证明。</w:t>
      </w:r>
      <w:r>
        <w:rPr>
          <w:color w:val="auto"/>
        </w:rPr>
      </w:r>
      <w:r/>
    </w:p>
    <w:p>
      <w:pPr>
        <w:ind w:firstLine="480"/>
        <w:spacing w:line="480" w:lineRule="exact"/>
        <w:rPr>
          <w:rFonts w:ascii="仿宋" w:hAnsi="仿宋" w:eastAsia="仿宋"/>
          <w:color w:val="auto"/>
          <w:sz w:val="28"/>
          <w:u w:val="single"/>
        </w:rPr>
      </w:pPr>
      <w:r>
        <w:rPr>
          <w:rFonts w:hint="eastAsia" w:ascii="仿宋" w:hAnsi="仿宋" w:eastAsia="仿宋"/>
          <w:color w:val="auto"/>
          <w:sz w:val="28"/>
        </w:rPr>
        <w:t xml:space="preserve">身份证号码：</w:t>
      </w:r>
      <w:r>
        <w:rPr>
          <w:rFonts w:ascii="仿宋" w:hAnsi="仿宋" w:eastAsia="仿宋"/>
          <w:color w:val="auto"/>
          <w:sz w:val="28"/>
          <w:u w:val="single"/>
        </w:rPr>
        <w:t xml:space="preserve">                                               </w:t>
      </w:r>
      <w:r>
        <w:rPr>
          <w:color w:val="auto"/>
        </w:rPr>
      </w:r>
      <w:r/>
    </w:p>
    <w:p>
      <w:pPr>
        <w:ind w:firstLine="480"/>
        <w:spacing w:line="480" w:lineRule="exact"/>
        <w:rPr>
          <w:rFonts w:ascii="宋体" w:hAnsi="宋体"/>
          <w:color w:val="auto"/>
          <w:sz w:val="24"/>
        </w:rPr>
      </w:pPr>
      <w:r>
        <w:rPr>
          <w:rFonts w:ascii="宋体" w:hAnsi="宋体"/>
          <w:color w:val="auto"/>
          <w:sz w:val="24"/>
        </w:rPr>
      </w:r>
      <w:r>
        <w:rPr>
          <w:color w:val="auto"/>
        </w:rPr>
      </w:r>
      <w:r/>
    </w:p>
    <w:p>
      <w:pPr>
        <w:pStyle w:val="1016"/>
        <w:ind w:firstLine="0"/>
        <w:jc w:val="center"/>
        <w:rPr>
          <w:b/>
          <w:color w:val="auto"/>
        </w:rPr>
      </w:pPr>
      <w:r>
        <w:rPr>
          <w:rFonts w:hint="eastAsia"/>
          <w:b/>
          <w:color w:val="auto"/>
          <w:sz w:val="28"/>
          <w:szCs w:val="28"/>
          <w:lang w:eastAsia="zh-CN"/>
        </w:rPr>
        <w:t xml:space="preserve">注：提供法定代表人有效期内的身份证复印件（加盖CA电子公章）</w:t>
      </w:r>
      <w:r>
        <w:rPr>
          <w:color w:val="auto"/>
        </w:rPr>
      </w:r>
      <w:r/>
    </w:p>
    <w:p>
      <w:pPr>
        <w:pStyle w:val="1016"/>
        <w:ind w:firstLine="600"/>
        <w:rPr>
          <w:color w:val="auto"/>
        </w:rPr>
      </w:pPr>
      <w:r>
        <w:rPr>
          <w:color w:val="auto"/>
          <w:lang w:eastAsia="zh-CN"/>
        </w:rPr>
      </w:r>
      <w:r>
        <w:rPr>
          <w:color w:val="auto"/>
        </w:rPr>
      </w:r>
      <w:r/>
    </w:p>
    <w:p>
      <w:pPr>
        <w:spacing w:line="480" w:lineRule="exact"/>
        <w:rPr>
          <w:rFonts w:ascii="仿宋" w:hAnsi="仿宋" w:eastAsia="仿宋"/>
          <w:b/>
          <w:color w:val="auto"/>
          <w:sz w:val="28"/>
          <w:szCs w:val="28"/>
        </w:rPr>
      </w:pPr>
      <w:r>
        <w:rPr>
          <w:rFonts w:ascii="仿宋" w:hAnsi="仿宋" w:eastAsia="仿宋"/>
          <w:color w:val="auto"/>
          <w:sz w:val="28"/>
          <w:szCs w:val="28"/>
        </w:rPr>
        <w:br w:type="page" w:clear="all"/>
      </w:r>
      <w:r>
        <w:rPr>
          <w:rFonts w:hint="eastAsia" w:ascii="仿宋" w:hAnsi="仿宋" w:eastAsia="仿宋"/>
          <w:b/>
          <w:color w:val="auto"/>
          <w:sz w:val="28"/>
          <w:szCs w:val="28"/>
        </w:rPr>
        <w:t xml:space="preserve">附件5</w:t>
      </w:r>
      <w:r>
        <w:rPr>
          <w:color w:val="auto"/>
        </w:rPr>
      </w:r>
      <w:r/>
    </w:p>
    <w:p>
      <w:pPr>
        <w:jc w:val="center"/>
        <w:rPr>
          <w:rFonts w:ascii="Calibri" w:hAnsi="Calibri"/>
          <w:color w:val="auto"/>
          <w:sz w:val="32"/>
          <w:szCs w:val="32"/>
        </w:rPr>
      </w:pPr>
      <w:r>
        <w:rPr>
          <w:rFonts w:hint="eastAsia" w:ascii="Calibri" w:hAnsi="Calibri"/>
          <w:color w:val="auto"/>
          <w:sz w:val="32"/>
          <w:szCs w:val="32"/>
        </w:rPr>
        <w:t xml:space="preserve">法定代表人授权委托书</w:t>
      </w:r>
      <w:r>
        <w:rPr>
          <w:color w:val="auto"/>
        </w:rPr>
      </w:r>
      <w:r/>
    </w:p>
    <w:p>
      <w:pPr>
        <w:ind w:firstLine="560"/>
        <w:jc w:val="left"/>
        <w:spacing w:line="480" w:lineRule="exact"/>
        <w:tabs>
          <w:tab w:val="left" w:pos="360" w:leader="none"/>
        </w:tabs>
        <w:rPr>
          <w:rFonts w:ascii="仿宋" w:hAnsi="仿宋" w:eastAsia="仿宋"/>
          <w:color w:val="auto"/>
          <w:sz w:val="28"/>
          <w:szCs w:val="28"/>
        </w:rPr>
      </w:pPr>
      <w:r>
        <w:rPr>
          <w:rFonts w:hint="eastAsia" w:ascii="仿宋" w:hAnsi="仿宋" w:eastAsia="仿宋"/>
          <w:color w:val="auto"/>
          <w:sz w:val="28"/>
          <w:szCs w:val="28"/>
        </w:rPr>
        <w:t xml:space="preserve">本授权书声明：____________（投标人名称）授权_______________（被授权人的姓名）为我方就JSZC-</w:t>
      </w:r>
      <w:r>
        <w:rPr>
          <w:rFonts w:ascii="仿宋" w:hAnsi="仿宋" w:eastAsia="仿宋"/>
          <w:color w:val="auto"/>
          <w:sz w:val="28"/>
          <w:szCs w:val="28"/>
        </w:rPr>
        <w:t xml:space="preserve">320</w:t>
      </w:r>
      <w:r>
        <w:rPr>
          <w:rFonts w:hint="eastAsia" w:ascii="仿宋" w:hAnsi="仿宋" w:eastAsia="仿宋"/>
          <w:color w:val="auto"/>
          <w:sz w:val="28"/>
          <w:szCs w:val="28"/>
        </w:rPr>
        <w:t xml:space="preserve">6</w:t>
      </w:r>
      <w:r>
        <w:rPr>
          <w:rFonts w:ascii="仿宋" w:hAnsi="仿宋" w:eastAsia="仿宋"/>
          <w:color w:val="auto"/>
          <w:sz w:val="28"/>
          <w:szCs w:val="28"/>
        </w:rPr>
        <w:t xml:space="preserve">00-</w:t>
      </w:r>
      <w:r>
        <w:rPr>
          <w:rFonts w:ascii="仿宋" w:hAnsi="仿宋" w:eastAsia="仿宋"/>
          <w:color w:val="auto"/>
          <w:sz w:val="28"/>
          <w:szCs w:val="28"/>
          <w:u w:val="single"/>
        </w:rPr>
        <w:t xml:space="preserve">***</w:t>
      </w:r>
      <w:r>
        <w:rPr>
          <w:rFonts w:hint="eastAsia" w:ascii="仿宋" w:hAnsi="仿宋" w:eastAsia="仿宋"/>
          <w:color w:val="auto"/>
          <w:sz w:val="28"/>
          <w:szCs w:val="28"/>
        </w:rPr>
        <w:t xml:space="preserve">号项目采购活动的合法代理人，以本单位名义全权处理一切与该项目采购有关的事务。</w:t>
      </w:r>
      <w:r>
        <w:rPr>
          <w:color w:val="auto"/>
        </w:rPr>
      </w:r>
      <w:r/>
    </w:p>
    <w:p>
      <w:pPr>
        <w:ind w:firstLine="560"/>
        <w:spacing w:line="480" w:lineRule="exact"/>
        <w:tabs>
          <w:tab w:val="left" w:pos="360" w:leader="none"/>
        </w:tabs>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rPr>
          <w:color w:val="auto"/>
        </w:rPr>
      </w:r>
      <w:r/>
    </w:p>
    <w:p>
      <w:pPr>
        <w:spacing w:line="480" w:lineRule="exact"/>
        <w:tabs>
          <w:tab w:val="left" w:pos="360" w:leader="none"/>
        </w:tabs>
        <w:rPr>
          <w:rFonts w:ascii="仿宋" w:hAnsi="仿宋" w:eastAsia="仿宋"/>
          <w:color w:val="auto"/>
          <w:sz w:val="28"/>
          <w:szCs w:val="28"/>
          <w:u w:val="single"/>
        </w:rPr>
      </w:pPr>
      <w:r>
        <w:rPr>
          <w:rFonts w:hint="eastAsia" w:ascii="仿宋" w:hAnsi="仿宋" w:eastAsia="仿宋"/>
          <w:color w:val="auto"/>
          <w:sz w:val="28"/>
          <w:szCs w:val="28"/>
        </w:rPr>
        <w:t xml:space="preserve">    被授权人身份证号码：</w:t>
      </w:r>
      <w:r>
        <w:rPr>
          <w:rFonts w:hint="eastAsia" w:ascii="仿宋" w:hAnsi="仿宋" w:eastAsia="仿宋"/>
          <w:color w:val="auto"/>
          <w:sz w:val="28"/>
          <w:szCs w:val="28"/>
          <w:u w:val="single"/>
        </w:rPr>
        <w:t xml:space="preserve">                              </w:t>
      </w:r>
      <w:r>
        <w:rPr>
          <w:color w:val="auto"/>
        </w:rPr>
      </w:r>
      <w:r/>
    </w:p>
    <w:p>
      <w:pPr>
        <w:spacing w:line="480" w:lineRule="exact"/>
        <w:tabs>
          <w:tab w:val="left" w:pos="360" w:leader="none"/>
        </w:tabs>
        <w:rPr>
          <w:rFonts w:ascii="仿宋" w:hAnsi="仿宋" w:eastAsia="仿宋"/>
          <w:color w:val="auto"/>
          <w:sz w:val="28"/>
          <w:szCs w:val="28"/>
          <w:u w:val="single"/>
        </w:rPr>
      </w:pPr>
      <w:r>
        <w:rPr>
          <w:rFonts w:hint="eastAsia" w:ascii="仿宋" w:hAnsi="仿宋" w:eastAsia="仿宋"/>
          <w:color w:val="auto"/>
          <w:sz w:val="28"/>
          <w:szCs w:val="28"/>
        </w:rPr>
        <w:t xml:space="preserve">    被授权人联系电话：（手机）</w:t>
      </w:r>
      <w:r>
        <w:rPr>
          <w:rFonts w:hint="eastAsia" w:ascii="仿宋" w:hAnsi="仿宋" w:eastAsia="仿宋"/>
          <w:color w:val="auto"/>
          <w:sz w:val="28"/>
          <w:szCs w:val="28"/>
          <w:u w:val="single"/>
        </w:rPr>
        <w:t xml:space="preserve">                          </w:t>
      </w:r>
      <w:r>
        <w:rPr>
          <w:color w:val="auto"/>
        </w:rPr>
      </w:r>
      <w:r/>
    </w:p>
    <w:p>
      <w:pPr>
        <w:ind w:firstLine="560"/>
        <w:spacing w:line="480" w:lineRule="exact"/>
        <w:tabs>
          <w:tab w:val="left" w:pos="360" w:leader="none"/>
        </w:tabs>
        <w:rPr>
          <w:rFonts w:ascii="仿宋" w:hAnsi="仿宋" w:eastAsia="仿宋"/>
          <w:color w:val="auto"/>
          <w:sz w:val="28"/>
          <w:szCs w:val="28"/>
        </w:rPr>
      </w:pPr>
      <w:r>
        <w:rPr>
          <w:rFonts w:hint="eastAsia" w:ascii="仿宋" w:hAnsi="仿宋" w:eastAsia="仿宋"/>
          <w:color w:val="auto"/>
          <w:sz w:val="28"/>
          <w:szCs w:val="28"/>
        </w:rPr>
        <w:t xml:space="preserve">授权单位名称：</w:t>
      </w:r>
      <w:r>
        <w:rPr>
          <w:rFonts w:hint="eastAsia" w:ascii="仿宋" w:hAnsi="仿宋" w:eastAsia="仿宋"/>
          <w:b/>
          <w:bCs/>
          <w:color w:val="auto"/>
          <w:sz w:val="28"/>
          <w:szCs w:val="28"/>
          <w:u w:val="single"/>
        </w:rPr>
        <w:t xml:space="preserve">（加盖CA电子公章）</w:t>
      </w:r>
      <w:r>
        <w:rPr>
          <w:color w:val="auto"/>
        </w:rPr>
      </w:r>
      <w:r/>
    </w:p>
    <w:p>
      <w:pPr>
        <w:ind w:firstLine="560"/>
        <w:spacing w:line="480" w:lineRule="exact"/>
        <w:tabs>
          <w:tab w:val="left" w:pos="360" w:leader="none"/>
        </w:tabs>
        <w:rPr>
          <w:rFonts w:ascii="仿宋" w:hAnsi="仿宋" w:eastAsia="仿宋"/>
          <w:color w:val="auto"/>
          <w:sz w:val="28"/>
          <w:szCs w:val="28"/>
          <w:u w:val="single"/>
        </w:rPr>
      </w:pPr>
      <w:r>
        <w:rPr>
          <w:rFonts w:hint="eastAsia" w:ascii="仿宋" w:hAnsi="仿宋" w:eastAsia="仿宋"/>
          <w:color w:val="auto"/>
          <w:sz w:val="28"/>
          <w:szCs w:val="28"/>
        </w:rPr>
        <w:t xml:space="preserve">单位地址：</w:t>
      </w:r>
      <w:r>
        <w:rPr>
          <w:rFonts w:hint="eastAsia" w:ascii="仿宋" w:hAnsi="仿宋" w:eastAsia="仿宋"/>
          <w:color w:val="auto"/>
          <w:sz w:val="28"/>
          <w:szCs w:val="28"/>
          <w:u w:val="single"/>
        </w:rPr>
        <w:t xml:space="preserve">                                         </w:t>
      </w:r>
      <w:r>
        <w:rPr>
          <w:color w:val="auto"/>
        </w:rPr>
      </w:r>
      <w:r/>
    </w:p>
    <w:p>
      <w:pPr>
        <w:ind w:firstLine="560"/>
        <w:spacing w:line="480" w:lineRule="exact"/>
        <w:tabs>
          <w:tab w:val="left" w:pos="360" w:leader="none"/>
        </w:tabs>
        <w:rPr>
          <w:rFonts w:ascii="仿宋" w:hAnsi="仿宋" w:eastAsia="仿宋"/>
          <w:color w:val="auto"/>
          <w:sz w:val="28"/>
          <w:szCs w:val="28"/>
        </w:rPr>
      </w:pPr>
      <w:r>
        <w:rPr>
          <w:rFonts w:hint="eastAsia" w:ascii="仿宋" w:hAnsi="仿宋" w:eastAsia="仿宋"/>
          <w:color w:val="auto"/>
          <w:sz w:val="28"/>
          <w:szCs w:val="28"/>
        </w:rPr>
        <w:t xml:space="preserve">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r>
        <w:rPr>
          <w:color w:val="auto"/>
        </w:rPr>
      </w:r>
      <w:r/>
    </w:p>
    <w:p>
      <w:pPr>
        <w:pStyle w:val="1016"/>
        <w:ind w:firstLine="600"/>
        <w:rPr>
          <w:color w:val="auto"/>
        </w:rPr>
      </w:pPr>
      <w:r>
        <w:rPr>
          <w:color w:val="auto"/>
          <w:lang w:eastAsia="zh-CN"/>
        </w:rPr>
      </w:r>
      <w:r>
        <w:rPr>
          <w:color w:val="auto"/>
        </w:rPr>
      </w:r>
      <w:r/>
    </w:p>
    <w:p>
      <w:pPr>
        <w:pStyle w:val="1016"/>
        <w:rPr>
          <w:b/>
          <w:color w:val="auto"/>
        </w:rPr>
      </w:pPr>
      <w:r>
        <w:rPr>
          <w:rFonts w:hint="eastAsia"/>
          <w:b/>
          <w:color w:val="auto"/>
          <w:lang w:eastAsia="zh-CN"/>
        </w:rPr>
        <w:t xml:space="preserve">注：</w:t>
      </w:r>
      <w:r>
        <w:rPr>
          <w:color w:val="auto"/>
        </w:rPr>
      </w:r>
      <w:r/>
    </w:p>
    <w:p>
      <w:pPr>
        <w:pStyle w:val="1016"/>
        <w:rPr>
          <w:b/>
          <w:color w:val="auto"/>
          <w:sz w:val="28"/>
          <w:szCs w:val="28"/>
        </w:rPr>
      </w:pPr>
      <w:r>
        <w:rPr>
          <w:rFonts w:hint="eastAsia"/>
          <w:b/>
          <w:color w:val="auto"/>
          <w:sz w:val="28"/>
          <w:szCs w:val="28"/>
          <w:lang w:eastAsia="zh-CN"/>
        </w:rPr>
        <w:t xml:space="preserve">提供代理人有效期内的身份证复印件（加盖CA电子公章）；</w:t>
      </w:r>
      <w:r>
        <w:rPr>
          <w:color w:val="auto"/>
        </w:rPr>
      </w:r>
      <w:r/>
    </w:p>
    <w:p>
      <w:pPr>
        <w:pStyle w:val="1016"/>
        <w:rPr>
          <w:rFonts w:eastAsia="仿宋"/>
          <w:b/>
          <w:color w:val="auto"/>
          <w:sz w:val="28"/>
          <w:szCs w:val="28"/>
        </w:rPr>
      </w:pPr>
      <w:r>
        <w:rPr>
          <w:rFonts w:hint="eastAsia" w:ascii="仿宋" w:hAnsi="仿宋" w:eastAsia="仿宋"/>
          <w:b/>
          <w:color w:val="auto"/>
          <w:sz w:val="28"/>
          <w:szCs w:val="28"/>
          <w:lang w:eastAsia="zh-CN"/>
        </w:rPr>
        <w:t xml:space="preserve">法定代表人亲自参与的本附件无需提供。</w:t>
      </w:r>
      <w:r>
        <w:rPr>
          <w:color w:val="auto"/>
        </w:rPr>
      </w:r>
      <w:r/>
    </w:p>
    <w:p>
      <w:pPr>
        <w:spacing w:line="480" w:lineRule="exact"/>
        <w:tabs>
          <w:tab w:val="left" w:pos="360" w:leader="none"/>
        </w:tabs>
        <w:rPr>
          <w:rFonts w:ascii="仿宋" w:hAnsi="仿宋" w:eastAsia="仿宋"/>
          <w:b/>
          <w:color w:val="auto"/>
          <w:sz w:val="28"/>
          <w:szCs w:val="28"/>
        </w:rPr>
      </w:pPr>
      <w:r>
        <w:rPr>
          <w:rFonts w:ascii="仿宋" w:hAnsi="仿宋" w:eastAsia="仿宋" w:cs="Arial"/>
          <w:b/>
          <w:color w:val="auto"/>
          <w:sz w:val="28"/>
          <w:szCs w:val="28"/>
        </w:rPr>
        <w:br w:type="page" w:clear="all"/>
      </w:r>
      <w:r>
        <w:rPr>
          <w:rFonts w:hint="eastAsia" w:ascii="仿宋" w:hAnsi="仿宋" w:eastAsia="仿宋"/>
          <w:b/>
          <w:color w:val="auto"/>
          <w:sz w:val="28"/>
          <w:szCs w:val="28"/>
        </w:rPr>
        <w:t xml:space="preserve">附件6</w:t>
      </w:r>
      <w:r>
        <w:rPr>
          <w:rFonts w:ascii="仿宋" w:hAnsi="仿宋" w:eastAsia="仿宋"/>
          <w:b/>
          <w:color w:val="auto"/>
          <w:sz w:val="28"/>
          <w:szCs w:val="28"/>
        </w:rPr>
        <w:t xml:space="preserve">                      </w:t>
      </w:r>
      <w:r>
        <w:rPr>
          <w:color w:val="auto"/>
        </w:rPr>
      </w:r>
      <w:r/>
    </w:p>
    <w:p>
      <w:pPr>
        <w:jc w:val="center"/>
        <w:spacing w:line="480" w:lineRule="exact"/>
        <w:tabs>
          <w:tab w:val="left" w:pos="360" w:leader="none"/>
        </w:tabs>
        <w:rPr>
          <w:rFonts w:ascii="仿宋" w:hAnsi="仿宋" w:eastAsia="仿宋"/>
          <w:color w:val="auto"/>
          <w:sz w:val="28"/>
          <w:szCs w:val="28"/>
        </w:rPr>
      </w:pPr>
      <w:r>
        <w:rPr>
          <w:rFonts w:hint="eastAsia" w:ascii="仿宋" w:hAnsi="仿宋" w:eastAsia="仿宋"/>
          <w:b/>
          <w:color w:val="auto"/>
          <w:sz w:val="28"/>
          <w:szCs w:val="28"/>
        </w:rPr>
        <w:t xml:space="preserve">投标函</w:t>
      </w:r>
      <w:r>
        <w:rPr>
          <w:color w:val="auto"/>
        </w:rPr>
      </w:r>
      <w:r/>
    </w:p>
    <w:p>
      <w:pPr>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致：南通市教育技术中心</w:t>
      </w:r>
      <w:r>
        <w:rPr>
          <w:color w:val="auto"/>
        </w:rPr>
      </w:r>
      <w:r/>
    </w:p>
    <w:p>
      <w:pPr>
        <w:ind w:firstLine="56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根据贵方的JSZC-</w:t>
      </w:r>
      <w:r>
        <w:rPr>
          <w:rFonts w:ascii="仿宋" w:hAnsi="仿宋" w:eastAsia="仿宋"/>
          <w:color w:val="auto"/>
          <w:sz w:val="24"/>
          <w:szCs w:val="24"/>
        </w:rPr>
        <w:t xml:space="preserve">320</w:t>
      </w:r>
      <w:r>
        <w:rPr>
          <w:rFonts w:hint="eastAsia" w:ascii="仿宋" w:hAnsi="仿宋" w:eastAsia="仿宋"/>
          <w:color w:val="auto"/>
          <w:sz w:val="24"/>
          <w:szCs w:val="24"/>
        </w:rPr>
        <w:t xml:space="preserve">6</w:t>
      </w:r>
      <w:r>
        <w:rPr>
          <w:rFonts w:ascii="仿宋" w:hAnsi="仿宋" w:eastAsia="仿宋"/>
          <w:color w:val="auto"/>
          <w:sz w:val="24"/>
          <w:szCs w:val="24"/>
        </w:rPr>
        <w:t xml:space="preserve">00-</w:t>
      </w:r>
      <w:r>
        <w:rPr>
          <w:rFonts w:ascii="仿宋" w:hAnsi="仿宋" w:eastAsia="仿宋"/>
          <w:color w:val="auto"/>
          <w:sz w:val="24"/>
          <w:szCs w:val="24"/>
          <w:u w:val="single"/>
        </w:rPr>
        <w:t xml:space="preserve">****</w:t>
      </w:r>
      <w:r>
        <w:rPr>
          <w:rFonts w:hint="eastAsia" w:ascii="仿宋" w:hAnsi="仿宋" w:eastAsia="仿宋"/>
          <w:color w:val="auto"/>
          <w:sz w:val="24"/>
          <w:szCs w:val="24"/>
        </w:rPr>
        <w:t xml:space="preserve">号招标文件，正式授权下述_____（被授权人姓名）代表我方_______（投标人的名称），全权处理本次项目投标的有关事宜。</w:t>
      </w:r>
      <w:r>
        <w:rPr>
          <w:color w:val="auto"/>
        </w:rPr>
      </w:r>
      <w:r/>
    </w:p>
    <w:p>
      <w:pPr>
        <w:ind w:firstLine="56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据此函，__________（被授权人姓名）兹宣布同意如下：</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1.按招标文件规定的各项要求，向买方提供所需货物（包含与货物相关的服务）。</w:t>
      </w:r>
      <w:r>
        <w:rPr>
          <w:color w:val="auto"/>
        </w:rPr>
      </w:r>
      <w:r/>
    </w:p>
    <w:p>
      <w:pPr>
        <w:ind w:firstLine="56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2.我们完全理解贵方不一定将合同授予最低报价的投标人。</w:t>
      </w:r>
      <w:r>
        <w:rPr>
          <w:color w:val="auto"/>
        </w:rPr>
      </w:r>
      <w:r/>
    </w:p>
    <w:p>
      <w:pPr>
        <w:ind w:firstLine="56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3.我们已详细审核全部招标文件及其有效补充文件，我们知道必须放弃提出含糊不清或误解问题的权利。</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4.我们同意从规定的开标日期起遵循本投标文件，并在规定的投标有效期期满之前均具有约束力。</w:t>
      </w:r>
      <w:r>
        <w:rPr>
          <w:color w:val="auto"/>
        </w:rPr>
      </w:r>
      <w:r/>
    </w:p>
    <w:p>
      <w:pPr>
        <w:ind w:firstLine="480"/>
        <w:jc w:val="left"/>
        <w:spacing w:line="480" w:lineRule="exact"/>
        <w:rPr>
          <w:rFonts w:ascii="仿宋" w:hAnsi="仿宋" w:eastAsia="仿宋"/>
          <w:color w:val="auto"/>
          <w:sz w:val="24"/>
          <w:szCs w:val="24"/>
        </w:rPr>
      </w:pPr>
      <w:r>
        <w:rPr>
          <w:rFonts w:ascii="仿宋" w:hAnsi="仿宋" w:eastAsia="仿宋"/>
          <w:color w:val="auto"/>
          <w:sz w:val="24"/>
          <w:szCs w:val="24"/>
        </w:rPr>
        <w:t xml:space="preserve">5</w:t>
      </w:r>
      <w:r>
        <w:rPr>
          <w:rFonts w:hint="eastAsia" w:ascii="仿宋" w:hAnsi="仿宋" w:eastAsia="仿宋"/>
          <w:color w:val="auto"/>
          <w:sz w:val="24"/>
          <w:szCs w:val="24"/>
        </w:rPr>
        <w:t xml:space="preserve">.同意向贵方提供贵方可能另外要求的与投标有关的任何证据或资料，并保证我方已提供和将要提供的文件是真实的、准确的。</w:t>
      </w:r>
      <w:r>
        <w:rPr>
          <w:color w:val="auto"/>
        </w:rPr>
      </w:r>
      <w:r/>
    </w:p>
    <w:p>
      <w:pPr>
        <w:ind w:firstLine="480"/>
        <w:jc w:val="left"/>
        <w:spacing w:line="480" w:lineRule="exact"/>
        <w:rPr>
          <w:rFonts w:ascii="仿宋" w:hAnsi="仿宋" w:eastAsia="仿宋"/>
          <w:color w:val="auto"/>
          <w:sz w:val="24"/>
          <w:szCs w:val="24"/>
        </w:rPr>
      </w:pPr>
      <w:r>
        <w:rPr>
          <w:rFonts w:ascii="仿宋" w:hAnsi="仿宋" w:eastAsia="仿宋"/>
          <w:color w:val="auto"/>
          <w:sz w:val="24"/>
          <w:szCs w:val="24"/>
        </w:rPr>
        <w:t xml:space="preserve">6</w:t>
      </w:r>
      <w:r>
        <w:rPr>
          <w:rFonts w:hint="eastAsia" w:ascii="仿宋" w:hAnsi="仿宋" w:eastAsia="仿宋"/>
          <w:color w:val="auto"/>
          <w:sz w:val="24"/>
          <w:szCs w:val="24"/>
        </w:rPr>
        <w:t xml:space="preserve">.一旦我方中标，我方将根据招标文件的规定，严格履行合同的责任和义务，并保证在招标文件规定的时间内完成项目，交付买方验收、使用。</w:t>
      </w:r>
      <w:r>
        <w:rPr>
          <w:color w:val="auto"/>
        </w:rPr>
      </w:r>
      <w:r/>
    </w:p>
    <w:p>
      <w:pPr>
        <w:ind w:left="425"/>
        <w:jc w:val="left"/>
        <w:spacing w:line="480" w:lineRule="exact"/>
        <w:rPr>
          <w:rFonts w:ascii="仿宋" w:hAnsi="仿宋" w:eastAsia="仿宋"/>
          <w:color w:val="auto"/>
          <w:sz w:val="24"/>
          <w:szCs w:val="24"/>
        </w:rPr>
      </w:pPr>
      <w:r>
        <w:rPr>
          <w:rFonts w:ascii="仿宋" w:hAnsi="仿宋" w:eastAsia="仿宋"/>
          <w:color w:val="auto"/>
          <w:sz w:val="24"/>
          <w:szCs w:val="24"/>
        </w:rPr>
        <w:t xml:space="preserve">7</w:t>
      </w:r>
      <w:r>
        <w:rPr>
          <w:rFonts w:hint="eastAsia" w:ascii="仿宋" w:hAnsi="仿宋" w:eastAsia="仿宋"/>
          <w:color w:val="auto"/>
          <w:sz w:val="24"/>
          <w:szCs w:val="24"/>
        </w:rPr>
        <w:t xml:space="preserve">.与本投标有关的正式通讯地址为：</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地        址：</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邮        编：</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电        话：</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传        真：</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投标人开户行：</w:t>
      </w:r>
      <w:r>
        <w:rPr>
          <w:color w:val="auto"/>
        </w:rPr>
      </w:r>
      <w:r/>
    </w:p>
    <w:p>
      <w:pPr>
        <w:ind w:firstLine="480"/>
        <w:jc w:val="left"/>
        <w:spacing w:line="480" w:lineRule="exact"/>
        <w:rPr>
          <w:rFonts w:ascii="仿宋" w:hAnsi="仿宋" w:eastAsia="仿宋"/>
          <w:color w:val="auto"/>
          <w:sz w:val="24"/>
          <w:szCs w:val="24"/>
        </w:rPr>
      </w:pPr>
      <w:r>
        <w:rPr>
          <w:rFonts w:hint="eastAsia" w:ascii="仿宋" w:hAnsi="仿宋" w:eastAsia="仿宋"/>
          <w:color w:val="auto"/>
          <w:sz w:val="24"/>
          <w:szCs w:val="24"/>
        </w:rPr>
        <w:t xml:space="preserve">账        号： </w:t>
      </w:r>
      <w:r>
        <w:rPr>
          <w:color w:val="auto"/>
        </w:rPr>
      </w:r>
      <w:r/>
    </w:p>
    <w:p>
      <w:pPr>
        <w:jc w:val="center"/>
        <w:spacing w:line="480" w:lineRule="exact"/>
        <w:rPr>
          <w:rFonts w:ascii="仿宋" w:hAnsi="仿宋" w:eastAsia="仿宋" w:cs="仿宋"/>
          <w:b/>
          <w:color w:val="auto"/>
          <w:sz w:val="24"/>
          <w:szCs w:val="28"/>
        </w:rPr>
      </w:pPr>
      <w:r>
        <w:rPr>
          <w:rFonts w:hint="eastAsia" w:ascii="仿宋" w:hAnsi="仿宋" w:eastAsia="仿宋" w:cs="仿宋"/>
          <w:color w:val="auto"/>
          <w:sz w:val="24"/>
          <w:szCs w:val="28"/>
        </w:rPr>
        <w:t xml:space="preserve">                                          供应商</w:t>
      </w:r>
      <w:r>
        <w:rPr>
          <w:rFonts w:hint="eastAsia" w:ascii="仿宋" w:hAnsi="仿宋" w:eastAsia="仿宋" w:cs="仿宋"/>
          <w:bCs/>
          <w:color w:val="auto"/>
          <w:sz w:val="24"/>
          <w:szCs w:val="28"/>
        </w:rPr>
        <w:t xml:space="preserve">名称：</w:t>
      </w:r>
      <w:r>
        <w:rPr>
          <w:rFonts w:hint="eastAsia" w:ascii="仿宋" w:hAnsi="仿宋" w:eastAsia="仿宋" w:cs="仿宋"/>
          <w:b/>
          <w:color w:val="auto"/>
          <w:sz w:val="24"/>
          <w:szCs w:val="28"/>
        </w:rPr>
        <w:t xml:space="preserve">（加盖CA电子公章）</w:t>
      </w:r>
      <w:r>
        <w:rPr>
          <w:color w:val="auto"/>
        </w:rPr>
      </w:r>
      <w:r/>
    </w:p>
    <w:p>
      <w:pPr>
        <w:pStyle w:val="971"/>
        <w:rPr>
          <w:rFonts w:ascii="仿宋" w:hAnsi="仿宋" w:eastAsia="仿宋" w:cs="仿宋"/>
          <w:color w:val="auto"/>
        </w:rPr>
      </w:pPr>
      <w:r>
        <w:rPr>
          <w:rFonts w:ascii="仿宋" w:hAnsi="仿宋" w:eastAsia="仿宋" w:cs="仿宋"/>
          <w:color w:val="auto"/>
        </w:rPr>
      </w:r>
      <w:r>
        <w:rPr>
          <w:color w:val="auto"/>
        </w:rPr>
      </w:r>
      <w:r/>
    </w:p>
    <w:p>
      <w:pPr>
        <w:jc w:val="right"/>
        <w:spacing w:line="480" w:lineRule="exact"/>
        <w:rPr>
          <w:rFonts w:ascii="仿宋" w:hAnsi="仿宋" w:eastAsia="仿宋" w:cs="仿宋"/>
          <w:color w:val="auto"/>
          <w:sz w:val="24"/>
          <w:szCs w:val="28"/>
        </w:rPr>
      </w:pPr>
      <w:r>
        <w:rPr>
          <w:rFonts w:hint="eastAsia" w:ascii="仿宋" w:hAnsi="仿宋" w:eastAsia="仿宋" w:cs="仿宋"/>
          <w:bCs/>
          <w:color w:val="auto"/>
          <w:sz w:val="24"/>
          <w:szCs w:val="28"/>
        </w:rPr>
        <w:t xml:space="preserve">                         日期：</w:t>
      </w:r>
      <w:r>
        <w:rPr>
          <w:rFonts w:hint="eastAsia" w:ascii="仿宋" w:hAnsi="仿宋" w:eastAsia="仿宋" w:cs="仿宋"/>
          <w:bCs/>
          <w:color w:val="auto"/>
          <w:sz w:val="24"/>
          <w:szCs w:val="28"/>
          <w:u w:val="single"/>
        </w:rPr>
        <w:t xml:space="preserve">      </w:t>
      </w:r>
      <w:r>
        <w:rPr>
          <w:rFonts w:hint="eastAsia" w:ascii="仿宋" w:hAnsi="仿宋" w:eastAsia="仿宋" w:cs="仿宋"/>
          <w:bCs/>
          <w:color w:val="auto"/>
          <w:sz w:val="24"/>
          <w:szCs w:val="28"/>
        </w:rPr>
        <w:t xml:space="preserve">年</w:t>
      </w:r>
      <w:r>
        <w:rPr>
          <w:rFonts w:hint="eastAsia" w:ascii="仿宋" w:hAnsi="仿宋" w:eastAsia="仿宋" w:cs="仿宋"/>
          <w:bCs/>
          <w:color w:val="auto"/>
          <w:sz w:val="24"/>
          <w:szCs w:val="28"/>
          <w:u w:val="single"/>
        </w:rPr>
        <w:t xml:space="preserve">    </w:t>
      </w:r>
      <w:r>
        <w:rPr>
          <w:rFonts w:hint="eastAsia" w:ascii="仿宋" w:hAnsi="仿宋" w:eastAsia="仿宋" w:cs="仿宋"/>
          <w:bCs/>
          <w:color w:val="auto"/>
          <w:sz w:val="24"/>
          <w:szCs w:val="28"/>
        </w:rPr>
        <w:t xml:space="preserve">月</w:t>
      </w:r>
      <w:r>
        <w:rPr>
          <w:rFonts w:hint="eastAsia" w:ascii="仿宋" w:hAnsi="仿宋" w:eastAsia="仿宋" w:cs="仿宋"/>
          <w:bCs/>
          <w:color w:val="auto"/>
          <w:sz w:val="24"/>
          <w:szCs w:val="28"/>
          <w:u w:val="single"/>
        </w:rPr>
        <w:t xml:space="preserve">    </w:t>
      </w:r>
      <w:r>
        <w:rPr>
          <w:rFonts w:hint="eastAsia" w:ascii="仿宋" w:hAnsi="仿宋" w:eastAsia="仿宋" w:cs="仿宋"/>
          <w:bCs/>
          <w:color w:val="auto"/>
          <w:sz w:val="24"/>
          <w:szCs w:val="28"/>
        </w:rPr>
        <w:t xml:space="preserve">日</w:t>
      </w:r>
      <w:r>
        <w:rPr>
          <w:color w:val="auto"/>
        </w:rPr>
      </w:r>
      <w:r/>
    </w:p>
    <w:p>
      <w:pPr>
        <w:jc w:val="left"/>
        <w:spacing w:line="480" w:lineRule="exact"/>
        <w:rPr>
          <w:rFonts w:ascii="仿宋" w:hAnsi="仿宋" w:eastAsia="仿宋"/>
          <w:bCs/>
          <w:color w:val="auto"/>
          <w:sz w:val="24"/>
          <w:szCs w:val="24"/>
        </w:rPr>
      </w:pPr>
      <w:r>
        <w:rPr>
          <w:rFonts w:ascii="仿宋" w:hAnsi="仿宋" w:eastAsia="仿宋"/>
          <w:bCs/>
          <w:color w:val="auto"/>
          <w:sz w:val="24"/>
          <w:szCs w:val="24"/>
        </w:rPr>
      </w:r>
      <w:r>
        <w:rPr>
          <w:color w:val="auto"/>
        </w:rPr>
      </w:r>
      <w:r/>
    </w:p>
    <w:p>
      <w:pPr>
        <w:jc w:val="left"/>
        <w:spacing w:line="480" w:lineRule="exact"/>
        <w:rPr>
          <w:rFonts w:ascii="仿宋" w:hAnsi="仿宋" w:eastAsia="仿宋"/>
          <w:bCs/>
          <w:color w:val="auto"/>
          <w:sz w:val="28"/>
          <w:szCs w:val="28"/>
        </w:rPr>
      </w:pPr>
      <w:r>
        <w:rPr>
          <w:rFonts w:ascii="仿宋" w:hAnsi="仿宋" w:eastAsia="仿宋"/>
          <w:bCs/>
          <w:color w:val="auto"/>
          <w:sz w:val="28"/>
          <w:szCs w:val="28"/>
        </w:rPr>
      </w:r>
      <w:r>
        <w:rPr>
          <w:color w:val="auto"/>
        </w:rPr>
      </w:r>
      <w:r/>
    </w:p>
    <w:p>
      <w:pP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附件7</w:t>
      </w:r>
      <w:r>
        <w:rPr>
          <w:color w:val="auto"/>
        </w:rPr>
      </w:r>
      <w:r/>
    </w:p>
    <w:p>
      <w:pPr>
        <w:jc w:val="cente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技术要求响应及偏离表</w:t>
      </w:r>
      <w:r>
        <w:rPr>
          <w:color w:val="auto"/>
        </w:rPr>
      </w:r>
      <w:r/>
    </w:p>
    <w:tbl>
      <w:tblPr>
        <w:tblStyle w:val="970"/>
        <w:tblW w:w="522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4"/>
        <w:gridCol w:w="3711"/>
        <w:gridCol w:w="3541"/>
        <w:gridCol w:w="1099"/>
      </w:tblGrid>
      <w:tr>
        <w:trPr>
          <w:jc w:val="center"/>
        </w:trPr>
        <w:tc>
          <w:tcPr>
            <w:tcBorders>
              <w:bottom w:val="single" w:color="auto" w:sz="6" w:space="0"/>
              <w:right w:val="single" w:color="auto" w:sz="6" w:space="0"/>
            </w:tcBorders>
            <w:tcW w:w="1091"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货物或服务名称</w:t>
            </w:r>
            <w:r>
              <w:rPr>
                <w:color w:val="auto"/>
              </w:rPr>
            </w:r>
            <w:r/>
          </w:p>
        </w:tc>
        <w:tc>
          <w:tcPr>
            <w:tcBorders>
              <w:left w:val="single" w:color="auto" w:sz="6" w:space="0"/>
              <w:bottom w:val="single" w:color="auto" w:sz="6" w:space="0"/>
              <w:right w:val="single" w:color="auto" w:sz="6" w:space="0"/>
            </w:tcBorders>
            <w:tcW w:w="4152"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招标文件要求的技术要求</w:t>
            </w:r>
            <w:r>
              <w:rPr>
                <w:color w:val="auto"/>
              </w:rPr>
            </w:r>
            <w:r/>
          </w:p>
        </w:tc>
        <w:tc>
          <w:tcPr>
            <w:tcBorders>
              <w:left w:val="single" w:color="auto" w:sz="6" w:space="0"/>
              <w:bottom w:val="single" w:color="auto" w:sz="6" w:space="0"/>
              <w:right w:val="single" w:color="auto" w:sz="6" w:space="0"/>
            </w:tcBorders>
            <w:tcW w:w="3960"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投标文件响应情况</w:t>
            </w:r>
            <w:r>
              <w:rPr>
                <w:color w:val="auto"/>
              </w:rPr>
            </w:r>
            <w:r/>
          </w:p>
        </w:tc>
        <w:tc>
          <w:tcPr>
            <w:tcBorders>
              <w:left w:val="single" w:color="auto" w:sz="6" w:space="0"/>
              <w:bottom w:val="single" w:color="auto" w:sz="6" w:space="0"/>
            </w:tcBorders>
            <w:tcW w:w="1208"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偏离说明</w:t>
            </w:r>
            <w:r>
              <w:rPr>
                <w:color w:val="auto"/>
              </w:rPr>
            </w:r>
            <w:r/>
          </w:p>
        </w:tc>
      </w:tr>
      <w:tr>
        <w:trPr>
          <w:jc w:val="center"/>
          <w:trHeight w:val="679"/>
        </w:trPr>
        <w:tc>
          <w:tcPr>
            <w:gridSpan w:val="4"/>
            <w:tcBorders>
              <w:bottom w:val="single" w:color="auto" w:sz="6" w:space="0"/>
            </w:tcBorders>
            <w:tcW w:w="10411"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工业网络控制技术应用平台</w:t>
            </w:r>
            <w:r>
              <w:rPr>
                <w:color w:val="auto"/>
              </w:rPr>
            </w:r>
            <w:r/>
          </w:p>
        </w:tc>
      </w:tr>
      <w:tr>
        <w:trPr>
          <w:jc w:val="center"/>
          <w:trHeight w:val="2962"/>
        </w:trPr>
        <w:tc>
          <w:tcPr>
            <w:tcBorders>
              <w:top w:val="single" w:color="auto" w:sz="6" w:space="0"/>
              <w:right w:val="single" w:color="auto" w:sz="6" w:space="0"/>
            </w:tcBorders>
            <w:tcW w:w="1091"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一、设备整体要求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要求该平台至少集成PLC、工业以太网、现场总线、工业机械手、RFID、传感检测系统、视觉检测系统等，应至少支持工业现场总线设备、工业控制、边缘计算、工业网络技术、数据信息采集等工业互联网应用场景，要求还应至少融入云平台数据管理与ERP、MES管理系统，可实现对生产现场的实时监控、调度和优化等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top w:val="single" w:color="auto" w:sz="6" w:space="0"/>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二、设备技术指标要求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1.工作台尺寸：</w:t>
            </w:r>
            <w:r>
              <w:rPr>
                <w:rFonts w:hint="eastAsia" w:ascii="仿宋" w:hAnsi="仿宋" w:eastAsia="仿宋" w:cs="仿宋"/>
                <w:bCs/>
                <w:color w:val="auto"/>
                <w:szCs w:val="21"/>
              </w:rPr>
              <w:t xml:space="preserve">长×宽×高</w:t>
            </w: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1800mm×800mm×1800mm</w:t>
            </w:r>
            <w:r>
              <w:rPr>
                <w:rFonts w:hint="eastAsia" w:ascii="仿宋" w:hAnsi="仿宋" w:eastAsia="仿宋" w:cs="仿宋"/>
                <w:color w:val="auto"/>
                <w:szCs w:val="21"/>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2.输入电源：AC 220V±10% /50Hz；输入功率：≤3kW；工作环境：常温、室内；温度：-10℃～+50℃；相对湿度：≤90%（+20℃）；海拔高度：≤4000m；</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3.设备重量：≥450kg；</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4.▲安全保护：具有接地保护、漏电保护功能，安全性符合相关的国际标准。采用高绝缘的安全型插座及带绝缘护套的高强度安全型实验导线。为确保教学过程中使用安全，设备应配备电气线路短路限制及保护装置。</w:t>
            </w:r>
            <w:r>
              <w:rPr>
                <w:rFonts w:hint="eastAsia" w:ascii="仿宋" w:hAnsi="仿宋" w:eastAsia="仿宋" w:cs="仿宋"/>
                <w:b/>
                <w:bCs/>
                <w:color w:val="auto"/>
                <w:szCs w:val="21"/>
              </w:rPr>
              <w:t xml:space="preserve">（提供所投产品满足上述安全保护要求的技术证明材料）</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top w:val="single" w:color="auto" w:sz="6" w:space="0"/>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三、设备功能与特点</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1.设备的网络拓扑构成要求：</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要求设备至少由控制网络单元和设备单元组成。控制网络单元要求至少包含三层交换机、防火墙、物联网关、PLC、变频器、伺服、触摸屏、工业交换机、按钮、指示灯等器件，能够实现工业网络搭建、工业通讯应用、工业现场接线编程等，最终实现对设备单元的统一控制；设备单元要求至少包含RFID、视觉、伺服电机、三相异步电机、传感器、电磁阀等器件，可实现对环形输送线、龙门架单元、视觉检测单元的控制。要求控制网络单元和设备单元均可拆卸更换，设备模块要求相对独立，可根据需求灵活配置、组合。</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2.信息管理</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1）MES制造执行单元：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系统要求根据选手所有工作任务均从个性化需求订单及共线生产出发，允许用户通过平台进行任务下发，并进行共线生产的全自动化作业。从订单加工、生产、装配到成品的检测，订单制造过程的每一个环节，均可通过MES 软件进行实时查询与追踪。本单元包含基础数据、仓位管理、设备单元管理，报警参数设置、设备运行及生产订单管理操作界面。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（1）基础数据界面：可进行对工厂信息、用户信息、设备信息、生产订单进行设置。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2）数据管理单元：可对设备数据、输送供料、旋转供料、高度检测、钢珠装配、龙门入库、分拣检测等单元，可对其进行单站单机运行测试，并提取各设备的状态信息，比如环境检测、伺服状态、生产状态、库位状态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（3）设备数据管理界面：可对设备数据状态进行数据采集，包括电压、功率、温度、湿度、大气压力、振动数据等信息。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（4）生产订单界面：可对其进行订单的创建，明细的添加，订单下发等。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（5）报警参数设置界面：可对设备数据状态进行阈值设置，包括电压、功率、温度、湿度、大气压力、振动数据等信息。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2）信息层云平台单元：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平台采用国产企业级平台，界面制作便捷，功能丰富，数据处理稳定。平台功能包括设备接入、设备管理、数据存储、数据展示、数据分析、用户管理、维保工单、配方管理等功能。平台免编程可快速便捷实现产品与系统的联接，实现物联平台。可实现多样快捷的连接监控方式（业务系统、地图、视频监控），实时、精准的数据信息来源，精准高效的数据透视（柱状图、趋势图、定制数据透视报表），设备间更紧密的组合联动（多台PLC构成的设备系统的集中监控）。</w:t>
            </w:r>
            <w:r>
              <w:rPr>
                <w:rFonts w:hint="eastAsia" w:ascii="仿宋" w:hAnsi="仿宋" w:eastAsia="仿宋" w:cs="仿宋"/>
                <w:b/>
                <w:bCs/>
                <w:color w:val="auto"/>
                <w:szCs w:val="21"/>
              </w:rPr>
              <w:t xml:space="preserve">（提供信息层平台界面截图）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（1）项目配置：项目支持导入、导出、删除、编辑，方便操作，包括设备配置、项目组态配置、报警源配置、设备状态统计、条件赋值、报表。</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组态页功能，提供不同类型可编辑的基础元件、基础和高级控件，通过图形化界面呈现相关数据信息，使用户能够一目了然地查看整个系统的状态信息，组态界面用户可自定义，包括界面的布局，颜色，控件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（3）基础元件：直线，圆，矩形，文本，图片，折线，多边形，表格等；基础控件：按钮、指示灯、按钮指示灯、数据显示、数据输入、数据控制、组合框输入、滑动输入、画面跳转、变量图片等。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（4）高级控件：环形图、棒图、流体、轮播动画、历史曲线、实时曲线、日期时间、实时事件、历史事件、天气、视频控件、功能键、功能域。</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（5）可根据需求编辑多个组态画面同时进行组合排列显示。</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3）可视化数据管理单元：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要求可完成生产可视化、设备状态可视化、设备状态管理可视化、维保过程数字化、维保经验数字化等功能。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4）工业网络设备</w:t>
            </w:r>
            <w:r>
              <w:rPr>
                <w:color w:val="auto"/>
              </w:rPr>
            </w:r>
            <w:r/>
          </w:p>
          <w:p>
            <w:pPr>
              <w:keepLines w:val="0"/>
              <w:keepNext w:val="0"/>
              <w:pageBreakBefore w:val="0"/>
              <w:spacing w:line="240" w:lineRule="auto"/>
              <w:rPr>
                <w:rFonts w:hint="eastAsia" w:ascii="仿宋" w:hAnsi="仿宋" w:eastAsia="仿宋" w:cs="仿宋"/>
                <w:color w:val="auto"/>
                <w:szCs w:val="21"/>
              </w:rPr>
            </w:pPr>
            <w:r>
              <w:rPr>
                <w:rFonts w:hint="eastAsia" w:ascii="仿宋" w:hAnsi="仿宋" w:eastAsia="仿宋" w:cs="仿宋"/>
                <w:b/>
                <w:color w:val="auto"/>
                <w:szCs w:val="21"/>
              </w:rPr>
              <w:t xml:space="preserve">（1）环网三层管理工业交换机：</w:t>
            </w:r>
            <w:r>
              <w:rPr>
                <w:rFonts w:hint="eastAsia" w:ascii="仿宋" w:hAnsi="仿宋" w:eastAsia="仿宋" w:cs="仿宋"/>
                <w:bCs/>
                <w:color w:val="auto"/>
                <w:szCs w:val="21"/>
                <w:highlight w:val="none"/>
              </w:rPr>
              <w:t xml:space="preserve">设备配置不少于8个10/100/1000M自适应RJ45端口及4个千兆SFP端口，支持ERPS环网协议与RPL配置，直流输入电压范围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Cs w:val="21"/>
                <w:highlight w:val="none"/>
                <w:lang w:eastAsia="zh-CN"/>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（2）工业级防火墙：</w:t>
            </w:r>
            <w:r>
              <w:rPr>
                <w:rFonts w:hint="eastAsia" w:ascii="仿宋" w:hAnsi="仿宋" w:eastAsia="仿宋" w:cs="仿宋"/>
                <w:bCs/>
                <w:color w:val="auto"/>
                <w:szCs w:val="21"/>
              </w:rPr>
              <w:t xml:space="preserve">≥双核64位网络专用处理器，单核主频≥1GHz，≥1GB DDRIV 高速内存；≥3个10/100/1000M RJ45 端口，≥1个MGMT管理口；工业级工作温度：-40</w:t>
            </w:r>
            <w:r>
              <w:rPr>
                <w:rFonts w:hint="eastAsia" w:ascii="仿宋" w:hAnsi="仿宋" w:eastAsia="仿宋" w:cs="仿宋"/>
                <w:bCs/>
                <w:color w:val="auto"/>
                <w:szCs w:val="21"/>
              </w:rPr>
              <w:t xml:space="preserve">℃~75℃；EMS高级防护，三冗余电源输入；支持端口bypas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多管理员角色，精细化权限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（3）边缘网关：</w:t>
            </w:r>
            <w:r>
              <w:rPr>
                <w:rFonts w:hint="eastAsia" w:ascii="仿宋" w:hAnsi="仿宋" w:eastAsia="仿宋" w:cs="仿宋"/>
                <w:bCs/>
                <w:color w:val="auto"/>
                <w:szCs w:val="21"/>
              </w:rPr>
              <w:t xml:space="preserve">应采用 mips架构CPU，主频不低于300MHz，内存不低于128M DDR，16M FLASH，支持WIFI和以太网接入网络，应能支持2路10M/100M自适应端口，应能支持RS232/RS485/RS422端口，应具有看门狗管理，应能支持数据采集、PLC远程上下载程序、断网续传和交换机功能。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（4）工业级双频无线接入点：</w:t>
            </w:r>
            <w:r>
              <w:rPr>
                <w:rFonts w:hint="eastAsia" w:ascii="仿宋" w:hAnsi="仿宋" w:eastAsia="仿宋" w:cs="仿宋"/>
                <w:bCs/>
                <w:color w:val="auto"/>
                <w:szCs w:val="21"/>
              </w:rPr>
              <w:t xml:space="preserve">要求至少适应-40℃～+75℃温度下严苛</w:t>
            </w:r>
            <w:r>
              <w:rPr>
                <w:rFonts w:hint="eastAsia" w:ascii="仿宋" w:hAnsi="仿宋" w:eastAsia="仿宋" w:cs="仿宋"/>
                <w:bCs/>
                <w:color w:val="auto"/>
                <w:szCs w:val="21"/>
              </w:rPr>
              <w:t xml:space="preserve">的工业级工作环境；冗余双路直流供电，以及标准PoE供电，适应工业环境组网要求，稳定可靠；IEC/EN 61000-4 高标准工业级防护设计，适应恶劣环境；2.4GHz和5GHz双频段并发射频，无线速率可达1900Mbps；独立功放电路，提升发射功率；支持设备工作为AP或Client两种覆盖/传输模式以及 Router 上网模式，应用灵活；强双频漫游技术，Client 模式设备可快速漫游至信号更优的AP；无线冗余技术，干扰下设备通信不中断；标准DIN导轨/壁挂安装，维护简便；支持AC或商用网络云平台集中管理。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（5）环境传感器：</w:t>
            </w:r>
            <w:r>
              <w:rPr>
                <w:rFonts w:hint="eastAsia" w:ascii="仿宋" w:hAnsi="仿宋" w:eastAsia="仿宋" w:cs="仿宋"/>
                <w:bCs/>
                <w:color w:val="auto"/>
                <w:szCs w:val="21"/>
              </w:rPr>
              <w:t xml:space="preserve">能测量湿度、温度、大气压力、二氧化碳环境数据，支持RS485通讯，标准modbusRTU协议。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（6）智能电表：</w:t>
            </w:r>
            <w:r>
              <w:rPr>
                <w:rFonts w:hint="eastAsia" w:ascii="仿宋" w:hAnsi="仿宋" w:eastAsia="仿宋" w:cs="仿宋"/>
                <w:bCs/>
                <w:color w:val="auto"/>
                <w:szCs w:val="21"/>
              </w:rPr>
              <w:t xml:space="preserve">能实现对系统电压、电流、功率等电量的采集和显示，支持RS485通讯，采集的数据也可通过通讯传输给PLC。</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（7）LORA模块：</w:t>
            </w:r>
            <w:r>
              <w:rPr>
                <w:rFonts w:hint="eastAsia" w:ascii="仿宋" w:hAnsi="仿宋" w:eastAsia="仿宋" w:cs="仿宋"/>
                <w:bCs/>
                <w:color w:val="auto"/>
                <w:szCs w:val="21"/>
              </w:rPr>
              <w:t xml:space="preserve">支持RS232、485-LoRa通讯，纯射频模组，支持发送、接收数据，与PLC直接通讯。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（8）协议网关</w:t>
            </w:r>
            <w:r>
              <w:rPr>
                <w:rFonts w:hint="eastAsia" w:ascii="仿宋" w:hAnsi="仿宋" w:eastAsia="仿宋" w:cs="仿宋"/>
                <w:bCs/>
                <w:color w:val="auto"/>
                <w:szCs w:val="21"/>
              </w:rPr>
              <w:t xml:space="preserve">：应支持Modbus-RTU/ASCII到ProfiNet协议的转换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highlight w:val="none"/>
              </w:rPr>
            </w:pPr>
            <w:r>
              <w:rPr>
                <w:rFonts w:hint="eastAsia" w:ascii="仿宋" w:hAnsi="仿宋" w:eastAsia="仿宋" w:cs="仿宋"/>
                <w:b/>
                <w:color w:val="auto"/>
                <w:szCs w:val="21"/>
                <w:highlight w:val="none"/>
              </w:rPr>
              <w:t xml:space="preserve">（9）IOT工业控制器：</w:t>
            </w:r>
            <w:r>
              <w:rPr>
                <w:rFonts w:hint="eastAsia" w:ascii="仿宋" w:hAnsi="仿宋" w:eastAsia="仿宋" w:cs="仿宋"/>
                <w:bCs/>
                <w:color w:val="auto"/>
                <w:sz w:val="24"/>
                <w:szCs w:val="24"/>
                <w:highlight w:val="none"/>
              </w:rPr>
              <w:t xml:space="preserve">要求控制</w:t>
            </w:r>
            <w:r>
              <w:rPr>
                <w:rFonts w:ascii="仿宋" w:hAnsi="仿宋" w:eastAsia="仿宋" w:cs="仿宋"/>
                <w:bCs/>
                <w:color w:val="auto"/>
                <w:sz w:val="24"/>
                <w:szCs w:val="24"/>
                <w:highlight w:val="none"/>
              </w:rPr>
              <w:t xml:space="preserve">处理器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I3</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内存</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8GB</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存储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容量≥128GB</w:t>
            </w:r>
            <w:r>
              <w:rPr>
                <w:rFonts w:hint="eastAsia" w:ascii="仿宋" w:hAnsi="仿宋" w:eastAsia="仿宋" w:cs="仿宋"/>
                <w:bCs/>
                <w:color w:val="auto"/>
                <w:sz w:val="24"/>
                <w:szCs w:val="24"/>
                <w:highlight w:val="none"/>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highlight w:val="none"/>
              </w:rPr>
            </w:pPr>
            <w:r>
              <w:rPr>
                <w:rFonts w:ascii="仿宋" w:hAnsi="仿宋" w:eastAsia="仿宋" w:cs="仿宋"/>
                <w:color w:val="auto"/>
                <w:szCs w:val="21"/>
                <w:highlight w:val="none"/>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3.设备层组成</w:t>
            </w:r>
            <w:r>
              <w:rPr>
                <w:color w:val="auto"/>
              </w:rPr>
            </w:r>
            <w:r/>
          </w:p>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1）设备要求至少由供料站点、传送带装置、传感器系统、视觉检测站点、到位阻挡站点、龙门十字滑台、气动控制站点等组成。</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2）供料站：要求至少提供塑料和金属两种材质的物料，同时物料应至少包含白色、红色、黑色三种颜色，每个物料上端都有不同图形下陷。供料控制要求由一个供料气缸完成，气缸至少安装两个传感器，分别为伸出到位传感器和缩回到位传感器。物料用尽后需手动将物料加入供料库内。</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3）传送带装置：要求至少由一条机械环形传送带为主体，控制要求应由减速电机（三相电机带减速器）来完成，减速电机减速比要求不低于10：1，减速电机尾部要求至少安装一个增量式编码器作为反馈检测使用。</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4）传感器系统：传感器要求安装在装置多处位置，如龙门十字滑台的各个极限位置及原点位置、传送带装置上的到位传感器、颜色传感器、金属传感器、气缸上的到位传感器等。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5）</w:t>
            </w:r>
            <w:r>
              <w:rPr>
                <w:rFonts w:hint="eastAsia" w:ascii="仿宋" w:hAnsi="仿宋" w:eastAsia="仿宋" w:cs="仿宋"/>
                <w:bCs/>
                <w:color w:val="auto"/>
                <w:szCs w:val="21"/>
              </w:rPr>
              <w:t xml:space="preserve">视觉检测站点：工业视觉要求至少由支架、光源、智能相机等组成，可完成物料数量</w:t>
            </w:r>
            <w:r>
              <w:rPr>
                <w:rFonts w:hint="eastAsia" w:ascii="仿宋" w:hAnsi="仿宋" w:eastAsia="仿宋" w:cs="仿宋"/>
                <w:bCs/>
                <w:color w:val="auto"/>
                <w:szCs w:val="21"/>
              </w:rPr>
              <w:t xml:space="preserve">、外观、颜色等检测：具有强大的通信功能，至少支持 MODBUS-TCP、TCP/IP 和 S7 等通讯；工业相机彩色相机，尺寸：≥29 mm×29 mm×30 mm，，分辨率：≥2592×1944，相机像素≥500万像素数据接口：不低于USB3.0，传感器类型：CMOS，卷帘快门，工作温度 0 ~ 50℃，储藏温度-30 ~ 70℃；视觉算法平台软件：要求兼容GigE Vision和USB3.0 Vision协议标准，可以接入多种品牌的相机。要求支持本地图像处理和相机数据图像处理光源：白色漫射LED环形灯。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6）到位阻挡站点：要求由一个阻挡气缸和一个到位近点传感器组成，当物料检测通过后由近点传感器发送信号控制阻挡气缸伸出，帮助物料准确入库。</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7）龙门十字滑台：要求至少由伺服电机控制的X轴滑台和气动控制的Y轴滑台组成，X轴滑台上安装至少三个传感器，分别为左极限、右极限、原点传感器，Y轴气爪夹取物料出入物料库。</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8）气动控制站点：至少由一套气动系统组成，主要包含气泵、电磁阀、油水分离器、各类气动接头、气管等组成，负责给装置内气动部件提供动力。</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9）电气控制系统：</w:t>
            </w:r>
            <w:r>
              <w:rPr>
                <w:color w:val="auto"/>
              </w:rPr>
            </w:r>
            <w:r/>
          </w:p>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（1）主控PLC：CPU 带有显示屏；工作存储器可存储 ≥150 KB 代码和1MB数据；位指令执行时间≤ 60 ns；4级防护机制，工艺功能：运动控制，闭环控制，计数与测量；跟踪功能；适用于所有PROFINET 接口：传输协议 TCP/IP，开放式用户安全通信，S7 通信，S7 路由，IP 转发，Web服务器，DNS客户端，OPC UA：服务器DA，客户端DA，方法，配套规范；PROFINET IO控制器，支持RT/IRT，性能升级 PROFINET V2.3，双端口。存储卡≥4MB。</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（2）执行端控制PLC：≥125 KB </w:t>
            </w:r>
            <w:r>
              <w:rPr>
                <w:rFonts w:hint="eastAsia" w:ascii="仿宋" w:hAnsi="仿宋" w:eastAsia="仿宋" w:cs="仿宋"/>
                <w:bCs/>
                <w:color w:val="auto"/>
                <w:szCs w:val="21"/>
              </w:rPr>
              <w:t xml:space="preserve">工作存储器；24VDC 电源，板载≥ DI14 x 24VDC 漏型/源型，板载 ≥DQ10 x 24VDC、AI2 和 AQ2；板载 6 个高速计数器和 4 个脉冲输出；信号板扩展板载式 I/O；最多 3 个通信模块用于串行通信；最多8个信号模块用于 I/O 扩展；PROFINET IO 控制器，双端口，智能设备，TCP/IP 传输协议，开放式用户安全通信，S7 通信，Web 服务器，OPC UA：服务器 DAPROFINET 接口，用于编程、HMI 以及PLC 间数据通信，配套相应的 PLC 编程软件。</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（3）远程 I/O：≥2 个 RJ45 接口，24VDC 供电 性能稳定、抗干扰性能强，总线协议：PROFINET 、通用线缆：五类双绞线、传输距离：100m（站站距离）、传输速率：100Mbps、工作环境温度：-10～55°C ；相对湿度：5%～90%（无凝露）。</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（4）工业交换机：至少提供8个10/100M自适应RJ45端口，导轨式安装。</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（5）触摸屏：触摸屏精智面板，触摸操作，≥ 7寸TFT 显示屏，≥800 x 480 像素，≥64K 色；按键和触摸操作，≥8 个功能键；≥1 x PROFINET，≥1 x USB，以上器件均安装在移动安装盒上。</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（6）变频器系统：额定输入：单相220-240V 18.0A 50/60Hz；额定输出：三相AC0-240V 8.0A，频率范围：0 - 500Hz；功率1.5kW；载波频率：0.8kHz - 11kHz可根据负载特性，自动调整载波频率；控制方式</w:t>
            </w:r>
            <w:r>
              <w:rPr>
                <w:rFonts w:hint="eastAsia" w:ascii="仿宋" w:hAnsi="仿宋" w:eastAsia="仿宋" w:cs="仿宋"/>
                <w:bCs/>
                <w:color w:val="auto"/>
                <w:szCs w:val="21"/>
              </w:rPr>
              <w:t xml:space="preserve">：V/F控制和SVC控制；转矩提升：自动转矩提升；手动转矩提升0.1% - 30.0%；输入端子：4个数字输入端子，其中1个支持最高20KHz的高速脉冲输入1个模拟量输入端子，支持 0 - 10V/0 - 20mA输入；输出端子：1个继电器输出端子，1个模拟输出端子，支持0 ~10V电压输出；1路RS485接口，支持modbus rtu ，can总线等通讯；LED显示：显示参数；环境温度：-10℃ 到+ 50℃；湿度：小于 95%RH，无水珠凝结；振动：小于 5.9m/s2（0.6g）；防护等级：IP20。</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（7）伺服系统：应能支持 PROFINET 通信方式，输入电压200-240V，电机功率≥400W。</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（8）空气压缩机：电源220V、额定功率≥550W、排气量≥58L/min、排气压力≥0.8MPa。</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top w:val="single" w:color="auto" w:sz="6" w:space="0"/>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四、配置的数字化资源要求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1、在线教育平台要求</w:t>
            </w:r>
            <w:r>
              <w:rPr>
                <w:color w:val="auto"/>
              </w:rPr>
            </w:r>
            <w:r/>
          </w:p>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1.1总体平台要求为B2B2C类型，可以通过PC端或手机端实现观看视频课程、网络直播、网上答疑、安排课前预习等，能适用于高校师生、企业员工的各类网络学习培训。</w:t>
            </w:r>
            <w:r>
              <w:rPr>
                <w:color w:val="auto"/>
              </w:rPr>
            </w:r>
            <w:r/>
          </w:p>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1.2教育平台要求有课程、直播、课程答疑、新闻公告、个人中心模块。可以通过电脑端、公众号或小程序等进入学习。</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1.3平台课程类型包括但不限于：工业网络相关课程至少包含——HMI群控指令、旋转开关切换HMI、MES操作、MES的简便体验、多人协同作业、PLC置位指令使用、快速配置环网交换机、PLC切换云平台画面、仪表盘使用方法等微课视频内容。</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2、配置数字孪生设计与规划软件</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2.1高保真虚拟调试环境：软件需基于海量元素模型库，支持以拖拽方式快速搭建仿真工程。支持设置模型位置、尺寸、颜色等参数，确保虚拟设备具备与真实设备一致的运行特性。</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2.2全生态驱动与验证：深度集成PLC、机器人及智能工厂仿真功能。支持导入实际的PLC程序与机器人程序直接驱动虚拟设备，在虚拟场景中完成从设计、调试到验证的全流程闭环，实现“虚实同步”。</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2.3开放式二次开发SDK：为用户提供一套开放的接口，便于用户与系统数据交互，实现二次开发功能，提供C#的API接口以及python的API接口，可通过编程的形式进行驱动场景模型，可通过sdk扩展虚实仿真功能。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2.4模型规模与分类：内置工业级标准模型库，总数模量不少于1000种，涵盖机器人、供料装置、装配装置、检测装置、电气控制等9大类。其中，可参数化模型不少于600种。</w:t>
            </w:r>
            <w:r>
              <w:rPr>
                <w:rFonts w:hint="eastAsia" w:ascii="仿宋" w:hAnsi="仿宋" w:eastAsia="仿宋" w:cs="仿宋"/>
                <w:b/>
                <w:bCs/>
                <w:color w:val="auto"/>
                <w:szCs w:val="21"/>
              </w:rPr>
              <w:t xml:space="preserve">（提供（模组类机器人、加工中心、传感器、气动元件等模型库）的软件功能清晰截图）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2.5）深度参数化适配：针对输送线、模组机器人、供料单元、装配单元、五轴加工中心、智能仓储等关键设备，支持通过手动输入数值或滑动阈值的方式，对尺寸、方向等参数进行适配。参数化调整不仅包含长宽高的缩放，更需支持结构形式的实质性变更。</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2.6开放式模型编辑与轻量化：支持用户通过模型编辑器导入GLB、OBJ等常规格式模型，构建用户专用库，可对模型进行定制化控制。</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2.7支持3D模型上传/导出/新增/删除/查看/渲染/基础配置；支持360度旋转查看、拆解显示。</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2.8AI智能识别与推荐：系统采用先进AI技术自动识别导入模型中的设备组件，基于智能分析从现有库中推荐高度匹配或功能相似的替代方案，加速项目开发流程。</w:t>
            </w:r>
            <w:r>
              <w:rPr>
                <w:rFonts w:hint="eastAsia" w:ascii="仿宋" w:hAnsi="仿宋" w:eastAsia="仿宋" w:cs="仿宋"/>
                <w:b/>
                <w:bCs/>
                <w:color w:val="auto"/>
                <w:szCs w:val="21"/>
              </w:rPr>
              <w:t xml:space="preserve">（提供（AI智能识别）的软件功能界面清晰截图）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2.10场景树与BOM管理：具备层级化场景树功能，可按模块分类展示产线构成的所有模块。支持一键生成并导出BOM清单，内容涵盖设备名称、型号、数量等关键信息。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2.11数字孪生功能：用户通过导入或库中的模型搭建场景，绑定对外变量，可实现实机信号驱动虚拟场景，也可实现虚拟场景驱动实机场景进行动作；通讯延迟低于100ms；虚拟场景的动作可以依据实机信号驱动，实机变量状态可被虚拟场景改变。</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2.13精细化点线轨迹编辑功能：支持焊点投影、公共边提取以及曲线点平滑等操作。用户可以精确地定义和调整焊接点的位置，并通过焊点投影确保其在三维空间中的准确性。</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2.14软件系统界面应包含案例库模块，至少包含光伏、3C、激光、锂电、汽车、仓储物流等六大场景的成熟案例应用：</w:t>
            </w:r>
            <w:r>
              <w:rPr>
                <w:rFonts w:hint="eastAsia" w:ascii="仿宋" w:hAnsi="仿宋" w:eastAsia="仿宋" w:cs="仿宋"/>
                <w:b/>
                <w:bCs/>
                <w:color w:val="auto"/>
                <w:szCs w:val="21"/>
              </w:rPr>
              <w:t xml:space="preserve">提供（至少包含光伏接线盒虚拟仿真、光伏排版机虚拟仿真、涂胶锁附工作站虚拟仿真教学、伺服电机线总装虚拟仿真、机床自动上下料连线虚拟仿真、动力锂电池pack线虚拟仿真、搬运A to B虚拟仿真、钣金搬运虚拟仿真、电子产品仓储物流系统虚拟仿真、光伏串焊机虚拟仿真、发动机去毛刺工作站虚拟仿真、电机组装线虚拟仿真、双机协同虚拟仿真、双机焊接虚拟仿真、锂膜包装线虚拟仿真、汽车配件焊接工站虚拟仿真等教学场景）的软件功能清晰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3、配置AI-Native 数字化控制工程开发平台</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3.1支持电气控制、可编程控制器编程、运动控制三大仿真领域，配备完整教学管理系统（考试、题库、案例、作业、班级、实训、项目式学习）。</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3.2电气控制回路原理图可视化拖拽编辑，支持正交连线与软线连线多种布线模式。</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3.3内置电气元件库，涵盖电源与保护、控制元件、接触器与继电器、执行元件、辅助元件、测量仪表、可编程控制器等分类。</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3.4支持节点电压标签与颜色映射、支路电流方向与数值标注，内置布线诊断面板自动检测连线错误。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3.5支持电气回路与可编程控制器程序联合仿真运行。</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3.6支持自由定义电气三维元件模型3D展示。</w:t>
            </w:r>
            <w:r>
              <w:rPr>
                <w:rFonts w:hint="eastAsia" w:ascii="仿宋" w:hAnsi="仿宋" w:eastAsia="仿宋" w:cs="仿宋"/>
                <w:b/>
                <w:bCs/>
                <w:color w:val="auto"/>
                <w:szCs w:val="21"/>
              </w:rPr>
              <w:t xml:space="preserve">（提供清晰截图证明）</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3.7独立运动控制仿真编辑器，可视化画布支持缩放、小地图、网格吸附。</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3.8运动控制仿真编辑器元件库涵盖驱动电机、驱动器、传动机构、反馈元件、信号处理、数学运算、传感器、多轴联动等分类；元件端子配备中文悬停提示与连接指引。</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3.9运动控制仿真编辑器元件支持参数化属性面板，含默认值、单位、取值范围约束和中文描述；连线时自动校验端子兼容性，不合法连接即时阻止。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3.11运动控制仿真编辑器支持梯形速度曲线和S曲线速度规划；播放控制支持单步进退、多倍速调节，时间轴同步驱动波形图与时序图。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3.12当前平台还支持PLC仿真模拟支持梯形图、结构化文本、功能块图、顺序功能图、指令表五种编程语言，各语言间可双向切换。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3.13PLC仿真包括独立仿真控制面板，支持运行、停止、单步、复位四种执行模式，数字输入输出手动切换与状态显示，定时器与计数器实时监控。</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3.14在线调试器支持断点管理、单步执行、变量监视、执行追踪与回溯分析；内置标准验证框架，预置典型工业控制测试用例。</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3.15全局智能助手，支持渐进式交互（从被动提示到主动对话），接收当前页面上下文实现感知式智能对话，能够直接对编辑器中的器件选中进行解答问题。</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3.17智能诊断与生成：自动生成可编程控制器程序，分析程序逻辑错误，定位仿真错误并给出修改建议。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3.18支持与硬件通讯功能。能够实现与外部PLC以及第三方平台实际交互。</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4、配套教材</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要求教材编写满足《工业互联网应用专业教学标准（高等职业教育专科）》的要求，实操案例为知识载体，通过案例、图表、</w:t>
            </w:r>
            <w:r>
              <w:rPr>
                <w:rFonts w:hint="eastAsia" w:ascii="仿宋" w:hAnsi="仿宋" w:eastAsia="仿宋" w:cs="仿宋"/>
                <w:color w:val="auto"/>
                <w:szCs w:val="21"/>
              </w:rPr>
              <w:t xml:space="preserve">微课视频等形式呈现。内容要求至少涵盖三大维度：包括但不限于（1）基础知识部分：要求系统讲解工业网络、产线网络、数据采集、智慧仓储、生产数字化及产线维护等关键环节的理论框架；（2）实操演练部分：要求提供网络拓扑图绘制、工业网络配置、工业协议应用（如Modbus、Profibus、Profinet）、MES订单操作等丰富素材；（3）综合应用部分：要求聚焦MES集成、云平台数据分析、机电系统调试及工业互联网优化四大方向，均需通过真实案例展现技术落地场景。要求教材具有配套的视频讲解，无需下载扫描二维码即可在线观看。</w:t>
            </w:r>
            <w:r>
              <w:rPr>
                <w:rFonts w:hint="eastAsia" w:ascii="仿宋" w:hAnsi="仿宋" w:eastAsia="仿宋" w:cs="仿宋"/>
                <w:b/>
                <w:bCs/>
                <w:color w:val="auto"/>
                <w:szCs w:val="21"/>
              </w:rPr>
              <w:t xml:space="preserve">（提供教材封面、目录页和二维码索引页扫描截图，以及ISBN码）</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top w:val="single" w:color="auto" w:sz="6" w:space="0"/>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五、★配置清单及要求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实训台</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工作台尺寸：长×宽×高≥1800mm×800mm×1800mm</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可编程控制器1</w:t>
            </w:r>
            <w:r>
              <w:rPr>
                <w:color w:val="auto"/>
              </w:rPr>
            </w:r>
            <w:r/>
          </w:p>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≥125 KB工作存储器；24VDC电源，板载DI14 x 24VDC 漏型/源型，板载DQ10 x 24VDC、AI2和AQ2；板载6个高速计数器和4个脉冲输出；信号板扩展板载式I/O；最多3个通信模块用于串行通信；最多8个信号模块用于 I/O扩展；PROFINET IO控制器，双端口，智能设备，TCP/IP 传输协议，开放式用户安全通信，S7通信，Web服务器，OPC UA：服务器DAPROFINET接口，用于编程、HMI以及PLC间数据通信，配套相应的PLC编程软件。</w:t>
            </w:r>
            <w:r>
              <w:rPr>
                <w:color w:val="auto"/>
              </w:rPr>
            </w:r>
            <w:r/>
          </w:p>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配有通讯板1个；PROFIBUS CM 通信模块1个。</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可编程控制器2</w:t>
            </w:r>
            <w:r>
              <w:rPr>
                <w:color w:val="auto"/>
              </w:rPr>
            </w:r>
            <w:r/>
          </w:p>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CPU要求带有显示屏；工作存储器可存</w:t>
            </w:r>
            <w:r>
              <w:rPr>
                <w:rFonts w:hint="eastAsia" w:ascii="仿宋" w:hAnsi="仿宋" w:eastAsia="仿宋" w:cs="仿宋"/>
                <w:color w:val="auto"/>
              </w:rPr>
              <w:t xml:space="preserve">储≥150 KB代码和≥1 MB数据；位指令执行时间 60 ns；4级防护机制，工艺功能：运动控制，闭环控制，计数与测量；跟踪功能；运行系统选件；等时同步模式（集中）；适用于所有 PROFINET接口：传输协议TCP/IP，开放式用户安全通信，S7通信，S7路由，IP转发，Web服务器，DNS客户端，OPC UA：服务器DA，客户端DA，方法，配套规范；PROFINET IO 控制器，支持RT/IRT，性能升级PROFINET V2.3，双端口，智能设备，支持MRP、MRPD，等时同步模式。存储卡≥4MB。</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工业视觉</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工业视觉要求至少由支架、光源、智能相机等组成，可完成物料数量、外观、颜色等检测：具有强大的通信功能，至少支持MODBUS-TCP、TCP/IP和S7等通讯；</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工业相机彩色相机，尺寸：</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29mm×29mm×30mm，镜头接口：C-Mount，分辨率：</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2592×1944，相机像素</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500万像素数据接口：USB3.0，传感器类型：CMOS，卷帘快门，工作温度0~50℃，储藏温度-30~70℃；视觉算法平台软件：要求兼容GigE Vision和USB3.0Vision协议标准，可以接入多种品牌的相机。要求支持本地图像处理和相机数据图像处理光源：白色漫射LED环形灯。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伺服系统</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支持PROFINET通信方式，输入电压200-240V</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变频器系统</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驱动器要求为通用高性能电流矢量变频器，主要用于控制和调节三相交流异步电机的速度和转矩，最高频率：0 - 500Hz；载波频率：0.8kHz - 11kHz可根据负载特性，自动调整载波频率；控制方式：至少包含V/F控制和SVC控制；转矩提升：自动转矩提升；手动转矩提升0.1% - 30.0%；输入端子：</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4个数字输入端子，其中1个支持最高20KHz的高速脉冲输入1个模拟量输入端子，支持 0 - 10V/0 - 20mA输入；输出端子：1个继电器输出端子，1个模拟输出端子，支持0~10V电压输出；LED显示：显示参数；环境温度：-10℃到+50℃；湿度：小于95%RH，无水珠凝结；振动：小于5.9m/s2（0.6g）；防护等级：不低于IP20；</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远程 I/O</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至少2个RJ45接口，24VDC供电性能稳定、抗干扰性能强，总线协议：PROFINET、通用线缆：五类双绞线、传输距离：100m（站站距离）、传输速率：100Mbps、工作环境温度：-10～55°C ；相对湿度：5%～90%（无凝露）</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工业交换机</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提供</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8个10/100M自适应RJ45端口，导轨式安装</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环形输送线</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至少包含环形输送线机构、三相异步电机、编码器、RFID、IO-Link主站、扫码器、称重传感器等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触摸屏</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触摸屏精智面板，触摸操作，</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7寸TFT显示屏，</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800x 480像素，</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64K色；按键和触摸操作，</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8个功能键；</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 x PROFINET，</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 x USB </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环网三层管理工业交换机</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bCs/>
                <w:color w:val="auto"/>
                <w:szCs w:val="21"/>
                <w:highlight w:val="none"/>
              </w:rPr>
              <w:t xml:space="preserve">设备配置不少于8个10/100/1000M自适应RJ45端口及4个千兆SFP端口，支持ERPS环网协议与RPL配置，直流输入电压范围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Cs w:val="21"/>
                <w:highlight w:val="none"/>
                <w:lang w:eastAsia="zh-CN"/>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工业级防火墙</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不低于双核64位网络专用处理器，单核主频1GHz，1GB DDRIV高速内存；</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3个10/100/1000M RJ45端口，</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1个MGMT管理口；工业级工作温度：-40℃~75℃；EMS高级防护，三冗余电源输入，工作更可靠；支持端口bypass功能，断电后端口直连；支持配置</w:t>
            </w:r>
            <w:r>
              <w:rPr>
                <w:rFonts w:hint="eastAsia" w:ascii="仿宋" w:hAnsi="仿宋" w:eastAsia="仿宋" w:cs="仿宋"/>
                <w:color w:val="auto"/>
                <w:sz w:val="21"/>
              </w:rPr>
              <w:t xml:space="preserve">安全策略、审计策略、带宽策略、NAT策略、ALG策略等；支持多种安全防护功能，防御ARP欺骗、ARP攻击、DDoS攻击、网络扫描、可疑包攻击等；支持可拓展的一体化 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VPN）、DDNS等；多管理员角色，精细化权限管理。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边缘网关</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要求采用mips架构CPU，主频</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300MHz，内存</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128M DDR，</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16M FLASH，支持WIFI和以太网接入网络，支持</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2路10M/100M自适应端口，至少支持RS232/RS485/RS422端口，具有看门狗管理，支持数据采集、PLC远程上下载程序、断网续传和交换机功能。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工业级双频无线接入点</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适应-40℃～+75℃温度下严苛的工业</w:t>
            </w:r>
            <w:r>
              <w:rPr>
                <w:rFonts w:hint="eastAsia" w:ascii="仿宋" w:hAnsi="仿宋" w:eastAsia="仿宋" w:cs="仿宋"/>
                <w:color w:val="auto"/>
                <w:sz w:val="21"/>
              </w:rPr>
              <w:t xml:space="preserve">级工作环境；冗余双路直流供电，以及标准PoE供电，适应工业环境组网要求，稳定可靠；IEC/EN 61000-4高标准工业级防护设计，适应恶劣环境；2.4GHz和5GHz双频段并发射频，无线速率可达1900Mbps；独立功放电路，提升发射功率；支持设备工作为AP或Client两种覆盖/传输模式以及Router上网模式，应用灵活；强双频漫游技术，Client模式设备可快速漫游至信号更优的AP；无线冗余技术，干扰下设备通信不中断；标准DIN导轨/壁挂安装，维护简便；支持AC或TP-LINK商用网络云平台集中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环境传感器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可测量湿度、温度、大气压力、二氧化碳环境数据，支持RS485通讯，标准modbusRTU协议。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智能电表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可实现对系统电压、电流、功率等电量的采集和显示，支持RS485通讯，采集的数据也可通过通讯传输给PLC。</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LORA 模块</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要求支持RS232、485-LoRa通讯，纯射频模组，支持发送、接收数据，与PLC直接通讯。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协议网关</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要求可完成Modbus-RTU/ASCII到ProfiNet协议的转换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数据终端处理器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包含可视化交互功能，可以实时查看相关数据，同时具备静态数据处理和存储能力，可完成MES、云平台相关部署。</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其他器件</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要求至少包括断路器、导轨插座、开关电源、继电器、器件导轨等；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jc w:val="center"/>
              <w:keepLines w:val="0"/>
              <w:keepNext w:val="0"/>
              <w:pageBreakBefore w:val="0"/>
              <w:spacing w:line="240" w:lineRule="auto"/>
              <w:rPr>
                <w:rFonts w:ascii="仿宋" w:hAnsi="仿宋" w:eastAsia="仿宋" w:cs="仿宋"/>
                <w:b/>
                <w:bCs/>
                <w:szCs w:val="21"/>
              </w:rPr>
            </w:pPr>
            <w:r>
              <w:rPr>
                <w:rFonts w:ascii="仿宋" w:hAnsi="仿宋" w:eastAsia="仿宋" w:cs="仿宋"/>
                <w:b/>
                <w:bCs/>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空气压缩机</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电源</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220V、额定功率</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560W、排气量</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58L/min、排气压力</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0.8MPa。</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gridSpan w:val="4"/>
            <w:tcW w:w="10411" w:type="dxa"/>
            <w:vAlign w:val="center"/>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工业网络控制平台</w:t>
            </w:r>
            <w:r>
              <w:rPr>
                <w:color w:val="auto"/>
              </w:rPr>
            </w:r>
            <w:r/>
          </w:p>
        </w:tc>
      </w:tr>
      <w:tr>
        <w:trPr>
          <w:jc w:val="center"/>
        </w:trPr>
        <w:tc>
          <w:tcPr>
            <w:tcBorders>
              <w:right w:val="single" w:color="auto" w:sz="6" w:space="0"/>
            </w:tcBorders>
            <w:tcW w:w="1091" w:type="dxa"/>
            <w:vAlign w:val="center"/>
            <w:textDirection w:val="lrTb"/>
            <w:noWrap w:val="false"/>
          </w:tcPr>
          <w:p>
            <w:pPr>
              <w:pStyle w:val="971"/>
              <w:ind w:firstLine="0"/>
              <w:jc w:val="center"/>
              <w:keepLines w:val="0"/>
              <w:keepNext w:val="0"/>
              <w:pageBreakBefore w:val="0"/>
              <w:spacing w:line="240" w:lineRule="auto"/>
              <w:rPr>
                <w:rFonts w:ascii="仿宋" w:hAnsi="仿宋" w:eastAsia="仿宋" w:cs="仿宋"/>
                <w:b/>
                <w:bCs/>
                <w:color w:val="auto"/>
                <w:sz w:val="21"/>
                <w:szCs w:val="21"/>
              </w:rPr>
            </w:pPr>
            <w:r>
              <w:rPr>
                <w:rFonts w:hint="eastAsia" w:ascii="仿宋" w:hAnsi="仿宋" w:eastAsia="仿宋" w:cs="仿宋"/>
                <w:b/>
                <w:bCs/>
                <w:color w:val="auto"/>
                <w:sz w:val="21"/>
                <w:szCs w:val="21"/>
              </w:rPr>
              <w:t xml:space="preserve">一、设备整体要求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要求该平台至少集成PLC、工业以太网、现场总线等，应至少支持工业现场总线设备、工业控制、边缘计算、工业网络技术、数据信息采集等工业互联网应用场景，要求还应至少融入云平台数据管理与MES管理系统，可实现对生产现场的实时监控、调度和优化等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二、设备技术指标要求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1.工作台尺寸：长×宽×高≥1000mm×800mm×1800mm；</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2.输入电源：AC 220V±10% /50Hz；输入功率：≤3kW；工作环境：常温、室内；温度：-10℃～+50℃ ；相对湿度：≤90%（+20℃）；海拔高度：≤4000m；</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3.设备重量：≥450kg；</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color w:val="auto"/>
                <w:szCs w:val="21"/>
              </w:rPr>
              <w:t xml:space="preserve">▲</w:t>
            </w:r>
            <w:r>
              <w:rPr>
                <w:rFonts w:hint="eastAsia" w:ascii="仿宋" w:hAnsi="仿宋" w:eastAsia="仿宋" w:cs="仿宋"/>
                <w:bCs/>
                <w:color w:val="auto"/>
                <w:szCs w:val="21"/>
              </w:rPr>
              <w:t xml:space="preserve">4.安全保护：具有接地保护、漏电保护功能，安全性符合相关的国际标准。采用高绝缘的安全型插座及带绝缘护套的高强度安全型实验导线。为确保教学过程中使用安全，设备应配备电气线路短路限制及保护装置。</w:t>
            </w:r>
            <w:r>
              <w:rPr>
                <w:rFonts w:hint="eastAsia" w:ascii="仿宋" w:hAnsi="仿宋" w:eastAsia="仿宋" w:cs="仿宋"/>
                <w:b/>
                <w:bCs/>
                <w:color w:val="auto"/>
                <w:szCs w:val="21"/>
              </w:rPr>
              <w:t xml:space="preserve">（提供所投产品满足上述安全保护要求的技术证明材）</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restart"/>
            <w:textDirection w:val="lrTb"/>
            <w:noWrap w:val="false"/>
          </w:tcPr>
          <w:p>
            <w:pPr>
              <w:jc w:val="center"/>
              <w:keepLines w:val="0"/>
              <w:keepNext w:val="0"/>
              <w:pageBreakBefore w:val="0"/>
              <w:spacing w:line="240" w:lineRule="auto"/>
              <w:rPr>
                <w:rFonts w:ascii="仿宋" w:hAnsi="仿宋" w:eastAsia="仿宋" w:cs="仿宋"/>
                <w:b/>
                <w:bCs/>
                <w:color w:val="auto"/>
                <w:szCs w:val="21"/>
              </w:rPr>
            </w:pPr>
            <w:r>
              <w:rPr>
                <w:rFonts w:hint="eastAsia" w:ascii="仿宋" w:hAnsi="仿宋" w:eastAsia="仿宋" w:cs="仿宋"/>
                <w:b/>
                <w:bCs/>
                <w:color w:val="auto"/>
                <w:szCs w:val="21"/>
              </w:rPr>
              <w:t xml:space="preserve">三、设备功能与特点</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1.设备的网络拓扑构成要求：</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控制网络单元要求至少包含三层交换机、防火墙、物联网关、PLC、工业交换机等器件，能够实现工业网络搭建、工业通讯应用、工业现场接线编程等，最终实现对设备单元的统一控制。</w:t>
            </w:r>
            <w:r>
              <w:rPr>
                <w:rFonts w:hint="eastAsia" w:ascii="仿宋" w:hAnsi="仿宋" w:eastAsia="仿宋" w:cs="仿宋"/>
                <w:b/>
                <w:color w:val="auto"/>
                <w:szCs w:val="21"/>
              </w:rPr>
              <w:t xml:space="preserve">（提供设备的网络拓扑图）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2.信息管理</w:t>
            </w:r>
            <w:r>
              <w:rPr>
                <w:color w:val="auto"/>
              </w:rPr>
            </w:r>
            <w:r/>
          </w:p>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
                <w:color w:val="auto"/>
                <w:szCs w:val="21"/>
              </w:rPr>
              <w:t xml:space="preserve">MES制造执行单元：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系统要求根据选手所有工作任务均从个性化需求订单及共线生产出发，允许用户通过平台进行任务下发，并进行共线生产的全自动化作业。从订单加工、生产、装配到成品的检测，订单制造过程的每一个环节，均可通过MES 软件进行实时查询与追踪。本单元包含基础数据、仓位管理、设备单元管理，报警参数设置、设备运行及生产管理操作等功能。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（1）基础数据界面：可进行对工厂信息、用户信息、设备信息、生产订单进行设置。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2）数据管理单元：可对设备数据、输送供料、旋转供料、高度检测、钢珠装配、龙门入库、分拣检测等单元，可对其进行单站单机运行测试，并提取各设备的状态信息，比如环境检测、伺服状态、生产状态、库位状态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（3）设备数据管理界面：可对设备数据状态进行数据采集，包括电压、功率、温度、湿度、大气压力、振动数据等信息。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（4）生产订单界面：可对其进行订单的创建，明细的添加，订单下发等。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（5）报警参数设置界面：可对设备数据状态进行阈值设置，包括电压、功率、温度、湿度、大气压力、振动数据等信息。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bCs/>
                <w:color w:val="auto"/>
                <w:szCs w:val="21"/>
              </w:rPr>
              <w:t xml:space="preserve">▲</w:t>
            </w:r>
            <w:r>
              <w:rPr>
                <w:rFonts w:hint="eastAsia" w:ascii="仿宋" w:hAnsi="仿宋" w:eastAsia="仿宋" w:cs="仿宋"/>
                <w:color w:val="auto"/>
                <w:szCs w:val="21"/>
              </w:rPr>
              <w:t xml:space="preserve">（6）为确保该系统的稳定性与教学适配扩展性。系统应通过GB/T 25000.51-2016《系统与软件工程系统与软件质量要求和评价（SQuaRE）第51部分：就绪可用软件产品（RUSP）的质量要求和测试细则》测试标准的要求。</w:t>
            </w:r>
            <w:r>
              <w:rPr>
                <w:rFonts w:hint="eastAsia" w:ascii="仿宋" w:hAnsi="仿宋" w:eastAsia="仿宋" w:cs="仿宋"/>
                <w:b/>
                <w:bCs/>
                <w:color w:val="auto"/>
                <w:szCs w:val="21"/>
              </w:rPr>
              <w:t xml:space="preserve">（投标时提供承诺函（格式自拟），承诺函应明确：若中标，将在项目验收前提供由具有CMA资质的第三方检验检测机构出具的检测（评测）报告；报告结论应为合格/符合，检测内容应覆盖或对应上述技术参数指标。该报告作为项目验收依据之一。中标人未按期提供、报告不可查验或检测内容不符合要求的，采购人有权不予验收，并按合同约定追究违约责任）</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2）信息层云平台单元：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平台采用国产企业级平台，界面制作便捷，功能丰富，数据处理稳定。平台功能包括设备接入、设备管理、数据存储、数据展示、数据分析、用户管理、维保工单、配方管理等功能。平台免编程可快速便捷实现产品与系统的联接，实现物联平台。可实现多样快捷的连接监控方式（业务系统、地图、视频监控），实时、精准的数据信息来源，精准高效的数据透视（柱状图、趋势图、定制数据透视报表），设备间更紧密的组合联动（多台PLC构成的设备系统的集中监控）。</w:t>
            </w:r>
            <w:r>
              <w:rPr>
                <w:rFonts w:hint="eastAsia" w:ascii="仿宋" w:hAnsi="仿宋" w:eastAsia="仿宋" w:cs="仿宋"/>
                <w:b/>
                <w:color w:val="auto"/>
                <w:szCs w:val="21"/>
              </w:rPr>
              <w:t xml:space="preserve">（提供信息层平台界面截图）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（1）项目配置：项目支持导入、导出、删除、编辑，方便操作，包括设备配置、项目组态配置、报警源配置、设备状态统计、条件赋值、报表。</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2）组态页功能，提供不同类型可编辑的基础元件、基础和高级控件，通过图形化界面呈现相关数据信息，使用户能够一目了然地查看整个系统的状态信息，组态界面用户可自定义，包括界面的布局，颜色，控件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Cs/>
                <w:color w:val="auto"/>
                <w:szCs w:val="21"/>
              </w:rPr>
            </w:pPr>
            <w:r>
              <w:rPr>
                <w:rFonts w:hint="eastAsia" w:ascii="仿宋" w:hAnsi="仿宋" w:eastAsia="仿宋" w:cs="仿宋"/>
                <w:bCs/>
                <w:color w:val="auto"/>
                <w:szCs w:val="21"/>
              </w:rPr>
              <w:t xml:space="preserve">（3）基础元件：直线，圆，矩形，文本，图片，折线，多边形，表格等；</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基础控件：按钮、指示灯、按钮指示灯、数据显示、数据输入、数据控制、组合框输入、滑动输入、画面跳转、变量图片等。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（4）高级控件：环形图、棒图、流体、轮播动画、历史曲线、实时曲线、日期时间、实时事件、历史事件、天气、视频控件、功能键、功能域。</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（5）可根据需求编辑多个组态画面同时进行组合排列显示；</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b/>
                <w:bCs/>
                <w:color w:val="auto"/>
                <w:sz w:val="21"/>
              </w:rPr>
              <w:t xml:space="preserve">▲</w:t>
            </w:r>
            <w:r>
              <w:rPr>
                <w:rFonts w:hint="eastAsia" w:ascii="仿宋" w:hAnsi="仿宋" w:eastAsia="仿宋" w:cs="仿宋"/>
                <w:color w:val="auto"/>
                <w:sz w:val="21"/>
              </w:rPr>
              <w:t xml:space="preserve">（6）为确保该系统的稳定性与教学适配扩展性。系统应通过GB/T 25000.51-2016《系统与软件工程系统与软件质量要求和评价（SQuaRE）第51部分：就绪可用软件产品（RUSP）的质量要求和测试细则》测试标准的要求。</w:t>
            </w:r>
            <w:r>
              <w:rPr>
                <w:rFonts w:hint="eastAsia" w:ascii="仿宋" w:hAnsi="仿宋" w:eastAsia="仿宋" w:cs="仿宋"/>
                <w:b/>
                <w:bCs/>
                <w:color w:val="auto"/>
                <w:sz w:val="21"/>
              </w:rPr>
              <w:t xml:space="preserve">（投标时提供承诺函（格式自拟），承诺函应明确：若中标，将在项目验收前提供由具有CMA资质的第三方检验检测机构出具的检测（评测）报告；报告结论应为合格/符合，检测内容应覆盖或对应上述技术参数指标。该报告作为项目验收依据之一。中标人未按期提供、报告不可查验或检测内容不符合要求的，采购人有权不予验收，并按合同约定追究违约责任）</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3）可视化数据管理单元：</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要求可完成生产可视化、设备状态可视化、设备状态管理可视化、维保过程数字化、维保经验数字化等功能。</w:t>
            </w:r>
            <w:r>
              <w:rPr>
                <w:rFonts w:hint="eastAsia" w:ascii="仿宋" w:hAnsi="仿宋" w:eastAsia="仿宋" w:cs="仿宋"/>
                <w:b/>
                <w:color w:val="auto"/>
                <w:szCs w:val="21"/>
              </w:rPr>
              <w:t xml:space="preserve">（提供不少于2张功能截图）</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
                <w:color w:val="auto"/>
                <w:szCs w:val="21"/>
              </w:rPr>
              <w:t xml:space="preserve">4）工业网络设备</w:t>
            </w:r>
            <w:r>
              <w:rPr>
                <w:color w:val="auto"/>
              </w:rPr>
            </w:r>
            <w:r/>
          </w:p>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（1）</w:t>
            </w:r>
            <w:r>
              <w:rPr>
                <w:rFonts w:hint="eastAsia" w:ascii="仿宋" w:hAnsi="仿宋" w:eastAsia="仿宋" w:cs="仿宋"/>
                <w:b/>
                <w:color w:val="auto"/>
                <w:szCs w:val="21"/>
              </w:rPr>
              <w:t xml:space="preserve">可编程控制器：</w:t>
            </w:r>
            <w:r>
              <w:rPr>
                <w:rFonts w:hint="eastAsia" w:ascii="仿宋" w:hAnsi="仿宋" w:eastAsia="仿宋" w:cs="仿宋"/>
                <w:bCs/>
                <w:color w:val="auto"/>
                <w:szCs w:val="21"/>
              </w:rPr>
              <w:t xml:space="preserve">要求不低于双PROFINET以太网接口，支持手拉手拓扑，集成NFC调试接口；</w:t>
            </w:r>
            <w:r>
              <w:rPr>
                <w:rFonts w:hint="eastAsia" w:ascii="仿宋" w:hAnsi="仿宋" w:eastAsia="仿宋" w:cs="仿宋"/>
                <w:bCs/>
                <w:color w:val="auto"/>
                <w:szCs w:val="21"/>
              </w:rPr>
              <w:t xml:space="preserve">工作存储器：程序≥250 KB，数据≥750 KB；24VDC 电源，板载≥DI14 x 24VDC 漏型 / 源型，板载≥DQ10 x 24VDC；板载≥ 6 个高速计数器和≥2个脉冲输出；信号板扩展板载式 I/O；最多2个通信板用于串行通信；最多8个信号模块用于 I/O 扩展；PROFINET IO 控制器，双端口，智能设备，TCP/IP传输协议，开放式用户安全通信，S7通信，Web 服务器，OPC UA：服务器DA，PROFINET接口，用于编程、HMI以及PLC间数据通信，配套相应的PLC编程软件。</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（2）配有同品牌通讯板1个，要求设备成熟稳定，配置有嵌入式的PLC控制软件，软件应通过具有检测资质的机构的测评。</w:t>
            </w:r>
            <w:r>
              <w:rPr>
                <w:rFonts w:hint="eastAsia" w:ascii="仿宋" w:hAnsi="仿宋" w:eastAsia="仿宋" w:cs="仿宋"/>
                <w:b/>
                <w:color w:val="auto"/>
                <w:szCs w:val="21"/>
              </w:rPr>
              <w:t xml:space="preserve">（提供能够证明所投嵌入式PLC控制软件满足上述要求的技术材料）</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（3）</w:t>
            </w:r>
            <w:r>
              <w:rPr>
                <w:rFonts w:hint="eastAsia" w:ascii="仿宋" w:hAnsi="仿宋" w:eastAsia="仿宋" w:cs="仿宋"/>
                <w:b/>
                <w:color w:val="auto"/>
                <w:szCs w:val="21"/>
              </w:rPr>
              <w:t xml:space="preserve">环网三层管理工业交换机：</w:t>
            </w:r>
            <w:r>
              <w:rPr>
                <w:rFonts w:hint="eastAsia" w:ascii="仿宋" w:hAnsi="仿宋" w:eastAsia="仿宋" w:cs="仿宋"/>
                <w:bCs/>
                <w:color w:val="auto"/>
                <w:szCs w:val="21"/>
                <w:highlight w:val="none"/>
              </w:rPr>
              <w:t xml:space="preserve">设备配置不少于8个10/100/1000M自适应RJ45端口及4个千兆SFP端口，支持ERPS环网协议与RPL配置，直流输入电压范围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Cs w:val="21"/>
                <w:highlight w:val="none"/>
                <w:lang w:eastAsia="zh-CN"/>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（4）</w:t>
            </w:r>
            <w:r>
              <w:rPr>
                <w:rFonts w:hint="eastAsia" w:ascii="仿宋" w:hAnsi="仿宋" w:eastAsia="仿宋" w:cs="仿宋"/>
                <w:b/>
                <w:color w:val="auto"/>
                <w:szCs w:val="21"/>
              </w:rPr>
              <w:t xml:space="preserve">工业级防火墙：</w:t>
            </w:r>
            <w:r>
              <w:rPr>
                <w:rFonts w:hint="eastAsia" w:ascii="仿宋" w:hAnsi="仿宋" w:eastAsia="仿宋" w:cs="仿宋"/>
                <w:bCs/>
                <w:color w:val="auto"/>
                <w:szCs w:val="21"/>
              </w:rPr>
              <w:t xml:space="preserve">≥双核64位网络专用处理器，单核主频≥1GHz，≥1GB DDRIV 高速内存；≥3个10/100/1000M RJ45端口，≥1个MGMT 管理口；工业级工作温度：-40</w:t>
            </w:r>
            <w:r>
              <w:rPr>
                <w:rFonts w:hint="eastAsia" w:ascii="仿宋" w:hAnsi="仿宋" w:eastAsia="仿宋" w:cs="仿宋"/>
                <w:bCs/>
                <w:color w:val="auto"/>
                <w:szCs w:val="21"/>
              </w:rPr>
              <w:t xml:space="preserve">℃~75℃；EMS高级防护，三冗余电源输入；支持端口bypas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多管理员角色，精细化权限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Cs/>
                <w:color w:val="auto"/>
                <w:szCs w:val="21"/>
              </w:rPr>
              <w:t xml:space="preserve">（5）</w:t>
            </w:r>
            <w:r>
              <w:rPr>
                <w:rFonts w:hint="eastAsia" w:ascii="仿宋" w:hAnsi="仿宋" w:eastAsia="仿宋" w:cs="仿宋"/>
                <w:b/>
                <w:color w:val="auto"/>
                <w:szCs w:val="21"/>
              </w:rPr>
              <w:t xml:space="preserve">边缘网关：</w:t>
            </w:r>
            <w:r>
              <w:rPr>
                <w:rFonts w:hint="eastAsia" w:ascii="仿宋" w:hAnsi="仿宋" w:eastAsia="仿宋" w:cs="仿宋"/>
                <w:bCs/>
                <w:color w:val="auto"/>
                <w:szCs w:val="21"/>
              </w:rPr>
              <w:t xml:space="preserve">应采用mips架构CPU，主频不低于300MHz，内存不低于128M DDR，16M FLASH，支持WIFI和以太网接入网络，应能支持2路10M/100M自适应端口，应能支持RS232/RS485/RS422端口，应具有看门狗管理，应能支持数据采集、PLC远程上下载程序、断网续传和交换机功能。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hint="eastAsia" w:ascii="仿宋" w:hAnsi="仿宋" w:eastAsia="仿宋" w:cs="仿宋"/>
                <w:b/>
                <w:color w:val="auto"/>
                <w:szCs w:val="21"/>
              </w:rPr>
              <w:t xml:space="preserve">（6）工业级双频无线接入点：</w:t>
            </w:r>
            <w:r>
              <w:rPr>
                <w:rFonts w:hint="eastAsia" w:ascii="仿宋" w:hAnsi="仿宋" w:eastAsia="仿宋" w:cs="仿宋"/>
                <w:bCs/>
                <w:color w:val="auto"/>
                <w:szCs w:val="21"/>
              </w:rPr>
              <w:t xml:space="preserve">要求至少适应-40℃～+75℃温度下</w:t>
            </w:r>
            <w:r>
              <w:rPr>
                <w:rFonts w:hint="eastAsia" w:ascii="仿宋" w:hAnsi="仿宋" w:eastAsia="仿宋" w:cs="仿宋"/>
                <w:bCs/>
                <w:color w:val="auto"/>
                <w:szCs w:val="21"/>
              </w:rPr>
              <w:t xml:space="preserve">严苛的工业级工作环境；冗余双路直流供电，以及标准PoE供电，适应工业环境组网要求，稳定可靠；IEC/EN 61000-4 高标准工业级防护设计，适应恶劣环境；2.4GHz和5GHz双频段并发射频，无线速率可达1900Mbps；独立功放电路，提升发射功率；支持设备工作为AP或Client两种覆盖/传输模式以及Router 上网模式，应用灵活；强双频漫游技术，Client模式设备可快速漫游至信号更优的AP；无线冗余技术，干扰下设备通信不中断；标准DIN导轨/壁挂安装，维护简便；支持AC或商用网络云平台集中管理。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highlight w:val="none"/>
              </w:rPr>
              <w:t xml:space="preserve">（7）</w:t>
            </w:r>
            <w:r>
              <w:rPr>
                <w:rFonts w:hint="eastAsia" w:ascii="仿宋" w:hAnsi="仿宋" w:eastAsia="仿宋" w:cs="仿宋"/>
                <w:b/>
                <w:color w:val="auto"/>
                <w:szCs w:val="21"/>
                <w:highlight w:val="none"/>
              </w:rPr>
              <w:t xml:space="preserve">环境传感器：</w:t>
            </w:r>
            <w:r>
              <w:rPr>
                <w:rFonts w:hint="eastAsia" w:ascii="仿宋" w:hAnsi="仿宋" w:eastAsia="仿宋" w:cs="仿宋"/>
                <w:bCs/>
                <w:color w:val="auto"/>
                <w:szCs w:val="21"/>
                <w:highlight w:val="none"/>
              </w:rPr>
              <w:t xml:space="preserve">能测量湿度、温度、大气压力、二氧化碳环境数据，支持RS485通讯，标准modbusRTU协议。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（8）</w:t>
            </w:r>
            <w:r>
              <w:rPr>
                <w:rFonts w:hint="eastAsia" w:ascii="仿宋" w:hAnsi="仿宋" w:eastAsia="仿宋" w:cs="仿宋"/>
                <w:b/>
                <w:color w:val="auto"/>
                <w:szCs w:val="21"/>
              </w:rPr>
              <w:t xml:space="preserve">智能电表：</w:t>
            </w:r>
            <w:r>
              <w:rPr>
                <w:rFonts w:hint="eastAsia" w:ascii="仿宋" w:hAnsi="仿宋" w:eastAsia="仿宋" w:cs="仿宋"/>
                <w:bCs/>
                <w:color w:val="auto"/>
                <w:szCs w:val="21"/>
              </w:rPr>
              <w:t xml:space="preserve">能实现对系统电压、电流、功率等电量的采集和显示，支持RS485通讯，采集的数据也可通过通讯传输给PLC。</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（9）</w:t>
            </w:r>
            <w:r>
              <w:rPr>
                <w:rFonts w:hint="eastAsia" w:ascii="仿宋" w:hAnsi="仿宋" w:eastAsia="仿宋" w:cs="仿宋"/>
                <w:b/>
                <w:color w:val="auto"/>
                <w:szCs w:val="21"/>
              </w:rPr>
              <w:t xml:space="preserve">LORA 模块：</w:t>
            </w:r>
            <w:r>
              <w:rPr>
                <w:rFonts w:hint="eastAsia" w:ascii="仿宋" w:hAnsi="仿宋" w:eastAsia="仿宋" w:cs="仿宋"/>
                <w:bCs/>
                <w:color w:val="auto"/>
                <w:szCs w:val="21"/>
              </w:rPr>
              <w:t xml:space="preserve">支持RS232、485-LoRa通讯，纯射频模组，支持发送、接收数据，与PLC直接通讯。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rPr>
            </w:pPr>
            <w:r>
              <w:rPr>
                <w:rFonts w:hint="eastAsia" w:ascii="仿宋" w:hAnsi="仿宋" w:eastAsia="仿宋" w:cs="仿宋"/>
                <w:bCs/>
                <w:color w:val="auto"/>
                <w:szCs w:val="21"/>
              </w:rPr>
              <w:t xml:space="preserve">（10）</w:t>
            </w:r>
            <w:r>
              <w:rPr>
                <w:rFonts w:hint="eastAsia" w:ascii="仿宋" w:hAnsi="仿宋" w:eastAsia="仿宋" w:cs="仿宋"/>
                <w:b/>
                <w:color w:val="auto"/>
                <w:szCs w:val="21"/>
              </w:rPr>
              <w:t xml:space="preserve">协议网关</w:t>
            </w:r>
            <w:r>
              <w:rPr>
                <w:rFonts w:hint="eastAsia" w:ascii="仿宋" w:hAnsi="仿宋" w:eastAsia="仿宋" w:cs="仿宋"/>
                <w:bCs/>
                <w:color w:val="auto"/>
                <w:szCs w:val="21"/>
              </w:rPr>
              <w:t xml:space="preserve">：应支持Modbus-RTU/ASCII到ProfiNet协议的转换。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keepLines w:val="0"/>
              <w:keepNext w:val="0"/>
              <w:pageBreakBefore w:val="0"/>
              <w:spacing w:line="240" w:lineRule="auto"/>
              <w:rPr>
                <w:rFonts w:ascii="仿宋" w:hAnsi="仿宋" w:eastAsia="仿宋" w:cs="仿宋"/>
                <w:b/>
                <w:color w:val="auto"/>
                <w:szCs w:val="21"/>
                <w:highlight w:val="none"/>
              </w:rPr>
            </w:pPr>
            <w:r>
              <w:rPr>
                <w:rFonts w:hint="eastAsia" w:ascii="仿宋" w:hAnsi="仿宋" w:eastAsia="仿宋" w:cs="仿宋"/>
                <w:color w:val="auto"/>
                <w:szCs w:val="21"/>
                <w:highlight w:val="none"/>
              </w:rPr>
              <w:t xml:space="preserve">（11）</w:t>
            </w:r>
            <w:r>
              <w:rPr>
                <w:rFonts w:hint="eastAsia" w:ascii="仿宋" w:hAnsi="仿宋" w:eastAsia="仿宋" w:cs="仿宋"/>
                <w:b/>
                <w:color w:val="auto"/>
                <w:szCs w:val="21"/>
                <w:highlight w:val="none"/>
              </w:rPr>
              <w:t xml:space="preserve">IOT工业控制器：</w:t>
            </w:r>
            <w:r>
              <w:rPr>
                <w:rFonts w:hint="eastAsia" w:ascii="仿宋" w:hAnsi="仿宋" w:eastAsia="仿宋" w:cs="仿宋"/>
                <w:bCs/>
                <w:color w:val="auto"/>
                <w:sz w:val="24"/>
                <w:szCs w:val="24"/>
                <w:highlight w:val="none"/>
              </w:rPr>
              <w:t xml:space="preserve">要求控制</w:t>
            </w:r>
            <w:r>
              <w:rPr>
                <w:rFonts w:ascii="仿宋" w:hAnsi="仿宋" w:eastAsia="仿宋" w:cs="仿宋"/>
                <w:bCs/>
                <w:color w:val="auto"/>
                <w:sz w:val="24"/>
                <w:szCs w:val="24"/>
                <w:highlight w:val="none"/>
              </w:rPr>
              <w:t xml:space="preserve">处理器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I3</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内存</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8GB</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存储</w:t>
            </w:r>
            <w:r>
              <w:rPr>
                <w:rFonts w:hint="eastAsia" w:ascii="仿宋" w:hAnsi="仿宋" w:eastAsia="仿宋" w:cs="仿宋"/>
                <w:bCs/>
                <w:color w:val="auto"/>
                <w:sz w:val="24"/>
                <w:szCs w:val="24"/>
                <w:highlight w:val="none"/>
              </w:rPr>
              <w:t xml:space="preserve">模块</w:t>
            </w:r>
            <w:r>
              <w:rPr>
                <w:rFonts w:ascii="仿宋" w:hAnsi="仿宋" w:eastAsia="仿宋" w:cs="仿宋"/>
                <w:bCs/>
                <w:color w:val="auto"/>
                <w:sz w:val="24"/>
                <w:szCs w:val="24"/>
                <w:highlight w:val="none"/>
              </w:rPr>
              <w:t xml:space="preserve">容量≥128GB</w:t>
            </w:r>
            <w:r>
              <w:rPr>
                <w:rFonts w:hint="eastAsia" w:ascii="仿宋" w:hAnsi="仿宋" w:eastAsia="仿宋" w:cs="仿宋"/>
                <w:bCs/>
                <w:color w:val="auto"/>
                <w:sz w:val="24"/>
                <w:szCs w:val="24"/>
                <w:highlight w:val="none"/>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highlight w:val="none"/>
              </w:rPr>
            </w:pPr>
            <w:r>
              <w:rPr>
                <w:rFonts w:ascii="仿宋" w:hAnsi="仿宋" w:eastAsia="仿宋" w:cs="仿宋"/>
                <w:color w:val="auto"/>
                <w:szCs w:val="21"/>
                <w:highlight w:val="none"/>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restart"/>
            <w:textDirection w:val="lrTb"/>
            <w:noWrap w:val="false"/>
          </w:tcPr>
          <w:p>
            <w:pPr>
              <w:pStyle w:val="971"/>
              <w:ind w:firstLine="0"/>
              <w:jc w:val="center"/>
              <w:keepLines w:val="0"/>
              <w:keepNext w:val="0"/>
              <w:pageBreakBefore w:val="0"/>
              <w:spacing w:line="240" w:lineRule="auto"/>
              <w:rPr>
                <w:rFonts w:ascii="仿宋" w:hAnsi="仿宋" w:eastAsia="仿宋" w:cs="仿宋"/>
                <w:b/>
                <w:bCs/>
                <w:color w:val="auto"/>
                <w:sz w:val="21"/>
                <w:szCs w:val="21"/>
              </w:rPr>
            </w:pPr>
            <w:r>
              <w:rPr>
                <w:rFonts w:hint="eastAsia" w:ascii="仿宋" w:hAnsi="仿宋" w:eastAsia="仿宋" w:cs="仿宋"/>
                <w:b/>
                <w:bCs/>
                <w:color w:val="auto"/>
                <w:sz w:val="21"/>
                <w:szCs w:val="21"/>
              </w:rPr>
              <w:t xml:space="preserve">四、★配置清单及要求</w:t>
            </w:r>
            <w:r>
              <w:rPr>
                <w:color w:val="auto"/>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实训台</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工作台尺寸：长×宽×高≥1000mm×800mm×1800mm</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可编程控制器</w:t>
            </w:r>
            <w:r>
              <w:rPr>
                <w:color w:val="auto"/>
              </w:rPr>
            </w:r>
            <w:r/>
          </w:p>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要求不低于双PROFINET 以太网接口，支持手拉手拓扑，集成NFC调试</w:t>
            </w:r>
            <w:r>
              <w:rPr>
                <w:rFonts w:hint="eastAsia" w:ascii="仿宋" w:hAnsi="仿宋" w:eastAsia="仿宋" w:cs="仿宋"/>
                <w:color w:val="auto"/>
              </w:rPr>
              <w:t xml:space="preserve">接口；工作存储器：程序≥250 KB，数据≥750 KB；24VDC电源，板载≥DI14 x 24VDC 漏型 / 源型，板载≥DQ10 x 24VDC；板载≥6个高速计数器和≥2个脉冲输出；信号板扩展板载式 I/O；最多2个通信板用于串行通信；最多8个信号模块用于 I/O 扩展；PROFINET IO 控制器，双端口，智能设备，TCP/IP传输协议，开放式用户安全通信，S7通信，Web服务器，OPC UA：服务器DA，PROFINET接口，用于编程、HMI以及PLC间数据通信，配套相应的 PLC编程软件。</w:t>
            </w:r>
            <w:r>
              <w:rPr>
                <w:color w:val="auto"/>
              </w:rPr>
            </w:r>
            <w:r/>
          </w:p>
          <w:p>
            <w:pPr>
              <w:pStyle w:val="1314"/>
              <w:jc w:val="both"/>
              <w:keepLines w:val="0"/>
              <w:keepNext w:val="0"/>
              <w:pageBreakBefore w:val="0"/>
              <w:spacing w:line="240" w:lineRule="auto"/>
              <w:rPr>
                <w:rFonts w:ascii="仿宋" w:hAnsi="仿宋" w:eastAsia="仿宋" w:cs="仿宋"/>
                <w:color w:val="auto"/>
              </w:rPr>
            </w:pPr>
            <w:r>
              <w:rPr>
                <w:rFonts w:hint="eastAsia" w:ascii="仿宋" w:hAnsi="仿宋" w:eastAsia="仿宋" w:cs="仿宋"/>
                <w:color w:val="auto"/>
              </w:rPr>
              <w:t xml:space="preserve">配有同品牌通讯板1个</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触摸屏</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触摸屏精智面板，触摸操作，</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7寸TFT显示屏，</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800x 480像素，</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64K色；按键和触摸操作，</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8个功能键；</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 x PROFINET，</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 x USB</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环网三层管理工业交换机</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bCs/>
                <w:color w:val="auto"/>
                <w:szCs w:val="21"/>
                <w:highlight w:val="none"/>
              </w:rPr>
              <w:t xml:space="preserve">设备配置不少于8个10/100/1000M自适应RJ45端口及4个千兆SFP端口，支持ERPS环网协议与RPL配置，直流输入电压范围9.6V~60VDC，支持IEEE1588精密时钟同步协议，时钟同步精度为亚微秒级，支持导轨式安装、壁挂安装，支持三层路由协议，具备安全防护机制、ACL访问控制策略及QoS策略，配备两路电源输入，支持电源冗余备份，EMC满足高防护等级，可适用于各类现场环境</w:t>
            </w:r>
            <w:r>
              <w:rPr>
                <w:rFonts w:hint="eastAsia" w:ascii="仿宋" w:hAnsi="仿宋" w:eastAsia="仿宋" w:cs="仿宋"/>
                <w:bCs/>
                <w:color w:val="auto"/>
                <w:szCs w:val="21"/>
                <w:highlight w:val="none"/>
                <w:lang w:eastAsia="zh-CN"/>
              </w:rPr>
              <w:t xml:space="preserve">。</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工业级防火墙</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不低于双核64位网络专用处理器，单核主频1GHz，1GB DDRIV高速内存；</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3个10/100/1000M RJ45端口，</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1个MGMT管理口；工业级工作温度：-40℃~75℃；EMS高级防护，三冗余电源输入，工作更可靠；支持端口bypass功能，断电后端口直连；支持配置安</w:t>
            </w:r>
            <w:r>
              <w:rPr>
                <w:rFonts w:hint="eastAsia" w:ascii="仿宋" w:hAnsi="仿宋" w:eastAsia="仿宋" w:cs="仿宋"/>
                <w:color w:val="auto"/>
                <w:sz w:val="21"/>
              </w:rPr>
              <w:t xml:space="preserve">全策略、审计策略、带宽策略、NAT策略、ALG 策略等；支持多种安全防护功能，防御ARP欺骗、ARP 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VPN）、DDNS等；多管理员角色，精细化权限管理。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边缘网关</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要求采用mips架构CPU，主频</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300MHz，内存</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128M DDR，</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16M FLASH，支持WIFI和以太网接入网络，支持</w:t>
            </w:r>
            <w:r>
              <w:rPr>
                <w:rFonts w:hint="eastAsia" w:ascii="仿宋" w:hAnsi="仿宋" w:eastAsia="仿宋" w:cs="仿宋"/>
                <w:bCs/>
                <w:color w:val="auto"/>
                <w:sz w:val="21"/>
              </w:rPr>
              <w:t xml:space="preserve">≥</w:t>
            </w:r>
            <w:r>
              <w:rPr>
                <w:rFonts w:hint="eastAsia" w:ascii="仿宋" w:hAnsi="仿宋" w:eastAsia="仿宋" w:cs="仿宋"/>
                <w:color w:val="auto"/>
                <w:sz w:val="21"/>
              </w:rPr>
              <w:t xml:space="preserve">2路10M/100M自适应端口，至少支持RS232/RS485/RS422端口，具有看门狗管理，支持数据采集、PLC远程上下载程序、断网续传和交换机功能。</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工业级双频无线接入点</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适应-40℃～+75℃温度下严苛的工业级工</w:t>
            </w:r>
            <w:r>
              <w:rPr>
                <w:rFonts w:hint="eastAsia" w:ascii="仿宋" w:hAnsi="仿宋" w:eastAsia="仿宋" w:cs="仿宋"/>
                <w:color w:val="auto"/>
                <w:sz w:val="21"/>
              </w:rPr>
              <w:t xml:space="preserve">作环境；冗余双路直流供电，以及标准PoE供电，适应工业环境组网要求，稳定可靠；IEC/EN 61000-4高标准工业级防护设计，适应恶劣环境；2.4GHz和5GHz双频段并发射频，无线速率可达1900Mbps；独立功放电路，提升发射功率；支持设备工作为AP或Client两种覆盖/传输模式以及Router上网模式，应用灵活；强双频漫游技术，Client模式设备可快速漫游至信号更优的 AP；无线冗余技术，干扰下设备通信不中断；标准DIN导轨/壁挂安装，维护简便；支持AC或TP-LINK 商用网络云平台集中管理。</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环境传感器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可测量湿度、温度、大气压力、二氧化碳环境数据，支持RS485通讯，标准modbusRTU协议。</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智能电表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可实现对系统电压、电流、功率等电量的采集和显示，支持RS485通讯，采集的数据也可通过通讯传输给 PLC。</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LORA 模块</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要求支持RS232、485-LoRa通讯，纯射频模组，支持发送、接收数据，与PLC直接通讯。</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协议网关</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要求可完成Modbus-RTU/ASCII到ProfiNet协议的转换</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远程 I/O</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要求≥2个RJ45接口，24VDC供电性能稳定、抗干扰性能强，总线协议：至少具有PROFINET、通用线缆：五类双绞线、传输距离：≥100m（站站距离）、传输速率：100Mbps、工作环境温度：-10～55°C；相对湿度：5%～90%（无凝露）</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数据终端处理器</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包含可视化交互功能，可以实时查看相关数据，同时具备静态数据处理和存储能力，可完成MES、云平台相关部署。</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r>
        <w:trPr>
          <w:jc w:val="center"/>
        </w:trPr>
        <w:tc>
          <w:tcPr>
            <w:tcBorders>
              <w:right w:val="single" w:color="auto" w:sz="6" w:space="0"/>
            </w:tcBorders>
            <w:tcW w:w="1091" w:type="dxa"/>
            <w:vAlign w:val="center"/>
            <w:vMerge w:val="continue"/>
            <w:textDirection w:val="lrTb"/>
            <w:noWrap w:val="false"/>
          </w:tcPr>
          <w:p>
            <w:pPr>
              <w:pStyle w:val="971"/>
              <w:ind w:firstLine="0"/>
              <w:jc w:val="center"/>
              <w:keepLines w:val="0"/>
              <w:keepNext w:val="0"/>
              <w:pageBreakBefore w:val="0"/>
              <w:spacing w:line="240" w:lineRule="auto"/>
              <w:rPr>
                <w:rFonts w:ascii="仿宋" w:hAnsi="仿宋" w:eastAsia="仿宋" w:cs="仿宋"/>
                <w:b/>
                <w:bCs/>
                <w:sz w:val="21"/>
                <w:szCs w:val="21"/>
              </w:rPr>
            </w:pPr>
            <w:r>
              <w:rPr>
                <w:rFonts w:ascii="仿宋" w:hAnsi="仿宋" w:eastAsia="仿宋" w:cs="仿宋"/>
                <w:b/>
                <w:bCs/>
                <w:sz w:val="21"/>
                <w:szCs w:val="21"/>
              </w:rPr>
            </w:r>
            <w:r/>
          </w:p>
        </w:tc>
        <w:tc>
          <w:tcPr>
            <w:tcBorders>
              <w:top w:val="single" w:color="auto" w:sz="6" w:space="0"/>
              <w:left w:val="single" w:color="auto" w:sz="6" w:space="0"/>
              <w:bottom w:val="single" w:color="auto" w:sz="6" w:space="0"/>
              <w:right w:val="single" w:color="auto" w:sz="6" w:space="0"/>
            </w:tcBorders>
            <w:tcW w:w="4152" w:type="dxa"/>
            <w:vAlign w:val="center"/>
            <w:textDirection w:val="lrTb"/>
            <w:noWrap w:val="false"/>
          </w:tcPr>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其他器件</w:t>
            </w:r>
            <w:r>
              <w:rPr>
                <w:color w:val="auto"/>
              </w:rPr>
            </w:r>
            <w:r/>
          </w:p>
          <w:p>
            <w:pPr>
              <w:pStyle w:val="998"/>
              <w:ind w:firstLine="0"/>
              <w:keepLines w:val="0"/>
              <w:keepNext w:val="0"/>
              <w:pageBreakBefore w:val="0"/>
              <w:spacing w:line="240" w:lineRule="auto"/>
              <w:rPr>
                <w:rFonts w:ascii="仿宋" w:hAnsi="仿宋" w:eastAsia="仿宋" w:cs="仿宋"/>
                <w:color w:val="auto"/>
                <w:sz w:val="21"/>
              </w:rPr>
            </w:pPr>
            <w:r>
              <w:rPr>
                <w:rFonts w:hint="eastAsia" w:ascii="仿宋" w:hAnsi="仿宋" w:eastAsia="仿宋" w:cs="仿宋"/>
                <w:color w:val="auto"/>
                <w:sz w:val="21"/>
              </w:rPr>
              <w:t xml:space="preserve">包括断路器、导轨插座、开关电源、继电器、器件导轨等；</w:t>
            </w:r>
            <w:r>
              <w:rPr>
                <w:color w:val="auto"/>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c>
          <w:tcPr>
            <w:tcBorders>
              <w:top w:val="single" w:color="auto" w:sz="6" w:space="0"/>
              <w:left w:val="single" w:color="auto" w:sz="6" w:space="0"/>
              <w:bottom w:val="single" w:color="auto" w:sz="6" w:space="0"/>
            </w:tcBorders>
            <w:tcW w:w="1208" w:type="dxa"/>
            <w:vAlign w:val="center"/>
            <w:textDirection w:val="lrTb"/>
            <w:noWrap w:val="false"/>
          </w:tcPr>
          <w:p>
            <w:pPr>
              <w:keepLines w:val="0"/>
              <w:keepNext w:val="0"/>
              <w:pageBreakBefore w:val="0"/>
              <w:spacing w:line="240" w:lineRule="auto"/>
              <w:rPr>
                <w:rFonts w:ascii="仿宋" w:hAnsi="仿宋" w:eastAsia="仿宋" w:cs="仿宋"/>
                <w:color w:val="auto"/>
                <w:szCs w:val="21"/>
              </w:rPr>
            </w:pPr>
            <w:r>
              <w:rPr>
                <w:rFonts w:ascii="仿宋" w:hAnsi="仿宋" w:eastAsia="仿宋" w:cs="仿宋"/>
                <w:color w:val="auto"/>
                <w:szCs w:val="21"/>
              </w:rPr>
            </w:r>
            <w:r>
              <w:rPr>
                <w:color w:val="auto"/>
              </w:rPr>
            </w:r>
            <w:r/>
          </w:p>
        </w:tc>
      </w:tr>
    </w:tbl>
    <w:p>
      <w:pPr>
        <w:spacing w:line="480" w:lineRule="exact"/>
        <w:rPr>
          <w:rFonts w:ascii="仿宋" w:hAnsi="仿宋" w:eastAsia="仿宋" w:cs="仿宋"/>
          <w:b/>
          <w:bCs/>
          <w:color w:val="ff0000"/>
          <w:sz w:val="24"/>
          <w:szCs w:val="24"/>
        </w:rPr>
      </w:pPr>
      <w:r>
        <w:rPr>
          <w:rFonts w:hint="eastAsia" w:ascii="仿宋" w:hAnsi="仿宋" w:eastAsia="仿宋" w:cs="仿宋"/>
          <w:b/>
          <w:bCs/>
          <w:color w:val="ff0000"/>
          <w:sz w:val="24"/>
          <w:szCs w:val="24"/>
        </w:rPr>
        <w:t xml:space="preserve">特别提醒：投标人在制作本表时，务必逐条对应各项指标，按要求提承诺函、截图等佐证材料。材料缺失或偏离将被视为不满足评审标准，可能导致相应分值扣减甚至废标。</w:t>
      </w:r>
      <w:r>
        <w:rPr>
          <w:color w:val="ff0000"/>
        </w:rPr>
      </w:r>
      <w:r/>
    </w:p>
    <w:p>
      <w:pPr>
        <w:spacing w:line="480" w:lineRule="exact"/>
        <w:rPr>
          <w:color w:val="auto"/>
        </w:rPr>
      </w:pPr>
      <w:r>
        <w:rPr>
          <w:rFonts w:hint="eastAsia" w:ascii="宋体" w:hAnsi="宋体" w:cs="仿宋"/>
          <w:color w:val="auto"/>
          <w:sz w:val="24"/>
          <w:szCs w:val="24"/>
        </w:rPr>
        <w:t xml:space="preserve">下附</w:t>
      </w:r>
      <w:r>
        <w:rPr>
          <w:color w:val="auto"/>
        </w:rPr>
      </w:r>
      <w:r/>
    </w:p>
    <w:p>
      <w:pPr>
        <w:spacing w:line="480" w:lineRule="exact"/>
        <w:rPr>
          <w:rFonts w:ascii="宋体" w:hAnsi="宋体" w:cs="仿宋"/>
          <w:color w:val="auto"/>
        </w:rPr>
      </w:pPr>
      <w:r>
        <w:rPr>
          <w:rFonts w:hint="eastAsia" w:ascii="宋体" w:hAnsi="宋体" w:cs="仿宋"/>
          <w:color w:val="auto"/>
          <w:sz w:val="24"/>
          <w:szCs w:val="24"/>
        </w:rPr>
        <w:t xml:space="preserve">佐证材料1，佐证材料2，……</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备注</w:t>
      </w:r>
      <w:r>
        <w:rPr>
          <w:rFonts w:ascii="仿宋" w:hAnsi="仿宋" w:eastAsia="仿宋"/>
          <w:b/>
          <w:bCs/>
          <w:color w:val="auto"/>
          <w:sz w:val="28"/>
          <w:szCs w:val="28"/>
        </w:rPr>
        <w:t xml:space="preserve">：</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1.投标人需</w:t>
      </w:r>
      <w:r>
        <w:rPr>
          <w:rFonts w:ascii="仿宋" w:hAnsi="仿宋" w:eastAsia="仿宋"/>
          <w:b/>
          <w:bCs/>
          <w:color w:val="auto"/>
          <w:sz w:val="28"/>
          <w:szCs w:val="28"/>
        </w:rPr>
        <w:t xml:space="preserve">对技术</w:t>
      </w:r>
      <w:r>
        <w:rPr>
          <w:rFonts w:hint="eastAsia" w:ascii="仿宋" w:hAnsi="仿宋" w:eastAsia="仿宋"/>
          <w:b/>
          <w:bCs/>
          <w:color w:val="auto"/>
          <w:sz w:val="28"/>
          <w:szCs w:val="28"/>
        </w:rPr>
        <w:t xml:space="preserve">要求</w:t>
      </w:r>
      <w:r>
        <w:rPr>
          <w:rFonts w:ascii="仿宋" w:hAnsi="仿宋" w:eastAsia="仿宋"/>
          <w:b/>
          <w:bCs/>
          <w:color w:val="auto"/>
          <w:sz w:val="28"/>
          <w:szCs w:val="28"/>
        </w:rPr>
        <w:t xml:space="preserve">逐条做出明确响应</w:t>
      </w:r>
      <w:r>
        <w:rPr>
          <w:rFonts w:hint="eastAsia" w:ascii="仿宋" w:hAnsi="仿宋" w:eastAsia="仿宋"/>
          <w:b/>
          <w:bCs/>
          <w:color w:val="auto"/>
          <w:sz w:val="28"/>
          <w:szCs w:val="28"/>
        </w:rPr>
        <w:t xml:space="preserve">。</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2.如果招标</w:t>
      </w:r>
      <w:r>
        <w:rPr>
          <w:rFonts w:ascii="仿宋" w:hAnsi="仿宋" w:eastAsia="仿宋"/>
          <w:b/>
          <w:bCs/>
          <w:color w:val="auto"/>
          <w:sz w:val="28"/>
          <w:szCs w:val="28"/>
        </w:rPr>
        <w:t xml:space="preserve">文件要求提供</w:t>
      </w:r>
      <w:r>
        <w:rPr>
          <w:rFonts w:hint="eastAsia" w:ascii="仿宋" w:hAnsi="仿宋" w:eastAsia="仿宋"/>
          <w:b/>
          <w:bCs/>
          <w:color w:val="auto"/>
          <w:sz w:val="28"/>
          <w:szCs w:val="28"/>
        </w:rPr>
        <w:t xml:space="preserve">佐证材料</w:t>
      </w:r>
      <w:r>
        <w:rPr>
          <w:rFonts w:ascii="仿宋" w:hAnsi="仿宋" w:eastAsia="仿宋"/>
          <w:b/>
          <w:bCs/>
          <w:color w:val="auto"/>
          <w:sz w:val="28"/>
          <w:szCs w:val="28"/>
        </w:rPr>
        <w:t xml:space="preserve">，投标人</w:t>
      </w:r>
      <w:r>
        <w:rPr>
          <w:rFonts w:hint="eastAsia" w:ascii="仿宋" w:hAnsi="仿宋" w:eastAsia="仿宋"/>
          <w:b/>
          <w:bCs/>
          <w:color w:val="auto"/>
          <w:sz w:val="28"/>
          <w:szCs w:val="28"/>
        </w:rPr>
        <w:t xml:space="preserve">需</w:t>
      </w:r>
      <w:r>
        <w:rPr>
          <w:rFonts w:ascii="仿宋" w:hAnsi="仿宋" w:eastAsia="仿宋"/>
          <w:b/>
          <w:bCs/>
          <w:color w:val="auto"/>
          <w:sz w:val="28"/>
          <w:szCs w:val="28"/>
        </w:rPr>
        <w:t xml:space="preserve">将</w:t>
      </w:r>
      <w:r>
        <w:rPr>
          <w:rFonts w:hint="eastAsia" w:ascii="仿宋" w:hAnsi="仿宋" w:eastAsia="仿宋"/>
          <w:b/>
          <w:bCs/>
          <w:color w:val="auto"/>
          <w:sz w:val="28"/>
          <w:szCs w:val="28"/>
        </w:rPr>
        <w:t xml:space="preserve">佐证材料列于</w:t>
      </w:r>
      <w:r>
        <w:rPr>
          <w:rFonts w:ascii="仿宋" w:hAnsi="仿宋" w:eastAsia="仿宋"/>
          <w:b/>
          <w:bCs/>
          <w:color w:val="auto"/>
          <w:sz w:val="28"/>
          <w:szCs w:val="28"/>
        </w:rPr>
        <w:t xml:space="preserve">该表之下。</w:t>
      </w:r>
      <w:r>
        <w:rPr>
          <w:color w:val="auto"/>
        </w:rPr>
      </w:r>
      <w:r/>
    </w:p>
    <w:p>
      <w:pPr>
        <w:pStyle w:val="1016"/>
        <w:ind w:firstLine="0"/>
        <w:rPr>
          <w:rFonts w:ascii="仿宋" w:hAnsi="仿宋" w:eastAsia="仿宋"/>
          <w:b/>
          <w:color w:val="auto"/>
          <w:sz w:val="28"/>
          <w:szCs w:val="28"/>
        </w:rPr>
      </w:pPr>
      <w:r>
        <w:rPr>
          <w:color w:val="auto"/>
          <w:lang w:eastAsia="zh-CN"/>
        </w:rPr>
        <w:br w:type="page" w:clear="all"/>
      </w:r>
      <w:r>
        <w:rPr>
          <w:rFonts w:hint="eastAsia" w:ascii="仿宋" w:hAnsi="仿宋" w:eastAsia="仿宋"/>
          <w:b/>
          <w:color w:val="auto"/>
          <w:sz w:val="28"/>
          <w:szCs w:val="28"/>
          <w:lang w:eastAsia="zh-CN"/>
        </w:rPr>
        <w:t xml:space="preserve">附件8</w:t>
      </w:r>
      <w:r>
        <w:rPr>
          <w:color w:val="auto"/>
        </w:rPr>
      </w:r>
      <w:r/>
    </w:p>
    <w:p>
      <w:pPr>
        <w:jc w:val="cente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商务要求响应及偏离表</w:t>
      </w:r>
      <w:r>
        <w:rPr>
          <w:color w:val="auto"/>
        </w:rPr>
      </w:r>
      <w:r/>
    </w:p>
    <w:tbl>
      <w:tblPr>
        <w:tblStyle w:val="9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序号</w:t>
            </w:r>
            <w:r>
              <w:rPr>
                <w:color w:val="auto"/>
              </w:rPr>
            </w:r>
            <w:r/>
          </w:p>
        </w:tc>
        <w:tc>
          <w:tcPr>
            <w:tcW w:w="3063"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商务要求</w:t>
            </w:r>
            <w:r>
              <w:rPr>
                <w:color w:val="auto"/>
              </w:rPr>
            </w:r>
            <w:r/>
          </w:p>
        </w:tc>
        <w:tc>
          <w:tcPr>
            <w:tcW w:w="3191"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投标响应情况</w:t>
            </w:r>
            <w:r>
              <w:rPr>
                <w:color w:val="auto"/>
              </w:rPr>
            </w:r>
            <w:r/>
          </w:p>
        </w:tc>
        <w:tc>
          <w:tcPr>
            <w:tcW w:w="2128" w:type="dxa"/>
            <w:vAlign w:val="center"/>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超出、符合或偏离</w:t>
            </w:r>
            <w:r>
              <w:rPr>
                <w:color w:val="auto"/>
              </w:rPr>
            </w:r>
            <w:r/>
          </w:p>
        </w:tc>
      </w:tr>
      <w:tr>
        <w:trPr>
          <w:cantSplit/>
          <w:trHeight w:val="640"/>
        </w:trPr>
        <w:tc>
          <w:tcPr>
            <w:tcW w:w="545" w:type="dxa"/>
            <w:textDirection w:val="lrTb"/>
            <w:noWrap w:val="false"/>
          </w:tcPr>
          <w:p>
            <w:pPr>
              <w:jc w:val="center"/>
              <w:spacing w:line="480" w:lineRule="exact"/>
              <w:rPr>
                <w:rFonts w:ascii="仿宋" w:hAnsi="仿宋" w:eastAsia="仿宋"/>
                <w:color w:val="auto"/>
                <w:sz w:val="28"/>
                <w:szCs w:val="28"/>
              </w:rPr>
            </w:pPr>
            <w:r>
              <w:rPr>
                <w:rFonts w:hint="eastAsia" w:ascii="仿宋" w:hAnsi="仿宋" w:eastAsia="仿宋"/>
                <w:color w:val="auto"/>
                <w:sz w:val="28"/>
                <w:szCs w:val="28"/>
              </w:rPr>
              <w:t xml:space="preserve">1</w:t>
            </w:r>
            <w:r>
              <w:rPr>
                <w:color w:val="auto"/>
              </w:rPr>
            </w:r>
            <w:r/>
          </w:p>
        </w:tc>
        <w:tc>
          <w:tcPr>
            <w:tcW w:w="3063"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3191"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2128"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r>
      <w:tr>
        <w:trPr>
          <w:cantSplit/>
          <w:trHeight w:val="640"/>
        </w:trPr>
        <w:tc>
          <w:tcPr>
            <w:tcW w:w="545"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3063"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t xml:space="preserve">……</w:t>
            </w:r>
            <w:r>
              <w:rPr>
                <w:color w:val="auto"/>
              </w:rPr>
            </w:r>
            <w:r/>
          </w:p>
        </w:tc>
        <w:tc>
          <w:tcPr>
            <w:tcW w:w="3191"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c>
          <w:tcPr>
            <w:tcW w:w="2128" w:type="dxa"/>
            <w:textDirection w:val="lrTb"/>
            <w:noWrap w:val="false"/>
          </w:tcPr>
          <w:p>
            <w:pPr>
              <w:jc w:val="center"/>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tc>
      </w:tr>
    </w:tbl>
    <w:p>
      <w:pPr>
        <w:spacing w:line="480" w:lineRule="exact"/>
        <w:rPr>
          <w:color w:val="auto"/>
        </w:rPr>
      </w:pPr>
      <w:r>
        <w:rPr>
          <w:rFonts w:hint="eastAsia" w:ascii="宋体" w:hAnsi="宋体" w:cs="仿宋"/>
          <w:color w:val="auto"/>
          <w:sz w:val="24"/>
          <w:szCs w:val="24"/>
        </w:rPr>
        <w:t xml:space="preserve">下附</w:t>
      </w:r>
      <w:r>
        <w:rPr>
          <w:color w:val="auto"/>
        </w:rPr>
      </w:r>
      <w:r/>
    </w:p>
    <w:p>
      <w:pPr>
        <w:spacing w:line="480" w:lineRule="exact"/>
        <w:rPr>
          <w:rFonts w:ascii="宋体" w:hAnsi="宋体" w:cs="仿宋"/>
          <w:color w:val="auto"/>
        </w:rPr>
      </w:pPr>
      <w:r>
        <w:rPr>
          <w:rFonts w:hint="eastAsia" w:ascii="宋体" w:hAnsi="宋体" w:cs="仿宋"/>
          <w:color w:val="auto"/>
          <w:sz w:val="24"/>
          <w:szCs w:val="24"/>
        </w:rPr>
        <w:t xml:space="preserve">佐证材料1，佐证材料2，……</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备注</w:t>
      </w:r>
      <w:r>
        <w:rPr>
          <w:rFonts w:ascii="仿宋" w:hAnsi="仿宋" w:eastAsia="仿宋"/>
          <w:b/>
          <w:bCs/>
          <w:color w:val="auto"/>
          <w:sz w:val="28"/>
          <w:szCs w:val="28"/>
        </w:rPr>
        <w:t xml:space="preserve">：</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1.投标人需</w:t>
      </w:r>
      <w:r>
        <w:rPr>
          <w:rFonts w:ascii="仿宋" w:hAnsi="仿宋" w:eastAsia="仿宋"/>
          <w:b/>
          <w:bCs/>
          <w:color w:val="auto"/>
          <w:sz w:val="28"/>
          <w:szCs w:val="28"/>
        </w:rPr>
        <w:t xml:space="preserve">对</w:t>
      </w:r>
      <w:r>
        <w:rPr>
          <w:rFonts w:hint="eastAsia" w:ascii="仿宋" w:hAnsi="仿宋" w:eastAsia="仿宋"/>
          <w:b/>
          <w:bCs/>
          <w:color w:val="auto"/>
          <w:sz w:val="28"/>
          <w:szCs w:val="28"/>
        </w:rPr>
        <w:t xml:space="preserve">商务要求</w:t>
      </w:r>
      <w:r>
        <w:rPr>
          <w:rFonts w:ascii="仿宋" w:hAnsi="仿宋" w:eastAsia="仿宋"/>
          <w:b/>
          <w:bCs/>
          <w:color w:val="auto"/>
          <w:sz w:val="28"/>
          <w:szCs w:val="28"/>
        </w:rPr>
        <w:t xml:space="preserve">逐条做出明确响应</w:t>
      </w:r>
      <w:r>
        <w:rPr>
          <w:rFonts w:hint="eastAsia" w:ascii="仿宋" w:hAnsi="仿宋" w:eastAsia="仿宋"/>
          <w:b/>
          <w:bCs/>
          <w:color w:val="auto"/>
          <w:sz w:val="28"/>
          <w:szCs w:val="28"/>
        </w:rPr>
        <w:t xml:space="preserve">。</w:t>
      </w:r>
      <w:r>
        <w:rPr>
          <w:color w:val="auto"/>
        </w:rPr>
      </w:r>
      <w:r/>
    </w:p>
    <w:p>
      <w:pPr>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2.如果招标</w:t>
      </w:r>
      <w:r>
        <w:rPr>
          <w:rFonts w:ascii="仿宋" w:hAnsi="仿宋" w:eastAsia="仿宋"/>
          <w:b/>
          <w:bCs/>
          <w:color w:val="auto"/>
          <w:sz w:val="28"/>
          <w:szCs w:val="28"/>
        </w:rPr>
        <w:t xml:space="preserve">文件要求提供</w:t>
      </w:r>
      <w:r>
        <w:rPr>
          <w:rFonts w:hint="eastAsia" w:ascii="仿宋" w:hAnsi="仿宋" w:eastAsia="仿宋"/>
          <w:b/>
          <w:bCs/>
          <w:color w:val="auto"/>
          <w:sz w:val="28"/>
          <w:szCs w:val="28"/>
        </w:rPr>
        <w:t xml:space="preserve">佐证材料</w:t>
      </w:r>
      <w:r>
        <w:rPr>
          <w:rFonts w:ascii="仿宋" w:hAnsi="仿宋" w:eastAsia="仿宋"/>
          <w:b/>
          <w:bCs/>
          <w:color w:val="auto"/>
          <w:sz w:val="28"/>
          <w:szCs w:val="28"/>
        </w:rPr>
        <w:t xml:space="preserve">，投标人</w:t>
      </w:r>
      <w:r>
        <w:rPr>
          <w:rFonts w:hint="eastAsia" w:ascii="仿宋" w:hAnsi="仿宋" w:eastAsia="仿宋"/>
          <w:b/>
          <w:bCs/>
          <w:color w:val="auto"/>
          <w:sz w:val="28"/>
          <w:szCs w:val="28"/>
        </w:rPr>
        <w:t xml:space="preserve">需</w:t>
      </w:r>
      <w:r>
        <w:rPr>
          <w:rFonts w:ascii="仿宋" w:hAnsi="仿宋" w:eastAsia="仿宋"/>
          <w:b/>
          <w:bCs/>
          <w:color w:val="auto"/>
          <w:sz w:val="28"/>
          <w:szCs w:val="28"/>
        </w:rPr>
        <w:t xml:space="preserve">将</w:t>
      </w:r>
      <w:r>
        <w:rPr>
          <w:rFonts w:hint="eastAsia" w:ascii="仿宋" w:hAnsi="仿宋" w:eastAsia="仿宋"/>
          <w:b/>
          <w:bCs/>
          <w:color w:val="auto"/>
          <w:sz w:val="28"/>
          <w:szCs w:val="28"/>
        </w:rPr>
        <w:t xml:space="preserve">佐证材料列于</w:t>
      </w:r>
      <w:r>
        <w:rPr>
          <w:rFonts w:ascii="仿宋" w:hAnsi="仿宋" w:eastAsia="仿宋"/>
          <w:b/>
          <w:bCs/>
          <w:color w:val="auto"/>
          <w:sz w:val="28"/>
          <w:szCs w:val="28"/>
        </w:rPr>
        <w:t xml:space="preserve">该表之下。</w:t>
      </w:r>
      <w:r>
        <w:rPr>
          <w:color w:val="auto"/>
        </w:rPr>
      </w:r>
      <w:r/>
    </w:p>
    <w:p>
      <w:pPr>
        <w:rPr>
          <w:rFonts w:ascii="仿宋" w:hAnsi="仿宋" w:eastAsia="仿宋"/>
          <w:b/>
          <w:color w:val="auto"/>
          <w:sz w:val="28"/>
          <w:szCs w:val="28"/>
        </w:rPr>
      </w:pPr>
      <w:r>
        <w:rPr>
          <w:rFonts w:ascii="仿宋" w:hAnsi="仿宋" w:eastAsia="仿宋"/>
          <w:b/>
          <w:color w:val="auto"/>
          <w:sz w:val="28"/>
          <w:szCs w:val="28"/>
        </w:rPr>
        <w:br w:type="page" w:clear="all"/>
      </w:r>
      <w:bookmarkEnd w:id="184"/>
      <w:r>
        <w:rPr>
          <w:color w:val="auto"/>
        </w:rPr>
      </w:r>
      <w:bookmarkEnd w:id="185"/>
      <w:r>
        <w:rPr>
          <w:color w:val="auto"/>
        </w:rPr>
      </w:r>
      <w:bookmarkEnd w:id="203"/>
      <w:r>
        <w:rPr>
          <w:color w:val="auto"/>
        </w:rPr>
      </w:r>
      <w:bookmarkEnd w:id="204"/>
      <w:r>
        <w:rPr>
          <w:color w:val="auto"/>
        </w:rPr>
      </w:r>
      <w:bookmarkEnd w:id="205"/>
      <w:r>
        <w:rPr>
          <w:rFonts w:hint="eastAsia" w:ascii="仿宋" w:hAnsi="仿宋" w:eastAsia="仿宋"/>
          <w:b/>
          <w:color w:val="auto"/>
          <w:sz w:val="28"/>
          <w:szCs w:val="28"/>
        </w:rPr>
        <w:t xml:space="preserve">附件9</w:t>
      </w:r>
      <w:r>
        <w:rPr>
          <w:color w:val="auto"/>
        </w:rPr>
      </w:r>
      <w:r/>
    </w:p>
    <w:p>
      <w:pPr>
        <w:ind w:firstLine="281"/>
        <w:jc w:val="center"/>
        <w:spacing w:line="560" w:lineRule="exact"/>
        <w:rPr>
          <w:rFonts w:ascii="仿宋" w:hAnsi="仿宋" w:eastAsia="仿宋"/>
          <w:b/>
          <w:color w:val="auto"/>
          <w:sz w:val="28"/>
          <w:szCs w:val="28"/>
        </w:rPr>
      </w:pPr>
      <w:r>
        <w:rPr>
          <w:rFonts w:hint="eastAsia" w:ascii="仿宋" w:hAnsi="仿宋" w:eastAsia="仿宋"/>
          <w:b/>
          <w:color w:val="auto"/>
          <w:sz w:val="28"/>
          <w:szCs w:val="28"/>
        </w:rPr>
        <w:t xml:space="preserve">中小微企业声明函（货物类项目）</w:t>
      </w:r>
      <w:r>
        <w:rPr>
          <w:color w:val="auto"/>
        </w:rPr>
      </w:r>
      <w:r/>
    </w:p>
    <w:p>
      <w:pPr>
        <w:ind w:firstLine="560"/>
        <w:spacing w:line="560" w:lineRule="exact"/>
        <w:rPr>
          <w:rFonts w:ascii="仿宋" w:hAnsi="仿宋" w:eastAsia="仿宋"/>
          <w:color w:val="auto"/>
          <w:sz w:val="28"/>
          <w:szCs w:val="28"/>
        </w:rPr>
      </w:pPr>
      <w:r>
        <w:rPr>
          <w:rFonts w:hint="eastAsia" w:ascii="仿宋" w:hAnsi="仿宋" w:eastAsia="仿宋"/>
          <w:color w:val="auto"/>
          <w:sz w:val="28"/>
          <w:szCs w:val="28"/>
        </w:rPr>
        <w:t xml:space="preserve">本公司（联合体）郑重声明，根据《政府采购促进中小企业发展管理办法》（财库〔2020〕46号）的规定，本公司（联合体）参加南通市教育技术中心组织的</w:t>
      </w:r>
      <w:r>
        <w:rPr>
          <w:rFonts w:hint="eastAsia" w:ascii="仿宋" w:hAnsi="仿宋" w:eastAsia="仿宋"/>
          <w:b/>
          <w:bCs/>
          <w:color w:val="auto"/>
          <w:sz w:val="28"/>
          <w:szCs w:val="28"/>
          <w:u w:val="single"/>
        </w:rPr>
        <w:t xml:space="preserve">（单位名称）</w:t>
      </w:r>
      <w:r>
        <w:rPr>
          <w:rFonts w:hint="eastAsia" w:ascii="仿宋" w:hAnsi="仿宋" w:eastAsia="仿宋"/>
          <w:color w:val="auto"/>
          <w:sz w:val="28"/>
          <w:szCs w:val="28"/>
        </w:rPr>
        <w:t xml:space="preserve">采购编号为JSZC</w:t>
      </w:r>
      <w:r>
        <w:rPr>
          <w:rFonts w:ascii="仿宋" w:hAnsi="仿宋" w:eastAsia="仿宋"/>
          <w:color w:val="auto"/>
          <w:sz w:val="28"/>
          <w:szCs w:val="28"/>
        </w:rPr>
        <w:t xml:space="preserve">-320</w:t>
      </w:r>
      <w:r>
        <w:rPr>
          <w:rFonts w:hint="eastAsia" w:ascii="仿宋" w:hAnsi="仿宋" w:eastAsia="仿宋"/>
          <w:color w:val="auto"/>
          <w:sz w:val="28"/>
          <w:szCs w:val="28"/>
        </w:rPr>
        <w:t xml:space="preserve">6</w:t>
      </w:r>
      <w:r>
        <w:rPr>
          <w:rFonts w:ascii="仿宋" w:hAnsi="仿宋" w:eastAsia="仿宋"/>
          <w:color w:val="auto"/>
          <w:sz w:val="28"/>
          <w:szCs w:val="28"/>
        </w:rPr>
        <w:t xml:space="preserve">00-</w:t>
      </w:r>
      <w:r>
        <w:rPr>
          <w:rFonts w:hint="eastAsia" w:ascii="仿宋" w:hAnsi="仿宋" w:eastAsia="仿宋"/>
          <w:color w:val="auto"/>
          <w:sz w:val="28"/>
          <w:szCs w:val="28"/>
          <w:u w:val="single"/>
        </w:rPr>
        <w:t xml:space="preserve">***</w:t>
      </w:r>
      <w:r>
        <w:rPr>
          <w:rFonts w:ascii="仿宋" w:hAnsi="仿宋" w:eastAsia="仿宋"/>
          <w:color w:val="auto"/>
          <w:sz w:val="28"/>
          <w:szCs w:val="28"/>
          <w:u w:val="single"/>
        </w:rPr>
        <w:t xml:space="preserve">*</w:t>
      </w:r>
      <w:r>
        <w:rPr>
          <w:rFonts w:hint="eastAsia" w:ascii="仿宋" w:hAnsi="仿宋" w:eastAsia="仿宋"/>
          <w:color w:val="auto"/>
          <w:sz w:val="28"/>
          <w:szCs w:val="28"/>
        </w:rPr>
        <w:t xml:space="preserve">，</w:t>
      </w:r>
      <w:r>
        <w:rPr>
          <w:rFonts w:hint="eastAsia" w:ascii="仿宋" w:hAnsi="仿宋" w:eastAsia="仿宋"/>
          <w:b/>
          <w:bCs/>
          <w:color w:val="auto"/>
          <w:sz w:val="28"/>
          <w:szCs w:val="28"/>
          <w:u w:val="single"/>
        </w:rPr>
        <w:t xml:space="preserve">（项目名称）</w:t>
      </w:r>
      <w:r>
        <w:rPr>
          <w:rFonts w:hint="eastAsia" w:ascii="仿宋" w:hAnsi="仿宋" w:eastAsia="仿宋"/>
          <w:color w:val="auto"/>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auto"/>
        </w:rPr>
      </w:r>
      <w:r/>
    </w:p>
    <w:p>
      <w:pPr>
        <w:ind w:firstLine="420"/>
        <w:spacing w:line="560" w:lineRule="exact"/>
        <w:rPr>
          <w:rFonts w:ascii="仿宋" w:hAnsi="仿宋" w:eastAsia="仿宋"/>
          <w:i/>
          <w:color w:val="auto"/>
          <w:sz w:val="28"/>
          <w:szCs w:val="28"/>
          <w:u w:val="single"/>
        </w:rPr>
      </w:pPr>
      <w:r>
        <w:rPr>
          <w:rFonts w:hint="eastAsia" w:ascii="仿宋" w:hAnsi="仿宋" w:eastAsia="仿宋"/>
          <w:color w:val="auto"/>
          <w:sz w:val="28"/>
          <w:szCs w:val="28"/>
        </w:rPr>
        <w:t xml:space="preserve">1.</w:t>
      </w:r>
      <w:r>
        <w:rPr>
          <w:rFonts w:hint="eastAsia" w:ascii="仿宋" w:hAnsi="仿宋" w:eastAsia="仿宋"/>
          <w:b/>
          <w:bCs/>
          <w:color w:val="auto"/>
          <w:sz w:val="28"/>
          <w:szCs w:val="28"/>
          <w:u w:val="single"/>
        </w:rPr>
        <w:t xml:space="preserve">（标的名称）</w:t>
      </w:r>
      <w:r>
        <w:rPr>
          <w:rFonts w:hint="eastAsia" w:ascii="仿宋" w:hAnsi="仿宋" w:eastAsia="仿宋"/>
          <w:i/>
          <w:color w:val="auto"/>
          <w:sz w:val="28"/>
          <w:szCs w:val="28"/>
        </w:rPr>
        <w:t xml:space="preserve">，</w:t>
      </w:r>
      <w:r>
        <w:rPr>
          <w:rFonts w:hint="eastAsia" w:ascii="仿宋" w:hAnsi="仿宋" w:eastAsia="仿宋"/>
          <w:color w:val="auto"/>
          <w:sz w:val="28"/>
          <w:szCs w:val="28"/>
        </w:rPr>
        <w:t xml:space="preserve">属于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行业；制造商为</w:t>
      </w:r>
      <w:r>
        <w:rPr>
          <w:rFonts w:hint="eastAsia" w:ascii="仿宋" w:hAnsi="仿宋" w:eastAsia="仿宋"/>
          <w:color w:val="auto"/>
          <w:sz w:val="28"/>
          <w:szCs w:val="28"/>
          <w:u w:val="single"/>
        </w:rPr>
        <w:t xml:space="preserve">（企业名称）</w:t>
      </w:r>
      <w:r>
        <w:rPr>
          <w:rFonts w:hint="eastAsia" w:ascii="仿宋" w:hAnsi="仿宋" w:eastAsia="仿宋"/>
          <w:color w:val="auto"/>
          <w:sz w:val="28"/>
          <w:szCs w:val="28"/>
        </w:rPr>
        <w:t xml:space="preserve">，从业人员</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人，营业收入为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万元，资产总额为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万元，属于</w:t>
      </w:r>
      <w:r>
        <w:rPr>
          <w:rFonts w:hint="eastAsia" w:ascii="仿宋" w:hAnsi="仿宋" w:eastAsia="仿宋"/>
          <w:color w:val="auto"/>
          <w:sz w:val="28"/>
          <w:szCs w:val="28"/>
          <w:u w:val="single"/>
        </w:rPr>
        <w:t xml:space="preserve">（□中型企业 □小型企业 □微型企业）；</w:t>
      </w:r>
      <w:r>
        <w:rPr>
          <w:color w:val="auto"/>
        </w:rPr>
      </w:r>
      <w:r/>
    </w:p>
    <w:p>
      <w:pPr>
        <w:ind w:firstLine="420"/>
        <w:spacing w:line="560" w:lineRule="exact"/>
        <w:rPr>
          <w:rFonts w:ascii="仿宋" w:hAnsi="仿宋" w:eastAsia="仿宋"/>
          <w:i/>
          <w:color w:val="auto"/>
          <w:sz w:val="28"/>
          <w:szCs w:val="28"/>
          <w:u w:val="single"/>
        </w:rPr>
      </w:pPr>
      <w:r>
        <w:rPr>
          <w:rFonts w:hint="eastAsia" w:ascii="仿宋" w:hAnsi="仿宋" w:eastAsia="仿宋"/>
          <w:color w:val="auto"/>
          <w:sz w:val="28"/>
          <w:szCs w:val="28"/>
        </w:rPr>
        <w:t xml:space="preserve">2.</w:t>
      </w:r>
      <w:r>
        <w:rPr>
          <w:rFonts w:hint="eastAsia" w:ascii="仿宋" w:hAnsi="仿宋" w:eastAsia="仿宋"/>
          <w:b/>
          <w:bCs/>
          <w:color w:val="auto"/>
          <w:sz w:val="28"/>
          <w:szCs w:val="28"/>
          <w:u w:val="single"/>
        </w:rPr>
        <w:t xml:space="preserve">（标的名称</w:t>
      </w:r>
      <w:r>
        <w:rPr>
          <w:rFonts w:hint="eastAsia" w:ascii="仿宋" w:hAnsi="仿宋" w:eastAsia="仿宋"/>
          <w:color w:val="auto"/>
          <w:sz w:val="28"/>
          <w:szCs w:val="28"/>
          <w:u w:val="single"/>
        </w:rPr>
        <w:t xml:space="preserve">）</w:t>
      </w:r>
      <w:r>
        <w:rPr>
          <w:rFonts w:hint="eastAsia" w:ascii="仿宋" w:hAnsi="仿宋" w:eastAsia="仿宋"/>
          <w:i/>
          <w:color w:val="auto"/>
          <w:sz w:val="28"/>
          <w:szCs w:val="28"/>
        </w:rPr>
        <w:t xml:space="preserve">，</w:t>
      </w:r>
      <w:r>
        <w:rPr>
          <w:rFonts w:hint="eastAsia" w:ascii="仿宋" w:hAnsi="仿宋" w:eastAsia="仿宋"/>
          <w:color w:val="auto"/>
          <w:sz w:val="28"/>
          <w:szCs w:val="28"/>
        </w:rPr>
        <w:t xml:space="preserve">属于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行业；制造商为</w:t>
      </w:r>
      <w:r>
        <w:rPr>
          <w:rFonts w:hint="eastAsia" w:ascii="仿宋" w:hAnsi="仿宋" w:eastAsia="仿宋"/>
          <w:color w:val="auto"/>
          <w:sz w:val="28"/>
          <w:szCs w:val="28"/>
          <w:u w:val="single"/>
        </w:rPr>
        <w:t xml:space="preserve">（企业名称）</w:t>
      </w:r>
      <w:r>
        <w:rPr>
          <w:rFonts w:hint="eastAsia" w:ascii="仿宋" w:hAnsi="仿宋" w:eastAsia="仿宋"/>
          <w:color w:val="auto"/>
          <w:sz w:val="28"/>
          <w:szCs w:val="28"/>
        </w:rPr>
        <w:t xml:space="preserve">，从业人员</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人，营业收入为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万元，资产总额为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万元，属于</w:t>
      </w:r>
      <w:r>
        <w:rPr>
          <w:rFonts w:hint="eastAsia" w:ascii="仿宋" w:hAnsi="仿宋" w:eastAsia="仿宋"/>
          <w:color w:val="auto"/>
          <w:sz w:val="28"/>
          <w:szCs w:val="28"/>
          <w:u w:val="single"/>
        </w:rPr>
        <w:t xml:space="preserve">（□中型企业 □小型企业 □微型企业）；</w:t>
      </w:r>
      <w:r>
        <w:rPr>
          <w:color w:val="auto"/>
        </w:rPr>
      </w:r>
      <w:r/>
    </w:p>
    <w:p>
      <w:pPr>
        <w:ind w:firstLine="420"/>
        <w:spacing w:line="560" w:lineRule="exact"/>
        <w:rPr>
          <w:rFonts w:ascii="仿宋" w:hAnsi="仿宋" w:eastAsia="仿宋"/>
          <w:color w:val="auto"/>
          <w:sz w:val="28"/>
          <w:szCs w:val="28"/>
        </w:rPr>
      </w:pPr>
      <w:r>
        <w:rPr>
          <w:rFonts w:hint="eastAsia" w:ascii="仿宋" w:hAnsi="仿宋" w:eastAsia="仿宋"/>
          <w:color w:val="auto"/>
          <w:sz w:val="28"/>
          <w:szCs w:val="28"/>
        </w:rPr>
        <w:t xml:space="preserve">以上企业，不属于大企业的分支机构，不存在控股股东为大企业的情形，也不存在与大企业的负责人为同一人的情形。</w:t>
      </w:r>
      <w:r>
        <w:rPr>
          <w:color w:val="auto"/>
        </w:rPr>
      </w:r>
      <w:r/>
    </w:p>
    <w:p>
      <w:pPr>
        <w:ind w:firstLine="420"/>
        <w:spacing w:line="560" w:lineRule="exact"/>
        <w:rPr>
          <w:rFonts w:ascii="仿宋" w:hAnsi="仿宋" w:eastAsia="仿宋"/>
          <w:color w:val="auto"/>
          <w:sz w:val="28"/>
          <w:szCs w:val="28"/>
        </w:rPr>
      </w:pPr>
      <w:r>
        <w:rPr>
          <w:rFonts w:hint="eastAsia" w:ascii="仿宋" w:hAnsi="仿宋" w:eastAsia="仿宋"/>
          <w:color w:val="auto"/>
          <w:sz w:val="28"/>
          <w:szCs w:val="28"/>
        </w:rPr>
        <w:t xml:space="preserve">本企业对上述声明内容的真实性负责。如有虚假，将依法承担相应责任</w:t>
      </w:r>
      <w:r>
        <w:rPr>
          <w:color w:val="auto"/>
        </w:rPr>
      </w:r>
      <w:r/>
    </w:p>
    <w:p>
      <w:pPr>
        <w:ind w:right="180" w:firstLine="420"/>
        <w:jc w:val="right"/>
        <w:spacing w:line="560" w:lineRule="exact"/>
        <w:rPr>
          <w:rFonts w:ascii="仿宋" w:hAnsi="仿宋" w:eastAsia="仿宋"/>
          <w:color w:val="auto"/>
          <w:sz w:val="28"/>
          <w:szCs w:val="28"/>
        </w:rPr>
      </w:pPr>
      <w:r>
        <w:rPr>
          <w:rFonts w:hint="eastAsia" w:ascii="仿宋" w:hAnsi="仿宋" w:eastAsia="仿宋"/>
          <w:color w:val="auto"/>
          <w:sz w:val="28"/>
          <w:szCs w:val="28"/>
        </w:rPr>
        <w:t xml:space="preserve">企业名称（加盖CA电子公章）：</w:t>
      </w:r>
      <w:r>
        <w:rPr>
          <w:color w:val="auto"/>
        </w:rPr>
      </w:r>
      <w:r/>
    </w:p>
    <w:p>
      <w:pPr>
        <w:ind w:right="480" w:firstLine="6300"/>
        <w:spacing w:line="560" w:lineRule="exact"/>
        <w:rPr>
          <w:rFonts w:ascii="仿宋" w:hAnsi="仿宋" w:eastAsia="仿宋" w:cs="仿宋"/>
          <w:color w:val="auto"/>
          <w:sz w:val="28"/>
          <w:szCs w:val="28"/>
        </w:rPr>
      </w:pPr>
      <w:r>
        <w:rPr>
          <w:rFonts w:hint="eastAsia" w:ascii="仿宋" w:hAnsi="仿宋" w:eastAsia="仿宋"/>
          <w:color w:val="auto"/>
          <w:sz w:val="28"/>
          <w:szCs w:val="28"/>
        </w:rPr>
        <w:t xml:space="preserve">日  期：</w:t>
      </w:r>
      <w:r>
        <w:rPr>
          <w:color w:val="auto"/>
        </w:rPr>
      </w:r>
      <w:r/>
    </w:p>
    <w:p>
      <w:pPr>
        <w:spacing w:line="300" w:lineRule="exact"/>
        <w:rPr>
          <w:rFonts w:ascii="仿宋" w:hAnsi="仿宋" w:eastAsia="仿宋" w:cs="仿宋"/>
          <w:b/>
          <w:bCs/>
          <w:color w:val="auto"/>
          <w:sz w:val="24"/>
          <w:szCs w:val="24"/>
        </w:rPr>
      </w:pPr>
      <w:r>
        <w:rPr>
          <w:rFonts w:ascii="仿宋" w:hAnsi="仿宋" w:eastAsia="仿宋" w:cs="仿宋"/>
          <w:b/>
          <w:bCs/>
          <w:color w:val="auto"/>
          <w:sz w:val="24"/>
          <w:szCs w:val="24"/>
        </w:rPr>
      </w:r>
      <w:r>
        <w:rPr>
          <w:color w:val="auto"/>
        </w:rPr>
      </w:r>
      <w:r/>
    </w:p>
    <w:p>
      <w:pPr>
        <w:spacing w:line="300" w:lineRule="exact"/>
        <w:rPr>
          <w:rFonts w:ascii="仿宋" w:hAnsi="仿宋" w:eastAsia="仿宋" w:cs="仿宋"/>
          <w:b/>
          <w:bCs/>
          <w:color w:val="auto"/>
          <w:sz w:val="24"/>
          <w:szCs w:val="24"/>
        </w:rPr>
      </w:pPr>
      <w:r>
        <w:rPr>
          <w:rFonts w:ascii="仿宋" w:hAnsi="仿宋" w:eastAsia="仿宋" w:cs="仿宋"/>
          <w:b/>
          <w:bCs/>
          <w:color w:val="auto"/>
          <w:sz w:val="24"/>
          <w:szCs w:val="24"/>
        </w:rPr>
      </w:r>
      <w:r>
        <w:rPr>
          <w:color w:val="auto"/>
        </w:rPr>
      </w:r>
      <w:r/>
    </w:p>
    <w:p>
      <w:pPr>
        <w:spacing w:line="300" w:lineRule="exact"/>
        <w:rPr>
          <w:rFonts w:ascii="仿宋" w:hAnsi="仿宋" w:eastAsia="仿宋" w:cs="仿宋"/>
          <w:b/>
          <w:bCs/>
          <w:color w:val="auto"/>
          <w:sz w:val="24"/>
          <w:szCs w:val="24"/>
        </w:rPr>
      </w:pPr>
      <w:r>
        <w:rPr>
          <w:rFonts w:ascii="仿宋" w:hAnsi="仿宋" w:eastAsia="仿宋" w:cs="仿宋"/>
          <w:b/>
          <w:bCs/>
          <w:color w:val="auto"/>
          <w:sz w:val="24"/>
          <w:szCs w:val="24"/>
        </w:rPr>
      </w:r>
      <w:r>
        <w:rPr>
          <w:color w:val="auto"/>
        </w:rPr>
      </w:r>
      <w:r/>
    </w:p>
    <w:p>
      <w:pPr>
        <w:spacing w:line="300" w:lineRule="exact"/>
        <w:rPr>
          <w:rFonts w:ascii="仿宋" w:hAnsi="仿宋" w:eastAsia="仿宋" w:cs="仿宋"/>
          <w:b/>
          <w:bCs/>
          <w:color w:val="ff0000"/>
          <w:sz w:val="24"/>
          <w:szCs w:val="24"/>
        </w:rPr>
      </w:pPr>
      <w:r>
        <w:rPr>
          <w:rFonts w:hint="eastAsia" w:ascii="仿宋" w:hAnsi="仿宋" w:eastAsia="仿宋" w:cs="仿宋"/>
          <w:b/>
          <w:bCs/>
          <w:color w:val="ff0000"/>
          <w:sz w:val="24"/>
          <w:szCs w:val="24"/>
        </w:rPr>
        <w:t xml:space="preserve">特别提醒：</w:t>
      </w:r>
      <w:r>
        <w:rPr>
          <w:color w:val="ff0000"/>
        </w:rPr>
      </w:r>
      <w:r/>
    </w:p>
    <w:p>
      <w:pPr>
        <w:spacing w:line="300" w:lineRule="exact"/>
        <w:rPr>
          <w:color w:val="ff0000"/>
        </w:rPr>
      </w:pPr>
      <w:r>
        <w:rPr>
          <w:rFonts w:hint="eastAsia" w:ascii="仿宋" w:hAnsi="仿宋" w:eastAsia="仿宋" w:cs="仿宋"/>
          <w:b/>
          <w:bCs/>
          <w:color w:val="ff0000"/>
          <w:sz w:val="24"/>
          <w:szCs w:val="24"/>
        </w:rPr>
        <w:t xml:space="preserve">请按第四章采购需求中的“一、采购标的清单”顺序逐条填写中小微企业具体情况。</w:t>
      </w:r>
      <w:r>
        <w:rPr>
          <w:color w:val="ff0000"/>
        </w:rPr>
      </w:r>
      <w:r/>
    </w:p>
    <w:p>
      <w:pPr>
        <w:rPr>
          <w:rFonts w:ascii="仿宋" w:hAnsi="仿宋" w:eastAsia="仿宋" w:cs="仿宋"/>
          <w:color w:val="auto"/>
          <w:sz w:val="24"/>
          <w:szCs w:val="24"/>
        </w:rPr>
      </w:pPr>
      <w:r>
        <w:rPr>
          <w:rFonts w:hint="eastAsia" w:ascii="仿宋" w:hAnsi="仿宋" w:eastAsia="仿宋" w:cs="仿宋"/>
          <w:color w:val="auto"/>
          <w:sz w:val="24"/>
          <w:szCs w:val="24"/>
        </w:rPr>
        <w:br w:type="page" w:clear="all"/>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备注：</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1.从业人员、营业收入、资产总额填报上一年度数据，无上一年度数据的新成立企业可不填报。</w:t>
      </w:r>
      <w:r>
        <w:rPr>
          <w:color w:val="auto"/>
        </w:rPr>
      </w:r>
      <w:r/>
    </w:p>
    <w:p>
      <w:pPr>
        <w:ind w:firstLine="562"/>
        <w:spacing w:line="36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制造商的企业规模类型。    </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附：中小企业划型标准规定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color w:val="auto"/>
        </w:rPr>
      </w:r>
      <w:r/>
    </w:p>
    <w:p>
      <w:pPr>
        <w:ind w:firstLine="560"/>
        <w:spacing w:line="360" w:lineRule="exact"/>
        <w:rPr>
          <w:rFonts w:ascii="仿宋" w:hAnsi="仿宋" w:eastAsia="仿宋" w:cs="仿宋"/>
          <w:b/>
          <w:bCs/>
          <w:color w:val="auto"/>
          <w:sz w:val="24"/>
          <w:szCs w:val="24"/>
          <w:u w:val="single"/>
        </w:rPr>
      </w:pPr>
      <w:r>
        <w:rPr>
          <w:rFonts w:hint="eastAsia" w:ascii="仿宋" w:hAnsi="仿宋" w:eastAsia="仿宋" w:cs="仿宋"/>
          <w:b/>
          <w:bCs/>
          <w:color w:val="auto"/>
          <w:sz w:val="24"/>
          <w:szCs w:val="24"/>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ind w:firstLine="560"/>
        <w:spacing w:line="360" w:lineRule="exact"/>
        <w:rPr>
          <w:rFonts w:ascii="仿宋" w:hAnsi="仿宋" w:eastAsia="仿宋" w:cs="仿宋"/>
          <w:b/>
          <w:bCs/>
          <w:color w:val="auto"/>
          <w:sz w:val="24"/>
          <w:szCs w:val="24"/>
          <w:u w:val="single"/>
        </w:rPr>
      </w:pPr>
      <w:r>
        <w:rPr>
          <w:rFonts w:hint="eastAsia" w:ascii="仿宋" w:hAnsi="仿宋" w:eastAsia="仿宋" w:cs="仿宋"/>
          <w:b/>
          <w:bCs/>
          <w:color w:val="auto"/>
          <w:sz w:val="24"/>
          <w:szCs w:val="24"/>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（十四）物业管理。从业人员1000人以下或营业收入5000万元以下的为中小微型企业。其中，从业人员</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ind w:firstLine="560"/>
        <w:spacing w:line="360" w:lineRule="exact"/>
        <w:rPr>
          <w:rFonts w:ascii="仿宋" w:hAnsi="仿宋" w:eastAsia="仿宋" w:cs="仿宋"/>
          <w:color w:val="auto"/>
          <w:sz w:val="24"/>
          <w:szCs w:val="24"/>
        </w:rPr>
      </w:pPr>
      <w:r>
        <w:rPr>
          <w:rFonts w:hint="eastAsia" w:ascii="仿宋" w:hAnsi="仿宋" w:eastAsia="仿宋" w:cs="仿宋"/>
          <w:color w:val="auto"/>
          <w:sz w:val="24"/>
          <w:szCs w:val="24"/>
        </w:rPr>
        <w:t xml:space="preserve">（十六）其他未列明行业。从业人员300人以下的为中小微型企业。其中，从业人员100人及以上的为中型企业；从业人员10人及以上的为小型企业；从业人员10人以下的为微型企业。</w:t>
      </w:r>
      <w:r>
        <w:rPr>
          <w:color w:val="auto"/>
        </w:rPr>
      </w:r>
      <w:r/>
    </w:p>
    <w:p>
      <w:pPr>
        <w:rPr>
          <w:rFonts w:ascii="仿宋" w:hAnsi="仿宋" w:eastAsia="仿宋"/>
          <w:b/>
          <w:color w:val="auto"/>
          <w:sz w:val="24"/>
          <w:szCs w:val="24"/>
        </w:rPr>
      </w:pPr>
      <w:r>
        <w:rPr>
          <w:rFonts w:hint="eastAsia" w:ascii="仿宋" w:hAnsi="仿宋" w:eastAsia="仿宋"/>
          <w:b/>
          <w:color w:val="auto"/>
          <w:sz w:val="24"/>
          <w:szCs w:val="24"/>
        </w:rPr>
        <w:br w:type="page" w:clear="all"/>
      </w:r>
      <w:r>
        <w:rPr>
          <w:color w:val="auto"/>
        </w:rPr>
      </w:r>
      <w:r/>
    </w:p>
    <w:p>
      <w:pP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附件</w:t>
      </w:r>
      <w:r>
        <w:rPr>
          <w:rFonts w:ascii="仿宋" w:hAnsi="仿宋" w:eastAsia="仿宋"/>
          <w:b/>
          <w:color w:val="auto"/>
          <w:sz w:val="28"/>
          <w:szCs w:val="28"/>
        </w:rPr>
        <w:t xml:space="preserve">1</w:t>
      </w:r>
      <w:r>
        <w:rPr>
          <w:rFonts w:hint="eastAsia" w:ascii="仿宋" w:hAnsi="仿宋" w:eastAsia="仿宋"/>
          <w:b/>
          <w:color w:val="auto"/>
          <w:sz w:val="28"/>
          <w:szCs w:val="28"/>
        </w:rPr>
        <w:t xml:space="preserve">0</w:t>
      </w:r>
      <w:r>
        <w:rPr>
          <w:color w:val="auto"/>
        </w:rPr>
      </w:r>
      <w:r/>
    </w:p>
    <w:p>
      <w:pPr>
        <w:ind w:left="561" w:hanging="141"/>
        <w:jc w:val="center"/>
        <w:spacing w:line="480" w:lineRule="exact"/>
        <w:rPr>
          <w:rFonts w:ascii="仿宋" w:hAnsi="仿宋" w:eastAsia="仿宋"/>
          <w:color w:val="auto"/>
          <w:sz w:val="28"/>
          <w:szCs w:val="28"/>
        </w:rPr>
      </w:pPr>
      <w:r>
        <w:rPr>
          <w:rFonts w:hint="eastAsia" w:ascii="仿宋" w:hAnsi="仿宋" w:eastAsia="仿宋"/>
          <w:b/>
          <w:color w:val="auto"/>
          <w:sz w:val="28"/>
          <w:szCs w:val="28"/>
        </w:rPr>
        <w:t xml:space="preserve">残疾人福利性单位声明函（货物类项目）</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仿宋" w:hAnsi="仿宋" w:eastAsia="仿宋"/>
          <w:color w:val="auto"/>
          <w:sz w:val="28"/>
          <w:szCs w:val="28"/>
        </w:rPr>
        <w:t xml:space="preserve">JSZC-320</w:t>
      </w:r>
      <w:r>
        <w:rPr>
          <w:rFonts w:hint="eastAsia" w:ascii="仿宋" w:hAnsi="仿宋" w:eastAsia="仿宋"/>
          <w:color w:val="auto"/>
          <w:sz w:val="28"/>
          <w:szCs w:val="28"/>
        </w:rPr>
        <w:t xml:space="preserve">6</w:t>
      </w:r>
      <w:r>
        <w:rPr>
          <w:rFonts w:ascii="仿宋" w:hAnsi="仿宋" w:eastAsia="仿宋"/>
          <w:color w:val="auto"/>
          <w:sz w:val="28"/>
          <w:szCs w:val="28"/>
        </w:rPr>
        <w:t xml:space="preserve">00-</w:t>
      </w:r>
      <w:r>
        <w:rPr>
          <w:rFonts w:ascii="仿宋" w:hAnsi="仿宋" w:eastAsia="仿宋"/>
          <w:color w:val="auto"/>
          <w:sz w:val="28"/>
          <w:szCs w:val="28"/>
          <w:u w:val="single"/>
        </w:rPr>
        <w:t xml:space="preserve">****</w:t>
      </w:r>
      <w:r>
        <w:rPr>
          <w:rFonts w:hint="eastAsia" w:ascii="仿宋" w:hAnsi="仿宋" w:eastAsia="仿宋"/>
          <w:color w:val="auto"/>
          <w:sz w:val="28"/>
          <w:szCs w:val="28"/>
        </w:rPr>
        <w:t xml:space="preserve">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项目采购活动提供本单位制造的货物，或者提供其他残疾人福利性单位制造的货物（不包括使用非残疾人福利性单位注册商标的货物）。</w:t>
      </w:r>
      <w:r>
        <w:rPr>
          <w:color w:val="auto"/>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本单位对上述声明的真实性负责。如有虚假，将依法承担相应责任。</w:t>
      </w:r>
      <w:r>
        <w:rPr>
          <w:color w:val="auto"/>
        </w:rPr>
      </w:r>
      <w:r/>
    </w:p>
    <w:p>
      <w:pPr>
        <w:ind w:firstLine="560"/>
        <w:spacing w:line="480" w:lineRule="exact"/>
        <w:rPr>
          <w:rFonts w:ascii="仿宋" w:hAnsi="仿宋" w:eastAsia="仿宋"/>
          <w:color w:val="auto"/>
          <w:sz w:val="28"/>
          <w:szCs w:val="28"/>
        </w:rPr>
      </w:pPr>
      <w:r>
        <w:rPr>
          <w:rFonts w:ascii="仿宋" w:hAnsi="仿宋" w:eastAsia="仿宋"/>
          <w:color w:val="auto"/>
          <w:sz w:val="28"/>
          <w:szCs w:val="28"/>
        </w:rPr>
      </w:r>
      <w:r>
        <w:rPr>
          <w:color w:val="auto"/>
        </w:rPr>
      </w:r>
      <w:r/>
    </w:p>
    <w:p>
      <w:pPr>
        <w:ind w:firstLine="584"/>
        <w:spacing w:line="480" w:lineRule="exact"/>
        <w:rPr>
          <w:rFonts w:ascii="仿宋" w:hAnsi="仿宋" w:eastAsia="仿宋"/>
          <w:color w:val="auto"/>
          <w:spacing w:val="6"/>
          <w:sz w:val="28"/>
          <w:szCs w:val="28"/>
        </w:rPr>
      </w:pPr>
      <w:r>
        <w:rPr>
          <w:rFonts w:ascii="仿宋" w:hAnsi="仿宋" w:eastAsia="仿宋"/>
          <w:color w:val="auto"/>
          <w:spacing w:val="6"/>
          <w:sz w:val="28"/>
          <w:szCs w:val="28"/>
        </w:rPr>
      </w:r>
      <w:r>
        <w:rPr>
          <w:color w:val="auto"/>
        </w:rPr>
      </w:r>
      <w:r/>
    </w:p>
    <w:p>
      <w:pPr>
        <w:ind w:right="1559" w:firstLine="584"/>
        <w:jc w:val="right"/>
        <w:spacing w:line="480" w:lineRule="exact"/>
        <w:tabs>
          <w:tab w:val="left" w:pos="4860" w:leader="none"/>
        </w:tabs>
        <w:rPr>
          <w:rFonts w:ascii="仿宋" w:hAnsi="仿宋" w:eastAsia="仿宋"/>
          <w:color w:val="auto"/>
          <w:sz w:val="28"/>
          <w:szCs w:val="28"/>
        </w:rPr>
      </w:pPr>
      <w:r>
        <w:rPr>
          <w:rFonts w:hint="eastAsia" w:ascii="仿宋" w:hAnsi="仿宋" w:eastAsia="仿宋"/>
          <w:color w:val="auto"/>
          <w:spacing w:val="6"/>
          <w:sz w:val="28"/>
          <w:szCs w:val="28"/>
        </w:rPr>
        <w:t xml:space="preserve">            </w:t>
      </w:r>
      <w:r>
        <w:rPr>
          <w:rFonts w:hint="eastAsia" w:ascii="仿宋" w:hAnsi="仿宋" w:eastAsia="仿宋"/>
          <w:color w:val="auto"/>
          <w:sz w:val="28"/>
          <w:szCs w:val="28"/>
        </w:rPr>
        <w:t xml:space="preserve">       供应商全称（加盖CA电子公章）：</w:t>
      </w:r>
      <w:r>
        <w:rPr>
          <w:color w:val="auto"/>
        </w:rPr>
      </w:r>
      <w:r/>
    </w:p>
    <w:p>
      <w:pPr>
        <w:ind w:right="1559" w:firstLine="560"/>
        <w:jc w:val="right"/>
        <w:spacing w:line="480" w:lineRule="exact"/>
        <w:tabs>
          <w:tab w:val="left" w:pos="4860" w:leader="none"/>
        </w:tabs>
        <w:rPr>
          <w:rFonts w:ascii="仿宋" w:hAnsi="仿宋" w:eastAsia="仿宋" w:cs="仿宋"/>
          <w:b/>
          <w:bCs/>
          <w:color w:val="auto"/>
          <w:sz w:val="28"/>
          <w:szCs w:val="28"/>
        </w:rPr>
      </w:pPr>
      <w:r>
        <w:rPr>
          <w:rFonts w:hint="eastAsia" w:ascii="仿宋" w:hAnsi="仿宋" w:eastAsia="仿宋"/>
          <w:color w:val="auto"/>
          <w:sz w:val="28"/>
          <w:szCs w:val="28"/>
        </w:rPr>
        <w:t xml:space="preserve">        日  期：</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备注：</w:t>
      </w:r>
      <w:r>
        <w:rPr>
          <w:color w:val="auto"/>
        </w:rPr>
      </w:r>
      <w:r/>
    </w:p>
    <w:p>
      <w:pPr>
        <w:ind w:firstLine="562"/>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1.专门面向中小微型企业采购的</w:t>
      </w:r>
      <w:r>
        <w:rPr>
          <w:rFonts w:ascii="仿宋" w:hAnsi="仿宋" w:eastAsia="仿宋"/>
          <w:b/>
          <w:bCs/>
          <w:color w:val="auto"/>
          <w:sz w:val="28"/>
          <w:szCs w:val="28"/>
        </w:rPr>
        <w:t xml:space="preserve">项目</w:t>
      </w:r>
      <w:r>
        <w:rPr>
          <w:rFonts w:hint="eastAsia" w:ascii="仿宋" w:hAnsi="仿宋" w:eastAsia="仿宋"/>
          <w:b/>
          <w:bCs/>
          <w:color w:val="auto"/>
          <w:sz w:val="28"/>
          <w:szCs w:val="28"/>
        </w:rPr>
        <w:t xml:space="preserve">，供应商为残疾人福利性单位并提供本单位制造的货物，或者提供其他残疾人福利性单位制造的货物，必须提供此</w:t>
      </w:r>
      <w:r>
        <w:rPr>
          <w:rFonts w:ascii="仿宋" w:hAnsi="仿宋" w:eastAsia="仿宋"/>
          <w:b/>
          <w:bCs/>
          <w:color w:val="auto"/>
          <w:sz w:val="28"/>
          <w:szCs w:val="28"/>
        </w:rPr>
        <w:t xml:space="preserve">声明函</w:t>
      </w:r>
      <w:r>
        <w:rPr>
          <w:rFonts w:hint="eastAsia" w:ascii="仿宋" w:hAnsi="仿宋" w:eastAsia="仿宋"/>
          <w:b/>
          <w:bCs/>
          <w:color w:val="auto"/>
          <w:sz w:val="28"/>
          <w:szCs w:val="28"/>
        </w:rPr>
        <w:t xml:space="preserve">，</w:t>
      </w:r>
      <w:r>
        <w:rPr>
          <w:rFonts w:ascii="仿宋" w:hAnsi="仿宋" w:eastAsia="仿宋"/>
          <w:b/>
          <w:bCs/>
          <w:color w:val="auto"/>
          <w:sz w:val="28"/>
          <w:szCs w:val="28"/>
        </w:rPr>
        <w:t xml:space="preserve">否则将</w:t>
      </w:r>
      <w:r>
        <w:rPr>
          <w:rFonts w:hint="eastAsia" w:ascii="仿宋" w:hAnsi="仿宋" w:eastAsia="仿宋"/>
          <w:b/>
          <w:bCs/>
          <w:color w:val="auto"/>
          <w:sz w:val="28"/>
          <w:szCs w:val="28"/>
        </w:rPr>
        <w:t xml:space="preserve">不能</w:t>
      </w:r>
      <w:r>
        <w:rPr>
          <w:rFonts w:ascii="仿宋" w:hAnsi="仿宋" w:eastAsia="仿宋"/>
          <w:b/>
          <w:bCs/>
          <w:color w:val="auto"/>
          <w:sz w:val="28"/>
          <w:szCs w:val="28"/>
        </w:rPr>
        <w:t xml:space="preserve">通过资格审查</w:t>
      </w:r>
      <w:r>
        <w:rPr>
          <w:rFonts w:hint="eastAsia" w:ascii="仿宋" w:hAnsi="仿宋" w:eastAsia="仿宋"/>
          <w:b/>
          <w:bCs/>
          <w:color w:val="auto"/>
          <w:sz w:val="28"/>
          <w:szCs w:val="28"/>
        </w:rPr>
        <w:t xml:space="preserve">。</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2.非专门面向中小微型企业采购的</w:t>
      </w:r>
      <w:r>
        <w:rPr>
          <w:rFonts w:ascii="仿宋" w:hAnsi="仿宋" w:eastAsia="仿宋"/>
          <w:b/>
          <w:bCs/>
          <w:color w:val="auto"/>
          <w:sz w:val="28"/>
          <w:szCs w:val="28"/>
        </w:rPr>
        <w:t xml:space="preserve">项目</w:t>
      </w:r>
      <w:r>
        <w:rPr>
          <w:rFonts w:hint="eastAsia" w:ascii="仿宋" w:hAnsi="仿宋" w:eastAsia="仿宋"/>
          <w:b/>
          <w:bCs/>
          <w:color w:val="auto"/>
          <w:sz w:val="28"/>
          <w:szCs w:val="28"/>
        </w:rPr>
        <w:t xml:space="preserve">，供应商如不提供此声明函，价格将不做相应扣除。</w:t>
      </w:r>
      <w:r>
        <w:rPr>
          <w:color w:val="auto"/>
        </w:rPr>
      </w:r>
      <w:r/>
    </w:p>
    <w:p>
      <w:pPr>
        <w:ind w:firstLine="560"/>
        <w:spacing w:line="480" w:lineRule="exact"/>
        <w:rPr>
          <w:rFonts w:ascii="仿宋" w:hAnsi="仿宋" w:eastAsia="仿宋"/>
          <w:b/>
          <w:bCs/>
          <w:color w:val="auto"/>
          <w:sz w:val="28"/>
          <w:szCs w:val="28"/>
        </w:rPr>
      </w:pPr>
      <w:r>
        <w:rPr>
          <w:rFonts w:ascii="仿宋" w:hAnsi="仿宋" w:eastAsia="仿宋"/>
          <w:b/>
          <w:bCs/>
          <w:color w:val="auto"/>
          <w:sz w:val="28"/>
          <w:szCs w:val="28"/>
        </w:rPr>
        <w:t xml:space="preserve">3</w:t>
      </w:r>
      <w:r>
        <w:rPr>
          <w:rFonts w:hint="eastAsia" w:ascii="仿宋" w:hAnsi="仿宋" w:eastAsia="仿宋"/>
          <w:b/>
          <w:bCs/>
          <w:color w:val="auto"/>
          <w:sz w:val="28"/>
          <w:szCs w:val="28"/>
        </w:rPr>
        <w:t xml:space="preserve">.中标/中标人为残疾人福利性单位的，此声明函将随中标/成交结果同时公告，接受社会监督。</w:t>
      </w:r>
      <w:r>
        <w:rPr>
          <w:color w:val="auto"/>
        </w:rPr>
      </w:r>
      <w:r/>
    </w:p>
    <w:p>
      <w:pPr>
        <w:ind w:firstLine="560"/>
        <w:spacing w:line="480" w:lineRule="exact"/>
        <w:rPr>
          <w:rFonts w:ascii="仿宋" w:hAnsi="仿宋" w:eastAsia="仿宋"/>
          <w:b/>
          <w:bCs/>
          <w:color w:val="auto"/>
          <w:sz w:val="28"/>
          <w:szCs w:val="28"/>
        </w:rPr>
      </w:pPr>
      <w:r>
        <w:rPr>
          <w:rFonts w:hint="eastAsia" w:ascii="仿宋" w:hAnsi="仿宋" w:eastAsia="仿宋"/>
          <w:b/>
          <w:bCs/>
          <w:color w:val="auto"/>
          <w:sz w:val="28"/>
          <w:szCs w:val="28"/>
        </w:rPr>
        <w:t xml:space="preserve">4.非残疾人福利性单位无须提供。</w:t>
      </w:r>
      <w:r>
        <w:rPr>
          <w:color w:val="auto"/>
        </w:rPr>
      </w:r>
      <w:r/>
    </w:p>
    <w:p>
      <w:pPr>
        <w:spacing w:line="360" w:lineRule="auto"/>
        <w:rPr>
          <w:rFonts w:ascii="宋体" w:hAnsi="宋体" w:cs="宋体"/>
          <w:color w:val="auto"/>
          <w:sz w:val="24"/>
          <w:szCs w:val="32"/>
        </w:rPr>
      </w:pPr>
      <w:r>
        <w:rPr>
          <w:rFonts w:ascii="宋体" w:hAnsi="宋体" w:cs="宋体"/>
          <w:color w:val="auto"/>
          <w:sz w:val="24"/>
          <w:szCs w:val="32"/>
        </w:rPr>
      </w:r>
      <w:r>
        <w:rPr>
          <w:color w:val="auto"/>
        </w:rPr>
      </w:r>
      <w:r/>
    </w:p>
    <w:p>
      <w:pPr>
        <w:rPr>
          <w:rFonts w:ascii="仿宋" w:hAnsi="仿宋" w:eastAsia="仿宋"/>
          <w:b/>
          <w:color w:val="auto"/>
          <w:sz w:val="28"/>
          <w:szCs w:val="28"/>
        </w:rPr>
      </w:pPr>
      <w:r>
        <w:rPr>
          <w:rFonts w:hint="eastAsia" w:ascii="仿宋" w:hAnsi="仿宋" w:eastAsia="仿宋"/>
          <w:b/>
          <w:color w:val="auto"/>
          <w:sz w:val="28"/>
          <w:szCs w:val="28"/>
        </w:rPr>
        <w:br w:type="page" w:clear="all"/>
      </w:r>
      <w:r>
        <w:rPr>
          <w:color w:val="auto"/>
        </w:rPr>
      </w:r>
      <w:r/>
    </w:p>
    <w:p>
      <w:pP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附件</w:t>
      </w:r>
      <w:r>
        <w:rPr>
          <w:rFonts w:ascii="仿宋" w:hAnsi="仿宋" w:eastAsia="仿宋"/>
          <w:b/>
          <w:color w:val="auto"/>
          <w:sz w:val="28"/>
          <w:szCs w:val="28"/>
        </w:rPr>
        <w:t xml:space="preserve">1</w:t>
      </w:r>
      <w:r>
        <w:rPr>
          <w:rFonts w:hint="eastAsia" w:ascii="仿宋" w:hAnsi="仿宋" w:eastAsia="仿宋"/>
          <w:b/>
          <w:color w:val="auto"/>
          <w:sz w:val="28"/>
          <w:szCs w:val="28"/>
        </w:rPr>
        <w:t xml:space="preserve">1</w:t>
      </w:r>
      <w:r>
        <w:rPr>
          <w:color w:val="auto"/>
        </w:rPr>
      </w:r>
      <w:r/>
    </w:p>
    <w:p>
      <w:pPr>
        <w:jc w:val="center"/>
        <w:rPr>
          <w:rFonts w:ascii="仿宋" w:hAnsi="仿宋" w:eastAsia="仿宋" w:cs="仿宋"/>
          <w:color w:val="auto"/>
          <w:sz w:val="32"/>
          <w:szCs w:val="32"/>
        </w:rPr>
      </w:pPr>
      <w:r>
        <w:rPr>
          <w:rFonts w:hint="eastAsia" w:ascii="仿宋" w:hAnsi="仿宋" w:eastAsia="仿宋" w:cs="仿宋"/>
          <w:b/>
          <w:color w:val="auto"/>
          <w:sz w:val="32"/>
          <w:szCs w:val="32"/>
        </w:rPr>
        <w:t xml:space="preserve">关于符合本国产品标准的声明函（采购包号：**）</w:t>
      </w:r>
      <w:r>
        <w:rPr>
          <w:color w:val="auto"/>
        </w:rPr>
      </w:r>
      <w:r/>
    </w:p>
    <w:p>
      <w:pPr>
        <w:pStyle w:val="995"/>
        <w:ind w:firstLine="420"/>
        <w:spacing w:beforeAutospacing="0" w:afterAutospacing="0" w:line="0" w:lineRule="atLeast"/>
        <w:rPr>
          <w:rFonts w:ascii="宋体" w:hAnsi="宋体" w:cs="宋体"/>
          <w:color w:val="auto"/>
        </w:rPr>
      </w:pPr>
      <w:r>
        <w:rPr>
          <w:rFonts w:ascii="宋体" w:hAnsi="宋体" w:cs="宋体"/>
          <w:color w:val="auto"/>
        </w:rPr>
      </w:r>
      <w:r>
        <w:rPr>
          <w:color w:val="auto"/>
        </w:rPr>
      </w:r>
      <w:r/>
    </w:p>
    <w:p>
      <w:pPr>
        <w:pStyle w:val="995"/>
        <w:ind w:firstLine="420"/>
        <w:spacing w:beforeAutospacing="0" w:afterAutospacing="0" w:line="360" w:lineRule="auto"/>
        <w:rPr>
          <w:rFonts w:ascii="仿宋" w:hAnsi="仿宋" w:eastAsia="仿宋" w:cs="仿宋"/>
          <w:color w:val="auto"/>
        </w:rPr>
      </w:pPr>
      <w:r>
        <w:rPr>
          <w:rFonts w:hint="eastAsia" w:ascii="仿宋" w:hAnsi="仿宋" w:eastAsia="仿宋" w:cs="仿宋"/>
          <w:color w:val="auto"/>
        </w:rPr>
        <w:t xml:space="preserve">本公司（单位）郑重声明，根据《国务院办公厅关于在政府采购中实施本国产品标准及相关政策的通知》（国办发〔2026〕34号）的规定，本公司（单位）提供的以下产品属于本国产品。具体情况如下：</w:t>
      </w:r>
      <w:r>
        <w:rPr>
          <w:color w:val="auto"/>
        </w:rPr>
      </w:r>
      <w:r/>
    </w:p>
    <w:p>
      <w:pPr>
        <w:pStyle w:val="995"/>
        <w:ind w:firstLine="420"/>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1.</w:t>
      </w:r>
      <w:r>
        <w:rPr>
          <w:rStyle w:val="1002"/>
          <w:rFonts w:hint="eastAsia" w:ascii="仿宋" w:hAnsi="仿宋" w:eastAsia="仿宋" w:cs="仿宋"/>
          <w:i w:val="0"/>
          <w:color w:val="auto"/>
          <w:u w:val="single"/>
          <w:shd w:val="clear" w:color="auto" w:fill="ffffff"/>
        </w:rPr>
        <w:t xml:space="preserve">（产品名称1）</w:t>
      </w:r>
      <w:r>
        <w:rPr>
          <w:rStyle w:val="1002"/>
          <w:rFonts w:hint="eastAsia" w:ascii="仿宋" w:hAnsi="仿宋" w:eastAsia="仿宋" w:cs="仿宋"/>
          <w:i w:val="0"/>
          <w:color w:val="auto"/>
          <w:shd w:val="clear" w:color="auto" w:fill="ffffff"/>
          <w:vertAlign w:val="superscript"/>
        </w:rPr>
        <w:t xml:space="preserve">1</w:t>
      </w:r>
      <w:r>
        <w:rPr>
          <w:rFonts w:hint="eastAsia" w:ascii="仿宋" w:hAnsi="仿宋" w:eastAsia="仿宋" w:cs="仿宋"/>
          <w:color w:val="auto"/>
          <w:shd w:val="clear" w:color="auto" w:fill="ffffff"/>
        </w:rPr>
        <w:t xml:space="preserve">，生产厂为</w:t>
      </w:r>
      <w:r>
        <w:rPr>
          <w:rStyle w:val="1002"/>
          <w:rFonts w:hint="eastAsia" w:ascii="仿宋" w:hAnsi="仿宋" w:eastAsia="仿宋" w:cs="仿宋"/>
          <w:i w:val="0"/>
          <w:color w:val="auto"/>
          <w:u w:val="single"/>
          <w:shd w:val="clear" w:color="auto" w:fill="ffffff"/>
        </w:rPr>
        <w:t xml:space="preserve">（厂名）</w:t>
      </w:r>
      <w:r>
        <w:rPr>
          <w:rStyle w:val="1002"/>
          <w:rFonts w:hint="eastAsia" w:ascii="仿宋" w:hAnsi="仿宋" w:eastAsia="仿宋" w:cs="仿宋"/>
          <w:i w:val="0"/>
          <w:color w:val="auto"/>
          <w:shd w:val="clear" w:color="auto" w:fill="ffffff"/>
          <w:vertAlign w:val="superscript"/>
        </w:rPr>
        <w:t xml:space="preserve">2</w:t>
      </w:r>
      <w:r>
        <w:rPr>
          <w:rFonts w:hint="eastAsia" w:ascii="仿宋" w:hAnsi="仿宋" w:eastAsia="仿宋" w:cs="仿宋"/>
          <w:color w:val="auto"/>
          <w:shd w:val="clear" w:color="auto" w:fill="ffffff"/>
        </w:rPr>
        <w:t xml:space="preserve">，厂址为</w:t>
      </w:r>
      <w:r>
        <w:rPr>
          <w:rStyle w:val="1002"/>
          <w:rFonts w:hint="eastAsia" w:ascii="仿宋" w:hAnsi="仿宋" w:eastAsia="仿宋" w:cs="仿宋"/>
          <w:i w:val="0"/>
          <w:color w:val="auto"/>
          <w:u w:val="single"/>
          <w:shd w:val="clear" w:color="auto" w:fill="ffffff"/>
        </w:rPr>
        <w:t xml:space="preserve">（生产厂址）</w:t>
      </w:r>
      <w:r>
        <w:rPr>
          <w:rFonts w:hint="eastAsia" w:ascii="仿宋" w:hAnsi="仿宋" w:eastAsia="仿宋" w:cs="仿宋"/>
          <w:color w:val="auto"/>
          <w:shd w:val="clear" w:color="auto" w:fill="ffffff"/>
        </w:rPr>
        <w:t xml:space="preserve">。</w:t>
      </w:r>
      <w:r>
        <w:rPr>
          <w:rFonts w:hint="eastAsia" w:ascii="仿宋" w:hAnsi="仿宋" w:eastAsia="仿宋" w:cs="仿宋"/>
          <w:color w:val="auto"/>
          <w:u w:val="single"/>
          <w:shd w:val="clear" w:color="auto" w:fill="ffffff"/>
        </w:rPr>
        <w:t xml:space="preserve"> </w:t>
      </w:r>
      <w:r>
        <w:rPr>
          <w:rStyle w:val="1002"/>
          <w:rFonts w:hint="eastAsia" w:ascii="仿宋" w:hAnsi="仿宋" w:eastAsia="仿宋" w:cs="仿宋"/>
          <w:i w:val="0"/>
          <w:strike/>
          <w:color w:val="auto"/>
          <w:u w:val="single"/>
          <w:shd w:val="clear" w:color="auto" w:fill="ffffff"/>
        </w:rPr>
        <w:t xml:space="preserve">（产品名称1）</w:t>
      </w:r>
      <w:r>
        <w:rPr>
          <w:rStyle w:val="1002"/>
          <w:rFonts w:hint="eastAsia" w:ascii="仿宋" w:hAnsi="仿宋" w:eastAsia="仿宋" w:cs="仿宋"/>
          <w:i w:val="0"/>
          <w:color w:val="auto"/>
          <w:u w:val="single"/>
          <w:shd w:val="clear" w:color="auto" w:fill="ffffff"/>
        </w:rPr>
        <w:t xml:space="preserve"> </w:t>
      </w:r>
      <w:r>
        <w:rPr>
          <w:rFonts w:hint="eastAsia" w:ascii="仿宋" w:hAnsi="仿宋" w:eastAsia="仿宋" w:cs="仿宋"/>
          <w:color w:val="auto"/>
          <w:shd w:val="clear" w:color="auto" w:fill="ffffff"/>
        </w:rPr>
        <w:t xml:space="preserve">的中国境内生产的组件成本占比≥</w:t>
      </w:r>
      <w:r>
        <w:rPr>
          <w:rStyle w:val="1002"/>
          <w:rFonts w:hint="eastAsia" w:ascii="仿宋" w:hAnsi="仿宋" w:eastAsia="仿宋" w:cs="仿宋"/>
          <w:i w:val="0"/>
          <w:strike/>
          <w:color w:val="auto"/>
          <w:u w:val="single"/>
          <w:shd w:val="clear" w:color="auto" w:fill="ffffff"/>
        </w:rPr>
        <w:t xml:space="preserve">（规定比例）</w:t>
      </w:r>
      <w:r>
        <w:rPr>
          <w:rStyle w:val="1002"/>
          <w:rFonts w:hint="eastAsia" w:ascii="仿宋" w:hAnsi="仿宋" w:eastAsia="仿宋" w:cs="仿宋"/>
          <w:i w:val="0"/>
          <w:color w:val="auto"/>
          <w:shd w:val="clear" w:color="auto" w:fill="ffffff"/>
          <w:vertAlign w:val="superscript"/>
        </w:rPr>
        <w:t xml:space="preserve">3</w:t>
      </w:r>
      <w:r>
        <w:rPr>
          <w:rFonts w:hint="eastAsia" w:ascii="仿宋" w:hAnsi="仿宋" w:eastAsia="仿宋" w:cs="仿宋"/>
          <w:color w:val="auto"/>
          <w:shd w:val="clear" w:color="auto" w:fill="ffffff"/>
        </w:rPr>
        <w:t xml:space="preserve">。</w:t>
      </w:r>
      <w:r>
        <w:rPr>
          <w:rStyle w:val="1002"/>
          <w:rFonts w:hint="eastAsia" w:ascii="仿宋" w:hAnsi="仿宋" w:eastAsia="仿宋" w:cs="仿宋"/>
          <w:i w:val="0"/>
          <w:strike/>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1002"/>
          <w:rFonts w:hint="eastAsia" w:ascii="仿宋" w:hAnsi="仿宋" w:eastAsia="仿宋" w:cs="仿宋"/>
          <w:i w:val="0"/>
          <w:strike/>
          <w:color w:val="auto"/>
          <w:u w:val="single"/>
          <w:shd w:val="clear" w:color="auto" w:fill="ffffff"/>
        </w:rPr>
        <w:t xml:space="preserve">（关键组件）</w:t>
      </w:r>
      <w:r>
        <w:rPr>
          <w:rStyle w:val="1002"/>
          <w:rFonts w:hint="eastAsia" w:ascii="仿宋" w:hAnsi="仿宋" w:eastAsia="仿宋" w:cs="仿宋"/>
          <w:i w:val="0"/>
          <w:color w:val="auto"/>
          <w:shd w:val="clear" w:color="auto" w:fill="ffffff"/>
          <w:vertAlign w:val="superscript"/>
        </w:rPr>
        <w:t xml:space="preserve">4</w:t>
      </w:r>
      <w:r>
        <w:rPr>
          <w:rFonts w:hint="eastAsia" w:ascii="仿宋" w:hAnsi="仿宋" w:eastAsia="仿宋" w:cs="仿宋"/>
          <w:color w:val="auto"/>
          <w:shd w:val="clear" w:color="auto" w:fill="ffffff"/>
        </w:rPr>
        <w:t xml:space="preserve">在中国境内生产。</w:t>
      </w:r>
      <w:r>
        <w:rPr>
          <w:rStyle w:val="1002"/>
          <w:rFonts w:hint="eastAsia" w:ascii="仿宋" w:hAnsi="仿宋" w:eastAsia="仿宋" w:cs="仿宋"/>
          <w:i w:val="0"/>
          <w:strike/>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1002"/>
          <w:rFonts w:hint="eastAsia" w:ascii="仿宋" w:hAnsi="仿宋" w:eastAsia="仿宋" w:cs="仿宋"/>
          <w:i w:val="0"/>
          <w:strike/>
          <w:color w:val="auto"/>
          <w:u w:val="single"/>
          <w:shd w:val="clear" w:color="auto" w:fill="ffffff"/>
        </w:rPr>
        <w:t xml:space="preserve">（关键工序）</w:t>
      </w:r>
      <w:r>
        <w:rPr>
          <w:rStyle w:val="1002"/>
          <w:rFonts w:hint="eastAsia" w:ascii="仿宋" w:hAnsi="仿宋" w:eastAsia="仿宋" w:cs="仿宋"/>
          <w:i w:val="0"/>
          <w:color w:val="auto"/>
          <w:shd w:val="clear" w:color="auto" w:fill="ffffff"/>
          <w:vertAlign w:val="superscript"/>
        </w:rPr>
        <w:t xml:space="preserve">5</w:t>
      </w:r>
      <w:r>
        <w:rPr>
          <w:rFonts w:hint="eastAsia" w:ascii="仿宋" w:hAnsi="仿宋" w:eastAsia="仿宋" w:cs="仿宋"/>
          <w:color w:val="auto"/>
          <w:shd w:val="clear" w:color="auto" w:fill="ffffff"/>
        </w:rPr>
        <w:t xml:space="preserve">在中国境内完成。</w:t>
      </w:r>
      <w:r>
        <w:rPr>
          <w:color w:val="auto"/>
        </w:rPr>
      </w:r>
      <w:r/>
    </w:p>
    <w:p>
      <w:pPr>
        <w:pStyle w:val="995"/>
        <w:ind w:firstLine="420"/>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2.</w:t>
      </w:r>
      <w:r>
        <w:rPr>
          <w:rStyle w:val="1002"/>
          <w:rFonts w:hint="eastAsia" w:ascii="仿宋" w:hAnsi="仿宋" w:eastAsia="仿宋" w:cs="仿宋"/>
          <w:i w:val="0"/>
          <w:color w:val="auto"/>
          <w:u w:val="single"/>
          <w:shd w:val="clear" w:color="auto" w:fill="ffffff"/>
        </w:rPr>
        <w:t xml:space="preserve">（产品名称2）</w:t>
      </w:r>
      <w:r>
        <w:rPr>
          <w:rFonts w:hint="eastAsia" w:ascii="仿宋" w:hAnsi="仿宋" w:eastAsia="仿宋" w:cs="仿宋"/>
          <w:color w:val="auto"/>
          <w:shd w:val="clear" w:color="auto" w:fill="ffffff"/>
        </w:rPr>
        <w:t xml:space="preserve">，生产厂为</w:t>
      </w:r>
      <w:r>
        <w:rPr>
          <w:rStyle w:val="1002"/>
          <w:rFonts w:hint="eastAsia" w:ascii="仿宋" w:hAnsi="仿宋" w:eastAsia="仿宋" w:cs="仿宋"/>
          <w:i w:val="0"/>
          <w:color w:val="auto"/>
          <w:u w:val="single"/>
          <w:shd w:val="clear" w:color="auto" w:fill="ffffff"/>
        </w:rPr>
        <w:t xml:space="preserve">（厂名）</w:t>
      </w:r>
      <w:r>
        <w:rPr>
          <w:rFonts w:hint="eastAsia" w:ascii="仿宋" w:hAnsi="仿宋" w:eastAsia="仿宋" w:cs="仿宋"/>
          <w:color w:val="auto"/>
          <w:shd w:val="clear" w:color="auto" w:fill="ffffff"/>
        </w:rPr>
        <w:t xml:space="preserve">，厂址为</w:t>
      </w:r>
      <w:r>
        <w:rPr>
          <w:rStyle w:val="1002"/>
          <w:rFonts w:hint="eastAsia" w:ascii="仿宋" w:hAnsi="仿宋" w:eastAsia="仿宋" w:cs="仿宋"/>
          <w:i w:val="0"/>
          <w:color w:val="auto"/>
          <w:u w:val="single"/>
          <w:shd w:val="clear" w:color="auto" w:fill="ffffff"/>
        </w:rPr>
        <w:t xml:space="preserve">（生产厂址）</w:t>
      </w:r>
      <w:r>
        <w:rPr>
          <w:rFonts w:hint="eastAsia" w:ascii="仿宋" w:hAnsi="仿宋" w:eastAsia="仿宋" w:cs="仿宋"/>
          <w:color w:val="auto"/>
          <w:shd w:val="clear" w:color="auto" w:fill="ffffff"/>
        </w:rPr>
        <w:t xml:space="preserve">。</w:t>
      </w:r>
      <w:r>
        <w:rPr>
          <w:rStyle w:val="1002"/>
          <w:rFonts w:hint="eastAsia" w:ascii="仿宋" w:hAnsi="仿宋" w:eastAsia="仿宋" w:cs="仿宋"/>
          <w:i w:val="0"/>
          <w:strike/>
          <w:color w:val="auto"/>
          <w:u w:val="single"/>
          <w:shd w:val="clear" w:color="auto" w:fill="ffffff"/>
        </w:rPr>
        <w:t xml:space="preserve">（产品名称2）</w:t>
      </w:r>
      <w:r>
        <w:rPr>
          <w:rFonts w:hint="eastAsia" w:ascii="仿宋" w:hAnsi="仿宋" w:eastAsia="仿宋" w:cs="仿宋"/>
          <w:color w:val="auto"/>
          <w:shd w:val="clear" w:color="auto" w:fill="ffffff"/>
        </w:rPr>
        <w:t xml:space="preserve">的中国境内生产的组件成本占比≥</w:t>
      </w:r>
      <w:r>
        <w:rPr>
          <w:rStyle w:val="1002"/>
          <w:rFonts w:hint="eastAsia" w:ascii="仿宋" w:hAnsi="仿宋" w:eastAsia="仿宋" w:cs="仿宋"/>
          <w:i w:val="0"/>
          <w:strike/>
          <w:color w:val="auto"/>
          <w:u w:val="single"/>
          <w:shd w:val="clear" w:color="auto" w:fill="ffffff"/>
        </w:rPr>
        <w:t xml:space="preserve">（规定比例）</w:t>
      </w:r>
      <w:r>
        <w:rPr>
          <w:rFonts w:hint="eastAsia" w:ascii="仿宋" w:hAnsi="仿宋" w:eastAsia="仿宋" w:cs="仿宋"/>
          <w:color w:val="auto"/>
          <w:shd w:val="clear" w:color="auto" w:fill="ffffff"/>
        </w:rPr>
        <w:t xml:space="preserve">。</w:t>
      </w:r>
      <w:r>
        <w:rPr>
          <w:rStyle w:val="1002"/>
          <w:rFonts w:hint="eastAsia" w:ascii="仿宋" w:hAnsi="仿宋" w:eastAsia="仿宋" w:cs="仿宋"/>
          <w:i w:val="0"/>
          <w:strike/>
          <w:color w:val="auto"/>
          <w:u w:val="single"/>
          <w:shd w:val="clear" w:color="auto" w:fill="ffffff"/>
        </w:rPr>
        <w:t xml:space="preserve">（产品名称2）</w:t>
      </w:r>
      <w:r>
        <w:rPr>
          <w:rFonts w:hint="eastAsia" w:ascii="仿宋" w:hAnsi="仿宋" w:eastAsia="仿宋" w:cs="仿宋"/>
          <w:color w:val="auto"/>
          <w:shd w:val="clear" w:color="auto" w:fill="ffffff"/>
        </w:rPr>
        <w:t xml:space="preserve">的</w:t>
      </w:r>
      <w:r>
        <w:rPr>
          <w:rStyle w:val="1002"/>
          <w:rFonts w:hint="eastAsia" w:ascii="仿宋" w:hAnsi="仿宋" w:eastAsia="仿宋" w:cs="仿宋"/>
          <w:i w:val="0"/>
          <w:strike/>
          <w:color w:val="auto"/>
          <w:u w:val="single"/>
          <w:shd w:val="clear" w:color="auto" w:fill="ffffff"/>
        </w:rPr>
        <w:t xml:space="preserve">（关键组件）</w:t>
      </w:r>
      <w:r>
        <w:rPr>
          <w:rFonts w:hint="eastAsia" w:ascii="仿宋" w:hAnsi="仿宋" w:eastAsia="仿宋" w:cs="仿宋"/>
          <w:color w:val="auto"/>
          <w:shd w:val="clear" w:color="auto" w:fill="ffffff"/>
        </w:rPr>
        <w:t xml:space="preserve">在中国境内生产。</w:t>
      </w:r>
      <w:r>
        <w:rPr>
          <w:rStyle w:val="1002"/>
          <w:rFonts w:hint="eastAsia" w:ascii="仿宋" w:hAnsi="仿宋" w:eastAsia="仿宋" w:cs="仿宋"/>
          <w:i w:val="0"/>
          <w:strike/>
          <w:color w:val="auto"/>
          <w:u w:val="single"/>
          <w:shd w:val="clear" w:color="auto" w:fill="ffffff"/>
        </w:rPr>
        <w:t xml:space="preserve">（产品名称1）</w:t>
      </w:r>
      <w:r>
        <w:rPr>
          <w:rFonts w:hint="eastAsia" w:ascii="仿宋" w:hAnsi="仿宋" w:eastAsia="仿宋" w:cs="仿宋"/>
          <w:color w:val="auto"/>
          <w:shd w:val="clear" w:color="auto" w:fill="ffffff"/>
        </w:rPr>
        <w:t xml:space="preserve">的</w:t>
      </w:r>
      <w:r>
        <w:rPr>
          <w:rStyle w:val="1002"/>
          <w:rFonts w:hint="eastAsia" w:ascii="仿宋" w:hAnsi="仿宋" w:eastAsia="仿宋" w:cs="仿宋"/>
          <w:i w:val="0"/>
          <w:strike/>
          <w:color w:val="auto"/>
          <w:u w:val="single"/>
          <w:shd w:val="clear" w:color="auto" w:fill="ffffff"/>
        </w:rPr>
        <w:t xml:space="preserve">（关键工序）</w:t>
      </w:r>
      <w:r>
        <w:rPr>
          <w:rFonts w:hint="eastAsia" w:ascii="仿宋" w:hAnsi="仿宋" w:eastAsia="仿宋" w:cs="仿宋"/>
          <w:color w:val="auto"/>
          <w:shd w:val="clear" w:color="auto" w:fill="ffffff"/>
        </w:rPr>
        <w:t xml:space="preserve">在中国境内完成。</w:t>
      </w:r>
      <w:r>
        <w:rPr>
          <w:color w:val="auto"/>
        </w:rPr>
      </w:r>
      <w:r/>
    </w:p>
    <w:p>
      <w:pPr>
        <w:pStyle w:val="995"/>
        <w:ind w:firstLine="420"/>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w:t>
      </w:r>
      <w:r>
        <w:rPr>
          <w:color w:val="auto"/>
        </w:rPr>
      </w:r>
      <w:r/>
    </w:p>
    <w:p>
      <w:pPr>
        <w:pStyle w:val="995"/>
        <w:ind w:firstLine="420"/>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本公司（单位）对上述声明内容的真实性负责。如有虚假，愿承担相应法律责任。</w:t>
      </w:r>
      <w:r>
        <w:rPr>
          <w:color w:val="auto"/>
        </w:rPr>
      </w:r>
      <w:r/>
    </w:p>
    <w:p>
      <w:pPr>
        <w:pStyle w:val="995"/>
        <w:spacing w:before="30" w:beforeAutospacing="0" w:after="30" w:afterAutospacing="0" w:line="360" w:lineRule="auto"/>
        <w:rPr>
          <w:rFonts w:ascii="仿宋" w:hAnsi="仿宋" w:eastAsia="仿宋" w:cs="仿宋"/>
          <w:color w:val="auto"/>
        </w:rPr>
      </w:pPr>
      <w:r>
        <w:rPr>
          <w:rFonts w:ascii="仿宋" w:hAnsi="仿宋" w:eastAsia="仿宋" w:cs="仿宋"/>
          <w:color w:val="auto"/>
        </w:rPr>
      </w:r>
      <w:r>
        <w:rPr>
          <w:color w:val="auto"/>
        </w:rPr>
      </w:r>
      <w:r/>
    </w:p>
    <w:p>
      <w:pPr>
        <w:pStyle w:val="995"/>
        <w:ind w:right="480" w:firstLine="3720"/>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公司（单位）名称（盖章）：　        </w:t>
      </w:r>
      <w:r>
        <w:rPr>
          <w:color w:val="auto"/>
        </w:rPr>
      </w:r>
      <w:r/>
    </w:p>
    <w:p>
      <w:pPr>
        <w:pStyle w:val="995"/>
        <w:jc w:val="center"/>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                                日期：　   年　  月　  日         </w:t>
      </w:r>
      <w:r>
        <w:rPr>
          <w:color w:val="auto"/>
        </w:rPr>
      </w:r>
      <w:r/>
    </w:p>
    <w:p>
      <w:pPr>
        <w:pStyle w:val="995"/>
        <w:spacing w:before="30" w:beforeAutospacing="0" w:after="30" w:afterAutospacing="0" w:line="360" w:lineRule="auto"/>
        <w:rPr>
          <w:rFonts w:ascii="仿宋" w:hAnsi="仿宋" w:eastAsia="仿宋" w:cs="仿宋"/>
          <w:color w:val="auto"/>
        </w:rPr>
      </w:pPr>
      <w:r>
        <w:rPr>
          <w:rFonts w:hint="eastAsia" w:ascii="仿宋" w:hAnsi="仿宋" w:eastAsia="仿宋" w:cs="仿宋"/>
          <w:color w:val="auto"/>
          <w:shd w:val="clear" w:color="auto" w:fill="ffffff"/>
        </w:rPr>
        <w:t xml:space="preserve">__________________</w:t>
      </w:r>
      <w:r>
        <w:rPr>
          <w:color w:val="auto"/>
        </w:rPr>
      </w:r>
      <w:r/>
    </w:p>
    <w:p>
      <w:pPr>
        <w:pStyle w:val="995"/>
        <w:spacing w:before="30" w:beforeAutospacing="0" w:after="30" w:afterAutospacing="0" w:line="360" w:lineRule="auto"/>
        <w:rPr>
          <w:rFonts w:ascii="仿宋" w:hAnsi="仿宋" w:eastAsia="仿宋" w:cs="仿宋"/>
          <w:color w:val="auto"/>
          <w:sz w:val="22"/>
        </w:rPr>
      </w:pPr>
      <w:r>
        <w:rPr>
          <w:rFonts w:hint="eastAsia" w:ascii="仿宋" w:hAnsi="仿宋" w:eastAsia="仿宋" w:cs="仿宋"/>
          <w:color w:val="auto"/>
          <w:sz w:val="22"/>
          <w:shd w:val="clear" w:color="auto" w:fill="ffffff"/>
        </w:rPr>
        <w:t xml:space="preserve">1.产品如有型号，请在“产品名称”栏一并填写。</w:t>
      </w:r>
      <w:r>
        <w:rPr>
          <w:color w:val="auto"/>
        </w:rPr>
      </w:r>
      <w:r/>
    </w:p>
    <w:p>
      <w:pPr>
        <w:pStyle w:val="995"/>
        <w:spacing w:before="30" w:beforeAutospacing="0" w:after="30" w:afterAutospacing="0" w:line="360" w:lineRule="auto"/>
        <w:rPr>
          <w:rFonts w:ascii="仿宋" w:hAnsi="仿宋" w:eastAsia="仿宋" w:cs="仿宋"/>
          <w:color w:val="auto"/>
          <w:sz w:val="22"/>
        </w:rPr>
      </w:pPr>
      <w:r>
        <w:rPr>
          <w:rFonts w:hint="eastAsia" w:ascii="仿宋" w:hAnsi="仿宋" w:eastAsia="仿宋" w:cs="仿宋"/>
          <w:color w:val="auto"/>
          <w:sz w:val="22"/>
          <w:shd w:val="clear" w:color="auto" w:fill="ffffff"/>
        </w:rPr>
        <w:t xml:space="preserve">2.生产厂名与厂址应与生产厂营业执照载明的相关信息保持一致。</w:t>
      </w:r>
      <w:r>
        <w:rPr>
          <w:color w:val="auto"/>
        </w:rPr>
      </w:r>
      <w:r/>
    </w:p>
    <w:p>
      <w:pPr>
        <w:pStyle w:val="995"/>
        <w:spacing w:before="30" w:beforeAutospacing="0" w:after="30" w:afterAutospacing="0" w:line="360" w:lineRule="auto"/>
        <w:rPr>
          <w:rFonts w:ascii="仿宋" w:hAnsi="仿宋" w:eastAsia="仿宋" w:cs="仿宋"/>
          <w:color w:val="auto"/>
          <w:sz w:val="22"/>
        </w:rPr>
      </w:pPr>
      <w:r>
        <w:rPr>
          <w:rFonts w:hint="eastAsia" w:ascii="仿宋" w:hAnsi="仿宋" w:eastAsia="仿宋" w:cs="仿宋"/>
          <w:color w:val="auto"/>
          <w:sz w:val="22"/>
          <w:shd w:val="clear" w:color="auto" w:fill="ffffff"/>
        </w:rPr>
        <w:t xml:space="preserve">3.该产品的中国境内生产的组件成本占比相关要求实施前，“规定比例”栏可不填，下同。</w:t>
      </w:r>
      <w:r>
        <w:rPr>
          <w:color w:val="auto"/>
        </w:rPr>
      </w:r>
      <w:r/>
    </w:p>
    <w:p>
      <w:pPr>
        <w:pStyle w:val="995"/>
        <w:spacing w:before="30" w:beforeAutospacing="0" w:after="30" w:afterAutospacing="0" w:line="360" w:lineRule="auto"/>
        <w:rPr>
          <w:rFonts w:ascii="仿宋" w:hAnsi="仿宋" w:eastAsia="仿宋" w:cs="仿宋"/>
          <w:color w:val="auto"/>
          <w:sz w:val="22"/>
        </w:rPr>
      </w:pPr>
      <w:r>
        <w:rPr>
          <w:rFonts w:hint="eastAsia" w:ascii="仿宋" w:hAnsi="仿宋" w:eastAsia="仿宋" w:cs="仿宋"/>
          <w:color w:val="auto"/>
          <w:sz w:val="22"/>
          <w:shd w:val="clear" w:color="auto" w:fill="ffffff"/>
        </w:rPr>
        <w:t xml:space="preserve">4.该产品的关键组件要求实施前，“关键组件”栏可不填，下同。</w:t>
      </w:r>
      <w:r>
        <w:rPr>
          <w:color w:val="auto"/>
        </w:rPr>
      </w:r>
      <w:r/>
    </w:p>
    <w:p>
      <w:pPr>
        <w:pStyle w:val="995"/>
        <w:spacing w:before="30" w:beforeAutospacing="0" w:after="30" w:afterAutospacing="0" w:line="360" w:lineRule="auto"/>
        <w:rPr>
          <w:rFonts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5.该产品的关键工序要求实施前，“关键工序”栏可不填，下同。</w:t>
      </w:r>
      <w:r>
        <w:rPr>
          <w:color w:val="auto"/>
        </w:rPr>
      </w:r>
      <w:r/>
    </w:p>
    <w:p>
      <w:pPr>
        <w:pStyle w:val="995"/>
        <w:spacing w:before="30" w:beforeAutospacing="0" w:after="30" w:afterAutospacing="0" w:line="360" w:lineRule="auto"/>
        <w:rPr>
          <w:rFonts w:ascii="仿宋" w:hAnsi="仿宋" w:eastAsia="仿宋" w:cs="仿宋"/>
          <w:color w:val="auto"/>
          <w:sz w:val="22"/>
          <w:shd w:val="clear" w:color="auto" w:fill="ffffff"/>
        </w:rPr>
      </w:pPr>
      <w:r>
        <w:rPr>
          <w:rFonts w:hint="eastAsia" w:ascii="仿宋" w:hAnsi="仿宋" w:eastAsia="仿宋" w:cs="仿宋"/>
          <w:color w:val="auto"/>
          <w:sz w:val="22"/>
          <w:shd w:val="clear" w:color="auto" w:fill="ffffff"/>
        </w:rPr>
        <w:t xml:space="preserve">6.用斜线划除的地方无需填写。</w:t>
      </w:r>
      <w:r>
        <w:rPr>
          <w:color w:val="auto"/>
        </w:rPr>
      </w:r>
      <w:r/>
    </w:p>
    <w:p>
      <w:pPr>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rPr>
          <w:color w:val="auto"/>
        </w:rPr>
      </w:r>
      <w:r/>
    </w:p>
    <w:p>
      <w:pPr>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rPr>
          <w:color w:val="auto"/>
        </w:rPr>
      </w:r>
      <w:r/>
    </w:p>
    <w:p>
      <w:pPr>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rPr>
          <w:color w:val="auto"/>
        </w:rPr>
      </w:r>
      <w:r/>
    </w:p>
    <w:p>
      <w:pPr>
        <w:jc w:val="center"/>
        <w:spacing w:line="480" w:lineRule="exact"/>
        <w:rPr>
          <w:rFonts w:ascii="仿宋" w:hAnsi="仿宋" w:eastAsia="仿宋" w:cs="仿宋"/>
          <w:b/>
          <w:bCs/>
          <w:color w:val="auto"/>
          <w:sz w:val="28"/>
          <w:szCs w:val="28"/>
        </w:rPr>
      </w:pPr>
      <w:r>
        <w:rPr>
          <w:rFonts w:ascii="仿宋" w:hAnsi="仿宋" w:eastAsia="仿宋" w:cs="仿宋"/>
          <w:b/>
          <w:bCs/>
          <w:color w:val="auto"/>
          <w:sz w:val="28"/>
          <w:szCs w:val="28"/>
        </w:rPr>
      </w:r>
      <w:r>
        <w:rPr>
          <w:color w:val="auto"/>
        </w:rPr>
      </w:r>
      <w:r/>
    </w:p>
    <w:p>
      <w:pPr>
        <w:jc w:val="center"/>
        <w:spacing w:line="48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质疑函范本</w:t>
      </w:r>
      <w:r>
        <w:rPr>
          <w:color w:val="auto"/>
        </w:rPr>
      </w:r>
      <w:r/>
    </w:p>
    <w:p>
      <w:pPr>
        <w:spacing w:before="290"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一、质疑供应商基本信息</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质疑供应商：</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授权代表：</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ascii="仿宋" w:hAnsi="仿宋" w:eastAsia="仿宋" w:cs="仿宋"/>
          <w:color w:val="auto"/>
          <w:sz w:val="28"/>
          <w:szCs w:val="28"/>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二、质疑项目基本情况</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质疑项目的名称：</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质疑项目的编号：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包号：</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采购人名称：</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采购文件获取日期：</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三、质疑事项具体内容</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质疑事项1：</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事实依据：</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法律依据：</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质疑事项2</w:t>
      </w:r>
      <w:r>
        <w:rPr>
          <w:color w:val="auto"/>
        </w:rPr>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rPr>
          <w:color w:val="auto"/>
        </w:rPr>
      </w:r>
      <w:r/>
    </w:p>
    <w:p>
      <w:pPr>
        <w:spacing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四、与质疑事项相关的质疑请求</w:t>
      </w:r>
      <w:r>
        <w:rPr>
          <w:color w:val="auto"/>
        </w:rPr>
      </w:r>
      <w:r/>
    </w:p>
    <w:p>
      <w:pPr>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请求：</w:t>
      </w:r>
      <w:r>
        <w:rPr>
          <w:rFonts w:hint="eastAsia" w:ascii="仿宋" w:hAnsi="仿宋" w:eastAsia="仿宋" w:cs="仿宋"/>
          <w:color w:val="auto"/>
          <w:sz w:val="28"/>
          <w:szCs w:val="28"/>
          <w:u w:val="single"/>
        </w:rPr>
        <w:t xml:space="preserve">                                                             </w:t>
      </w:r>
      <w:r>
        <w:rPr>
          <w:color w:val="auto"/>
        </w:rPr>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签字（签章）：                   公章：                      </w:t>
      </w:r>
      <w:r>
        <w:rPr>
          <w:color w:val="auto"/>
        </w:rPr>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日期：    </w:t>
      </w:r>
      <w:r>
        <w:rPr>
          <w:color w:val="auto"/>
        </w:rPr>
      </w:r>
      <w:r/>
    </w:p>
    <w:p>
      <w:pPr>
        <w:rPr>
          <w:rFonts w:ascii="仿宋" w:hAnsi="仿宋" w:eastAsia="仿宋"/>
          <w:b/>
          <w:color w:val="auto"/>
          <w:sz w:val="28"/>
          <w:szCs w:val="28"/>
        </w:rPr>
      </w:pPr>
      <w:r>
        <w:rPr>
          <w:rFonts w:hint="eastAsia" w:ascii="仿宋" w:hAnsi="仿宋" w:eastAsia="仿宋"/>
          <w:b/>
          <w:color w:val="auto"/>
          <w:sz w:val="28"/>
          <w:szCs w:val="28"/>
        </w:rPr>
        <w:br w:type="page" w:clear="all"/>
      </w:r>
      <w:r>
        <w:rPr>
          <w:color w:val="auto"/>
        </w:rPr>
      </w:r>
      <w:r/>
    </w:p>
    <w:p>
      <w:pPr>
        <w:spacing w:line="480" w:lineRule="exact"/>
        <w:rPr>
          <w:rFonts w:ascii="仿宋" w:hAnsi="仿宋" w:eastAsia="仿宋"/>
          <w:b/>
          <w:color w:val="auto"/>
          <w:sz w:val="28"/>
          <w:szCs w:val="28"/>
        </w:rPr>
      </w:pPr>
      <w:r>
        <w:rPr>
          <w:rFonts w:hint="eastAsia" w:ascii="仿宋" w:hAnsi="仿宋" w:eastAsia="仿宋"/>
          <w:b/>
          <w:color w:val="auto"/>
          <w:sz w:val="28"/>
          <w:szCs w:val="28"/>
        </w:rPr>
        <w:t xml:space="preserve">质疑函制作说明：</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1.供应商提出质疑时，应提交质疑函和必要的佐证材料。</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rPr>
        <w:t xml:space="preserve">供应商签署的授权委托书。授权委托书应载明代理人的姓名或者名称、代理事项、具体权限、期限和相关事项。</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3.质疑供应商若对项目的某一分包进行质疑，质疑函中应列明具体分包号。</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4.质疑函的质疑事项应具体、明确，并有必要的事实依据和法律依据。</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5.质疑函的质疑请求应与质疑事项相关。</w:t>
      </w:r>
      <w:r>
        <w:rPr>
          <w:color w:val="auto"/>
        </w:rPr>
      </w:r>
      <w:r/>
    </w:p>
    <w:p>
      <w:pPr>
        <w:ind w:firstLine="560"/>
        <w:jc w:val="left"/>
        <w:spacing w:line="480" w:lineRule="exact"/>
        <w:widowControl/>
        <w:rPr>
          <w:rFonts w:ascii="仿宋" w:hAnsi="仿宋" w:eastAsia="仿宋"/>
          <w:color w:val="auto"/>
          <w:sz w:val="28"/>
          <w:szCs w:val="28"/>
        </w:rPr>
      </w:pPr>
      <w:r>
        <w:rPr>
          <w:rFonts w:hint="eastAsia" w:ascii="仿宋" w:hAnsi="仿宋" w:eastAsia="仿宋"/>
          <w:color w:val="auto"/>
          <w:sz w:val="28"/>
          <w:szCs w:val="28"/>
        </w:rPr>
        <w:t xml:space="preserve">6.质疑供应商为自然人的，质疑函应由本人签字；质疑供应商为法人或者其他组织的，质疑函应由法定代表人、主要负责人，或者其授权代表签字或者盖章，并加盖公章。</w:t>
      </w:r>
      <w:r>
        <w:rPr>
          <w:color w:val="auto"/>
        </w:rPr>
      </w:r>
      <w:r/>
    </w:p>
    <w:p>
      <w:pPr>
        <w:rPr>
          <w:color w:val="auto"/>
          <w:sz w:val="24"/>
          <w:szCs w:val="24"/>
        </w:rPr>
      </w:pPr>
      <w:r>
        <w:rPr>
          <w:color w:val="auto"/>
          <w:sz w:val="24"/>
          <w:szCs w:val="24"/>
        </w:rPr>
      </w:r>
      <w:r>
        <w:rPr>
          <w:color w:val="auto"/>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2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rPr>
        <w:rStyle w:val="1255"/>
      </w:rPr>
      <w:framePr w:wrap="around" w:vAnchor="text" w:hAnchor="margin" w:xAlign="center" w:y="1"/>
    </w:pPr>
    <w:r>
      <w:fldChar w:fldCharType="begin"/>
    </w:r>
    <w:r>
      <w:rPr>
        <w:rStyle w:val="1255"/>
      </w:rPr>
      <w:instrText xml:space="preserve">PAGE  </w:instrText>
    </w:r>
    <w:r>
      <w:fldChar w:fldCharType="separate"/>
    </w:r>
    <w:r>
      <w:rPr>
        <w:rStyle w:val="1255"/>
      </w:rPr>
      <w:t xml:space="preserve">1</w:t>
    </w:r>
    <w:r>
      <w:fldChar w:fldCharType="end"/>
    </w:r>
    <w:r/>
  </w:p>
  <w:p>
    <w:pPr>
      <w:pStyle w:val="12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73</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73</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rFonts w:hint="eastAsia"/>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03"/>
      <w:isLgl w:val="false"/>
      <w:suff w:val="nothing"/>
      <w:lvlText w:val=""/>
      <w:lvlJc w:val="left"/>
      <w:pPr>
        <w:ind w:left="0" w:firstLine="0"/>
      </w:pPr>
      <w:rPr>
        <w:rFonts w:hint="eastAsia"/>
      </w:rPr>
    </w:lvl>
    <w:lvl w:ilvl="6">
      <w:start w:val="1"/>
      <w:numFmt w:val="decimal"/>
      <w:pStyle w:val="1205"/>
      <w:isLgl w:val="false"/>
      <w:suff w:val="nothing"/>
      <w:lvlText w:val=""/>
      <w:lvlJc w:val="left"/>
      <w:pPr>
        <w:ind w:left="0" w:firstLine="0"/>
      </w:pPr>
      <w:rPr>
        <w:rFonts w:hint="eastAsia"/>
      </w:rPr>
    </w:lvl>
    <w:lvl w:ilvl="7">
      <w:start w:val="1"/>
      <w:numFmt w:val="decimal"/>
      <w:pStyle w:val="1207"/>
      <w:isLgl w:val="false"/>
      <w:suff w:val="nothing"/>
      <w:lvlText w:val=""/>
      <w:lvlJc w:val="left"/>
      <w:pPr>
        <w:ind w:left="0" w:firstLine="0"/>
      </w:pPr>
      <w:rPr>
        <w:rFonts w:hint="eastAsia"/>
      </w:rPr>
    </w:lvl>
    <w:lvl w:ilvl="8">
      <w:start w:val="1"/>
      <w:numFmt w:val="decimal"/>
      <w:pStyle w:val="1209"/>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1018"/>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2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8">
    <w:name w:val="Heading 1 Char"/>
    <w:basedOn w:val="969"/>
    <w:link w:val="960"/>
    <w:uiPriority w:val="9"/>
    <w:rPr>
      <w:rFonts w:ascii="Arial" w:hAnsi="Arial" w:eastAsia="Arial" w:cs="Arial"/>
      <w:sz w:val="40"/>
      <w:szCs w:val="40"/>
    </w:rPr>
  </w:style>
  <w:style w:type="character" w:styleId="929">
    <w:name w:val="Heading 2 Char"/>
    <w:basedOn w:val="969"/>
    <w:link w:val="961"/>
    <w:uiPriority w:val="9"/>
    <w:rPr>
      <w:rFonts w:ascii="Arial" w:hAnsi="Arial" w:eastAsia="Arial" w:cs="Arial"/>
      <w:sz w:val="34"/>
    </w:rPr>
  </w:style>
  <w:style w:type="character" w:styleId="930">
    <w:name w:val="Heading 3 Char"/>
    <w:basedOn w:val="969"/>
    <w:link w:val="962"/>
    <w:uiPriority w:val="9"/>
    <w:rPr>
      <w:rFonts w:ascii="Arial" w:hAnsi="Arial" w:eastAsia="Arial" w:cs="Arial"/>
      <w:sz w:val="30"/>
      <w:szCs w:val="30"/>
    </w:rPr>
  </w:style>
  <w:style w:type="character" w:styleId="931">
    <w:name w:val="Heading 4 Char"/>
    <w:basedOn w:val="969"/>
    <w:link w:val="963"/>
    <w:uiPriority w:val="9"/>
    <w:rPr>
      <w:rFonts w:ascii="Arial" w:hAnsi="Arial" w:eastAsia="Arial" w:cs="Arial"/>
      <w:b/>
      <w:bCs/>
      <w:sz w:val="26"/>
      <w:szCs w:val="26"/>
    </w:rPr>
  </w:style>
  <w:style w:type="character" w:styleId="932">
    <w:name w:val="Heading 5 Char"/>
    <w:basedOn w:val="969"/>
    <w:link w:val="964"/>
    <w:uiPriority w:val="9"/>
    <w:rPr>
      <w:rFonts w:ascii="Arial" w:hAnsi="Arial" w:eastAsia="Arial" w:cs="Arial"/>
      <w:b/>
      <w:bCs/>
      <w:sz w:val="24"/>
      <w:szCs w:val="24"/>
    </w:rPr>
  </w:style>
  <w:style w:type="character" w:styleId="933">
    <w:name w:val="Heading 6 Char"/>
    <w:basedOn w:val="969"/>
    <w:link w:val="965"/>
    <w:uiPriority w:val="9"/>
    <w:rPr>
      <w:rFonts w:ascii="Arial" w:hAnsi="Arial" w:eastAsia="Arial" w:cs="Arial"/>
      <w:b/>
      <w:bCs/>
      <w:sz w:val="22"/>
      <w:szCs w:val="22"/>
    </w:rPr>
  </w:style>
  <w:style w:type="character" w:styleId="934">
    <w:name w:val="Heading 7 Char"/>
    <w:basedOn w:val="969"/>
    <w:link w:val="966"/>
    <w:uiPriority w:val="9"/>
    <w:rPr>
      <w:rFonts w:ascii="Arial" w:hAnsi="Arial" w:eastAsia="Arial" w:cs="Arial"/>
      <w:b/>
      <w:bCs/>
      <w:i/>
      <w:iCs/>
      <w:sz w:val="22"/>
      <w:szCs w:val="22"/>
    </w:rPr>
  </w:style>
  <w:style w:type="character" w:styleId="935">
    <w:name w:val="Heading 8 Char"/>
    <w:basedOn w:val="969"/>
    <w:link w:val="967"/>
    <w:uiPriority w:val="9"/>
    <w:rPr>
      <w:rFonts w:ascii="Arial" w:hAnsi="Arial" w:eastAsia="Arial" w:cs="Arial"/>
      <w:i/>
      <w:iCs/>
      <w:sz w:val="22"/>
      <w:szCs w:val="22"/>
    </w:rPr>
  </w:style>
  <w:style w:type="character" w:styleId="936">
    <w:name w:val="Heading 9 Char"/>
    <w:basedOn w:val="969"/>
    <w:link w:val="968"/>
    <w:uiPriority w:val="9"/>
    <w:rPr>
      <w:rFonts w:ascii="Arial" w:hAnsi="Arial" w:eastAsia="Arial" w:cs="Arial"/>
      <w:i/>
      <w:iCs/>
      <w:sz w:val="21"/>
      <w:szCs w:val="21"/>
    </w:rPr>
  </w:style>
  <w:style w:type="character" w:styleId="937">
    <w:name w:val="Quote Char"/>
    <w:link w:val="1066"/>
    <w:uiPriority w:val="29"/>
    <w:rPr>
      <w:i/>
    </w:rPr>
  </w:style>
  <w:style w:type="character" w:styleId="938">
    <w:name w:val="Intense Quote Char"/>
    <w:link w:val="1068"/>
    <w:uiPriority w:val="30"/>
    <w:rPr>
      <w:i/>
    </w:rPr>
  </w:style>
  <w:style w:type="table" w:styleId="939">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9">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8">
    <w:name w:val="TOC Heading"/>
    <w:uiPriority w:val="39"/>
    <w:unhideWhenUsed/>
  </w:style>
  <w:style w:type="paragraph" w:styleId="959" w:default="1">
    <w:name w:val="Normal"/>
    <w:next w:val="971"/>
    <w:uiPriority w:val="0"/>
    <w:qFormat/>
    <w:pPr>
      <w:jc w:val="both"/>
      <w:widowControl w:val="off"/>
    </w:pPr>
    <w:rPr>
      <w:rFonts w:ascii="Times New Roman" w:hAnsi="Times New Roman" w:eastAsia="宋体" w:cs="Times New Roman"/>
      <w:sz w:val="21"/>
      <w:szCs w:val="22"/>
      <w:lang w:val="en-US" w:eastAsia="zh-CN" w:bidi="ar-SA"/>
    </w:rPr>
  </w:style>
  <w:style w:type="paragraph" w:styleId="960">
    <w:name w:val="Heading 1"/>
    <w:basedOn w:val="959"/>
    <w:next w:val="959"/>
    <w:link w:val="1011"/>
    <w:uiPriority w:val="9"/>
    <w:qFormat/>
    <w:pPr>
      <w:keepLines/>
      <w:keepNext/>
      <w:spacing w:before="480" w:after="200"/>
      <w:outlineLvl w:val="0"/>
    </w:pPr>
    <w:rPr>
      <w:rFonts w:ascii="Arial" w:hAnsi="Arial" w:eastAsia="Arial" w:cs="Arial"/>
      <w:sz w:val="40"/>
      <w:szCs w:val="40"/>
    </w:rPr>
  </w:style>
  <w:style w:type="paragraph" w:styleId="961">
    <w:name w:val="Heading 2"/>
    <w:basedOn w:val="959"/>
    <w:next w:val="959"/>
    <w:link w:val="1049"/>
    <w:uiPriority w:val="9"/>
    <w:unhideWhenUsed/>
    <w:qFormat/>
    <w:pPr>
      <w:keepLines/>
      <w:keepNext/>
      <w:spacing w:before="360" w:after="200"/>
      <w:outlineLvl w:val="1"/>
    </w:pPr>
    <w:rPr>
      <w:rFonts w:ascii="Arial" w:hAnsi="Arial" w:eastAsia="Arial" w:cs="Arial"/>
      <w:sz w:val="34"/>
    </w:rPr>
  </w:style>
  <w:style w:type="paragraph" w:styleId="962">
    <w:name w:val="Heading 3"/>
    <w:basedOn w:val="959"/>
    <w:next w:val="959"/>
    <w:link w:val="1050"/>
    <w:uiPriority w:val="9"/>
    <w:unhideWhenUsed/>
    <w:qFormat/>
    <w:pPr>
      <w:keepLines/>
      <w:keepNext/>
      <w:spacing w:before="320" w:after="200"/>
      <w:outlineLvl w:val="2"/>
    </w:pPr>
    <w:rPr>
      <w:rFonts w:ascii="Arial" w:hAnsi="Arial" w:eastAsia="Arial" w:cs="Arial"/>
      <w:sz w:val="30"/>
      <w:szCs w:val="30"/>
    </w:rPr>
  </w:style>
  <w:style w:type="paragraph" w:styleId="963">
    <w:name w:val="Heading 4"/>
    <w:basedOn w:val="959"/>
    <w:next w:val="959"/>
    <w:link w:val="1012"/>
    <w:uiPriority w:val="9"/>
    <w:unhideWhenUsed/>
    <w:qFormat/>
    <w:pPr>
      <w:keepLines/>
      <w:keepNext/>
      <w:spacing w:before="320" w:after="200"/>
      <w:outlineLvl w:val="3"/>
    </w:pPr>
    <w:rPr>
      <w:rFonts w:ascii="Arial" w:hAnsi="Arial" w:eastAsia="Arial" w:cs="Arial"/>
      <w:b/>
      <w:bCs/>
      <w:sz w:val="26"/>
      <w:szCs w:val="26"/>
    </w:rPr>
  </w:style>
  <w:style w:type="paragraph" w:styleId="964">
    <w:name w:val="Heading 5"/>
    <w:basedOn w:val="959"/>
    <w:next w:val="959"/>
    <w:link w:val="1051"/>
    <w:uiPriority w:val="9"/>
    <w:unhideWhenUsed/>
    <w:qFormat/>
    <w:pPr>
      <w:keepLines/>
      <w:keepNext/>
      <w:spacing w:before="320" w:after="200"/>
      <w:outlineLvl w:val="4"/>
    </w:pPr>
    <w:rPr>
      <w:rFonts w:ascii="Arial" w:hAnsi="Arial" w:eastAsia="Arial" w:cs="Arial"/>
      <w:b/>
      <w:bCs/>
      <w:sz w:val="24"/>
      <w:szCs w:val="24"/>
    </w:rPr>
  </w:style>
  <w:style w:type="paragraph" w:styleId="965">
    <w:name w:val="Heading 6"/>
    <w:basedOn w:val="959"/>
    <w:next w:val="959"/>
    <w:link w:val="1052"/>
    <w:uiPriority w:val="9"/>
    <w:unhideWhenUsed/>
    <w:qFormat/>
    <w:pPr>
      <w:keepLines/>
      <w:keepNext/>
      <w:spacing w:before="320" w:after="200"/>
      <w:outlineLvl w:val="5"/>
    </w:pPr>
    <w:rPr>
      <w:rFonts w:ascii="Arial" w:hAnsi="Arial" w:eastAsia="Arial" w:cs="Arial"/>
      <w:b/>
      <w:bCs/>
      <w:sz w:val="22"/>
    </w:rPr>
  </w:style>
  <w:style w:type="paragraph" w:styleId="966">
    <w:name w:val="Heading 7"/>
    <w:basedOn w:val="959"/>
    <w:next w:val="959"/>
    <w:link w:val="1053"/>
    <w:uiPriority w:val="9"/>
    <w:unhideWhenUsed/>
    <w:qFormat/>
    <w:pPr>
      <w:keepLines/>
      <w:keepNext/>
      <w:spacing w:before="320" w:after="200"/>
      <w:outlineLvl w:val="6"/>
    </w:pPr>
    <w:rPr>
      <w:rFonts w:ascii="Arial" w:hAnsi="Arial" w:eastAsia="Arial" w:cs="Arial"/>
      <w:b/>
      <w:bCs/>
      <w:i/>
      <w:iCs/>
      <w:sz w:val="22"/>
    </w:rPr>
  </w:style>
  <w:style w:type="paragraph" w:styleId="967">
    <w:name w:val="Heading 8"/>
    <w:basedOn w:val="959"/>
    <w:next w:val="959"/>
    <w:link w:val="1054"/>
    <w:uiPriority w:val="9"/>
    <w:unhideWhenUsed/>
    <w:qFormat/>
    <w:pPr>
      <w:keepLines/>
      <w:keepNext/>
      <w:spacing w:before="320" w:after="200"/>
      <w:outlineLvl w:val="7"/>
    </w:pPr>
    <w:rPr>
      <w:rFonts w:ascii="Arial" w:hAnsi="Arial" w:eastAsia="Arial" w:cs="Arial"/>
      <w:i/>
      <w:iCs/>
      <w:sz w:val="22"/>
    </w:rPr>
  </w:style>
  <w:style w:type="paragraph" w:styleId="968">
    <w:name w:val="Heading 9"/>
    <w:basedOn w:val="959"/>
    <w:next w:val="959"/>
    <w:link w:val="1055"/>
    <w:uiPriority w:val="9"/>
    <w:unhideWhenUsed/>
    <w:qFormat/>
    <w:pPr>
      <w:keepLines/>
      <w:keepNext/>
      <w:spacing w:before="320" w:after="200"/>
      <w:outlineLvl w:val="8"/>
    </w:pPr>
    <w:rPr>
      <w:rFonts w:ascii="Arial" w:hAnsi="Arial" w:eastAsia="Arial" w:cs="Arial"/>
      <w:i/>
      <w:iCs/>
      <w:szCs w:val="21"/>
    </w:rPr>
  </w:style>
  <w:style w:type="character" w:styleId="969" w:default="1">
    <w:name w:val="Default Paragraph Font"/>
    <w:uiPriority w:val="1"/>
    <w:semiHidden/>
    <w:unhideWhenUsed/>
    <w:qFormat/>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customStyle="1">
    <w:name w:val="正文首行缩进 21"/>
    <w:basedOn w:val="972"/>
    <w:link w:val="1252"/>
    <w:uiPriority w:val="0"/>
    <w:qFormat/>
    <w:pPr>
      <w:ind w:left="0" w:firstLine="420"/>
      <w:spacing w:after="0" w:line="360" w:lineRule="auto"/>
    </w:pPr>
    <w:rPr>
      <w:rFonts w:ascii="宋体" w:hAnsi="宋体"/>
      <w:sz w:val="20"/>
      <w:szCs w:val="20"/>
    </w:rPr>
  </w:style>
  <w:style w:type="paragraph" w:styleId="972" w:customStyle="1">
    <w:name w:val="正文文本缩进1"/>
    <w:basedOn w:val="959"/>
    <w:next w:val="971"/>
    <w:link w:val="1221"/>
    <w:uiPriority w:val="99"/>
    <w:unhideWhenUsed/>
    <w:qFormat/>
    <w:pPr>
      <w:ind w:left="420"/>
      <w:spacing w:after="120"/>
    </w:pPr>
  </w:style>
  <w:style w:type="paragraph" w:styleId="973">
    <w:name w:val="toc 7"/>
    <w:basedOn w:val="959"/>
    <w:next w:val="959"/>
    <w:uiPriority w:val="39"/>
    <w:unhideWhenUsed/>
    <w:qFormat/>
    <w:pPr>
      <w:ind w:left="1701"/>
      <w:spacing w:after="57"/>
    </w:pPr>
  </w:style>
  <w:style w:type="paragraph" w:styleId="974">
    <w:name w:val="Caption"/>
    <w:basedOn w:val="959"/>
    <w:next w:val="9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5">
    <w:name w:val="annotation text"/>
    <w:basedOn w:val="959"/>
    <w:link w:val="1315"/>
    <w:uiPriority w:val="99"/>
    <w:unhideWhenUsed/>
    <w:qFormat/>
    <w:pPr>
      <w:jc w:val="left"/>
    </w:pPr>
  </w:style>
  <w:style w:type="paragraph" w:styleId="976">
    <w:name w:val="Body Text"/>
    <w:basedOn w:val="959"/>
    <w:next w:val="977"/>
    <w:uiPriority w:val="99"/>
    <w:qFormat/>
    <w:rPr>
      <w:rFonts w:ascii="楷体_GB2312" w:hAnsi="Arial" w:eastAsia="楷体_GB2312"/>
      <w:sz w:val="28"/>
      <w:szCs w:val="28"/>
    </w:rPr>
  </w:style>
  <w:style w:type="paragraph" w:styleId="977" w:customStyle="1">
    <w:name w:val="Default"/>
    <w:next w:val="959"/>
    <w:uiPriority w:val="0"/>
    <w:qFormat/>
    <w:pPr>
      <w:widowControl w:val="off"/>
    </w:pPr>
    <w:rPr>
      <w:rFonts w:ascii="宋体" w:hAnsi="宋体" w:eastAsia="宋体" w:cs="宋体"/>
      <w:color w:val="000000"/>
      <w:sz w:val="24"/>
      <w:szCs w:val="24"/>
      <w:lang w:val="en-US" w:eastAsia="zh-CN" w:bidi="ar-SA"/>
    </w:rPr>
  </w:style>
  <w:style w:type="paragraph" w:styleId="978">
    <w:name w:val="Body Text Indent"/>
    <w:basedOn w:val="959"/>
    <w:uiPriority w:val="0"/>
    <w:qFormat/>
    <w:pPr>
      <w:ind w:firstLine="403"/>
      <w:spacing w:line="440" w:lineRule="exact"/>
    </w:pPr>
    <w:rPr>
      <w:rFonts w:ascii="宋体" w:hAnsi="宋体"/>
      <w:sz w:val="20"/>
      <w:szCs w:val="21"/>
    </w:rPr>
  </w:style>
  <w:style w:type="paragraph" w:styleId="979">
    <w:name w:val="index 4"/>
    <w:basedOn w:val="959"/>
    <w:next w:val="959"/>
    <w:uiPriority w:val="0"/>
    <w:qFormat/>
    <w:pPr>
      <w:ind w:left="1260"/>
    </w:pPr>
    <w:rPr>
      <w:szCs w:val="20"/>
    </w:rPr>
  </w:style>
  <w:style w:type="paragraph" w:styleId="980">
    <w:name w:val="toc 5"/>
    <w:basedOn w:val="959"/>
    <w:next w:val="959"/>
    <w:uiPriority w:val="39"/>
    <w:unhideWhenUsed/>
    <w:qFormat/>
    <w:pPr>
      <w:ind w:left="1134"/>
      <w:spacing w:after="57"/>
    </w:pPr>
  </w:style>
  <w:style w:type="paragraph" w:styleId="981">
    <w:name w:val="toc 3"/>
    <w:basedOn w:val="959"/>
    <w:next w:val="959"/>
    <w:uiPriority w:val="39"/>
    <w:unhideWhenUsed/>
    <w:qFormat/>
    <w:pPr>
      <w:ind w:left="567"/>
      <w:spacing w:after="57"/>
    </w:pPr>
  </w:style>
  <w:style w:type="paragraph" w:styleId="982">
    <w:name w:val="Plain Text"/>
    <w:basedOn w:val="959"/>
    <w:uiPriority w:val="0"/>
    <w:qFormat/>
    <w:rPr>
      <w:rFonts w:ascii="宋体" w:hAnsi="Courier New"/>
    </w:rPr>
  </w:style>
  <w:style w:type="paragraph" w:styleId="983">
    <w:name w:val="toc 8"/>
    <w:basedOn w:val="959"/>
    <w:next w:val="959"/>
    <w:uiPriority w:val="39"/>
    <w:unhideWhenUsed/>
    <w:qFormat/>
    <w:pPr>
      <w:ind w:left="1984"/>
      <w:spacing w:after="57"/>
    </w:pPr>
  </w:style>
  <w:style w:type="paragraph" w:styleId="984">
    <w:name w:val="endnote text"/>
    <w:basedOn w:val="959"/>
    <w:uiPriority w:val="99"/>
    <w:semiHidden/>
    <w:unhideWhenUsed/>
    <w:qFormat/>
    <w:rPr>
      <w:sz w:val="20"/>
    </w:rPr>
  </w:style>
  <w:style w:type="paragraph" w:styleId="985">
    <w:name w:val="Footer"/>
    <w:basedOn w:val="959"/>
    <w:uiPriority w:val="99"/>
    <w:unhideWhenUsed/>
    <w:qFormat/>
    <w:pPr>
      <w:tabs>
        <w:tab w:val="center" w:pos="7143" w:leader="none"/>
        <w:tab w:val="right" w:pos="14287" w:leader="none"/>
      </w:tabs>
    </w:pPr>
  </w:style>
  <w:style w:type="paragraph" w:styleId="986">
    <w:name w:val="Header"/>
    <w:basedOn w:val="959"/>
    <w:uiPriority w:val="99"/>
    <w:unhideWhenUsed/>
    <w:qFormat/>
    <w:pPr>
      <w:tabs>
        <w:tab w:val="center" w:pos="7143" w:leader="none"/>
        <w:tab w:val="right" w:pos="14287" w:leader="none"/>
      </w:tabs>
    </w:pPr>
  </w:style>
  <w:style w:type="paragraph" w:styleId="987">
    <w:name w:val="toc 1"/>
    <w:basedOn w:val="959"/>
    <w:next w:val="959"/>
    <w:uiPriority w:val="39"/>
    <w:unhideWhenUsed/>
    <w:qFormat/>
    <w:pPr>
      <w:spacing w:after="57"/>
    </w:pPr>
  </w:style>
  <w:style w:type="paragraph" w:styleId="988">
    <w:name w:val="toc 4"/>
    <w:basedOn w:val="959"/>
    <w:next w:val="959"/>
    <w:uiPriority w:val="39"/>
    <w:unhideWhenUsed/>
    <w:qFormat/>
    <w:pPr>
      <w:ind w:left="850"/>
      <w:spacing w:after="57"/>
    </w:pPr>
  </w:style>
  <w:style w:type="paragraph" w:styleId="989">
    <w:name w:val="Subtitle"/>
    <w:basedOn w:val="959"/>
    <w:next w:val="959"/>
    <w:uiPriority w:val="11"/>
    <w:qFormat/>
    <w:pPr>
      <w:spacing w:before="200" w:after="200"/>
    </w:pPr>
    <w:rPr>
      <w:sz w:val="24"/>
      <w:szCs w:val="24"/>
    </w:rPr>
  </w:style>
  <w:style w:type="paragraph" w:styleId="990">
    <w:name w:val="footnote text"/>
    <w:basedOn w:val="959"/>
    <w:uiPriority w:val="99"/>
    <w:semiHidden/>
    <w:unhideWhenUsed/>
    <w:qFormat/>
    <w:pPr>
      <w:spacing w:after="40"/>
    </w:pPr>
    <w:rPr>
      <w:sz w:val="18"/>
    </w:rPr>
  </w:style>
  <w:style w:type="paragraph" w:styleId="991">
    <w:name w:val="toc 6"/>
    <w:basedOn w:val="959"/>
    <w:next w:val="959"/>
    <w:uiPriority w:val="39"/>
    <w:unhideWhenUsed/>
    <w:qFormat/>
    <w:pPr>
      <w:ind w:left="1417"/>
      <w:spacing w:after="57"/>
    </w:pPr>
  </w:style>
  <w:style w:type="paragraph" w:styleId="992">
    <w:name w:val="table of figures"/>
    <w:basedOn w:val="959"/>
    <w:next w:val="959"/>
    <w:uiPriority w:val="99"/>
    <w:unhideWhenUsed/>
    <w:qFormat/>
  </w:style>
  <w:style w:type="paragraph" w:styleId="993">
    <w:name w:val="toc 2"/>
    <w:basedOn w:val="959"/>
    <w:next w:val="959"/>
    <w:uiPriority w:val="39"/>
    <w:unhideWhenUsed/>
    <w:qFormat/>
    <w:pPr>
      <w:ind w:left="283"/>
      <w:spacing w:after="57"/>
    </w:pPr>
  </w:style>
  <w:style w:type="paragraph" w:styleId="994">
    <w:name w:val="toc 9"/>
    <w:basedOn w:val="959"/>
    <w:next w:val="959"/>
    <w:uiPriority w:val="39"/>
    <w:unhideWhenUsed/>
    <w:qFormat/>
    <w:pPr>
      <w:ind w:left="2268"/>
      <w:spacing w:after="57"/>
    </w:pPr>
  </w:style>
  <w:style w:type="paragraph" w:styleId="995">
    <w:name w:val="Normal (Web)"/>
    <w:basedOn w:val="959"/>
    <w:uiPriority w:val="0"/>
    <w:qFormat/>
    <w:pPr>
      <w:jc w:val="left"/>
      <w:spacing w:beforeAutospacing="1" w:afterAutospacing="1"/>
    </w:pPr>
    <w:rPr>
      <w:sz w:val="24"/>
    </w:rPr>
  </w:style>
  <w:style w:type="paragraph" w:styleId="996">
    <w:name w:val="Title"/>
    <w:basedOn w:val="959"/>
    <w:next w:val="959"/>
    <w:uiPriority w:val="10"/>
    <w:qFormat/>
    <w:pPr>
      <w:contextualSpacing/>
      <w:spacing w:before="300" w:after="200"/>
    </w:pPr>
    <w:rPr>
      <w:sz w:val="48"/>
      <w:szCs w:val="48"/>
    </w:rPr>
  </w:style>
  <w:style w:type="paragraph" w:styleId="997">
    <w:name w:val="annotation subject"/>
    <w:basedOn w:val="975"/>
    <w:next w:val="975"/>
    <w:link w:val="1316"/>
    <w:uiPriority w:val="99"/>
    <w:semiHidden/>
    <w:unhideWhenUsed/>
    <w:qFormat/>
    <w:rPr>
      <w:b/>
      <w:bCs/>
    </w:rPr>
  </w:style>
  <w:style w:type="paragraph" w:styleId="998">
    <w:name w:val="Body Text First Indent 2"/>
    <w:basedOn w:val="978"/>
    <w:uiPriority w:val="99"/>
    <w:semiHidden/>
    <w:unhideWhenUsed/>
    <w:qFormat/>
    <w:pPr>
      <w:ind w:firstLine="420"/>
    </w:pPr>
  </w:style>
  <w:style w:type="table" w:styleId="9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basedOn w:val="969"/>
    <w:uiPriority w:val="22"/>
    <w:qFormat/>
    <w:rPr>
      <w:b/>
    </w:rPr>
  </w:style>
  <w:style w:type="character" w:styleId="1001">
    <w:name w:val="endnote reference"/>
    <w:uiPriority w:val="99"/>
    <w:semiHidden/>
    <w:unhideWhenUsed/>
    <w:qFormat/>
    <w:rPr>
      <w:vertAlign w:val="superscript"/>
    </w:rPr>
  </w:style>
  <w:style w:type="character" w:styleId="1002">
    <w:name w:val="Emphasis"/>
    <w:uiPriority w:val="0"/>
    <w:qFormat/>
    <w:rPr>
      <w:i/>
    </w:rPr>
  </w:style>
  <w:style w:type="character" w:styleId="1003">
    <w:name w:val="Hyperlink"/>
    <w:uiPriority w:val="99"/>
    <w:unhideWhenUsed/>
    <w:qFormat/>
    <w:rPr>
      <w:color w:val="0000ff" w:themeColor="hyperlink"/>
      <w:u w:val="single"/>
      <w14:textFill>
        <w14:solidFill>
          <w14:schemeClr w14:val="hlink"/>
        </w14:solidFill>
      </w14:textFill>
    </w:rPr>
  </w:style>
  <w:style w:type="character" w:styleId="1004">
    <w:name w:val="annotation reference"/>
    <w:basedOn w:val="969"/>
    <w:uiPriority w:val="99"/>
    <w:semiHidden/>
    <w:unhideWhenUsed/>
    <w:qFormat/>
    <w:rPr>
      <w:sz w:val="21"/>
      <w:szCs w:val="21"/>
    </w:rPr>
  </w:style>
  <w:style w:type="character" w:styleId="1005">
    <w:name w:val="footnote reference"/>
    <w:uiPriority w:val="99"/>
    <w:unhideWhenUsed/>
    <w:qFormat/>
    <w:rPr>
      <w:vertAlign w:val="superscript"/>
    </w:rPr>
  </w:style>
  <w:style w:type="character" w:styleId="1006" w:customStyle="1">
    <w:name w:val="标题 3 字符"/>
    <w:link w:val="1007"/>
    <w:uiPriority w:val="0"/>
    <w:qFormat/>
    <w:rPr>
      <w:rFonts w:ascii="Times New Roman" w:hAnsi="Times New Roman" w:eastAsia="宋体" w:cs="Times New Roman"/>
      <w:b/>
      <w:bCs/>
      <w:sz w:val="32"/>
      <w:szCs w:val="32"/>
    </w:rPr>
  </w:style>
  <w:style w:type="paragraph" w:styleId="1007" w:customStyle="1">
    <w:name w:val="标题 31"/>
    <w:basedOn w:val="959"/>
    <w:next w:val="1008"/>
    <w:link w:val="1006"/>
    <w:uiPriority w:val="0"/>
    <w:qFormat/>
    <w:pPr>
      <w:keepLines/>
      <w:keepNext/>
      <w:spacing w:before="260" w:after="260" w:line="416" w:lineRule="auto"/>
      <w:outlineLvl w:val="2"/>
    </w:pPr>
    <w:rPr>
      <w:b/>
      <w:bCs/>
      <w:sz w:val="32"/>
      <w:szCs w:val="32"/>
    </w:rPr>
  </w:style>
  <w:style w:type="paragraph" w:styleId="1008" w:customStyle="1">
    <w:name w:val="正文缩进1"/>
    <w:basedOn w:val="959"/>
    <w:link w:val="1198"/>
    <w:uiPriority w:val="0"/>
    <w:qFormat/>
    <w:pPr>
      <w:ind w:firstLine="420"/>
    </w:pPr>
    <w:rPr>
      <w:sz w:val="20"/>
      <w:szCs w:val="21"/>
    </w:rPr>
  </w:style>
  <w:style w:type="character" w:styleId="1009" w:customStyle="1">
    <w:name w:val="标题 2 字符"/>
    <w:link w:val="1010"/>
    <w:uiPriority w:val="0"/>
    <w:qFormat/>
    <w:rPr>
      <w:rFonts w:ascii="Arial" w:hAnsi="Arial" w:eastAsia="幼圆" w:cs="Arial"/>
      <w:b/>
      <w:bCs/>
      <w:sz w:val="44"/>
      <w:szCs w:val="44"/>
    </w:rPr>
  </w:style>
  <w:style w:type="paragraph" w:styleId="1010" w:customStyle="1">
    <w:name w:val="标题 21"/>
    <w:basedOn w:val="959"/>
    <w:next w:val="1008"/>
    <w:link w:val="1009"/>
    <w:uiPriority w:val="0"/>
    <w:qFormat/>
    <w:pPr>
      <w:jc w:val="center"/>
      <w:keepLines/>
      <w:keepNext/>
      <w:spacing w:before="260" w:after="260" w:line="416" w:lineRule="auto"/>
      <w:outlineLvl w:val="1"/>
    </w:pPr>
    <w:rPr>
      <w:rFonts w:ascii="Arial" w:hAnsi="Arial" w:eastAsia="幼圆"/>
      <w:b/>
      <w:bCs/>
      <w:sz w:val="44"/>
      <w:szCs w:val="44"/>
    </w:rPr>
  </w:style>
  <w:style w:type="character" w:styleId="1011" w:customStyle="1">
    <w:name w:val="标题 1 字符1"/>
    <w:link w:val="960"/>
    <w:uiPriority w:val="9"/>
    <w:qFormat/>
    <w:rPr>
      <w:rFonts w:ascii="Arial" w:hAnsi="Arial" w:eastAsia="Arial" w:cs="Arial"/>
      <w:sz w:val="40"/>
      <w:szCs w:val="40"/>
    </w:rPr>
  </w:style>
  <w:style w:type="character" w:styleId="1012" w:customStyle="1">
    <w:name w:val="标题 4 字符1"/>
    <w:link w:val="963"/>
    <w:uiPriority w:val="9"/>
    <w:qFormat/>
    <w:rPr>
      <w:rFonts w:ascii="Arial" w:hAnsi="Arial" w:eastAsia="Arial" w:cs="Arial"/>
      <w:b/>
      <w:bCs/>
      <w:sz w:val="26"/>
      <w:szCs w:val="26"/>
    </w:rPr>
  </w:style>
  <w:style w:type="paragraph" w:styleId="1013" w:customStyle="1">
    <w:name w:val="正文文本缩进11"/>
    <w:basedOn w:val="959"/>
    <w:next w:val="1014"/>
    <w:uiPriority w:val="0"/>
    <w:qFormat/>
    <w:pPr>
      <w:ind w:left="570"/>
      <w:spacing w:line="520" w:lineRule="exact"/>
    </w:pPr>
    <w:rPr>
      <w:rFonts w:hint="eastAsia" w:ascii="楷体_GB2312"/>
    </w:rPr>
  </w:style>
  <w:style w:type="paragraph" w:styleId="1014" w:customStyle="1">
    <w:name w:val="寄信人地址1"/>
    <w:basedOn w:val="959"/>
    <w:uiPriority w:val="99"/>
    <w:unhideWhenUsed/>
    <w:qFormat/>
    <w:rPr>
      <w:rFonts w:ascii="Arial" w:hAnsi="Arial"/>
    </w:rPr>
  </w:style>
  <w:style w:type="paragraph" w:styleId="1015" w:customStyle="1">
    <w:name w:val="正文文本缩进 31"/>
    <w:basedOn w:val="959"/>
    <w:link w:val="1242"/>
    <w:uiPriority w:val="0"/>
    <w:qFormat/>
    <w:pPr>
      <w:ind w:left="645" w:firstLine="645"/>
    </w:pPr>
    <w:rPr>
      <w:rFonts w:ascii="Arial" w:hAnsi="Arial" w:eastAsia="仿宋_GB2312"/>
      <w:color w:val="ffff00"/>
      <w:sz w:val="32"/>
      <w:szCs w:val="32"/>
    </w:rPr>
  </w:style>
  <w:style w:type="paragraph" w:styleId="1016" w:customStyle="1">
    <w:name w:val="正文首行缩进11"/>
    <w:basedOn w:val="1017"/>
    <w:link w:val="1048"/>
    <w:uiPriority w:val="0"/>
    <w:qFormat/>
    <w:pPr>
      <w:ind w:firstLine="200"/>
      <w:spacing w:line="360" w:lineRule="auto"/>
    </w:pPr>
    <w:rPr>
      <w:rFonts w:ascii="仿宋_GB2312" w:hAnsi="Times New Roman" w:eastAsia="仿宋_GB2312"/>
      <w:sz w:val="30"/>
      <w:szCs w:val="30"/>
    </w:rPr>
  </w:style>
  <w:style w:type="paragraph" w:styleId="1017" w:customStyle="1">
    <w:name w:val="正文文本1"/>
    <w:basedOn w:val="959"/>
    <w:next w:val="959"/>
    <w:uiPriority w:val="0"/>
    <w:qFormat/>
    <w:rPr>
      <w:rFonts w:ascii="楷体_GB2312" w:hAnsi="Arial" w:eastAsia="楷体_GB2312"/>
      <w:sz w:val="28"/>
      <w:szCs w:val="28"/>
      <w:lang w:eastAsia="en-US"/>
    </w:rPr>
  </w:style>
  <w:style w:type="paragraph" w:styleId="1018" w:customStyle="1">
    <w:name w:val="标题 111"/>
    <w:basedOn w:val="959"/>
    <w:next w:val="959"/>
    <w:uiPriority w:val="0"/>
    <w:qFormat/>
    <w:pPr>
      <w:numPr>
        <w:ilvl w:val="0"/>
        <w:numId w:val="1"/>
      </w:numPr>
      <w:jc w:val="left"/>
      <w:keepLines/>
      <w:keepNext/>
      <w:outlineLvl w:val="0"/>
    </w:pPr>
    <w:rPr>
      <w:b/>
      <w:bCs/>
      <w:sz w:val="32"/>
      <w:szCs w:val="32"/>
    </w:rPr>
  </w:style>
  <w:style w:type="character" w:styleId="1019" w:customStyle="1">
    <w:name w:val="默认段落字体11"/>
    <w:uiPriority w:val="1"/>
    <w:unhideWhenUsed/>
    <w:qFormat/>
  </w:style>
  <w:style w:type="table" w:styleId="1020" w:customStyle="1">
    <w:name w:val="普通表格11"/>
    <w:uiPriority w:val="99"/>
    <w:unhideWhenUsed/>
    <w:qFormat/>
    <w:tblPr>
      <w:tblCellMar>
        <w:left w:w="0" w:type="dxa"/>
        <w:top w:w="0" w:type="dxa"/>
        <w:right w:w="0" w:type="dxa"/>
        <w:bottom w:w="0" w:type="dxa"/>
      </w:tblCellMar>
    </w:tblPr>
  </w:style>
  <w:style w:type="paragraph" w:styleId="1021" w:customStyle="1">
    <w:name w:val="目录 711"/>
    <w:basedOn w:val="959"/>
    <w:next w:val="959"/>
    <w:uiPriority w:val="39"/>
    <w:unhideWhenUsed/>
    <w:qFormat/>
    <w:pPr>
      <w:ind w:left="1701"/>
      <w:spacing w:after="57"/>
    </w:pPr>
  </w:style>
  <w:style w:type="paragraph" w:styleId="1022" w:customStyle="1">
    <w:name w:val="正文文本1111"/>
    <w:basedOn w:val="959"/>
    <w:next w:val="959"/>
    <w:uiPriority w:val="0"/>
    <w:qFormat/>
    <w:rPr>
      <w:rFonts w:ascii="楷体_GB2312" w:hAnsi="Arial" w:eastAsia="楷体_GB2312"/>
      <w:sz w:val="28"/>
      <w:szCs w:val="28"/>
    </w:rPr>
  </w:style>
  <w:style w:type="paragraph" w:styleId="1023" w:customStyle="1">
    <w:name w:val="目录 511"/>
    <w:basedOn w:val="959"/>
    <w:next w:val="959"/>
    <w:uiPriority w:val="39"/>
    <w:unhideWhenUsed/>
    <w:qFormat/>
    <w:pPr>
      <w:ind w:left="1134"/>
      <w:spacing w:after="57"/>
    </w:pPr>
  </w:style>
  <w:style w:type="paragraph" w:styleId="1024" w:customStyle="1">
    <w:name w:val="目录 311"/>
    <w:basedOn w:val="959"/>
    <w:next w:val="959"/>
    <w:uiPriority w:val="39"/>
    <w:unhideWhenUsed/>
    <w:qFormat/>
    <w:pPr>
      <w:ind w:left="567"/>
      <w:spacing w:after="57"/>
    </w:pPr>
  </w:style>
  <w:style w:type="paragraph" w:styleId="1025" w:customStyle="1">
    <w:name w:val="纯文本11"/>
    <w:basedOn w:val="959"/>
    <w:uiPriority w:val="0"/>
    <w:qFormat/>
    <w:rPr>
      <w:rFonts w:ascii="宋体" w:hAnsi="Courier New"/>
    </w:rPr>
  </w:style>
  <w:style w:type="paragraph" w:styleId="1026" w:customStyle="1">
    <w:name w:val="目录 811"/>
    <w:basedOn w:val="959"/>
    <w:next w:val="959"/>
    <w:uiPriority w:val="39"/>
    <w:unhideWhenUsed/>
    <w:qFormat/>
    <w:pPr>
      <w:ind w:left="1984"/>
      <w:spacing w:after="57"/>
    </w:pPr>
  </w:style>
  <w:style w:type="paragraph" w:styleId="1027" w:customStyle="1">
    <w:name w:val="正文文本缩进 211"/>
    <w:basedOn w:val="959"/>
    <w:uiPriority w:val="0"/>
    <w:qFormat/>
    <w:pPr>
      <w:ind w:firstLine="502"/>
      <w:spacing w:line="360" w:lineRule="auto"/>
      <w:tabs>
        <w:tab w:val="left" w:pos="0" w:leader="none"/>
      </w:tabs>
    </w:pPr>
    <w:rPr>
      <w:rFonts w:ascii="宋体"/>
      <w:b/>
      <w:bCs/>
      <w:sz w:val="24"/>
    </w:rPr>
  </w:style>
  <w:style w:type="paragraph" w:styleId="1028" w:customStyle="1">
    <w:name w:val="尾注文本1"/>
    <w:basedOn w:val="959"/>
    <w:link w:val="1029"/>
    <w:uiPriority w:val="99"/>
    <w:unhideWhenUsed/>
    <w:qFormat/>
    <w:rPr>
      <w:sz w:val="20"/>
    </w:rPr>
  </w:style>
  <w:style w:type="character" w:styleId="1029" w:customStyle="1">
    <w:name w:val="Endnote Text Char"/>
    <w:link w:val="1028"/>
    <w:uiPriority w:val="99"/>
    <w:qFormat/>
    <w:rPr>
      <w:sz w:val="20"/>
    </w:rPr>
  </w:style>
  <w:style w:type="paragraph" w:styleId="1030" w:customStyle="1">
    <w:name w:val="目录 111"/>
    <w:basedOn w:val="959"/>
    <w:next w:val="959"/>
    <w:uiPriority w:val="39"/>
    <w:unhideWhenUsed/>
    <w:qFormat/>
    <w:pPr>
      <w:spacing w:after="57"/>
    </w:pPr>
  </w:style>
  <w:style w:type="paragraph" w:styleId="1031" w:customStyle="1">
    <w:name w:val="目录 411"/>
    <w:basedOn w:val="959"/>
    <w:next w:val="959"/>
    <w:uiPriority w:val="39"/>
    <w:unhideWhenUsed/>
    <w:qFormat/>
    <w:pPr>
      <w:ind w:left="850"/>
      <w:spacing w:after="57"/>
    </w:pPr>
  </w:style>
  <w:style w:type="paragraph" w:styleId="1032" w:customStyle="1">
    <w:name w:val="副标题1"/>
    <w:basedOn w:val="959"/>
    <w:next w:val="959"/>
    <w:link w:val="1033"/>
    <w:uiPriority w:val="11"/>
    <w:qFormat/>
    <w:pPr>
      <w:spacing w:before="200" w:after="200"/>
    </w:pPr>
    <w:rPr>
      <w:sz w:val="24"/>
      <w:szCs w:val="24"/>
    </w:rPr>
  </w:style>
  <w:style w:type="character" w:styleId="1033" w:customStyle="1">
    <w:name w:val="Subtitle Char"/>
    <w:link w:val="1032"/>
    <w:uiPriority w:val="11"/>
    <w:qFormat/>
    <w:rPr>
      <w:sz w:val="24"/>
      <w:szCs w:val="24"/>
    </w:rPr>
  </w:style>
  <w:style w:type="paragraph" w:styleId="1034" w:customStyle="1">
    <w:name w:val="脚注文本1"/>
    <w:basedOn w:val="959"/>
    <w:link w:val="1035"/>
    <w:uiPriority w:val="99"/>
    <w:unhideWhenUsed/>
    <w:qFormat/>
    <w:pPr>
      <w:spacing w:after="40"/>
    </w:pPr>
    <w:rPr>
      <w:sz w:val="18"/>
    </w:rPr>
  </w:style>
  <w:style w:type="character" w:styleId="1035" w:customStyle="1">
    <w:name w:val="Footnote Text Char"/>
    <w:link w:val="1034"/>
    <w:uiPriority w:val="99"/>
    <w:qFormat/>
    <w:rPr>
      <w:sz w:val="18"/>
    </w:rPr>
  </w:style>
  <w:style w:type="paragraph" w:styleId="1036" w:customStyle="1">
    <w:name w:val="目录 611"/>
    <w:basedOn w:val="959"/>
    <w:next w:val="959"/>
    <w:uiPriority w:val="39"/>
    <w:unhideWhenUsed/>
    <w:qFormat/>
    <w:pPr>
      <w:ind w:left="1417"/>
      <w:spacing w:after="57"/>
    </w:pPr>
  </w:style>
  <w:style w:type="paragraph" w:styleId="1037" w:customStyle="1">
    <w:name w:val="图表目录11"/>
    <w:basedOn w:val="959"/>
    <w:next w:val="959"/>
    <w:uiPriority w:val="99"/>
    <w:unhideWhenUsed/>
    <w:qFormat/>
  </w:style>
  <w:style w:type="paragraph" w:styleId="1038" w:customStyle="1">
    <w:name w:val="目录 211"/>
    <w:basedOn w:val="959"/>
    <w:next w:val="959"/>
    <w:uiPriority w:val="39"/>
    <w:unhideWhenUsed/>
    <w:qFormat/>
    <w:pPr>
      <w:ind w:left="283"/>
      <w:spacing w:after="57"/>
    </w:pPr>
  </w:style>
  <w:style w:type="paragraph" w:styleId="1039" w:customStyle="1">
    <w:name w:val="目录 911"/>
    <w:basedOn w:val="959"/>
    <w:next w:val="959"/>
    <w:uiPriority w:val="39"/>
    <w:unhideWhenUsed/>
    <w:qFormat/>
    <w:pPr>
      <w:ind w:left="2268"/>
      <w:spacing w:after="57"/>
    </w:pPr>
  </w:style>
  <w:style w:type="paragraph" w:styleId="1040" w:customStyle="1">
    <w:name w:val="普通(网站)11"/>
    <w:basedOn w:val="959"/>
    <w:uiPriority w:val="0"/>
    <w:qFormat/>
    <w:pPr>
      <w:jc w:val="left"/>
      <w:spacing w:before="100" w:beforeAutospacing="1" w:after="100" w:afterAutospacing="1" w:line="360" w:lineRule="auto"/>
      <w:widowControl/>
    </w:pPr>
    <w:rPr>
      <w:rFonts w:hint="eastAsia" w:ascii="宋体" w:hAnsi="宋体"/>
      <w:sz w:val="18"/>
      <w:szCs w:val="18"/>
    </w:rPr>
  </w:style>
  <w:style w:type="paragraph" w:styleId="1041" w:customStyle="1">
    <w:name w:val="标题11"/>
    <w:basedOn w:val="959"/>
    <w:next w:val="959"/>
    <w:link w:val="1042"/>
    <w:uiPriority w:val="10"/>
    <w:qFormat/>
    <w:pPr>
      <w:contextualSpacing/>
      <w:spacing w:before="300" w:after="200"/>
    </w:pPr>
    <w:rPr>
      <w:sz w:val="48"/>
      <w:szCs w:val="48"/>
    </w:rPr>
  </w:style>
  <w:style w:type="character" w:styleId="1042" w:customStyle="1">
    <w:name w:val="Title Char"/>
    <w:link w:val="1041"/>
    <w:uiPriority w:val="10"/>
    <w:qFormat/>
    <w:rPr>
      <w:sz w:val="48"/>
      <w:szCs w:val="48"/>
    </w:rPr>
  </w:style>
  <w:style w:type="paragraph" w:styleId="1043" w:customStyle="1">
    <w:name w:val="正文首行缩进121"/>
    <w:basedOn w:val="1022"/>
    <w:uiPriority w:val="0"/>
    <w:qFormat/>
    <w:pPr>
      <w:ind w:firstLine="200"/>
      <w:spacing w:line="360" w:lineRule="auto"/>
    </w:pPr>
    <w:rPr>
      <w:rFonts w:ascii="仿宋_GB2312" w:hAnsi="Times New Roman" w:eastAsia="仿宋_GB2312"/>
      <w:sz w:val="30"/>
      <w:szCs w:val="30"/>
    </w:rPr>
  </w:style>
  <w:style w:type="table" w:styleId="1044" w:customStyle="1">
    <w:name w:val="网格型11"/>
    <w:uiPriority w:val="59"/>
    <w:qFormat/>
    <w:tblPr>
      <w:tblCellMar>
        <w:left w:w="0" w:type="dxa"/>
        <w:top w:w="0" w:type="dxa"/>
        <w:right w:w="0" w:type="dxa"/>
        <w:bottom w:w="0" w:type="dxa"/>
      </w:tblCellMar>
    </w:tblPr>
  </w:style>
  <w:style w:type="character" w:styleId="1045" w:customStyle="1">
    <w:name w:val="尾注引用1"/>
    <w:uiPriority w:val="99"/>
    <w:unhideWhenUsed/>
    <w:qFormat/>
    <w:rPr>
      <w:vertAlign w:val="superscript"/>
    </w:rPr>
  </w:style>
  <w:style w:type="character" w:styleId="1046" w:customStyle="1">
    <w:name w:val="超链接12"/>
    <w:basedOn w:val="1019"/>
    <w:uiPriority w:val="99"/>
    <w:unhideWhenUsed/>
    <w:qFormat/>
    <w:rPr>
      <w:color w:val="0000ff"/>
      <w:u w:val="single"/>
    </w:rPr>
  </w:style>
  <w:style w:type="character" w:styleId="1047" w:customStyle="1">
    <w:name w:val="脚注引用1"/>
    <w:uiPriority w:val="99"/>
    <w:unhideWhenUsed/>
    <w:qFormat/>
    <w:rPr>
      <w:vertAlign w:val="superscript"/>
    </w:rPr>
  </w:style>
  <w:style w:type="character" w:styleId="1048" w:customStyle="1">
    <w:name w:val="正文首行缩进 字符"/>
    <w:link w:val="1016"/>
    <w:uiPriority w:val="0"/>
    <w:qFormat/>
    <w:rPr>
      <w:rFonts w:ascii="仿宋_GB2312" w:hAnsi="Times New Roman" w:eastAsia="仿宋_GB2312" w:cs="Times New Roman"/>
      <w:sz w:val="30"/>
      <w:szCs w:val="30"/>
    </w:rPr>
  </w:style>
  <w:style w:type="character" w:styleId="1049" w:customStyle="1">
    <w:name w:val="标题 2 字符1"/>
    <w:link w:val="961"/>
    <w:uiPriority w:val="9"/>
    <w:qFormat/>
    <w:rPr>
      <w:rFonts w:ascii="Arial" w:hAnsi="Arial" w:eastAsia="Arial" w:cs="Arial"/>
      <w:sz w:val="34"/>
    </w:rPr>
  </w:style>
  <w:style w:type="character" w:styleId="1050" w:customStyle="1">
    <w:name w:val="标题 3 字符1"/>
    <w:link w:val="962"/>
    <w:uiPriority w:val="9"/>
    <w:qFormat/>
    <w:rPr>
      <w:rFonts w:ascii="Arial" w:hAnsi="Arial" w:eastAsia="Arial" w:cs="Arial"/>
      <w:sz w:val="30"/>
      <w:szCs w:val="30"/>
    </w:rPr>
  </w:style>
  <w:style w:type="character" w:styleId="1051" w:customStyle="1">
    <w:name w:val="标题 5 字符1"/>
    <w:link w:val="964"/>
    <w:uiPriority w:val="9"/>
    <w:qFormat/>
    <w:rPr>
      <w:rFonts w:ascii="Arial" w:hAnsi="Arial" w:eastAsia="Arial" w:cs="Arial"/>
      <w:b/>
      <w:bCs/>
      <w:sz w:val="24"/>
      <w:szCs w:val="24"/>
    </w:rPr>
  </w:style>
  <w:style w:type="character" w:styleId="1052" w:customStyle="1">
    <w:name w:val="标题 6 字符1"/>
    <w:link w:val="965"/>
    <w:uiPriority w:val="9"/>
    <w:qFormat/>
    <w:rPr>
      <w:rFonts w:ascii="Arial" w:hAnsi="Arial" w:eastAsia="Arial" w:cs="Arial"/>
      <w:b/>
      <w:bCs/>
      <w:sz w:val="22"/>
      <w:szCs w:val="22"/>
    </w:rPr>
  </w:style>
  <w:style w:type="character" w:styleId="1053" w:customStyle="1">
    <w:name w:val="标题 7 字符1"/>
    <w:link w:val="966"/>
    <w:uiPriority w:val="9"/>
    <w:qFormat/>
    <w:rPr>
      <w:rFonts w:ascii="Arial" w:hAnsi="Arial" w:eastAsia="Arial" w:cs="Arial"/>
      <w:b/>
      <w:bCs/>
      <w:i/>
      <w:iCs/>
      <w:sz w:val="22"/>
      <w:szCs w:val="22"/>
    </w:rPr>
  </w:style>
  <w:style w:type="character" w:styleId="1054" w:customStyle="1">
    <w:name w:val="标题 8 字符1"/>
    <w:link w:val="967"/>
    <w:uiPriority w:val="9"/>
    <w:qFormat/>
    <w:rPr>
      <w:rFonts w:ascii="Arial" w:hAnsi="Arial" w:eastAsia="Arial" w:cs="Arial"/>
      <w:i/>
      <w:iCs/>
      <w:sz w:val="22"/>
      <w:szCs w:val="22"/>
    </w:rPr>
  </w:style>
  <w:style w:type="character" w:styleId="1055" w:customStyle="1">
    <w:name w:val="标题 9 字符1"/>
    <w:link w:val="968"/>
    <w:uiPriority w:val="9"/>
    <w:qFormat/>
    <w:rPr>
      <w:rFonts w:ascii="Arial" w:hAnsi="Arial" w:eastAsia="Arial" w:cs="Arial"/>
      <w:i/>
      <w:iCs/>
      <w:sz w:val="21"/>
      <w:szCs w:val="21"/>
    </w:rPr>
  </w:style>
  <w:style w:type="paragraph" w:styleId="1056" w:customStyle="1">
    <w:name w:val="Caption1"/>
    <w:basedOn w:val="959"/>
    <w:next w:val="959"/>
    <w:uiPriority w:val="35"/>
    <w:unhideWhenUsed/>
    <w:qFormat/>
    <w:pPr>
      <w:spacing w:line="276" w:lineRule="auto"/>
    </w:pPr>
    <w:rPr>
      <w:b/>
      <w:bCs/>
      <w:color w:val="4f81bd"/>
      <w:sz w:val="18"/>
      <w:szCs w:val="18"/>
    </w:rPr>
  </w:style>
  <w:style w:type="paragraph" w:styleId="1057" w:customStyle="1">
    <w:name w:val="Footer1"/>
    <w:basedOn w:val="959"/>
    <w:link w:val="1059"/>
    <w:uiPriority w:val="99"/>
    <w:unhideWhenUsed/>
    <w:qFormat/>
    <w:pPr>
      <w:tabs>
        <w:tab w:val="center" w:pos="7143" w:leader="none"/>
        <w:tab w:val="right" w:pos="14287" w:leader="none"/>
      </w:tabs>
    </w:pPr>
  </w:style>
  <w:style w:type="character" w:styleId="1058" w:customStyle="1">
    <w:name w:val="Footer Char"/>
    <w:uiPriority w:val="99"/>
    <w:qFormat/>
  </w:style>
  <w:style w:type="character" w:styleId="1059" w:customStyle="1">
    <w:name w:val="Caption Char"/>
    <w:link w:val="1057"/>
    <w:uiPriority w:val="99"/>
    <w:qFormat/>
  </w:style>
  <w:style w:type="paragraph" w:styleId="1060" w:customStyle="1">
    <w:name w:val="Header1"/>
    <w:basedOn w:val="959"/>
    <w:link w:val="1061"/>
    <w:uiPriority w:val="99"/>
    <w:unhideWhenUsed/>
    <w:qFormat/>
    <w:pPr>
      <w:tabs>
        <w:tab w:val="center" w:pos="7143" w:leader="none"/>
        <w:tab w:val="right" w:pos="14287" w:leader="none"/>
      </w:tabs>
    </w:pPr>
  </w:style>
  <w:style w:type="character" w:styleId="1061" w:customStyle="1">
    <w:name w:val="Header Char"/>
    <w:link w:val="1060"/>
    <w:uiPriority w:val="99"/>
    <w:qFormat/>
  </w:style>
  <w:style w:type="paragraph" w:styleId="1062" w:customStyle="1">
    <w:name w:val="正文文本11"/>
    <w:basedOn w:val="959"/>
    <w:next w:val="959"/>
    <w:link w:val="1063"/>
    <w:uiPriority w:val="0"/>
    <w:qFormat/>
    <w:rPr>
      <w:rFonts w:ascii="楷体_GB2312" w:hAnsi="Arial" w:eastAsia="楷体_GB2312"/>
      <w:sz w:val="28"/>
      <w:szCs w:val="28"/>
    </w:rPr>
  </w:style>
  <w:style w:type="character" w:styleId="1063" w:customStyle="1">
    <w:name w:val="正文文本 字符"/>
    <w:link w:val="1062"/>
    <w:uiPriority w:val="0"/>
    <w:qFormat/>
    <w:rPr>
      <w:rFonts w:ascii="楷体_GB2312" w:hAnsi="Arial" w:eastAsia="楷体_GB2312" w:cs="Times New Roman"/>
      <w:sz w:val="28"/>
      <w:szCs w:val="28"/>
    </w:rPr>
  </w:style>
  <w:style w:type="paragraph" w:styleId="1064">
    <w:name w:val="List Paragraph"/>
    <w:basedOn w:val="959"/>
    <w:uiPriority w:val="34"/>
    <w:qFormat/>
    <w:pPr>
      <w:contextualSpacing/>
      <w:ind w:left="720"/>
    </w:pPr>
  </w:style>
  <w:style w:type="paragraph" w:styleId="1065">
    <w:name w:val="No Spacing"/>
    <w:uiPriority w:val="1"/>
    <w:qFormat/>
    <w:rPr>
      <w:rFonts w:ascii="Times New Roman" w:hAnsi="Times New Roman" w:eastAsia="宋体" w:cs="Times New Roman"/>
      <w:lang w:val="en-US" w:eastAsia="zh-CN" w:bidi="ar-SA"/>
    </w:rPr>
  </w:style>
  <w:style w:type="paragraph" w:styleId="1066">
    <w:name w:val="Quote"/>
    <w:basedOn w:val="959"/>
    <w:next w:val="959"/>
    <w:link w:val="1067"/>
    <w:uiPriority w:val="29"/>
    <w:qFormat/>
    <w:pPr>
      <w:ind w:left="720" w:right="720"/>
    </w:pPr>
    <w:rPr>
      <w:i/>
    </w:rPr>
  </w:style>
  <w:style w:type="character" w:styleId="1067" w:customStyle="1">
    <w:name w:val="引用 字符"/>
    <w:link w:val="1066"/>
    <w:uiPriority w:val="29"/>
    <w:qFormat/>
    <w:rPr>
      <w:i/>
    </w:rPr>
  </w:style>
  <w:style w:type="paragraph" w:styleId="1068">
    <w:name w:val="Intense Quote"/>
    <w:basedOn w:val="959"/>
    <w:next w:val="959"/>
    <w:link w:val="10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9" w:customStyle="1">
    <w:name w:val="明显引用 字符"/>
    <w:link w:val="1068"/>
    <w:uiPriority w:val="30"/>
    <w:qFormat/>
    <w:rPr>
      <w:i/>
    </w:rPr>
  </w:style>
  <w:style w:type="table" w:styleId="1070" w:customStyle="1">
    <w:name w:val="Table Grid Light"/>
    <w:uiPriority w:val="59"/>
    <w:qFormat/>
    <w:tblPr>
      <w:tblCellMar>
        <w:left w:w="0" w:type="dxa"/>
        <w:top w:w="0" w:type="dxa"/>
        <w:right w:w="0" w:type="dxa"/>
        <w:bottom w:w="0" w:type="dxa"/>
      </w:tblCellMar>
    </w:tblPr>
  </w:style>
  <w:style w:type="table" w:styleId="1071" w:customStyle="1">
    <w:name w:val="无格式表格 11"/>
    <w:uiPriority w:val="59"/>
    <w:qFormat/>
    <w:tblPr>
      <w:tblCellMar>
        <w:left w:w="0" w:type="dxa"/>
        <w:top w:w="0" w:type="dxa"/>
        <w:right w:w="0" w:type="dxa"/>
        <w:bottom w:w="0" w:type="dxa"/>
      </w:tblCellMar>
    </w:tblPr>
  </w:style>
  <w:style w:type="table" w:styleId="1072" w:customStyle="1">
    <w:name w:val="无格式表格 21"/>
    <w:uiPriority w:val="59"/>
    <w:qFormat/>
    <w:tblPr>
      <w:tblCellMar>
        <w:left w:w="0" w:type="dxa"/>
        <w:top w:w="0" w:type="dxa"/>
        <w:right w:w="0" w:type="dxa"/>
        <w:bottom w:w="0" w:type="dxa"/>
      </w:tblCellMar>
    </w:tblPr>
  </w:style>
  <w:style w:type="table" w:styleId="1073" w:customStyle="1">
    <w:name w:val="无格式表格 31"/>
    <w:uiPriority w:val="99"/>
    <w:qFormat/>
    <w:tblPr>
      <w:tblCellMar>
        <w:left w:w="0" w:type="dxa"/>
        <w:top w:w="0" w:type="dxa"/>
        <w:right w:w="0" w:type="dxa"/>
        <w:bottom w:w="0" w:type="dxa"/>
      </w:tblCellMar>
    </w:tblPr>
  </w:style>
  <w:style w:type="table" w:styleId="1074" w:customStyle="1">
    <w:name w:val="无格式表格 41"/>
    <w:uiPriority w:val="99"/>
    <w:qFormat/>
    <w:tblPr>
      <w:tblCellMar>
        <w:left w:w="0" w:type="dxa"/>
        <w:top w:w="0" w:type="dxa"/>
        <w:right w:w="0" w:type="dxa"/>
        <w:bottom w:w="0" w:type="dxa"/>
      </w:tblCellMar>
    </w:tblPr>
  </w:style>
  <w:style w:type="table" w:styleId="1075" w:customStyle="1">
    <w:name w:val="无格式表格 51"/>
    <w:uiPriority w:val="99"/>
    <w:qFormat/>
    <w:tblPr>
      <w:tblCellMar>
        <w:left w:w="0" w:type="dxa"/>
        <w:top w:w="0" w:type="dxa"/>
        <w:right w:w="0" w:type="dxa"/>
        <w:bottom w:w="0" w:type="dxa"/>
      </w:tblCellMar>
    </w:tblPr>
  </w:style>
  <w:style w:type="table" w:styleId="1076" w:customStyle="1">
    <w:name w:val="网格表 1 浅色1"/>
    <w:uiPriority w:val="99"/>
    <w:qFormat/>
    <w:tblPr>
      <w:tblCellMar>
        <w:left w:w="0" w:type="dxa"/>
        <w:top w:w="0" w:type="dxa"/>
        <w:right w:w="0" w:type="dxa"/>
        <w:bottom w:w="0" w:type="dxa"/>
      </w:tblCellMar>
    </w:tblPr>
  </w:style>
  <w:style w:type="table" w:styleId="1077" w:customStyle="1">
    <w:name w:val="Grid Table 1 Light - Accent 1"/>
    <w:uiPriority w:val="99"/>
    <w:qFormat/>
    <w:tblPr>
      <w:tblCellMar>
        <w:left w:w="0" w:type="dxa"/>
        <w:top w:w="0" w:type="dxa"/>
        <w:right w:w="0" w:type="dxa"/>
        <w:bottom w:w="0" w:type="dxa"/>
      </w:tblCellMar>
    </w:tblPr>
  </w:style>
  <w:style w:type="table" w:styleId="1078" w:customStyle="1">
    <w:name w:val="Grid Table 1 Light - Accent 2"/>
    <w:uiPriority w:val="99"/>
    <w:qFormat/>
    <w:tblPr>
      <w:tblCellMar>
        <w:left w:w="0" w:type="dxa"/>
        <w:top w:w="0" w:type="dxa"/>
        <w:right w:w="0" w:type="dxa"/>
        <w:bottom w:w="0" w:type="dxa"/>
      </w:tblCellMar>
    </w:tblPr>
  </w:style>
  <w:style w:type="table" w:styleId="1079" w:customStyle="1">
    <w:name w:val="Grid Table 1 Light - Accent 3"/>
    <w:uiPriority w:val="99"/>
    <w:qFormat/>
    <w:tblPr>
      <w:tblCellMar>
        <w:left w:w="0" w:type="dxa"/>
        <w:top w:w="0" w:type="dxa"/>
        <w:right w:w="0" w:type="dxa"/>
        <w:bottom w:w="0" w:type="dxa"/>
      </w:tblCellMar>
    </w:tblPr>
  </w:style>
  <w:style w:type="table" w:styleId="1080" w:customStyle="1">
    <w:name w:val="Grid Table 1 Light - Accent 4"/>
    <w:uiPriority w:val="99"/>
    <w:qFormat/>
    <w:tblPr>
      <w:tblCellMar>
        <w:left w:w="0" w:type="dxa"/>
        <w:top w:w="0" w:type="dxa"/>
        <w:right w:w="0" w:type="dxa"/>
        <w:bottom w:w="0" w:type="dxa"/>
      </w:tblCellMar>
    </w:tblPr>
  </w:style>
  <w:style w:type="table" w:styleId="1081" w:customStyle="1">
    <w:name w:val="Grid Table 1 Light - Accent 5"/>
    <w:uiPriority w:val="99"/>
    <w:qFormat/>
    <w:tblPr>
      <w:tblCellMar>
        <w:left w:w="0" w:type="dxa"/>
        <w:top w:w="0" w:type="dxa"/>
        <w:right w:w="0" w:type="dxa"/>
        <w:bottom w:w="0" w:type="dxa"/>
      </w:tblCellMar>
    </w:tblPr>
  </w:style>
  <w:style w:type="table" w:styleId="1082" w:customStyle="1">
    <w:name w:val="Grid Table 1 Light - Accent 6"/>
    <w:uiPriority w:val="99"/>
    <w:qFormat/>
    <w:tblPr>
      <w:tblCellMar>
        <w:left w:w="0" w:type="dxa"/>
        <w:top w:w="0" w:type="dxa"/>
        <w:right w:w="0" w:type="dxa"/>
        <w:bottom w:w="0" w:type="dxa"/>
      </w:tblCellMar>
    </w:tblPr>
  </w:style>
  <w:style w:type="table" w:styleId="1083" w:customStyle="1">
    <w:name w:val="网格表 21"/>
    <w:uiPriority w:val="99"/>
    <w:qFormat/>
    <w:tblPr>
      <w:tblCellMar>
        <w:left w:w="0" w:type="dxa"/>
        <w:top w:w="0" w:type="dxa"/>
        <w:right w:w="0" w:type="dxa"/>
        <w:bottom w:w="0" w:type="dxa"/>
      </w:tblCellMar>
    </w:tblPr>
  </w:style>
  <w:style w:type="table" w:styleId="1084" w:customStyle="1">
    <w:name w:val="Grid Table 2 - Accent 1"/>
    <w:uiPriority w:val="99"/>
    <w:qFormat/>
    <w:tblPr>
      <w:tblCellMar>
        <w:left w:w="0" w:type="dxa"/>
        <w:top w:w="0" w:type="dxa"/>
        <w:right w:w="0" w:type="dxa"/>
        <w:bottom w:w="0" w:type="dxa"/>
      </w:tblCellMar>
    </w:tblPr>
  </w:style>
  <w:style w:type="table" w:styleId="1085" w:customStyle="1">
    <w:name w:val="Grid Table 2 - Accent 2"/>
    <w:uiPriority w:val="99"/>
    <w:qFormat/>
    <w:tblPr>
      <w:tblCellMar>
        <w:left w:w="0" w:type="dxa"/>
        <w:top w:w="0" w:type="dxa"/>
        <w:right w:w="0" w:type="dxa"/>
        <w:bottom w:w="0" w:type="dxa"/>
      </w:tblCellMar>
    </w:tblPr>
  </w:style>
  <w:style w:type="table" w:styleId="1086" w:customStyle="1">
    <w:name w:val="Grid Table 2 - Accent 3"/>
    <w:uiPriority w:val="99"/>
    <w:qFormat/>
    <w:tblPr>
      <w:tblCellMar>
        <w:left w:w="0" w:type="dxa"/>
        <w:top w:w="0" w:type="dxa"/>
        <w:right w:w="0" w:type="dxa"/>
        <w:bottom w:w="0" w:type="dxa"/>
      </w:tblCellMar>
    </w:tblPr>
  </w:style>
  <w:style w:type="table" w:styleId="1087" w:customStyle="1">
    <w:name w:val="Grid Table 2 - Accent 4"/>
    <w:uiPriority w:val="99"/>
    <w:qFormat/>
    <w:tblPr>
      <w:tblCellMar>
        <w:left w:w="0" w:type="dxa"/>
        <w:top w:w="0" w:type="dxa"/>
        <w:right w:w="0" w:type="dxa"/>
        <w:bottom w:w="0" w:type="dxa"/>
      </w:tblCellMar>
    </w:tblPr>
  </w:style>
  <w:style w:type="table" w:styleId="1088" w:customStyle="1">
    <w:name w:val="Grid Table 2 - Accent 5"/>
    <w:uiPriority w:val="99"/>
    <w:qFormat/>
    <w:tblPr>
      <w:tblCellMar>
        <w:left w:w="0" w:type="dxa"/>
        <w:top w:w="0" w:type="dxa"/>
        <w:right w:w="0" w:type="dxa"/>
        <w:bottom w:w="0" w:type="dxa"/>
      </w:tblCellMar>
    </w:tblPr>
  </w:style>
  <w:style w:type="table" w:styleId="1089" w:customStyle="1">
    <w:name w:val="Grid Table 2 - Accent 6"/>
    <w:uiPriority w:val="99"/>
    <w:qFormat/>
    <w:tblPr>
      <w:tblCellMar>
        <w:left w:w="0" w:type="dxa"/>
        <w:top w:w="0" w:type="dxa"/>
        <w:right w:w="0" w:type="dxa"/>
        <w:bottom w:w="0" w:type="dxa"/>
      </w:tblCellMar>
    </w:tblPr>
  </w:style>
  <w:style w:type="table" w:styleId="1090" w:customStyle="1">
    <w:name w:val="网格表 31"/>
    <w:uiPriority w:val="99"/>
    <w:qFormat/>
    <w:tblPr>
      <w:tblCellMar>
        <w:left w:w="0" w:type="dxa"/>
        <w:top w:w="0" w:type="dxa"/>
        <w:right w:w="0" w:type="dxa"/>
        <w:bottom w:w="0" w:type="dxa"/>
      </w:tblCellMar>
    </w:tblPr>
  </w:style>
  <w:style w:type="table" w:styleId="1091" w:customStyle="1">
    <w:name w:val="Grid Table 3 - Accent 1"/>
    <w:uiPriority w:val="99"/>
    <w:qFormat/>
    <w:tblPr>
      <w:tblCellMar>
        <w:left w:w="0" w:type="dxa"/>
        <w:top w:w="0" w:type="dxa"/>
        <w:right w:w="0" w:type="dxa"/>
        <w:bottom w:w="0" w:type="dxa"/>
      </w:tblCellMar>
    </w:tblPr>
  </w:style>
  <w:style w:type="table" w:styleId="1092" w:customStyle="1">
    <w:name w:val="Grid Table 3 - Accent 2"/>
    <w:uiPriority w:val="99"/>
    <w:qFormat/>
    <w:tblPr>
      <w:tblCellMar>
        <w:left w:w="0" w:type="dxa"/>
        <w:top w:w="0" w:type="dxa"/>
        <w:right w:w="0" w:type="dxa"/>
        <w:bottom w:w="0" w:type="dxa"/>
      </w:tblCellMar>
    </w:tblPr>
  </w:style>
  <w:style w:type="table" w:styleId="1093" w:customStyle="1">
    <w:name w:val="Grid Table 3 - Accent 3"/>
    <w:uiPriority w:val="99"/>
    <w:qFormat/>
    <w:tblPr>
      <w:tblCellMar>
        <w:left w:w="0" w:type="dxa"/>
        <w:top w:w="0" w:type="dxa"/>
        <w:right w:w="0" w:type="dxa"/>
        <w:bottom w:w="0" w:type="dxa"/>
      </w:tblCellMar>
    </w:tblPr>
  </w:style>
  <w:style w:type="table" w:styleId="1094" w:customStyle="1">
    <w:name w:val="Grid Table 3 - Accent 4"/>
    <w:uiPriority w:val="99"/>
    <w:qFormat/>
    <w:tblPr>
      <w:tblCellMar>
        <w:left w:w="0" w:type="dxa"/>
        <w:top w:w="0" w:type="dxa"/>
        <w:right w:w="0" w:type="dxa"/>
        <w:bottom w:w="0" w:type="dxa"/>
      </w:tblCellMar>
    </w:tblPr>
  </w:style>
  <w:style w:type="table" w:styleId="1095" w:customStyle="1">
    <w:name w:val="Grid Table 3 - Accent 5"/>
    <w:uiPriority w:val="99"/>
    <w:qFormat/>
    <w:tblPr>
      <w:tblCellMar>
        <w:left w:w="0" w:type="dxa"/>
        <w:top w:w="0" w:type="dxa"/>
        <w:right w:w="0" w:type="dxa"/>
        <w:bottom w:w="0" w:type="dxa"/>
      </w:tblCellMar>
    </w:tblPr>
  </w:style>
  <w:style w:type="table" w:styleId="1096" w:customStyle="1">
    <w:name w:val="Grid Table 3 - Accent 6"/>
    <w:uiPriority w:val="99"/>
    <w:qFormat/>
    <w:tblPr>
      <w:tblCellMar>
        <w:left w:w="0" w:type="dxa"/>
        <w:top w:w="0" w:type="dxa"/>
        <w:right w:w="0" w:type="dxa"/>
        <w:bottom w:w="0" w:type="dxa"/>
      </w:tblCellMar>
    </w:tblPr>
  </w:style>
  <w:style w:type="table" w:styleId="1097" w:customStyle="1">
    <w:name w:val="网格表 41"/>
    <w:uiPriority w:val="59"/>
    <w:qFormat/>
    <w:tblPr>
      <w:tblCellMar>
        <w:left w:w="0" w:type="dxa"/>
        <w:top w:w="0" w:type="dxa"/>
        <w:right w:w="0" w:type="dxa"/>
        <w:bottom w:w="0" w:type="dxa"/>
      </w:tblCellMar>
    </w:tblPr>
  </w:style>
  <w:style w:type="table" w:styleId="1098" w:customStyle="1">
    <w:name w:val="Grid Table 4 - Accent 1"/>
    <w:uiPriority w:val="59"/>
    <w:qFormat/>
    <w:tblPr>
      <w:tblCellMar>
        <w:left w:w="0" w:type="dxa"/>
        <w:top w:w="0" w:type="dxa"/>
        <w:right w:w="0" w:type="dxa"/>
        <w:bottom w:w="0" w:type="dxa"/>
      </w:tblCellMar>
    </w:tblPr>
  </w:style>
  <w:style w:type="table" w:styleId="1099" w:customStyle="1">
    <w:name w:val="Grid Table 4 - Accent 2"/>
    <w:uiPriority w:val="59"/>
    <w:qFormat/>
    <w:tblPr>
      <w:tblCellMar>
        <w:left w:w="0" w:type="dxa"/>
        <w:top w:w="0" w:type="dxa"/>
        <w:right w:w="0" w:type="dxa"/>
        <w:bottom w:w="0" w:type="dxa"/>
      </w:tblCellMar>
    </w:tblPr>
  </w:style>
  <w:style w:type="table" w:styleId="1100" w:customStyle="1">
    <w:name w:val="Grid Table 4 - Accent 3"/>
    <w:uiPriority w:val="59"/>
    <w:qFormat/>
    <w:tblPr>
      <w:tblCellMar>
        <w:left w:w="0" w:type="dxa"/>
        <w:top w:w="0" w:type="dxa"/>
        <w:right w:w="0" w:type="dxa"/>
        <w:bottom w:w="0" w:type="dxa"/>
      </w:tblCellMar>
    </w:tblPr>
  </w:style>
  <w:style w:type="table" w:styleId="1101" w:customStyle="1">
    <w:name w:val="Grid Table 4 - Accent 4"/>
    <w:uiPriority w:val="59"/>
    <w:qFormat/>
    <w:tblPr>
      <w:tblCellMar>
        <w:left w:w="0" w:type="dxa"/>
        <w:top w:w="0" w:type="dxa"/>
        <w:right w:w="0" w:type="dxa"/>
        <w:bottom w:w="0" w:type="dxa"/>
      </w:tblCellMar>
    </w:tblPr>
  </w:style>
  <w:style w:type="table" w:styleId="1102" w:customStyle="1">
    <w:name w:val="Grid Table 4 - Accent 5"/>
    <w:uiPriority w:val="59"/>
    <w:qFormat/>
    <w:tblPr>
      <w:tblCellMar>
        <w:left w:w="0" w:type="dxa"/>
        <w:top w:w="0" w:type="dxa"/>
        <w:right w:w="0" w:type="dxa"/>
        <w:bottom w:w="0" w:type="dxa"/>
      </w:tblCellMar>
    </w:tblPr>
  </w:style>
  <w:style w:type="table" w:styleId="1103" w:customStyle="1">
    <w:name w:val="Grid Table 4 - Accent 6"/>
    <w:uiPriority w:val="59"/>
    <w:qFormat/>
    <w:tblPr>
      <w:tblCellMar>
        <w:left w:w="0" w:type="dxa"/>
        <w:top w:w="0" w:type="dxa"/>
        <w:right w:w="0" w:type="dxa"/>
        <w:bottom w:w="0" w:type="dxa"/>
      </w:tblCellMar>
    </w:tblPr>
  </w:style>
  <w:style w:type="table" w:styleId="1104" w:customStyle="1">
    <w:name w:val="网格表 5 深色1"/>
    <w:uiPriority w:val="99"/>
    <w:qFormat/>
    <w:tblPr>
      <w:tblCellMar>
        <w:left w:w="0" w:type="dxa"/>
        <w:top w:w="0" w:type="dxa"/>
        <w:right w:w="0" w:type="dxa"/>
        <w:bottom w:w="0" w:type="dxa"/>
      </w:tblCellMar>
    </w:tblPr>
  </w:style>
  <w:style w:type="table" w:styleId="1105" w:customStyle="1">
    <w:name w:val="Grid Table 5 Dark- Accent 1"/>
    <w:uiPriority w:val="99"/>
    <w:qFormat/>
    <w:tblPr>
      <w:tblCellMar>
        <w:left w:w="0" w:type="dxa"/>
        <w:top w:w="0" w:type="dxa"/>
        <w:right w:w="0" w:type="dxa"/>
        <w:bottom w:w="0" w:type="dxa"/>
      </w:tblCellMar>
    </w:tblPr>
  </w:style>
  <w:style w:type="table" w:styleId="1106" w:customStyle="1">
    <w:name w:val="Grid Table 5 Dark - Accent 2"/>
    <w:uiPriority w:val="99"/>
    <w:qFormat/>
    <w:tblPr>
      <w:tblCellMar>
        <w:left w:w="0" w:type="dxa"/>
        <w:top w:w="0" w:type="dxa"/>
        <w:right w:w="0" w:type="dxa"/>
        <w:bottom w:w="0" w:type="dxa"/>
      </w:tblCellMar>
    </w:tblPr>
  </w:style>
  <w:style w:type="table" w:styleId="1107" w:customStyle="1">
    <w:name w:val="Grid Table 5 Dark - Accent 3"/>
    <w:uiPriority w:val="99"/>
    <w:qFormat/>
    <w:tblPr>
      <w:tblCellMar>
        <w:left w:w="0" w:type="dxa"/>
        <w:top w:w="0" w:type="dxa"/>
        <w:right w:w="0" w:type="dxa"/>
        <w:bottom w:w="0" w:type="dxa"/>
      </w:tblCellMar>
    </w:tblPr>
  </w:style>
  <w:style w:type="table" w:styleId="1108" w:customStyle="1">
    <w:name w:val="Grid Table 5 Dark- Accent 4"/>
    <w:uiPriority w:val="99"/>
    <w:qFormat/>
    <w:tblPr>
      <w:tblCellMar>
        <w:left w:w="0" w:type="dxa"/>
        <w:top w:w="0" w:type="dxa"/>
        <w:right w:w="0" w:type="dxa"/>
        <w:bottom w:w="0" w:type="dxa"/>
      </w:tblCellMar>
    </w:tblPr>
  </w:style>
  <w:style w:type="table" w:styleId="1109" w:customStyle="1">
    <w:name w:val="Grid Table 5 Dark - Accent 5"/>
    <w:uiPriority w:val="99"/>
    <w:qFormat/>
    <w:tblPr>
      <w:tblCellMar>
        <w:left w:w="0" w:type="dxa"/>
        <w:top w:w="0" w:type="dxa"/>
        <w:right w:w="0" w:type="dxa"/>
        <w:bottom w:w="0" w:type="dxa"/>
      </w:tblCellMar>
    </w:tblPr>
  </w:style>
  <w:style w:type="table" w:styleId="1110" w:customStyle="1">
    <w:name w:val="Grid Table 5 Dark - Accent 6"/>
    <w:uiPriority w:val="99"/>
    <w:qFormat/>
    <w:tblPr>
      <w:tblCellMar>
        <w:left w:w="0" w:type="dxa"/>
        <w:top w:w="0" w:type="dxa"/>
        <w:right w:w="0" w:type="dxa"/>
        <w:bottom w:w="0" w:type="dxa"/>
      </w:tblCellMar>
    </w:tblPr>
  </w:style>
  <w:style w:type="table" w:styleId="1111" w:customStyle="1">
    <w:name w:val="网格表 6 彩色1"/>
    <w:uiPriority w:val="99"/>
    <w:qFormat/>
    <w:tblPr>
      <w:tblCellMar>
        <w:left w:w="0" w:type="dxa"/>
        <w:top w:w="0" w:type="dxa"/>
        <w:right w:w="0" w:type="dxa"/>
        <w:bottom w:w="0" w:type="dxa"/>
      </w:tblCellMar>
    </w:tblPr>
  </w:style>
  <w:style w:type="table" w:styleId="1112" w:customStyle="1">
    <w:name w:val="Grid Table 6 Colorful - Accent 1"/>
    <w:uiPriority w:val="99"/>
    <w:qFormat/>
    <w:tblPr>
      <w:tblCellMar>
        <w:left w:w="0" w:type="dxa"/>
        <w:top w:w="0" w:type="dxa"/>
        <w:right w:w="0" w:type="dxa"/>
        <w:bottom w:w="0" w:type="dxa"/>
      </w:tblCellMar>
    </w:tblPr>
  </w:style>
  <w:style w:type="table" w:styleId="1113" w:customStyle="1">
    <w:name w:val="Grid Table 6 Colorful - Accent 2"/>
    <w:uiPriority w:val="99"/>
    <w:qFormat/>
    <w:tblPr>
      <w:tblCellMar>
        <w:left w:w="0" w:type="dxa"/>
        <w:top w:w="0" w:type="dxa"/>
        <w:right w:w="0" w:type="dxa"/>
        <w:bottom w:w="0" w:type="dxa"/>
      </w:tblCellMar>
    </w:tblPr>
  </w:style>
  <w:style w:type="table" w:styleId="1114" w:customStyle="1">
    <w:name w:val="Grid Table 6 Colorful - Accent 3"/>
    <w:uiPriority w:val="99"/>
    <w:qFormat/>
    <w:tblPr>
      <w:tblCellMar>
        <w:left w:w="0" w:type="dxa"/>
        <w:top w:w="0" w:type="dxa"/>
        <w:right w:w="0" w:type="dxa"/>
        <w:bottom w:w="0" w:type="dxa"/>
      </w:tblCellMar>
    </w:tblPr>
  </w:style>
  <w:style w:type="table" w:styleId="1115" w:customStyle="1">
    <w:name w:val="Grid Table 6 Colorful - Accent 4"/>
    <w:uiPriority w:val="99"/>
    <w:qFormat/>
    <w:tblPr>
      <w:tblCellMar>
        <w:left w:w="0" w:type="dxa"/>
        <w:top w:w="0" w:type="dxa"/>
        <w:right w:w="0" w:type="dxa"/>
        <w:bottom w:w="0" w:type="dxa"/>
      </w:tblCellMar>
    </w:tblPr>
  </w:style>
  <w:style w:type="table" w:styleId="1116" w:customStyle="1">
    <w:name w:val="Grid Table 6 Colorful - Accent 5"/>
    <w:uiPriority w:val="99"/>
    <w:qFormat/>
    <w:tblPr>
      <w:tblCellMar>
        <w:left w:w="0" w:type="dxa"/>
        <w:top w:w="0" w:type="dxa"/>
        <w:right w:w="0" w:type="dxa"/>
        <w:bottom w:w="0" w:type="dxa"/>
      </w:tblCellMar>
    </w:tblPr>
  </w:style>
  <w:style w:type="table" w:styleId="1117" w:customStyle="1">
    <w:name w:val="Grid Table 6 Colorful - Accent 6"/>
    <w:uiPriority w:val="99"/>
    <w:qFormat/>
    <w:tblPr>
      <w:tblCellMar>
        <w:left w:w="0" w:type="dxa"/>
        <w:top w:w="0" w:type="dxa"/>
        <w:right w:w="0" w:type="dxa"/>
        <w:bottom w:w="0" w:type="dxa"/>
      </w:tblCellMar>
    </w:tblPr>
  </w:style>
  <w:style w:type="table" w:styleId="1118" w:customStyle="1">
    <w:name w:val="网格表 7 彩色1"/>
    <w:uiPriority w:val="99"/>
    <w:qFormat/>
    <w:tblPr>
      <w:tblCellMar>
        <w:left w:w="0" w:type="dxa"/>
        <w:top w:w="0" w:type="dxa"/>
        <w:right w:w="0" w:type="dxa"/>
        <w:bottom w:w="0" w:type="dxa"/>
      </w:tblCellMar>
    </w:tblPr>
  </w:style>
  <w:style w:type="table" w:styleId="1119" w:customStyle="1">
    <w:name w:val="Grid Table 7 Colorful - Accent 1"/>
    <w:uiPriority w:val="99"/>
    <w:qFormat/>
    <w:tblPr>
      <w:tblCellMar>
        <w:left w:w="0" w:type="dxa"/>
        <w:top w:w="0" w:type="dxa"/>
        <w:right w:w="0" w:type="dxa"/>
        <w:bottom w:w="0" w:type="dxa"/>
      </w:tblCellMar>
    </w:tblPr>
  </w:style>
  <w:style w:type="table" w:styleId="1120" w:customStyle="1">
    <w:name w:val="Grid Table 7 Colorful - Accent 2"/>
    <w:uiPriority w:val="99"/>
    <w:qFormat/>
    <w:tblPr>
      <w:tblCellMar>
        <w:left w:w="0" w:type="dxa"/>
        <w:top w:w="0" w:type="dxa"/>
        <w:right w:w="0" w:type="dxa"/>
        <w:bottom w:w="0" w:type="dxa"/>
      </w:tblCellMar>
    </w:tblPr>
  </w:style>
  <w:style w:type="table" w:styleId="1121" w:customStyle="1">
    <w:name w:val="Grid Table 7 Colorful - Accent 3"/>
    <w:uiPriority w:val="99"/>
    <w:qFormat/>
    <w:tblPr>
      <w:tblCellMar>
        <w:left w:w="0" w:type="dxa"/>
        <w:top w:w="0" w:type="dxa"/>
        <w:right w:w="0" w:type="dxa"/>
        <w:bottom w:w="0" w:type="dxa"/>
      </w:tblCellMar>
    </w:tblPr>
  </w:style>
  <w:style w:type="table" w:styleId="1122" w:customStyle="1">
    <w:name w:val="Grid Table 7 Colorful - Accent 4"/>
    <w:uiPriority w:val="99"/>
    <w:qFormat/>
    <w:tblPr>
      <w:tblCellMar>
        <w:left w:w="0" w:type="dxa"/>
        <w:top w:w="0" w:type="dxa"/>
        <w:right w:w="0" w:type="dxa"/>
        <w:bottom w:w="0" w:type="dxa"/>
      </w:tblCellMar>
    </w:tblPr>
  </w:style>
  <w:style w:type="table" w:styleId="1123" w:customStyle="1">
    <w:name w:val="Grid Table 7 Colorful - Accent 5"/>
    <w:uiPriority w:val="99"/>
    <w:qFormat/>
    <w:tblPr>
      <w:tblCellMar>
        <w:left w:w="0" w:type="dxa"/>
        <w:top w:w="0" w:type="dxa"/>
        <w:right w:w="0" w:type="dxa"/>
        <w:bottom w:w="0" w:type="dxa"/>
      </w:tblCellMar>
    </w:tblPr>
  </w:style>
  <w:style w:type="table" w:styleId="1124" w:customStyle="1">
    <w:name w:val="Grid Table 7 Colorful - Accent 6"/>
    <w:uiPriority w:val="99"/>
    <w:qFormat/>
    <w:tblPr>
      <w:tblCellMar>
        <w:left w:w="0" w:type="dxa"/>
        <w:top w:w="0" w:type="dxa"/>
        <w:right w:w="0" w:type="dxa"/>
        <w:bottom w:w="0" w:type="dxa"/>
      </w:tblCellMar>
    </w:tblPr>
  </w:style>
  <w:style w:type="table" w:styleId="1125" w:customStyle="1">
    <w:name w:val="清单表 1 浅色1"/>
    <w:uiPriority w:val="99"/>
    <w:qFormat/>
    <w:tblPr>
      <w:tblCellMar>
        <w:left w:w="0" w:type="dxa"/>
        <w:top w:w="0" w:type="dxa"/>
        <w:right w:w="0" w:type="dxa"/>
        <w:bottom w:w="0" w:type="dxa"/>
      </w:tblCellMar>
    </w:tblPr>
  </w:style>
  <w:style w:type="table" w:styleId="1126" w:customStyle="1">
    <w:name w:val="List Table 1 Light - Accent 1"/>
    <w:uiPriority w:val="99"/>
    <w:qFormat/>
    <w:tblPr>
      <w:tblCellMar>
        <w:left w:w="0" w:type="dxa"/>
        <w:top w:w="0" w:type="dxa"/>
        <w:right w:w="0" w:type="dxa"/>
        <w:bottom w:w="0" w:type="dxa"/>
      </w:tblCellMar>
    </w:tblPr>
  </w:style>
  <w:style w:type="table" w:styleId="1127" w:customStyle="1">
    <w:name w:val="List Table 1 Light - Accent 2"/>
    <w:uiPriority w:val="99"/>
    <w:qFormat/>
    <w:tblPr>
      <w:tblCellMar>
        <w:left w:w="0" w:type="dxa"/>
        <w:top w:w="0" w:type="dxa"/>
        <w:right w:w="0" w:type="dxa"/>
        <w:bottom w:w="0" w:type="dxa"/>
      </w:tblCellMar>
    </w:tblPr>
  </w:style>
  <w:style w:type="table" w:styleId="1128" w:customStyle="1">
    <w:name w:val="List Table 1 Light - Accent 3"/>
    <w:uiPriority w:val="99"/>
    <w:qFormat/>
    <w:tblPr>
      <w:tblCellMar>
        <w:left w:w="0" w:type="dxa"/>
        <w:top w:w="0" w:type="dxa"/>
        <w:right w:w="0" w:type="dxa"/>
        <w:bottom w:w="0" w:type="dxa"/>
      </w:tblCellMar>
    </w:tblPr>
  </w:style>
  <w:style w:type="table" w:styleId="1129" w:customStyle="1">
    <w:name w:val="List Table 1 Light - Accent 4"/>
    <w:uiPriority w:val="99"/>
    <w:qFormat/>
    <w:tblPr>
      <w:tblCellMar>
        <w:left w:w="0" w:type="dxa"/>
        <w:top w:w="0" w:type="dxa"/>
        <w:right w:w="0" w:type="dxa"/>
        <w:bottom w:w="0" w:type="dxa"/>
      </w:tblCellMar>
    </w:tblPr>
  </w:style>
  <w:style w:type="table" w:styleId="1130" w:customStyle="1">
    <w:name w:val="List Table 1 Light - Accent 5"/>
    <w:uiPriority w:val="99"/>
    <w:qFormat/>
    <w:tblPr>
      <w:tblCellMar>
        <w:left w:w="0" w:type="dxa"/>
        <w:top w:w="0" w:type="dxa"/>
        <w:right w:w="0" w:type="dxa"/>
        <w:bottom w:w="0" w:type="dxa"/>
      </w:tblCellMar>
    </w:tblPr>
  </w:style>
  <w:style w:type="table" w:styleId="1131" w:customStyle="1">
    <w:name w:val="List Table 1 Light - Accent 6"/>
    <w:uiPriority w:val="99"/>
    <w:qFormat/>
    <w:tblPr>
      <w:tblCellMar>
        <w:left w:w="0" w:type="dxa"/>
        <w:top w:w="0" w:type="dxa"/>
        <w:right w:w="0" w:type="dxa"/>
        <w:bottom w:w="0" w:type="dxa"/>
      </w:tblCellMar>
    </w:tblPr>
  </w:style>
  <w:style w:type="table" w:styleId="1132" w:customStyle="1">
    <w:name w:val="清单表 21"/>
    <w:uiPriority w:val="99"/>
    <w:qFormat/>
    <w:tblPr>
      <w:tblCellMar>
        <w:left w:w="0" w:type="dxa"/>
        <w:top w:w="0" w:type="dxa"/>
        <w:right w:w="0" w:type="dxa"/>
        <w:bottom w:w="0" w:type="dxa"/>
      </w:tblCellMar>
    </w:tblPr>
  </w:style>
  <w:style w:type="table" w:styleId="1133" w:customStyle="1">
    <w:name w:val="List Table 2 - Accent 1"/>
    <w:uiPriority w:val="99"/>
    <w:qFormat/>
    <w:tblPr>
      <w:tblCellMar>
        <w:left w:w="0" w:type="dxa"/>
        <w:top w:w="0" w:type="dxa"/>
        <w:right w:w="0" w:type="dxa"/>
        <w:bottom w:w="0" w:type="dxa"/>
      </w:tblCellMar>
    </w:tblPr>
  </w:style>
  <w:style w:type="table" w:styleId="1134" w:customStyle="1">
    <w:name w:val="List Table 2 - Accent 2"/>
    <w:uiPriority w:val="99"/>
    <w:qFormat/>
    <w:tblPr>
      <w:tblCellMar>
        <w:left w:w="0" w:type="dxa"/>
        <w:top w:w="0" w:type="dxa"/>
        <w:right w:w="0" w:type="dxa"/>
        <w:bottom w:w="0" w:type="dxa"/>
      </w:tblCellMar>
    </w:tblPr>
  </w:style>
  <w:style w:type="table" w:styleId="1135" w:customStyle="1">
    <w:name w:val="List Table 2 - Accent 3"/>
    <w:uiPriority w:val="99"/>
    <w:qFormat/>
    <w:tblPr>
      <w:tblCellMar>
        <w:left w:w="0" w:type="dxa"/>
        <w:top w:w="0" w:type="dxa"/>
        <w:right w:w="0" w:type="dxa"/>
        <w:bottom w:w="0" w:type="dxa"/>
      </w:tblCellMar>
    </w:tblPr>
  </w:style>
  <w:style w:type="table" w:styleId="1136" w:customStyle="1">
    <w:name w:val="List Table 2 - Accent 4"/>
    <w:uiPriority w:val="99"/>
    <w:qFormat/>
    <w:tblPr>
      <w:tblCellMar>
        <w:left w:w="0" w:type="dxa"/>
        <w:top w:w="0" w:type="dxa"/>
        <w:right w:w="0" w:type="dxa"/>
        <w:bottom w:w="0" w:type="dxa"/>
      </w:tblCellMar>
    </w:tblPr>
  </w:style>
  <w:style w:type="table" w:styleId="1137" w:customStyle="1">
    <w:name w:val="List Table 2 - Accent 5"/>
    <w:uiPriority w:val="99"/>
    <w:qFormat/>
    <w:tblPr>
      <w:tblCellMar>
        <w:left w:w="0" w:type="dxa"/>
        <w:top w:w="0" w:type="dxa"/>
        <w:right w:w="0" w:type="dxa"/>
        <w:bottom w:w="0" w:type="dxa"/>
      </w:tblCellMar>
    </w:tblPr>
  </w:style>
  <w:style w:type="table" w:styleId="1138" w:customStyle="1">
    <w:name w:val="List Table 2 - Accent 6"/>
    <w:uiPriority w:val="99"/>
    <w:qFormat/>
    <w:tblPr>
      <w:tblCellMar>
        <w:left w:w="0" w:type="dxa"/>
        <w:top w:w="0" w:type="dxa"/>
        <w:right w:w="0" w:type="dxa"/>
        <w:bottom w:w="0" w:type="dxa"/>
      </w:tblCellMar>
    </w:tblPr>
  </w:style>
  <w:style w:type="table" w:styleId="1139" w:customStyle="1">
    <w:name w:val="清单表 31"/>
    <w:uiPriority w:val="99"/>
    <w:qFormat/>
    <w:tblPr>
      <w:tblCellMar>
        <w:left w:w="0" w:type="dxa"/>
        <w:top w:w="0" w:type="dxa"/>
        <w:right w:w="0" w:type="dxa"/>
        <w:bottom w:w="0" w:type="dxa"/>
      </w:tblCellMar>
    </w:tblPr>
  </w:style>
  <w:style w:type="table" w:styleId="1140" w:customStyle="1">
    <w:name w:val="List Table 3 - Accent 1"/>
    <w:uiPriority w:val="99"/>
    <w:qFormat/>
    <w:tblPr>
      <w:tblCellMar>
        <w:left w:w="0" w:type="dxa"/>
        <w:top w:w="0" w:type="dxa"/>
        <w:right w:w="0" w:type="dxa"/>
        <w:bottom w:w="0" w:type="dxa"/>
      </w:tblCellMar>
    </w:tblPr>
  </w:style>
  <w:style w:type="table" w:styleId="1141" w:customStyle="1">
    <w:name w:val="List Table 3 - Accent 2"/>
    <w:uiPriority w:val="99"/>
    <w:qFormat/>
    <w:tblPr>
      <w:tblCellMar>
        <w:left w:w="0" w:type="dxa"/>
        <w:top w:w="0" w:type="dxa"/>
        <w:right w:w="0" w:type="dxa"/>
        <w:bottom w:w="0" w:type="dxa"/>
      </w:tblCellMar>
    </w:tblPr>
  </w:style>
  <w:style w:type="table" w:styleId="1142" w:customStyle="1">
    <w:name w:val="List Table 3 - Accent 3"/>
    <w:uiPriority w:val="99"/>
    <w:qFormat/>
    <w:tblPr>
      <w:tblCellMar>
        <w:left w:w="0" w:type="dxa"/>
        <w:top w:w="0" w:type="dxa"/>
        <w:right w:w="0" w:type="dxa"/>
        <w:bottom w:w="0" w:type="dxa"/>
      </w:tblCellMar>
    </w:tblPr>
  </w:style>
  <w:style w:type="table" w:styleId="1143" w:customStyle="1">
    <w:name w:val="List Table 3 - Accent 4"/>
    <w:uiPriority w:val="99"/>
    <w:qFormat/>
    <w:tblPr>
      <w:tblCellMar>
        <w:left w:w="0" w:type="dxa"/>
        <w:top w:w="0" w:type="dxa"/>
        <w:right w:w="0" w:type="dxa"/>
        <w:bottom w:w="0" w:type="dxa"/>
      </w:tblCellMar>
    </w:tblPr>
  </w:style>
  <w:style w:type="table" w:styleId="1144" w:customStyle="1">
    <w:name w:val="List Table 3 - Accent 5"/>
    <w:uiPriority w:val="99"/>
    <w:qFormat/>
    <w:tblPr>
      <w:tblCellMar>
        <w:left w:w="0" w:type="dxa"/>
        <w:top w:w="0" w:type="dxa"/>
        <w:right w:w="0" w:type="dxa"/>
        <w:bottom w:w="0" w:type="dxa"/>
      </w:tblCellMar>
    </w:tblPr>
  </w:style>
  <w:style w:type="table" w:styleId="1145" w:customStyle="1">
    <w:name w:val="List Table 3 - Accent 6"/>
    <w:uiPriority w:val="99"/>
    <w:qFormat/>
    <w:tblPr>
      <w:tblCellMar>
        <w:left w:w="0" w:type="dxa"/>
        <w:top w:w="0" w:type="dxa"/>
        <w:right w:w="0" w:type="dxa"/>
        <w:bottom w:w="0" w:type="dxa"/>
      </w:tblCellMar>
    </w:tblPr>
  </w:style>
  <w:style w:type="table" w:styleId="1146" w:customStyle="1">
    <w:name w:val="清单表 41"/>
    <w:uiPriority w:val="99"/>
    <w:qFormat/>
    <w:tblPr>
      <w:tblCellMar>
        <w:left w:w="0" w:type="dxa"/>
        <w:top w:w="0" w:type="dxa"/>
        <w:right w:w="0" w:type="dxa"/>
        <w:bottom w:w="0" w:type="dxa"/>
      </w:tblCellMar>
    </w:tblPr>
  </w:style>
  <w:style w:type="table" w:styleId="1147" w:customStyle="1">
    <w:name w:val="List Table 4 - Accent 1"/>
    <w:uiPriority w:val="99"/>
    <w:qFormat/>
    <w:tblPr>
      <w:tblCellMar>
        <w:left w:w="0" w:type="dxa"/>
        <w:top w:w="0" w:type="dxa"/>
        <w:right w:w="0" w:type="dxa"/>
        <w:bottom w:w="0" w:type="dxa"/>
      </w:tblCellMar>
    </w:tblPr>
  </w:style>
  <w:style w:type="table" w:styleId="1148" w:customStyle="1">
    <w:name w:val="List Table 4 - Accent 2"/>
    <w:uiPriority w:val="99"/>
    <w:qFormat/>
    <w:tblPr>
      <w:tblCellMar>
        <w:left w:w="0" w:type="dxa"/>
        <w:top w:w="0" w:type="dxa"/>
        <w:right w:w="0" w:type="dxa"/>
        <w:bottom w:w="0" w:type="dxa"/>
      </w:tblCellMar>
    </w:tblPr>
  </w:style>
  <w:style w:type="table" w:styleId="1149" w:customStyle="1">
    <w:name w:val="List Table 4 - Accent 3"/>
    <w:uiPriority w:val="99"/>
    <w:qFormat/>
    <w:tblPr>
      <w:tblCellMar>
        <w:left w:w="0" w:type="dxa"/>
        <w:top w:w="0" w:type="dxa"/>
        <w:right w:w="0" w:type="dxa"/>
        <w:bottom w:w="0" w:type="dxa"/>
      </w:tblCellMar>
    </w:tblPr>
  </w:style>
  <w:style w:type="table" w:styleId="1150" w:customStyle="1">
    <w:name w:val="List Table 4 - Accent 4"/>
    <w:uiPriority w:val="99"/>
    <w:qFormat/>
    <w:tblPr>
      <w:tblCellMar>
        <w:left w:w="0" w:type="dxa"/>
        <w:top w:w="0" w:type="dxa"/>
        <w:right w:w="0" w:type="dxa"/>
        <w:bottom w:w="0" w:type="dxa"/>
      </w:tblCellMar>
    </w:tblPr>
  </w:style>
  <w:style w:type="table" w:styleId="1151" w:customStyle="1">
    <w:name w:val="List Table 4 - Accent 5"/>
    <w:uiPriority w:val="99"/>
    <w:qFormat/>
    <w:tblPr>
      <w:tblCellMar>
        <w:left w:w="0" w:type="dxa"/>
        <w:top w:w="0" w:type="dxa"/>
        <w:right w:w="0" w:type="dxa"/>
        <w:bottom w:w="0" w:type="dxa"/>
      </w:tblCellMar>
    </w:tblPr>
  </w:style>
  <w:style w:type="table" w:styleId="1152" w:customStyle="1">
    <w:name w:val="List Table 4 - Accent 6"/>
    <w:uiPriority w:val="99"/>
    <w:qFormat/>
    <w:tblPr>
      <w:tblCellMar>
        <w:left w:w="0" w:type="dxa"/>
        <w:top w:w="0" w:type="dxa"/>
        <w:right w:w="0" w:type="dxa"/>
        <w:bottom w:w="0" w:type="dxa"/>
      </w:tblCellMar>
    </w:tblPr>
  </w:style>
  <w:style w:type="table" w:styleId="1153" w:customStyle="1">
    <w:name w:val="清单表 5 深色1"/>
    <w:uiPriority w:val="99"/>
    <w:qFormat/>
    <w:tblPr>
      <w:tblCellMar>
        <w:left w:w="0" w:type="dxa"/>
        <w:top w:w="0" w:type="dxa"/>
        <w:right w:w="0" w:type="dxa"/>
        <w:bottom w:w="0" w:type="dxa"/>
      </w:tblCellMar>
    </w:tblPr>
  </w:style>
  <w:style w:type="table" w:styleId="1154" w:customStyle="1">
    <w:name w:val="List Table 5 Dark - Accent 1"/>
    <w:uiPriority w:val="99"/>
    <w:qFormat/>
    <w:tblPr>
      <w:tblCellMar>
        <w:left w:w="0" w:type="dxa"/>
        <w:top w:w="0" w:type="dxa"/>
        <w:right w:w="0" w:type="dxa"/>
        <w:bottom w:w="0" w:type="dxa"/>
      </w:tblCellMar>
    </w:tblPr>
  </w:style>
  <w:style w:type="table" w:styleId="1155" w:customStyle="1">
    <w:name w:val="List Table 5 Dark - Accent 2"/>
    <w:uiPriority w:val="99"/>
    <w:qFormat/>
    <w:tblPr>
      <w:tblCellMar>
        <w:left w:w="0" w:type="dxa"/>
        <w:top w:w="0" w:type="dxa"/>
        <w:right w:w="0" w:type="dxa"/>
        <w:bottom w:w="0" w:type="dxa"/>
      </w:tblCellMar>
    </w:tblPr>
  </w:style>
  <w:style w:type="table" w:styleId="1156" w:customStyle="1">
    <w:name w:val="List Table 5 Dark - Accent 3"/>
    <w:uiPriority w:val="99"/>
    <w:qFormat/>
    <w:tblPr>
      <w:tblCellMar>
        <w:left w:w="0" w:type="dxa"/>
        <w:top w:w="0" w:type="dxa"/>
        <w:right w:w="0" w:type="dxa"/>
        <w:bottom w:w="0" w:type="dxa"/>
      </w:tblCellMar>
    </w:tblPr>
  </w:style>
  <w:style w:type="table" w:styleId="1157" w:customStyle="1">
    <w:name w:val="List Table 5 Dark - Accent 4"/>
    <w:uiPriority w:val="99"/>
    <w:qFormat/>
    <w:tblPr>
      <w:tblCellMar>
        <w:left w:w="0" w:type="dxa"/>
        <w:top w:w="0" w:type="dxa"/>
        <w:right w:w="0" w:type="dxa"/>
        <w:bottom w:w="0" w:type="dxa"/>
      </w:tblCellMar>
    </w:tblPr>
  </w:style>
  <w:style w:type="table" w:styleId="1158" w:customStyle="1">
    <w:name w:val="List Table 5 Dark - Accent 5"/>
    <w:uiPriority w:val="99"/>
    <w:qFormat/>
    <w:tblPr>
      <w:tblCellMar>
        <w:left w:w="0" w:type="dxa"/>
        <w:top w:w="0" w:type="dxa"/>
        <w:right w:w="0" w:type="dxa"/>
        <w:bottom w:w="0" w:type="dxa"/>
      </w:tblCellMar>
    </w:tblPr>
  </w:style>
  <w:style w:type="table" w:styleId="1159" w:customStyle="1">
    <w:name w:val="List Table 5 Dark - Accent 6"/>
    <w:uiPriority w:val="99"/>
    <w:qFormat/>
    <w:tblPr>
      <w:tblCellMar>
        <w:left w:w="0" w:type="dxa"/>
        <w:top w:w="0" w:type="dxa"/>
        <w:right w:w="0" w:type="dxa"/>
        <w:bottom w:w="0" w:type="dxa"/>
      </w:tblCellMar>
    </w:tblPr>
  </w:style>
  <w:style w:type="table" w:styleId="1160" w:customStyle="1">
    <w:name w:val="清单表 6 彩色1"/>
    <w:uiPriority w:val="99"/>
    <w:qFormat/>
    <w:tblPr>
      <w:tblCellMar>
        <w:left w:w="0" w:type="dxa"/>
        <w:top w:w="0" w:type="dxa"/>
        <w:right w:w="0" w:type="dxa"/>
        <w:bottom w:w="0" w:type="dxa"/>
      </w:tblCellMar>
    </w:tblPr>
  </w:style>
  <w:style w:type="table" w:styleId="1161" w:customStyle="1">
    <w:name w:val="List Table 6 Colorful - Accent 1"/>
    <w:uiPriority w:val="99"/>
    <w:qFormat/>
    <w:tblPr>
      <w:tblCellMar>
        <w:left w:w="0" w:type="dxa"/>
        <w:top w:w="0" w:type="dxa"/>
        <w:right w:w="0" w:type="dxa"/>
        <w:bottom w:w="0" w:type="dxa"/>
      </w:tblCellMar>
    </w:tblPr>
  </w:style>
  <w:style w:type="table" w:styleId="1162" w:customStyle="1">
    <w:name w:val="List Table 6 Colorful - Accent 2"/>
    <w:uiPriority w:val="99"/>
    <w:qFormat/>
    <w:tblPr>
      <w:tblCellMar>
        <w:left w:w="0" w:type="dxa"/>
        <w:top w:w="0" w:type="dxa"/>
        <w:right w:w="0" w:type="dxa"/>
        <w:bottom w:w="0" w:type="dxa"/>
      </w:tblCellMar>
    </w:tblPr>
  </w:style>
  <w:style w:type="table" w:styleId="1163" w:customStyle="1">
    <w:name w:val="List Table 6 Colorful - Accent 3"/>
    <w:uiPriority w:val="99"/>
    <w:qFormat/>
    <w:tblPr>
      <w:tblCellMar>
        <w:left w:w="0" w:type="dxa"/>
        <w:top w:w="0" w:type="dxa"/>
        <w:right w:w="0" w:type="dxa"/>
        <w:bottom w:w="0" w:type="dxa"/>
      </w:tblCellMar>
    </w:tblPr>
  </w:style>
  <w:style w:type="table" w:styleId="1164" w:customStyle="1">
    <w:name w:val="List Table 6 Colorful - Accent 4"/>
    <w:uiPriority w:val="99"/>
    <w:qFormat/>
    <w:tblPr>
      <w:tblCellMar>
        <w:left w:w="0" w:type="dxa"/>
        <w:top w:w="0" w:type="dxa"/>
        <w:right w:w="0" w:type="dxa"/>
        <w:bottom w:w="0" w:type="dxa"/>
      </w:tblCellMar>
    </w:tblPr>
  </w:style>
  <w:style w:type="table" w:styleId="1165" w:customStyle="1">
    <w:name w:val="List Table 6 Colorful - Accent 5"/>
    <w:uiPriority w:val="99"/>
    <w:qFormat/>
    <w:tblPr>
      <w:tblCellMar>
        <w:left w:w="0" w:type="dxa"/>
        <w:top w:w="0" w:type="dxa"/>
        <w:right w:w="0" w:type="dxa"/>
        <w:bottom w:w="0" w:type="dxa"/>
      </w:tblCellMar>
    </w:tblPr>
  </w:style>
  <w:style w:type="table" w:styleId="1166" w:customStyle="1">
    <w:name w:val="List Table 6 Colorful - Accent 6"/>
    <w:uiPriority w:val="99"/>
    <w:qFormat/>
    <w:tblPr>
      <w:tblCellMar>
        <w:left w:w="0" w:type="dxa"/>
        <w:top w:w="0" w:type="dxa"/>
        <w:right w:w="0" w:type="dxa"/>
        <w:bottom w:w="0" w:type="dxa"/>
      </w:tblCellMar>
    </w:tblPr>
  </w:style>
  <w:style w:type="table" w:styleId="1167" w:customStyle="1">
    <w:name w:val="清单表 7 彩色1"/>
    <w:uiPriority w:val="99"/>
    <w:qFormat/>
    <w:tblPr>
      <w:tblCellMar>
        <w:left w:w="0" w:type="dxa"/>
        <w:top w:w="0" w:type="dxa"/>
        <w:right w:w="0" w:type="dxa"/>
        <w:bottom w:w="0" w:type="dxa"/>
      </w:tblCellMar>
    </w:tblPr>
  </w:style>
  <w:style w:type="table" w:styleId="1168" w:customStyle="1">
    <w:name w:val="List Table 7 Colorful - Accent 1"/>
    <w:uiPriority w:val="99"/>
    <w:qFormat/>
    <w:tblPr>
      <w:tblCellMar>
        <w:left w:w="0" w:type="dxa"/>
        <w:top w:w="0" w:type="dxa"/>
        <w:right w:w="0" w:type="dxa"/>
        <w:bottom w:w="0" w:type="dxa"/>
      </w:tblCellMar>
    </w:tblPr>
  </w:style>
  <w:style w:type="table" w:styleId="1169" w:customStyle="1">
    <w:name w:val="List Table 7 Colorful - Accent 2"/>
    <w:uiPriority w:val="99"/>
    <w:qFormat/>
    <w:tblPr>
      <w:tblCellMar>
        <w:left w:w="0" w:type="dxa"/>
        <w:top w:w="0" w:type="dxa"/>
        <w:right w:w="0" w:type="dxa"/>
        <w:bottom w:w="0" w:type="dxa"/>
      </w:tblCellMar>
    </w:tblPr>
  </w:style>
  <w:style w:type="table" w:styleId="1170" w:customStyle="1">
    <w:name w:val="List Table 7 Colorful - Accent 3"/>
    <w:uiPriority w:val="99"/>
    <w:qFormat/>
    <w:tblPr>
      <w:tblCellMar>
        <w:left w:w="0" w:type="dxa"/>
        <w:top w:w="0" w:type="dxa"/>
        <w:right w:w="0" w:type="dxa"/>
        <w:bottom w:w="0" w:type="dxa"/>
      </w:tblCellMar>
    </w:tblPr>
  </w:style>
  <w:style w:type="table" w:styleId="1171" w:customStyle="1">
    <w:name w:val="List Table 7 Colorful - Accent 4"/>
    <w:uiPriority w:val="99"/>
    <w:qFormat/>
    <w:tblPr>
      <w:tblCellMar>
        <w:left w:w="0" w:type="dxa"/>
        <w:top w:w="0" w:type="dxa"/>
        <w:right w:w="0" w:type="dxa"/>
        <w:bottom w:w="0" w:type="dxa"/>
      </w:tblCellMar>
    </w:tblPr>
  </w:style>
  <w:style w:type="table" w:styleId="1172" w:customStyle="1">
    <w:name w:val="List Table 7 Colorful - Accent 5"/>
    <w:uiPriority w:val="99"/>
    <w:qFormat/>
    <w:tblPr>
      <w:tblCellMar>
        <w:left w:w="0" w:type="dxa"/>
        <w:top w:w="0" w:type="dxa"/>
        <w:right w:w="0" w:type="dxa"/>
        <w:bottom w:w="0" w:type="dxa"/>
      </w:tblCellMar>
    </w:tblPr>
  </w:style>
  <w:style w:type="table" w:styleId="1173" w:customStyle="1">
    <w:name w:val="List Table 7 Colorful - Accent 6"/>
    <w:uiPriority w:val="99"/>
    <w:qFormat/>
    <w:tblPr>
      <w:tblCellMar>
        <w:left w:w="0" w:type="dxa"/>
        <w:top w:w="0" w:type="dxa"/>
        <w:right w:w="0" w:type="dxa"/>
        <w:bottom w:w="0" w:type="dxa"/>
      </w:tblCellMar>
    </w:tblPr>
  </w:style>
  <w:style w:type="table" w:styleId="1174" w:customStyle="1">
    <w:name w:val="Lined - Accent"/>
    <w:uiPriority w:val="99"/>
    <w:qFormat/>
    <w:rPr>
      <w:color w:val="404040"/>
    </w:rPr>
    <w:tblPr>
      <w:tblCellMar>
        <w:left w:w="0" w:type="dxa"/>
        <w:top w:w="0" w:type="dxa"/>
        <w:right w:w="0" w:type="dxa"/>
        <w:bottom w:w="0" w:type="dxa"/>
      </w:tblCellMar>
    </w:tblPr>
  </w:style>
  <w:style w:type="table" w:styleId="1175" w:customStyle="1">
    <w:name w:val="Lined - Accent 1"/>
    <w:uiPriority w:val="99"/>
    <w:qFormat/>
    <w:rPr>
      <w:color w:val="404040"/>
    </w:rPr>
    <w:tblPr>
      <w:tblCellMar>
        <w:left w:w="0" w:type="dxa"/>
        <w:top w:w="0" w:type="dxa"/>
        <w:right w:w="0" w:type="dxa"/>
        <w:bottom w:w="0" w:type="dxa"/>
      </w:tblCellMar>
    </w:tblPr>
  </w:style>
  <w:style w:type="table" w:styleId="1176" w:customStyle="1">
    <w:name w:val="Lined - Accent 2"/>
    <w:uiPriority w:val="99"/>
    <w:qFormat/>
    <w:rPr>
      <w:color w:val="404040"/>
    </w:rPr>
    <w:tblPr>
      <w:tblCellMar>
        <w:left w:w="0" w:type="dxa"/>
        <w:top w:w="0" w:type="dxa"/>
        <w:right w:w="0" w:type="dxa"/>
        <w:bottom w:w="0" w:type="dxa"/>
      </w:tblCellMar>
    </w:tblPr>
  </w:style>
  <w:style w:type="table" w:styleId="1177" w:customStyle="1">
    <w:name w:val="Lined - Accent 3"/>
    <w:uiPriority w:val="99"/>
    <w:qFormat/>
    <w:rPr>
      <w:color w:val="404040"/>
    </w:rPr>
    <w:tblPr>
      <w:tblCellMar>
        <w:left w:w="0" w:type="dxa"/>
        <w:top w:w="0" w:type="dxa"/>
        <w:right w:w="0" w:type="dxa"/>
        <w:bottom w:w="0" w:type="dxa"/>
      </w:tblCellMar>
    </w:tblPr>
  </w:style>
  <w:style w:type="table" w:styleId="1178" w:customStyle="1">
    <w:name w:val="Lined - Accent 4"/>
    <w:uiPriority w:val="99"/>
    <w:qFormat/>
    <w:rPr>
      <w:color w:val="404040"/>
    </w:rPr>
    <w:tblPr>
      <w:tblCellMar>
        <w:left w:w="0" w:type="dxa"/>
        <w:top w:w="0" w:type="dxa"/>
        <w:right w:w="0" w:type="dxa"/>
        <w:bottom w:w="0" w:type="dxa"/>
      </w:tblCellMar>
    </w:tblPr>
  </w:style>
  <w:style w:type="table" w:styleId="1179" w:customStyle="1">
    <w:name w:val="Lined - Accent 5"/>
    <w:uiPriority w:val="99"/>
    <w:qFormat/>
    <w:rPr>
      <w:color w:val="404040"/>
    </w:rPr>
    <w:tblPr>
      <w:tblCellMar>
        <w:left w:w="0" w:type="dxa"/>
        <w:top w:w="0" w:type="dxa"/>
        <w:right w:w="0" w:type="dxa"/>
        <w:bottom w:w="0" w:type="dxa"/>
      </w:tblCellMar>
    </w:tblPr>
  </w:style>
  <w:style w:type="table" w:styleId="1180" w:customStyle="1">
    <w:name w:val="Lined - Accent 6"/>
    <w:uiPriority w:val="99"/>
    <w:qFormat/>
    <w:rPr>
      <w:color w:val="404040"/>
    </w:rPr>
    <w:tblPr>
      <w:tblCellMar>
        <w:left w:w="0" w:type="dxa"/>
        <w:top w:w="0" w:type="dxa"/>
        <w:right w:w="0" w:type="dxa"/>
        <w:bottom w:w="0" w:type="dxa"/>
      </w:tblCellMar>
    </w:tblPr>
  </w:style>
  <w:style w:type="table" w:styleId="1181" w:customStyle="1">
    <w:name w:val="Bordered &amp; Lined - Accent"/>
    <w:uiPriority w:val="99"/>
    <w:qFormat/>
    <w:rPr>
      <w:color w:val="404040"/>
    </w:rPr>
    <w:tblPr>
      <w:tblCellMar>
        <w:left w:w="0" w:type="dxa"/>
        <w:top w:w="0" w:type="dxa"/>
        <w:right w:w="0" w:type="dxa"/>
        <w:bottom w:w="0" w:type="dxa"/>
      </w:tblCellMar>
    </w:tblPr>
  </w:style>
  <w:style w:type="table" w:styleId="1182" w:customStyle="1">
    <w:name w:val="Bordered &amp; Lined - Accent 1"/>
    <w:uiPriority w:val="99"/>
    <w:qFormat/>
    <w:rPr>
      <w:color w:val="404040"/>
    </w:rPr>
    <w:tblPr>
      <w:tblCellMar>
        <w:left w:w="0" w:type="dxa"/>
        <w:top w:w="0" w:type="dxa"/>
        <w:right w:w="0" w:type="dxa"/>
        <w:bottom w:w="0" w:type="dxa"/>
      </w:tblCellMar>
    </w:tblPr>
  </w:style>
  <w:style w:type="table" w:styleId="1183" w:customStyle="1">
    <w:name w:val="Bordered &amp; Lined - Accent 2"/>
    <w:uiPriority w:val="99"/>
    <w:qFormat/>
    <w:rPr>
      <w:color w:val="404040"/>
    </w:rPr>
    <w:tblPr>
      <w:tblCellMar>
        <w:left w:w="0" w:type="dxa"/>
        <w:top w:w="0" w:type="dxa"/>
        <w:right w:w="0" w:type="dxa"/>
        <w:bottom w:w="0" w:type="dxa"/>
      </w:tblCellMar>
    </w:tblPr>
  </w:style>
  <w:style w:type="table" w:styleId="1184" w:customStyle="1">
    <w:name w:val="Bordered &amp; Lined - Accent 3"/>
    <w:uiPriority w:val="99"/>
    <w:qFormat/>
    <w:rPr>
      <w:color w:val="404040"/>
    </w:rPr>
    <w:tblPr>
      <w:tblCellMar>
        <w:left w:w="0" w:type="dxa"/>
        <w:top w:w="0" w:type="dxa"/>
        <w:right w:w="0" w:type="dxa"/>
        <w:bottom w:w="0" w:type="dxa"/>
      </w:tblCellMar>
    </w:tblPr>
  </w:style>
  <w:style w:type="table" w:styleId="1185" w:customStyle="1">
    <w:name w:val="Bordered &amp; Lined - Accent 4"/>
    <w:uiPriority w:val="99"/>
    <w:qFormat/>
    <w:rPr>
      <w:color w:val="404040"/>
    </w:rPr>
    <w:tblPr>
      <w:tblCellMar>
        <w:left w:w="0" w:type="dxa"/>
        <w:top w:w="0" w:type="dxa"/>
        <w:right w:w="0" w:type="dxa"/>
        <w:bottom w:w="0" w:type="dxa"/>
      </w:tblCellMar>
    </w:tblPr>
  </w:style>
  <w:style w:type="table" w:styleId="1186" w:customStyle="1">
    <w:name w:val="Bordered &amp; Lined - Accent 5"/>
    <w:uiPriority w:val="99"/>
    <w:qFormat/>
    <w:rPr>
      <w:color w:val="404040"/>
    </w:rPr>
    <w:tblPr>
      <w:tblCellMar>
        <w:left w:w="0" w:type="dxa"/>
        <w:top w:w="0" w:type="dxa"/>
        <w:right w:w="0" w:type="dxa"/>
        <w:bottom w:w="0" w:type="dxa"/>
      </w:tblCellMar>
    </w:tblPr>
  </w:style>
  <w:style w:type="table" w:styleId="1187" w:customStyle="1">
    <w:name w:val="Bordered &amp; Lined - Accent 6"/>
    <w:uiPriority w:val="99"/>
    <w:qFormat/>
    <w:rPr>
      <w:color w:val="404040"/>
    </w:rPr>
    <w:tblPr>
      <w:tblCellMar>
        <w:left w:w="0" w:type="dxa"/>
        <w:top w:w="0" w:type="dxa"/>
        <w:right w:w="0" w:type="dxa"/>
        <w:bottom w:w="0" w:type="dxa"/>
      </w:tblCellMar>
    </w:tblPr>
  </w:style>
  <w:style w:type="table" w:styleId="1188" w:customStyle="1">
    <w:name w:val="Bordered"/>
    <w:uiPriority w:val="99"/>
    <w:qFormat/>
    <w:tblPr>
      <w:tblCellMar>
        <w:left w:w="0" w:type="dxa"/>
        <w:top w:w="0" w:type="dxa"/>
        <w:right w:w="0" w:type="dxa"/>
        <w:bottom w:w="0" w:type="dxa"/>
      </w:tblCellMar>
    </w:tblPr>
  </w:style>
  <w:style w:type="table" w:styleId="1189" w:customStyle="1">
    <w:name w:val="Bordered - Accent 1"/>
    <w:uiPriority w:val="99"/>
    <w:qFormat/>
    <w:tblPr>
      <w:tblCellMar>
        <w:left w:w="0" w:type="dxa"/>
        <w:top w:w="0" w:type="dxa"/>
        <w:right w:w="0" w:type="dxa"/>
        <w:bottom w:w="0" w:type="dxa"/>
      </w:tblCellMar>
    </w:tblPr>
  </w:style>
  <w:style w:type="table" w:styleId="1190" w:customStyle="1">
    <w:name w:val="Bordered - Accent 2"/>
    <w:uiPriority w:val="99"/>
    <w:qFormat/>
    <w:tblPr>
      <w:tblCellMar>
        <w:left w:w="0" w:type="dxa"/>
        <w:top w:w="0" w:type="dxa"/>
        <w:right w:w="0" w:type="dxa"/>
        <w:bottom w:w="0" w:type="dxa"/>
      </w:tblCellMar>
    </w:tblPr>
  </w:style>
  <w:style w:type="table" w:styleId="1191" w:customStyle="1">
    <w:name w:val="Bordered - Accent 3"/>
    <w:uiPriority w:val="99"/>
    <w:qFormat/>
    <w:tblPr>
      <w:tblCellMar>
        <w:left w:w="0" w:type="dxa"/>
        <w:top w:w="0" w:type="dxa"/>
        <w:right w:w="0" w:type="dxa"/>
        <w:bottom w:w="0" w:type="dxa"/>
      </w:tblCellMar>
    </w:tblPr>
  </w:style>
  <w:style w:type="table" w:styleId="1192" w:customStyle="1">
    <w:name w:val="Bordered - Accent 4"/>
    <w:uiPriority w:val="99"/>
    <w:qFormat/>
    <w:tblPr>
      <w:tblCellMar>
        <w:left w:w="0" w:type="dxa"/>
        <w:top w:w="0" w:type="dxa"/>
        <w:right w:w="0" w:type="dxa"/>
        <w:bottom w:w="0" w:type="dxa"/>
      </w:tblCellMar>
    </w:tblPr>
  </w:style>
  <w:style w:type="table" w:styleId="1193" w:customStyle="1">
    <w:name w:val="Bordered - Accent 5"/>
    <w:uiPriority w:val="99"/>
    <w:qFormat/>
    <w:tblPr>
      <w:tblCellMar>
        <w:left w:w="0" w:type="dxa"/>
        <w:top w:w="0" w:type="dxa"/>
        <w:right w:w="0" w:type="dxa"/>
        <w:bottom w:w="0" w:type="dxa"/>
      </w:tblCellMar>
    </w:tblPr>
  </w:style>
  <w:style w:type="table" w:styleId="1194" w:customStyle="1">
    <w:name w:val="Bordered - Accent 6"/>
    <w:uiPriority w:val="99"/>
    <w:qFormat/>
    <w:tblPr>
      <w:tblCellMar>
        <w:left w:w="0" w:type="dxa"/>
        <w:top w:w="0" w:type="dxa"/>
        <w:right w:w="0" w:type="dxa"/>
        <w:bottom w:w="0" w:type="dxa"/>
      </w:tblCellMar>
    </w:tblPr>
  </w:style>
  <w:style w:type="paragraph" w:styleId="1195" w:customStyle="1">
    <w:name w:val="TOC 标题1"/>
    <w:uiPriority w:val="39"/>
    <w:unhideWhenUsed/>
    <w:qFormat/>
    <w:rPr>
      <w:rFonts w:ascii="Times New Roman" w:hAnsi="Times New Roman" w:eastAsia="宋体" w:cs="Times New Roman"/>
      <w:lang w:val="en-US" w:eastAsia="zh-CN" w:bidi="ar-SA"/>
    </w:rPr>
  </w:style>
  <w:style w:type="paragraph" w:styleId="1196" w:customStyle="1">
    <w:name w:val="标题 11"/>
    <w:basedOn w:val="959"/>
    <w:next w:val="959"/>
    <w:link w:val="1197"/>
    <w:uiPriority w:val="0"/>
    <w:qFormat/>
    <w:pPr>
      <w:jc w:val="center"/>
      <w:keepNext/>
      <w:outlineLvl w:val="0"/>
    </w:pPr>
    <w:rPr>
      <w:rFonts w:ascii="楷体_GB2312" w:eastAsia="楷体_GB2312"/>
      <w:sz w:val="28"/>
      <w:szCs w:val="28"/>
    </w:rPr>
  </w:style>
  <w:style w:type="character" w:styleId="1197" w:customStyle="1">
    <w:name w:val="标题 1 字符"/>
    <w:link w:val="1196"/>
    <w:uiPriority w:val="0"/>
    <w:qFormat/>
    <w:rPr>
      <w:rFonts w:ascii="楷体_GB2312" w:hAnsi="Times New Roman" w:eastAsia="楷体_GB2312" w:cs="Times New Roman"/>
      <w:sz w:val="28"/>
      <w:szCs w:val="28"/>
    </w:rPr>
  </w:style>
  <w:style w:type="character" w:styleId="1198" w:customStyle="1">
    <w:name w:val="正文缩进 字符"/>
    <w:link w:val="1008"/>
    <w:uiPriority w:val="0"/>
    <w:qFormat/>
    <w:rPr>
      <w:szCs w:val="21"/>
    </w:rPr>
  </w:style>
  <w:style w:type="paragraph" w:styleId="1199" w:customStyle="1">
    <w:name w:val="标题 41"/>
    <w:basedOn w:val="959"/>
    <w:next w:val="1008"/>
    <w:link w:val="1200"/>
    <w:uiPriority w:val="0"/>
    <w:qFormat/>
    <w:pPr>
      <w:keepLines/>
      <w:keepNext/>
      <w:spacing w:before="280" w:after="290" w:line="376" w:lineRule="auto"/>
      <w:outlineLvl w:val="3"/>
    </w:pPr>
    <w:rPr>
      <w:rFonts w:ascii="Arial" w:hAnsi="Arial" w:eastAsia="黑体"/>
      <w:b/>
      <w:bCs/>
      <w:sz w:val="28"/>
      <w:szCs w:val="28"/>
    </w:rPr>
  </w:style>
  <w:style w:type="character" w:styleId="1200" w:customStyle="1">
    <w:name w:val="标题 4 字符"/>
    <w:link w:val="1199"/>
    <w:uiPriority w:val="0"/>
    <w:qFormat/>
    <w:rPr>
      <w:rFonts w:ascii="Arial" w:hAnsi="Arial" w:eastAsia="黑体" w:cs="Arial"/>
      <w:b/>
      <w:bCs/>
      <w:sz w:val="28"/>
      <w:szCs w:val="28"/>
    </w:rPr>
  </w:style>
  <w:style w:type="paragraph" w:styleId="1201" w:customStyle="1">
    <w:name w:val="标题 51"/>
    <w:basedOn w:val="959"/>
    <w:next w:val="1008"/>
    <w:link w:val="1202"/>
    <w:uiPriority w:val="0"/>
    <w:qFormat/>
    <w:pPr>
      <w:keepNext/>
      <w:outlineLvl w:val="4"/>
    </w:pPr>
    <w:rPr>
      <w:rFonts w:ascii="宋体"/>
      <w:color w:val="000000"/>
      <w:sz w:val="28"/>
      <w:szCs w:val="28"/>
    </w:rPr>
  </w:style>
  <w:style w:type="character" w:styleId="1202" w:customStyle="1">
    <w:name w:val="标题 5 字符"/>
    <w:link w:val="1201"/>
    <w:uiPriority w:val="0"/>
    <w:qFormat/>
    <w:rPr>
      <w:rFonts w:ascii="宋体" w:hAnsi="Times New Roman" w:eastAsia="宋体" w:cs="Times New Roman"/>
      <w:color w:val="000000"/>
      <w:sz w:val="28"/>
      <w:szCs w:val="28"/>
    </w:rPr>
  </w:style>
  <w:style w:type="paragraph" w:styleId="1203" w:customStyle="1">
    <w:name w:val="标题 61"/>
    <w:basedOn w:val="959"/>
    <w:next w:val="959"/>
    <w:link w:val="1204"/>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204" w:customStyle="1">
    <w:name w:val="标题 6 字符"/>
    <w:link w:val="1203"/>
    <w:uiPriority w:val="0"/>
    <w:qFormat/>
    <w:rPr>
      <w:rFonts w:ascii="Arial" w:hAnsi="Arial" w:eastAsia="黑体" w:cs="Times New Roman"/>
      <w:b/>
      <w:bCs/>
      <w:sz w:val="24"/>
      <w:szCs w:val="24"/>
    </w:rPr>
  </w:style>
  <w:style w:type="paragraph" w:styleId="1205" w:customStyle="1">
    <w:name w:val="标题 71"/>
    <w:basedOn w:val="959"/>
    <w:next w:val="959"/>
    <w:link w:val="1206"/>
    <w:uiPriority w:val="0"/>
    <w:qFormat/>
    <w:pPr>
      <w:numPr>
        <w:ilvl w:val="6"/>
        <w:numId w:val="2"/>
      </w:numPr>
      <w:keepLines/>
      <w:keepNext/>
      <w:spacing w:before="240" w:after="64" w:line="320" w:lineRule="auto"/>
      <w:outlineLvl w:val="6"/>
    </w:pPr>
    <w:rPr>
      <w:b/>
      <w:bCs/>
      <w:sz w:val="24"/>
      <w:szCs w:val="24"/>
    </w:rPr>
  </w:style>
  <w:style w:type="character" w:styleId="1206" w:customStyle="1">
    <w:name w:val="标题 7 字符"/>
    <w:link w:val="1205"/>
    <w:uiPriority w:val="0"/>
    <w:qFormat/>
    <w:rPr>
      <w:rFonts w:ascii="Times New Roman" w:hAnsi="Times New Roman" w:eastAsia="宋体" w:cs="Times New Roman"/>
      <w:b/>
      <w:bCs/>
      <w:sz w:val="24"/>
      <w:szCs w:val="24"/>
    </w:rPr>
  </w:style>
  <w:style w:type="paragraph" w:styleId="1207" w:customStyle="1">
    <w:name w:val="标题 81"/>
    <w:basedOn w:val="959"/>
    <w:next w:val="959"/>
    <w:link w:val="1208"/>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208" w:customStyle="1">
    <w:name w:val="标题 8 字符"/>
    <w:link w:val="1207"/>
    <w:uiPriority w:val="0"/>
    <w:qFormat/>
    <w:rPr>
      <w:rFonts w:ascii="Arial" w:hAnsi="Arial" w:eastAsia="黑体" w:cs="Times New Roman"/>
      <w:sz w:val="24"/>
      <w:szCs w:val="24"/>
    </w:rPr>
  </w:style>
  <w:style w:type="paragraph" w:styleId="1209" w:customStyle="1">
    <w:name w:val="标题 91"/>
    <w:basedOn w:val="959"/>
    <w:next w:val="959"/>
    <w:link w:val="1210"/>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210" w:customStyle="1">
    <w:name w:val="标题 9 字符"/>
    <w:link w:val="1209"/>
    <w:uiPriority w:val="0"/>
    <w:qFormat/>
    <w:rPr>
      <w:rFonts w:ascii="Arial" w:hAnsi="Arial" w:eastAsia="黑体" w:cs="Times New Roman"/>
      <w:szCs w:val="21"/>
    </w:rPr>
  </w:style>
  <w:style w:type="character" w:styleId="1211" w:customStyle="1">
    <w:name w:val="默认段落字体1"/>
    <w:uiPriority w:val="1"/>
    <w:unhideWhenUsed/>
    <w:qFormat/>
  </w:style>
  <w:style w:type="table" w:styleId="1212" w:customStyle="1">
    <w:name w:val="普通表格1"/>
    <w:uiPriority w:val="99"/>
    <w:unhideWhenUsed/>
    <w:qFormat/>
    <w:tblPr>
      <w:tblCellMar>
        <w:left w:w="0" w:type="dxa"/>
        <w:top w:w="0" w:type="dxa"/>
        <w:right w:w="0" w:type="dxa"/>
        <w:bottom w:w="0" w:type="dxa"/>
      </w:tblCellMar>
    </w:tblPr>
  </w:style>
  <w:style w:type="paragraph" w:styleId="1213" w:customStyle="1">
    <w:name w:val="列表 31"/>
    <w:basedOn w:val="959"/>
    <w:uiPriority w:val="0"/>
    <w:qFormat/>
    <w:pPr>
      <w:ind w:left="100" w:hanging="200"/>
    </w:pPr>
    <w:rPr>
      <w:szCs w:val="21"/>
    </w:rPr>
  </w:style>
  <w:style w:type="paragraph" w:styleId="1214" w:customStyle="1">
    <w:name w:val="目录 71"/>
    <w:basedOn w:val="959"/>
    <w:next w:val="959"/>
    <w:uiPriority w:val="0"/>
    <w:semiHidden/>
    <w:qFormat/>
    <w:pPr>
      <w:ind w:left="1260"/>
      <w:jc w:val="left"/>
    </w:pPr>
    <w:rPr>
      <w:szCs w:val="21"/>
    </w:rPr>
  </w:style>
  <w:style w:type="paragraph" w:styleId="1215" w:customStyle="1">
    <w:name w:val="文档结构图1"/>
    <w:basedOn w:val="959"/>
    <w:link w:val="1216"/>
    <w:uiPriority w:val="0"/>
    <w:semiHidden/>
    <w:qFormat/>
    <w:pPr>
      <w:shd w:val="clear" w:color="auto" w:fill="000080"/>
    </w:pPr>
    <w:rPr>
      <w:sz w:val="20"/>
      <w:szCs w:val="21"/>
    </w:rPr>
  </w:style>
  <w:style w:type="character" w:styleId="1216" w:customStyle="1">
    <w:name w:val="文档结构图 字符"/>
    <w:link w:val="1215"/>
    <w:uiPriority w:val="0"/>
    <w:semiHidden/>
    <w:qFormat/>
    <w:rPr>
      <w:rFonts w:ascii="Times New Roman" w:hAnsi="Times New Roman" w:eastAsia="宋体" w:cs="Times New Roman"/>
      <w:szCs w:val="21"/>
      <w:shd w:val="clear" w:color="auto" w:fill="000080"/>
    </w:rPr>
  </w:style>
  <w:style w:type="paragraph" w:styleId="1217" w:customStyle="1">
    <w:name w:val="批注文字1"/>
    <w:basedOn w:val="959"/>
    <w:link w:val="1218"/>
    <w:uiPriority w:val="99"/>
    <w:unhideWhenUsed/>
    <w:qFormat/>
    <w:pPr>
      <w:jc w:val="left"/>
    </w:pPr>
  </w:style>
  <w:style w:type="character" w:styleId="1218" w:customStyle="1">
    <w:name w:val="批注文字 字符"/>
    <w:link w:val="1217"/>
    <w:uiPriority w:val="99"/>
    <w:semiHidden/>
    <w:qFormat/>
  </w:style>
  <w:style w:type="paragraph" w:styleId="1219" w:customStyle="1">
    <w:name w:val="正文文本 31"/>
    <w:basedOn w:val="959"/>
    <w:link w:val="1220"/>
    <w:uiPriority w:val="0"/>
    <w:qFormat/>
    <w:rPr>
      <w:rFonts w:ascii="仿宋_GB2312" w:hAnsi="Arial" w:eastAsia="仿宋_GB2312"/>
      <w:sz w:val="32"/>
      <w:szCs w:val="32"/>
    </w:rPr>
  </w:style>
  <w:style w:type="character" w:styleId="1220" w:customStyle="1">
    <w:name w:val="正文文本 3 字符"/>
    <w:link w:val="1219"/>
    <w:uiPriority w:val="0"/>
    <w:qFormat/>
    <w:rPr>
      <w:rFonts w:ascii="仿宋_GB2312" w:hAnsi="Arial" w:eastAsia="仿宋_GB2312" w:cs="Times New Roman"/>
      <w:sz w:val="32"/>
      <w:szCs w:val="32"/>
    </w:rPr>
  </w:style>
  <w:style w:type="character" w:styleId="1221" w:customStyle="1">
    <w:name w:val="正文文本缩进 字符"/>
    <w:link w:val="972"/>
    <w:uiPriority w:val="99"/>
    <w:semiHidden/>
    <w:qFormat/>
  </w:style>
  <w:style w:type="paragraph" w:styleId="1222" w:customStyle="1">
    <w:name w:val="列表 21"/>
    <w:basedOn w:val="959"/>
    <w:uiPriority w:val="0"/>
    <w:qFormat/>
    <w:pPr>
      <w:ind w:left="100" w:hanging="200"/>
    </w:pPr>
    <w:rPr>
      <w:szCs w:val="21"/>
    </w:rPr>
  </w:style>
  <w:style w:type="paragraph" w:styleId="1223" w:customStyle="1">
    <w:name w:val="目录 51"/>
    <w:basedOn w:val="959"/>
    <w:next w:val="959"/>
    <w:uiPriority w:val="0"/>
    <w:semiHidden/>
    <w:qFormat/>
    <w:pPr>
      <w:ind w:left="840"/>
      <w:jc w:val="left"/>
    </w:pPr>
    <w:rPr>
      <w:szCs w:val="21"/>
    </w:rPr>
  </w:style>
  <w:style w:type="paragraph" w:styleId="1224" w:customStyle="1">
    <w:name w:val="目录 31"/>
    <w:basedOn w:val="959"/>
    <w:next w:val="959"/>
    <w:uiPriority w:val="0"/>
    <w:semiHidden/>
    <w:qFormat/>
    <w:pPr>
      <w:ind w:left="420"/>
      <w:jc w:val="left"/>
    </w:pPr>
    <w:rPr>
      <w:i/>
      <w:iCs/>
      <w:szCs w:val="24"/>
    </w:rPr>
  </w:style>
  <w:style w:type="paragraph" w:styleId="1225" w:customStyle="1">
    <w:name w:val="纯文本1"/>
    <w:basedOn w:val="959"/>
    <w:link w:val="1226"/>
    <w:uiPriority w:val="0"/>
    <w:qFormat/>
    <w:rPr>
      <w:rFonts w:ascii="宋体" w:hAnsi="Courier New"/>
      <w:sz w:val="20"/>
      <w:szCs w:val="21"/>
    </w:rPr>
  </w:style>
  <w:style w:type="character" w:styleId="1226" w:customStyle="1">
    <w:name w:val="纯文本 字符"/>
    <w:link w:val="1225"/>
    <w:uiPriority w:val="0"/>
    <w:qFormat/>
    <w:rPr>
      <w:rFonts w:ascii="宋体" w:hAnsi="Courier New" w:eastAsia="宋体" w:cs="Courier New"/>
      <w:szCs w:val="21"/>
    </w:rPr>
  </w:style>
  <w:style w:type="paragraph" w:styleId="1227" w:customStyle="1">
    <w:name w:val="目录 81"/>
    <w:basedOn w:val="959"/>
    <w:next w:val="959"/>
    <w:uiPriority w:val="0"/>
    <w:semiHidden/>
    <w:qFormat/>
    <w:pPr>
      <w:ind w:left="1470"/>
      <w:jc w:val="left"/>
    </w:pPr>
    <w:rPr>
      <w:szCs w:val="21"/>
    </w:rPr>
  </w:style>
  <w:style w:type="paragraph" w:styleId="1228" w:customStyle="1">
    <w:name w:val="日期1"/>
    <w:basedOn w:val="959"/>
    <w:next w:val="959"/>
    <w:link w:val="1229"/>
    <w:uiPriority w:val="0"/>
    <w:qFormat/>
    <w:rPr>
      <w:sz w:val="24"/>
      <w:szCs w:val="24"/>
    </w:rPr>
  </w:style>
  <w:style w:type="character" w:styleId="1229" w:customStyle="1">
    <w:name w:val="日期 字符"/>
    <w:link w:val="1228"/>
    <w:uiPriority w:val="0"/>
    <w:qFormat/>
    <w:rPr>
      <w:rFonts w:ascii="Times New Roman" w:hAnsi="Times New Roman" w:eastAsia="宋体" w:cs="Times New Roman"/>
      <w:sz w:val="24"/>
      <w:szCs w:val="24"/>
    </w:rPr>
  </w:style>
  <w:style w:type="paragraph" w:styleId="1230" w:customStyle="1">
    <w:name w:val="正文文本缩进 21"/>
    <w:basedOn w:val="959"/>
    <w:link w:val="1231"/>
    <w:uiPriority w:val="0"/>
    <w:qFormat/>
    <w:pPr>
      <w:ind w:left="630" w:firstLine="645"/>
    </w:pPr>
    <w:rPr>
      <w:rFonts w:ascii="Arial" w:hAnsi="Arial" w:eastAsia="仿宋_GB2312"/>
      <w:sz w:val="32"/>
      <w:szCs w:val="32"/>
    </w:rPr>
  </w:style>
  <w:style w:type="character" w:styleId="1231" w:customStyle="1">
    <w:name w:val="正文文本缩进 2 字符"/>
    <w:link w:val="1230"/>
    <w:uiPriority w:val="0"/>
    <w:qFormat/>
    <w:rPr>
      <w:rFonts w:ascii="Arial" w:hAnsi="Arial" w:eastAsia="仿宋_GB2312" w:cs="Arial"/>
      <w:sz w:val="32"/>
      <w:szCs w:val="32"/>
    </w:rPr>
  </w:style>
  <w:style w:type="paragraph" w:styleId="1232" w:customStyle="1">
    <w:name w:val="批注框文本1"/>
    <w:basedOn w:val="959"/>
    <w:link w:val="1233"/>
    <w:uiPriority w:val="0"/>
    <w:semiHidden/>
    <w:qFormat/>
    <w:rPr>
      <w:sz w:val="18"/>
      <w:szCs w:val="18"/>
    </w:rPr>
  </w:style>
  <w:style w:type="character" w:styleId="1233" w:customStyle="1">
    <w:name w:val="批注框文本 字符"/>
    <w:link w:val="1232"/>
    <w:uiPriority w:val="0"/>
    <w:semiHidden/>
    <w:qFormat/>
    <w:rPr>
      <w:rFonts w:ascii="Times New Roman" w:hAnsi="Times New Roman" w:eastAsia="宋体" w:cs="Times New Roman"/>
      <w:sz w:val="18"/>
      <w:szCs w:val="18"/>
    </w:rPr>
  </w:style>
  <w:style w:type="paragraph" w:styleId="1234" w:customStyle="1">
    <w:name w:val="页脚1"/>
    <w:basedOn w:val="959"/>
    <w:link w:val="1235"/>
    <w:uiPriority w:val="99"/>
    <w:qFormat/>
    <w:pPr>
      <w:jc w:val="left"/>
      <w:tabs>
        <w:tab w:val="center" w:pos="4153" w:leader="none"/>
        <w:tab w:val="right" w:pos="8306" w:leader="none"/>
      </w:tabs>
    </w:pPr>
    <w:rPr>
      <w:sz w:val="18"/>
      <w:szCs w:val="18"/>
    </w:rPr>
  </w:style>
  <w:style w:type="character" w:styleId="1235" w:customStyle="1">
    <w:name w:val="页脚 字符"/>
    <w:link w:val="1234"/>
    <w:uiPriority w:val="99"/>
    <w:qFormat/>
    <w:rPr>
      <w:rFonts w:ascii="Times New Roman" w:hAnsi="Times New Roman" w:eastAsia="宋体" w:cs="Times New Roman"/>
      <w:sz w:val="18"/>
      <w:szCs w:val="18"/>
    </w:rPr>
  </w:style>
  <w:style w:type="paragraph" w:styleId="1236" w:customStyle="1">
    <w:name w:val="页眉1"/>
    <w:basedOn w:val="959"/>
    <w:link w:val="1237"/>
    <w:uiPriority w:val="99"/>
    <w:qFormat/>
    <w:pPr>
      <w:jc w:val="center"/>
      <w:tabs>
        <w:tab w:val="center" w:pos="4153" w:leader="none"/>
        <w:tab w:val="right" w:pos="8306" w:leader="none"/>
      </w:tabs>
      <w:pBdr>
        <w:bottom w:val="single" w:color="000000" w:sz="6" w:space="1"/>
      </w:pBdr>
    </w:pPr>
    <w:rPr>
      <w:sz w:val="18"/>
      <w:szCs w:val="18"/>
    </w:rPr>
  </w:style>
  <w:style w:type="character" w:styleId="1237" w:customStyle="1">
    <w:name w:val="页眉 字符"/>
    <w:link w:val="1236"/>
    <w:uiPriority w:val="99"/>
    <w:qFormat/>
    <w:rPr>
      <w:rFonts w:ascii="Times New Roman" w:hAnsi="Times New Roman" w:eastAsia="宋体" w:cs="Times New Roman"/>
      <w:sz w:val="18"/>
      <w:szCs w:val="18"/>
    </w:rPr>
  </w:style>
  <w:style w:type="paragraph" w:styleId="1238" w:customStyle="1">
    <w:name w:val="目录 11"/>
    <w:basedOn w:val="959"/>
    <w:next w:val="959"/>
    <w:uiPriority w:val="39"/>
    <w:qFormat/>
    <w:pPr>
      <w:jc w:val="left"/>
      <w:spacing w:before="120" w:after="120" w:line="400" w:lineRule="exact"/>
      <w:tabs>
        <w:tab w:val="right" w:pos="8720" w:leader="dot"/>
      </w:tabs>
    </w:pPr>
    <w:rPr>
      <w:rFonts w:ascii="宋体" w:hAnsi="宋体"/>
      <w:caps/>
      <w:sz w:val="24"/>
      <w:szCs w:val="24"/>
    </w:rPr>
  </w:style>
  <w:style w:type="paragraph" w:styleId="1239" w:customStyle="1">
    <w:name w:val="目录 41"/>
    <w:basedOn w:val="959"/>
    <w:next w:val="959"/>
    <w:uiPriority w:val="0"/>
    <w:semiHidden/>
    <w:qFormat/>
    <w:pPr>
      <w:ind w:left="630"/>
      <w:jc w:val="left"/>
    </w:pPr>
    <w:rPr>
      <w:szCs w:val="21"/>
    </w:rPr>
  </w:style>
  <w:style w:type="paragraph" w:styleId="1240" w:customStyle="1">
    <w:name w:val="列表1"/>
    <w:basedOn w:val="959"/>
    <w:uiPriority w:val="0"/>
    <w:qFormat/>
    <w:pPr>
      <w:ind w:left="200" w:hanging="200"/>
    </w:pPr>
    <w:rPr>
      <w:szCs w:val="21"/>
    </w:rPr>
  </w:style>
  <w:style w:type="paragraph" w:styleId="1241" w:customStyle="1">
    <w:name w:val="目录 61"/>
    <w:basedOn w:val="959"/>
    <w:next w:val="959"/>
    <w:uiPriority w:val="0"/>
    <w:semiHidden/>
    <w:qFormat/>
    <w:pPr>
      <w:ind w:left="1050"/>
      <w:jc w:val="left"/>
    </w:pPr>
    <w:rPr>
      <w:szCs w:val="21"/>
    </w:rPr>
  </w:style>
  <w:style w:type="character" w:styleId="1242" w:customStyle="1">
    <w:name w:val="正文文本缩进 3 字符"/>
    <w:link w:val="1015"/>
    <w:uiPriority w:val="0"/>
    <w:qFormat/>
    <w:rPr>
      <w:rFonts w:ascii="Arial" w:hAnsi="Arial" w:eastAsia="仿宋_GB2312" w:cs="Arial"/>
      <w:color w:val="ffff00"/>
      <w:sz w:val="32"/>
      <w:szCs w:val="32"/>
    </w:rPr>
  </w:style>
  <w:style w:type="paragraph" w:styleId="1243" w:customStyle="1">
    <w:name w:val="图表目录1"/>
    <w:basedOn w:val="959"/>
    <w:next w:val="959"/>
    <w:uiPriority w:val="0"/>
    <w:semiHidden/>
    <w:qFormat/>
    <w:pPr>
      <w:ind w:left="840" w:hanging="420"/>
    </w:pPr>
    <w:rPr>
      <w:szCs w:val="21"/>
    </w:rPr>
  </w:style>
  <w:style w:type="paragraph" w:styleId="1244" w:customStyle="1">
    <w:name w:val="目录 21"/>
    <w:basedOn w:val="959"/>
    <w:next w:val="959"/>
    <w:uiPriority w:val="0"/>
    <w:semiHidden/>
    <w:qFormat/>
    <w:pPr>
      <w:ind w:left="210"/>
      <w:jc w:val="left"/>
    </w:pPr>
    <w:rPr>
      <w:smallCaps/>
      <w:szCs w:val="24"/>
    </w:rPr>
  </w:style>
  <w:style w:type="paragraph" w:styleId="1245" w:customStyle="1">
    <w:name w:val="目录 91"/>
    <w:basedOn w:val="959"/>
    <w:next w:val="959"/>
    <w:uiPriority w:val="0"/>
    <w:semiHidden/>
    <w:qFormat/>
    <w:pPr>
      <w:ind w:left="1680"/>
      <w:jc w:val="left"/>
    </w:pPr>
    <w:rPr>
      <w:szCs w:val="21"/>
    </w:rPr>
  </w:style>
  <w:style w:type="paragraph" w:styleId="1246" w:customStyle="1">
    <w:name w:val="正文文本 21"/>
    <w:basedOn w:val="959"/>
    <w:link w:val="1247"/>
    <w:uiPriority w:val="0"/>
    <w:qFormat/>
    <w:pPr>
      <w:jc w:val="center"/>
      <w:widowControl/>
    </w:pPr>
    <w:rPr>
      <w:rFonts w:ascii="楷体_GB2312" w:eastAsia="楷体_GB2312"/>
      <w:sz w:val="28"/>
      <w:szCs w:val="28"/>
    </w:rPr>
  </w:style>
  <w:style w:type="character" w:styleId="1247" w:customStyle="1">
    <w:name w:val="正文文本 2 字符"/>
    <w:link w:val="1246"/>
    <w:uiPriority w:val="0"/>
    <w:qFormat/>
    <w:rPr>
      <w:rFonts w:ascii="楷体_GB2312" w:hAnsi="Times New Roman" w:eastAsia="楷体_GB2312" w:cs="Times New Roman"/>
      <w:sz w:val="28"/>
      <w:szCs w:val="28"/>
    </w:rPr>
  </w:style>
  <w:style w:type="paragraph" w:styleId="1248" w:customStyle="1">
    <w:name w:val="普通(网站)1"/>
    <w:basedOn w:val="959"/>
    <w:uiPriority w:val="99"/>
    <w:qFormat/>
    <w:pPr>
      <w:jc w:val="left"/>
      <w:spacing w:before="100" w:beforeAutospacing="1" w:after="100" w:afterAutospacing="1"/>
      <w:widowControl/>
    </w:pPr>
    <w:rPr>
      <w:rFonts w:ascii="宋体" w:hAnsi="宋体" w:cs="宋体"/>
      <w:sz w:val="24"/>
      <w:szCs w:val="24"/>
    </w:rPr>
  </w:style>
  <w:style w:type="paragraph" w:styleId="1249" w:customStyle="1">
    <w:name w:val="索引 11"/>
    <w:basedOn w:val="959"/>
    <w:next w:val="959"/>
    <w:uiPriority w:val="0"/>
    <w:semiHidden/>
    <w:qFormat/>
    <w:pPr>
      <w:spacing w:line="240" w:lineRule="atLeast"/>
    </w:pPr>
    <w:rPr>
      <w:b/>
      <w:bCs/>
      <w:szCs w:val="21"/>
    </w:rPr>
  </w:style>
  <w:style w:type="paragraph" w:styleId="1250" w:customStyle="1">
    <w:name w:val="批注主题1"/>
    <w:basedOn w:val="1217"/>
    <w:next w:val="1217"/>
    <w:link w:val="1251"/>
    <w:uiPriority w:val="0"/>
    <w:semiHidden/>
    <w:qFormat/>
    <w:rPr>
      <w:b/>
      <w:bCs/>
      <w:sz w:val="20"/>
      <w:szCs w:val="21"/>
    </w:rPr>
  </w:style>
  <w:style w:type="character" w:styleId="1251" w:customStyle="1">
    <w:name w:val="批注主题 字符"/>
    <w:link w:val="1250"/>
    <w:uiPriority w:val="0"/>
    <w:semiHidden/>
    <w:qFormat/>
    <w:rPr>
      <w:rFonts w:ascii="Times New Roman" w:hAnsi="Times New Roman" w:eastAsia="宋体" w:cs="Times New Roman"/>
      <w:b/>
      <w:bCs/>
      <w:szCs w:val="21"/>
    </w:rPr>
  </w:style>
  <w:style w:type="character" w:styleId="1252" w:customStyle="1">
    <w:name w:val="正文首行缩进 2 字符"/>
    <w:link w:val="971"/>
    <w:uiPriority w:val="0"/>
    <w:qFormat/>
    <w:rPr>
      <w:rFonts w:ascii="宋体" w:hAnsi="宋体" w:eastAsia="宋体" w:cs="Times New Roman"/>
      <w:szCs w:val="20"/>
    </w:rPr>
  </w:style>
  <w:style w:type="table" w:styleId="1253" w:customStyle="1">
    <w:name w:val="网格型1"/>
    <w:basedOn w:val="1212"/>
    <w:uiPriority w:val="0"/>
    <w:qFormat/>
    <w:pPr>
      <w:jc w:val="both"/>
      <w:widowControl w:val="off"/>
    </w:pPr>
    <w:tblPr/>
  </w:style>
  <w:style w:type="character" w:styleId="1254" w:customStyle="1">
    <w:name w:val="要点1"/>
    <w:uiPriority w:val="0"/>
    <w:qFormat/>
    <w:rPr>
      <w:b/>
      <w:bCs/>
    </w:rPr>
  </w:style>
  <w:style w:type="character" w:styleId="1255" w:customStyle="1">
    <w:name w:val="页码1"/>
    <w:uiPriority w:val="0"/>
    <w:qFormat/>
  </w:style>
  <w:style w:type="character" w:styleId="1256" w:customStyle="1">
    <w:name w:val="访问过的超链接1"/>
    <w:uiPriority w:val="0"/>
    <w:qFormat/>
    <w:rPr>
      <w:color w:val="800080"/>
      <w:u w:val="single"/>
    </w:rPr>
  </w:style>
  <w:style w:type="character" w:styleId="1257" w:customStyle="1">
    <w:name w:val="超链接11"/>
    <w:uiPriority w:val="99"/>
    <w:qFormat/>
    <w:rPr>
      <w:color w:val="0000ff"/>
      <w:u w:val="single"/>
    </w:rPr>
  </w:style>
  <w:style w:type="character" w:styleId="1258" w:customStyle="1">
    <w:name w:val="批注引用1"/>
    <w:uiPriority w:val="0"/>
    <w:semiHidden/>
    <w:qFormat/>
    <w:rPr>
      <w:sz w:val="21"/>
      <w:szCs w:val="21"/>
    </w:rPr>
  </w:style>
  <w:style w:type="paragraph" w:styleId="1259" w:customStyle="1">
    <w:name w:val="段"/>
    <w:next w:val="959"/>
    <w:uiPriority w:val="0"/>
    <w:qFormat/>
    <w:pPr>
      <w:ind w:firstLine="200"/>
      <w:jc w:val="both"/>
    </w:pPr>
    <w:rPr>
      <w:rFonts w:ascii="宋体" w:hAnsi="Times New Roman" w:eastAsia="Times New Roman" w:cs="Times New Roman"/>
      <w:sz w:val="21"/>
      <w:lang w:val="en-US" w:eastAsia="zh-CN" w:bidi="ar-SA"/>
    </w:rPr>
  </w:style>
  <w:style w:type="character" w:styleId="1260" w:customStyle="1">
    <w:name w:val="font5 Char"/>
    <w:uiPriority w:val="0"/>
    <w:qFormat/>
    <w:rPr>
      <w:rFonts w:ascii="宋体" w:hAnsi="宋体" w:eastAsia="宋体"/>
      <w:sz w:val="28"/>
      <w:szCs w:val="28"/>
      <w:lang w:val="en-US" w:eastAsia="zh-CN" w:bidi="ar-SA"/>
    </w:rPr>
  </w:style>
  <w:style w:type="character" w:styleId="1261" w:customStyle="1">
    <w:name w:val="二级目录 Char"/>
    <w:link w:val="1262"/>
    <w:uiPriority w:val="0"/>
    <w:qFormat/>
    <w:rPr>
      <w:b/>
      <w:sz w:val="30"/>
      <w:szCs w:val="28"/>
      <w:lang w:val="en-US" w:eastAsia="zh-CN" w:bidi="ar-SA"/>
    </w:rPr>
  </w:style>
  <w:style w:type="paragraph" w:styleId="1262" w:customStyle="1">
    <w:name w:val="二级目录"/>
    <w:next w:val="959"/>
    <w:link w:val="1261"/>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263" w:customStyle="1">
    <w:name w:val="列出段落 Char"/>
    <w:link w:val="1264"/>
    <w:uiPriority w:val="0"/>
    <w:qFormat/>
    <w:rPr>
      <w:rFonts w:ascii="Calibri" w:hAnsi="Calibri"/>
      <w:sz w:val="24"/>
      <w:szCs w:val="24"/>
      <w:lang w:eastAsia="en-US" w:bidi="en-US"/>
    </w:rPr>
  </w:style>
  <w:style w:type="paragraph" w:styleId="1264" w:customStyle="1">
    <w:name w:val="列出段落1"/>
    <w:basedOn w:val="959"/>
    <w:link w:val="1263"/>
    <w:uiPriority w:val="0"/>
    <w:qFormat/>
    <w:pPr>
      <w:contextualSpacing/>
      <w:ind w:left="720"/>
      <w:jc w:val="left"/>
      <w:widowControl/>
    </w:pPr>
    <w:rPr>
      <w:rFonts w:ascii="Calibri" w:hAnsi="Calibri"/>
      <w:sz w:val="24"/>
      <w:szCs w:val="24"/>
      <w:lang w:eastAsia="en-US" w:bidi="en-US"/>
    </w:rPr>
  </w:style>
  <w:style w:type="paragraph" w:styleId="1265" w:customStyle="1">
    <w:name w:val="Body Text(ch)"/>
    <w:basedOn w:val="959"/>
    <w:next w:val="1062"/>
    <w:uiPriority w:val="0"/>
    <w:qFormat/>
    <w:pPr>
      <w:spacing w:after="120"/>
    </w:pPr>
    <w:rPr>
      <w:rFonts w:ascii="宋体" w:hAnsi="Arial"/>
      <w:bCs/>
      <w:iCs/>
      <w:szCs w:val="24"/>
    </w:rPr>
  </w:style>
  <w:style w:type="paragraph" w:styleId="1266" w:customStyle="1">
    <w:name w:val="xl27"/>
    <w:basedOn w:val="9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7" w:customStyle="1">
    <w:name w:val="xl26"/>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8" w:customStyle="1">
    <w:name w:val="Char"/>
    <w:basedOn w:val="959"/>
    <w:uiPriority w:val="0"/>
    <w:qFormat/>
    <w:pPr>
      <w:ind w:firstLine="200"/>
      <w:tabs>
        <w:tab w:val="left" w:pos="360" w:leader="none"/>
      </w:tabs>
    </w:pPr>
    <w:rPr>
      <w:sz w:val="28"/>
      <w:szCs w:val="30"/>
    </w:rPr>
  </w:style>
  <w:style w:type="paragraph" w:styleId="1269" w:customStyle="1">
    <w:name w:val="Char1"/>
    <w:basedOn w:val="1215"/>
    <w:uiPriority w:val="0"/>
    <w:qFormat/>
    <w:rPr>
      <w:rFonts w:ascii="Tahoma" w:hAnsi="Tahoma"/>
      <w:sz w:val="24"/>
      <w:szCs w:val="24"/>
    </w:rPr>
  </w:style>
  <w:style w:type="paragraph" w:styleId="1270" w:customStyle="1">
    <w:name w:val="普通正文"/>
    <w:basedOn w:val="959"/>
    <w:uiPriority w:val="0"/>
    <w:qFormat/>
    <w:pPr>
      <w:ind w:firstLine="480"/>
      <w:jc w:val="left"/>
      <w:spacing w:before="120" w:after="120" w:line="360" w:lineRule="auto"/>
    </w:pPr>
    <w:rPr>
      <w:rFonts w:ascii="Arial" w:hAnsi="Arial"/>
      <w:sz w:val="24"/>
      <w:szCs w:val="24"/>
    </w:rPr>
  </w:style>
  <w:style w:type="paragraph" w:styleId="1271" w:customStyle="1">
    <w:name w:val="table_lines"/>
    <w:basedOn w:val="959"/>
    <w:uiPriority w:val="0"/>
    <w:qFormat/>
    <w:pPr>
      <w:jc w:val="left"/>
      <w:widowControl/>
    </w:pPr>
    <w:rPr>
      <w:sz w:val="20"/>
      <w:szCs w:val="20"/>
      <w:lang w:val="de-DE" w:eastAsia="de-DE"/>
    </w:rPr>
  </w:style>
  <w:style w:type="paragraph" w:styleId="127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73" w:customStyle="1">
    <w:name w:val="font7"/>
    <w:basedOn w:val="959"/>
    <w:uiPriority w:val="0"/>
    <w:qFormat/>
    <w:pPr>
      <w:jc w:val="left"/>
      <w:spacing w:before="100" w:beforeAutospacing="1" w:after="100" w:afterAutospacing="1"/>
      <w:widowControl/>
    </w:pPr>
    <w:rPr>
      <w:rFonts w:hint="eastAsia" w:ascii="宋体" w:hAnsi="宋体"/>
      <w:sz w:val="18"/>
      <w:szCs w:val="18"/>
    </w:rPr>
  </w:style>
  <w:style w:type="paragraph" w:styleId="1274" w:customStyle="1">
    <w:name w:val="Char Char Char Char"/>
    <w:basedOn w:val="1215"/>
    <w:uiPriority w:val="0"/>
    <w:qFormat/>
    <w:pPr>
      <w:spacing w:line="360" w:lineRule="auto"/>
    </w:pPr>
    <w:rPr>
      <w:rFonts w:ascii="Tahoma" w:hAnsi="Tahoma"/>
      <w:sz w:val="24"/>
      <w:szCs w:val="24"/>
    </w:rPr>
  </w:style>
  <w:style w:type="paragraph" w:styleId="1275" w:customStyle="1">
    <w:name w:val="列出段落"/>
    <w:basedOn w:val="959"/>
    <w:uiPriority w:val="34"/>
    <w:qFormat/>
    <w:pPr>
      <w:contextualSpacing/>
      <w:ind w:left="720"/>
      <w:jc w:val="left"/>
      <w:widowControl/>
    </w:pPr>
    <w:rPr>
      <w:rFonts w:ascii="Calibri" w:hAnsi="Calibri"/>
      <w:sz w:val="24"/>
      <w:szCs w:val="24"/>
      <w:lang w:eastAsia="en-US" w:bidi="en-US"/>
    </w:rPr>
  </w:style>
  <w:style w:type="paragraph" w:styleId="1276" w:customStyle="1">
    <w:name w:val="4"/>
    <w:basedOn w:val="959"/>
    <w:next w:val="1015"/>
    <w:uiPriority w:val="0"/>
    <w:qFormat/>
    <w:pPr>
      <w:ind w:firstLine="420"/>
      <w:spacing w:line="360" w:lineRule="auto"/>
    </w:pPr>
    <w:rPr>
      <w:color w:val="ff0000"/>
      <w:sz w:val="24"/>
      <w:szCs w:val="24"/>
    </w:rPr>
  </w:style>
  <w:style w:type="paragraph" w:styleId="1277" w:customStyle="1">
    <w:name w:val="普通 (Web)"/>
    <w:basedOn w:val="959"/>
    <w:uiPriority w:val="0"/>
    <w:qFormat/>
    <w:pPr>
      <w:jc w:val="left"/>
      <w:spacing w:before="100" w:beforeAutospacing="1" w:after="100" w:afterAutospacing="1"/>
      <w:widowControl/>
    </w:pPr>
    <w:rPr>
      <w:rFonts w:ascii="宋体" w:hAnsi="宋体"/>
      <w:sz w:val="24"/>
      <w:szCs w:val="24"/>
    </w:rPr>
  </w:style>
  <w:style w:type="paragraph" w:styleId="1278" w:customStyle="1">
    <w:name w:val="Char Char Char Char Char Char Char Char Char Char"/>
    <w:basedOn w:val="959"/>
    <w:uiPriority w:val="0"/>
    <w:qFormat/>
    <w:pPr>
      <w:spacing w:line="360" w:lineRule="auto"/>
    </w:pPr>
    <w:rPr>
      <w:sz w:val="24"/>
      <w:szCs w:val="20"/>
    </w:rPr>
  </w:style>
  <w:style w:type="paragraph" w:styleId="1279" w:customStyle="1">
    <w:name w:val="样式1"/>
    <w:basedOn w:val="959"/>
    <w:uiPriority w:val="0"/>
    <w:qFormat/>
    <w:pPr>
      <w:numPr>
        <w:ilvl w:val="0"/>
        <w:numId w:val="4"/>
      </w:numPr>
    </w:pPr>
    <w:rPr>
      <w:rFonts w:ascii="宋体" w:hAnsi="宋体"/>
      <w:szCs w:val="21"/>
    </w:rPr>
  </w:style>
  <w:style w:type="paragraph" w:styleId="1280" w:customStyle="1">
    <w:name w:val="font6"/>
    <w:basedOn w:val="959"/>
    <w:uiPriority w:val="0"/>
    <w:qFormat/>
    <w:pPr>
      <w:jc w:val="left"/>
      <w:spacing w:before="100" w:beforeAutospacing="1" w:after="100" w:afterAutospacing="1"/>
      <w:widowControl/>
    </w:pPr>
    <w:rPr>
      <w:rFonts w:hint="eastAsia" w:ascii="宋体" w:hAnsi="宋体"/>
      <w:sz w:val="28"/>
      <w:szCs w:val="28"/>
      <w:u w:val="single"/>
    </w:rPr>
  </w:style>
  <w:style w:type="paragraph" w:styleId="1281" w:customStyle="1">
    <w:name w:val="xl25"/>
    <w:basedOn w:val="9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2" w:customStyle="1">
    <w:name w:val="图标"/>
    <w:basedOn w:val="959"/>
    <w:next w:val="9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3" w:customStyle="1">
    <w:name w:val="标题3"/>
    <w:basedOn w:val="959"/>
    <w:next w:val="959"/>
    <w:uiPriority w:val="0"/>
    <w:qFormat/>
    <w:pPr>
      <w:ind w:firstLine="624"/>
      <w:spacing w:line="590" w:lineRule="atLeast"/>
    </w:pPr>
    <w:rPr>
      <w:rFonts w:ascii="方正黑体_GBK" w:eastAsia="方正黑体_GBK"/>
      <w:sz w:val="32"/>
      <w:szCs w:val="32"/>
    </w:rPr>
  </w:style>
  <w:style w:type="paragraph" w:styleId="1284" w:customStyle="1">
    <w:name w:val="xl24"/>
    <w:basedOn w:val="9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5" w:customStyle="1">
    <w:name w:val="xl29"/>
    <w:basedOn w:val="9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6" w:customStyle="1">
    <w:name w:val="Char Char Char Char Char Char Char Char"/>
    <w:basedOn w:val="959"/>
    <w:uiPriority w:val="0"/>
    <w:qFormat/>
    <w:pPr>
      <w:jc w:val="left"/>
      <w:spacing w:after="160" w:line="240" w:lineRule="exact"/>
      <w:widowControl/>
    </w:pPr>
    <w:rPr>
      <w:rFonts w:ascii="Verdana" w:hAnsi="Verdana"/>
      <w:sz w:val="20"/>
      <w:szCs w:val="20"/>
      <w:lang w:eastAsia="en-US"/>
    </w:rPr>
  </w:style>
  <w:style w:type="paragraph" w:styleId="1287" w:customStyle="1">
    <w:name w:val="xl28"/>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8" w:customStyle="1">
    <w:name w:val="Char Char Char Char Char Char Char Char1"/>
    <w:basedOn w:val="959"/>
    <w:uiPriority w:val="0"/>
    <w:qFormat/>
    <w:pPr>
      <w:jc w:val="left"/>
      <w:spacing w:after="160" w:line="240" w:lineRule="exact"/>
      <w:widowControl/>
    </w:pPr>
    <w:rPr>
      <w:rFonts w:ascii="Verdana" w:hAnsi="Verdana"/>
      <w:sz w:val="20"/>
      <w:szCs w:val="20"/>
      <w:lang w:eastAsia="en-US"/>
    </w:rPr>
  </w:style>
  <w:style w:type="paragraph" w:styleId="1289" w:customStyle="1">
    <w:name w:val="xl30"/>
    <w:basedOn w:val="959"/>
    <w:uiPriority w:val="0"/>
    <w:qFormat/>
    <w:pPr>
      <w:jc w:val="center"/>
      <w:spacing w:before="100" w:beforeAutospacing="1" w:after="100" w:afterAutospacing="1"/>
      <w:widowControl/>
    </w:pPr>
    <w:rPr>
      <w:rFonts w:ascii="宋体" w:hAnsi="宋体"/>
      <w:b/>
      <w:bCs/>
      <w:sz w:val="36"/>
      <w:szCs w:val="36"/>
    </w:rPr>
  </w:style>
  <w:style w:type="paragraph" w:styleId="1290" w:customStyle="1">
    <w:name w:val="Char Char Char Char1"/>
    <w:basedOn w:val="1215"/>
    <w:uiPriority w:val="0"/>
    <w:qFormat/>
    <w:pPr>
      <w:spacing w:line="360" w:lineRule="auto"/>
    </w:pPr>
    <w:rPr>
      <w:rFonts w:ascii="Tahoma" w:hAnsi="Tahoma"/>
      <w:sz w:val="24"/>
      <w:szCs w:val="24"/>
    </w:rPr>
  </w:style>
  <w:style w:type="paragraph" w:styleId="1291" w:customStyle="1">
    <w:name w:val="table_1stline"/>
    <w:basedOn w:val="959"/>
    <w:uiPriority w:val="0"/>
    <w:qFormat/>
    <w:pPr>
      <w:jc w:val="left"/>
      <w:spacing w:before="120"/>
      <w:widowControl/>
    </w:pPr>
    <w:rPr>
      <w:bCs/>
      <w:sz w:val="20"/>
      <w:szCs w:val="20"/>
      <w:lang w:val="de-DE" w:eastAsia="de-DE"/>
    </w:rPr>
  </w:style>
  <w:style w:type="paragraph" w:styleId="1292" w:customStyle="1">
    <w:name w:val="font5"/>
    <w:basedOn w:val="959"/>
    <w:uiPriority w:val="0"/>
    <w:qFormat/>
    <w:pPr>
      <w:jc w:val="left"/>
      <w:spacing w:before="100" w:beforeAutospacing="1" w:after="100" w:afterAutospacing="1"/>
      <w:widowControl/>
    </w:pPr>
    <w:rPr>
      <w:rFonts w:hint="eastAsia" w:ascii="宋体" w:hAnsi="宋体"/>
      <w:sz w:val="28"/>
      <w:szCs w:val="28"/>
    </w:rPr>
  </w:style>
  <w:style w:type="paragraph" w:styleId="1293" w:customStyle="1">
    <w:name w:val="标题1"/>
    <w:basedOn w:val="959"/>
    <w:next w:val="9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4" w:customStyle="1">
    <w:name w:val="修订1"/>
    <w:uiPriority w:val="99"/>
    <w:semiHidden/>
    <w:qFormat/>
    <w:rPr>
      <w:rFonts w:ascii="Times New Roman" w:hAnsi="Times New Roman" w:eastAsia="宋体" w:cs="Times New Roman"/>
      <w:sz w:val="21"/>
      <w:szCs w:val="21"/>
      <w:lang w:val="en-US" w:eastAsia="zh-CN" w:bidi="ar-SA"/>
    </w:rPr>
  </w:style>
  <w:style w:type="paragraph" w:styleId="129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96" w:customStyle="1">
    <w:name w:val="引文目录标题1"/>
    <w:basedOn w:val="959"/>
    <w:next w:val="959"/>
    <w:uiPriority w:val="0"/>
    <w:qFormat/>
    <w:pPr>
      <w:spacing w:before="120"/>
    </w:pPr>
    <w:rPr>
      <w:rFonts w:ascii="Arial" w:hAnsi="Arial"/>
      <w:sz w:val="24"/>
    </w:rPr>
  </w:style>
  <w:style w:type="character" w:styleId="1297" w:customStyle="1">
    <w:name w:val="超链接1"/>
    <w:uiPriority w:val="0"/>
    <w:qFormat/>
    <w:rPr>
      <w:rFonts w:ascii="Times New Roman" w:hAnsi="Times New Roman" w:eastAsia="宋体" w:cs="Times New Roman"/>
      <w:sz w:val="21"/>
      <w:szCs w:val="24"/>
      <w:lang w:val="en-US" w:eastAsia="zh-CN" w:bidi="ar-SA"/>
    </w:rPr>
  </w:style>
  <w:style w:type="paragraph" w:styleId="1298" w:customStyle="1">
    <w:name w:val="正文首行缩进1"/>
    <w:basedOn w:val="1062"/>
    <w:uiPriority w:val="0"/>
    <w:qFormat/>
    <w:pPr>
      <w:ind w:firstLine="200"/>
      <w:spacing w:line="360" w:lineRule="auto"/>
    </w:pPr>
    <w:rPr>
      <w:rFonts w:ascii="仿宋_GB2312" w:hAnsi="Times New Roman" w:eastAsia="仿宋_GB2312"/>
      <w:sz w:val="30"/>
      <w:szCs w:val="30"/>
    </w:rPr>
  </w:style>
  <w:style w:type="paragraph" w:styleId="1299" w:customStyle="1">
    <w:name w:val="正文缩进2格"/>
    <w:basedOn w:val="959"/>
    <w:uiPriority w:val="0"/>
    <w:qFormat/>
    <w:pPr>
      <w:ind w:firstLine="639"/>
      <w:spacing w:line="600" w:lineRule="exact"/>
    </w:pPr>
    <w:rPr>
      <w:rFonts w:ascii="仿宋_GB2312" w:hAnsi="宋体" w:eastAsia="仿宋_GB2312"/>
      <w:sz w:val="31"/>
      <w:szCs w:val="28"/>
      <w:lang w:eastAsia="en-US"/>
    </w:rPr>
  </w:style>
  <w:style w:type="paragraph" w:styleId="13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01" w:customStyle="1">
    <w:name w:val="普通(网站) Char"/>
    <w:basedOn w:val="959"/>
    <w:uiPriority w:val="0"/>
    <w:qFormat/>
    <w:pPr>
      <w:spacing w:before="100" w:beforeAutospacing="1" w:after="100" w:afterAutospacing="1"/>
    </w:pPr>
    <w:rPr>
      <w:rFonts w:ascii="宋体" w:hAnsi="宋体" w:cs="宋体"/>
      <w:sz w:val="24"/>
    </w:rPr>
  </w:style>
  <w:style w:type="paragraph" w:styleId="1302" w:customStyle="1">
    <w:name w:val="正文首行缩进111"/>
    <w:basedOn w:val="1303"/>
    <w:uiPriority w:val="0"/>
    <w:qFormat/>
    <w:pPr>
      <w:ind w:firstLine="200"/>
      <w:spacing w:line="360" w:lineRule="auto"/>
    </w:pPr>
    <w:rPr>
      <w:rFonts w:ascii="仿宋_GB2312" w:hAnsi="Times New Roman" w:eastAsia="仿宋_GB2312"/>
      <w:sz w:val="30"/>
      <w:szCs w:val="30"/>
    </w:rPr>
  </w:style>
  <w:style w:type="paragraph" w:styleId="1303" w:customStyle="1">
    <w:name w:val="正文文本111"/>
    <w:basedOn w:val="959"/>
    <w:next w:val="959"/>
    <w:uiPriority w:val="0"/>
    <w:qFormat/>
    <w:rPr>
      <w:rFonts w:ascii="楷体_GB2312" w:hAnsi="Arial" w:eastAsia="楷体_GB2312"/>
      <w:sz w:val="28"/>
      <w:szCs w:val="28"/>
    </w:rPr>
  </w:style>
  <w:style w:type="paragraph" w:styleId="1304" w:customStyle="1">
    <w:name w:val="正文首行缩进12"/>
    <w:basedOn w:val="1305"/>
    <w:uiPriority w:val="0"/>
    <w:qFormat/>
    <w:pPr>
      <w:ind w:firstLine="200"/>
      <w:spacing w:line="360" w:lineRule="auto"/>
    </w:pPr>
    <w:rPr>
      <w:rFonts w:ascii="仿宋_GB2312" w:hAnsi="Times New Roman" w:eastAsia="仿宋_GB2312"/>
      <w:sz w:val="30"/>
      <w:szCs w:val="30"/>
    </w:rPr>
  </w:style>
  <w:style w:type="paragraph" w:styleId="1305" w:customStyle="1">
    <w:name w:val="正文文本12"/>
    <w:basedOn w:val="959"/>
    <w:uiPriority w:val="0"/>
    <w:qFormat/>
    <w:rPr>
      <w:rFonts w:ascii="楷体_GB2312" w:hAnsi="Arial" w:eastAsia="楷体_GB2312"/>
      <w:sz w:val="28"/>
      <w:szCs w:val="28"/>
    </w:rPr>
  </w:style>
  <w:style w:type="character" w:styleId="1306" w:customStyle="1">
    <w:name w:val="font21"/>
    <w:basedOn w:val="969"/>
    <w:uiPriority w:val="0"/>
    <w:qFormat/>
    <w:rPr>
      <w:rFonts w:hint="eastAsia" w:ascii="宋体" w:hAnsi="宋体" w:eastAsia="宋体" w:cs="宋体"/>
      <w:color w:val="000000"/>
      <w:sz w:val="22"/>
      <w:szCs w:val="22"/>
      <w:u w:val="none"/>
    </w:rPr>
  </w:style>
  <w:style w:type="paragraph" w:styleId="1307" w:customStyle="1">
    <w:name w:val="方案正文"/>
    <w:basedOn w:val="959"/>
    <w:uiPriority w:val="0"/>
    <w:qFormat/>
    <w:pPr>
      <w:contextualSpacing/>
      <w:ind w:firstLine="200"/>
      <w:jc w:val="left"/>
      <w:widowControl/>
    </w:pPr>
  </w:style>
  <w:style w:type="character" w:styleId="1308" w:customStyle="1">
    <w:name w:val="font31"/>
    <w:basedOn w:val="969"/>
    <w:uiPriority w:val="0"/>
    <w:qFormat/>
    <w:rPr>
      <w:rFonts w:ascii="楷体_GB2312" w:eastAsia="楷体_GB2312" w:cs="楷体_GB2312"/>
      <w:b/>
      <w:bCs/>
      <w:color w:val="000000"/>
      <w:sz w:val="28"/>
      <w:szCs w:val="28"/>
      <w:u w:val="none"/>
    </w:rPr>
  </w:style>
  <w:style w:type="character" w:styleId="1309" w:customStyle="1">
    <w:name w:val="font51"/>
    <w:basedOn w:val="969"/>
    <w:uiPriority w:val="0"/>
    <w:qFormat/>
    <w:rPr>
      <w:rFonts w:hint="eastAsia" w:ascii="宋体" w:hAnsi="宋体" w:eastAsia="宋体" w:cs="宋体"/>
      <w:color w:val="000000"/>
      <w:sz w:val="24"/>
      <w:szCs w:val="24"/>
      <w:u w:val="none"/>
    </w:rPr>
  </w:style>
  <w:style w:type="character" w:styleId="1310" w:customStyle="1">
    <w:name w:val="font41"/>
    <w:basedOn w:val="969"/>
    <w:uiPriority w:val="0"/>
    <w:qFormat/>
    <w:rPr>
      <w:rFonts w:hint="eastAsia" w:ascii="宋体" w:hAnsi="宋体" w:eastAsia="宋体" w:cs="宋体"/>
      <w:b/>
      <w:bCs/>
      <w:color w:val="000000"/>
      <w:sz w:val="24"/>
      <w:szCs w:val="24"/>
      <w:u w:val="none"/>
    </w:rPr>
  </w:style>
  <w:style w:type="character" w:styleId="1311" w:customStyle="1">
    <w:name w:val="font161"/>
    <w:basedOn w:val="969"/>
    <w:uiPriority w:val="0"/>
    <w:qFormat/>
    <w:rPr>
      <w:rFonts w:hint="eastAsia" w:ascii="宋体" w:hAnsi="宋体" w:eastAsia="宋体" w:cs="宋体"/>
      <w:b/>
      <w:bCs/>
      <w:color w:val="000000"/>
      <w:sz w:val="22"/>
      <w:szCs w:val="22"/>
      <w:u w:val="none"/>
    </w:rPr>
  </w:style>
  <w:style w:type="character" w:styleId="1312" w:customStyle="1">
    <w:name w:val="font01"/>
    <w:basedOn w:val="969"/>
    <w:uiPriority w:val="0"/>
    <w:qFormat/>
    <w:rPr>
      <w:rFonts w:hint="eastAsia" w:ascii="宋体" w:hAnsi="宋体" w:eastAsia="宋体" w:cs="宋体"/>
      <w:color w:val="000000"/>
      <w:sz w:val="22"/>
      <w:szCs w:val="22"/>
      <w:u w:val="none"/>
    </w:rPr>
  </w:style>
  <w:style w:type="paragraph" w:styleId="1313" w:customStyle="1">
    <w:name w:val="索引 41"/>
    <w:basedOn w:val="959"/>
    <w:next w:val="959"/>
    <w:uiPriority w:val="0"/>
    <w:semiHidden/>
    <w:qFormat/>
    <w:pPr>
      <w:ind w:left="1260"/>
    </w:pPr>
    <w:rPr>
      <w:rFonts w:eastAsia="Calibri" w:cs="宋体"/>
      <w:sz w:val="20"/>
      <w:lang w:val="zh-CN"/>
    </w:rPr>
  </w:style>
  <w:style w:type="paragraph" w:styleId="1314" w:customStyle="1">
    <w:name w:val="表格（正文）"/>
    <w:uiPriority w:val="0"/>
    <w:qFormat/>
    <w:rPr>
      <w:rFonts w:ascii="宋体" w:hAnsi="宋体" w:eastAsia="宋体" w:cstheme="minorEastAsia"/>
      <w:bCs/>
      <w:sz w:val="21"/>
      <w:szCs w:val="21"/>
      <w:lang w:val="en-US" w:eastAsia="zh-CN" w:bidi="ar-SA"/>
    </w:rPr>
  </w:style>
  <w:style w:type="character" w:styleId="1315" w:customStyle="1">
    <w:name w:val="批注文字 字符1"/>
    <w:basedOn w:val="969"/>
    <w:link w:val="975"/>
    <w:uiPriority w:val="99"/>
    <w:qFormat/>
    <w:rPr>
      <w:sz w:val="21"/>
      <w:szCs w:val="22"/>
    </w:rPr>
  </w:style>
  <w:style w:type="character" w:styleId="1316" w:customStyle="1">
    <w:name w:val="批注主题 字符1"/>
    <w:basedOn w:val="1315"/>
    <w:link w:val="997"/>
    <w:uiPriority w:val="99"/>
    <w:semiHidden/>
    <w:qFormat/>
    <w:rPr>
      <w:b/>
      <w:bCs/>
      <w:sz w:val="21"/>
      <w:szCs w:val="22"/>
    </w:rPr>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e9b0a63f-2720-4491-819f-788a4b5cfeed</errorID>
      <errorWord>像素数</errorWord>
      <group>L1_Word</group>
      <groupName>字词问题</groupName>
      <ability>L2_Typo</ability>
      <abilityName>字词错误</abilityName>
      <candidateList>
        <item>像素</item>
      </candidateList>
      <explain/>
      <paraID>137BB029</paraID>
      <start>333</start>
      <end>336</end>
      <status>ignored</status>
      <modifiedWord/>
      <trackRevisions>false</trackRevisions>
    </reviewItem>
    <reviewItem>
      <errorID>d75ade06-fbf6-4f83-9337-e50bf4b0d3a4</errorID>
      <errorWord>像素数</errorWord>
      <group>L1_Word</group>
      <groupName>字词问题</groupName>
      <ability>L2_Typo</ability>
      <abilityName>字词错误</abilityName>
      <candidateList>
        <item>像素</item>
      </candidateList>
      <explain/>
      <paraID>15DDD6AC</paraID>
      <start>262</start>
      <end>265</end>
      <status>ignored</status>
      <modifiedWord/>
      <trackRevisions>false</trackRevisions>
    </reviewItem>
    <reviewItem>
      <errorID>a4206856-81a3-4907-a45f-5a5211e111ff</errorID>
      <errorWord>的</errorWord>
      <group>L1_Word</group>
      <groupName>字词问题</groupName>
      <ability>L2_DDD</ability>
      <abilityName>的地得用法</abilityName>
      <candidateList>
        <item>地</item>
      </candidateList>
      <explain/>
      <paraID>138FE8A5</paraID>
      <start>199</start>
      <end>200</end>
      <status>ignored</status>
      <modifiedWord/>
      <trackRevisions>false</trackRevisions>
    </reviewItem>
    <reviewItem>
      <errorID>690ab60c-be12-4bdd-92b4-e6af0de8305d</errorID>
      <errorWord>的</errorWord>
      <group>L1_Word</group>
      <groupName>字词问题</groupName>
      <ability>L2_DDD</ability>
      <abilityName>的地得用法</abilityName>
      <candidateList>
        <item>地</item>
      </candidateList>
      <explain/>
      <paraID>138FE8A5</paraID>
      <start>252</start>
      <end>253</end>
      <status>ignored</status>
      <modifiedWord/>
      <trackRevisions>false</trackRevisions>
    </reviewItem>
    <reviewItem>
      <errorID>947483de-143a-4654-99d9-baae48bf44ab</errorID>
      <errorWord>，</errorWord>
      <group>L1_Word</group>
      <groupName>字词问题</groupName>
      <ability>L2_Typo</ability>
      <abilityName>字词错误</abilityName>
      <candidateList>
        <item>，必</item>
      </candidateList>
      <explain/>
      <paraID>6A7CA75F</paraID>
      <start>53</start>
      <end>54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CEEB15-682F-4FB1-9918-CA1795CB4B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40</cp:revision>
  <dcterms:created xsi:type="dcterms:W3CDTF">2024-07-09T03:08:00Z</dcterms:created>
  <dcterms:modified xsi:type="dcterms:W3CDTF">2026-09-29T06:10:44Z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2052-12.1.0.28043</vt:lpwstr>
  </property>
  <property fmtid="{D5CDD505-2E9C-101B-9397-08002B2CF9AE}" pid="4" name="ICV">
    <vt:lpwstr>12F32D97B1074C13A9475788109B6F14_13</vt:lpwstr>
  </property>
</Properties>
</file>