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西湖街道“安康关爱行动”保险服务项目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JSZC-320412-CZMJ-G2026-001</w:t>
      </w:r>
      <w:r>
        <w:rPr>
          <w:rFonts w:hint="eastAsia" w:ascii="宋体" w:hAnsi="宋体"/>
          <w:bCs/>
          <w:sz w:val="36"/>
          <w:szCs w:val="36"/>
        </w:rPr>
        <w:t xml:space="preserve">2</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常州市武进区西湖街道办事处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二〇二六年十月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99301418"/>
      <w:r/>
      <w:bookmarkStart w:id="1" w:name="_Toc163804578"/>
      <w:r/>
      <w:bookmarkStart w:id="2" w:name="_Toc140257871"/>
      <w:r/>
      <w:bookmarkStart w:id="3" w:name="_Toc139400573"/>
      <w:r/>
      <w:bookmarkStart w:id="4" w:name="_Toc139400505"/>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059"/>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59"/>
        <w:rPr>
          <w:rFonts w:hint="eastAsia" w:ascii="等线" w:hAnsi="等线" w:eastAsia="等线"/>
          <w:b w:val="0"/>
          <w:sz w:val="21"/>
          <w:szCs w:val="22"/>
        </w:rPr>
      </w:pPr>
      <w:r/>
      <w:hyperlink w:tooltip="#_Toc163804579" w:anchor="_Toc163804579" w:history="1">
        <w:r>
          <w:rPr>
            <w:rStyle w:val="1084"/>
          </w:rPr>
          <w:t xml:space="preserve">第一章   投标邀请</w:t>
        </w:r>
        <w:r>
          <w:tab/>
        </w:r>
        <w:r>
          <w:fldChar w:fldCharType="begin"/>
        </w:r>
        <w:r>
          <w:instrText xml:space="preserve"> PAGEREF _Toc163804579 \h </w:instrText>
        </w:r>
        <w:r/>
        <w:r>
          <w:fldChar w:fldCharType="separate"/>
        </w:r>
        <w:r>
          <w:rPr>
            <w:rFonts w:hint="eastAsia"/>
          </w:rPr>
          <w:t xml:space="preserve">3</w:t>
        </w:r>
        <w:r>
          <w:fldChar w:fldCharType="end"/>
        </w:r>
      </w:hyperlink>
      <w:r/>
      <w:r/>
    </w:p>
    <w:p>
      <w:pPr>
        <w:pStyle w:val="1059"/>
        <w:rPr>
          <w:rFonts w:hint="eastAsia" w:ascii="等线" w:hAnsi="等线" w:eastAsia="等线"/>
          <w:b w:val="0"/>
          <w:sz w:val="21"/>
          <w:szCs w:val="22"/>
        </w:rPr>
      </w:pPr>
      <w:r/>
      <w:hyperlink w:tooltip="#_Toc163804580" w:anchor="_Toc163804580" w:history="1">
        <w:r>
          <w:rPr>
            <w:rStyle w:val="1084"/>
          </w:rPr>
          <w:t xml:space="preserve">第二章   投标人须知</w:t>
        </w:r>
        <w:r>
          <w:tab/>
        </w:r>
        <w:r>
          <w:fldChar w:fldCharType="begin"/>
        </w:r>
        <w:r>
          <w:instrText xml:space="preserve"> PAGEREF _Toc163804580 \h </w:instrText>
        </w:r>
        <w:r/>
        <w:r>
          <w:fldChar w:fldCharType="separate"/>
        </w:r>
        <w:r>
          <w:rPr>
            <w:rFonts w:hint="eastAsia"/>
          </w:rPr>
          <w:t xml:space="preserve">7</w:t>
        </w:r>
        <w:r>
          <w:fldChar w:fldCharType="end"/>
        </w:r>
      </w:hyperlink>
      <w:r/>
      <w:r/>
    </w:p>
    <w:p>
      <w:pPr>
        <w:pStyle w:val="1059"/>
        <w:rPr>
          <w:rFonts w:hint="eastAsia" w:ascii="等线" w:hAnsi="等线" w:eastAsia="等线"/>
          <w:b w:val="0"/>
          <w:sz w:val="21"/>
          <w:szCs w:val="22"/>
        </w:rPr>
      </w:pPr>
      <w:r/>
      <w:hyperlink w:tooltip="#_Toc163804581" w:anchor="_Toc163804581" w:history="1">
        <w:r>
          <w:rPr>
            <w:rStyle w:val="1084"/>
          </w:rPr>
          <w:t xml:space="preserve">第三章   资格审查</w:t>
        </w:r>
        <w:r>
          <w:tab/>
        </w:r>
        <w:r>
          <w:fldChar w:fldCharType="begin"/>
        </w:r>
        <w:r>
          <w:instrText xml:space="preserve"> PAGEREF _Toc163804581 \h </w:instrText>
        </w:r>
        <w:r/>
        <w:r>
          <w:fldChar w:fldCharType="separate"/>
        </w:r>
        <w:r>
          <w:rPr>
            <w:rFonts w:hint="eastAsia"/>
          </w:rPr>
          <w:t xml:space="preserve">23</w:t>
        </w:r>
        <w:r>
          <w:fldChar w:fldCharType="end"/>
        </w:r>
      </w:hyperlink>
      <w:r/>
      <w:r/>
    </w:p>
    <w:p>
      <w:pPr>
        <w:pStyle w:val="1059"/>
        <w:rPr>
          <w:rFonts w:hint="eastAsia" w:ascii="等线" w:hAnsi="等线" w:eastAsia="等线"/>
          <w:b w:val="0"/>
          <w:sz w:val="21"/>
          <w:szCs w:val="22"/>
        </w:rPr>
      </w:pPr>
      <w:r/>
      <w:hyperlink w:tooltip="#_Toc163804582" w:anchor="_Toc163804582" w:history="1">
        <w:r>
          <w:rPr>
            <w:rStyle w:val="1084"/>
          </w:rPr>
          <w:t xml:space="preserve">第四章   评标程序、评标方法和评标标准</w:t>
        </w:r>
        <w:r>
          <w:tab/>
        </w:r>
        <w:r>
          <w:fldChar w:fldCharType="begin"/>
        </w:r>
        <w:r>
          <w:instrText xml:space="preserve"> PAGEREF _Toc163804582 \h </w:instrText>
        </w:r>
        <w:r/>
        <w:r>
          <w:fldChar w:fldCharType="separate"/>
        </w:r>
        <w:r>
          <w:rPr>
            <w:rFonts w:hint="eastAsia"/>
          </w:rPr>
          <w:t xml:space="preserve">25</w:t>
        </w:r>
        <w:r>
          <w:fldChar w:fldCharType="end"/>
        </w:r>
      </w:hyperlink>
      <w:r/>
      <w:r/>
    </w:p>
    <w:p>
      <w:pPr>
        <w:pStyle w:val="1059"/>
        <w:rPr>
          <w:rFonts w:hint="eastAsia" w:ascii="等线" w:hAnsi="等线" w:eastAsia="等线"/>
          <w:b w:val="0"/>
          <w:sz w:val="21"/>
          <w:szCs w:val="22"/>
        </w:rPr>
      </w:pPr>
      <w:r/>
      <w:hyperlink w:tooltip="#_Toc163804583" w:anchor="_Toc163804583" w:history="1">
        <w:r>
          <w:rPr>
            <w:rStyle w:val="1084"/>
          </w:rPr>
          <w:t xml:space="preserve">第五章   采购需求</w:t>
        </w:r>
        <w:r>
          <w:tab/>
        </w:r>
        <w:r>
          <w:fldChar w:fldCharType="begin"/>
        </w:r>
        <w:r>
          <w:instrText xml:space="preserve"> PAGEREF _Toc163804583 \h </w:instrText>
        </w:r>
        <w:r/>
        <w:r>
          <w:fldChar w:fldCharType="separate"/>
        </w:r>
        <w:r>
          <w:rPr>
            <w:rFonts w:hint="eastAsia"/>
          </w:rPr>
          <w:t xml:space="preserve">37</w:t>
        </w:r>
        <w:r>
          <w:fldChar w:fldCharType="end"/>
        </w:r>
      </w:hyperlink>
      <w:r/>
      <w:r/>
    </w:p>
    <w:p>
      <w:pPr>
        <w:pStyle w:val="1059"/>
        <w:rPr>
          <w:rFonts w:hint="eastAsia" w:ascii="等线" w:hAnsi="等线" w:eastAsia="等线"/>
          <w:b w:val="0"/>
          <w:sz w:val="21"/>
          <w:szCs w:val="22"/>
        </w:rPr>
      </w:pPr>
      <w:r/>
      <w:hyperlink w:tooltip="#_Toc163804584" w:anchor="_Toc163804584" w:history="1">
        <w:r>
          <w:rPr>
            <w:rStyle w:val="1084"/>
          </w:rPr>
          <w:t xml:space="preserve">第六章   拟签订的合同文本</w:t>
        </w:r>
        <w:r>
          <w:tab/>
        </w:r>
        <w:r>
          <w:fldChar w:fldCharType="begin"/>
        </w:r>
        <w:r>
          <w:instrText xml:space="preserve"> PAGEREF _Toc163804584 \h </w:instrText>
        </w:r>
        <w:r/>
        <w:r>
          <w:fldChar w:fldCharType="separate"/>
        </w:r>
        <w:r>
          <w:rPr>
            <w:rFonts w:hint="eastAsia"/>
          </w:rPr>
          <w:t xml:space="preserve">45</w:t>
        </w:r>
        <w:r>
          <w:fldChar w:fldCharType="end"/>
        </w:r>
      </w:hyperlink>
      <w:r/>
      <w:r/>
    </w:p>
    <w:p>
      <w:pPr>
        <w:pStyle w:val="1059"/>
        <w:rPr>
          <w:rFonts w:hint="eastAsia" w:ascii="等线" w:hAnsi="等线" w:eastAsia="等线"/>
          <w:b w:val="0"/>
          <w:sz w:val="21"/>
          <w:szCs w:val="22"/>
        </w:rPr>
      </w:pPr>
      <w:r/>
      <w:hyperlink w:tooltip="#_Toc163804585" w:anchor="_Toc163804585" w:history="1">
        <w:r>
          <w:rPr>
            <w:rStyle w:val="1084"/>
          </w:rPr>
          <w:t xml:space="preserve">第七章   投标文件的组成及提交须知</w:t>
        </w:r>
        <w:r>
          <w:tab/>
        </w:r>
        <w:r>
          <w:fldChar w:fldCharType="begin"/>
        </w:r>
        <w:r>
          <w:instrText xml:space="preserve"> PAGEREF _Toc163804585 \h </w:instrText>
        </w:r>
        <w:r/>
        <w:r>
          <w:fldChar w:fldCharType="separate"/>
        </w:r>
        <w:r>
          <w:rPr>
            <w:rFonts w:hint="eastAsia"/>
          </w:rPr>
          <w:t xml:space="preserve">53</w:t>
        </w:r>
        <w:r>
          <w:fldChar w:fldCharType="end"/>
        </w:r>
      </w:hyperlink>
      <w:r/>
      <w:r/>
    </w:p>
    <w:p>
      <w:pPr>
        <w:pStyle w:val="1059"/>
        <w:rPr>
          <w:rFonts w:hint="eastAsia" w:ascii="等线" w:hAnsi="等线" w:eastAsia="等线"/>
          <w:b w:val="0"/>
          <w:sz w:val="21"/>
          <w:szCs w:val="22"/>
        </w:rPr>
      </w:pPr>
      <w:r/>
      <w:hyperlink w:tooltip="#_Toc163804591" w:anchor="_Toc163804591" w:history="1">
        <w:r>
          <w:rPr>
            <w:rStyle w:val="1084"/>
          </w:rPr>
          <w:t xml:space="preserve">第八章   投标文件格式</w:t>
        </w:r>
        <w:r>
          <w:tab/>
        </w:r>
        <w:r>
          <w:fldChar w:fldCharType="begin"/>
        </w:r>
        <w:r>
          <w:instrText xml:space="preserve"> PAGEREF _Toc163804591 \h </w:instrText>
        </w:r>
        <w:r/>
        <w:r>
          <w:fldChar w:fldCharType="separate"/>
        </w:r>
        <w:r>
          <w:rPr>
            <w:rFonts w:hint="eastAsia"/>
          </w:rPr>
          <w:t xml:space="preserve">54</w:t>
        </w:r>
        <w:r>
          <w:fldChar w:fldCharType="end"/>
        </w:r>
      </w:hyperlink>
      <w:r/>
      <w:r/>
    </w:p>
    <w:p>
      <w:pPr>
        <w:pStyle w:val="1059"/>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40257872"/>
      <w:r/>
      <w:bookmarkStart w:id="6" w:name="_Toc163804579"/>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常州市武进区西湖街道办事处的西湖街道“安康关爱行动”保险服务项目的潜在投标人应在“苏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1</w:t>
      </w:r>
      <w:r>
        <w:rPr>
          <w:rFonts w:hint="eastAsia"/>
          <w:sz w:val="24"/>
        </w:rPr>
        <w:t xml:space="preserve">1</w:t>
      </w:r>
      <w:r>
        <w:rPr>
          <w:rFonts w:hint="eastAsia"/>
          <w:sz w:val="24"/>
        </w:rPr>
        <w:t xml:space="preserve">月</w:t>
      </w:r>
      <w:r>
        <w:rPr>
          <w:rFonts w:hint="eastAsia"/>
          <w:sz w:val="24"/>
        </w:rPr>
        <w:t xml:space="preserve">2</w:t>
      </w:r>
      <w:r>
        <w:rPr>
          <w:rFonts w:hint="eastAsia"/>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28"/>
        <w:jc w:val="left"/>
        <w:spacing w:before="0" w:line="360" w:lineRule="auto"/>
        <w:rPr>
          <w:rFonts w:ascii="Times New Roman" w:hAnsi="Times New Roman" w:eastAsia="宋体"/>
          <w:sz w:val="24"/>
          <w:szCs w:val="24"/>
        </w:rPr>
      </w:pPr>
      <w:r/>
      <w:bookmarkStart w:id="7" w:name="_Toc35393621"/>
      <w:r/>
      <w:bookmarkStart w:id="8" w:name="_Toc28359079"/>
      <w:r/>
      <w:bookmarkStart w:id="9" w:name="_Toc35393790"/>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JSZC-320412-CZMJ-G2026-001</w:t>
      </w:r>
      <w:r>
        <w:rPr>
          <w:rFonts w:hint="eastAsia"/>
          <w:sz w:val="24"/>
        </w:rPr>
        <w:t xml:space="preserve">2</w:t>
      </w:r>
      <w:r/>
    </w:p>
    <w:p>
      <w:pPr>
        <w:ind w:firstLine="480"/>
        <w:spacing w:line="360" w:lineRule="auto"/>
        <w:rPr>
          <w:sz w:val="24"/>
        </w:rPr>
      </w:pPr>
      <w:r>
        <w:rPr>
          <w:sz w:val="24"/>
        </w:rPr>
        <w:t xml:space="preserve">2.</w:t>
      </w:r>
      <w:r>
        <w:rPr>
          <w:sz w:val="24"/>
        </w:rPr>
        <w:t xml:space="preserve">项目名称：</w:t>
      </w:r>
      <w:r>
        <w:rPr>
          <w:rFonts w:hint="eastAsia"/>
          <w:sz w:val="24"/>
        </w:rPr>
        <w:t xml:space="preserve">西湖街道“安康关爱行动”保险服务项目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229</w:t>
      </w:r>
      <w:r>
        <w:rPr>
          <w:rFonts w:hint="eastAsia"/>
          <w:sz w:val="24"/>
        </w:rPr>
        <w:t xml:space="preserve">万元。</w:t>
      </w:r>
      <w:r>
        <w:rPr>
          <w:sz w:val="24"/>
        </w:rPr>
        <w:t xml:space="preserve">项目最高限价：</w:t>
      </w:r>
      <w:r>
        <w:rPr>
          <w:rFonts w:hint="eastAsia"/>
          <w:sz w:val="24"/>
        </w:rPr>
        <w:t xml:space="preserve">229</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178"/>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西湖街道“安康关爱行动”保险服务项目</w:t>
            </w:r>
            <w:r/>
          </w:p>
        </w:tc>
        <w:tc>
          <w:tcPr>
            <w:tcW w:w="594" w:type="pct"/>
            <w:vAlign w:val="center"/>
            <w:textDirection w:val="lrTb"/>
            <w:noWrap w:val="false"/>
          </w:tcPr>
          <w:p>
            <w:pPr>
              <w:jc w:val="center"/>
              <w:rPr>
                <w:bCs/>
                <w:szCs w:val="21"/>
              </w:rPr>
            </w:pPr>
            <w:r>
              <w:rPr>
                <w:rFonts w:hint="eastAsia"/>
                <w:bCs/>
                <w:sz w:val="24"/>
              </w:rPr>
              <w:t xml:space="preserve">229</w:t>
            </w:r>
            <w:r/>
          </w:p>
        </w:tc>
        <w:tc>
          <w:tcPr>
            <w:tcW w:w="594" w:type="pct"/>
            <w:vAlign w:val="center"/>
            <w:textDirection w:val="lrTb"/>
            <w:noWrap w:val="false"/>
          </w:tcPr>
          <w:p>
            <w:pPr>
              <w:jc w:val="center"/>
              <w:rPr>
                <w:bCs/>
                <w:szCs w:val="21"/>
              </w:rPr>
            </w:pPr>
            <w:r>
              <w:rPr>
                <w:rFonts w:hint="eastAsia"/>
                <w:sz w:val="24"/>
              </w:rPr>
              <w:t xml:space="preserve">229</w:t>
            </w:r>
            <w:r/>
          </w:p>
        </w:tc>
        <w:tc>
          <w:tcPr>
            <w:tcW w:w="371"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年</w:t>
            </w:r>
            <w:r/>
          </w:p>
        </w:tc>
        <w:tc>
          <w:tcPr>
            <w:tcW w:w="2277" w:type="pct"/>
            <w:vAlign w:val="center"/>
            <w:textDirection w:val="lrTb"/>
            <w:noWrap w:val="false"/>
          </w:tcPr>
          <w:p>
            <w:pPr>
              <w:jc w:val="left"/>
              <w:rPr>
                <w:bCs/>
                <w:szCs w:val="21"/>
              </w:rPr>
            </w:pPr>
            <w:r>
              <w:rPr>
                <w:rFonts w:hint="eastAsia"/>
                <w:szCs w:val="21"/>
              </w:rPr>
              <w:t xml:space="preserve">西湖街道</w:t>
            </w:r>
            <w:r>
              <w:rPr>
                <w:szCs w:val="21"/>
              </w:rPr>
              <w:t xml:space="preserve">“</w:t>
            </w:r>
            <w:r>
              <w:rPr>
                <w:szCs w:val="21"/>
              </w:rPr>
              <w:t xml:space="preserve">安康关爱行动</w:t>
            </w:r>
            <w:r>
              <w:rPr>
                <w:szCs w:val="21"/>
              </w:rPr>
              <w:t xml:space="preserve">”</w:t>
            </w:r>
            <w:r>
              <w:rPr>
                <w:szCs w:val="21"/>
              </w:rPr>
              <w:t xml:space="preserve">服务，</w:t>
            </w:r>
            <w:r>
              <w:rPr>
                <w:rFonts w:hint="eastAsia"/>
                <w:szCs w:val="21"/>
              </w:rPr>
              <w:t xml:space="preserve">拟提供</w:t>
            </w:r>
            <w:r>
              <w:rPr>
                <w:szCs w:val="21"/>
              </w:rPr>
              <w:t xml:space="preserve">约</w:t>
            </w:r>
            <w:r>
              <w:rPr>
                <w:rFonts w:hint="eastAsia"/>
                <w:szCs w:val="21"/>
              </w:rPr>
              <w:t xml:space="preserve">9900</w:t>
            </w:r>
            <w:r>
              <w:rPr>
                <w:szCs w:val="21"/>
              </w:rPr>
              <w:t xml:space="preserve">人次老年人意外险</w:t>
            </w:r>
            <w:r>
              <w:rPr>
                <w:rFonts w:hint="eastAsia"/>
                <w:szCs w:val="21"/>
              </w:rPr>
              <w:t xml:space="preserve">及约</w:t>
            </w:r>
            <w:r>
              <w:rPr>
                <w:rFonts w:hint="eastAsia"/>
                <w:szCs w:val="21"/>
              </w:rPr>
              <w:t xml:space="preserve">13000</w:t>
            </w:r>
            <w:r>
              <w:rPr>
                <w:rFonts w:hint="eastAsia"/>
                <w:szCs w:val="21"/>
              </w:rPr>
              <w:t xml:space="preserve">人小额意外险</w:t>
            </w:r>
            <w:r>
              <w:rPr>
                <w:szCs w:val="21"/>
              </w:rPr>
              <w:t xml:space="preserve">，人数为预估，具体以实际收缴为准</w:t>
            </w:r>
            <w:r>
              <w:rPr>
                <w:rFonts w:hint="eastAsia"/>
                <w:szCs w:val="21"/>
              </w:rPr>
              <w:t xml:space="preserve">。保险期限为一年。</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End w:id="12"/>
      <w:r>
        <w:rPr>
          <w:rFonts w:hint="eastAsia"/>
          <w:sz w:val="24"/>
        </w:rPr>
        <w:t xml:space="preserve">具体根据西湖街道各村（社区）原保险期满后一年。详见采购需求。</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28"/>
        <w:jc w:val="left"/>
        <w:spacing w:before="0" w:line="360" w:lineRule="auto"/>
        <w:rPr>
          <w:rFonts w:ascii="Times New Roman" w:hAnsi="Times New Roman" w:eastAsia="宋体"/>
          <w:sz w:val="24"/>
          <w:szCs w:val="24"/>
        </w:rPr>
      </w:pPr>
      <w:r/>
      <w:bookmarkStart w:id="13" w:name="_Toc35393622"/>
      <w:r/>
      <w:bookmarkStart w:id="14" w:name="_Toc28359080"/>
      <w:r/>
      <w:bookmarkStart w:id="15" w:name="_Toc28359003"/>
      <w:r/>
      <w:bookmarkStart w:id="16" w:name="_Toc35393791"/>
      <w:r>
        <w:rPr>
          <w:rFonts w:ascii="Times New Roman" w:hAnsi="Times New Roman" w:eastAsia="宋体"/>
          <w:sz w:val="24"/>
          <w:szCs w:val="24"/>
        </w:rPr>
        <w:t xml:space="preserve">二、申请人的资格要求（须同时满足）</w:t>
      </w:r>
      <w:bookmarkEnd w:id="13"/>
      <w:r/>
      <w:bookmarkEnd w:id="14"/>
      <w:r/>
      <w:bookmarkEnd w:id="15"/>
      <w:r/>
      <w:bookmarkEnd w:id="16"/>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7" w:name="_Toc28359004"/>
      <w:r/>
      <w:bookmarkStart w:id="18" w:name="_Toc28359081"/>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rFonts w:hint="eastAsia"/>
          <w:sz w:val="24"/>
        </w:rPr>
        <w:t xml:space="preserve">（仅接受保险行业）</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经国家金融监督管理总局（原中国银行保险监督管理委员会）批准，具有该项目所有保险责任经营的相关许可。（如为总公司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p>
      <w:pPr>
        <w:pStyle w:val="1028"/>
        <w:jc w:val="left"/>
        <w:spacing w:before="0" w:line="360" w:lineRule="auto"/>
        <w:widowControl/>
        <w:rPr>
          <w:rFonts w:ascii="Times New Roman" w:hAnsi="Times New Roman" w:eastAsia="宋体"/>
          <w:sz w:val="24"/>
          <w:szCs w:val="24"/>
        </w:rPr>
      </w:pPr>
      <w:r/>
      <w:bookmarkStart w:id="19" w:name="_Toc35393623"/>
      <w:r/>
      <w:bookmarkStart w:id="20" w:name="_Toc35393792"/>
      <w:r/>
      <w:bookmarkEnd w:id="17"/>
      <w:r/>
      <w:bookmarkEnd w:id="18"/>
      <w:r>
        <w:rPr>
          <w:rFonts w:ascii="Times New Roman" w:hAnsi="Times New Roman" w:eastAsia="宋体"/>
          <w:sz w:val="24"/>
          <w:szCs w:val="24"/>
        </w:rPr>
        <w:t xml:space="preserve">三、获取招标文件</w:t>
      </w:r>
      <w:bookmarkEnd w:id="19"/>
      <w:r/>
      <w:bookmarkEnd w:id="20"/>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10</w:t>
      </w:r>
      <w:r>
        <w:rPr>
          <w:sz w:val="24"/>
          <w:lang w:bidi="ar"/>
        </w:rPr>
        <w:t xml:space="preserve">月</w:t>
      </w:r>
      <w:r>
        <w:rPr>
          <w:rFonts w:hint="eastAsia"/>
          <w:sz w:val="24"/>
          <w:lang w:bidi="ar"/>
        </w:rPr>
        <w:t xml:space="preserve">19</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28"/>
        <w:jc w:val="left"/>
        <w:spacing w:before="0" w:line="360" w:lineRule="auto"/>
        <w:widowControl/>
        <w:rPr>
          <w:rFonts w:ascii="Times New Roman" w:hAnsi="Times New Roman" w:eastAsia="宋体"/>
          <w:sz w:val="24"/>
          <w:szCs w:val="24"/>
        </w:rPr>
      </w:pPr>
      <w:r/>
      <w:bookmarkStart w:id="21" w:name="_Toc35393624"/>
      <w:r/>
      <w:bookmarkStart w:id="22" w:name="_Toc28359005"/>
      <w:r/>
      <w:bookmarkStart w:id="23" w:name="_Toc35393793"/>
      <w:r/>
      <w:bookmarkStart w:id="24" w:name="_Toc28359082"/>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lang w:bidi="ar"/>
        </w:rPr>
        <w:t xml:space="preserve">1</w:t>
      </w:r>
      <w:r>
        <w:rPr>
          <w:rFonts w:hint="eastAsia"/>
          <w:sz w:val="24"/>
          <w:lang w:bidi="ar"/>
        </w:rPr>
        <w:t xml:space="preserve">1</w:t>
      </w:r>
      <w:r>
        <w:rPr>
          <w:rFonts w:hint="eastAsia"/>
          <w:sz w:val="24"/>
          <w:lang w:bidi="ar"/>
        </w:rPr>
        <w:t xml:space="preserve">月</w:t>
      </w:r>
      <w:r>
        <w:rPr>
          <w:rFonts w:hint="eastAsia"/>
          <w:sz w:val="24"/>
          <w:lang w:bidi="ar"/>
        </w:rPr>
        <w:t xml:space="preserve">2</w:t>
      </w:r>
      <w:r>
        <w:rPr>
          <w:rFonts w:hint="eastAsia"/>
          <w:sz w:val="24"/>
          <w:lang w:bidi="ar"/>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28"/>
        <w:jc w:val="left"/>
        <w:spacing w:before="0" w:line="360" w:lineRule="auto"/>
        <w:rPr>
          <w:rFonts w:ascii="Times New Roman" w:hAnsi="Times New Roman" w:eastAsia="宋体"/>
          <w:sz w:val="24"/>
          <w:szCs w:val="24"/>
        </w:rPr>
      </w:pPr>
      <w:r/>
      <w:bookmarkStart w:id="25" w:name="_Toc28359084"/>
      <w:r/>
      <w:bookmarkStart w:id="26" w:name="_Toc35393794"/>
      <w:r/>
      <w:bookmarkStart w:id="27" w:name="_Toc28359007"/>
      <w:r/>
      <w:bookmarkStart w:id="28" w:name="_Toc35393625"/>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28"/>
        <w:jc w:val="left"/>
        <w:spacing w:before="0" w:line="360" w:lineRule="auto"/>
        <w:rPr>
          <w:rFonts w:ascii="Times New Roman" w:hAnsi="Times New Roman" w:eastAsia="宋体"/>
          <w:sz w:val="24"/>
          <w:szCs w:val="24"/>
        </w:rPr>
      </w:pPr>
      <w:r/>
      <w:bookmarkStart w:id="29" w:name="_Toc35393795"/>
      <w:r/>
      <w:bookmarkStart w:id="30" w:name="_Toc35393626"/>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详见公开招标文件</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年。预算</w:t>
      </w:r>
      <w:r>
        <w:rPr>
          <w:sz w:val="24"/>
        </w:rPr>
        <w:t xml:space="preserve">金额为</w:t>
      </w:r>
      <w:r>
        <w:rPr>
          <w:rFonts w:hint="eastAsia"/>
          <w:sz w:val="24"/>
        </w:rPr>
        <w:t xml:space="preserve">229</w:t>
      </w:r>
      <w:r>
        <w:rPr>
          <w:sz w:val="24"/>
        </w:rPr>
        <w:t xml:space="preserve">万元、当年安排数为</w:t>
      </w:r>
      <w:r>
        <w:rPr>
          <w:rFonts w:hint="eastAsia"/>
          <w:sz w:val="24"/>
        </w:rPr>
        <w:t xml:space="preserve">229</w:t>
      </w:r>
      <w:r>
        <w:rPr>
          <w:sz w:val="24"/>
        </w:rPr>
        <w:t xml:space="preserve">万元。</w:t>
      </w:r>
      <w:r/>
    </w:p>
    <w:p>
      <w:pPr>
        <w:ind w:firstLine="480"/>
        <w:jc w:val="left"/>
        <w:spacing w:line="360" w:lineRule="auto"/>
        <w:widowControl/>
        <w:rPr>
          <w:sz w:val="24"/>
          <w:lang w:bidi="ar"/>
        </w:rPr>
      </w:pPr>
      <w:r/>
      <w:bookmarkStart w:id="31" w:name="_Toc35393627"/>
      <w:r/>
      <w:bookmarkStart w:id="32" w:name="_Toc35393796"/>
      <w:r/>
      <w:bookmarkStart w:id="33" w:name="_Toc28359085"/>
      <w:r/>
      <w:bookmarkStart w:id="34" w:name="_Toc28359008"/>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常州市武进区西湖街道办事处</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常州市武进区经发区稻香路</w:t>
      </w:r>
      <w:r>
        <w:rPr>
          <w:rFonts w:hint="eastAsia"/>
          <w:sz w:val="24"/>
        </w:rPr>
        <w:t xml:space="preserve">2</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何先生</w:t>
      </w:r>
      <w:r>
        <w:rPr>
          <w:rFonts w:hint="eastAsia"/>
          <w:sz w:val="24"/>
        </w:rPr>
        <w:t xml:space="preserve"> </w:t>
      </w:r>
      <w:r>
        <w:rPr>
          <w:sz w:val="24"/>
        </w:rPr>
        <w:t xml:space="preserve"> </w:t>
      </w:r>
      <w:r>
        <w:rPr>
          <w:rFonts w:hint="eastAsia"/>
          <w:sz w:val="24"/>
        </w:rPr>
        <w:t xml:space="preserve">0519-86361023</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87"/>
      <w:r/>
      <w:bookmarkStart w:id="38" w:name="_Toc28359010"/>
      <w:r>
        <w:rPr>
          <w:sz w:val="24"/>
        </w:rPr>
        <w:t xml:space="preserve">名</w:t>
      </w:r>
      <w:r>
        <w:rPr>
          <w:sz w:val="24"/>
        </w:rPr>
        <w:t xml:space="preserve">    </w:t>
      </w:r>
      <w:r>
        <w:rPr>
          <w:sz w:val="24"/>
        </w:rPr>
        <w:t xml:space="preserve">称：</w:t>
      </w:r>
      <w:r>
        <w:rPr>
          <w:rFonts w:hint="eastAsia"/>
          <w:sz w:val="24"/>
        </w:rPr>
        <w:t xml:space="preserve">常州明镜工程咨询有限公司</w:t>
      </w:r>
      <w:bookmarkEnd w:id="37"/>
      <w:r/>
      <w:bookmarkEnd w:id="38"/>
      <w:r/>
      <w:r/>
    </w:p>
    <w:p>
      <w:pPr>
        <w:ind w:left="1077" w:hanging="298"/>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7" w:hanging="298"/>
        <w:jc w:val="left"/>
        <w:spacing w:line="360" w:lineRule="auto"/>
        <w:rPr>
          <w:sz w:val="24"/>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left="1078" w:hanging="299"/>
        <w:spacing w:line="360" w:lineRule="auto"/>
        <w:rPr>
          <w:b/>
          <w:sz w:val="24"/>
        </w:rPr>
      </w:pPr>
      <w:r>
        <w:rPr>
          <w:b/>
          <w:sz w:val="24"/>
        </w:rPr>
        <w:t xml:space="preserve">3.</w:t>
      </w:r>
      <w:r>
        <w:rPr>
          <w:b/>
          <w:sz w:val="24"/>
        </w:rPr>
        <w:t xml:space="preserve">项目联系方式</w:t>
      </w:r>
      <w:r/>
    </w:p>
    <w:p>
      <w:pPr>
        <w:pStyle w:val="1455"/>
        <w:ind w:left="1077" w:hanging="298"/>
        <w:spacing w:line="360" w:lineRule="auto"/>
        <w:rPr>
          <w:rFonts w:ascii="Times New Roman" w:hAnsi="Times New Roman"/>
          <w:sz w:val="24"/>
          <w:lang w:bidi="ar"/>
        </w:rPr>
      </w:pPr>
      <w:r>
        <w:rPr>
          <w:rFonts w:ascii="Times New Roman" w:hAnsi="Times New Roman"/>
          <w:sz w:val="24"/>
          <w:szCs w:val="24"/>
        </w:rPr>
        <w:t xml:space="preserve">项目联系人：杜卫平</w:t>
      </w:r>
      <w:r/>
    </w:p>
    <w:p>
      <w:pPr>
        <w:pStyle w:val="1455"/>
        <w:ind w:left="1077" w:hanging="298"/>
        <w:spacing w:line="360" w:lineRule="auto"/>
        <w:rPr>
          <w:rFonts w:ascii="Times New Roman" w:hAnsi="Times New Roman"/>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051"/>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051"/>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9" w:name="_Toc512937850"/>
      <w:r/>
      <w:bookmarkStart w:id="40" w:name="_Toc226965856"/>
      <w:r/>
      <w:bookmarkStart w:id="41" w:name="_Toc127151777"/>
      <w:r/>
      <w:bookmarkStart w:id="42" w:name="_Toc163804580"/>
      <w:r/>
      <w:bookmarkStart w:id="43" w:name="_Toc264969275"/>
      <w:r/>
      <w:bookmarkStart w:id="44" w:name="_Toc305158854"/>
      <w:r/>
      <w:bookmarkStart w:id="45" w:name="_Toc195842950"/>
      <w:r/>
      <w:bookmarkStart w:id="46" w:name="_Toc140257873"/>
      <w:r/>
      <w:bookmarkStart w:id="47" w:name="_Toc353873938"/>
      <w:r/>
      <w:bookmarkStart w:id="48" w:name="_Toc305158928"/>
      <w:r/>
      <w:bookmarkStart w:id="49" w:name="_Toc150774783"/>
      <w:r/>
      <w:bookmarkStart w:id="50" w:name="_Toc127161488"/>
      <w:r/>
      <w:bookmarkStart w:id="51" w:name="_Toc353825548"/>
      <w:r/>
      <w:bookmarkStart w:id="52" w:name="_Toc26522842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28"/>
        <w:spacing w:before="0" w:line="360" w:lineRule="auto"/>
        <w:tabs>
          <w:tab w:val="center" w:pos="4592" w:leader="none"/>
          <w:tab w:val="left" w:pos="7860" w:leader="none"/>
        </w:tabs>
        <w:rPr>
          <w:rFonts w:ascii="Times New Roman" w:hAnsi="Times New Roman" w:eastAsia="宋体"/>
          <w:sz w:val="28"/>
        </w:rPr>
      </w:pPr>
      <w:r/>
      <w:bookmarkStart w:id="53" w:name="_Toc226309763"/>
      <w:r/>
      <w:bookmarkStart w:id="54" w:name="_Toc150480757"/>
      <w:r/>
      <w:bookmarkStart w:id="55" w:name="_Toc164608633"/>
      <w:r/>
      <w:bookmarkStart w:id="56" w:name="_Toc151193617"/>
      <w:r/>
      <w:bookmarkStart w:id="57" w:name="_Toc151193689"/>
      <w:r/>
      <w:bookmarkStart w:id="58" w:name="_Toc151193761"/>
      <w:r/>
      <w:bookmarkStart w:id="59" w:name="_Toc226337215"/>
      <w:r/>
      <w:bookmarkStart w:id="60" w:name="_Toc164229360"/>
      <w:r/>
      <w:bookmarkStart w:id="61" w:name="_Toc151190146"/>
      <w:r/>
      <w:bookmarkStart w:id="62" w:name="_Toc127161433"/>
      <w:r/>
      <w:bookmarkStart w:id="63" w:name="_Toc164229214"/>
      <w:r/>
      <w:bookmarkStart w:id="64" w:name="_Toc127151519"/>
      <w:r/>
      <w:bookmarkStart w:id="65" w:name="_Toc195842884"/>
      <w:r/>
      <w:bookmarkStart w:id="66" w:name="_Toc150774724"/>
      <w:r/>
      <w:bookmarkStart w:id="67" w:name="_Toc226965792"/>
      <w:r/>
      <w:bookmarkStart w:id="68" w:name="_Toc150774619"/>
      <w:r/>
      <w:bookmarkStart w:id="69" w:name="_Toc226965709"/>
      <w:r/>
      <w:bookmarkStart w:id="70" w:name="_Toc520356144"/>
      <w:r/>
      <w:bookmarkStart w:id="71" w:name="_Toc151193907"/>
      <w:r/>
      <w:bookmarkStart w:id="72" w:name="_Toc151193833"/>
      <w:r/>
      <w:bookmarkStart w:id="73" w:name="_Toc142311021"/>
      <w:r/>
      <w:bookmarkStart w:id="74" w:name="_Toc150509270"/>
      <w:r/>
      <w:bookmarkStart w:id="75" w:name="_Toc164608788"/>
      <w:r/>
      <w:bookmarkStart w:id="76" w:name="_Toc127151720"/>
      <w:r/>
      <w:bookmarkStart w:id="77" w:name="_Toc164351613"/>
      <w:r/>
      <w:bookmarkStart w:id="78" w:name="_Toc149720812"/>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051"/>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051"/>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51"/>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51"/>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07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07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07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075"/>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租赁和商务服务业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412"/>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10</w:t>
            </w:r>
            <w:r>
              <w:rPr>
                <w:rFonts w:hint="eastAsia"/>
                <w:sz w:val="24"/>
                <w:u w:val="single"/>
              </w:rPr>
              <w:t xml:space="preserve">月</w:t>
            </w:r>
            <w:r>
              <w:rPr>
                <w:rFonts w:hint="eastAsia"/>
                <w:sz w:val="24"/>
                <w:u w:val="single"/>
              </w:rPr>
              <w:t xml:space="preserve">20</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r>
              <w:rPr>
                <w:sz w:val="24"/>
                <w:u w:val="single"/>
              </w:rPr>
              <w:t xml:space="preserve">394676860@qq.com</w:t>
            </w:r>
            <w:r>
              <w:rPr>
                <w:rFonts w:hint="eastAsia"/>
                <w:sz w:val="24"/>
                <w:u w:val="single"/>
              </w:rPr>
              <w:t xml:space="preserve">。</w:t>
            </w:r>
            <w:r/>
          </w:p>
        </w:tc>
      </w:tr>
      <w:tr>
        <w:trPr>
          <w:jc w:val="center"/>
          <w:trHeight w:val="1124"/>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p>
        </w:tc>
      </w:tr>
      <w:tr>
        <w:trPr>
          <w:jc w:val="center"/>
          <w:trHeight w:val="1535"/>
        </w:trPr>
        <w:tc>
          <w:tcPr>
            <w:tcW w:w="988" w:type="dxa"/>
            <w:vAlign w:val="center"/>
            <w:textDirection w:val="lrTb"/>
            <w:noWrap w:val="false"/>
          </w:tcPr>
          <w:p>
            <w:pPr>
              <w:pStyle w:val="1051"/>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rFonts w:hint="eastAsia"/>
                <w:sz w:val="24"/>
                <w:u w:val="single"/>
              </w:rPr>
              <w:t xml:space="preserve">0.315%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rFonts w:hint="eastAsia"/>
                <w:sz w:val="24"/>
                <w:u w:val="single"/>
              </w:rPr>
              <w:t xml:space="preserve">0.175%</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领取中标通知书之后三十个工作日内</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26965790"/>
      <w:r/>
      <w:bookmarkStart w:id="80" w:name="_Toc353873662"/>
      <w:r/>
      <w:bookmarkStart w:id="81" w:name="_Toc353825542"/>
      <w:r/>
      <w:bookmarkStart w:id="82" w:name="_Toc265228355"/>
      <w:r/>
      <w:bookmarkStart w:id="83" w:name="_Toc353873932"/>
      <w:r/>
      <w:bookmarkStart w:id="84" w:name="_Toc150480755"/>
      <w:r/>
      <w:bookmarkStart w:id="85" w:name="_Toc150774722"/>
      <w:r/>
      <w:bookmarkStart w:id="86" w:name="_Toc305158859"/>
      <w:r/>
      <w:bookmarkStart w:id="87" w:name="_Toc142311019"/>
      <w:r/>
      <w:bookmarkStart w:id="88" w:name="_Toc226337213"/>
      <w:r/>
      <w:bookmarkStart w:id="89" w:name="_Toc264969207"/>
      <w:r/>
      <w:bookmarkStart w:id="90" w:name="_Toc127151517"/>
      <w:r/>
      <w:bookmarkStart w:id="91" w:name="_Toc195842882"/>
      <w:r/>
      <w:bookmarkStart w:id="92" w:name="_Toc305158785"/>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28"/>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509269"/>
      <w:r/>
      <w:bookmarkStart w:id="96" w:name="_Toc226965791"/>
      <w:r/>
      <w:bookmarkStart w:id="97" w:name="_Toc151193688"/>
      <w:r/>
      <w:bookmarkStart w:id="98" w:name="_Toc142311020"/>
      <w:r/>
      <w:bookmarkStart w:id="99" w:name="_Toc226309762"/>
      <w:r/>
      <w:bookmarkStart w:id="100" w:name="_Toc264969208"/>
      <w:r/>
      <w:bookmarkStart w:id="101" w:name="_Toc150480756"/>
      <w:r/>
      <w:bookmarkStart w:id="102" w:name="_Toc150774618"/>
      <w:r/>
      <w:bookmarkStart w:id="103" w:name="_Toc226965708"/>
      <w:r/>
      <w:bookmarkStart w:id="104" w:name="_Toc151193906"/>
      <w:r/>
      <w:bookmarkStart w:id="105" w:name="_Toc151193616"/>
      <w:r/>
      <w:bookmarkStart w:id="106" w:name="_Toc305158860"/>
      <w:r/>
      <w:bookmarkStart w:id="107" w:name="_Toc305158786"/>
      <w:r/>
      <w:bookmarkStart w:id="108" w:name="_Toc151193832"/>
      <w:r/>
      <w:bookmarkStart w:id="109" w:name="_Toc195842883"/>
      <w:r/>
      <w:bookmarkStart w:id="110" w:name="_Toc150774723"/>
      <w:r/>
      <w:bookmarkStart w:id="111" w:name="_Toc265228356"/>
      <w:r/>
      <w:bookmarkStart w:id="112" w:name="_Toc151190145"/>
      <w:r/>
      <w:bookmarkStart w:id="113" w:name="_Toc226337214"/>
      <w:r/>
      <w:bookmarkStart w:id="114" w:name="_Toc151193760"/>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305158861"/>
      <w:r/>
      <w:bookmarkStart w:id="116" w:name="_Toc264969209"/>
      <w:r/>
      <w:bookmarkStart w:id="117" w:name="_Toc265228357"/>
      <w:r/>
      <w:bookmarkStart w:id="118" w:name="_Toc30515878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226337216"/>
      <w:r/>
      <w:bookmarkStart w:id="120" w:name="_Toc151193762"/>
      <w:r/>
      <w:bookmarkStart w:id="121" w:name="_Toc150774725"/>
      <w:r/>
      <w:bookmarkStart w:id="122" w:name="_Toc265228358"/>
      <w:r/>
      <w:bookmarkStart w:id="123" w:name="_Toc127151721"/>
      <w:r/>
      <w:bookmarkStart w:id="124" w:name="_Toc127161434"/>
      <w:r/>
      <w:bookmarkStart w:id="125" w:name="_Toc226965793"/>
      <w:r/>
      <w:bookmarkStart w:id="126" w:name="_Toc264969210"/>
      <w:r/>
      <w:bookmarkStart w:id="127" w:name="_Toc151193908"/>
      <w:r/>
      <w:bookmarkStart w:id="128" w:name="_Toc226965710"/>
      <w:r/>
      <w:bookmarkStart w:id="129" w:name="_Toc151193618"/>
      <w:r/>
      <w:bookmarkStart w:id="130" w:name="_Toc151193690"/>
      <w:r/>
      <w:bookmarkStart w:id="131" w:name="_Toc150480758"/>
      <w:r/>
      <w:bookmarkStart w:id="132" w:name="_Toc164351614"/>
      <w:r/>
      <w:bookmarkStart w:id="133" w:name="_Toc164608789"/>
      <w:r/>
      <w:bookmarkStart w:id="134" w:name="_Toc305158862"/>
      <w:r/>
      <w:bookmarkStart w:id="135" w:name="_Toc195842885"/>
      <w:r/>
      <w:bookmarkStart w:id="136" w:name="_Toc164229361"/>
      <w:r/>
      <w:bookmarkStart w:id="137" w:name="_Toc149720813"/>
      <w:r/>
      <w:bookmarkStart w:id="138" w:name="_Toc151190147"/>
      <w:r/>
      <w:bookmarkStart w:id="139" w:name="_Toc151193834"/>
      <w:r/>
      <w:bookmarkStart w:id="140" w:name="_Toc305158788"/>
      <w:r/>
      <w:bookmarkStart w:id="141" w:name="_Toc150509271"/>
      <w:r/>
      <w:bookmarkStart w:id="142" w:name="_Toc150774620"/>
      <w:r/>
      <w:bookmarkStart w:id="143" w:name="_Toc164229215"/>
      <w:r/>
      <w:bookmarkStart w:id="144" w:name="_Toc226309764"/>
      <w:r/>
      <w:bookmarkStart w:id="145" w:name="_Toc127151520"/>
      <w:r/>
      <w:bookmarkStart w:id="146" w:name="_Toc1646086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142311024"/>
      <w:r/>
      <w:bookmarkStart w:id="150" w:name="_Toc226309766"/>
      <w:r/>
      <w:bookmarkStart w:id="151" w:name="_Toc265228360"/>
      <w:r/>
      <w:bookmarkStart w:id="152" w:name="_Toc151193692"/>
      <w:r/>
      <w:bookmarkStart w:id="153" w:name="_Toc151193764"/>
      <w:r/>
      <w:bookmarkStart w:id="154" w:name="_Toc127151522"/>
      <w:r/>
      <w:bookmarkStart w:id="155" w:name="_Toc226965712"/>
      <w:r/>
      <w:bookmarkStart w:id="156" w:name="_Toc520356146"/>
      <w:r/>
      <w:bookmarkStart w:id="157" w:name="_Toc305158790"/>
      <w:r/>
      <w:bookmarkStart w:id="158" w:name="_Toc150774622"/>
      <w:r/>
      <w:bookmarkStart w:id="159" w:name="_Toc226965795"/>
      <w:r/>
      <w:bookmarkStart w:id="160" w:name="_Toc226337218"/>
      <w:r/>
      <w:bookmarkStart w:id="161" w:name="_Toc151193836"/>
      <w:r/>
      <w:bookmarkStart w:id="162" w:name="_Toc264969212"/>
      <w:r/>
      <w:bookmarkStart w:id="163" w:name="_Toc150774727"/>
      <w:r/>
      <w:bookmarkStart w:id="164" w:name="_Toc151190149"/>
      <w:r/>
      <w:bookmarkStart w:id="165" w:name="_Toc151193910"/>
      <w:r/>
      <w:bookmarkStart w:id="166" w:name="_Toc305158864"/>
      <w:r/>
      <w:bookmarkStart w:id="167" w:name="_Toc150509273"/>
      <w:r/>
      <w:bookmarkStart w:id="168" w:name="_Toc195842887"/>
      <w:r/>
      <w:bookmarkStart w:id="169" w:name="_Toc151193620"/>
      <w:r/>
      <w:r/>
    </w:p>
    <w:p>
      <w:pPr>
        <w:numPr>
          <w:ilvl w:val="1"/>
          <w:numId w:val="12"/>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2"/>
        </w:numPr>
        <w:spacing w:line="360" w:lineRule="auto"/>
        <w:tabs>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2"/>
        </w:numPr>
        <w:spacing w:line="360" w:lineRule="auto"/>
        <w:rPr>
          <w:sz w:val="24"/>
        </w:rPr>
      </w:pPr>
      <w:r>
        <w:rPr>
          <w:sz w:val="24"/>
        </w:rPr>
        <w:t xml:space="preserve">中小企业定义：</w:t>
      </w:r>
      <w:r/>
    </w:p>
    <w:p>
      <w:pPr>
        <w:pStyle w:val="170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0"/>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1"/>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rPr>
          <w:sz w:val="24"/>
        </w:rPr>
      </w:pPr>
      <w:r>
        <w:rPr>
          <w:sz w:val="24"/>
        </w:rPr>
        <w:t xml:space="preserve">残疾人福利单位定义：享受政府采购支持政策的残疾人福利性单位应当同时满足以下条件：</w:t>
      </w:r>
      <w:r/>
    </w:p>
    <w:p>
      <w:pPr>
        <w:pStyle w:val="170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6"/>
        <w:numPr>
          <w:ilvl w:val="2"/>
          <w:numId w:val="13"/>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w:t>
      </w:r>
      <w:r>
        <w:rPr>
          <w:sz w:val="24"/>
        </w:rPr>
        <w:t xml:space="preserve">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rPr>
          <w:sz w:val="24"/>
        </w:rPr>
      </w:pPr>
      <w:r>
        <w:rPr>
          <w:sz w:val="24"/>
        </w:rPr>
        <w:t xml:space="preserve">本项目是否专门面向中小企业预留采购份额见第一章《投标邀请》。</w:t>
      </w:r>
      <w:r/>
    </w:p>
    <w:p>
      <w:pPr>
        <w:numPr>
          <w:ilvl w:val="2"/>
          <w:numId w:val="12"/>
        </w:numPr>
        <w:spacing w:line="360" w:lineRule="auto"/>
        <w:rPr>
          <w:sz w:val="24"/>
        </w:rPr>
      </w:pPr>
      <w:r>
        <w:rPr>
          <w:sz w:val="24"/>
        </w:rPr>
        <w:t xml:space="preserve">采购标的对应的中小企业划分标准所属行业见《投标人须知资料表》。</w:t>
      </w:r>
      <w:r/>
    </w:p>
    <w:p>
      <w:pPr>
        <w:numPr>
          <w:ilvl w:val="2"/>
          <w:numId w:val="12"/>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2"/>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w:t>
      </w:r>
      <w:r>
        <w:rPr>
          <w:sz w:val="24"/>
        </w:rPr>
        <w:t xml:space="preserve">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2"/>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2"/>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w:t>
      </w:r>
      <w:r>
        <w:rPr>
          <w:sz w:val="24"/>
        </w:rPr>
        <w:t xml:space="preserve">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w:t>
      </w:r>
      <w:r>
        <w:rPr>
          <w:rFonts w:hint="eastAsia" w:ascii="宋体" w:hAnsi="宋体"/>
          <w:sz w:val="24"/>
        </w:rPr>
        <w:t xml:space="preserve">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s>
        <w:rPr>
          <w:sz w:val="24"/>
        </w:rPr>
        <w:outlineLvl w:val="1"/>
      </w:pPr>
      <w:r/>
      <w:bookmarkStart w:id="171" w:name="_Toc127151523"/>
      <w:r/>
      <w:bookmarkStart w:id="172" w:name="_Toc164229364"/>
      <w:r/>
      <w:bookmarkStart w:id="173" w:name="_Toc226309767"/>
      <w:r/>
      <w:bookmarkStart w:id="174" w:name="_Toc195842888"/>
      <w:r/>
      <w:bookmarkStart w:id="175" w:name="_Toc150774728"/>
      <w:r/>
      <w:bookmarkStart w:id="176" w:name="_Toc305158865"/>
      <w:r/>
      <w:bookmarkStart w:id="177" w:name="_Toc226337219"/>
      <w:r/>
      <w:bookmarkStart w:id="178" w:name="_Toc164229218"/>
      <w:r/>
      <w:bookmarkStart w:id="179" w:name="_Toc164608792"/>
      <w:r/>
      <w:bookmarkStart w:id="180" w:name="_Toc265228361"/>
      <w:r/>
      <w:bookmarkStart w:id="181" w:name="_Toc520356147"/>
      <w:r/>
      <w:bookmarkStart w:id="182" w:name="_Toc264969213"/>
      <w:r/>
      <w:bookmarkStart w:id="183" w:name="_Toc127161437"/>
      <w:r/>
      <w:bookmarkStart w:id="184" w:name="_Toc150774623"/>
      <w:r/>
      <w:bookmarkStart w:id="185" w:name="_Toc149720816"/>
      <w:r/>
      <w:bookmarkStart w:id="186" w:name="_Toc127151724"/>
      <w:r/>
      <w:bookmarkStart w:id="187" w:name="_Toc151193693"/>
      <w:r/>
      <w:bookmarkStart w:id="188" w:name="_Toc151190150"/>
      <w:r/>
      <w:bookmarkStart w:id="189" w:name="_Toc150509274"/>
      <w:r/>
      <w:bookmarkStart w:id="190" w:name="_Toc305158791"/>
      <w:r/>
      <w:bookmarkStart w:id="191" w:name="_Toc226965713"/>
      <w:r/>
      <w:bookmarkStart w:id="192" w:name="_Toc151193621"/>
      <w:r/>
      <w:bookmarkStart w:id="193" w:name="_Toc164351617"/>
      <w:r/>
      <w:bookmarkStart w:id="194" w:name="_Toc142311025"/>
      <w:r/>
      <w:bookmarkStart w:id="195" w:name="_Toc151193911"/>
      <w:r/>
      <w:bookmarkStart w:id="196" w:name="_Toc226965796"/>
      <w:r/>
      <w:bookmarkStart w:id="197" w:name="_Toc151193765"/>
      <w:r/>
      <w:bookmarkStart w:id="198" w:name="_Toc164608637"/>
      <w:r/>
      <w:bookmarkStart w:id="199" w:name="_Toc151193837"/>
      <w:r/>
      <w:bookmarkStart w:id="200" w:name="_Toc150480761"/>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151193624"/>
      <w:r/>
      <w:bookmarkStart w:id="203" w:name="_Toc127151526"/>
      <w:r/>
      <w:bookmarkStart w:id="204" w:name="_Toc520356150"/>
      <w:r/>
      <w:bookmarkStart w:id="205" w:name="_Toc150774731"/>
      <w:r/>
      <w:bookmarkStart w:id="206" w:name="_Toc265228364"/>
      <w:r/>
      <w:bookmarkStart w:id="207" w:name="_Toc150774626"/>
      <w:r/>
      <w:bookmarkStart w:id="208" w:name="_Toc226965716"/>
      <w:r/>
      <w:bookmarkStart w:id="209" w:name="_Toc151193696"/>
      <w:r/>
      <w:bookmarkStart w:id="210" w:name="_Toc195842891"/>
      <w:r/>
      <w:bookmarkStart w:id="211" w:name="_Toc264969216"/>
      <w:r/>
      <w:bookmarkStart w:id="212" w:name="_Toc226337222"/>
      <w:r/>
      <w:bookmarkStart w:id="213" w:name="_Toc151193840"/>
      <w:r/>
      <w:bookmarkStart w:id="214" w:name="_Toc305158794"/>
      <w:r/>
      <w:bookmarkStart w:id="215" w:name="_Toc142311028"/>
      <w:r/>
      <w:bookmarkStart w:id="216" w:name="_Toc151193914"/>
      <w:r/>
      <w:bookmarkStart w:id="217" w:name="_Toc151190153"/>
      <w:r/>
      <w:bookmarkStart w:id="218" w:name="_Toc151193768"/>
      <w:r/>
      <w:bookmarkStart w:id="219" w:name="_Toc226965799"/>
      <w:r/>
      <w:bookmarkStart w:id="220" w:name="_Toc150480764"/>
      <w:r/>
      <w:bookmarkStart w:id="221" w:name="_Toc226309770"/>
      <w:r/>
      <w:bookmarkStart w:id="222" w:name="_Toc305158868"/>
      <w:r/>
      <w:bookmarkStart w:id="223" w:name="_Toc150509277"/>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s>
        <w:rPr>
          <w:sz w:val="24"/>
        </w:rPr>
        <w:outlineLvl w:val="1"/>
      </w:pPr>
      <w:r/>
      <w:bookmarkStart w:id="224" w:name="_Toc151193769"/>
      <w:r/>
      <w:bookmarkStart w:id="225" w:name="_Toc305158869"/>
      <w:r/>
      <w:bookmarkStart w:id="226" w:name="_Toc151193915"/>
      <w:r/>
      <w:bookmarkStart w:id="227" w:name="_Toc149720820"/>
      <w:r/>
      <w:bookmarkStart w:id="228" w:name="_Toc150774732"/>
      <w:r/>
      <w:bookmarkStart w:id="229" w:name="_Toc151193697"/>
      <w:r/>
      <w:bookmarkStart w:id="230" w:name="_Toc226965717"/>
      <w:r/>
      <w:bookmarkStart w:id="231" w:name="_Toc150480765"/>
      <w:r/>
      <w:bookmarkStart w:id="232" w:name="_Toc127161441"/>
      <w:r/>
      <w:bookmarkStart w:id="233" w:name="_Toc150509278"/>
      <w:r/>
      <w:bookmarkStart w:id="234" w:name="_Toc226309771"/>
      <w:r/>
      <w:bookmarkStart w:id="235" w:name="_Toc264969217"/>
      <w:r/>
      <w:bookmarkStart w:id="236" w:name="_Toc164229368"/>
      <w:r/>
      <w:bookmarkStart w:id="237" w:name="_Toc520356151"/>
      <w:r/>
      <w:bookmarkStart w:id="238" w:name="_Toc164351621"/>
      <w:r/>
      <w:bookmarkStart w:id="239" w:name="_Toc150774627"/>
      <w:r/>
      <w:bookmarkStart w:id="240" w:name="_Toc226965800"/>
      <w:r/>
      <w:bookmarkStart w:id="241" w:name="_Toc151193841"/>
      <w:r/>
      <w:bookmarkStart w:id="242" w:name="_Toc127151728"/>
      <w:r/>
      <w:bookmarkStart w:id="243" w:name="_Toc142311029"/>
      <w:r/>
      <w:bookmarkStart w:id="244" w:name="_Toc151190154"/>
      <w:r/>
      <w:bookmarkStart w:id="245" w:name="_Toc195842892"/>
      <w:r/>
      <w:bookmarkStart w:id="246" w:name="_Toc265228365"/>
      <w:r/>
      <w:bookmarkStart w:id="247" w:name="_Toc127151527"/>
      <w:r/>
      <w:bookmarkStart w:id="248" w:name="_Toc516367021"/>
      <w:r/>
      <w:bookmarkStart w:id="249" w:name="_Toc164229222"/>
      <w:r/>
      <w:bookmarkStart w:id="250" w:name="_Toc226337223"/>
      <w:r/>
      <w:bookmarkStart w:id="251" w:name="_Toc164608641"/>
      <w:r/>
      <w:bookmarkStart w:id="252" w:name="_Toc305158795"/>
      <w:r/>
      <w:bookmarkStart w:id="253" w:name="_Toc164608796"/>
      <w:r/>
      <w:bookmarkStart w:id="254" w:name="_Toc151193625"/>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s>
        <w:rPr>
          <w:sz w:val="24"/>
        </w:rPr>
        <w:outlineLvl w:val="1"/>
      </w:pPr>
      <w:r/>
      <w:bookmarkStart w:id="255" w:name="_Ref467306676"/>
      <w:r/>
      <w:bookmarkStart w:id="256" w:name="_Toc516367022"/>
      <w:r/>
      <w:bookmarkStart w:id="257" w:name="_Ref467306195"/>
      <w:r/>
      <w:bookmarkStart w:id="258" w:name="_Toc305158796"/>
      <w:r/>
      <w:bookmarkStart w:id="259" w:name="_Toc305158870"/>
      <w:r/>
      <w:bookmarkStart w:id="260" w:name="_Toc164229223"/>
      <w:r/>
      <w:bookmarkStart w:id="261" w:name="_Toc151190155"/>
      <w:r/>
      <w:bookmarkStart w:id="262" w:name="_Toc150774733"/>
      <w:r/>
      <w:bookmarkStart w:id="263" w:name="_Toc151193916"/>
      <w:r/>
      <w:bookmarkStart w:id="264" w:name="_Toc520356152"/>
      <w:r/>
      <w:bookmarkStart w:id="265" w:name="_Toc226309772"/>
      <w:r/>
      <w:bookmarkStart w:id="266" w:name="_Toc164608642"/>
      <w:r/>
      <w:bookmarkStart w:id="267" w:name="_Toc150774628"/>
      <w:r/>
      <w:bookmarkStart w:id="268" w:name="_Toc164351622"/>
      <w:r/>
      <w:bookmarkStart w:id="269" w:name="_Toc151193626"/>
      <w:r/>
      <w:bookmarkStart w:id="270" w:name="_Toc149720821"/>
      <w:r/>
      <w:bookmarkStart w:id="271" w:name="_Toc151193842"/>
      <w:r/>
      <w:bookmarkStart w:id="272" w:name="_Toc127151729"/>
      <w:r/>
      <w:bookmarkStart w:id="273" w:name="_Toc151193770"/>
      <w:r/>
      <w:bookmarkStart w:id="274" w:name="_Toc265228366"/>
      <w:r/>
      <w:bookmarkStart w:id="275" w:name="_Toc151193698"/>
      <w:r/>
      <w:bookmarkStart w:id="276" w:name="_Toc226965718"/>
      <w:r/>
      <w:bookmarkStart w:id="277" w:name="_Toc164229369"/>
      <w:r/>
      <w:bookmarkStart w:id="278" w:name="_Toc164608797"/>
      <w:r/>
      <w:bookmarkStart w:id="279" w:name="_Toc226337224"/>
      <w:r/>
      <w:bookmarkStart w:id="280" w:name="_Toc264969218"/>
      <w:r/>
      <w:bookmarkStart w:id="281" w:name="_Toc226965801"/>
      <w:r/>
      <w:bookmarkStart w:id="282" w:name="_Toc127151528"/>
      <w:r/>
      <w:bookmarkStart w:id="283" w:name="_Toc127161442"/>
      <w:r/>
      <w:bookmarkStart w:id="284" w:name="_Toc150509279"/>
      <w:r/>
      <w:bookmarkStart w:id="285" w:name="_Toc150480766"/>
      <w:r/>
      <w:bookmarkStart w:id="286" w:name="_Toc195842893"/>
      <w:r/>
      <w:bookmarkStart w:id="287" w:name="_Toc142311030"/>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2014" w:leader="none"/>
        </w:tabs>
        <w:rPr>
          <w:sz w:val="24"/>
        </w:rPr>
      </w:pPr>
      <w:r/>
      <w:bookmarkStart w:id="288" w:name="_Ref467052588"/>
      <w:r>
        <w:rPr>
          <w:sz w:val="24"/>
        </w:rPr>
        <w:t xml:space="preserve">投标人应当按照招标文件的要求编制投标文件。投标文件应由《资格证明文</w:t>
      </w:r>
      <w:r>
        <w:rPr>
          <w:sz w:val="24"/>
        </w:rPr>
        <w:t xml:space="preserve">件》、《商务技术文件》两部分构成。投标文件的部分格式要求，见第七章《投标文件格式》。</w:t>
      </w:r>
      <w:r/>
    </w:p>
    <w:p>
      <w:pPr>
        <w:numPr>
          <w:ilvl w:val="1"/>
          <w:numId w:val="12"/>
        </w:numPr>
        <w:ind w:left="1077" w:hanging="720"/>
        <w:spacing w:line="360" w:lineRule="auto"/>
        <w:tabs>
          <w:tab w:val="left" w:pos="1080"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s>
        <w:rPr>
          <w:sz w:val="24"/>
        </w:rPr>
        <w:outlineLvl w:val="1"/>
      </w:pPr>
      <w:r/>
      <w:bookmarkStart w:id="289" w:name="_Toc127161444"/>
      <w:r/>
      <w:bookmarkStart w:id="290" w:name="_Toc151193918"/>
      <w:r/>
      <w:bookmarkStart w:id="291" w:name="_Toc151190157"/>
      <w:r/>
      <w:bookmarkStart w:id="292" w:name="_Toc127151731"/>
      <w:r/>
      <w:bookmarkStart w:id="293" w:name="_Toc150480768"/>
      <w:r/>
      <w:bookmarkStart w:id="294" w:name="_Toc127151530"/>
      <w:r/>
      <w:bookmarkStart w:id="295" w:name="_Toc195842895"/>
      <w:r/>
      <w:bookmarkStart w:id="296" w:name="_Toc520356155"/>
      <w:r/>
      <w:bookmarkStart w:id="297" w:name="_Toc164229225"/>
      <w:r/>
      <w:bookmarkStart w:id="298" w:name="_Toc150774735"/>
      <w:r/>
      <w:bookmarkStart w:id="299" w:name="_Toc164608644"/>
      <w:r/>
      <w:bookmarkStart w:id="300" w:name="_Toc150509281"/>
      <w:r/>
      <w:bookmarkStart w:id="301" w:name="_Toc149720823"/>
      <w:r/>
      <w:bookmarkStart w:id="302" w:name="_Toc164229371"/>
      <w:r/>
      <w:bookmarkStart w:id="303" w:name="_Toc151193772"/>
      <w:r/>
      <w:bookmarkStart w:id="304" w:name="_Toc151193844"/>
      <w:r/>
      <w:bookmarkStart w:id="305" w:name="_Toc151193628"/>
      <w:r/>
      <w:bookmarkStart w:id="306" w:name="_Toc151193700"/>
      <w:r/>
      <w:bookmarkStart w:id="307" w:name="_Toc142311032"/>
      <w:r/>
      <w:bookmarkStart w:id="308" w:name="_Toc150774630"/>
      <w:r/>
      <w:bookmarkStart w:id="309" w:name="_Toc164351624"/>
      <w:r/>
      <w:bookmarkStart w:id="310" w:name="_Toc164608799"/>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s>
        <w:rPr>
          <w:sz w:val="24"/>
        </w:rPr>
        <w:outlineLvl w:val="1"/>
      </w:pPr>
      <w:r/>
      <w:bookmarkStart w:id="311" w:name="_Toc151193701"/>
      <w:r/>
      <w:bookmarkStart w:id="312" w:name="_Toc195842896"/>
      <w:r/>
      <w:bookmarkStart w:id="313" w:name="_Toc226337227"/>
      <w:r/>
      <w:bookmarkStart w:id="314" w:name="_Toc127151531"/>
      <w:r/>
      <w:bookmarkStart w:id="315" w:name="_Toc164608800"/>
      <w:r/>
      <w:bookmarkStart w:id="316" w:name="_Toc150774631"/>
      <w:r/>
      <w:bookmarkStart w:id="317" w:name="_Toc142311033"/>
      <w:r/>
      <w:bookmarkStart w:id="318" w:name="_Toc150774736"/>
      <w:r/>
      <w:bookmarkStart w:id="319" w:name="_Toc151190158"/>
      <w:r/>
      <w:bookmarkStart w:id="320" w:name="_Toc164229226"/>
      <w:r/>
      <w:bookmarkStart w:id="321" w:name="_Toc127151732"/>
      <w:r/>
      <w:bookmarkStart w:id="322" w:name="_Toc149720824"/>
      <w:r/>
      <w:bookmarkStart w:id="323" w:name="_Toc226309775"/>
      <w:r/>
      <w:bookmarkStart w:id="324" w:name="_Toc164229372"/>
      <w:r/>
      <w:bookmarkStart w:id="325" w:name="_Toc164608645"/>
      <w:r/>
      <w:bookmarkStart w:id="326" w:name="_Toc151193845"/>
      <w:r/>
      <w:bookmarkStart w:id="327" w:name="_Toc305158799"/>
      <w:r/>
      <w:bookmarkStart w:id="328" w:name="_Toc226965804"/>
      <w:r/>
      <w:bookmarkStart w:id="329" w:name="_Toc305158873"/>
      <w:r/>
      <w:bookmarkStart w:id="330" w:name="_Toc150509282"/>
      <w:r/>
      <w:bookmarkStart w:id="331" w:name="_Toc265228369"/>
      <w:r/>
      <w:bookmarkStart w:id="332" w:name="_Toc520356156"/>
      <w:r/>
      <w:bookmarkStart w:id="333" w:name="_Toc226965721"/>
      <w:r/>
      <w:bookmarkStart w:id="334" w:name="_Toc127161445"/>
      <w:r/>
      <w:bookmarkStart w:id="335" w:name="_Toc151193919"/>
      <w:r/>
      <w:bookmarkStart w:id="336" w:name="_Toc151193629"/>
      <w:r/>
      <w:bookmarkStart w:id="337" w:name="_Toc164351625"/>
      <w:r/>
      <w:bookmarkStart w:id="338" w:name="_Toc150480769"/>
      <w:r/>
      <w:bookmarkStart w:id="339" w:name="_Toc264969221"/>
      <w:r/>
      <w:bookmarkStart w:id="340" w:name="_Ref467306513"/>
      <w:r/>
      <w:bookmarkStart w:id="341" w:name="_Toc15119377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s>
        <w:rPr>
          <w:sz w:val="24"/>
        </w:rPr>
        <w:outlineLvl w:val="1"/>
      </w:pPr>
      <w:r/>
      <w:bookmarkStart w:id="342" w:name="_Toc142311034"/>
      <w:r/>
      <w:bookmarkStart w:id="343" w:name="_Toc264969222"/>
      <w:r/>
      <w:bookmarkStart w:id="344" w:name="_Toc305158874"/>
      <w:r/>
      <w:bookmarkStart w:id="345" w:name="_Toc151193702"/>
      <w:r/>
      <w:bookmarkStart w:id="346" w:name="_Toc151193774"/>
      <w:r/>
      <w:bookmarkStart w:id="347" w:name="_Toc164608801"/>
      <w:r/>
      <w:bookmarkStart w:id="348" w:name="_Toc151193846"/>
      <w:r/>
      <w:bookmarkStart w:id="349" w:name="_Toc520356157"/>
      <w:r/>
      <w:bookmarkStart w:id="350" w:name="_Toc151193920"/>
      <w:r/>
      <w:bookmarkStart w:id="351" w:name="_Toc164229227"/>
      <w:r/>
      <w:bookmarkStart w:id="352" w:name="_Toc226965722"/>
      <w:r/>
      <w:bookmarkStart w:id="353" w:name="_Toc305158800"/>
      <w:r/>
      <w:bookmarkStart w:id="354" w:name="_Toc164229373"/>
      <w:r/>
      <w:bookmarkStart w:id="355" w:name="_Toc127151733"/>
      <w:r/>
      <w:bookmarkStart w:id="356" w:name="_Toc151193630"/>
      <w:r/>
      <w:bookmarkStart w:id="357" w:name="_Toc195842897"/>
      <w:r/>
      <w:bookmarkStart w:id="358" w:name="_Toc164351626"/>
      <w:r/>
      <w:bookmarkStart w:id="359" w:name="_Toc150509283"/>
      <w:r/>
      <w:bookmarkStart w:id="360" w:name="_Toc149720825"/>
      <w:r/>
      <w:bookmarkStart w:id="361" w:name="_Toc226337228"/>
      <w:r/>
      <w:bookmarkStart w:id="362" w:name="_Toc265228370"/>
      <w:r/>
      <w:bookmarkStart w:id="363" w:name="_Toc150774737"/>
      <w:r/>
      <w:bookmarkStart w:id="364" w:name="_Toc151190159"/>
      <w:r/>
      <w:bookmarkStart w:id="365" w:name="_Toc127161446"/>
      <w:r/>
      <w:bookmarkStart w:id="366" w:name="_Toc150480770"/>
      <w:r/>
      <w:bookmarkStart w:id="367" w:name="_Toc226309776"/>
      <w:r/>
      <w:bookmarkStart w:id="368" w:name="_Toc164608646"/>
      <w:r/>
      <w:bookmarkStart w:id="369" w:name="_Toc127151532"/>
      <w:r/>
      <w:bookmarkStart w:id="370" w:name="_Toc226965805"/>
      <w:r/>
      <w:bookmarkStart w:id="371" w:name="_Toc150774632"/>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w:t>
      </w:r>
      <w:r>
        <w:rPr>
          <w:sz w:val="24"/>
        </w:rPr>
        <w:t xml:space="preserve">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s>
        <w:rPr>
          <w:sz w:val="24"/>
        </w:rPr>
        <w:outlineLvl w:val="1"/>
      </w:pPr>
      <w:r/>
      <w:bookmarkStart w:id="372" w:name="_Toc150480771"/>
      <w:r/>
      <w:bookmarkStart w:id="373" w:name="_Toc127161447"/>
      <w:r/>
      <w:bookmarkStart w:id="374" w:name="_Toc226337229"/>
      <w:r/>
      <w:bookmarkStart w:id="375" w:name="_Toc226309777"/>
      <w:r/>
      <w:bookmarkStart w:id="376" w:name="_Toc151193775"/>
      <w:r/>
      <w:bookmarkStart w:id="377" w:name="_Toc127151533"/>
      <w:r/>
      <w:bookmarkStart w:id="378" w:name="_Toc164229228"/>
      <w:r/>
      <w:bookmarkStart w:id="379" w:name="_Toc150509284"/>
      <w:r/>
      <w:bookmarkStart w:id="380" w:name="_Toc520356158"/>
      <w:r/>
      <w:bookmarkStart w:id="381" w:name="_Toc164351627"/>
      <w:r/>
      <w:bookmarkStart w:id="382" w:name="_Toc226965806"/>
      <w:r/>
      <w:bookmarkStart w:id="383" w:name="_Toc305158801"/>
      <w:r/>
      <w:bookmarkStart w:id="384" w:name="_Toc150774738"/>
      <w:r/>
      <w:bookmarkStart w:id="385" w:name="_Toc305158875"/>
      <w:r/>
      <w:bookmarkStart w:id="386" w:name="_Toc151193921"/>
      <w:r/>
      <w:bookmarkStart w:id="387" w:name="_Toc127151734"/>
      <w:r/>
      <w:bookmarkStart w:id="388" w:name="_Toc264969223"/>
      <w:r/>
      <w:bookmarkStart w:id="389" w:name="_Toc150774633"/>
      <w:r/>
      <w:bookmarkStart w:id="390" w:name="_Toc164608802"/>
      <w:r/>
      <w:bookmarkStart w:id="391" w:name="_Toc164229374"/>
      <w:r/>
      <w:bookmarkStart w:id="392" w:name="_Toc151190160"/>
      <w:r/>
      <w:bookmarkStart w:id="393" w:name="_Toc265228371"/>
      <w:r/>
      <w:bookmarkStart w:id="394" w:name="_Toc151193631"/>
      <w:r/>
      <w:bookmarkStart w:id="395" w:name="_Toc164608647"/>
      <w:r/>
      <w:bookmarkStart w:id="396" w:name="_Toc226965723"/>
      <w:r/>
      <w:bookmarkStart w:id="397" w:name="_Toc149720826"/>
      <w:r/>
      <w:bookmarkStart w:id="398" w:name="_Toc142311035"/>
      <w:r/>
      <w:bookmarkStart w:id="399" w:name="_Toc195842898"/>
      <w:r/>
      <w:bookmarkStart w:id="400" w:name="_Toc151193703"/>
      <w:r/>
      <w:bookmarkStart w:id="401" w:name="_Toc151193847"/>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2014" w:leader="none"/>
        </w:tabs>
        <w:rPr>
          <w:sz w:val="24"/>
        </w:rPr>
      </w:pPr>
      <w:r/>
      <w:bookmarkStart w:id="402" w:name="_Toc305158876"/>
      <w:r/>
      <w:bookmarkStart w:id="403" w:name="_Toc142311036"/>
      <w:r/>
      <w:bookmarkStart w:id="404" w:name="_Toc226965807"/>
      <w:r/>
      <w:bookmarkStart w:id="405" w:name="_Toc150774634"/>
      <w:r/>
      <w:bookmarkStart w:id="406" w:name="_Toc195842899"/>
      <w:r/>
      <w:bookmarkStart w:id="407" w:name="_Toc226309778"/>
      <w:r/>
      <w:bookmarkStart w:id="408" w:name="_Toc520356159"/>
      <w:r/>
      <w:bookmarkStart w:id="409" w:name="_Toc127151534"/>
      <w:r/>
      <w:bookmarkStart w:id="410" w:name="_Toc151193776"/>
      <w:r/>
      <w:bookmarkStart w:id="411" w:name="_Toc226965724"/>
      <w:r/>
      <w:bookmarkStart w:id="412" w:name="_Toc150774739"/>
      <w:r/>
      <w:bookmarkStart w:id="413" w:name="_Toc151190161"/>
      <w:r/>
      <w:bookmarkStart w:id="414" w:name="_Toc151193922"/>
      <w:r/>
      <w:bookmarkStart w:id="415" w:name="_Toc151193704"/>
      <w:r/>
      <w:bookmarkStart w:id="416" w:name="_Toc265228372"/>
      <w:r/>
      <w:bookmarkStart w:id="417" w:name="_Toc226337230"/>
      <w:r/>
      <w:bookmarkStart w:id="418" w:name="_Toc150480772"/>
      <w:r/>
      <w:bookmarkStart w:id="419" w:name="_Toc151193632"/>
      <w:r/>
      <w:bookmarkStart w:id="420" w:name="_Toc264969224"/>
      <w:r/>
      <w:bookmarkStart w:id="421" w:name="_Toc151193848"/>
      <w:r/>
      <w:bookmarkStart w:id="422" w:name="_Toc305158802"/>
      <w:r/>
      <w:bookmarkStart w:id="423" w:name="_Toc150509285"/>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s>
        <w:rPr>
          <w:sz w:val="24"/>
        </w:rPr>
        <w:outlineLvl w:val="1"/>
      </w:pPr>
      <w:r/>
      <w:bookmarkStart w:id="424" w:name="_Toc305158803"/>
      <w:r/>
      <w:bookmarkStart w:id="425" w:name="_Toc150509286"/>
      <w:r/>
      <w:bookmarkStart w:id="426" w:name="_Toc226965725"/>
      <w:r/>
      <w:bookmarkStart w:id="427" w:name="_Toc150774740"/>
      <w:r/>
      <w:bookmarkStart w:id="428" w:name="_Toc264969225"/>
      <w:r/>
      <w:bookmarkStart w:id="429" w:name="_Toc305158877"/>
      <w:r/>
      <w:bookmarkStart w:id="430" w:name="_Toc164608649"/>
      <w:r/>
      <w:bookmarkStart w:id="431" w:name="_Toc150774635"/>
      <w:r/>
      <w:bookmarkStart w:id="432" w:name="_Toc151193633"/>
      <w:r/>
      <w:bookmarkStart w:id="433" w:name="_Toc226337231"/>
      <w:r/>
      <w:bookmarkStart w:id="434" w:name="_Toc127161449"/>
      <w:r/>
      <w:bookmarkStart w:id="435" w:name="_Toc150480773"/>
      <w:r/>
      <w:bookmarkStart w:id="436" w:name="_Toc151190162"/>
      <w:r/>
      <w:bookmarkStart w:id="437" w:name="_Toc142311037"/>
      <w:r/>
      <w:bookmarkStart w:id="438" w:name="_Toc164229376"/>
      <w:r/>
      <w:bookmarkStart w:id="439" w:name="_Toc151193705"/>
      <w:r/>
      <w:bookmarkStart w:id="440" w:name="_Toc265228373"/>
      <w:r/>
      <w:bookmarkStart w:id="441" w:name="_Toc127151736"/>
      <w:r/>
      <w:bookmarkStart w:id="442" w:name="_Toc151193923"/>
      <w:r/>
      <w:bookmarkStart w:id="443" w:name="_Toc151193849"/>
      <w:r/>
      <w:bookmarkStart w:id="444" w:name="_Toc151193777"/>
      <w:r/>
      <w:bookmarkStart w:id="445" w:name="_Toc164229230"/>
      <w:r/>
      <w:bookmarkStart w:id="446" w:name="_Toc164608804"/>
      <w:r/>
      <w:bookmarkStart w:id="447" w:name="_Toc226309779"/>
      <w:r/>
      <w:bookmarkStart w:id="448" w:name="_Toc149720828"/>
      <w:r/>
      <w:bookmarkStart w:id="449" w:name="_Toc127151535"/>
      <w:r/>
      <w:bookmarkStart w:id="450" w:name="_Toc195842900"/>
      <w:r/>
      <w:bookmarkStart w:id="451" w:name="_Toc164351629"/>
      <w:r/>
      <w:bookmarkStart w:id="452" w:name="_Toc226965808"/>
      <w:r/>
      <w:bookmarkStart w:id="453" w:name="_Toc520356160"/>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s>
        <w:rPr>
          <w:sz w:val="24"/>
        </w:rPr>
        <w:outlineLvl w:val="1"/>
      </w:pPr>
      <w:r/>
      <w:bookmarkStart w:id="454" w:name="_Toc520356161"/>
      <w:r/>
      <w:bookmarkStart w:id="455" w:name="_Toc226965809"/>
      <w:r/>
      <w:bookmarkStart w:id="456" w:name="_Toc149720829"/>
      <w:r/>
      <w:bookmarkStart w:id="457" w:name="_Toc151193850"/>
      <w:r/>
      <w:bookmarkStart w:id="458" w:name="_Toc151193778"/>
      <w:r/>
      <w:bookmarkStart w:id="459" w:name="_Toc265228374"/>
      <w:r/>
      <w:bookmarkStart w:id="460" w:name="_Toc151193634"/>
      <w:r/>
      <w:bookmarkStart w:id="461" w:name="_Toc305158878"/>
      <w:r/>
      <w:bookmarkStart w:id="462" w:name="_Toc164351630"/>
      <w:r/>
      <w:bookmarkStart w:id="463" w:name="_Toc226337232"/>
      <w:r/>
      <w:bookmarkStart w:id="464" w:name="_Toc151193924"/>
      <w:r/>
      <w:bookmarkStart w:id="465" w:name="_Toc305158804"/>
      <w:r/>
      <w:bookmarkStart w:id="466" w:name="_Toc151193706"/>
      <w:r/>
      <w:bookmarkStart w:id="467" w:name="_Toc226965726"/>
      <w:r/>
      <w:bookmarkStart w:id="468" w:name="_Toc226309780"/>
      <w:r/>
      <w:bookmarkStart w:id="469" w:name="_Toc151190163"/>
      <w:r/>
      <w:bookmarkStart w:id="470" w:name="_Toc195842901"/>
      <w:r/>
      <w:bookmarkStart w:id="471" w:name="_Toc150774636"/>
      <w:r/>
      <w:bookmarkStart w:id="472" w:name="_Toc164229377"/>
      <w:r/>
      <w:bookmarkStart w:id="473" w:name="_Toc142311038"/>
      <w:r/>
      <w:bookmarkStart w:id="474" w:name="_Toc264969226"/>
      <w:r/>
      <w:bookmarkStart w:id="475" w:name="_Toc164229231"/>
      <w:r/>
      <w:bookmarkStart w:id="476" w:name="_Toc150480774"/>
      <w:r/>
      <w:bookmarkStart w:id="477" w:name="_Toc150509287"/>
      <w:r/>
      <w:bookmarkStart w:id="478" w:name="_Toc164608805"/>
      <w:r/>
      <w:bookmarkStart w:id="479" w:name="_Toc127161450"/>
      <w:r/>
      <w:bookmarkStart w:id="480" w:name="_Toc127151737"/>
      <w:r/>
      <w:bookmarkStart w:id="481" w:name="_Toc164608650"/>
      <w:r/>
      <w:bookmarkStart w:id="482" w:name="_Toc150774741"/>
      <w:r/>
      <w:bookmarkStart w:id="483" w:name="_Toc127151536"/>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s>
        <w:rPr>
          <w:sz w:val="24"/>
        </w:rPr>
        <w:outlineLvl w:val="1"/>
      </w:pPr>
      <w:r/>
      <w:bookmarkStart w:id="484" w:name="_Toc151193635"/>
      <w:r/>
      <w:bookmarkStart w:id="485" w:name="_Toc164229232"/>
      <w:r/>
      <w:bookmarkStart w:id="486" w:name="_Toc226965810"/>
      <w:r/>
      <w:bookmarkStart w:id="487" w:name="_Toc164351631"/>
      <w:r/>
      <w:bookmarkStart w:id="488" w:name="_Toc151193779"/>
      <w:r/>
      <w:bookmarkStart w:id="489" w:name="_Toc151190164"/>
      <w:r/>
      <w:bookmarkStart w:id="490" w:name="_Toc265228375"/>
      <w:r/>
      <w:bookmarkStart w:id="491" w:name="_Toc305158879"/>
      <w:r/>
      <w:bookmarkStart w:id="492" w:name="_Toc151193707"/>
      <w:r/>
      <w:bookmarkStart w:id="493" w:name="_Toc164229378"/>
      <w:r/>
      <w:bookmarkStart w:id="494" w:name="_Toc164608806"/>
      <w:r/>
      <w:bookmarkStart w:id="495" w:name="_Toc127161451"/>
      <w:r/>
      <w:bookmarkStart w:id="496" w:name="_Toc127151537"/>
      <w:r/>
      <w:bookmarkStart w:id="497" w:name="_Toc150480775"/>
      <w:r/>
      <w:bookmarkStart w:id="498" w:name="_Toc305158805"/>
      <w:r/>
      <w:bookmarkStart w:id="499" w:name="_Toc127151738"/>
      <w:r/>
      <w:bookmarkStart w:id="500" w:name="_Toc150509288"/>
      <w:r/>
      <w:bookmarkStart w:id="501" w:name="_Toc150774637"/>
      <w:r/>
      <w:bookmarkStart w:id="502" w:name="_Toc142311039"/>
      <w:r/>
      <w:bookmarkStart w:id="503" w:name="_Toc150774742"/>
      <w:r/>
      <w:bookmarkStart w:id="504" w:name="_Toc226965727"/>
      <w:r/>
      <w:bookmarkStart w:id="505" w:name="_Toc151193925"/>
      <w:r/>
      <w:bookmarkStart w:id="506" w:name="_Toc520356162"/>
      <w:r/>
      <w:bookmarkStart w:id="507" w:name="_Toc264969227"/>
      <w:r/>
      <w:bookmarkStart w:id="508" w:name="_Toc149720830"/>
      <w:r/>
      <w:bookmarkStart w:id="509" w:name="_Toc195842902"/>
      <w:r/>
      <w:bookmarkStart w:id="510" w:name="_Toc226309781"/>
      <w:r/>
      <w:bookmarkStart w:id="511" w:name="_Toc226337233"/>
      <w:r/>
      <w:bookmarkStart w:id="512" w:name="_Toc164608651"/>
      <w:r/>
      <w:bookmarkStart w:id="513" w:name="_Toc151193851"/>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28"/>
        <w:spacing w:before="0" w:line="360" w:lineRule="auto"/>
        <w:rPr>
          <w:rFonts w:ascii="Times New Roman" w:hAnsi="Times New Roman" w:eastAsia="宋体"/>
          <w:sz w:val="28"/>
        </w:rPr>
      </w:pPr>
      <w:r/>
      <w:bookmarkStart w:id="514" w:name="_Toc520356163"/>
      <w:r/>
      <w:bookmarkStart w:id="515" w:name="_Toc226309782"/>
      <w:r/>
      <w:bookmarkStart w:id="516" w:name="_Toc151190165"/>
      <w:r/>
      <w:bookmarkStart w:id="517" w:name="_Toc265228376"/>
      <w:r/>
      <w:bookmarkStart w:id="518" w:name="_Toc150774638"/>
      <w:r/>
      <w:bookmarkStart w:id="519" w:name="_Toc142311040"/>
      <w:r/>
      <w:bookmarkStart w:id="520" w:name="_Toc226337234"/>
      <w:r/>
      <w:bookmarkStart w:id="521" w:name="_Toc127151538"/>
      <w:r/>
      <w:bookmarkStart w:id="522" w:name="_Toc305158806"/>
      <w:r/>
      <w:bookmarkStart w:id="523" w:name="_Toc150480776"/>
      <w:r/>
      <w:bookmarkStart w:id="524" w:name="_Toc151193636"/>
      <w:r/>
      <w:bookmarkStart w:id="525" w:name="_Toc151193780"/>
      <w:r/>
      <w:bookmarkStart w:id="526" w:name="_Toc151193852"/>
      <w:r/>
      <w:bookmarkStart w:id="527" w:name="_Toc150774743"/>
      <w:r/>
      <w:bookmarkStart w:id="528" w:name="_Toc195842903"/>
      <w:r/>
      <w:bookmarkStart w:id="529" w:name="_Toc226965811"/>
      <w:r/>
      <w:bookmarkStart w:id="530" w:name="_Toc264969228"/>
      <w:r/>
      <w:bookmarkStart w:id="531" w:name="_Toc151193708"/>
      <w:r/>
      <w:bookmarkStart w:id="532" w:name="_Toc305158880"/>
      <w:r/>
      <w:bookmarkStart w:id="533" w:name="_Toc150509289"/>
      <w:r/>
      <w:bookmarkStart w:id="534" w:name="_Toc151193926"/>
      <w:r/>
      <w:bookmarkStart w:id="535" w:name="_Toc226965728"/>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s>
        <w:rPr>
          <w:sz w:val="24"/>
        </w:rPr>
        <w:outlineLvl w:val="1"/>
      </w:pPr>
      <w:r/>
      <w:bookmarkStart w:id="536" w:name="_Toc149720832"/>
      <w:r/>
      <w:bookmarkStart w:id="537" w:name="_Toc127161453"/>
      <w:r/>
      <w:bookmarkStart w:id="538" w:name="_Toc164229234"/>
      <w:r/>
      <w:bookmarkStart w:id="539" w:name="_Toc226965729"/>
      <w:r/>
      <w:bookmarkStart w:id="540" w:name="_Toc150480777"/>
      <w:r/>
      <w:bookmarkStart w:id="541" w:name="_Toc151193853"/>
      <w:r/>
      <w:bookmarkStart w:id="542" w:name="_Toc264969229"/>
      <w:r/>
      <w:bookmarkStart w:id="543" w:name="_Toc151193709"/>
      <w:r/>
      <w:bookmarkStart w:id="544" w:name="_Toc265228377"/>
      <w:r/>
      <w:bookmarkStart w:id="545" w:name="_Toc226337235"/>
      <w:r/>
      <w:bookmarkStart w:id="546" w:name="_Toc164608653"/>
      <w:r/>
      <w:bookmarkStart w:id="547" w:name="_Toc305158807"/>
      <w:r/>
      <w:bookmarkStart w:id="548" w:name="_Toc151190166"/>
      <w:r/>
      <w:bookmarkStart w:id="549" w:name="_Toc150509290"/>
      <w:r/>
      <w:bookmarkStart w:id="550" w:name="_Toc164608808"/>
      <w:r/>
      <w:bookmarkStart w:id="551" w:name="_Toc164229380"/>
      <w:r/>
      <w:bookmarkStart w:id="552" w:name="_Toc127151740"/>
      <w:r/>
      <w:bookmarkStart w:id="553" w:name="_Toc520356164"/>
      <w:r/>
      <w:bookmarkStart w:id="554" w:name="_Toc127151539"/>
      <w:r/>
      <w:bookmarkStart w:id="555" w:name="_Toc164351633"/>
      <w:r/>
      <w:bookmarkStart w:id="556" w:name="_Toc151193781"/>
      <w:r/>
      <w:bookmarkStart w:id="557" w:name="_Toc150774744"/>
      <w:r/>
      <w:bookmarkStart w:id="558" w:name="_Toc151193927"/>
      <w:r/>
      <w:bookmarkStart w:id="559" w:name="_Toc305158881"/>
      <w:r/>
      <w:bookmarkStart w:id="560" w:name="_Toc150774639"/>
      <w:r/>
      <w:bookmarkStart w:id="561" w:name="_Toc195842904"/>
      <w:r/>
      <w:bookmarkStart w:id="562" w:name="_Toc151193637"/>
      <w:r/>
      <w:bookmarkStart w:id="563" w:name="_Toc226309783"/>
      <w:r/>
      <w:bookmarkStart w:id="564" w:name="_Toc142311041"/>
      <w:r/>
      <w:bookmarkStart w:id="565" w:name="_Toc226965812"/>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s>
        <w:rPr>
          <w:sz w:val="24"/>
        </w:rPr>
        <w:outlineLvl w:val="1"/>
      </w:pPr>
      <w:r/>
      <w:bookmarkStart w:id="567" w:name="_Toc142311042"/>
      <w:r/>
      <w:bookmarkStart w:id="568" w:name="_Toc151193710"/>
      <w:r/>
      <w:bookmarkStart w:id="569" w:name="_Toc164608809"/>
      <w:r/>
      <w:bookmarkStart w:id="570" w:name="_Toc164229381"/>
      <w:r/>
      <w:bookmarkStart w:id="571" w:name="_Toc151193638"/>
      <w:r/>
      <w:bookmarkStart w:id="572" w:name="_Toc226337236"/>
      <w:r/>
      <w:bookmarkStart w:id="573" w:name="_Toc127151540"/>
      <w:r/>
      <w:bookmarkStart w:id="574" w:name="_Toc150774745"/>
      <w:r/>
      <w:bookmarkStart w:id="575" w:name="_Toc150509291"/>
      <w:r/>
      <w:bookmarkStart w:id="576" w:name="_Toc305158882"/>
      <w:r/>
      <w:bookmarkStart w:id="577" w:name="_Toc164608654"/>
      <w:r/>
      <w:bookmarkStart w:id="578" w:name="_Toc305158808"/>
      <w:r/>
      <w:bookmarkStart w:id="579" w:name="_Toc265228378"/>
      <w:r/>
      <w:bookmarkStart w:id="580" w:name="_Toc127161454"/>
      <w:r/>
      <w:bookmarkStart w:id="581" w:name="_Toc164351634"/>
      <w:r/>
      <w:bookmarkStart w:id="582" w:name="_Toc151193782"/>
      <w:r/>
      <w:bookmarkStart w:id="583" w:name="_Toc226965730"/>
      <w:r/>
      <w:bookmarkStart w:id="584" w:name="_Toc264969230"/>
      <w:r/>
      <w:bookmarkStart w:id="585" w:name="_Toc164229235"/>
      <w:r/>
      <w:bookmarkStart w:id="586" w:name="_Toc151193928"/>
      <w:r/>
      <w:bookmarkStart w:id="587" w:name="_Toc127151741"/>
      <w:r/>
      <w:bookmarkStart w:id="588" w:name="_Toc150774640"/>
      <w:r/>
      <w:bookmarkStart w:id="589" w:name="_Toc151193854"/>
      <w:r/>
      <w:bookmarkStart w:id="590" w:name="_Toc149720833"/>
      <w:r/>
      <w:bookmarkStart w:id="591" w:name="_Toc226965813"/>
      <w:r/>
      <w:bookmarkStart w:id="592" w:name="_Toc150480778"/>
      <w:r/>
      <w:bookmarkStart w:id="593" w:name="_Toc151190167"/>
      <w:r/>
      <w:bookmarkStart w:id="594" w:name="_Toc226309784"/>
      <w:r/>
      <w:bookmarkStart w:id="595" w:name="_Toc195842905"/>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7" w:name="_Toc520356169"/>
      <w:r/>
      <w:bookmarkEnd w:id="596"/>
      <w:r/>
      <w:r/>
    </w:p>
    <w:p>
      <w:pPr>
        <w:numPr>
          <w:ilvl w:val="0"/>
          <w:numId w:val="12"/>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28"/>
        <w:spacing w:before="0" w:line="360" w:lineRule="auto"/>
        <w:rPr>
          <w:rFonts w:ascii="Times New Roman" w:hAnsi="Times New Roman" w:eastAsia="宋体"/>
          <w:sz w:val="28"/>
        </w:rPr>
      </w:pPr>
      <w:r/>
      <w:bookmarkStart w:id="598" w:name="_Toc150774750"/>
      <w:r/>
      <w:bookmarkStart w:id="599" w:name="_Toc226309789"/>
      <w:r/>
      <w:bookmarkStart w:id="600" w:name="_Toc142311047"/>
      <w:r/>
      <w:bookmarkStart w:id="601" w:name="_Toc151193643"/>
      <w:r/>
      <w:bookmarkStart w:id="602" w:name="_Toc305158813"/>
      <w:r/>
      <w:bookmarkStart w:id="603" w:name="_Toc150509296"/>
      <w:r/>
      <w:bookmarkStart w:id="604" w:name="_Toc150480783"/>
      <w:r/>
      <w:bookmarkStart w:id="605" w:name="_Toc151193787"/>
      <w:r/>
      <w:bookmarkStart w:id="606" w:name="_Toc151193859"/>
      <w:r/>
      <w:bookmarkStart w:id="607" w:name="_Toc151190172"/>
      <w:r/>
      <w:bookmarkStart w:id="608" w:name="_Toc264969235"/>
      <w:r/>
      <w:bookmarkStart w:id="609" w:name="_Toc305158887"/>
      <w:r/>
      <w:bookmarkStart w:id="610" w:name="_Toc265228383"/>
      <w:r/>
      <w:bookmarkStart w:id="611" w:name="_Toc226965735"/>
      <w:r/>
      <w:bookmarkStart w:id="612" w:name="_Toc127151545"/>
      <w:r/>
      <w:bookmarkStart w:id="613" w:name="_Toc150774645"/>
      <w:r/>
      <w:bookmarkStart w:id="614" w:name="_Toc151193715"/>
      <w:r/>
      <w:bookmarkStart w:id="615" w:name="_Toc226965818"/>
      <w:r/>
      <w:bookmarkStart w:id="616" w:name="_Toc195842910"/>
      <w:r/>
      <w:bookmarkStart w:id="617" w:name="_Toc151193933"/>
      <w:r/>
      <w:bookmarkStart w:id="618" w:name="_Toc226337241"/>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50774752"/>
      <w:r/>
      <w:bookmarkStart w:id="620" w:name="_Toc142311049"/>
      <w:r/>
      <w:bookmarkStart w:id="621" w:name="_Toc151193789"/>
      <w:r/>
      <w:bookmarkStart w:id="622" w:name="_Toc226965737"/>
      <w:r/>
      <w:bookmarkStart w:id="623" w:name="_Toc151193861"/>
      <w:r/>
      <w:bookmarkStart w:id="624" w:name="_Toc164608661"/>
      <w:r/>
      <w:bookmarkStart w:id="625" w:name="_Toc127161461"/>
      <w:r/>
      <w:bookmarkStart w:id="626" w:name="_Toc151193645"/>
      <w:r/>
      <w:bookmarkStart w:id="627" w:name="_Toc150480785"/>
      <w:r/>
      <w:bookmarkStart w:id="628" w:name="_Toc226309791"/>
      <w:r/>
      <w:bookmarkStart w:id="629" w:name="_Toc164229388"/>
      <w:r/>
      <w:bookmarkStart w:id="630" w:name="_Toc151190174"/>
      <w:r/>
      <w:bookmarkStart w:id="631" w:name="_Toc164351641"/>
      <w:r/>
      <w:bookmarkStart w:id="632" w:name="_Toc226965820"/>
      <w:r/>
      <w:bookmarkStart w:id="633" w:name="_Toc151193717"/>
      <w:r/>
      <w:bookmarkStart w:id="634" w:name="_Toc127151748"/>
      <w:r/>
      <w:bookmarkStart w:id="635" w:name="_Toc164229242"/>
      <w:r/>
      <w:bookmarkStart w:id="636" w:name="_Toc127151547"/>
      <w:r/>
      <w:bookmarkStart w:id="637" w:name="_Toc305158815"/>
      <w:r/>
      <w:bookmarkStart w:id="638" w:name="_Toc150509298"/>
      <w:r/>
      <w:bookmarkStart w:id="639" w:name="_Toc150774647"/>
      <w:r/>
      <w:bookmarkStart w:id="640" w:name="_Toc149720840"/>
      <w:r/>
      <w:bookmarkStart w:id="641" w:name="_Toc305158889"/>
      <w:r/>
      <w:bookmarkStart w:id="642" w:name="_Toc164608816"/>
      <w:r/>
      <w:bookmarkStart w:id="643" w:name="_Toc151193935"/>
      <w:r/>
      <w:bookmarkStart w:id="644" w:name="_Toc265228385"/>
      <w:r/>
      <w:bookmarkStart w:id="645" w:name="_Toc264969237"/>
      <w:r/>
      <w:bookmarkStart w:id="646" w:name="_Toc195842912"/>
      <w:r/>
      <w:bookmarkStart w:id="647" w:name="_Toc226337243"/>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s>
        <w:rPr>
          <w:sz w:val="24"/>
        </w:rPr>
        <w:outlineLvl w:val="1"/>
      </w:pPr>
      <w:r/>
      <w:bookmarkStart w:id="648" w:name="_Toc305158817"/>
      <w:r/>
      <w:bookmarkStart w:id="649" w:name="_Toc305158891"/>
      <w:r/>
      <w:bookmarkStart w:id="650" w:name="_Toc127151549"/>
      <w:r/>
      <w:bookmarkStart w:id="651" w:name="_Toc226337245"/>
      <w:r/>
      <w:bookmarkStart w:id="652" w:name="_Toc195842914"/>
      <w:r/>
      <w:bookmarkStart w:id="653" w:name="_Toc226965822"/>
      <w:r/>
      <w:bookmarkStart w:id="654" w:name="_Toc151193719"/>
      <w:r/>
      <w:bookmarkStart w:id="655" w:name="_Toc151193647"/>
      <w:r/>
      <w:bookmarkStart w:id="656" w:name="_Toc226309793"/>
      <w:r/>
      <w:bookmarkStart w:id="657" w:name="_Toc151193863"/>
      <w:r/>
      <w:bookmarkStart w:id="658" w:name="_Toc150480787"/>
      <w:r/>
      <w:bookmarkStart w:id="659" w:name="_Toc164351643"/>
      <w:r/>
      <w:bookmarkStart w:id="660" w:name="_Toc150774649"/>
      <w:r/>
      <w:bookmarkStart w:id="661" w:name="_Toc164608818"/>
      <w:r/>
      <w:bookmarkStart w:id="662" w:name="_Toc164608663"/>
      <w:r/>
      <w:bookmarkStart w:id="663" w:name="_Toc164229390"/>
      <w:r/>
      <w:bookmarkStart w:id="664" w:name="_Toc127151750"/>
      <w:r/>
      <w:bookmarkStart w:id="665" w:name="_Toc151193937"/>
      <w:r/>
      <w:bookmarkStart w:id="666" w:name="_Toc142311051"/>
      <w:r/>
      <w:bookmarkStart w:id="667" w:name="_Toc151190176"/>
      <w:r/>
      <w:bookmarkStart w:id="668" w:name="_Toc164229244"/>
      <w:r/>
      <w:bookmarkStart w:id="669" w:name="_Toc265228387"/>
      <w:r/>
      <w:bookmarkStart w:id="670" w:name="_Toc149720842"/>
      <w:r/>
      <w:bookmarkStart w:id="671" w:name="_Toc226965739"/>
      <w:r/>
      <w:bookmarkStart w:id="672" w:name="_Toc151193791"/>
      <w:r/>
      <w:bookmarkStart w:id="673" w:name="_Toc127161463"/>
      <w:r/>
      <w:bookmarkStart w:id="674" w:name="_Toc150509300"/>
      <w:r/>
      <w:bookmarkStart w:id="675" w:name="_Toc150774754"/>
      <w:r/>
      <w:bookmarkStart w:id="676" w:name="_Toc264969239"/>
      <w:r/>
      <w:bookmarkStart w:id="677" w:name="_Toc520356176"/>
      <w:r/>
      <w:bookmarkStart w:id="678" w:name="_Ref467306425"/>
      <w:r/>
      <w:bookmarkStart w:id="679" w:name="_Ref467307090"/>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2"/>
        </w:numPr>
        <w:spacing w:line="360" w:lineRule="auto"/>
        <w:rPr>
          <w:sz w:val="24"/>
        </w:rPr>
      </w:pPr>
      <w:r>
        <w:rPr>
          <w:sz w:val="24"/>
        </w:rPr>
        <w:t xml:space="preserve">符合专业条件的供应商或者对招标文件作实质响应的供应商不足三家的；</w:t>
      </w:r>
      <w:r/>
    </w:p>
    <w:p>
      <w:pPr>
        <w:numPr>
          <w:ilvl w:val="2"/>
          <w:numId w:val="12"/>
        </w:numPr>
        <w:spacing w:line="360" w:lineRule="auto"/>
        <w:rPr>
          <w:sz w:val="24"/>
        </w:rPr>
      </w:pPr>
      <w:r>
        <w:rPr>
          <w:sz w:val="24"/>
        </w:rPr>
        <w:t xml:space="preserve">出现影响采购公正的违法、违规行为的；</w:t>
      </w:r>
      <w:r/>
    </w:p>
    <w:p>
      <w:pPr>
        <w:numPr>
          <w:ilvl w:val="2"/>
          <w:numId w:val="12"/>
        </w:numPr>
        <w:spacing w:line="360" w:lineRule="auto"/>
        <w:rPr>
          <w:sz w:val="24"/>
        </w:rPr>
      </w:pPr>
      <w:r>
        <w:rPr>
          <w:sz w:val="24"/>
        </w:rPr>
        <w:t xml:space="preserve">投标人的报价均超过了采购预算，采购人不能支付的；</w:t>
      </w:r>
      <w:r/>
    </w:p>
    <w:p>
      <w:pPr>
        <w:numPr>
          <w:ilvl w:val="2"/>
          <w:numId w:val="12"/>
        </w:numPr>
        <w:spacing w:line="360" w:lineRule="auto"/>
        <w:rPr>
          <w:sz w:val="24"/>
        </w:rPr>
      </w:pPr>
      <w:r>
        <w:rPr>
          <w:sz w:val="24"/>
        </w:rPr>
        <w:t xml:space="preserve">因重大变故，采购任务取消的。</w:t>
      </w:r>
      <w:r/>
    </w:p>
    <w:p>
      <w:pPr>
        <w:numPr>
          <w:ilvl w:val="2"/>
          <w:numId w:val="12"/>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s>
        <w:rPr>
          <w:sz w:val="24"/>
        </w:rPr>
        <w:outlineLvl w:val="1"/>
      </w:pPr>
      <w:r/>
      <w:bookmarkStart w:id="680" w:name="_Toc151193792"/>
      <w:r/>
      <w:bookmarkStart w:id="681" w:name="_Toc305158892"/>
      <w:r/>
      <w:bookmarkStart w:id="682" w:name="_Toc195842915"/>
      <w:r/>
      <w:bookmarkStart w:id="683" w:name="_Toc264969240"/>
      <w:r/>
      <w:bookmarkStart w:id="684" w:name="_Toc150774650"/>
      <w:r/>
      <w:bookmarkStart w:id="685" w:name="_Toc164229391"/>
      <w:r/>
      <w:bookmarkStart w:id="686" w:name="_Toc164351644"/>
      <w:r/>
      <w:bookmarkStart w:id="687" w:name="_Toc226309794"/>
      <w:r/>
      <w:bookmarkStart w:id="688" w:name="_Toc265228388"/>
      <w:r/>
      <w:bookmarkStart w:id="689" w:name="_Toc164608664"/>
      <w:r/>
      <w:bookmarkStart w:id="690" w:name="_Toc164229245"/>
      <w:r/>
      <w:bookmarkStart w:id="691" w:name="_Ref467306978"/>
      <w:r/>
      <w:bookmarkStart w:id="692" w:name="_Toc142311052"/>
      <w:r/>
      <w:bookmarkStart w:id="693" w:name="_Toc127151751"/>
      <w:r/>
      <w:bookmarkStart w:id="694" w:name="_Ref467307062"/>
      <w:r/>
      <w:bookmarkStart w:id="695" w:name="_Toc150480788"/>
      <w:r/>
      <w:bookmarkStart w:id="696" w:name="_Toc127151550"/>
      <w:r/>
      <w:bookmarkStart w:id="697" w:name="_Ref467307204"/>
      <w:r/>
      <w:bookmarkStart w:id="698" w:name="_Toc151193938"/>
      <w:r/>
      <w:bookmarkStart w:id="699" w:name="_Toc305158818"/>
      <w:r/>
      <w:bookmarkStart w:id="700" w:name="_Toc127161464"/>
      <w:r/>
      <w:bookmarkStart w:id="701" w:name="_Toc151190177"/>
      <w:r/>
      <w:bookmarkStart w:id="702" w:name="_Toc150509301"/>
      <w:r/>
      <w:bookmarkStart w:id="703" w:name="_Toc520356175"/>
      <w:r/>
      <w:bookmarkStart w:id="704" w:name="_Toc226965823"/>
      <w:r/>
      <w:bookmarkStart w:id="705" w:name="_Toc150774755"/>
      <w:r/>
      <w:bookmarkStart w:id="706" w:name="_Toc164608819"/>
      <w:r/>
      <w:bookmarkStart w:id="707" w:name="_Toc226337246"/>
      <w:r/>
      <w:bookmarkStart w:id="708" w:name="_Ref467306377"/>
      <w:r/>
      <w:bookmarkStart w:id="709" w:name="_Toc151193864"/>
      <w:r/>
      <w:bookmarkStart w:id="710" w:name="_Toc151193648"/>
      <w:r/>
      <w:bookmarkStart w:id="711" w:name="_Toc149720843"/>
      <w:r/>
      <w:bookmarkStart w:id="712" w:name="_Toc151193720"/>
      <w:r/>
      <w:bookmarkStart w:id="713" w:name="_Toc226965740"/>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2014" w:leader="none"/>
        </w:tabs>
        <w:rPr>
          <w:sz w:val="24"/>
        </w:rPr>
      </w:pPr>
      <w:r>
        <w:rPr>
          <w:sz w:val="24"/>
        </w:rPr>
        <w:t xml:space="preserve">询问</w:t>
      </w:r>
      <w:r/>
    </w:p>
    <w:p>
      <w:pPr>
        <w:numPr>
          <w:ilvl w:val="2"/>
          <w:numId w:val="12"/>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2014" w:leader="none"/>
        </w:tabs>
        <w:rPr>
          <w:sz w:val="24"/>
        </w:rPr>
      </w:pPr>
      <w:r>
        <w:rPr>
          <w:sz w:val="24"/>
        </w:rPr>
        <w:t xml:space="preserve">质疑</w:t>
      </w:r>
      <w:r/>
    </w:p>
    <w:p>
      <w:pPr>
        <w:numPr>
          <w:ilvl w:val="2"/>
          <w:numId w:val="12"/>
        </w:numPr>
        <w:spacing w:line="360" w:lineRule="auto"/>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30" w:tooltip="http://gks.mof.gov.cn/ztztz/zhengfucaigouguanli/201802/t20180201_2804589.htm" w:history="1">
        <w:r>
          <w:rPr>
            <w:rStyle w:val="1084"/>
          </w:rPr>
          <w:t xml:space="preserve">http://gk</w:t>
        </w:r>
        <w:bookmarkStart w:id="714" w:name="_Hlt100654014"/>
        <w:r>
          <w:rPr>
            <w:rStyle w:val="1084"/>
          </w:rPr>
          <w:t xml:space="preserve">s</w:t>
        </w:r>
        <w:bookmarkEnd w:id="714"/>
        <w:r>
          <w:rPr>
            <w:rStyle w:val="1084"/>
          </w:rPr>
          <w:t xml:space="preserve">.m</w:t>
        </w:r>
        <w:bookmarkStart w:id="715" w:name="_Hlt100653993"/>
        <w:bookmarkStart w:id="716" w:name="_Hlt100653994"/>
        <w:r>
          <w:rPr>
            <w:rStyle w:val="1084"/>
          </w:rPr>
          <w:t xml:space="preserve">o</w:t>
        </w:r>
        <w:bookmarkEnd w:id="715"/>
        <w:bookmarkEnd w:id="716"/>
        <w:r>
          <w:rPr>
            <w:rStyle w:val="1084"/>
          </w:rPr>
          <w:t xml:space="preserve">f.gov.cn/ztztz/zhengfucaigouguanli/201802/t20180201_2804589.htm</w:t>
        </w:r>
      </w:hyperlink>
      <w:r>
        <w:rPr>
          <w:rFonts w:hint="eastAsia"/>
        </w:rPr>
        <w:t xml:space="preserve">）</w:t>
      </w:r>
      <w:r/>
    </w:p>
    <w:p>
      <w:pPr>
        <w:numPr>
          <w:ilvl w:val="2"/>
          <w:numId w:val="12"/>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265228392"/>
      <w:r/>
      <w:bookmarkStart w:id="718" w:name="_Toc305158822"/>
      <w:r/>
      <w:bookmarkStart w:id="719" w:name="_Toc264969244"/>
      <w:r/>
      <w:bookmarkStart w:id="720" w:name="_Toc150774759"/>
      <w:r/>
      <w:bookmarkStart w:id="721" w:name="_Toc127151554"/>
      <w:r/>
      <w:bookmarkStart w:id="722" w:name="_Toc142311056"/>
      <w:r/>
      <w:bookmarkStart w:id="723" w:name="_Toc305158896"/>
      <w:r/>
      <w:bookmarkStart w:id="724" w:name="_Toc226965827"/>
      <w:r/>
      <w:bookmarkStart w:id="725" w:name="_Toc150480792"/>
      <w:r/>
      <w:bookmarkStart w:id="726" w:name="_Toc353873664"/>
      <w:r/>
      <w:bookmarkStart w:id="727" w:name="_Toc353825544"/>
      <w:r/>
      <w:bookmarkStart w:id="728" w:name="_Toc226337250"/>
      <w:r/>
      <w:bookmarkStart w:id="729" w:name="_Toc353873934"/>
      <w:r>
        <w:rPr>
          <w:sz w:val="24"/>
        </w:rPr>
        <w:br w:type="page" w:clear="all"/>
      </w:r>
      <w:bookmarkStart w:id="730" w:name="_Toc163804581"/>
      <w:r/>
      <w:bookmarkStart w:id="731" w:name="_Toc140257874"/>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法定代表人（或负责人）资格证明书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法定代表人（或负责人）资格证明书、法定代表人（或负责人）身份证（如有授权的，另须提供授权委托书、被授权人身份证）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rFonts w:hint="eastAsia"/>
                <w:sz w:val="24"/>
              </w:rPr>
              <w:t xml:space="preserve">经国家金融监督管理总局（原中国银行保险监督管理委员会）批准，具有该项目所有保险责任经营的相关许可。</w:t>
            </w:r>
            <w:r/>
          </w:p>
        </w:tc>
        <w:tc>
          <w:tcPr>
            <w:tcW w:w="882" w:type="pct"/>
            <w:vAlign w:val="center"/>
            <w:textDirection w:val="lrTb"/>
            <w:noWrap w:val="false"/>
          </w:tcPr>
          <w:p>
            <w:pPr>
              <w:tabs>
                <w:tab w:val="left" w:pos="1080" w:leader="none"/>
              </w:tabs>
              <w:rPr>
                <w:sz w:val="24"/>
              </w:rPr>
            </w:pPr>
            <w:r>
              <w:rPr>
                <w:rFonts w:hint="eastAsia"/>
                <w:sz w:val="24"/>
              </w:rPr>
              <w:t xml:space="preserve">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tc>
      </w:tr>
    </w:tbl>
    <w:p>
      <w:pPr>
        <w:jc w:val="left"/>
        <w:widowControl/>
        <w:rPr>
          <w:sz w:val="24"/>
        </w:rPr>
      </w:pPr>
      <w:r/>
      <w:bookmarkStart w:id="735" w:name="_Toc353825550"/>
      <w:r/>
      <w:bookmarkStart w:id="736" w:name="_Toc226965858"/>
      <w:r/>
      <w:bookmarkStart w:id="737" w:name="_Toc353873940"/>
      <w:r/>
      <w:bookmarkStart w:id="738" w:name="_Toc127151779"/>
      <w:r/>
      <w:bookmarkStart w:id="739" w:name="_Toc127161490"/>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Pr>
          <w:sz w:val="24"/>
        </w:rPr>
        <w:br w:type="page" w:clear="all"/>
      </w:r>
      <w:r/>
    </w:p>
    <w:p>
      <w:pPr>
        <w:jc w:val="center"/>
        <w:spacing w:line="360" w:lineRule="auto"/>
        <w:rPr>
          <w:b/>
          <w:sz w:val="36"/>
          <w:szCs w:val="36"/>
        </w:rPr>
        <w:outlineLvl w:val="0"/>
      </w:pPr>
      <w:r/>
      <w:bookmarkStart w:id="740" w:name="_Toc163804582"/>
      <w:r/>
      <w:bookmarkStart w:id="741" w:name="_Toc140257875"/>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s>
        <w:rPr>
          <w:sz w:val="24"/>
        </w:rPr>
        <w:outlineLvl w:val="1"/>
      </w:pPr>
      <w:r/>
      <w:bookmarkStart w:id="743" w:name="_Toc142311043"/>
      <w:r/>
      <w:bookmarkStart w:id="744" w:name="_Toc150480779"/>
      <w:r/>
      <w:bookmarkStart w:id="745" w:name="_Toc151190168"/>
      <w:r/>
      <w:bookmarkStart w:id="746" w:name="_Toc265228379"/>
      <w:r/>
      <w:bookmarkStart w:id="747" w:name="_Toc149720834"/>
      <w:r/>
      <w:bookmarkStart w:id="748" w:name="_Toc226337237"/>
      <w:r/>
      <w:bookmarkStart w:id="749" w:name="_Toc164608655"/>
      <w:r/>
      <w:bookmarkStart w:id="750" w:name="_Toc164229236"/>
      <w:r/>
      <w:bookmarkStart w:id="751" w:name="_Toc150774641"/>
      <w:r/>
      <w:bookmarkStart w:id="752" w:name="_Toc164351635"/>
      <w:r/>
      <w:bookmarkStart w:id="753" w:name="_Toc226309785"/>
      <w:r/>
      <w:bookmarkStart w:id="754" w:name="_Toc305158809"/>
      <w:r/>
      <w:bookmarkStart w:id="755" w:name="_Toc150774746"/>
      <w:r/>
      <w:bookmarkStart w:id="756" w:name="_Toc151193929"/>
      <w:r/>
      <w:bookmarkStart w:id="757" w:name="_Toc164608810"/>
      <w:r/>
      <w:bookmarkStart w:id="758" w:name="_Toc151193639"/>
      <w:r/>
      <w:bookmarkStart w:id="759" w:name="_Toc150509292"/>
      <w:r/>
      <w:bookmarkStart w:id="760" w:name="_Toc151193855"/>
      <w:r/>
      <w:bookmarkStart w:id="761" w:name="_Toc151193711"/>
      <w:r/>
      <w:bookmarkStart w:id="762" w:name="_Toc127151541"/>
      <w:r/>
      <w:bookmarkStart w:id="763" w:name="_Toc195842906"/>
      <w:r/>
      <w:bookmarkStart w:id="764" w:name="_Toc127161455"/>
      <w:r/>
      <w:bookmarkStart w:id="765" w:name="_Toc305158883"/>
      <w:r/>
      <w:bookmarkStart w:id="766" w:name="_Toc264969231"/>
      <w:r/>
      <w:bookmarkStart w:id="767" w:name="_Toc226965731"/>
      <w:r/>
      <w:bookmarkStart w:id="768" w:name="_Toc127151742"/>
      <w:r/>
      <w:bookmarkStart w:id="769" w:name="_Toc151193783"/>
      <w:r/>
      <w:bookmarkStart w:id="770" w:name="_Toc226965814"/>
      <w:r/>
      <w:bookmarkStart w:id="771" w:name="_Toc164229382"/>
      <w:r/>
      <w:bookmarkStart w:id="772" w:name="_Toc353873941"/>
      <w:r/>
      <w:bookmarkStart w:id="773" w:name="_Toc353825551"/>
      <w:r/>
      <w:bookmarkStart w:id="774" w:name="_Toc142311057"/>
      <w:r/>
      <w:bookmarkStart w:id="775" w:name="_Toc353825545"/>
      <w:r/>
      <w:bookmarkStart w:id="776" w:name="_Toc150774760"/>
      <w:r/>
      <w:bookmarkStart w:id="777" w:name="_Toc150480793"/>
      <w:r/>
      <w:bookmarkStart w:id="778" w:name="_Toc226965828"/>
      <w:r/>
      <w:bookmarkStart w:id="779" w:name="_Toc353873935"/>
      <w:r/>
      <w:bookmarkStart w:id="780" w:name="_Toc305158823"/>
      <w:r/>
      <w:bookmarkStart w:id="781" w:name="_Toc127151555"/>
      <w:r/>
      <w:bookmarkStart w:id="782" w:name="_Toc353873665"/>
      <w:r/>
      <w:bookmarkStart w:id="783" w:name="_Toc195842920"/>
      <w:r/>
      <w:bookmarkStart w:id="784" w:name="_Toc264969245"/>
      <w:r/>
      <w:bookmarkStart w:id="785" w:name="_Toc226337251"/>
      <w:r/>
      <w:bookmarkStart w:id="786" w:name="_Toc305158897"/>
      <w:r/>
      <w:bookmarkStart w:id="787" w:name="_Toc265228393"/>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投标函、法定代表人（或负责人）资格证明书和政府采购供应商信用承诺书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投标函、法定代表人（或负责人）资格证明书和政府采购供应商信用承诺书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89"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bookmarkEnd w:id="789"/>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0"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bookmarkEnd w:id="790"/>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1" w:name="_Hlk229577539"/>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2035" w:leader="none"/>
          <w:tab w:val="left" w:pos="2114" w:leader="none"/>
        </w:tabs>
        <w:rPr>
          <w:sz w:val="24"/>
        </w:rPr>
      </w:pPr>
      <w:r/>
      <w:bookmarkStart w:id="792" w:name="_Hlk229577581"/>
      <w:r>
        <w:rPr>
          <w:rFonts w:hint="eastAsia"/>
          <w:sz w:val="24"/>
        </w:rPr>
        <w:t xml:space="preserve">评审委员会基于专业判断，认为供应商报价过低，有可能影响产品质量或者不能诚信履约的其他情形。</w:t>
      </w:r>
      <w:bookmarkEnd w:id="792"/>
      <w:r/>
      <w:r/>
    </w:p>
    <w:p>
      <w:pPr>
        <w:numPr>
          <w:ilvl w:val="1"/>
          <w:numId w:val="16"/>
        </w:numPr>
        <w:ind w:left="1077" w:hanging="720"/>
        <w:spacing w:line="360" w:lineRule="auto"/>
        <w:tabs>
          <w:tab w:val="left" w:pos="1080" w:leader="none"/>
        </w:tabs>
        <w:rPr>
          <w:sz w:val="24"/>
        </w:rPr>
      </w:pPr>
      <w:r/>
      <w:bookmarkStart w:id="793"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3"/>
      <w:r/>
      <w:r/>
    </w:p>
    <w:p>
      <w:pPr>
        <w:numPr>
          <w:ilvl w:val="1"/>
          <w:numId w:val="16"/>
        </w:numPr>
        <w:ind w:left="1077" w:hanging="720"/>
        <w:spacing w:line="360" w:lineRule="auto"/>
        <w:tabs>
          <w:tab w:val="left" w:pos="1080" w:leader="none"/>
        </w:tabs>
        <w:rPr>
          <w:sz w:val="24"/>
        </w:rPr>
      </w:pPr>
      <w:r/>
      <w:bookmarkStart w:id="794"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4"/>
      <w:r/>
      <w:r/>
    </w:p>
    <w:p>
      <w:pPr>
        <w:numPr>
          <w:ilvl w:val="1"/>
          <w:numId w:val="16"/>
        </w:numPr>
        <w:ind w:left="1077" w:hanging="720"/>
        <w:spacing w:line="360" w:lineRule="auto"/>
        <w:tabs>
          <w:tab w:val="left" w:pos="1080" w:leader="none"/>
        </w:tabs>
        <w:rPr>
          <w:sz w:val="24"/>
        </w:rPr>
      </w:pPr>
      <w:r/>
      <w:bookmarkStart w:id="795"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5"/>
      <w:r/>
      <w:r/>
    </w:p>
    <w:p>
      <w:pPr>
        <w:numPr>
          <w:ilvl w:val="1"/>
          <w:numId w:val="16"/>
        </w:numPr>
        <w:ind w:left="1077" w:hanging="720"/>
        <w:spacing w:line="360" w:lineRule="auto"/>
        <w:tabs>
          <w:tab w:val="left" w:pos="1080" w:leader="none"/>
        </w:tabs>
        <w:rPr>
          <w:sz w:val="24"/>
        </w:rPr>
      </w:pPr>
      <w:r/>
      <w:bookmarkStart w:id="796"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6"/>
      <w:r/>
      <w:r/>
    </w:p>
    <w:p>
      <w:pPr>
        <w:numPr>
          <w:ilvl w:val="1"/>
          <w:numId w:val="16"/>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s>
        <w:rPr>
          <w:sz w:val="24"/>
        </w:rPr>
        <w:outlineLvl w:val="1"/>
      </w:pPr>
      <w:r>
        <w:rPr>
          <w:sz w:val="24"/>
        </w:rPr>
        <w:t xml:space="preserve">确定</w:t>
      </w:r>
      <w:bookmarkStart w:id="797" w:name="_Toc164229241"/>
      <w:r/>
      <w:bookmarkStart w:id="798" w:name="_Ref467307010"/>
      <w:r/>
      <w:bookmarkStart w:id="799" w:name="_Toc164351640"/>
      <w:r/>
      <w:bookmarkStart w:id="800" w:name="_Toc151193788"/>
      <w:r/>
      <w:bookmarkStart w:id="801" w:name="_Toc151193716"/>
      <w:r/>
      <w:bookmarkStart w:id="802" w:name="_Toc195842911"/>
      <w:r/>
      <w:bookmarkStart w:id="803" w:name="_Toc226337242"/>
      <w:r/>
      <w:bookmarkStart w:id="804" w:name="_Toc151190173"/>
      <w:r/>
      <w:bookmarkStart w:id="805" w:name="_Toc151193644"/>
      <w:r/>
      <w:bookmarkStart w:id="806" w:name="_Toc226965819"/>
      <w:r/>
      <w:bookmarkStart w:id="807" w:name="_Toc150774646"/>
      <w:r/>
      <w:bookmarkStart w:id="808" w:name="_Toc149720839"/>
      <w:r/>
      <w:bookmarkStart w:id="809" w:name="_Toc127151747"/>
      <w:r/>
      <w:bookmarkStart w:id="810" w:name="_Toc150509297"/>
      <w:r/>
      <w:bookmarkStart w:id="811" w:name="_Toc127151546"/>
      <w:r/>
      <w:bookmarkStart w:id="812" w:name="_Toc164608660"/>
      <w:r/>
      <w:bookmarkStart w:id="813" w:name="_Toc264969236"/>
      <w:r/>
      <w:bookmarkStart w:id="814" w:name="_Toc226309790"/>
      <w:r/>
      <w:bookmarkStart w:id="815" w:name="_Toc151193860"/>
      <w:r/>
      <w:bookmarkStart w:id="816" w:name="_Toc151193934"/>
      <w:r/>
      <w:bookmarkStart w:id="817" w:name="_Toc520356170"/>
      <w:r/>
      <w:bookmarkStart w:id="818" w:name="_Toc164608815"/>
      <w:r/>
      <w:bookmarkStart w:id="819" w:name="_Toc150774751"/>
      <w:r/>
      <w:bookmarkStart w:id="820" w:name="_Toc164229387"/>
      <w:r/>
      <w:bookmarkStart w:id="821" w:name="_Toc142311048"/>
      <w:r/>
      <w:bookmarkStart w:id="822" w:name="_Toc127161460"/>
      <w:r/>
      <w:bookmarkStart w:id="823" w:name="_Toc305158814"/>
      <w:r/>
      <w:bookmarkStart w:id="824" w:name="_Toc150480784"/>
      <w:r/>
      <w:bookmarkStart w:id="825" w:name="_Toc305158888"/>
      <w:r/>
      <w:bookmarkStart w:id="826" w:name="_Toc265228384"/>
      <w:r/>
      <w:bookmarkStart w:id="827" w:name="_Toc226965736"/>
      <w:r>
        <w:rPr>
          <w:sz w:val="24"/>
        </w:rPr>
        <w:t xml:space="preserve">中标候选人名单</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numPr>
          <w:ilvl w:val="1"/>
          <w:numId w:val="16"/>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05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05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34"/>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b/>
                <w:szCs w:val="21"/>
              </w:rPr>
            </w:pPr>
            <w:r>
              <w:rPr>
                <w:rFonts w:hint="eastAsia"/>
                <w:b/>
                <w:szCs w:val="21"/>
              </w:rPr>
              <w:t xml:space="preserve">1</w:t>
            </w:r>
            <w:r/>
          </w:p>
        </w:tc>
        <w:tc>
          <w:tcPr>
            <w:tcW w:w="1462" w:type="dxa"/>
            <w:vAlign w:val="center"/>
            <w:textDirection w:val="lrTb"/>
            <w:noWrap w:val="false"/>
          </w:tcPr>
          <w:p>
            <w:pPr>
              <w:ind w:firstLine="28"/>
              <w:jc w:val="center"/>
              <w:rPr>
                <w:szCs w:val="21"/>
              </w:rPr>
            </w:pPr>
            <w:r>
              <w:rPr>
                <w:rFonts w:hint="eastAsia"/>
                <w:szCs w:val="21"/>
              </w:rPr>
              <w:t xml:space="preserve">价格分</w:t>
            </w:r>
            <w:r/>
          </w:p>
        </w:tc>
        <w:tc>
          <w:tcPr>
            <w:tcW w:w="788" w:type="dxa"/>
            <w:vAlign w:val="center"/>
            <w:textDirection w:val="lrTb"/>
            <w:noWrap w:val="false"/>
          </w:tcPr>
          <w:p>
            <w:pPr>
              <w:ind w:firstLine="28"/>
              <w:jc w:val="center"/>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满足招标文件要求且投标价格最低的投标报价为评标基准价，其价格分为满分。其他投标人的价格</w:t>
            </w:r>
            <w:r>
              <w:rPr>
                <w:rFonts w:hint="eastAsia"/>
                <w:szCs w:val="21"/>
              </w:rPr>
              <w:t xml:space="preserve">分统一</w:t>
            </w:r>
            <w:r>
              <w:rPr>
                <w:rFonts w:hint="eastAsia"/>
                <w:szCs w:val="21"/>
              </w:rPr>
              <w:t xml:space="preserve">按照下列公式计算：</w:t>
            </w:r>
            <w:r/>
          </w:p>
          <w:p>
            <w:pPr>
              <w:rPr>
                <w:szCs w:val="21"/>
              </w:rPr>
            </w:pPr>
            <w:r>
              <w:rPr>
                <w:rFonts w:hint="eastAsia"/>
                <w:szCs w:val="21"/>
              </w:rPr>
              <w:t xml:space="preserve">投标报价得分＝（评标基准价</w:t>
            </w:r>
            <w:r>
              <w:rPr>
                <w:rFonts w:hint="eastAsia"/>
                <w:szCs w:val="21"/>
              </w:rPr>
              <w:t xml:space="preserve">/</w:t>
            </w:r>
            <w:r>
              <w:rPr>
                <w:rFonts w:hint="eastAsia"/>
                <w:szCs w:val="21"/>
              </w:rPr>
              <w:t xml:space="preserve">投标报价）×分值。</w:t>
            </w:r>
            <w:r/>
          </w:p>
        </w:tc>
        <w:tc>
          <w:tcPr>
            <w:tcW w:w="2440" w:type="dxa"/>
            <w:vAlign w:val="center"/>
            <w:textDirection w:val="lrTb"/>
            <w:noWrap w:val="false"/>
          </w:tcPr>
          <w:p>
            <w:pPr>
              <w:ind w:left="-38"/>
              <w:rPr>
                <w:bCs/>
                <w:szCs w:val="21"/>
              </w:rPr>
            </w:pPr>
            <w:r>
              <w:rPr>
                <w:rFonts w:hint="eastAsia"/>
                <w:bCs/>
                <w:szCs w:val="21"/>
              </w:rPr>
              <w:t xml:space="preserve">此处最终</w:t>
            </w:r>
            <w:r>
              <w:rPr>
                <w:rFonts w:hint="eastAsia"/>
                <w:bCs/>
                <w:szCs w:val="21"/>
              </w:rPr>
              <w:t xml:space="preserve">报价指</w:t>
            </w:r>
            <w:r>
              <w:rPr>
                <w:rFonts w:hint="eastAsia"/>
                <w:bCs/>
                <w:szCs w:val="21"/>
              </w:rPr>
              <w:t xml:space="preserve">经过报价修正，及</w:t>
            </w:r>
            <w:r>
              <w:rPr>
                <w:bCs/>
                <w:szCs w:val="21"/>
              </w:rPr>
              <w:t xml:space="preserve">因落实政府采购政策进行价格调整</w:t>
            </w:r>
            <w:r>
              <w:rPr>
                <w:rFonts w:hint="eastAsia"/>
                <w:bCs/>
                <w:szCs w:val="21"/>
              </w:rPr>
              <w:t xml:space="preserve">后</w:t>
            </w:r>
            <w:r>
              <w:rPr>
                <w:bCs/>
                <w:szCs w:val="21"/>
              </w:rPr>
              <w:t xml:space="preserve">的</w:t>
            </w:r>
            <w:r>
              <w:rPr>
                <w:rFonts w:hint="eastAsia"/>
                <w:bCs/>
                <w:szCs w:val="21"/>
              </w:rPr>
              <w:t xml:space="preserve">最终报价</w:t>
            </w:r>
            <w:r>
              <w:rPr>
                <w:bCs/>
                <w:szCs w:val="21"/>
              </w:rPr>
              <w:t xml:space="preserve">，详见第四章《评标方法和评标标准》</w:t>
            </w:r>
            <w:r>
              <w:rPr>
                <w:rFonts w:hint="eastAsia"/>
                <w:bCs/>
                <w:szCs w:val="21"/>
              </w:rPr>
              <w:t xml:space="preserve">3</w:t>
            </w:r>
            <w:r>
              <w:rPr>
                <w:bCs/>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w:t>
            </w:r>
            <w:r/>
          </w:p>
        </w:tc>
        <w:tc>
          <w:tcPr>
            <w:tcW w:w="1462" w:type="dxa"/>
            <w:vAlign w:val="center"/>
            <w:textDirection w:val="lrTb"/>
            <w:noWrap w:val="false"/>
          </w:tcPr>
          <w:p>
            <w:pPr>
              <w:ind w:firstLine="28"/>
              <w:jc w:val="center"/>
              <w:rPr>
                <w:szCs w:val="21"/>
              </w:rPr>
            </w:pPr>
            <w:r>
              <w:rPr>
                <w:rFonts w:hint="eastAsia"/>
                <w:szCs w:val="21"/>
              </w:rPr>
              <w:t xml:space="preserve">主观分</w:t>
            </w:r>
            <w:r/>
          </w:p>
        </w:tc>
        <w:tc>
          <w:tcPr>
            <w:tcW w:w="788" w:type="dxa"/>
            <w:vAlign w:val="center"/>
            <w:textDirection w:val="lrTb"/>
            <w:noWrap w:val="false"/>
          </w:tcPr>
          <w:p>
            <w:pPr>
              <w:ind w:firstLine="28"/>
              <w:jc w:val="center"/>
              <w:rPr>
                <w:szCs w:val="21"/>
              </w:rPr>
            </w:pPr>
            <w:r>
              <w:rPr>
                <w:rFonts w:hint="eastAsia"/>
                <w:szCs w:val="21"/>
              </w:rPr>
              <w:t xml:space="preserve">46</w:t>
            </w:r>
            <w:r/>
          </w:p>
        </w:tc>
        <w:tc>
          <w:tcPr>
            <w:tcW w:w="4103" w:type="dxa"/>
            <w:vAlign w:val="center"/>
            <w:textDirection w:val="lrTb"/>
            <w:noWrap w:val="false"/>
          </w:tcPr>
          <w:p>
            <w:pPr>
              <w:rPr>
                <w:szCs w:val="21"/>
              </w:rPr>
            </w:pPr>
            <w:r>
              <w:rPr>
                <w:szCs w:val="21"/>
              </w:rPr>
            </w:r>
            <w:r/>
          </w:p>
        </w:tc>
        <w:tc>
          <w:tcPr>
            <w:tcW w:w="2440" w:type="dxa"/>
            <w:vAlign w:val="center"/>
            <w:textDirection w:val="lrTb"/>
            <w:noWrap w:val="false"/>
          </w:tcPr>
          <w:p>
            <w:pPr>
              <w:ind w:left="-38"/>
              <w:rPr>
                <w:szCs w:val="21"/>
              </w:rPr>
            </w:pPr>
            <w:r>
              <w:rPr>
                <w:szCs w:val="21"/>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2.1</w:t>
            </w:r>
            <w:r/>
          </w:p>
        </w:tc>
        <w:tc>
          <w:tcPr>
            <w:tcW w:w="1462" w:type="dxa"/>
            <w:vAlign w:val="center"/>
            <w:textDirection w:val="lrTb"/>
            <w:noWrap w:val="false"/>
          </w:tcPr>
          <w:p>
            <w:pPr>
              <w:jc w:val="center"/>
              <w:widowControl/>
              <w:rPr>
                <w:szCs w:val="21"/>
              </w:rPr>
            </w:pPr>
            <w:r>
              <w:rPr>
                <w:rFonts w:hint="eastAsia"/>
                <w:szCs w:val="21"/>
              </w:rPr>
              <w:t xml:space="preserve">承保服务方案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投标人根据自身对项目的理解制定承保服务方案</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）方案中承保服务流程简便较清晰；承保所需资料合理必要，承保服务内容完整丰富，方案整体合理性、可行性、完整性高的</w:t>
            </w:r>
            <w:r>
              <w:rPr>
                <w:rFonts w:hint="eastAsia"/>
                <w:szCs w:val="21"/>
              </w:rPr>
              <w:t xml:space="preserve">，</w:t>
            </w:r>
            <w:r>
              <w:rPr>
                <w:rFonts w:hint="eastAsia"/>
                <w:szCs w:val="21"/>
              </w:rPr>
              <w:t xml:space="preserve">得</w:t>
            </w:r>
            <w:r>
              <w:rPr>
                <w:rFonts w:hint="eastAsia"/>
                <w:szCs w:val="21"/>
              </w:rPr>
              <w:t xml:space="preserve">10</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2</w:t>
            </w:r>
            <w:r>
              <w:rPr>
                <w:rFonts w:hint="eastAsia"/>
                <w:szCs w:val="21"/>
              </w:rPr>
              <w:t xml:space="preserve">）方案中承保服务流程较简便较清晰；承保所需资料较合理，承保服务内容较完整，方案整体合理性、可行性、完整性较高的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3</w:t>
            </w:r>
            <w:r>
              <w:rPr>
                <w:rFonts w:hint="eastAsia"/>
                <w:szCs w:val="21"/>
              </w:rPr>
              <w:t xml:space="preserve">）方案中承保服务流程复杂模糊；承保所需资料不合理，承保服务内容不完整，方案整体合理性、可行性、完整性较差的</w:t>
            </w:r>
            <w:r>
              <w:rPr>
                <w:rFonts w:hint="eastAsia"/>
                <w:szCs w:val="21"/>
              </w:rPr>
              <w:t xml:space="preserve">，</w:t>
            </w:r>
            <w:r>
              <w:rPr>
                <w:rFonts w:hint="eastAsia"/>
                <w:szCs w:val="21"/>
              </w:rPr>
              <w:t xml:space="preserve">得</w:t>
            </w:r>
            <w:r>
              <w:rPr>
                <w:rFonts w:hint="eastAsia"/>
                <w:szCs w:val="21"/>
              </w:rPr>
              <w:t xml:space="preserve">4</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4</w:t>
            </w:r>
            <w:r>
              <w:rPr>
                <w:rFonts w:hint="eastAsia"/>
                <w:szCs w:val="21"/>
              </w:rPr>
              <w:t xml:space="preserve">）方案中承保服务流程复杂模糊；承保所需资料缺失，承保服务内容不完整，方案整体无可行性、完整性差的</w:t>
            </w:r>
            <w:r>
              <w:rPr>
                <w:rFonts w:hint="eastAsia"/>
                <w:szCs w:val="21"/>
              </w:rPr>
              <w:t xml:space="preserve">，</w:t>
            </w:r>
            <w:r>
              <w:rPr>
                <w:rFonts w:hint="eastAsia"/>
                <w:szCs w:val="21"/>
              </w:rPr>
              <w:t xml:space="preserve">得</w:t>
            </w:r>
            <w:r>
              <w:rPr>
                <w:rFonts w:hint="eastAsia"/>
                <w:szCs w:val="21"/>
              </w:rPr>
              <w:t xml:space="preserve">1</w:t>
            </w:r>
            <w:r>
              <w:rPr>
                <w:rFonts w:hint="eastAsia"/>
                <w:szCs w:val="21"/>
              </w:rPr>
              <w:t xml:space="preserve">分</w:t>
            </w:r>
            <w:r>
              <w:rPr>
                <w:rFonts w:hint="eastAsia"/>
                <w:szCs w:val="21"/>
              </w:rPr>
              <w:t xml:space="preserve">；</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w:t>
            </w:r>
            <w:r>
              <w:rPr>
                <w:szCs w:val="21"/>
              </w:rPr>
              <w:t xml:space="preserve">.2</w:t>
            </w:r>
            <w:r/>
          </w:p>
        </w:tc>
        <w:tc>
          <w:tcPr>
            <w:tcW w:w="1462" w:type="dxa"/>
            <w:vAlign w:val="center"/>
            <w:textDirection w:val="lrTb"/>
            <w:noWrap w:val="false"/>
          </w:tcPr>
          <w:p>
            <w:pPr>
              <w:jc w:val="center"/>
              <w:widowControl/>
              <w:rPr>
                <w:szCs w:val="21"/>
              </w:rPr>
            </w:pPr>
            <w:r>
              <w:rPr>
                <w:rFonts w:hint="eastAsia"/>
                <w:szCs w:val="21"/>
              </w:rPr>
              <w:t xml:space="preserve">理赔服务方案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投标人根据自身对项目的理解制定理赔服务方案</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）方案中理赔服务流程便捷高效，理赔所需资料合理必要，突发事件应急处理办法完善可行，理赔服务内容完整丰富，方案整体合理性、可行性、完整性高的</w:t>
            </w:r>
            <w:r>
              <w:rPr>
                <w:rFonts w:hint="eastAsia"/>
                <w:szCs w:val="21"/>
              </w:rPr>
              <w:t xml:space="preserve">，</w:t>
            </w:r>
            <w:r>
              <w:rPr>
                <w:rFonts w:hint="eastAsia"/>
                <w:szCs w:val="21"/>
              </w:rPr>
              <w:t xml:space="preserve">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方</w:t>
            </w:r>
            <w:r>
              <w:rPr>
                <w:rFonts w:hint="eastAsia"/>
                <w:szCs w:val="21"/>
              </w:rPr>
              <w:t xml:space="preserve">案中理赔服务流程较便捷高效，理赔所需资料较合理，突发事件应急处理办法较完善可行，理赔服务内容较完整丰富，方案整体合理性、可行性、完整性较高的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方</w:t>
            </w:r>
            <w:r>
              <w:rPr>
                <w:rFonts w:hint="eastAsia"/>
                <w:szCs w:val="21"/>
              </w:rPr>
              <w:t xml:space="preserve">案中理赔服务流程复杂，理赔所需资料不合理，突发事件应急处理办法差，理赔服务内容不完整，方案整体合理性、可行性、完整性差的</w:t>
            </w:r>
            <w:r>
              <w:rPr>
                <w:rFonts w:hint="eastAsia"/>
                <w:szCs w:val="21"/>
              </w:rPr>
              <w:t xml:space="preserve">，</w:t>
            </w:r>
            <w:r>
              <w:rPr>
                <w:rFonts w:hint="eastAsia"/>
                <w:szCs w:val="21"/>
              </w:rPr>
              <w:t xml:space="preserve">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w:t>
            </w:r>
            <w:r>
              <w:rPr>
                <w:rFonts w:hint="eastAsia"/>
                <w:szCs w:val="21"/>
              </w:rPr>
              <w:t xml:space="preserve">方</w:t>
            </w:r>
            <w:r>
              <w:rPr>
                <w:rFonts w:hint="eastAsia"/>
                <w:szCs w:val="21"/>
              </w:rPr>
              <w:t xml:space="preserve">案中理赔服务流程复杂，理赔所需资料缺失，突发事件应急处理办法差，理赔服务内容不完整，方案整体无可行性、完整性差的</w:t>
            </w:r>
            <w:r>
              <w:rPr>
                <w:rFonts w:hint="eastAsia"/>
                <w:szCs w:val="21"/>
              </w:rPr>
              <w:t xml:space="preserve">，</w:t>
            </w:r>
            <w:r>
              <w:rPr>
                <w:rFonts w:hint="eastAsia"/>
                <w:szCs w:val="21"/>
              </w:rPr>
              <w:t xml:space="preserve">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2.3</w:t>
            </w:r>
            <w:r/>
          </w:p>
        </w:tc>
        <w:tc>
          <w:tcPr>
            <w:tcW w:w="1462" w:type="dxa"/>
            <w:vAlign w:val="center"/>
            <w:textDirection w:val="lrTb"/>
            <w:noWrap w:val="false"/>
          </w:tcPr>
          <w:p>
            <w:pPr>
              <w:jc w:val="center"/>
              <w:widowControl/>
              <w:rPr>
                <w:szCs w:val="21"/>
              </w:rPr>
            </w:pPr>
            <w:r>
              <w:rPr>
                <w:rFonts w:hint="eastAsia"/>
                <w:szCs w:val="21"/>
              </w:rPr>
              <w:t xml:space="preserve">服务团队</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投标人根据对项目的理解组建专属理赔服务团队，组织机构健全、管理人员配备合</w:t>
            </w:r>
            <w:r>
              <w:rPr>
                <w:rFonts w:hint="eastAsia"/>
                <w:szCs w:val="21"/>
              </w:rPr>
              <w:t xml:space="preserve">理，能有效地保证项目的顺利运作等</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）服务团队有明确分工，岗位布置合理的，得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）服务团队有明确分工，岗位</w:t>
            </w:r>
            <w:r>
              <w:rPr>
                <w:rFonts w:hint="eastAsia"/>
                <w:szCs w:val="21"/>
              </w:rPr>
              <w:t xml:space="preserve">布置较</w:t>
            </w:r>
            <w:r>
              <w:rPr>
                <w:rFonts w:hint="eastAsia"/>
                <w:szCs w:val="21"/>
              </w:rPr>
              <w:t xml:space="preserve">合理的</w:t>
            </w:r>
            <w:r>
              <w:rPr>
                <w:rFonts w:hint="eastAsia"/>
                <w:szCs w:val="21"/>
              </w:rPr>
              <w:t xml:space="preserve">，</w:t>
            </w:r>
            <w:r>
              <w:rPr>
                <w:rFonts w:hint="eastAsia"/>
                <w:szCs w:val="21"/>
              </w:rPr>
              <w:t xml:space="preserve">得</w:t>
            </w:r>
            <w:r>
              <w:rPr>
                <w:rFonts w:hint="eastAsia"/>
                <w:szCs w:val="21"/>
              </w:rPr>
              <w:t xml:space="preserve">7</w:t>
            </w:r>
            <w:r>
              <w:rPr>
                <w:rFonts w:hint="eastAsia"/>
                <w:szCs w:val="21"/>
              </w:rPr>
              <w:t xml:space="preserve">分</w:t>
            </w:r>
            <w:r>
              <w:rPr>
                <w:rFonts w:hint="eastAsia"/>
                <w:szCs w:val="21"/>
              </w:rPr>
              <w:t xml:space="preserve">；</w:t>
            </w:r>
            <w:r/>
          </w:p>
          <w:p>
            <w:pPr>
              <w:rPr>
                <w:szCs w:val="21"/>
              </w:rPr>
            </w:pPr>
            <w:r>
              <w:rPr>
                <w:rFonts w:hint="eastAsia"/>
                <w:szCs w:val="21"/>
              </w:rPr>
              <w:t xml:space="preserve">（</w:t>
            </w:r>
            <w:r>
              <w:rPr>
                <w:rFonts w:hint="eastAsia"/>
                <w:szCs w:val="21"/>
              </w:rPr>
              <w:t xml:space="preserve">3</w:t>
            </w:r>
            <w:r>
              <w:rPr>
                <w:rFonts w:hint="eastAsia"/>
                <w:szCs w:val="21"/>
              </w:rPr>
              <w:t xml:space="preserve">）服务团队分工及岗位布置有欠缺的，得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）服务团队分工及岗位布置</w:t>
            </w:r>
            <w:r>
              <w:rPr>
                <w:rFonts w:hint="eastAsia"/>
                <w:szCs w:val="21"/>
              </w:rPr>
              <w:t xml:space="preserve">无可行性</w:t>
            </w:r>
            <w:r>
              <w:rPr>
                <w:rFonts w:hint="eastAsia"/>
                <w:szCs w:val="21"/>
              </w:rPr>
              <w:t xml:space="preserve">的，得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2.4</w:t>
            </w:r>
            <w:r/>
          </w:p>
        </w:tc>
        <w:tc>
          <w:tcPr>
            <w:tcW w:w="1462" w:type="dxa"/>
            <w:vAlign w:val="center"/>
            <w:textDirection w:val="lrTb"/>
            <w:noWrap w:val="false"/>
          </w:tcPr>
          <w:p>
            <w:pPr>
              <w:jc w:val="center"/>
              <w:widowControl/>
              <w:rPr>
                <w:szCs w:val="21"/>
              </w:rPr>
            </w:pPr>
            <w:r>
              <w:rPr>
                <w:rFonts w:hint="eastAsia"/>
                <w:szCs w:val="21"/>
              </w:rPr>
              <w:t xml:space="preserve">培训方案</w:t>
            </w:r>
            <w:r/>
          </w:p>
        </w:tc>
        <w:tc>
          <w:tcPr>
            <w:tcW w:w="788" w:type="dxa"/>
            <w:vAlign w:val="center"/>
            <w:textDirection w:val="lrTb"/>
            <w:noWrap w:val="false"/>
          </w:tcPr>
          <w:p>
            <w:pPr>
              <w:jc w:val="center"/>
              <w:widowControl/>
              <w:rPr>
                <w:szCs w:val="21"/>
              </w:rPr>
            </w:pPr>
            <w:r>
              <w:rPr>
                <w:rFonts w:hint="eastAsia"/>
                <w:szCs w:val="21"/>
              </w:rPr>
              <w:t xml:space="preserve">10</w:t>
            </w:r>
            <w:r/>
          </w:p>
        </w:tc>
        <w:tc>
          <w:tcPr>
            <w:tcW w:w="4103" w:type="dxa"/>
            <w:vAlign w:val="center"/>
            <w:textDirection w:val="lrTb"/>
            <w:noWrap w:val="false"/>
          </w:tcPr>
          <w:p>
            <w:pPr>
              <w:rPr>
                <w:szCs w:val="21"/>
              </w:rPr>
            </w:pPr>
            <w:r>
              <w:rPr>
                <w:rFonts w:hint="eastAsia"/>
                <w:szCs w:val="21"/>
              </w:rPr>
              <w:t xml:space="preserve">投标人对投保人、被保险人提供合理的保险专业培训，确保投保人、被保险人充分理解、理赔流程等内容</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）方案详细科学，容易理解接受，并能进行多次培训且计划安排详细</w:t>
            </w:r>
            <w:r>
              <w:rPr>
                <w:rFonts w:hint="eastAsia"/>
                <w:szCs w:val="21"/>
              </w:rPr>
              <w:t xml:space="preserve">的</w:t>
            </w:r>
            <w:r>
              <w:rPr>
                <w:rFonts w:hint="eastAsia"/>
                <w:szCs w:val="21"/>
              </w:rPr>
              <w:t xml:space="preserve">，得</w:t>
            </w:r>
            <w:r>
              <w:rPr>
                <w:rFonts w:hint="eastAsia"/>
                <w:szCs w:val="21"/>
              </w:rPr>
              <w:t xml:space="preserve">10</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）方案简单合理、比较容易理解，能进行一定的培训且计划安排可行</w:t>
            </w:r>
            <w:r>
              <w:rPr>
                <w:rFonts w:hint="eastAsia"/>
                <w:szCs w:val="21"/>
              </w:rPr>
              <w:t xml:space="preserve">的</w:t>
            </w:r>
            <w:r>
              <w:rPr>
                <w:rFonts w:hint="eastAsia"/>
                <w:szCs w:val="21"/>
              </w:rPr>
              <w:t xml:space="preserve">，得</w:t>
            </w:r>
            <w:r>
              <w:rPr>
                <w:rFonts w:hint="eastAsia"/>
                <w:szCs w:val="21"/>
              </w:rPr>
              <w:t xml:space="preserve">7</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）方案可行性一般、理解接受有难度，能提供培训且计划安排一般，得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4</w:t>
            </w:r>
            <w:r>
              <w:rPr>
                <w:rFonts w:hint="eastAsia"/>
                <w:szCs w:val="21"/>
              </w:rPr>
              <w:t xml:space="preserve">）方案</w:t>
            </w:r>
            <w:r>
              <w:rPr>
                <w:rFonts w:hint="eastAsia"/>
                <w:szCs w:val="21"/>
              </w:rPr>
              <w:t xml:space="preserve">基本无</w:t>
            </w:r>
            <w:r>
              <w:rPr>
                <w:rFonts w:hint="eastAsia"/>
                <w:szCs w:val="21"/>
              </w:rPr>
              <w:t xml:space="preserve">可行性</w:t>
            </w:r>
            <w:r>
              <w:rPr>
                <w:rFonts w:hint="eastAsia"/>
                <w:szCs w:val="21"/>
              </w:rPr>
              <w:t xml:space="preserve">的</w:t>
            </w:r>
            <w:r>
              <w:rPr>
                <w:rFonts w:hint="eastAsia"/>
                <w:szCs w:val="21"/>
              </w:rPr>
              <w:t xml:space="preserve">，得</w:t>
            </w:r>
            <w:r>
              <w:rPr>
                <w:rFonts w:hint="eastAsia"/>
                <w:szCs w:val="21"/>
              </w:rPr>
              <w:t xml:space="preserve">1</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2.5</w:t>
            </w:r>
            <w:r/>
          </w:p>
        </w:tc>
        <w:tc>
          <w:tcPr>
            <w:tcW w:w="1462" w:type="dxa"/>
            <w:vAlign w:val="center"/>
            <w:textDirection w:val="lrTb"/>
            <w:noWrap w:val="false"/>
          </w:tcPr>
          <w:p>
            <w:pPr>
              <w:jc w:val="center"/>
              <w:widowControl/>
              <w:rPr>
                <w:szCs w:val="21"/>
              </w:rPr>
            </w:pPr>
            <w:r>
              <w:rPr>
                <w:rFonts w:hint="eastAsia"/>
                <w:szCs w:val="21"/>
              </w:rPr>
              <w:t xml:space="preserve">增值服务</w:t>
            </w:r>
            <w:r/>
          </w:p>
        </w:tc>
        <w:tc>
          <w:tcPr>
            <w:tcW w:w="788" w:type="dxa"/>
            <w:vAlign w:val="center"/>
            <w:textDirection w:val="lrTb"/>
            <w:noWrap w:val="false"/>
          </w:tcPr>
          <w:p>
            <w:pPr>
              <w:jc w:val="center"/>
              <w:widowControl/>
              <w:rPr>
                <w:szCs w:val="21"/>
              </w:rPr>
            </w:pPr>
            <w:r>
              <w:rPr>
                <w:rFonts w:hint="eastAsia"/>
                <w:szCs w:val="21"/>
              </w:rPr>
              <w:t xml:space="preserve">6</w:t>
            </w:r>
            <w:r/>
          </w:p>
        </w:tc>
        <w:tc>
          <w:tcPr>
            <w:tcW w:w="4103" w:type="dxa"/>
            <w:vAlign w:val="center"/>
            <w:textDirection w:val="lrTb"/>
            <w:noWrap w:val="false"/>
          </w:tcPr>
          <w:p>
            <w:pPr>
              <w:rPr>
                <w:szCs w:val="21"/>
              </w:rPr>
            </w:pPr>
            <w:r>
              <w:rPr>
                <w:rFonts w:hint="eastAsia"/>
                <w:szCs w:val="21"/>
              </w:rPr>
              <w:t xml:space="preserve">根据投标人是否在招标文件要求之外另行提供了与服务相关并具有可操作性的增值服务</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）投标人提供了额外增值服务</w:t>
            </w:r>
            <w:r>
              <w:rPr>
                <w:rFonts w:hint="eastAsia"/>
                <w:szCs w:val="21"/>
              </w:rPr>
              <w:t xml:space="preserve">具有</w:t>
            </w:r>
            <w:r>
              <w:rPr>
                <w:rFonts w:hint="eastAsia"/>
                <w:szCs w:val="21"/>
              </w:rPr>
              <w:t xml:space="preserve">合理有效</w:t>
            </w:r>
            <w:r>
              <w:rPr>
                <w:rFonts w:hint="eastAsia"/>
                <w:szCs w:val="21"/>
              </w:rPr>
              <w:t xml:space="preserve">且可行的，</w:t>
            </w:r>
            <w:r>
              <w:rPr>
                <w:rFonts w:hint="eastAsia"/>
                <w:szCs w:val="21"/>
              </w:rPr>
              <w:t xml:space="preserve">得</w:t>
            </w:r>
            <w:r>
              <w:rPr>
                <w:rFonts w:hint="eastAsia"/>
                <w:szCs w:val="21"/>
              </w:rPr>
              <w:t xml:space="preserve">6</w:t>
            </w:r>
            <w:r>
              <w:rPr>
                <w:rFonts w:hint="eastAsia"/>
                <w:szCs w:val="21"/>
              </w:rPr>
              <w:t xml:space="preserve">分；</w:t>
            </w:r>
            <w:r/>
          </w:p>
          <w:p>
            <w:pPr>
              <w:rPr>
                <w:szCs w:val="21"/>
              </w:rPr>
            </w:pPr>
            <w:r>
              <w:rPr>
                <w:rFonts w:hint="eastAsia"/>
                <w:szCs w:val="21"/>
              </w:rPr>
              <w:t xml:space="preserve">（</w:t>
            </w:r>
            <w:r>
              <w:rPr>
                <w:rFonts w:hint="eastAsia"/>
                <w:szCs w:val="21"/>
              </w:rPr>
              <w:t xml:space="preserve">2</w:t>
            </w:r>
            <w:r>
              <w:rPr>
                <w:rFonts w:hint="eastAsia"/>
                <w:szCs w:val="21"/>
              </w:rPr>
              <w:t xml:space="preserve">）投标人提供了额外增值服务</w:t>
            </w:r>
            <w:r>
              <w:rPr>
                <w:rFonts w:hint="eastAsia"/>
                <w:szCs w:val="21"/>
              </w:rPr>
              <w:t xml:space="preserve">具有一定实质效益的，</w:t>
            </w:r>
            <w:r>
              <w:rPr>
                <w:rFonts w:hint="eastAsia"/>
                <w:szCs w:val="21"/>
              </w:rPr>
              <w:t xml:space="preserve">得</w:t>
            </w:r>
            <w:r>
              <w:rPr>
                <w:rFonts w:hint="eastAsia"/>
                <w:szCs w:val="21"/>
              </w:rPr>
              <w:t xml:space="preserve">4</w:t>
            </w:r>
            <w:r>
              <w:rPr>
                <w:rFonts w:hint="eastAsia"/>
                <w:szCs w:val="21"/>
              </w:rPr>
              <w:t xml:space="preserve">分；</w:t>
            </w:r>
            <w:r/>
          </w:p>
          <w:p>
            <w:pPr>
              <w:rPr>
                <w:szCs w:val="21"/>
              </w:rPr>
            </w:pPr>
            <w:r>
              <w:rPr>
                <w:rFonts w:hint="eastAsia"/>
                <w:szCs w:val="21"/>
              </w:rPr>
              <w:t xml:space="preserve">（</w:t>
            </w:r>
            <w:r>
              <w:rPr>
                <w:rFonts w:hint="eastAsia"/>
                <w:szCs w:val="21"/>
              </w:rPr>
              <w:t xml:space="preserve">3</w:t>
            </w:r>
            <w:r>
              <w:rPr>
                <w:rFonts w:hint="eastAsia"/>
                <w:szCs w:val="21"/>
              </w:rPr>
              <w:t xml:space="preserve">）投标人提供了额外增值服务没有实质效益的，得</w:t>
            </w:r>
            <w:r>
              <w:rPr>
                <w:rFonts w:hint="eastAsia"/>
                <w:szCs w:val="21"/>
              </w:rPr>
              <w:t xml:space="preserve">2</w:t>
            </w:r>
            <w:r>
              <w:rPr>
                <w:rFonts w:hint="eastAsia"/>
                <w:szCs w:val="21"/>
              </w:rPr>
              <w:t xml:space="preserve">分；</w:t>
            </w:r>
            <w:r/>
          </w:p>
          <w:p>
            <w:pPr>
              <w:rPr>
                <w:szCs w:val="21"/>
              </w:rPr>
            </w:pPr>
            <w:r>
              <w:rPr>
                <w:rFonts w:hint="eastAsia"/>
                <w:szCs w:val="21"/>
              </w:rPr>
              <w:t xml:space="preserve">未提供</w:t>
            </w:r>
            <w:r>
              <w:rPr>
                <w:rFonts w:hint="eastAsia"/>
                <w:szCs w:val="21"/>
              </w:rPr>
              <w:t xml:space="preserve">的，</w:t>
            </w:r>
            <w:r>
              <w:rPr>
                <w:rFonts w:hint="eastAsia"/>
                <w:szCs w:val="21"/>
              </w:rPr>
              <w:t xml:space="preserve">不得分。</w:t>
            </w:r>
            <w:r/>
          </w:p>
        </w:tc>
        <w:tc>
          <w:tcPr>
            <w:tcW w:w="2440" w:type="dxa"/>
            <w:vAlign w:val="center"/>
            <w:textDirection w:val="lrTb"/>
            <w:noWrap w:val="false"/>
          </w:tcPr>
          <w:p>
            <w:pPr>
              <w:ind w:left="-38"/>
              <w:jc w:val="center"/>
              <w:rPr>
                <w:szCs w:val="21"/>
              </w:rPr>
            </w:pPr>
            <w:r>
              <w:rPr>
                <w:rFonts w:hint="eastAsia"/>
                <w:szCs w:val="21"/>
              </w:rPr>
              <w:t xml:space="preserve">-</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t xml:space="preserve">客观分</w:t>
            </w:r>
            <w:r/>
          </w:p>
        </w:tc>
        <w:tc>
          <w:tcPr>
            <w:tcW w:w="788" w:type="dxa"/>
            <w:vAlign w:val="center"/>
            <w:textDirection w:val="lrTb"/>
            <w:noWrap w:val="false"/>
          </w:tcPr>
          <w:p>
            <w:pPr>
              <w:ind w:firstLine="28"/>
              <w:jc w:val="center"/>
              <w:rPr>
                <w:szCs w:val="21"/>
              </w:rPr>
            </w:pPr>
            <w:r>
              <w:rPr>
                <w:rFonts w:hint="eastAsia"/>
                <w:szCs w:val="21"/>
              </w:rPr>
              <w:t xml:space="preserve">4</w:t>
            </w:r>
            <w:r>
              <w:rPr>
                <w:rFonts w:hint="eastAsia"/>
                <w:szCs w:val="21"/>
              </w:rPr>
              <w:t xml:space="preserve">4</w:t>
            </w:r>
            <w:r/>
          </w:p>
        </w:tc>
        <w:tc>
          <w:tcPr>
            <w:tcW w:w="4103" w:type="dxa"/>
            <w:vAlign w:val="center"/>
            <w:textDirection w:val="lrTb"/>
            <w:noWrap w:val="false"/>
          </w:tcPr>
          <w:p>
            <w:pPr>
              <w:rPr>
                <w:bCs/>
                <w:szCs w:val="21"/>
              </w:rPr>
            </w:pPr>
            <w:r>
              <w:rPr>
                <w:bCs/>
                <w:szCs w:val="21"/>
              </w:rPr>
            </w:r>
            <w:r/>
          </w:p>
        </w:tc>
        <w:tc>
          <w:tcPr>
            <w:tcW w:w="2440" w:type="dxa"/>
            <w:vAlign w:val="center"/>
            <w:textDirection w:val="lrTb"/>
            <w:noWrap w:val="false"/>
          </w:tcPr>
          <w:p>
            <w:pPr>
              <w:ind w:left="-38"/>
              <w:rPr>
                <w:szCs w:val="21"/>
              </w:rPr>
            </w:pPr>
            <w:r>
              <w:rPr>
                <w:szCs w:val="21"/>
              </w:rPr>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3.1</w:t>
            </w:r>
            <w:r/>
          </w:p>
        </w:tc>
        <w:tc>
          <w:tcPr>
            <w:tcW w:w="1462" w:type="dxa"/>
            <w:vAlign w:val="center"/>
            <w:textDirection w:val="lrTb"/>
            <w:noWrap w:val="false"/>
          </w:tcPr>
          <w:p>
            <w:pPr>
              <w:ind w:firstLine="28"/>
              <w:jc w:val="center"/>
              <w:rPr>
                <w:szCs w:val="21"/>
              </w:rPr>
            </w:pPr>
            <w:r>
              <w:rPr>
                <w:rFonts w:hint="eastAsia" w:cs="宋体"/>
                <w:color w:val="000000"/>
                <w:szCs w:val="21"/>
                <w:lang w:bidi="ar"/>
              </w:rPr>
              <w:t xml:space="preserve">承保经验</w:t>
            </w:r>
            <w:r/>
          </w:p>
        </w:tc>
        <w:tc>
          <w:tcPr>
            <w:tcW w:w="788" w:type="dxa"/>
            <w:vAlign w:val="center"/>
            <w:textDirection w:val="lrTb"/>
            <w:noWrap w:val="false"/>
          </w:tcPr>
          <w:p>
            <w:pPr>
              <w:ind w:firstLine="28"/>
              <w:jc w:val="center"/>
              <w:rPr>
                <w:szCs w:val="21"/>
              </w:rPr>
            </w:pPr>
            <w:r>
              <w:rPr>
                <w:rFonts w:hint="eastAsia"/>
                <w:szCs w:val="21"/>
              </w:rPr>
              <w:t xml:space="preserve">1</w:t>
            </w: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投标人自</w:t>
            </w:r>
            <w:r>
              <w:rPr>
                <w:rFonts w:hint="eastAsia"/>
                <w:spacing w:val="-6"/>
                <w:szCs w:val="21"/>
              </w:rPr>
              <w:t xml:space="preserve">2023</w:t>
            </w:r>
            <w:r>
              <w:rPr>
                <w:rFonts w:hint="eastAsia"/>
                <w:spacing w:val="-6"/>
                <w:szCs w:val="21"/>
              </w:rPr>
              <w:t xml:space="preserve">年</w:t>
            </w:r>
            <w:r>
              <w:rPr>
                <w:rFonts w:hint="eastAsia"/>
                <w:spacing w:val="-6"/>
                <w:szCs w:val="21"/>
              </w:rPr>
              <w:t xml:space="preserve">10</w:t>
            </w:r>
            <w:r>
              <w:rPr>
                <w:rFonts w:hint="eastAsia"/>
                <w:spacing w:val="-6"/>
                <w:szCs w:val="21"/>
              </w:rPr>
              <w:t xml:space="preserve">月以来承保过类似民生类保险的承保经验，有一项得</w:t>
            </w:r>
            <w:r>
              <w:rPr>
                <w:rFonts w:hint="eastAsia"/>
                <w:spacing w:val="-6"/>
                <w:szCs w:val="21"/>
              </w:rPr>
              <w:t xml:space="preserve">3</w:t>
            </w:r>
            <w:r>
              <w:rPr>
                <w:rFonts w:hint="eastAsia"/>
                <w:spacing w:val="-6"/>
                <w:szCs w:val="21"/>
              </w:rPr>
              <w:t xml:space="preserve">分，</w:t>
            </w:r>
            <w:r>
              <w:rPr>
                <w:rFonts w:hint="eastAsia"/>
                <w:spacing w:val="-6"/>
                <w:szCs w:val="21"/>
              </w:rPr>
              <w:t xml:space="preserve">本项</w:t>
            </w:r>
            <w:r>
              <w:rPr>
                <w:rFonts w:hint="eastAsia"/>
                <w:spacing w:val="-6"/>
                <w:szCs w:val="21"/>
              </w:rPr>
              <w:t xml:space="preserve">最高</w:t>
            </w:r>
            <w:r>
              <w:rPr>
                <w:rFonts w:hint="eastAsia"/>
                <w:spacing w:val="-6"/>
                <w:szCs w:val="21"/>
              </w:rPr>
              <w:t xml:space="preserve">得</w:t>
            </w:r>
            <w:r>
              <w:rPr>
                <w:rFonts w:hint="eastAsia"/>
                <w:spacing w:val="-6"/>
                <w:szCs w:val="21"/>
              </w:rPr>
              <w:t xml:space="preserve">1</w:t>
            </w:r>
            <w:r>
              <w:rPr>
                <w:rFonts w:hint="eastAsia"/>
                <w:spacing w:val="-6"/>
                <w:szCs w:val="21"/>
              </w:rPr>
              <w:t xml:space="preserve">5</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、提供保险合同（协议）或保单。</w:t>
            </w:r>
            <w:r/>
          </w:p>
          <w:p>
            <w:pPr>
              <w:ind w:left="-38"/>
              <w:rPr>
                <w:bCs/>
                <w:szCs w:val="21"/>
              </w:rPr>
            </w:pPr>
            <w:r>
              <w:rPr>
                <w:bCs/>
                <w:szCs w:val="21"/>
              </w:rPr>
              <w:t xml:space="preserve">2</w:t>
            </w:r>
            <w:r>
              <w:rPr>
                <w:rFonts w:hint="eastAsia"/>
                <w:bCs/>
                <w:szCs w:val="21"/>
              </w:rPr>
              <w:t xml:space="preserve">、时间以签订保险合同（协议）日期或保险生效日期为准。</w:t>
            </w:r>
            <w:r/>
          </w:p>
          <w:p>
            <w:pPr>
              <w:ind w:left="-38"/>
              <w:rPr>
                <w:bCs/>
                <w:szCs w:val="21"/>
              </w:rPr>
            </w:pPr>
            <w:r>
              <w:rPr>
                <w:rFonts w:hint="eastAsia"/>
                <w:bCs/>
                <w:szCs w:val="21"/>
              </w:rPr>
              <w:t xml:space="preserve">3</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3.2</w:t>
            </w:r>
            <w:r/>
          </w:p>
        </w:tc>
        <w:tc>
          <w:tcPr>
            <w:tcW w:w="1462" w:type="dxa"/>
            <w:vAlign w:val="center"/>
            <w:textDirection w:val="lrTb"/>
            <w:noWrap w:val="false"/>
          </w:tcPr>
          <w:p>
            <w:pPr>
              <w:ind w:firstLine="28"/>
              <w:jc w:val="center"/>
              <w:rPr>
                <w:rFonts w:cs="宋体"/>
                <w:color w:val="000000"/>
                <w:szCs w:val="21"/>
                <w:lang w:bidi="ar"/>
              </w:rPr>
            </w:pPr>
            <w:r>
              <w:rPr>
                <w:rFonts w:hint="eastAsia" w:cs="宋体"/>
                <w:color w:val="000000"/>
                <w:szCs w:val="21"/>
              </w:rPr>
              <w:t xml:space="preserve">核心偿付能力</w:t>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投标人的</w:t>
            </w:r>
            <w:r>
              <w:rPr>
                <w:rFonts w:hint="eastAsia"/>
                <w:spacing w:val="-6"/>
                <w:szCs w:val="21"/>
              </w:rPr>
              <w:t xml:space="preserve">2026</w:t>
            </w:r>
            <w:r>
              <w:rPr>
                <w:rFonts w:hint="eastAsia"/>
                <w:spacing w:val="-6"/>
                <w:szCs w:val="21"/>
              </w:rPr>
              <w:t xml:space="preserve">年第二季度核心偿付能力充足率：</w:t>
            </w:r>
            <w:bookmarkStart w:id="828" w:name="OLE_LINK4"/>
            <w:r/>
            <w:bookmarkStart w:id="829" w:name="OLE_LINK5"/>
            <w:r/>
            <w:bookmarkStart w:id="830" w:name="OLE_LINK3"/>
            <w:r>
              <w:rPr>
                <w:rFonts w:hint="eastAsia"/>
                <w:spacing w:val="-6"/>
                <w:szCs w:val="21"/>
              </w:rPr>
              <w:t xml:space="preserve">核心偿付能力充足率≥</w:t>
            </w:r>
            <w:r>
              <w:rPr>
                <w:rFonts w:hint="eastAsia"/>
                <w:spacing w:val="-6"/>
                <w:szCs w:val="21"/>
              </w:rPr>
              <w:t xml:space="preserve">13</w:t>
            </w:r>
            <w:r>
              <w:rPr>
                <w:rFonts w:hint="eastAsia"/>
                <w:spacing w:val="-6"/>
                <w:szCs w:val="21"/>
              </w:rPr>
              <w:t xml:space="preserve">0%</w:t>
            </w:r>
            <w:r>
              <w:rPr>
                <w:rFonts w:hint="eastAsia"/>
                <w:spacing w:val="-6"/>
                <w:szCs w:val="21"/>
              </w:rPr>
              <w:t xml:space="preserve">，得</w:t>
            </w:r>
            <w:r>
              <w:rPr>
                <w:rFonts w:hint="eastAsia"/>
                <w:spacing w:val="-6"/>
                <w:szCs w:val="21"/>
              </w:rPr>
              <w:t xml:space="preserve">5</w:t>
            </w:r>
            <w:r>
              <w:rPr>
                <w:rFonts w:hint="eastAsia"/>
                <w:spacing w:val="-6"/>
                <w:szCs w:val="21"/>
              </w:rPr>
              <w:t xml:space="preserve">分；</w:t>
            </w:r>
            <w:r>
              <w:rPr>
                <w:rFonts w:hint="eastAsia"/>
                <w:spacing w:val="-6"/>
                <w:szCs w:val="21"/>
              </w:rPr>
              <w:t xml:space="preserve">13</w:t>
            </w:r>
            <w:r>
              <w:rPr>
                <w:rFonts w:hint="eastAsia"/>
                <w:spacing w:val="-6"/>
                <w:szCs w:val="21"/>
              </w:rPr>
              <w:t xml:space="preserve">0%</w:t>
            </w:r>
            <w:r>
              <w:rPr>
                <w:rFonts w:hint="eastAsia"/>
                <w:spacing w:val="-6"/>
                <w:szCs w:val="21"/>
              </w:rPr>
              <w:t xml:space="preserve">＞核心偿付能力充足率≥</w:t>
            </w:r>
            <w:r>
              <w:rPr>
                <w:rFonts w:hint="eastAsia"/>
                <w:spacing w:val="-6"/>
                <w:szCs w:val="21"/>
              </w:rPr>
              <w:t xml:space="preserve">1</w:t>
            </w:r>
            <w:r>
              <w:rPr>
                <w:rFonts w:hint="eastAsia"/>
                <w:spacing w:val="-6"/>
                <w:szCs w:val="21"/>
              </w:rPr>
              <w:t xml:space="preserve">2</w:t>
            </w:r>
            <w:r>
              <w:rPr>
                <w:rFonts w:hint="eastAsia"/>
                <w:spacing w:val="-6"/>
                <w:szCs w:val="21"/>
              </w:rPr>
              <w:t xml:space="preserve">0%</w:t>
            </w:r>
            <w:r>
              <w:rPr>
                <w:rFonts w:hint="eastAsia"/>
                <w:spacing w:val="-6"/>
                <w:szCs w:val="21"/>
              </w:rPr>
              <w:t xml:space="preserve">，得</w:t>
            </w:r>
            <w:r>
              <w:rPr>
                <w:rFonts w:hint="eastAsia"/>
                <w:spacing w:val="-6"/>
                <w:szCs w:val="21"/>
              </w:rPr>
              <w:t xml:space="preserve">3</w:t>
            </w:r>
            <w:r>
              <w:rPr>
                <w:rFonts w:hint="eastAsia"/>
                <w:spacing w:val="-6"/>
                <w:szCs w:val="21"/>
              </w:rPr>
              <w:t xml:space="preserve">分；</w:t>
            </w:r>
            <w:r>
              <w:rPr>
                <w:rFonts w:hint="eastAsia"/>
                <w:spacing w:val="-6"/>
                <w:szCs w:val="21"/>
              </w:rPr>
              <w:t xml:space="preserve">1</w:t>
            </w:r>
            <w:r>
              <w:rPr>
                <w:rFonts w:hint="eastAsia"/>
                <w:spacing w:val="-6"/>
                <w:szCs w:val="21"/>
              </w:rPr>
              <w:t xml:space="preserve">2</w:t>
            </w:r>
            <w:r>
              <w:rPr>
                <w:rFonts w:hint="eastAsia"/>
                <w:spacing w:val="-6"/>
                <w:szCs w:val="21"/>
              </w:rPr>
              <w:t xml:space="preserve">0%</w:t>
            </w:r>
            <w:r>
              <w:rPr>
                <w:rFonts w:hint="eastAsia"/>
                <w:spacing w:val="-6"/>
                <w:szCs w:val="21"/>
              </w:rPr>
              <w:t xml:space="preserve">＞核心偿付能力充足率≥</w:t>
            </w:r>
            <w:r>
              <w:rPr>
                <w:rFonts w:hint="eastAsia"/>
                <w:spacing w:val="-6"/>
                <w:szCs w:val="21"/>
              </w:rPr>
              <w:t xml:space="preserve">1</w:t>
            </w:r>
            <w:r>
              <w:rPr>
                <w:rFonts w:hint="eastAsia"/>
                <w:spacing w:val="-6"/>
                <w:szCs w:val="21"/>
              </w:rPr>
              <w:t xml:space="preserve">1</w:t>
            </w:r>
            <w:r>
              <w:rPr>
                <w:rFonts w:hint="eastAsia"/>
                <w:spacing w:val="-6"/>
                <w:szCs w:val="21"/>
              </w:rPr>
              <w:t xml:space="preserve">0%</w:t>
            </w:r>
            <w:r>
              <w:rPr>
                <w:rFonts w:hint="eastAsia"/>
                <w:spacing w:val="-6"/>
                <w:szCs w:val="21"/>
              </w:rPr>
              <w:t xml:space="preserve">，得</w:t>
            </w:r>
            <w:r>
              <w:rPr>
                <w:rFonts w:hint="eastAsia"/>
                <w:spacing w:val="-6"/>
                <w:szCs w:val="21"/>
              </w:rPr>
              <w:t xml:space="preserve">1</w:t>
            </w:r>
            <w:r>
              <w:rPr>
                <w:rFonts w:hint="eastAsia"/>
                <w:spacing w:val="-6"/>
                <w:szCs w:val="21"/>
              </w:rPr>
              <w:t xml:space="preserve">分；</w:t>
            </w:r>
            <w:r>
              <w:rPr>
                <w:rFonts w:hint="eastAsia"/>
                <w:spacing w:val="-6"/>
                <w:szCs w:val="21"/>
              </w:rPr>
              <w:t xml:space="preserve">1</w:t>
            </w:r>
            <w:r>
              <w:rPr>
                <w:rFonts w:hint="eastAsia"/>
                <w:spacing w:val="-6"/>
                <w:szCs w:val="21"/>
              </w:rPr>
              <w:t xml:space="preserve">1</w:t>
            </w:r>
            <w:r>
              <w:rPr>
                <w:rFonts w:hint="eastAsia"/>
                <w:spacing w:val="-6"/>
                <w:szCs w:val="21"/>
              </w:rPr>
              <w:t xml:space="preserve">0%</w:t>
            </w:r>
            <w:r>
              <w:rPr>
                <w:rFonts w:hint="eastAsia"/>
                <w:spacing w:val="-6"/>
                <w:szCs w:val="21"/>
              </w:rPr>
              <w:t xml:space="preserve">＞核心偿付能力充足率的不得分。</w:t>
            </w:r>
            <w:bookmarkEnd w:id="828"/>
            <w:r/>
            <w:bookmarkEnd w:id="829"/>
            <w:r/>
            <w:bookmarkEnd w:id="830"/>
            <w:r>
              <w:rPr>
                <w:rFonts w:hint="eastAsia"/>
                <w:spacing w:val="-6"/>
                <w:szCs w:val="21"/>
              </w:rPr>
              <w:t xml:space="preserve">本项最高得</w:t>
            </w:r>
            <w:r>
              <w:rPr>
                <w:rFonts w:hint="eastAsia"/>
                <w:spacing w:val="-6"/>
                <w:szCs w:val="21"/>
              </w:rPr>
              <w:t xml:space="preserve">5</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、提供投标人的偿付能力报告关键页。</w:t>
            </w:r>
            <w:r/>
          </w:p>
          <w:p>
            <w:pPr>
              <w:ind w:left="-38"/>
              <w:rPr>
                <w:bCs/>
                <w:szCs w:val="21"/>
              </w:rPr>
            </w:pPr>
            <w:r>
              <w:rPr>
                <w:bCs/>
                <w:szCs w:val="21"/>
              </w:rPr>
              <w:t xml:space="preserve">2</w:t>
            </w:r>
            <w:r>
              <w:rPr>
                <w:rFonts w:hint="eastAsia"/>
                <w:bCs/>
                <w:szCs w:val="21"/>
              </w:rPr>
              <w:t xml:space="preserve">、投标人如为分支机构，则须提供总公司偿付能力报告。</w:t>
            </w:r>
            <w:r/>
          </w:p>
          <w:p>
            <w:pPr>
              <w:ind w:left="-38"/>
              <w:rPr>
                <w:bCs/>
                <w:szCs w:val="21"/>
              </w:rPr>
            </w:pPr>
            <w:r>
              <w:rPr>
                <w:rFonts w:hint="eastAsia"/>
                <w:bCs/>
                <w:szCs w:val="21"/>
              </w:rPr>
              <w:t xml:space="preserve">3</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3</w:t>
            </w:r>
            <w:r/>
          </w:p>
        </w:tc>
        <w:tc>
          <w:tcPr>
            <w:tcW w:w="1462" w:type="dxa"/>
            <w:vAlign w:val="center"/>
            <w:textDirection w:val="lrTb"/>
            <w:noWrap w:val="false"/>
          </w:tcPr>
          <w:p>
            <w:pPr>
              <w:ind w:firstLine="28"/>
              <w:jc w:val="center"/>
              <w:rPr>
                <w:szCs w:val="21"/>
              </w:rPr>
            </w:pPr>
            <w:r>
              <w:rPr>
                <w:rFonts w:hint="eastAsia"/>
                <w:szCs w:val="21"/>
              </w:rPr>
              <w:t xml:space="preserve">人伤应急处置协同能力</w:t>
            </w:r>
            <w:r/>
          </w:p>
        </w:tc>
        <w:tc>
          <w:tcPr>
            <w:tcW w:w="788" w:type="dxa"/>
            <w:vAlign w:val="center"/>
            <w:textDirection w:val="lrTb"/>
            <w:noWrap w:val="false"/>
          </w:tcPr>
          <w:p>
            <w:pPr>
              <w:ind w:firstLine="28"/>
              <w:jc w:val="center"/>
              <w:rPr>
                <w:szCs w:val="21"/>
              </w:rPr>
            </w:pPr>
            <w:r>
              <w:rPr>
                <w:rFonts w:hint="eastAsia"/>
                <w:szCs w:val="21"/>
              </w:rPr>
              <w:t xml:space="preserve">9</w:t>
            </w:r>
            <w:r/>
          </w:p>
        </w:tc>
        <w:tc>
          <w:tcPr>
            <w:tcW w:w="4103" w:type="dxa"/>
            <w:vAlign w:val="center"/>
            <w:textDirection w:val="lrTb"/>
            <w:noWrap w:val="false"/>
          </w:tcPr>
          <w:p>
            <w:pPr>
              <w:rPr>
                <w:spacing w:val="-6"/>
                <w:szCs w:val="21"/>
              </w:rPr>
            </w:pPr>
            <w:r>
              <w:rPr>
                <w:rFonts w:hint="eastAsia"/>
                <w:spacing w:val="-6"/>
                <w:szCs w:val="21"/>
              </w:rPr>
              <w:t xml:space="preserve">投标人与三级医院签订绿色通道合作协议，约定在紧急或突发情况下，三级医院应当建</w:t>
            </w:r>
            <w:r>
              <w:rPr>
                <w:rFonts w:hint="eastAsia"/>
                <w:spacing w:val="-6"/>
                <w:szCs w:val="21"/>
              </w:rPr>
              <w:t xml:space="preserve">立绿色通道，优先响应投标人或投标人客户的救治需求（包括但不限于紧急救护、检查、手术等），根据与投标人签订绿色通道合作协议的数量进行打分，每有一家得</w:t>
            </w:r>
            <w:r>
              <w:rPr>
                <w:rFonts w:hint="eastAsia"/>
                <w:spacing w:val="-6"/>
                <w:szCs w:val="21"/>
              </w:rPr>
              <w:t xml:space="preserve">3</w:t>
            </w:r>
            <w:r>
              <w:rPr>
                <w:rFonts w:hint="eastAsia"/>
                <w:spacing w:val="-6"/>
                <w:szCs w:val="21"/>
              </w:rPr>
              <w:t xml:space="preserve">分，</w:t>
            </w:r>
            <w:r>
              <w:rPr>
                <w:rFonts w:hint="eastAsia"/>
                <w:spacing w:val="-6"/>
                <w:szCs w:val="21"/>
              </w:rPr>
              <w:t xml:space="preserve">本项</w:t>
            </w:r>
            <w:r>
              <w:rPr>
                <w:rFonts w:hint="eastAsia"/>
                <w:spacing w:val="-6"/>
                <w:szCs w:val="21"/>
              </w:rPr>
              <w:t xml:space="preserve">最高得</w:t>
            </w:r>
            <w:r>
              <w:rPr>
                <w:rFonts w:hint="eastAsia"/>
                <w:spacing w:val="-6"/>
                <w:szCs w:val="21"/>
              </w:rPr>
              <w:t xml:space="preserve">9</w:t>
            </w:r>
            <w:r>
              <w:rPr>
                <w:rFonts w:hint="eastAsia"/>
                <w:spacing w:val="-6"/>
                <w:szCs w:val="21"/>
              </w:rPr>
              <w:t xml:space="preserve">分。</w:t>
            </w:r>
            <w:r/>
          </w:p>
        </w:tc>
        <w:tc>
          <w:tcPr>
            <w:tcW w:w="2440" w:type="dxa"/>
            <w:vAlign w:val="center"/>
            <w:textDirection w:val="lrTb"/>
            <w:noWrap w:val="false"/>
          </w:tcPr>
          <w:p>
            <w:pPr>
              <w:ind w:left="-38"/>
              <w:rPr>
                <w:szCs w:val="21"/>
              </w:rPr>
            </w:pPr>
            <w:r>
              <w:rPr>
                <w:rFonts w:hint="eastAsia"/>
                <w:szCs w:val="21"/>
              </w:rPr>
              <w:t xml:space="preserve">1</w:t>
            </w:r>
            <w:r>
              <w:rPr>
                <w:rFonts w:hint="eastAsia"/>
                <w:szCs w:val="21"/>
              </w:rPr>
              <w:t xml:space="preserve">、提供有效期内的协议及三</w:t>
            </w:r>
            <w:r>
              <w:rPr>
                <w:rFonts w:hint="eastAsia"/>
                <w:szCs w:val="21"/>
              </w:rPr>
              <w:t xml:space="preserve">级</w:t>
            </w:r>
            <w:r>
              <w:rPr>
                <w:rFonts w:hint="eastAsia"/>
                <w:szCs w:val="21"/>
              </w:rPr>
              <w:t xml:space="preserve">医院的</w:t>
            </w:r>
            <w:r>
              <w:rPr>
                <w:rFonts w:hint="eastAsia"/>
                <w:szCs w:val="21"/>
              </w:rPr>
              <w:t xml:space="preserve">等级</w:t>
            </w:r>
            <w:r>
              <w:rPr>
                <w:rFonts w:hint="eastAsia"/>
                <w:szCs w:val="21"/>
              </w:rPr>
              <w:t xml:space="preserve">证明</w:t>
            </w:r>
            <w:r>
              <w:rPr>
                <w:rFonts w:hint="eastAsia"/>
                <w:szCs w:val="21"/>
              </w:rPr>
              <w:t xml:space="preserve">材料（包括但不限于网页截图、铜牌等）。</w:t>
            </w:r>
            <w:r/>
          </w:p>
          <w:p>
            <w:pPr>
              <w:ind w:left="-38"/>
              <w:rPr>
                <w:szCs w:val="21"/>
              </w:rPr>
            </w:pPr>
            <w:r>
              <w:rPr>
                <w:rFonts w:hint="eastAsia"/>
                <w:szCs w:val="21"/>
              </w:rPr>
              <w:t xml:space="preserve">2</w:t>
            </w:r>
            <w:r>
              <w:rPr>
                <w:rFonts w:hint="eastAsia"/>
                <w:szCs w:val="21"/>
              </w:rPr>
              <w:t xml:space="preserve">、未按要求提供不得分。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4</w:t>
            </w:r>
            <w:r/>
          </w:p>
        </w:tc>
        <w:tc>
          <w:tcPr>
            <w:tcW w:w="1462" w:type="dxa"/>
            <w:vAlign w:val="center"/>
            <w:vMerge w:val="restart"/>
            <w:textDirection w:val="lrTb"/>
            <w:noWrap w:val="false"/>
          </w:tcPr>
          <w:p>
            <w:pPr>
              <w:ind w:firstLine="28"/>
              <w:jc w:val="center"/>
              <w:rPr>
                <w:szCs w:val="21"/>
              </w:rPr>
            </w:pPr>
            <w:r>
              <w:rPr>
                <w:rFonts w:hint="eastAsia" w:cs="宋体"/>
                <w:color w:val="000000"/>
                <w:szCs w:val="21"/>
                <w:lang w:bidi="ar"/>
              </w:rPr>
              <w:t xml:space="preserve">项目负责人</w:t>
            </w:r>
            <w:r/>
          </w:p>
        </w:tc>
        <w:tc>
          <w:tcPr>
            <w:tcW w:w="788" w:type="dxa"/>
            <w:vAlign w:val="center"/>
            <w:textDirection w:val="lrTb"/>
            <w:noWrap w:val="false"/>
          </w:tcPr>
          <w:p>
            <w:pPr>
              <w:ind w:firstLine="28"/>
              <w:jc w:val="center"/>
              <w:rPr>
                <w:szCs w:val="21"/>
              </w:rPr>
            </w:pPr>
            <w:r>
              <w:rPr>
                <w:rFonts w:hint="eastAsia"/>
                <w:szCs w:val="21"/>
              </w:rPr>
              <w:t xml:space="preserve">2</w:t>
            </w:r>
            <w:r/>
          </w:p>
        </w:tc>
        <w:tc>
          <w:tcPr>
            <w:tcW w:w="4103" w:type="dxa"/>
            <w:vAlign w:val="center"/>
            <w:textDirection w:val="lrTb"/>
            <w:noWrap w:val="false"/>
          </w:tcPr>
          <w:p>
            <w:pPr>
              <w:rPr>
                <w:spacing w:val="-6"/>
                <w:szCs w:val="21"/>
              </w:rPr>
            </w:pPr>
            <w:r>
              <w:rPr>
                <w:rFonts w:hint="eastAsia"/>
                <w:spacing w:val="-6"/>
                <w:szCs w:val="21"/>
              </w:rPr>
              <w:t xml:space="preserve">投标人为本项目配备的项目负责人具有人本科及以上学历的得</w:t>
            </w:r>
            <w:r>
              <w:rPr>
                <w:rFonts w:hint="eastAsia"/>
                <w:spacing w:val="-6"/>
                <w:szCs w:val="21"/>
              </w:rPr>
              <w:t xml:space="preserve">2</w:t>
            </w:r>
            <w:r>
              <w:rPr>
                <w:rFonts w:hint="eastAsia"/>
                <w:spacing w:val="-6"/>
                <w:szCs w:val="21"/>
              </w:rPr>
              <w:t xml:space="preserve">分。本项最高得</w:t>
            </w:r>
            <w:r>
              <w:rPr>
                <w:rFonts w:hint="eastAsia"/>
                <w:spacing w:val="-6"/>
                <w:szCs w:val="21"/>
              </w:rPr>
              <w:t xml:space="preserve">2</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w:t>
            </w:r>
            <w:r>
              <w:rPr>
                <w:bCs/>
                <w:szCs w:val="21"/>
              </w:rPr>
              <w:t xml:space="preserve">提供</w:t>
            </w:r>
            <w:r>
              <w:rPr>
                <w:rFonts w:hint="eastAsia"/>
                <w:bCs/>
                <w:szCs w:val="21"/>
              </w:rPr>
              <w:t xml:space="preserve">学历证明（毕业证书或学位证书）</w:t>
            </w:r>
            <w:r>
              <w:rPr>
                <w:bCs/>
                <w:szCs w:val="21"/>
              </w:rPr>
              <w:t xml:space="preserve">及由社保机构出具的</w:t>
            </w:r>
            <w:r>
              <w:rPr>
                <w:rFonts w:hint="eastAsia"/>
                <w:bCs/>
                <w:szCs w:val="21"/>
              </w:rPr>
              <w:t xml:space="preserve">响应</w:t>
            </w:r>
            <w:r>
              <w:rPr>
                <w:bCs/>
                <w:szCs w:val="21"/>
              </w:rPr>
              <w:t xml:space="preserve">供应商为其缴纳的社会保险的凭证加盖社保机构公章或社保中心官网上缴纳记录（缴纳时间为：</w:t>
            </w:r>
            <w:r>
              <w:rPr>
                <w:bCs/>
                <w:szCs w:val="21"/>
              </w:rPr>
              <w:t xml:space="preserve">202</w:t>
            </w:r>
            <w:r>
              <w:rPr>
                <w:rFonts w:hint="eastAsia"/>
                <w:bCs/>
                <w:szCs w:val="21"/>
              </w:rPr>
              <w:t xml:space="preserve">6</w:t>
            </w:r>
            <w:r>
              <w:rPr>
                <w:bCs/>
                <w:szCs w:val="21"/>
              </w:rPr>
              <w:t xml:space="preserve">年</w:t>
            </w:r>
            <w:r>
              <w:rPr>
                <w:rFonts w:hint="eastAsia"/>
                <w:bCs/>
                <w:szCs w:val="21"/>
              </w:rPr>
              <w:t xml:space="preserve">7</w:t>
            </w:r>
            <w:r>
              <w:rPr>
                <w:bCs/>
                <w:szCs w:val="21"/>
              </w:rPr>
              <w:t xml:space="preserve">月</w:t>
            </w:r>
            <w:r>
              <w:rPr>
                <w:bCs/>
                <w:szCs w:val="21"/>
              </w:rPr>
              <w:t xml:space="preserve">-202</w:t>
            </w:r>
            <w:r>
              <w:rPr>
                <w:rFonts w:hint="eastAsia"/>
                <w:bCs/>
                <w:szCs w:val="21"/>
              </w:rPr>
              <w:t xml:space="preserve">6</w:t>
            </w:r>
            <w:r>
              <w:rPr>
                <w:bCs/>
                <w:szCs w:val="21"/>
              </w:rPr>
              <w:t xml:space="preserve">年</w:t>
            </w:r>
            <w:r>
              <w:rPr>
                <w:rFonts w:hint="eastAsia"/>
                <w:bCs/>
                <w:szCs w:val="21"/>
              </w:rPr>
              <w:t xml:space="preserve">9</w:t>
            </w:r>
            <w:r>
              <w:rPr>
                <w:bCs/>
                <w:szCs w:val="21"/>
              </w:rPr>
              <w:t xml:space="preserve">月</w:t>
            </w:r>
            <w:r>
              <w:rPr>
                <w:rFonts w:hint="eastAsia"/>
                <w:bCs/>
                <w:szCs w:val="21"/>
              </w:rPr>
              <w:t xml:space="preserve">中</w:t>
            </w:r>
            <w:r>
              <w:rPr>
                <w:bCs/>
                <w:szCs w:val="21"/>
              </w:rPr>
              <w:t xml:space="preserve">任意</w:t>
            </w:r>
            <w:r>
              <w:rPr>
                <w:rFonts w:hint="eastAsia"/>
                <w:bCs/>
                <w:szCs w:val="21"/>
              </w:rPr>
              <w:t xml:space="preserve">1</w:t>
            </w:r>
            <w:r>
              <w:rPr>
                <w:bCs/>
                <w:szCs w:val="21"/>
              </w:rPr>
              <w:t xml:space="preserve">个月）。</w:t>
            </w:r>
            <w:r/>
          </w:p>
          <w:p>
            <w:pPr>
              <w:ind w:left="-38"/>
              <w:rPr>
                <w:szCs w:val="21"/>
              </w:rPr>
            </w:pPr>
            <w:r>
              <w:rPr>
                <w:rFonts w:hint="eastAsia"/>
                <w:bCs/>
                <w:szCs w:val="21"/>
              </w:rPr>
              <w:t xml:space="preserve">2</w:t>
            </w:r>
            <w:r>
              <w:rPr>
                <w:rFonts w:hint="eastAsia"/>
                <w:bCs/>
                <w:szCs w:val="21"/>
              </w:rPr>
              <w:t xml:space="preserve">、</w:t>
            </w:r>
            <w:r>
              <w:rPr>
                <w:bCs/>
                <w:szCs w:val="21"/>
              </w:rPr>
              <w:t xml:space="preserve">未按要求提供或</w:t>
            </w:r>
            <w:r>
              <w:rPr>
                <w:bCs/>
                <w:szCs w:val="21"/>
              </w:rPr>
              <w:t xml:space="preserve">少提供</w:t>
            </w:r>
            <w:r>
              <w:rPr>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5</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Cs w:val="21"/>
              </w:rPr>
            </w:pPr>
            <w:r>
              <w:rPr>
                <w:rFonts w:hint="eastAsia"/>
                <w:szCs w:val="21"/>
              </w:rPr>
              <w:t xml:space="preserve">3</w:t>
            </w:r>
            <w:r/>
          </w:p>
        </w:tc>
        <w:tc>
          <w:tcPr>
            <w:tcW w:w="4103" w:type="dxa"/>
            <w:vAlign w:val="center"/>
            <w:textDirection w:val="lrTb"/>
            <w:noWrap w:val="false"/>
          </w:tcPr>
          <w:p>
            <w:pPr>
              <w:rPr>
                <w:spacing w:val="-6"/>
                <w:szCs w:val="21"/>
              </w:rPr>
            </w:pPr>
            <w:r>
              <w:rPr>
                <w:rFonts w:hint="eastAsia"/>
                <w:spacing w:val="-6"/>
                <w:szCs w:val="21"/>
              </w:rPr>
              <w:t xml:space="preserve">投标人为本项目配备的项目负责人具有保险业务经验</w:t>
            </w:r>
            <w:r>
              <w:rPr>
                <w:rFonts w:hint="eastAsia"/>
                <w:spacing w:val="-6"/>
                <w:szCs w:val="21"/>
              </w:rPr>
              <w:t xml:space="preserve">5</w:t>
            </w:r>
            <w:r>
              <w:rPr>
                <w:rFonts w:hint="eastAsia"/>
                <w:spacing w:val="-6"/>
                <w:szCs w:val="21"/>
              </w:rPr>
              <w:t xml:space="preserve">年以内的得</w:t>
            </w:r>
            <w:r>
              <w:rPr>
                <w:rFonts w:hint="eastAsia"/>
                <w:spacing w:val="-6"/>
                <w:szCs w:val="21"/>
              </w:rPr>
              <w:t xml:space="preserve">1</w:t>
            </w:r>
            <w:r>
              <w:rPr>
                <w:rFonts w:hint="eastAsia"/>
                <w:spacing w:val="-6"/>
                <w:szCs w:val="21"/>
              </w:rPr>
              <w:t xml:space="preserve">分，</w:t>
            </w:r>
            <w:r>
              <w:rPr>
                <w:rFonts w:hint="eastAsia"/>
                <w:spacing w:val="-6"/>
                <w:szCs w:val="21"/>
              </w:rPr>
              <w:t xml:space="preserve">5</w:t>
            </w:r>
            <w:r>
              <w:rPr>
                <w:rFonts w:hint="eastAsia"/>
                <w:spacing w:val="-6"/>
                <w:szCs w:val="21"/>
              </w:rPr>
              <w:t xml:space="preserve">年（含</w:t>
            </w:r>
            <w:r>
              <w:rPr>
                <w:rFonts w:hint="eastAsia"/>
                <w:spacing w:val="-6"/>
                <w:szCs w:val="21"/>
              </w:rPr>
              <w:t xml:space="preserve">5</w:t>
            </w:r>
            <w:r>
              <w:rPr>
                <w:rFonts w:hint="eastAsia"/>
                <w:spacing w:val="-6"/>
                <w:szCs w:val="21"/>
              </w:rPr>
              <w:t xml:space="preserve">年）至</w:t>
            </w:r>
            <w:r>
              <w:rPr>
                <w:rFonts w:hint="eastAsia"/>
                <w:spacing w:val="-6"/>
                <w:szCs w:val="21"/>
              </w:rPr>
              <w:t xml:space="preserve">10</w:t>
            </w:r>
            <w:r>
              <w:rPr>
                <w:rFonts w:hint="eastAsia"/>
                <w:spacing w:val="-6"/>
                <w:szCs w:val="21"/>
              </w:rPr>
              <w:t xml:space="preserve">年的得</w:t>
            </w:r>
            <w:r>
              <w:rPr>
                <w:rFonts w:hint="eastAsia"/>
                <w:spacing w:val="-6"/>
                <w:szCs w:val="21"/>
              </w:rPr>
              <w:t xml:space="preserve">2</w:t>
            </w:r>
            <w:r>
              <w:rPr>
                <w:rFonts w:hint="eastAsia"/>
                <w:spacing w:val="-6"/>
                <w:szCs w:val="21"/>
              </w:rPr>
              <w:t xml:space="preserve">分</w:t>
            </w:r>
            <w:r>
              <w:rPr>
                <w:rFonts w:hint="eastAsia"/>
                <w:spacing w:val="-6"/>
                <w:szCs w:val="21"/>
              </w:rPr>
              <w:t xml:space="preserve">，</w:t>
            </w:r>
            <w:r>
              <w:rPr>
                <w:rFonts w:hint="eastAsia"/>
                <w:spacing w:val="-6"/>
                <w:szCs w:val="21"/>
              </w:rPr>
              <w:t xml:space="preserve">10</w:t>
            </w:r>
            <w:r>
              <w:rPr>
                <w:rFonts w:hint="eastAsia"/>
                <w:spacing w:val="-6"/>
                <w:szCs w:val="21"/>
              </w:rPr>
              <w:t xml:space="preserve">年及以上的得</w:t>
            </w:r>
            <w:r>
              <w:rPr>
                <w:rFonts w:hint="eastAsia"/>
                <w:spacing w:val="-6"/>
                <w:szCs w:val="21"/>
              </w:rPr>
              <w:t xml:space="preserve">3</w:t>
            </w:r>
            <w:r>
              <w:rPr>
                <w:rFonts w:hint="eastAsia"/>
                <w:spacing w:val="-6"/>
                <w:szCs w:val="21"/>
              </w:rPr>
              <w:t xml:space="preserve">分。本项最高得</w:t>
            </w:r>
            <w:r>
              <w:rPr>
                <w:spacing w:val="-6"/>
                <w:szCs w:val="21"/>
              </w:rPr>
              <w:t xml:space="preserve">3</w:t>
            </w:r>
            <w:r>
              <w:rPr>
                <w:rFonts w:hint="eastAsia"/>
                <w:spacing w:val="-6"/>
                <w:szCs w:val="21"/>
              </w:rPr>
              <w:t xml:space="preserve">分。</w:t>
            </w:r>
            <w:r/>
          </w:p>
        </w:tc>
        <w:tc>
          <w:tcPr>
            <w:tcW w:w="2440" w:type="dxa"/>
            <w:vAlign w:val="center"/>
            <w:textDirection w:val="lrTb"/>
            <w:noWrap w:val="false"/>
          </w:tcPr>
          <w:p>
            <w:pPr>
              <w:ind w:left="-38"/>
              <w:rPr>
                <w:bCs/>
                <w:szCs w:val="21"/>
              </w:rPr>
            </w:pPr>
            <w:r>
              <w:rPr>
                <w:rFonts w:hint="eastAsia"/>
                <w:bCs/>
                <w:szCs w:val="21"/>
              </w:rPr>
              <w:t xml:space="preserve">1</w:t>
            </w:r>
            <w:r>
              <w:rPr>
                <w:rFonts w:hint="eastAsia"/>
                <w:bCs/>
                <w:szCs w:val="21"/>
              </w:rPr>
              <w:t xml:space="preserve">、</w:t>
            </w:r>
            <w:r>
              <w:rPr>
                <w:bCs/>
                <w:szCs w:val="21"/>
              </w:rPr>
              <w:t xml:space="preserve">提供</w:t>
            </w:r>
            <w:r>
              <w:rPr>
                <w:rFonts w:hint="eastAsia"/>
                <w:bCs/>
                <w:szCs w:val="21"/>
              </w:rPr>
              <w:t xml:space="preserve">履历表（格式自拟）</w:t>
            </w:r>
            <w:r>
              <w:rPr>
                <w:bCs/>
                <w:szCs w:val="21"/>
              </w:rPr>
              <w:t xml:space="preserve">及由社保机构出具的</w:t>
            </w:r>
            <w:r>
              <w:rPr>
                <w:rFonts w:hint="eastAsia"/>
                <w:bCs/>
                <w:szCs w:val="21"/>
              </w:rPr>
              <w:t xml:space="preserve">响应</w:t>
            </w:r>
            <w:r>
              <w:rPr>
                <w:bCs/>
                <w:szCs w:val="21"/>
              </w:rPr>
              <w:t xml:space="preserve">供应商为其缴纳的社会保险的凭证加盖社保机构公章或社保中心官网上缴纳记录（缴纳时间为：</w:t>
            </w:r>
            <w:r>
              <w:rPr>
                <w:bCs/>
                <w:szCs w:val="21"/>
              </w:rPr>
              <w:t xml:space="preserve">202</w:t>
            </w:r>
            <w:r>
              <w:rPr>
                <w:rFonts w:hint="eastAsia"/>
                <w:bCs/>
                <w:szCs w:val="21"/>
              </w:rPr>
              <w:t xml:space="preserve">6</w:t>
            </w:r>
            <w:r>
              <w:rPr>
                <w:bCs/>
                <w:szCs w:val="21"/>
              </w:rPr>
              <w:t xml:space="preserve">年</w:t>
            </w:r>
            <w:r>
              <w:rPr>
                <w:rFonts w:hint="eastAsia"/>
                <w:bCs/>
                <w:szCs w:val="21"/>
              </w:rPr>
              <w:t xml:space="preserve">7</w:t>
            </w:r>
            <w:r>
              <w:rPr>
                <w:bCs/>
                <w:szCs w:val="21"/>
              </w:rPr>
              <w:t xml:space="preserve">月</w:t>
            </w:r>
            <w:r>
              <w:rPr>
                <w:bCs/>
                <w:szCs w:val="21"/>
              </w:rPr>
              <w:t xml:space="preserve">-202</w:t>
            </w:r>
            <w:r>
              <w:rPr>
                <w:rFonts w:hint="eastAsia"/>
                <w:bCs/>
                <w:szCs w:val="21"/>
              </w:rPr>
              <w:t xml:space="preserve">6</w:t>
            </w:r>
            <w:r>
              <w:rPr>
                <w:bCs/>
                <w:szCs w:val="21"/>
              </w:rPr>
              <w:t xml:space="preserve">年</w:t>
            </w:r>
            <w:r>
              <w:rPr>
                <w:rFonts w:hint="eastAsia"/>
                <w:bCs/>
                <w:szCs w:val="21"/>
              </w:rPr>
              <w:t xml:space="preserve">9</w:t>
            </w:r>
            <w:r>
              <w:rPr>
                <w:bCs/>
                <w:szCs w:val="21"/>
              </w:rPr>
              <w:t xml:space="preserve">月</w:t>
            </w:r>
            <w:r>
              <w:rPr>
                <w:rFonts w:hint="eastAsia"/>
                <w:bCs/>
                <w:szCs w:val="21"/>
              </w:rPr>
              <w:t xml:space="preserve">中</w:t>
            </w:r>
            <w:r>
              <w:rPr>
                <w:bCs/>
                <w:szCs w:val="21"/>
              </w:rPr>
              <w:t xml:space="preserve">任意</w:t>
            </w:r>
            <w:r>
              <w:rPr>
                <w:rFonts w:hint="eastAsia"/>
                <w:bCs/>
                <w:szCs w:val="21"/>
              </w:rPr>
              <w:t xml:space="preserve">1</w:t>
            </w:r>
            <w:r>
              <w:rPr>
                <w:bCs/>
                <w:szCs w:val="21"/>
              </w:rPr>
              <w:t xml:space="preserve">个月）。</w:t>
            </w:r>
            <w:r/>
          </w:p>
          <w:p>
            <w:pPr>
              <w:ind w:left="-38"/>
              <w:rPr>
                <w:szCs w:val="21"/>
              </w:rPr>
            </w:pPr>
            <w:r>
              <w:rPr>
                <w:rFonts w:hint="eastAsia"/>
                <w:bCs/>
                <w:szCs w:val="21"/>
              </w:rPr>
              <w:t xml:space="preserve">2</w:t>
            </w:r>
            <w:r>
              <w:rPr>
                <w:rFonts w:hint="eastAsia"/>
                <w:bCs/>
                <w:szCs w:val="21"/>
              </w:rPr>
              <w:t xml:space="preserve">、</w:t>
            </w:r>
            <w:r>
              <w:rPr>
                <w:bCs/>
                <w:szCs w:val="21"/>
              </w:rPr>
              <w:t xml:space="preserve">未按要求提供或</w:t>
            </w:r>
            <w:r>
              <w:rPr>
                <w:bCs/>
                <w:szCs w:val="21"/>
              </w:rPr>
              <w:t xml:space="preserve">少提供</w:t>
            </w:r>
            <w:r>
              <w:rPr>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6</w:t>
            </w:r>
            <w:r/>
          </w:p>
        </w:tc>
        <w:tc>
          <w:tcPr>
            <w:tcW w:w="1462" w:type="dxa"/>
            <w:vAlign w:val="center"/>
            <w:vMerge w:val="restart"/>
            <w:textDirection w:val="lrTb"/>
            <w:noWrap w:val="false"/>
          </w:tcPr>
          <w:p>
            <w:pPr>
              <w:ind w:firstLine="28"/>
              <w:jc w:val="center"/>
              <w:rPr>
                <w:szCs w:val="21"/>
              </w:rPr>
            </w:pPr>
            <w:r>
              <w:rPr>
                <w:rFonts w:hint="eastAsia"/>
                <w:szCs w:val="21"/>
              </w:rPr>
              <w:t xml:space="preserve">服务承诺</w:t>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理赔时效：投标人承诺</w:t>
            </w:r>
            <w:r>
              <w:rPr>
                <w:rFonts w:hint="eastAsia"/>
                <w:spacing w:val="-6"/>
                <w:szCs w:val="21"/>
              </w:rPr>
              <w:t xml:space="preserve">符合保险</w:t>
            </w:r>
            <w:r>
              <w:rPr>
                <w:rFonts w:hint="eastAsia"/>
                <w:spacing w:val="-6"/>
                <w:szCs w:val="21"/>
              </w:rPr>
              <w:t xml:space="preserve">责任、</w:t>
            </w:r>
            <w:r>
              <w:rPr>
                <w:rFonts w:hint="eastAsia"/>
                <w:spacing w:val="-6"/>
                <w:szCs w:val="21"/>
              </w:rPr>
              <w:t xml:space="preserve">资料齐全无误的理赔案件在</w:t>
            </w:r>
            <w:r>
              <w:rPr>
                <w:rFonts w:hint="eastAsia"/>
                <w:spacing w:val="-6"/>
                <w:szCs w:val="21"/>
              </w:rPr>
              <w:t xml:space="preserve">3</w:t>
            </w:r>
            <w:r>
              <w:rPr>
                <w:rFonts w:hint="eastAsia"/>
                <w:spacing w:val="-6"/>
                <w:szCs w:val="21"/>
              </w:rPr>
              <w:t xml:space="preserve">天（含）以内赔付的得</w:t>
            </w:r>
            <w:r>
              <w:rPr>
                <w:rFonts w:hint="eastAsia"/>
                <w:spacing w:val="-6"/>
                <w:szCs w:val="21"/>
              </w:rPr>
              <w:t xml:space="preserve">5</w:t>
            </w:r>
            <w:r>
              <w:rPr>
                <w:rFonts w:hint="eastAsia"/>
                <w:spacing w:val="-6"/>
                <w:szCs w:val="21"/>
              </w:rPr>
              <w:t xml:space="preserve">分，</w:t>
            </w:r>
            <w:r>
              <w:rPr>
                <w:rFonts w:hint="eastAsia"/>
                <w:spacing w:val="-6"/>
                <w:szCs w:val="21"/>
              </w:rPr>
              <w:t xml:space="preserve">5</w:t>
            </w:r>
            <w:r>
              <w:rPr>
                <w:rFonts w:hint="eastAsia"/>
                <w:spacing w:val="-6"/>
                <w:szCs w:val="21"/>
              </w:rPr>
              <w:t xml:space="preserve">天（含）以内赔付的得</w:t>
            </w:r>
            <w:r>
              <w:rPr>
                <w:rFonts w:hint="eastAsia"/>
                <w:spacing w:val="-6"/>
                <w:szCs w:val="21"/>
              </w:rPr>
              <w:t xml:space="preserve">3</w:t>
            </w:r>
            <w:r>
              <w:rPr>
                <w:rFonts w:hint="eastAsia"/>
                <w:spacing w:val="-6"/>
                <w:szCs w:val="21"/>
              </w:rPr>
              <w:t xml:space="preserve">分，</w:t>
            </w:r>
            <w:r>
              <w:rPr>
                <w:rFonts w:hint="eastAsia"/>
                <w:spacing w:val="-6"/>
                <w:szCs w:val="21"/>
              </w:rPr>
              <w:t xml:space="preserve">7</w:t>
            </w:r>
            <w:r>
              <w:rPr>
                <w:rFonts w:hint="eastAsia"/>
                <w:spacing w:val="-6"/>
                <w:szCs w:val="21"/>
              </w:rPr>
              <w:t xml:space="preserve">天（含）以内赔付的得</w:t>
            </w:r>
            <w:r>
              <w:rPr>
                <w:rFonts w:hint="eastAsia"/>
                <w:spacing w:val="-6"/>
                <w:szCs w:val="21"/>
              </w:rPr>
              <w:t xml:space="preserve">1</w:t>
            </w:r>
            <w:r>
              <w:rPr>
                <w:rFonts w:hint="eastAsia"/>
                <w:spacing w:val="-6"/>
                <w:szCs w:val="21"/>
              </w:rPr>
              <w:t xml:space="preserve">分，</w:t>
            </w:r>
            <w:r>
              <w:rPr>
                <w:rFonts w:hint="eastAsia"/>
                <w:spacing w:val="-6"/>
                <w:szCs w:val="21"/>
              </w:rPr>
              <w:t xml:space="preserve">10</w:t>
            </w:r>
            <w:r>
              <w:rPr>
                <w:rFonts w:hint="eastAsia"/>
                <w:spacing w:val="-6"/>
                <w:szCs w:val="21"/>
              </w:rPr>
              <w:t xml:space="preserve">天（含）以内赔付的得</w:t>
            </w:r>
            <w:r>
              <w:rPr>
                <w:rFonts w:hint="eastAsia"/>
                <w:spacing w:val="-6"/>
                <w:szCs w:val="21"/>
              </w:rPr>
              <w:t xml:space="preserve">1</w:t>
            </w:r>
            <w:r>
              <w:rPr>
                <w:rFonts w:hint="eastAsia"/>
                <w:spacing w:val="-6"/>
                <w:szCs w:val="21"/>
              </w:rPr>
              <w:t xml:space="preserve">分，</w:t>
            </w:r>
            <w:r>
              <w:rPr>
                <w:rFonts w:hint="eastAsia"/>
                <w:spacing w:val="-6"/>
                <w:szCs w:val="21"/>
              </w:rPr>
              <w:t xml:space="preserve">10</w:t>
            </w:r>
            <w:r>
              <w:rPr>
                <w:rFonts w:hint="eastAsia"/>
                <w:spacing w:val="-6"/>
                <w:szCs w:val="21"/>
              </w:rPr>
              <w:t xml:space="preserve">天以上赔付的不得分。</w:t>
            </w:r>
            <w:r/>
          </w:p>
        </w:tc>
        <w:tc>
          <w:tcPr>
            <w:tcW w:w="2440" w:type="dxa"/>
            <w:vAlign w:val="center"/>
            <w:vMerge w:val="restart"/>
            <w:textDirection w:val="lrTb"/>
            <w:noWrap w:val="false"/>
          </w:tcPr>
          <w:p>
            <w:pPr>
              <w:ind w:left="-38"/>
              <w:rPr>
                <w:bCs/>
                <w:szCs w:val="21"/>
              </w:rPr>
            </w:pPr>
            <w:r>
              <w:rPr>
                <w:rFonts w:hint="eastAsia"/>
                <w:bCs/>
                <w:szCs w:val="21"/>
              </w:rPr>
              <w:t xml:space="preserve">1</w:t>
            </w:r>
            <w:r>
              <w:rPr>
                <w:rFonts w:hint="eastAsia"/>
                <w:bCs/>
                <w:szCs w:val="21"/>
              </w:rPr>
              <w:t xml:space="preserve">、提供承诺函（格式自拟）</w:t>
            </w:r>
            <w:r/>
          </w:p>
          <w:p>
            <w:pPr>
              <w:ind w:left="-38"/>
              <w:rPr>
                <w:bCs/>
                <w:szCs w:val="21"/>
              </w:rPr>
            </w:pPr>
            <w:r>
              <w:rPr>
                <w:rFonts w:hint="eastAsia"/>
                <w:bCs/>
                <w:szCs w:val="21"/>
              </w:rPr>
              <w:t xml:space="preserve">2</w:t>
            </w:r>
            <w:r>
              <w:rPr>
                <w:rFonts w:hint="eastAsia"/>
                <w:bCs/>
                <w:szCs w:val="21"/>
              </w:rPr>
              <w:t xml:space="preserve">、未按要求提供或</w:t>
            </w:r>
            <w:r>
              <w:rPr>
                <w:rFonts w:hint="eastAsia"/>
                <w:bCs/>
                <w:szCs w:val="21"/>
              </w:rPr>
              <w:t xml:space="preserve">少提供</w:t>
            </w:r>
            <w:r>
              <w:rPr>
                <w:rFonts w:hint="eastAsia"/>
                <w:bCs/>
                <w:szCs w:val="21"/>
              </w:rPr>
              <w:t xml:space="preserve">相关材料不得分。</w:t>
            </w:r>
            <w:r/>
          </w:p>
        </w:tc>
      </w:tr>
      <w:tr>
        <w:trPr>
          <w:jc w:val="center"/>
        </w:trPr>
        <w:tc>
          <w:tcPr>
            <w:tcW w:w="835" w:type="dxa"/>
            <w:vAlign w:val="center"/>
            <w:textDirection w:val="lrTb"/>
            <w:noWrap w:val="false"/>
          </w:tcPr>
          <w:p>
            <w:pPr>
              <w:ind w:firstLine="28"/>
              <w:jc w:val="center"/>
              <w:rPr>
                <w:szCs w:val="21"/>
              </w:rPr>
            </w:pPr>
            <w:r>
              <w:rPr>
                <w:rFonts w:hint="eastAsia"/>
                <w:szCs w:val="21"/>
              </w:rPr>
              <w:t xml:space="preserve">3.</w:t>
            </w:r>
            <w:r>
              <w:rPr>
                <w:rFonts w:hint="eastAsia"/>
                <w:szCs w:val="21"/>
              </w:rPr>
              <w:t xml:space="preserve">7</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Cs w:val="21"/>
              </w:rPr>
            </w:pPr>
            <w:r>
              <w:rPr>
                <w:rFonts w:hint="eastAsia"/>
                <w:szCs w:val="21"/>
              </w:rPr>
              <w:t xml:space="preserve">5</w:t>
            </w:r>
            <w:r/>
          </w:p>
        </w:tc>
        <w:tc>
          <w:tcPr>
            <w:tcW w:w="4103" w:type="dxa"/>
            <w:vAlign w:val="center"/>
            <w:textDirection w:val="lrTb"/>
            <w:noWrap w:val="false"/>
          </w:tcPr>
          <w:p>
            <w:pPr>
              <w:rPr>
                <w:spacing w:val="-6"/>
                <w:szCs w:val="21"/>
              </w:rPr>
            </w:pPr>
            <w:r>
              <w:rPr>
                <w:rFonts w:hint="eastAsia"/>
                <w:spacing w:val="-6"/>
                <w:szCs w:val="21"/>
              </w:rPr>
              <w:t xml:space="preserve">为最大限度简化理赔程序，优化</w:t>
            </w:r>
            <w:r>
              <w:rPr>
                <w:rFonts w:hint="eastAsia"/>
                <w:spacing w:val="-6"/>
                <w:szCs w:val="21"/>
              </w:rPr>
              <w:t xml:space="preserve">被保险人</w:t>
            </w:r>
            <w:r>
              <w:rPr>
                <w:rFonts w:hint="eastAsia"/>
                <w:spacing w:val="-6"/>
                <w:szCs w:val="21"/>
              </w:rPr>
              <w:t xml:space="preserve">提交理赔</w:t>
            </w:r>
            <w:r>
              <w:rPr>
                <w:rFonts w:hint="eastAsia"/>
                <w:spacing w:val="-6"/>
                <w:szCs w:val="21"/>
              </w:rPr>
              <w:t xml:space="preserve">时效</w:t>
            </w:r>
            <w:r>
              <w:rPr>
                <w:rFonts w:hint="eastAsia"/>
                <w:spacing w:val="-6"/>
                <w:szCs w:val="21"/>
              </w:rPr>
              <w:t xml:space="preserve">，投标人承诺万元以下医疗费理赔无需提交纸质理赔资料的，得</w:t>
            </w:r>
            <w:r>
              <w:rPr>
                <w:rFonts w:hint="eastAsia"/>
                <w:spacing w:val="-6"/>
                <w:szCs w:val="21"/>
              </w:rPr>
              <w:t xml:space="preserve">5</w:t>
            </w:r>
            <w:r>
              <w:rPr>
                <w:rFonts w:hint="eastAsia"/>
                <w:spacing w:val="-6"/>
                <w:szCs w:val="21"/>
              </w:rPr>
              <w:t xml:space="preserve">分。</w:t>
            </w:r>
            <w:r/>
          </w:p>
        </w:tc>
        <w:tc>
          <w:tcPr>
            <w:tcW w:w="2440" w:type="dxa"/>
            <w:vAlign w:val="center"/>
            <w:vMerge w:val="continue"/>
            <w:textDirection w:val="lrTb"/>
            <w:noWrap w:val="false"/>
          </w:tcPr>
          <w:p>
            <w:pPr>
              <w:ind w:left="-38"/>
              <w:rPr>
                <w:bCs/>
                <w:szCs w:val="21"/>
              </w:rPr>
            </w:pPr>
            <w:r>
              <w:rPr>
                <w:bCs/>
                <w:szCs w:val="21"/>
              </w:rPr>
            </w:r>
            <w:r/>
          </w:p>
        </w:tc>
      </w:tr>
      <w:tr>
        <w:trPr>
          <w:jc w:val="center"/>
          <w:trHeight w:val="548"/>
        </w:trPr>
        <w:tc>
          <w:tcPr>
            <w:gridSpan w:val="2"/>
            <w:tcW w:w="2297" w:type="dxa"/>
            <w:vAlign w:val="center"/>
            <w:textDirection w:val="lrTb"/>
            <w:noWrap w:val="false"/>
          </w:tcPr>
          <w:p>
            <w:pPr>
              <w:ind w:firstLine="28"/>
              <w:jc w:val="center"/>
              <w:rPr>
                <w:szCs w:val="21"/>
              </w:rPr>
            </w:pPr>
            <w:r>
              <w:rPr>
                <w:szCs w:val="21"/>
              </w:rPr>
              <w:t xml:space="preserve">合计</w:t>
            </w:r>
            <w:r/>
          </w:p>
        </w:tc>
        <w:tc>
          <w:tcPr>
            <w:tcW w:w="788" w:type="dxa"/>
            <w:vAlign w:val="center"/>
            <w:textDirection w:val="lrTb"/>
            <w:noWrap w:val="false"/>
          </w:tcPr>
          <w:p>
            <w:pPr>
              <w:ind w:firstLine="28"/>
              <w:jc w:val="center"/>
              <w:rPr>
                <w:szCs w:val="21"/>
              </w:rPr>
            </w:pPr>
            <w:r>
              <w:rPr>
                <w:szCs w:val="21"/>
              </w:rPr>
              <w:t xml:space="preserve">100</w:t>
            </w:r>
            <w:r/>
          </w:p>
        </w:tc>
        <w:tc>
          <w:tcPr>
            <w:gridSpan w:val="2"/>
            <w:tcW w:w="6543" w:type="dxa"/>
            <w:textDirection w:val="lrTb"/>
            <w:noWrap w:val="false"/>
          </w:tcPr>
          <w:p>
            <w:pPr>
              <w:rPr>
                <w:szCs w:val="21"/>
              </w:rPr>
            </w:pPr>
            <w:r>
              <w:rPr>
                <w:szCs w:val="21"/>
              </w:rPr>
            </w:r>
            <w:r/>
          </w:p>
        </w:tc>
      </w:tr>
    </w:tbl>
    <w:p>
      <w:pPr>
        <w:ind w:firstLine="361"/>
        <w:jc w:val="left"/>
        <w:spacing w:line="400" w:lineRule="exact"/>
        <w:rPr>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rPr>
          <w:sz w:val="24"/>
        </w:rPr>
        <w:br w:type="page" w:clear="all"/>
      </w:r>
      <w:r/>
    </w:p>
    <w:p>
      <w:pPr>
        <w:jc w:val="center"/>
        <w:spacing w:line="360" w:lineRule="auto"/>
        <w:rPr>
          <w:b/>
          <w:sz w:val="36"/>
          <w:szCs w:val="36"/>
        </w:rPr>
        <w:outlineLvl w:val="0"/>
      </w:pPr>
      <w:r/>
      <w:bookmarkStart w:id="831" w:name="_Toc140257876"/>
      <w:r/>
      <w:bookmarkStart w:id="832" w:name="_Toc163804583"/>
      <w:r>
        <w:rPr>
          <w:b/>
          <w:sz w:val="36"/>
          <w:szCs w:val="36"/>
        </w:rPr>
        <w:t xml:space="preserve">第五章</w:t>
      </w:r>
      <w:r>
        <w:rPr>
          <w:b/>
          <w:sz w:val="36"/>
          <w:szCs w:val="36"/>
        </w:rPr>
        <w:t xml:space="preserve">   </w:t>
      </w:r>
      <w:r>
        <w:rPr>
          <w:b/>
          <w:sz w:val="36"/>
          <w:szCs w:val="36"/>
        </w:rPr>
        <w:t xml:space="preserve">采购需求</w:t>
      </w:r>
      <w:bookmarkEnd w:id="831"/>
      <w:r/>
      <w:bookmarkEnd w:id="832"/>
      <w:r/>
      <w:r/>
    </w:p>
    <w:p>
      <w:pPr>
        <w:pStyle w:val="1028"/>
        <w:jc w:val="left"/>
        <w:spacing w:before="0" w:line="360" w:lineRule="auto"/>
        <w:rPr>
          <w:rFonts w:ascii="Times New Roman" w:hAnsi="Times New Roman" w:eastAsia="宋体"/>
          <w:sz w:val="24"/>
          <w:szCs w:val="24"/>
        </w:rPr>
      </w:pPr>
      <w:r/>
      <w:bookmarkStart w:id="833" w:name="_Toc513551135"/>
      <w:r/>
      <w:bookmarkStart w:id="834" w:name="_Hlk83322999"/>
      <w:r>
        <w:rPr>
          <w:rFonts w:hint="eastAsia" w:ascii="Times New Roman" w:hAnsi="Times New Roman" w:eastAsia="宋体"/>
          <w:sz w:val="24"/>
          <w:szCs w:val="24"/>
        </w:rPr>
        <w:t xml:space="preserve">一、项目要求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项目名称：西湖街道“安康关爱行动”保险服务项目。</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服务内容：提供西湖街道各村（社区）60周岁及以上老年人（共</w:t>
      </w:r>
      <w:r>
        <w:rPr>
          <w:rFonts w:ascii="宋体" w:hAnsi="宋体" w:cs="宋体"/>
          <w:bCs/>
          <w:sz w:val="24"/>
        </w:rPr>
        <w:t xml:space="preserve">约</w:t>
      </w:r>
      <w:r>
        <w:rPr>
          <w:rFonts w:hint="eastAsia" w:ascii="宋体" w:hAnsi="宋体" w:cs="宋体"/>
          <w:bCs/>
          <w:sz w:val="24"/>
        </w:rPr>
        <w:t xml:space="preserve">9900</w:t>
      </w:r>
      <w:r>
        <w:rPr>
          <w:rFonts w:ascii="宋体" w:hAnsi="宋体" w:cs="宋体"/>
          <w:bCs/>
          <w:sz w:val="24"/>
        </w:rPr>
        <w:t xml:space="preserve">人次</w:t>
      </w:r>
      <w:r>
        <w:rPr>
          <w:rFonts w:hint="eastAsia" w:ascii="宋体" w:hAnsi="宋体" w:cs="宋体"/>
          <w:bCs/>
          <w:sz w:val="24"/>
        </w:rPr>
        <w:t xml:space="preserve">）</w:t>
      </w:r>
      <w:r>
        <w:rPr>
          <w:rFonts w:ascii="宋体" w:hAnsi="宋体" w:cs="宋体"/>
          <w:bCs/>
          <w:sz w:val="24"/>
        </w:rPr>
        <w:t xml:space="preserve">老年人意外险</w:t>
      </w:r>
      <w:r>
        <w:rPr>
          <w:rFonts w:hint="eastAsia" w:ascii="宋体" w:hAnsi="宋体" w:cs="宋体"/>
          <w:bCs/>
          <w:sz w:val="24"/>
        </w:rPr>
        <w:t xml:space="preserve">和60周岁以下（约13000人次）小额意外险。其中，保险</w:t>
      </w:r>
      <w:r>
        <w:rPr>
          <w:rFonts w:ascii="宋体" w:hAnsi="宋体" w:cs="宋体"/>
          <w:bCs/>
          <w:sz w:val="24"/>
        </w:rPr>
        <w:t xml:space="preserve">人数为预估，具体以实际收缴为准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服务期限：一年。其中，</w:t>
      </w:r>
      <w:r>
        <w:rPr>
          <w:rFonts w:hint="eastAsia" w:ascii="宋体" w:hAnsi="宋体" w:cs="宋体"/>
          <w:bCs/>
          <w:sz w:val="24"/>
        </w:rPr>
        <w:t xml:space="preserve">（1）部分村（社区）上一年度（2025年度）保险截止到新一轮合同履行时间前已到期的，统一覆盖到新一轮合同约定的履行截止日。期间脱保（如有），仍由新一轮中标单位按照西湖街道各村（社区）参保的村民（居民）在发生保险责任范围内的事故赔偿的保险责任予以理赔兑付。（2）部分村（社区）上一年度（2025年度）保险截止到新一轮合同签订时间后到期的，则按到期时间后再进行续保服务工作。</w:t>
      </w:r>
      <w:r>
        <w:rPr>
          <w:rFonts w:hint="eastAsia" w:ascii="宋体" w:hAnsi="宋体" w:cs="宋体"/>
          <w:bCs/>
          <w:sz w:val="24"/>
        </w:rPr>
        <w:t xml:space="preserve">详见下表。</w:t>
      </w:r>
      <w:r/>
    </w:p>
    <w:tbl>
      <w:tblPr>
        <w:tblW w:w="8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
        <w:gridCol w:w="5069"/>
        <w:gridCol w:w="2468"/>
      </w:tblGrid>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村（社区）名称</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原保险到期时间</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常州市武进区西湖街道河头村股份经济合作社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常州市武进区西湖街道塔下社区股份经济合作社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2026年9月10日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w:t>
            </w:r>
            <w:r>
              <w:rPr>
                <w:rFonts w:hint="eastAsia" w:ascii="宋体" w:hAnsi="宋体" w:cs="宋体"/>
                <w:bCs/>
                <w:szCs w:val="21"/>
              </w:rPr>
              <w:t xml:space="preserve">蠡</w:t>
            </w:r>
            <w:r>
              <w:rPr>
                <w:rFonts w:hint="eastAsia" w:ascii="宋体" w:hAnsi="宋体" w:cs="宋体"/>
                <w:bCs/>
                <w:szCs w:val="21"/>
              </w:rPr>
              <w:t xml:space="preserve">河社区股份经济合作社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2026年9月25日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w:t>
            </w:r>
            <w:r>
              <w:rPr>
                <w:rFonts w:hint="eastAsia" w:ascii="宋体" w:hAnsi="宋体" w:cs="宋体"/>
                <w:bCs/>
                <w:szCs w:val="21"/>
              </w:rPr>
              <w:t xml:space="preserve">仕尚村</w:t>
            </w:r>
            <w:r>
              <w:rPr>
                <w:rFonts w:hint="eastAsia" w:ascii="宋体" w:hAnsi="宋体" w:cs="宋体"/>
                <w:bCs/>
                <w:szCs w:val="21"/>
              </w:rPr>
              <w:t xml:space="preserve">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2026年9月18日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常州市武进区西湖街道长汀村股份经济合作社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2026年12月11日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6</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w:t>
            </w:r>
            <w:r>
              <w:rPr>
                <w:rFonts w:hint="eastAsia" w:ascii="宋体" w:hAnsi="宋体" w:cs="宋体"/>
                <w:bCs/>
                <w:szCs w:val="21"/>
              </w:rPr>
              <w:t xml:space="preserve">街道聚新家园</w:t>
            </w:r>
            <w:r>
              <w:rPr>
                <w:rFonts w:hint="eastAsia" w:ascii="宋体" w:hAnsi="宋体" w:cs="宋体"/>
                <w:bCs/>
                <w:szCs w:val="21"/>
              </w:rPr>
              <w:t xml:space="preserve">股份经济合作社</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2026年12月13日</w:t>
            </w:r>
            <w:r/>
          </w:p>
        </w:tc>
      </w:tr>
      <w:tr>
        <w:trPr>
          <w:jc w:val="center"/>
        </w:trPr>
        <w:tc>
          <w:tcPr>
            <w:tcW w:w="723"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7</w:t>
            </w:r>
            <w:r/>
          </w:p>
        </w:tc>
        <w:tc>
          <w:tcPr>
            <w:tcW w:w="506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常州市武进区西湖街道湖滨社区</w:t>
            </w:r>
            <w:r>
              <w:rPr>
                <w:rFonts w:hint="eastAsia" w:ascii="宋体" w:hAnsi="宋体" w:cs="宋体"/>
                <w:bCs/>
                <w:szCs w:val="21"/>
              </w:rPr>
              <w:t xml:space="preserve">居民委员会</w:t>
            </w:r>
            <w:r/>
          </w:p>
        </w:tc>
        <w:tc>
          <w:tcPr>
            <w:tcW w:w="246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2027年4月1日</w:t>
            </w:r>
            <w:r/>
          </w:p>
        </w:tc>
      </w:tr>
    </w:tbl>
    <w:p>
      <w:pPr>
        <w:ind w:firstLine="480"/>
        <w:jc w:val="left"/>
        <w:spacing w:line="360" w:lineRule="auto"/>
        <w:tabs>
          <w:tab w:val="left" w:pos="8792" w:leader="none"/>
        </w:tabs>
        <w:rPr>
          <w:rFonts w:hint="eastAsia" w:ascii="宋体" w:hAnsi="宋体" w:cs="宋体"/>
          <w:bCs/>
          <w:sz w:val="24"/>
        </w:rPr>
      </w:pPr>
      <w:r>
        <w:rPr>
          <w:rFonts w:hint="eastAsia" w:ascii="宋体" w:hAnsi="宋体" w:cs="宋体"/>
          <w:sz w:val="24"/>
          <w:szCs w:val="20"/>
        </w:rPr>
        <w:t xml:space="preserve">★最高限价：</w:t>
      </w:r>
      <w:r>
        <w:rPr>
          <w:rFonts w:ascii="宋体" w:hAnsi="宋体" w:cs="宋体"/>
          <w:bCs/>
          <w:sz w:val="24"/>
        </w:rPr>
        <w:t xml:space="preserve">老年人意外险</w:t>
      </w:r>
      <w:r>
        <w:rPr>
          <w:rFonts w:hint="eastAsia" w:ascii="宋体" w:hAnsi="宋体" w:cs="宋体"/>
          <w:sz w:val="24"/>
          <w:szCs w:val="20"/>
        </w:rPr>
        <w:t xml:space="preserve">为99万元（即：100元/人/年）、</w:t>
      </w:r>
      <w:r>
        <w:rPr>
          <w:rFonts w:hint="eastAsia" w:ascii="宋体" w:hAnsi="宋体" w:cs="宋体"/>
          <w:bCs/>
          <w:sz w:val="24"/>
        </w:rPr>
        <w:t xml:space="preserve">小额意外险</w:t>
      </w:r>
      <w:r>
        <w:rPr>
          <w:rFonts w:hint="eastAsia" w:ascii="宋体" w:hAnsi="宋体" w:cs="宋体"/>
          <w:sz w:val="24"/>
          <w:szCs w:val="20"/>
        </w:rPr>
        <w:t xml:space="preserve">为130万元（即：100元/人/年）。投标报价高于最高限价的作为无效投标处理</w:t>
      </w:r>
      <w:r>
        <w:rPr>
          <w:rFonts w:hint="eastAsia" w:ascii="宋体" w:hAnsi="宋体" w:cs="宋体"/>
          <w:bCs/>
          <w:sz w:val="24"/>
        </w:rPr>
        <w:t xml:space="preserve">。</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二、</w:t>
      </w:r>
      <w:r>
        <w:rPr>
          <w:rFonts w:ascii="Times New Roman" w:hAnsi="Times New Roman" w:eastAsia="宋体"/>
          <w:sz w:val="24"/>
          <w:szCs w:val="24"/>
        </w:rPr>
        <w:t xml:space="preserve">老年人意外险</w:t>
      </w:r>
      <w:r>
        <w:rPr>
          <w:rFonts w:hint="eastAsia" w:ascii="Times New Roman" w:hAnsi="Times New Roman" w:eastAsia="宋体"/>
          <w:sz w:val="24"/>
          <w:szCs w:val="24"/>
        </w:rPr>
        <w:t xml:space="preserve">保险方案</w:t>
      </w:r>
      <w:r/>
    </w:p>
    <w:p>
      <w:pPr>
        <w:ind w:firstLine="480"/>
        <w:jc w:val="left"/>
        <w:spacing w:line="360" w:lineRule="auto"/>
        <w:rPr>
          <w:rFonts w:hint="eastAsia" w:ascii="宋体" w:hAnsi="宋体" w:cs="宋体"/>
          <w:sz w:val="24"/>
        </w:rPr>
      </w:pPr>
      <w:r>
        <w:rPr>
          <w:rFonts w:hint="eastAsia" w:ascii="宋体" w:hAnsi="宋体" w:cs="宋体"/>
          <w:sz w:val="24"/>
        </w:rPr>
        <w:t xml:space="preserve">（一）保障内容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1475"/>
      </w:tblGrid>
      <w:tr>
        <w:trPr>
          <w:jc w:val="center"/>
        </w:trPr>
        <w:tc>
          <w:tcPr>
            <w:gridSpan w:val="2"/>
            <w:tcW w:w="6782" w:type="dxa"/>
            <w:vAlign w:val="center"/>
            <w:textDirection w:val="lrTb"/>
            <w:noWrap w:val="false"/>
          </w:tcPr>
          <w:p>
            <w:pPr>
              <w:jc w:val="center"/>
              <w:spacing w:line="360" w:lineRule="auto"/>
              <w:rPr>
                <w:rFonts w:hint="eastAsia" w:ascii="宋体" w:hAnsi="宋体" w:cs="宋体"/>
                <w:bCs/>
                <w:szCs w:val="21"/>
              </w:rPr>
            </w:pPr>
            <w:r/>
            <w:bookmarkStart w:id="835" w:name="_Hlk240271006"/>
            <w:r>
              <w:rPr>
                <w:rFonts w:hint="eastAsia" w:ascii="宋体" w:hAnsi="宋体" w:cs="宋体"/>
                <w:bCs/>
                <w:szCs w:val="21"/>
              </w:rPr>
              <w:t xml:space="preserve">保障内容</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保障额度</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道路交通事故的意外伤害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燃气事故的意外伤害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Height w:val="90"/>
        </w:trPr>
        <w:tc>
          <w:tcPr>
            <w:gridSpan w:val="2"/>
            <w:tcW w:w="6782" w:type="dxa"/>
            <w:vAlign w:val="center"/>
            <w:textDirection w:val="lrTb"/>
            <w:noWrap w:val="false"/>
          </w:tcPr>
          <w:p>
            <w:pPr>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民用燃气用户第三者责任保险</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bCs/>
              </w:rPr>
              <w:t xml:space="preserve">动物咬伤注射抗狂犬疫苗、破伤风抗毒素、血清费用</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意外伤害救护车费用</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意外住院津贴</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100元/天</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骨折津贴</w:t>
            </w:r>
            <w:r/>
          </w:p>
        </w:tc>
        <w:tc>
          <w:tcPr>
            <w:tcW w:w="147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200-500元</w:t>
            </w:r>
            <w:bookmarkEnd w:id="835"/>
            <w:r/>
          </w:p>
        </w:tc>
      </w:tr>
    </w:tbl>
    <w:p>
      <w:pPr>
        <w:ind w:firstLine="480"/>
        <w:jc w:val="left"/>
        <w:spacing w:line="360" w:lineRule="auto"/>
        <w:rPr>
          <w:rFonts w:hint="eastAsia" w:ascii="宋体" w:hAnsi="宋体" w:cs="宋体"/>
          <w:sz w:val="24"/>
        </w:rPr>
      </w:pPr>
      <w:r>
        <w:rPr>
          <w:rFonts w:hint="eastAsia" w:ascii="宋体" w:hAnsi="宋体" w:cs="宋体"/>
          <w:sz w:val="24"/>
        </w:rPr>
        <w:t xml:space="preserve">（二）保险责任内容</w:t>
      </w:r>
      <w:r/>
    </w:p>
    <w:p>
      <w:pPr>
        <w:ind w:firstLine="480"/>
        <w:spacing w:line="360" w:lineRule="auto"/>
        <w:rPr>
          <w:rFonts w:hint="eastAsia" w:ascii="宋体" w:hAnsi="宋体" w:cs="宋体"/>
          <w:bCs/>
          <w:sz w:val="24"/>
        </w:rPr>
      </w:pPr>
      <w:r>
        <w:rPr>
          <w:rFonts w:hint="eastAsia" w:ascii="宋体" w:hAnsi="宋体" w:cs="宋体"/>
          <w:bCs/>
          <w:sz w:val="24"/>
        </w:rPr>
        <w:t xml:space="preserve">1.意外身故</w:t>
      </w:r>
      <w:r/>
    </w:p>
    <w:p>
      <w:pPr>
        <w:ind w:firstLine="480"/>
        <w:spacing w:line="360" w:lineRule="auto"/>
        <w:rPr>
          <w:rFonts w:hint="eastAsia" w:ascii="宋体" w:hAnsi="宋体" w:cs="宋体"/>
          <w:bCs/>
          <w:sz w:val="24"/>
        </w:rPr>
      </w:pPr>
      <w:r>
        <w:rPr>
          <w:rFonts w:hint="eastAsia" w:ascii="宋体" w:hAnsi="宋体" w:cs="宋体"/>
          <w:bCs/>
          <w:sz w:val="24"/>
        </w:rPr>
        <w:t xml:space="preserve">（1）道路交通事故导致意外身故：因道路交通事故遭受意外伤害身故，且自该事故发生之日起一百八十日内，因该意外事故导致身故，保险公司根据交警部门出具的《事故责任认定书》按约定的保险金额给付意外身故保险金。如因国家法律法规的规定或限制，该意外事故交警部门不能出具《事故责任认定书》，则该意外事故导致的身故为普通意外身故。</w:t>
      </w:r>
      <w:r/>
    </w:p>
    <w:p>
      <w:pPr>
        <w:ind w:firstLine="480"/>
        <w:spacing w:line="360" w:lineRule="auto"/>
        <w:rPr>
          <w:rFonts w:hint="eastAsia" w:ascii="宋体" w:hAnsi="宋体" w:cs="宋体"/>
          <w:bCs/>
          <w:sz w:val="24"/>
        </w:rPr>
      </w:pPr>
      <w:r>
        <w:rPr>
          <w:rFonts w:hint="eastAsia" w:ascii="宋体" w:hAnsi="宋体" w:cs="宋体"/>
          <w:bCs/>
          <w:sz w:val="24"/>
        </w:rPr>
        <w:t xml:space="preserve">（2）燃气事故导致意外身故：因燃气事故遭受意外伤害身故，且自该事故发生之日起一百八十日内，因该意外事故导致身故，保险公司根据政府相关部门出具的证明材料按约定的保险金额给付意外身故保险金。如因国家法律法规的规定或限制，该意外事故政府相关部门不能出具证明材料，则该意外事故导致的身故为普通意外身故。</w:t>
      </w:r>
      <w:r/>
    </w:p>
    <w:p>
      <w:pPr>
        <w:ind w:firstLine="480"/>
        <w:spacing w:line="360" w:lineRule="auto"/>
        <w:rPr>
          <w:rFonts w:hint="eastAsia" w:ascii="宋体" w:hAnsi="宋体" w:cs="宋体"/>
          <w:bCs/>
          <w:sz w:val="24"/>
        </w:rPr>
      </w:pPr>
      <w:r>
        <w:rPr>
          <w:rFonts w:hint="eastAsia" w:ascii="宋体" w:hAnsi="宋体" w:cs="宋体"/>
          <w:bCs/>
          <w:sz w:val="24"/>
        </w:rPr>
        <w:t xml:space="preserve">（3）持有效客票(包括依法免票)乘坐汽车/火车/轮船/飞机导致意外身故：因乘坐汽车/火车/轮船/飞机导致遭受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（4）普通意外事故身故：因遭受除（1）、（2）、（3）项以外的其他意外伤害事故，且自该事故发生之日起一百八十日内，因该意外事故导致身故，保险公司按约定的保险金额给付意外身故保险金。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2.意外伤残：因遭受意外伤害事故，且自该事故发生之日起一百八十日内，因该意外事故导致身体伤残，保险公司根据《人身保险伤残评定及代码》（</w:t>
      </w:r>
      <w:r>
        <w:rPr>
          <w:rFonts w:ascii="宋体" w:hAnsi="宋体" w:cs="宋体"/>
          <w:bCs/>
          <w:sz w:val="24"/>
        </w:rPr>
        <w:t xml:space="preserve">GB/T44893-2024</w:t>
      </w:r>
      <w:r>
        <w:rPr>
          <w:rFonts w:hint="eastAsia" w:ascii="宋体" w:hAnsi="宋体" w:cs="宋体"/>
          <w:bCs/>
          <w:sz w:val="24"/>
        </w:rPr>
        <w:t xml:space="preserve">）（行标）确定的伤残程度及其对应的保险金给付比例给付意外残疾保险金。被保险人仍需继续接受治疗的，保险公司根据被保险人在第一百八十日时的残疾鉴定结果，给付意外残疾保险金。伤残鉴定费用由投保人自理。</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bCs/>
          <w:sz w:val="24"/>
        </w:rPr>
        <w:t xml:space="preserve">动物咬伤注射抗狂犬疫苗、破伤风抗毒素、血清费用</w:t>
      </w:r>
      <w:r>
        <w:rPr>
          <w:rFonts w:hint="eastAsia" w:ascii="宋体" w:hAnsi="宋体" w:cs="宋体"/>
          <w:bCs/>
          <w:sz w:val="24"/>
        </w:rPr>
        <w:t xml:space="preserve">：被保险人遭受动物意外咬伤，并因此在保险公司认可的医疗机构注射破伤风抗毒素、狂犬病疫苗、血清，给付破伤风抗毒素、狂犬病疫苗、血清等医疗津贴，以保额为限。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4.民用燃气用户第三者责任保险：累计责任限额20000元，每次事故责任限额10000元，每次每人责任限额5000元。</w:t>
      </w:r>
      <w:r/>
    </w:p>
    <w:p>
      <w:pPr>
        <w:ind w:firstLine="480"/>
        <w:spacing w:line="360" w:lineRule="auto"/>
        <w:rPr>
          <w:rFonts w:hint="eastAsia" w:ascii="宋体" w:hAnsi="宋体" w:cs="宋体"/>
          <w:bCs/>
          <w:sz w:val="24"/>
        </w:rPr>
      </w:pPr>
      <w:r>
        <w:rPr>
          <w:rFonts w:hint="eastAsia" w:ascii="宋体" w:hAnsi="宋体" w:cs="宋体"/>
          <w:bCs/>
          <w:sz w:val="24"/>
        </w:rPr>
        <w:t xml:space="preserve">5.意外伤害救护车费用：在保险期间内遭受意外伤害并自该意外伤害发生之时起24小时内发生的合理、必要的救护车费用，根据救护车出具的发票或出诊记录给付意外伤害救护车费用保险金，以保额为限。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6.意外住院津贴：因意外在二级以上医院住院诊疗，保险公司按实际住院天数乘以约定的每日住院给付金额计算给付保险金。每一保单年度中单次住院以九十日为限，累计以一百八十日为限，免赔日数0天。</w:t>
      </w:r>
      <w:r/>
    </w:p>
    <w:p>
      <w:pPr>
        <w:ind w:firstLine="480"/>
        <w:spacing w:line="360" w:lineRule="auto"/>
        <w:rPr>
          <w:rFonts w:hint="eastAsia" w:ascii="宋体" w:hAnsi="宋体" w:cs="宋体"/>
          <w:bCs/>
          <w:sz w:val="24"/>
        </w:rPr>
      </w:pPr>
      <w:r>
        <w:rPr>
          <w:rFonts w:hint="eastAsia" w:ascii="宋体" w:hAnsi="宋体" w:cs="宋体"/>
          <w:bCs/>
          <w:sz w:val="24"/>
        </w:rPr>
        <w:t xml:space="preserve">7.骨折津贴：因意外伤害导致合同所指的骨折，保险公司根据《骨折部位与保险金给付比例表》进行赔付。</w:t>
      </w:r>
      <w:r/>
    </w:p>
    <w:p>
      <w:pPr>
        <w:jc w:val="center"/>
        <w:spacing w:line="400" w:lineRule="exact"/>
        <w:rPr>
          <w:rFonts w:hint="eastAsia" w:ascii="宋体" w:hAnsi="宋体" w:cs="宋体"/>
          <w:bCs/>
          <w:sz w:val="24"/>
        </w:rPr>
      </w:pPr>
      <w:r>
        <w:rPr>
          <w:rFonts w:hint="eastAsia" w:ascii="宋体" w:hAnsi="宋体" w:cs="宋体"/>
          <w:bCs/>
          <w:sz w:val="24"/>
        </w:rPr>
        <w:t xml:space="preserve">《骨折部位与保险金给付比例表》</w:t>
      </w:r>
      <w:r/>
    </w:p>
    <w:tbl>
      <w:tblPr>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559"/>
        <w:gridCol w:w="6598"/>
        <w:gridCol w:w="1258"/>
      </w:tblGrid>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部位</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骨折名称</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保险金给付金额</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头部</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鼻骨骨折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2</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颅盖骨（包括额、顶、枕、筛、</w:t>
            </w:r>
            <w:r>
              <w:rPr>
                <w:rFonts w:hint="eastAsia" w:ascii="宋体" w:hAnsi="宋体" w:cs="宋体"/>
                <w:bCs/>
                <w:sz w:val="22"/>
                <w:szCs w:val="18"/>
              </w:rPr>
              <w:t xml:space="preserve">颞</w:t>
            </w:r>
            <w:r>
              <w:rPr>
                <w:rFonts w:hint="eastAsia" w:ascii="宋体" w:hAnsi="宋体" w:cs="宋体"/>
                <w:bCs/>
                <w:sz w:val="22"/>
                <w:szCs w:val="18"/>
              </w:rPr>
              <w:t xml:space="preserve">、蝶骨）骨折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下颌骨、上颌骨、颧骨骨折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手部</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指骨骨折（除拇指</w:t>
            </w:r>
            <w:r>
              <w:rPr>
                <w:rFonts w:hint="eastAsia" w:ascii="宋体" w:hAnsi="宋体" w:cs="宋体"/>
                <w:bCs/>
                <w:sz w:val="22"/>
                <w:szCs w:val="18"/>
                <w:lang w:eastAsia="en-US"/>
              </w:rPr>
              <w:t xml:space="preserve">）</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2</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拇指骨折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断肢（指）再植术</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腕部</w:t>
            </w:r>
            <w:r/>
          </w:p>
        </w:tc>
        <w:tc>
          <w:tcPr>
            <w:tcW w:w="6598" w:type="dxa"/>
            <w:vAlign w:val="center"/>
            <w:textDirection w:val="lrTb"/>
            <w:noWrap w:val="false"/>
          </w:tcPr>
          <w:p>
            <w:pPr>
              <w:jc w:val="center"/>
              <w:rPr>
                <w:lang w:eastAsia="en-US"/>
              </w:rPr>
            </w:pPr>
            <w:r>
              <w:rPr>
                <w:rFonts w:hint="eastAsia" w:ascii="宋体" w:hAnsi="宋体" w:cs="宋体"/>
                <w:bCs/>
                <w:sz w:val="22"/>
                <w:szCs w:val="18"/>
                <w:lang w:eastAsia="en-US"/>
              </w:rPr>
              <w:t xml:space="preserve">巴通骨折、反巴通骨折、手舟骨骨折、月骨骨折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前臂</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史密斯骨折、柯莱斯骨折、桡骨骨折、尺骨骨折、尺</w:t>
            </w:r>
            <w:r>
              <w:rPr>
                <w:rFonts w:hint="eastAsia" w:ascii="宋体" w:hAnsi="宋体" w:cs="宋体"/>
                <w:bCs/>
                <w:sz w:val="22"/>
                <w:szCs w:val="18"/>
              </w:rPr>
              <w:t xml:space="preserve">桡</w:t>
            </w:r>
            <w:r>
              <w:rPr>
                <w:rFonts w:hint="eastAsia" w:ascii="宋体" w:hAnsi="宋体" w:cs="宋体"/>
                <w:bCs/>
                <w:sz w:val="22"/>
                <w:szCs w:val="18"/>
              </w:rPr>
              <w:t xml:space="preserve">双骨折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肘部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尺骨鹰嘴骨折、肱骨外</w:t>
            </w:r>
            <w:r>
              <w:rPr>
                <w:rFonts w:hint="eastAsia" w:ascii="宋体" w:hAnsi="宋体" w:cs="宋体"/>
                <w:bCs/>
                <w:sz w:val="22"/>
                <w:szCs w:val="18"/>
              </w:rPr>
              <w:t xml:space="preserve">髁</w:t>
            </w:r>
            <w:r>
              <w:rPr>
                <w:rFonts w:hint="eastAsia" w:ascii="宋体" w:hAnsi="宋体" w:cs="宋体"/>
                <w:bCs/>
                <w:sz w:val="22"/>
                <w:szCs w:val="18"/>
              </w:rPr>
              <w:t xml:space="preserve">骨折、肱骨小头骨折、肱骨内髁骨折、桡骨头骨折、肱骨髁间骨折、肱骨内上髁骨折、肱骨髁上骨折、桡骨颈骨折、肱骨干骨折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肩部及胸廓</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肱骨近端骨折、锁骨骨折、肩胛骨骨折、肩锁关节损伤、胸锁关节损伤、肋骨骨折、胸骨骨折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脊柱</w:t>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颈椎骨折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胸椎骨折、腰椎骨折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脊髓损伤合并性截瘫</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restart"/>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骨盆</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髋部骨折、股骨颈骨折、股骨转子间骨折、股骨大转子骨折、股骨小转子骨折、股骨转子下骨折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vMerge w:val="continue"/>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r>
            <w:r/>
          </w:p>
        </w:tc>
        <w:tc>
          <w:tcPr>
            <w:tcW w:w="6598" w:type="dxa"/>
            <w:vAlign w:val="center"/>
            <w:textDirection w:val="lrTb"/>
            <w:noWrap w:val="false"/>
          </w:tcPr>
          <w:p>
            <w:pPr>
              <w:pStyle w:val="1029"/>
              <w:jc w:val="center"/>
              <w:spacing w:before="0" w:after="0"/>
              <w:rPr>
                <w:b w:val="0"/>
                <w:bCs/>
              </w:rPr>
            </w:pPr>
            <w:r>
              <w:rPr>
                <w:rFonts w:hint="eastAsia" w:hAnsi="宋体" w:cs="宋体"/>
                <w:b w:val="0"/>
                <w:bCs/>
                <w:sz w:val="22"/>
                <w:szCs w:val="18"/>
                <w:u w:val="none"/>
              </w:rPr>
              <w:t xml:space="preserve">股骨干骨折、股骨踝上骨折、股骨单踝骨折、</w:t>
            </w:r>
            <w:r>
              <w:rPr>
                <w:rFonts w:hint="eastAsia" w:hAnsi="宋体" w:cs="宋体"/>
                <w:b w:val="0"/>
                <w:bCs/>
                <w:sz w:val="22"/>
                <w:szCs w:val="18"/>
                <w:u w:val="none"/>
              </w:rPr>
              <w:t xml:space="preserve">股骨踝间骨折</w:t>
            </w:r>
            <w:r>
              <w:rPr>
                <w:rFonts w:hint="eastAsia" w:hAnsi="宋体" w:cs="宋体"/>
                <w:b w:val="0"/>
                <w:bCs/>
                <w:sz w:val="22"/>
                <w:szCs w:val="18"/>
                <w:u w:val="none"/>
              </w:rPr>
              <w:t xml:space="preserve">、股骨干骨折合并髋关节骨折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膝部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髌骨骨折、胫骨</w:t>
            </w:r>
            <w:r>
              <w:rPr>
                <w:rFonts w:hint="eastAsia" w:ascii="宋体" w:hAnsi="宋体" w:cs="宋体"/>
                <w:bCs/>
                <w:sz w:val="22"/>
                <w:szCs w:val="18"/>
              </w:rPr>
              <w:t xml:space="preserve">髁</w:t>
            </w:r>
            <w:r>
              <w:rPr>
                <w:rFonts w:hint="eastAsia" w:ascii="宋体" w:hAnsi="宋体" w:cs="宋体"/>
                <w:bCs/>
                <w:sz w:val="22"/>
                <w:szCs w:val="18"/>
              </w:rPr>
              <w:t xml:space="preserve">间棘骨折、胫骨平台骨折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胫腓骨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胫骨骨折、腓骨骨折、</w:t>
            </w:r>
            <w:r>
              <w:rPr>
                <w:rFonts w:hint="eastAsia" w:ascii="宋体" w:hAnsi="宋体" w:cs="宋体"/>
                <w:bCs/>
                <w:sz w:val="22"/>
                <w:szCs w:val="18"/>
              </w:rPr>
              <w:t xml:space="preserve">胫</w:t>
            </w:r>
            <w:r>
              <w:rPr>
                <w:rFonts w:hint="eastAsia" w:ascii="宋体" w:hAnsi="宋体" w:cs="宋体"/>
                <w:bCs/>
                <w:sz w:val="22"/>
                <w:szCs w:val="18"/>
              </w:rPr>
              <w:t xml:space="preserve">腓骨双骨折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5</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踝关节（含</w:t>
            </w:r>
            <w:r/>
          </w:p>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pilon骨折</w:t>
            </w:r>
            <w:r>
              <w:rPr>
                <w:rFonts w:hint="eastAsia" w:ascii="宋体" w:hAnsi="宋体" w:cs="宋体"/>
                <w:bCs/>
                <w:sz w:val="22"/>
                <w:szCs w:val="18"/>
                <w:lang w:eastAsia="en-US"/>
              </w:rPr>
              <w:t xml:space="preserve">）</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外踝骨折、内踝骨折、后踝骨折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4</w:t>
            </w:r>
            <w:r>
              <w:rPr>
                <w:rFonts w:hint="eastAsia" w:ascii="宋体" w:hAnsi="宋体" w:cs="宋体"/>
                <w:bCs/>
                <w:sz w:val="22"/>
                <w:szCs w:val="18"/>
                <w:lang w:eastAsia="en-US"/>
              </w:rPr>
              <w:t xml:space="preserve">00</w:t>
            </w:r>
            <w:r/>
          </w:p>
        </w:tc>
      </w:tr>
      <w:tr>
        <w:trPr>
          <w:jc w:val="center"/>
          <w:trHeight w:val="23"/>
        </w:trPr>
        <w:tc>
          <w:tcPr>
            <w:tcW w:w="1559"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lang w:eastAsia="en-US"/>
              </w:rPr>
              <w:t xml:space="preserve">足部</w:t>
            </w:r>
            <w:r/>
          </w:p>
        </w:tc>
        <w:tc>
          <w:tcPr>
            <w:tcW w:w="6598" w:type="dxa"/>
            <w:vAlign w:val="center"/>
            <w:textDirection w:val="lrTb"/>
            <w:noWrap w:val="false"/>
          </w:tcPr>
          <w:p>
            <w:pPr>
              <w:jc w:val="center"/>
              <w:rPr>
                <w:rFonts w:hint="eastAsia" w:ascii="宋体" w:hAnsi="宋体" w:cs="宋体"/>
                <w:bCs/>
                <w:sz w:val="22"/>
                <w:szCs w:val="18"/>
              </w:rPr>
            </w:pPr>
            <w:r>
              <w:rPr>
                <w:rFonts w:hint="eastAsia" w:ascii="宋体" w:hAnsi="宋体" w:cs="宋体"/>
                <w:bCs/>
                <w:sz w:val="22"/>
                <w:szCs w:val="18"/>
              </w:rPr>
              <w:t xml:space="preserve">跟骨骨折、距骨骨折、足舟骨骨折、骰骨骨折、楔骨骨折、</w:t>
            </w:r>
            <w:r>
              <w:rPr>
                <w:rFonts w:hint="eastAsia" w:ascii="宋体" w:hAnsi="宋体" w:cs="宋体"/>
                <w:bCs/>
                <w:sz w:val="22"/>
                <w:szCs w:val="18"/>
              </w:rPr>
              <w:t xml:space="preserve">跖</w:t>
            </w:r>
            <w:r>
              <w:rPr>
                <w:rFonts w:hint="eastAsia" w:ascii="宋体" w:hAnsi="宋体" w:cs="宋体"/>
                <w:bCs/>
                <w:sz w:val="22"/>
                <w:szCs w:val="18"/>
              </w:rPr>
              <w:t xml:space="preserve">跗关节骨折、跖骨骨折、趾骨骨折</w:t>
            </w:r>
            <w:r/>
          </w:p>
        </w:tc>
        <w:tc>
          <w:tcPr>
            <w:tcW w:w="1258" w:type="dxa"/>
            <w:vAlign w:val="center"/>
            <w:textDirection w:val="lrTb"/>
            <w:noWrap w:val="false"/>
          </w:tcPr>
          <w:p>
            <w:pPr>
              <w:jc w:val="center"/>
              <w:rPr>
                <w:rFonts w:hint="eastAsia" w:ascii="宋体" w:hAnsi="宋体" w:cs="宋体"/>
                <w:bCs/>
                <w:sz w:val="22"/>
                <w:szCs w:val="18"/>
                <w:lang w:eastAsia="en-US"/>
              </w:rPr>
            </w:pPr>
            <w:r>
              <w:rPr>
                <w:rFonts w:hint="eastAsia" w:ascii="宋体" w:hAnsi="宋体" w:cs="宋体"/>
                <w:bCs/>
                <w:sz w:val="22"/>
                <w:szCs w:val="18"/>
              </w:rPr>
              <w:t xml:space="preserve">3</w:t>
            </w:r>
            <w:r>
              <w:rPr>
                <w:rFonts w:hint="eastAsia" w:ascii="宋体" w:hAnsi="宋体" w:cs="宋体"/>
                <w:bCs/>
                <w:sz w:val="22"/>
                <w:szCs w:val="18"/>
                <w:lang w:eastAsia="en-US"/>
              </w:rPr>
              <w:t xml:space="preserve">00</w:t>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（三）服务承诺</w:t>
      </w:r>
      <w:r/>
    </w:p>
    <w:p>
      <w:pPr>
        <w:ind w:firstLine="480"/>
        <w:spacing w:line="360" w:lineRule="auto"/>
      </w:pPr>
      <w:r>
        <w:rPr>
          <w:rFonts w:hint="eastAsia" w:ascii="宋体" w:hAnsi="宋体" w:cs="宋体"/>
          <w:bCs/>
          <w:sz w:val="24"/>
        </w:rPr>
        <w:t xml:space="preserve">★投标人须承诺：</w:t>
      </w:r>
      <w:r>
        <w:rPr>
          <w:rFonts w:ascii="宋体" w:hAnsi="宋体" w:cs="宋体"/>
          <w:bCs/>
          <w:sz w:val="24"/>
        </w:rPr>
        <w:t xml:space="preserve">老年人意外险</w:t>
      </w:r>
      <w:r>
        <w:rPr>
          <w:rFonts w:hint="eastAsia" w:ascii="宋体" w:hAnsi="宋体" w:cs="宋体"/>
          <w:bCs/>
          <w:sz w:val="24"/>
        </w:rPr>
        <w:t xml:space="preserve">保险方案（</w:t>
      </w:r>
      <w:r>
        <w:rPr>
          <w:rFonts w:hint="eastAsia" w:ascii="宋体" w:hAnsi="宋体" w:cs="宋体"/>
          <w:bCs/>
          <w:sz w:val="24"/>
        </w:rPr>
        <w:t xml:space="preserve">含保障</w:t>
      </w:r>
      <w:r>
        <w:rPr>
          <w:rFonts w:hint="eastAsia" w:ascii="宋体" w:hAnsi="宋体" w:cs="宋体"/>
          <w:bCs/>
          <w:sz w:val="24"/>
        </w:rPr>
        <w:t xml:space="preserve">内容、保险责任）不得低于上述标准，否则按无效投标处理。</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三、小额意外保险方案</w:t>
      </w:r>
      <w:r/>
    </w:p>
    <w:p>
      <w:pPr>
        <w:ind w:firstLine="480"/>
        <w:jc w:val="left"/>
        <w:spacing w:line="360" w:lineRule="auto"/>
        <w:rPr>
          <w:rFonts w:hint="eastAsia" w:ascii="宋体" w:hAnsi="宋体" w:cs="宋体"/>
          <w:sz w:val="24"/>
        </w:rPr>
      </w:pPr>
      <w:r>
        <w:rPr>
          <w:rFonts w:hint="eastAsia" w:ascii="宋体" w:hAnsi="宋体" w:cs="宋体"/>
          <w:sz w:val="24"/>
        </w:rPr>
        <w:t xml:space="preserve">（一）保障内容</w:t>
      </w:r>
      <w:r/>
    </w:p>
    <w:tbl>
      <w:tblPr>
        <w:tblW w:w="9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552"/>
      </w:tblGrid>
      <w:tr>
        <w:trPr>
          <w:jc w:val="center"/>
        </w:trPr>
        <w:tc>
          <w:tcPr>
            <w:gridSpan w:val="2"/>
            <w:tcW w:w="6782" w:type="dxa"/>
            <w:vAlign w:val="center"/>
            <w:textDirection w:val="lrTb"/>
            <w:noWrap w:val="false"/>
          </w:tcPr>
          <w:p>
            <w:pPr>
              <w:jc w:val="center"/>
              <w:rPr>
                <w:rFonts w:hint="eastAsia" w:ascii="宋体" w:hAnsi="宋体" w:cs="宋体"/>
                <w:bCs/>
                <w:szCs w:val="21"/>
              </w:rPr>
            </w:pPr>
            <w:r/>
            <w:bookmarkStart w:id="836" w:name="_Hlk240275124"/>
            <w:r>
              <w:rPr>
                <w:rFonts w:hint="eastAsia" w:ascii="宋体" w:hAnsi="宋体" w:cs="宋体"/>
                <w:bCs/>
                <w:szCs w:val="21"/>
              </w:rPr>
              <w:t xml:space="preserve">保障内容</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1000元（新保等待期90天，续保0天。）</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bCs/>
              </w:rPr>
              <w:t xml:space="preserve">动物咬伤注射抗狂犬疫苗、破伤风抗毒素、血清费用</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5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bookmarkEnd w:id="836"/>
            <w:r/>
          </w:p>
        </w:tc>
      </w:tr>
    </w:tbl>
    <w:p>
      <w:pPr>
        <w:ind w:firstLine="480"/>
        <w:jc w:val="left"/>
        <w:spacing w:line="360" w:lineRule="auto"/>
        <w:rPr>
          <w:rFonts w:hint="eastAsia" w:ascii="宋体" w:hAnsi="宋体" w:cs="宋体"/>
          <w:sz w:val="24"/>
        </w:rPr>
      </w:pPr>
      <w:r>
        <w:rPr>
          <w:rFonts w:hint="eastAsia" w:ascii="宋体" w:hAnsi="宋体" w:cs="宋体"/>
          <w:sz w:val="24"/>
        </w:rPr>
        <w:t xml:space="preserve">（二）保险责任内容</w:t>
      </w:r>
      <w:r/>
    </w:p>
    <w:p>
      <w:pPr>
        <w:ind w:firstLine="480"/>
        <w:spacing w:line="360" w:lineRule="auto"/>
        <w:rPr>
          <w:rFonts w:hint="eastAsia" w:ascii="宋体" w:hAnsi="宋体" w:cs="宋体"/>
          <w:bCs/>
          <w:sz w:val="24"/>
        </w:rPr>
      </w:pPr>
      <w:r>
        <w:rPr>
          <w:rFonts w:hint="eastAsia" w:ascii="宋体" w:hAnsi="宋体" w:cs="宋体"/>
          <w:bCs/>
          <w:sz w:val="24"/>
        </w:rPr>
        <w:t xml:space="preserve">1.疾病身故：因疾病导致身故（应有专业医疗机构</w:t>
      </w:r>
      <w:r>
        <w:rPr>
          <w:rFonts w:hint="eastAsia" w:ascii="宋体" w:hAnsi="宋体" w:cs="宋体"/>
          <w:bCs/>
          <w:sz w:val="24"/>
        </w:rPr>
        <w:t xml:space="preserve">作出</w:t>
      </w:r>
      <w:r>
        <w:rPr>
          <w:rFonts w:hint="eastAsia" w:ascii="宋体" w:hAnsi="宋体" w:cs="宋体"/>
          <w:bCs/>
          <w:sz w:val="24"/>
        </w:rPr>
        <w:t xml:space="preserve">诊断结论，并出具诊断证明书），保险公司按约定的保险金额给付疾病身故保险金。</w:t>
      </w:r>
      <w:r>
        <w:rPr>
          <w:rFonts w:ascii="宋体" w:hAnsi="宋体" w:cs="宋体"/>
          <w:sz w:val="24"/>
        </w:rPr>
        <w:t xml:space="preserve">疾病身故责任等待期</w:t>
      </w:r>
      <w:r>
        <w:rPr>
          <w:rFonts w:hint="eastAsia" w:ascii="宋体" w:hAnsi="宋体" w:cs="宋体"/>
          <w:bCs/>
          <w:sz w:val="24"/>
        </w:rPr>
        <w:t xml:space="preserve">：首次投保本保险的被保险人，疾病身故等待期90天；续保本保险的被保险人无等待期。若被保险人持有此前其他保</w:t>
      </w:r>
      <w:r>
        <w:rPr>
          <w:rFonts w:hint="eastAsia" w:ascii="宋体" w:hAnsi="宋体" w:cs="宋体"/>
          <w:bCs/>
          <w:sz w:val="24"/>
        </w:rPr>
        <w:t xml:space="preserve">司有效</w:t>
      </w:r>
      <w:r>
        <w:rPr>
          <w:rFonts w:hint="eastAsia" w:ascii="宋体" w:hAnsi="宋体" w:cs="宋体"/>
          <w:bCs/>
          <w:sz w:val="24"/>
        </w:rPr>
        <w:t xml:space="preserve">定期保单，在原保单保</w:t>
      </w:r>
      <w:r>
        <w:rPr>
          <w:rFonts w:hint="eastAsia" w:ascii="宋体" w:hAnsi="宋体" w:cs="宋体"/>
          <w:bCs/>
          <w:sz w:val="24"/>
        </w:rPr>
        <w:t xml:space="preserve">障衔接不间断前提下转入本保单，经保险人审核同意，视同续保，疾病身故责任不再计算90日等待期。</w:t>
      </w:r>
      <w:r/>
    </w:p>
    <w:p>
      <w:pPr>
        <w:ind w:firstLine="480"/>
        <w:spacing w:line="360" w:lineRule="auto"/>
        <w:rPr>
          <w:rFonts w:hint="eastAsia" w:ascii="宋体" w:hAnsi="宋体" w:cs="宋体"/>
          <w:bCs/>
          <w:sz w:val="24"/>
        </w:rPr>
      </w:pPr>
      <w:r>
        <w:rPr>
          <w:rFonts w:hint="eastAsia" w:ascii="宋体" w:hAnsi="宋体" w:cs="宋体"/>
          <w:bCs/>
          <w:sz w:val="24"/>
        </w:rPr>
        <w:t xml:space="preserve">2.意外身故</w:t>
      </w:r>
      <w:r/>
    </w:p>
    <w:p>
      <w:pPr>
        <w:ind w:firstLine="480"/>
        <w:spacing w:line="360" w:lineRule="auto"/>
        <w:rPr>
          <w:rFonts w:hint="eastAsia" w:ascii="宋体" w:hAnsi="宋体" w:cs="宋体"/>
          <w:bCs/>
          <w:sz w:val="24"/>
        </w:rPr>
      </w:pPr>
      <w:r>
        <w:rPr>
          <w:rFonts w:hint="eastAsia" w:ascii="宋体" w:hAnsi="宋体" w:cs="宋体"/>
          <w:bCs/>
          <w:sz w:val="24"/>
        </w:rPr>
        <w:t xml:space="preserve">（1）持有效客票(包括依法免票)乘坐汽车/火车/轮船/飞机导致意外身故：因乘坐汽车/火车/轮船/飞机导致遭受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（2）普通意外事故身故：因遭受除（1）项以外的其他意外伤害事故，且自该事故发生之日起一百八十日内，因该意外事故导致身故，保险公司按约定的保险金额给付意外身故保险金。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cs="宋体"/>
          <w:bCs/>
          <w:sz w:val="24"/>
        </w:rPr>
      </w:pPr>
      <w:r>
        <w:rPr>
          <w:rFonts w:hint="eastAsia" w:ascii="宋体" w:hAnsi="宋体" w:cs="宋体"/>
          <w:bCs/>
          <w:sz w:val="24"/>
        </w:rPr>
        <w:t xml:space="preserve">3.意外伤残：因遭受意外伤害事故，且自该事故发生之日起一百八十日内，因该意外事故导致身体伤残，保险公司根据《人身保险伤残评定及代码》（</w:t>
      </w:r>
      <w:r>
        <w:rPr>
          <w:rFonts w:ascii="宋体" w:hAnsi="宋体" w:cs="宋体"/>
          <w:bCs/>
          <w:sz w:val="24"/>
        </w:rPr>
        <w:t xml:space="preserve">GB/T44893-2024</w:t>
      </w:r>
      <w:r>
        <w:rPr>
          <w:rFonts w:hint="eastAsia" w:ascii="宋体" w:hAnsi="宋体" w:cs="宋体"/>
          <w:bCs/>
          <w:sz w:val="24"/>
        </w:rPr>
        <w:t xml:space="preserve">）（行标）确定的伤残程度及其对应的保险金给付比例给付意外残疾保险金。被保险人仍需继续接受治疗的，保险公司根据被保险人在第一百八十日时的残疾鉴定结果，给付意外残疾保险金。伤残鉴定费用由投保人自理。</w:t>
      </w:r>
      <w:r/>
    </w:p>
    <w:p>
      <w:pPr>
        <w:ind w:firstLine="480"/>
        <w:spacing w:line="360" w:lineRule="auto"/>
        <w:rPr>
          <w:rFonts w:hint="eastAsia" w:ascii="宋体" w:hAnsi="宋体" w:cs="宋体"/>
          <w:bCs/>
          <w:sz w:val="24"/>
        </w:rPr>
      </w:pPr>
      <w:r>
        <w:rPr>
          <w:rFonts w:hint="eastAsia" w:ascii="宋体" w:hAnsi="宋体" w:cs="宋体"/>
          <w:bCs/>
          <w:sz w:val="24"/>
        </w:rPr>
        <w:t xml:space="preserve">4.意外医疗（符合</w:t>
      </w:r>
      <w:r>
        <w:rPr>
          <w:rFonts w:hint="eastAsia" w:ascii="宋体" w:hAnsi="宋体" w:cs="宋体"/>
          <w:bCs/>
          <w:sz w:val="24"/>
        </w:rPr>
        <w:t xml:space="preserve">医</w:t>
      </w:r>
      <w:r>
        <w:rPr>
          <w:rFonts w:hint="eastAsia" w:ascii="宋体" w:hAnsi="宋体" w:cs="宋体"/>
          <w:bCs/>
          <w:sz w:val="24"/>
        </w:rPr>
        <w:t xml:space="preserve">保目录）：被保险人遭受意外伤害，并因该意外伤害在保险公司认可的医疗机构治疗，对被保险人实际支出的符合当地社会基本医疗保险支付范围的医疗费用，每次扣除约定免赔额后，对其余额按约定给付比例（</w:t>
      </w:r>
      <w:r>
        <w:rPr>
          <w:rFonts w:ascii="宋体" w:hAnsi="宋体" w:cs="宋体"/>
          <w:bCs/>
          <w:sz w:val="24"/>
        </w:rPr>
        <w:t xml:space="preserve">①</w:t>
      </w:r>
      <w:r>
        <w:rPr>
          <w:rFonts w:hint="eastAsia" w:ascii="宋体" w:hAnsi="宋体" w:cs="宋体"/>
          <w:bCs/>
          <w:sz w:val="24"/>
        </w:rPr>
        <w:t xml:space="preserve">用</w:t>
      </w:r>
      <w:r>
        <w:rPr>
          <w:rFonts w:hint="eastAsia" w:ascii="宋体" w:hAnsi="宋体" w:cs="宋体"/>
          <w:bCs/>
          <w:sz w:val="24"/>
        </w:rPr>
        <w:t xml:space="preserve">医</w:t>
      </w:r>
      <w:r>
        <w:rPr>
          <w:rFonts w:hint="eastAsia" w:ascii="宋体" w:hAnsi="宋体" w:cs="宋体"/>
          <w:bCs/>
          <w:sz w:val="24"/>
        </w:rPr>
        <w:t xml:space="preserve">保：无免赔，90%比例赔付；</w:t>
      </w:r>
      <w:r>
        <w:rPr>
          <w:rFonts w:ascii="宋体" w:hAnsi="宋体" w:cs="宋体"/>
          <w:bCs/>
          <w:sz w:val="24"/>
        </w:rPr>
        <w:t xml:space="preserve">②</w:t>
      </w:r>
      <w:r>
        <w:rPr>
          <w:rFonts w:hint="eastAsia" w:ascii="宋体" w:hAnsi="宋体" w:cs="宋体"/>
          <w:bCs/>
          <w:sz w:val="24"/>
        </w:rPr>
        <w:t xml:space="preserve">不用医保：每次100元免赔，80%比例赔付）给付保险金。若被保险人已从当地社会基本医疗保险、公费医疗或其他途径获得补偿或给付，对剩余未获补偿或给付的部分按上述规定给付保险金。保险期间届满被保险人治疗仍未结束的，承担给付保险金责任的期限，自保险期间届满次日起，至被保险人出院之日止，但最长不超过九十日。对每一被保险人给付的保险金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bCs/>
          <w:sz w:val="24"/>
        </w:rPr>
        <w:t xml:space="preserve">动物咬伤注射抗狂犬疫苗、破伤风抗毒素、血清费用：</w:t>
      </w:r>
      <w:r>
        <w:rPr>
          <w:rFonts w:hint="eastAsia" w:ascii="宋体" w:hAnsi="宋体" w:cs="宋体"/>
          <w:bCs/>
          <w:sz w:val="24"/>
        </w:rPr>
        <w:t xml:space="preserve">被保险人遭受动物意外咬伤，并因此在保险公司认可的医疗机构注射破伤风抗毒素、狂犬病疫苗、血清，给付破伤风抗毒素、狂犬病疫苗、血清等医疗津贴，以保额为限。</w:t>
      </w:r>
      <w:r/>
    </w:p>
    <w:p>
      <w:pPr>
        <w:ind w:firstLine="480"/>
        <w:spacing w:line="360" w:lineRule="auto"/>
        <w:rPr>
          <w:rFonts w:hint="eastAsia" w:ascii="宋体" w:hAnsi="宋体" w:cs="宋体"/>
          <w:bCs/>
          <w:sz w:val="24"/>
        </w:rPr>
      </w:pPr>
      <w:r>
        <w:rPr>
          <w:rFonts w:hint="eastAsia" w:ascii="宋体" w:hAnsi="宋体" w:cs="宋体"/>
          <w:bCs/>
          <w:sz w:val="24"/>
        </w:rPr>
        <w:t xml:space="preserve">6.意外住院津贴：因意外在二级以上医院住院诊疗，保险公司按实际住院天数乘以约定的每日住院给付金额计算给付保险金。每一保单年度中单次住院</w:t>
      </w:r>
      <w:r>
        <w:rPr>
          <w:rFonts w:hint="eastAsia" w:ascii="宋体" w:hAnsi="宋体" w:cs="宋体"/>
          <w:bCs/>
          <w:sz w:val="24"/>
        </w:rPr>
        <w:t xml:space="preserve">以九十日为限，累计以一百八十日为限，免赔日数0天。</w:t>
      </w:r>
      <w:r/>
    </w:p>
    <w:p>
      <w:pPr>
        <w:ind w:firstLine="480"/>
        <w:spacing w:line="360" w:lineRule="auto"/>
        <w:rPr>
          <w:rFonts w:hint="eastAsia" w:ascii="宋体" w:hAnsi="宋体" w:cs="宋体"/>
          <w:bCs/>
          <w:sz w:val="24"/>
        </w:rPr>
      </w:pPr>
      <w:r>
        <w:rPr>
          <w:rFonts w:hint="eastAsia" w:ascii="宋体" w:hAnsi="宋体" w:cs="宋体"/>
          <w:bCs/>
          <w:sz w:val="24"/>
        </w:rPr>
        <w:t xml:space="preserve">7.民用燃气用户第三者责任保险：累计责任限额20000元，每次事故责任限额10000元，每次每人责任限额5000元。</w:t>
      </w:r>
      <w:r/>
    </w:p>
    <w:p>
      <w:pPr>
        <w:ind w:firstLine="480"/>
        <w:jc w:val="left"/>
        <w:spacing w:line="360" w:lineRule="auto"/>
        <w:rPr>
          <w:rFonts w:hint="eastAsia" w:ascii="宋体" w:hAnsi="宋体" w:cs="宋体"/>
          <w:sz w:val="24"/>
        </w:rPr>
      </w:pPr>
      <w:r>
        <w:rPr>
          <w:rFonts w:hint="eastAsia" w:ascii="宋体" w:hAnsi="宋体" w:cs="宋体"/>
          <w:sz w:val="24"/>
        </w:rPr>
        <w:t xml:space="preserve">（三）服务承诺</w:t>
      </w:r>
      <w:r/>
    </w:p>
    <w:p>
      <w:pPr>
        <w:ind w:firstLine="480"/>
        <w:spacing w:line="360" w:lineRule="auto"/>
      </w:pPr>
      <w:r>
        <w:rPr>
          <w:rFonts w:hint="eastAsia" w:ascii="宋体" w:hAnsi="宋体" w:cs="宋体"/>
          <w:bCs/>
          <w:sz w:val="24"/>
        </w:rPr>
        <w:t xml:space="preserve">★投标人须承诺：小额</w:t>
      </w:r>
      <w:r>
        <w:rPr>
          <w:rFonts w:ascii="宋体" w:hAnsi="宋体" w:cs="宋体"/>
          <w:bCs/>
          <w:sz w:val="24"/>
        </w:rPr>
        <w:t xml:space="preserve">意外</w:t>
      </w:r>
      <w:r>
        <w:rPr>
          <w:rFonts w:hint="eastAsia" w:ascii="宋体" w:hAnsi="宋体" w:cs="宋体"/>
          <w:bCs/>
          <w:sz w:val="24"/>
        </w:rPr>
        <w:t xml:space="preserve">保险方案（</w:t>
      </w:r>
      <w:r>
        <w:rPr>
          <w:rFonts w:hint="eastAsia" w:ascii="宋体" w:hAnsi="宋体" w:cs="宋体"/>
          <w:bCs/>
          <w:sz w:val="24"/>
        </w:rPr>
        <w:t xml:space="preserve">含保障</w:t>
      </w:r>
      <w:r>
        <w:rPr>
          <w:rFonts w:hint="eastAsia" w:ascii="宋体" w:hAnsi="宋体" w:cs="宋体"/>
          <w:bCs/>
          <w:sz w:val="24"/>
        </w:rPr>
        <w:t xml:space="preserve">内容、保险责任）不得低于上述标准，否则按无效投标处理。</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四、保险费结算方式</w:t>
      </w:r>
      <w:r/>
    </w:p>
    <w:p>
      <w:pPr>
        <w:ind w:firstLine="480"/>
        <w:spacing w:line="360" w:lineRule="auto"/>
        <w:rPr>
          <w:rFonts w:hint="eastAsia" w:ascii="宋体" w:hAnsi="宋体" w:cs="宋体"/>
          <w:sz w:val="24"/>
        </w:rPr>
      </w:pPr>
      <w:r>
        <w:rPr>
          <w:rFonts w:hint="eastAsia" w:ascii="宋体" w:hAnsi="宋体" w:cs="宋体"/>
          <w:bCs/>
          <w:sz w:val="24"/>
        </w:rPr>
        <w:t xml:space="preserve">1.保费由西湖街道各村（社区）与中标方直接结算。</w:t>
      </w:r>
      <w:r/>
    </w:p>
    <w:p>
      <w:pPr>
        <w:ind w:firstLine="480"/>
        <w:spacing w:line="360" w:lineRule="auto"/>
        <w:rPr>
          <w:rFonts w:hint="eastAsia" w:ascii="宋体" w:hAnsi="宋体" w:cs="宋体"/>
          <w:bCs/>
          <w:sz w:val="24"/>
        </w:rPr>
      </w:pPr>
      <w:r>
        <w:rPr>
          <w:rFonts w:hint="eastAsia" w:ascii="宋体" w:hAnsi="宋体" w:cs="宋体"/>
          <w:bCs/>
          <w:sz w:val="24"/>
        </w:rPr>
        <w:t xml:space="preserve">2.中标方在西湖街道各村（社区）缴纳保费后开具合法的发票。</w:t>
      </w:r>
      <w:r/>
    </w:p>
    <w:p>
      <w:pPr>
        <w:ind w:firstLine="480"/>
        <w:spacing w:line="360" w:lineRule="auto"/>
        <w:rPr>
          <w:rFonts w:hint="eastAsia" w:ascii="宋体" w:hAnsi="宋体" w:cs="宋体"/>
          <w:bCs/>
          <w:sz w:val="24"/>
        </w:rPr>
      </w:pPr>
      <w:r>
        <w:rPr>
          <w:rFonts w:hint="eastAsia" w:ascii="宋体" w:hAnsi="宋体" w:cs="宋体"/>
          <w:bCs/>
          <w:sz w:val="24"/>
        </w:rPr>
        <w:t xml:space="preserve">3.以人民币为付款支付币种。</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五、承保、理赔保证</w:t>
      </w:r>
      <w:r/>
    </w:p>
    <w:p>
      <w:pPr>
        <w:ind w:firstLine="480"/>
        <w:spacing w:line="360" w:lineRule="auto"/>
        <w:rPr>
          <w:rFonts w:hint="eastAsia" w:ascii="宋体" w:hAnsi="宋体" w:cs="宋体"/>
          <w:sz w:val="24"/>
        </w:rPr>
      </w:pPr>
      <w:r>
        <w:rPr>
          <w:rFonts w:hint="eastAsia" w:ascii="宋体" w:hAnsi="宋体" w:cs="宋体"/>
          <w:sz w:val="24"/>
        </w:rPr>
        <w:t xml:space="preserve">1.中标方为投保人制作保险服务卡，列明保险责任。</w:t>
      </w:r>
      <w:r/>
    </w:p>
    <w:p>
      <w:pPr>
        <w:ind w:firstLine="480"/>
        <w:spacing w:line="360" w:lineRule="auto"/>
        <w:rPr>
          <w:rFonts w:hint="eastAsia" w:ascii="宋体" w:hAnsi="宋体" w:cs="宋体"/>
          <w:sz w:val="24"/>
        </w:rPr>
      </w:pPr>
      <w:r>
        <w:rPr>
          <w:rFonts w:hint="eastAsia" w:ascii="宋体" w:hAnsi="宋体" w:cs="宋体"/>
          <w:sz w:val="24"/>
        </w:rPr>
        <w:t xml:space="preserve">2.中标方应保证在提供承保和理赔服务时做到责任、范围、内容、标准、额度等符合采购规定和报价承诺。</w:t>
      </w:r>
      <w:r/>
    </w:p>
    <w:p>
      <w:pPr>
        <w:ind w:firstLine="480"/>
        <w:spacing w:line="360" w:lineRule="auto"/>
        <w:rPr>
          <w:rFonts w:hint="eastAsia" w:ascii="宋体" w:hAnsi="宋体" w:cs="宋体"/>
          <w:sz w:val="24"/>
        </w:rPr>
      </w:pPr>
      <w:r>
        <w:rPr>
          <w:rFonts w:hint="eastAsia" w:ascii="宋体" w:hAnsi="宋体" w:cs="宋体"/>
          <w:sz w:val="24"/>
        </w:rPr>
        <w:t xml:space="preserve">3.出险后，被保险人应及时并在48小时内通知</w:t>
      </w:r>
      <w:r>
        <w:rPr>
          <w:rFonts w:hint="eastAsia" w:ascii="宋体" w:hAnsi="宋体" w:cs="宋体"/>
          <w:bCs/>
          <w:sz w:val="24"/>
        </w:rPr>
        <w:t xml:space="preserve">中标方</w:t>
      </w:r>
      <w:r>
        <w:rPr>
          <w:rFonts w:hint="eastAsia" w:ascii="宋体" w:hAnsi="宋体" w:cs="宋体"/>
          <w:sz w:val="24"/>
        </w:rPr>
        <w:t xml:space="preserve">，并在索赔资料提供齐全后，向</w:t>
      </w:r>
      <w:r>
        <w:rPr>
          <w:rFonts w:hint="eastAsia" w:ascii="宋体" w:hAnsi="宋体" w:cs="宋体"/>
          <w:bCs/>
          <w:sz w:val="24"/>
        </w:rPr>
        <w:t xml:space="preserve">中标</w:t>
      </w:r>
      <w:r>
        <w:rPr>
          <w:rFonts w:hint="eastAsia" w:ascii="宋体" w:hAnsi="宋体" w:cs="宋体"/>
          <w:sz w:val="24"/>
        </w:rPr>
        <w:t xml:space="preserve">方索赔。</w:t>
      </w:r>
      <w:r/>
    </w:p>
    <w:p>
      <w:pPr>
        <w:ind w:firstLine="480"/>
        <w:spacing w:line="360" w:lineRule="auto"/>
      </w:pPr>
      <w:r>
        <w:rPr>
          <w:rFonts w:hint="eastAsia" w:ascii="宋体" w:hAnsi="宋体" w:cs="宋体"/>
          <w:sz w:val="24"/>
        </w:rPr>
        <w:t xml:space="preserve">4.</w:t>
      </w:r>
      <w:r>
        <w:rPr>
          <w:sz w:val="24"/>
        </w:rPr>
        <w:t xml:space="preserve">中标的保险公司</w:t>
      </w:r>
      <w:r>
        <w:rPr>
          <w:rFonts w:hint="eastAsia"/>
          <w:sz w:val="24"/>
        </w:rPr>
        <w:t xml:space="preserve">在理赔材料收齐后</w:t>
      </w:r>
      <w:r>
        <w:rPr>
          <w:sz w:val="24"/>
        </w:rPr>
        <w:t xml:space="preserve">一个月之内</w:t>
      </w:r>
      <w:r>
        <w:rPr>
          <w:rFonts w:hint="eastAsia"/>
          <w:sz w:val="24"/>
        </w:rPr>
        <w:t xml:space="preserve">赔付到位。</w:t>
      </w:r>
      <w:r/>
    </w:p>
    <w:p>
      <w:pPr>
        <w:ind w:firstLine="480"/>
        <w:spacing w:line="360" w:lineRule="auto"/>
        <w:rPr>
          <w:rFonts w:hint="eastAsia" w:ascii="宋体" w:hAnsi="宋体" w:cs="宋体"/>
          <w:sz w:val="24"/>
        </w:rPr>
      </w:pPr>
      <w:r>
        <w:rPr>
          <w:rFonts w:hint="eastAsia" w:ascii="宋体" w:hAnsi="宋体" w:cs="宋体"/>
          <w:sz w:val="24"/>
        </w:rPr>
        <w:t xml:space="preserve">5.保险实际赔付额，按规定标准及报价承诺的内容执行。</w:t>
      </w:r>
      <w:r/>
    </w:p>
    <w:p>
      <w:pPr>
        <w:ind w:firstLine="480"/>
        <w:spacing w:line="360" w:lineRule="auto"/>
        <w:rPr>
          <w:rFonts w:hint="eastAsia" w:ascii="宋体" w:hAnsi="宋体" w:cs="宋体"/>
          <w:sz w:val="24"/>
        </w:rPr>
      </w:pPr>
      <w:r>
        <w:rPr>
          <w:rFonts w:hint="eastAsia" w:ascii="宋体" w:hAnsi="宋体" w:cs="宋体"/>
          <w:sz w:val="24"/>
        </w:rPr>
        <w:t xml:space="preserve">6.如出险后，被保险人在短时间内不能提供齐全的索赔单证，在事故责任损失确定的情况下，可由被保险人提出申请，</w:t>
      </w:r>
      <w:r>
        <w:rPr>
          <w:rFonts w:hint="eastAsia" w:ascii="宋体" w:hAnsi="宋体" w:cs="宋体"/>
          <w:bCs/>
          <w:sz w:val="24"/>
        </w:rPr>
        <w:t xml:space="preserve">中标方</w:t>
      </w:r>
      <w:r>
        <w:rPr>
          <w:rFonts w:hint="eastAsia" w:ascii="宋体" w:hAnsi="宋体" w:cs="宋体"/>
          <w:sz w:val="24"/>
        </w:rPr>
        <w:t xml:space="preserve">需按确定损失金额的50%预付赔款。在理赔过程中如遇其他特殊情况，中标方与被保险人可本着友好协商的原则，妥善处理。如有必要，中标方可预付一定数量的赔款以便及时处理保险事故等。</w:t>
      </w:r>
      <w:r/>
    </w:p>
    <w:p>
      <w:pPr>
        <w:ind w:firstLine="480"/>
        <w:spacing w:line="360" w:lineRule="auto"/>
        <w:rPr>
          <w:rFonts w:hint="eastAsia" w:ascii="宋体" w:hAnsi="宋体" w:cs="宋体"/>
          <w:sz w:val="24"/>
        </w:rPr>
      </w:pPr>
      <w:r>
        <w:rPr>
          <w:rFonts w:hint="eastAsia" w:ascii="宋体" w:hAnsi="宋体" w:cs="宋体"/>
          <w:sz w:val="24"/>
        </w:rPr>
        <w:t xml:space="preserve">7.出险后，由被保险人直接向中标方办理索赔。</w:t>
      </w:r>
      <w:r/>
    </w:p>
    <w:p>
      <w:pPr>
        <w:ind w:firstLine="480"/>
        <w:spacing w:line="360" w:lineRule="auto"/>
        <w:rPr>
          <w:rFonts w:hint="eastAsia" w:ascii="宋体" w:hAnsi="宋体" w:cs="宋体"/>
          <w:sz w:val="24"/>
        </w:rPr>
      </w:pPr>
      <w:r>
        <w:rPr>
          <w:rFonts w:hint="eastAsia" w:ascii="宋体" w:hAnsi="宋体" w:cs="宋体"/>
          <w:sz w:val="24"/>
        </w:rPr>
        <w:t xml:space="preserve">8.在</w:t>
      </w:r>
      <w:r>
        <w:rPr>
          <w:rFonts w:hint="eastAsia" w:ascii="宋体" w:hAnsi="宋体" w:cs="宋体"/>
          <w:sz w:val="24"/>
        </w:rPr>
        <w:t xml:space="preserve">上述第1</w:t>
      </w:r>
      <w:r>
        <w:rPr>
          <w:rFonts w:hint="eastAsia" w:ascii="宋体" w:hAnsi="宋体" w:cs="宋体"/>
          <w:sz w:val="24"/>
        </w:rPr>
        <w:t xml:space="preserve">至第6项保证范围内，中标方应对由于服务质量的缺陷以及其他由于中标方的原因而发生的任何不足或后果负责，费用由中标方负担。根据法定检验机构的检验结果或者在质量保证范围或时间内，如果证明保险服务是有缺陷的，包括潜在的缺陷或使用不符合要求的材料等，招标方全权委托被保险人以书面形式向中标方提出</w:t>
      </w:r>
      <w:r>
        <w:rPr>
          <w:rFonts w:hint="eastAsia" w:ascii="宋体" w:hAnsi="宋体" w:cs="宋体"/>
          <w:sz w:val="24"/>
        </w:rPr>
        <w:t xml:space="preserve">本保证</w:t>
      </w:r>
      <w:r>
        <w:rPr>
          <w:rFonts w:hint="eastAsia" w:ascii="宋体" w:hAnsi="宋体" w:cs="宋体"/>
          <w:sz w:val="24"/>
        </w:rPr>
        <w:t xml:space="preserve">下的索赔。</w:t>
      </w:r>
      <w:r/>
    </w:p>
    <w:p>
      <w:pPr>
        <w:ind w:firstLine="480"/>
        <w:spacing w:line="360" w:lineRule="auto"/>
        <w:rPr>
          <w:rFonts w:hint="eastAsia" w:ascii="宋体" w:hAnsi="宋体" w:cs="宋体"/>
          <w:sz w:val="24"/>
        </w:rPr>
      </w:pPr>
      <w:r>
        <w:rPr>
          <w:rFonts w:hint="eastAsia" w:ascii="宋体" w:hAnsi="宋体" w:cs="宋体"/>
          <w:sz w:val="24"/>
        </w:rPr>
        <w:t xml:space="preserve">9.如果中标方在收到索赔通知后，在服务承诺约定的时间内没有采取措施，</w:t>
      </w:r>
      <w:r>
        <w:rPr>
          <w:rFonts w:hint="eastAsia" w:ascii="宋体" w:hAnsi="宋体" w:cs="宋体"/>
          <w:sz w:val="24"/>
        </w:rPr>
        <w:t xml:space="preserve">被保险人可以采取必要的补救措施，但风险和费用将由中标方承担。</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六、履约</w:t>
      </w:r>
      <w:r/>
    </w:p>
    <w:p>
      <w:pPr>
        <w:ind w:firstLine="480"/>
        <w:spacing w:line="360" w:lineRule="auto"/>
        <w:rPr>
          <w:rFonts w:hint="eastAsia" w:ascii="宋体" w:hAnsi="宋体" w:cs="宋体"/>
          <w:sz w:val="24"/>
        </w:rPr>
      </w:pPr>
      <w:r>
        <w:rPr>
          <w:rFonts w:hint="eastAsia" w:ascii="宋体" w:hAnsi="宋体" w:cs="宋体"/>
          <w:sz w:val="24"/>
        </w:rPr>
        <w:t xml:space="preserve">1.签署合同后，</w:t>
      </w:r>
      <w:r>
        <w:rPr>
          <w:rFonts w:hint="eastAsia" w:ascii="宋体" w:hAnsi="宋体" w:cs="宋体"/>
          <w:bCs/>
          <w:sz w:val="24"/>
        </w:rPr>
        <w:t xml:space="preserve">中标</w:t>
      </w:r>
      <w:r>
        <w:rPr>
          <w:rFonts w:hint="eastAsia" w:ascii="宋体" w:hAnsi="宋体" w:cs="宋体"/>
          <w:sz w:val="24"/>
        </w:rPr>
        <w:t xml:space="preserve">方应按照合同中规定的时间完成承保和理赔项目。</w:t>
      </w:r>
      <w:r/>
    </w:p>
    <w:p>
      <w:pPr>
        <w:ind w:firstLine="480"/>
        <w:spacing w:line="360" w:lineRule="auto"/>
        <w:rPr>
          <w:rFonts w:hint="eastAsia" w:ascii="宋体" w:hAnsi="宋体" w:cs="宋体"/>
          <w:sz w:val="24"/>
        </w:rPr>
      </w:pPr>
      <w:r>
        <w:rPr>
          <w:rFonts w:hint="eastAsia" w:ascii="宋体" w:hAnsi="宋体" w:cs="宋体"/>
          <w:sz w:val="24"/>
        </w:rPr>
        <w:t xml:space="preserve">2.如果</w:t>
      </w:r>
      <w:r>
        <w:rPr>
          <w:rFonts w:hint="eastAsia" w:ascii="宋体" w:hAnsi="宋体" w:cs="宋体"/>
          <w:bCs/>
          <w:sz w:val="24"/>
        </w:rPr>
        <w:t xml:space="preserve">中标方</w:t>
      </w:r>
      <w:r>
        <w:rPr>
          <w:rFonts w:hint="eastAsia" w:ascii="宋体" w:hAnsi="宋体" w:cs="宋体"/>
          <w:sz w:val="24"/>
        </w:rPr>
        <w:t xml:space="preserve">无正当理由拖延理赔时</w:t>
      </w:r>
      <w:r>
        <w:rPr>
          <w:rFonts w:hint="eastAsia" w:ascii="宋体" w:hAnsi="宋体" w:cs="宋体"/>
          <w:sz w:val="24"/>
        </w:rPr>
        <w:t xml:space="preserve">间或不</w:t>
      </w:r>
      <w:r>
        <w:rPr>
          <w:rFonts w:hint="eastAsia" w:ascii="宋体" w:hAnsi="宋体" w:cs="宋体"/>
          <w:sz w:val="24"/>
        </w:rPr>
        <w:t xml:space="preserve">按期办理交接手续，将受到以下制裁：没收履约保证金，加收误期赔偿或终止合同。</w:t>
      </w:r>
      <w:r/>
    </w:p>
    <w:p>
      <w:pPr>
        <w:ind w:firstLine="480"/>
        <w:spacing w:line="360" w:lineRule="auto"/>
        <w:rPr>
          <w:rFonts w:hint="eastAsia" w:ascii="宋体" w:hAnsi="宋体" w:cs="宋体"/>
          <w:sz w:val="24"/>
        </w:rPr>
      </w:pPr>
      <w:r>
        <w:rPr>
          <w:rFonts w:hint="eastAsia" w:ascii="宋体" w:hAnsi="宋体" w:cs="宋体"/>
          <w:sz w:val="24"/>
        </w:rPr>
        <w:t xml:space="preserve">3.在履行合同过程中，如果</w:t>
      </w:r>
      <w:r>
        <w:rPr>
          <w:rFonts w:hint="eastAsia" w:ascii="宋体" w:hAnsi="宋体" w:cs="宋体"/>
          <w:bCs/>
          <w:sz w:val="24"/>
        </w:rPr>
        <w:t xml:space="preserve">中标方</w:t>
      </w:r>
      <w:r>
        <w:rPr>
          <w:rFonts w:hint="eastAsia" w:ascii="宋体" w:hAnsi="宋体" w:cs="宋体"/>
          <w:sz w:val="24"/>
        </w:rPr>
        <w:t xml:space="preserve">遇到不能按时完成理赔项目，应及时以书面形式将不能按时完成的理由、可能延误的时间通知被保险人及招标方。被保险人及招标方在收到</w:t>
      </w:r>
      <w:r>
        <w:rPr>
          <w:rFonts w:hint="eastAsia" w:ascii="宋体" w:hAnsi="宋体" w:cs="宋体"/>
          <w:bCs/>
          <w:sz w:val="24"/>
        </w:rPr>
        <w:t xml:space="preserve">中标方</w:t>
      </w:r>
      <w:r>
        <w:rPr>
          <w:rFonts w:hint="eastAsia" w:ascii="宋体" w:hAnsi="宋体" w:cs="宋体"/>
          <w:sz w:val="24"/>
        </w:rPr>
        <w:t xml:space="preserve">通知后，应对情况进行分析，决定是否修改酌情延长时间，同时保留对</w:t>
      </w:r>
      <w:r>
        <w:rPr>
          <w:rFonts w:hint="eastAsia" w:ascii="宋体" w:hAnsi="宋体" w:cs="宋体"/>
          <w:bCs/>
          <w:sz w:val="24"/>
        </w:rPr>
        <w:t xml:space="preserve">中标方</w:t>
      </w:r>
      <w:r>
        <w:rPr>
          <w:rFonts w:hint="eastAsia" w:ascii="宋体" w:hAnsi="宋体" w:cs="宋体"/>
          <w:sz w:val="24"/>
        </w:rPr>
        <w:t xml:space="preserve">进行制裁的权力。</w:t>
      </w:r>
      <w:r/>
    </w:p>
    <w:p>
      <w:pPr>
        <w:pStyle w:val="1028"/>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七、其他要求</w:t>
      </w:r>
      <w:r/>
    </w:p>
    <w:p>
      <w:pPr>
        <w:ind w:firstLine="480"/>
        <w:spacing w:line="360" w:lineRule="auto"/>
        <w:rPr>
          <w:rFonts w:hint="eastAsia" w:ascii="宋体" w:hAnsi="宋体" w:cs="宋体"/>
          <w:bCs/>
          <w:sz w:val="24"/>
        </w:rPr>
      </w:pPr>
      <w:r>
        <w:rPr>
          <w:rFonts w:hint="eastAsia" w:ascii="宋体" w:hAnsi="宋体" w:cs="宋体"/>
          <w:bCs/>
          <w:sz w:val="24"/>
        </w:rPr>
        <w:t xml:space="preserve">1.严格执行《中华人民共和国保险法》及国家相关政策，按照保险条款规定做好各项工作。</w:t>
      </w:r>
      <w:r/>
    </w:p>
    <w:p>
      <w:pPr>
        <w:ind w:firstLine="480"/>
        <w:spacing w:line="360" w:lineRule="auto"/>
        <w:rPr>
          <w:rFonts w:hint="eastAsia" w:ascii="宋体" w:hAnsi="宋体" w:cs="宋体"/>
          <w:bCs/>
          <w:sz w:val="24"/>
        </w:rPr>
      </w:pPr>
      <w:r>
        <w:rPr>
          <w:rFonts w:hint="eastAsia" w:ascii="宋体" w:hAnsi="宋体" w:cs="宋体"/>
          <w:bCs/>
          <w:sz w:val="24"/>
        </w:rPr>
        <w:t xml:space="preserve">2.在有效期限内应按投标书承诺提供服务，除不可抗力，中标方均不得拒绝服务响应（超出供方中标的类别以外的不在此列）。</w:t>
      </w:r>
      <w:r/>
    </w:p>
    <w:p>
      <w:pPr>
        <w:ind w:firstLine="480"/>
        <w:spacing w:line="360" w:lineRule="auto"/>
        <w:rPr>
          <w:rFonts w:hint="eastAsia" w:ascii="宋体" w:hAnsi="宋体" w:cs="宋体"/>
          <w:bCs/>
          <w:sz w:val="24"/>
        </w:rPr>
      </w:pPr>
      <w:r>
        <w:rPr>
          <w:rFonts w:hint="eastAsia" w:ascii="宋体" w:hAnsi="宋体" w:cs="宋体"/>
          <w:bCs/>
          <w:sz w:val="24"/>
        </w:rPr>
        <w:t xml:space="preserve">3.应保证被保险人获得优先服务的权利，并严格按照有关部门规定的投保程序、许可范围及必需手续完成保险服务。</w:t>
      </w:r>
      <w:r/>
    </w:p>
    <w:p>
      <w:pPr>
        <w:ind w:firstLine="480"/>
        <w:spacing w:line="360" w:lineRule="auto"/>
        <w:rPr>
          <w:rFonts w:hint="eastAsia" w:ascii="宋体" w:hAnsi="宋体" w:cs="宋体"/>
          <w:bCs/>
          <w:sz w:val="24"/>
        </w:rPr>
      </w:pPr>
      <w:r>
        <w:rPr>
          <w:rFonts w:hint="eastAsia" w:ascii="宋体" w:hAnsi="宋体" w:cs="宋体"/>
          <w:bCs/>
          <w:sz w:val="24"/>
        </w:rPr>
        <w:t xml:space="preserve">4.为西湖街道各村（社区）开具合法的发票，并实行支票结算，按规范核算要求进行财务核算。</w:t>
      </w:r>
      <w:r/>
    </w:p>
    <w:p>
      <w:pPr>
        <w:ind w:firstLine="480"/>
        <w:spacing w:line="360" w:lineRule="auto"/>
        <w:rPr>
          <w:rFonts w:hint="eastAsia" w:ascii="宋体" w:hAnsi="宋体" w:cs="宋体"/>
          <w:bCs/>
          <w:sz w:val="24"/>
        </w:rPr>
      </w:pPr>
      <w:r>
        <w:rPr>
          <w:rFonts w:hint="eastAsia" w:ascii="宋体" w:hAnsi="宋体" w:cs="宋体"/>
          <w:bCs/>
          <w:sz w:val="24"/>
        </w:rPr>
        <w:t xml:space="preserve">5.应以优良的服务态度、便利、快捷的上门服务方式尽快响应被保险人的投保、索赔要求。</w:t>
      </w:r>
      <w:r/>
    </w:p>
    <w:p>
      <w:pPr>
        <w:ind w:firstLine="480"/>
        <w:spacing w:line="360" w:lineRule="auto"/>
        <w:rPr>
          <w:rFonts w:hint="eastAsia" w:ascii="宋体" w:hAnsi="宋体" w:cs="宋体"/>
          <w:bCs/>
          <w:sz w:val="24"/>
        </w:rPr>
      </w:pPr>
      <w:r>
        <w:rPr>
          <w:rFonts w:hint="eastAsia" w:ascii="宋体" w:hAnsi="宋体" w:cs="宋体"/>
          <w:bCs/>
          <w:sz w:val="24"/>
        </w:rPr>
        <w:t xml:space="preserve">6.在理赔过程中如遇特殊情况，尽力与被保险人友好协商，妥善处理，充分维护被保险人的利益。</w:t>
      </w:r>
      <w:r/>
    </w:p>
    <w:p>
      <w:pPr>
        <w:ind w:firstLine="480"/>
        <w:spacing w:line="360" w:lineRule="auto"/>
        <w:rPr>
          <w:rFonts w:hint="eastAsia" w:ascii="宋体" w:hAnsi="宋体" w:cs="宋体"/>
          <w:bCs/>
          <w:sz w:val="24"/>
        </w:rPr>
      </w:pPr>
      <w:r>
        <w:rPr>
          <w:rFonts w:hint="eastAsia" w:ascii="宋体" w:hAnsi="宋体" w:cs="宋体"/>
          <w:bCs/>
          <w:sz w:val="24"/>
        </w:rPr>
        <w:t xml:space="preserve">7.定期为被保险人免费举办关于出险理赔程序、保险知识等方面的知识讲座及其他活动，与被保险人共同开展安全教育活动。</w:t>
      </w:r>
      <w:r/>
    </w:p>
    <w:p>
      <w:pPr>
        <w:ind w:firstLine="480"/>
        <w:spacing w:line="360" w:lineRule="auto"/>
        <w:rPr>
          <w:rFonts w:hint="eastAsia" w:ascii="宋体" w:hAnsi="宋体" w:cs="宋体"/>
          <w:bCs/>
          <w:sz w:val="24"/>
        </w:rPr>
      </w:pPr>
      <w:r>
        <w:rPr>
          <w:rFonts w:hint="eastAsia" w:ascii="宋体" w:hAnsi="宋体" w:cs="宋体"/>
          <w:bCs/>
          <w:sz w:val="24"/>
        </w:rPr>
        <w:t xml:space="preserve">8.中标保险公司应及时处理解决在承保、理赔过程中出现的服务质量及其他问题。</w:t>
      </w:r>
      <w:r/>
    </w:p>
    <w:p>
      <w:pPr>
        <w:ind w:firstLine="480"/>
        <w:spacing w:line="360" w:lineRule="auto"/>
        <w:rPr>
          <w:rFonts w:hint="eastAsia" w:ascii="宋体" w:hAnsi="宋体" w:cs="宋体"/>
          <w:bCs/>
          <w:sz w:val="24"/>
        </w:rPr>
      </w:pPr>
      <w:r>
        <w:rPr>
          <w:rFonts w:hint="eastAsia" w:ascii="宋体" w:hAnsi="宋体" w:cs="宋体"/>
          <w:bCs/>
          <w:sz w:val="24"/>
        </w:rPr>
        <w:t xml:space="preserve">9.协助有关部门做好经办人员的廉政教育工作，防止腐败现象的出现。</w:t>
      </w:r>
      <w:r/>
    </w:p>
    <w:p>
      <w:pPr>
        <w:ind w:firstLine="480"/>
        <w:spacing w:line="360" w:lineRule="auto"/>
        <w:rPr>
          <w:rFonts w:hint="eastAsia" w:ascii="宋体" w:hAnsi="宋体" w:cs="宋体"/>
          <w:bCs/>
          <w:sz w:val="24"/>
        </w:rPr>
      </w:pPr>
      <w:r>
        <w:rPr>
          <w:rFonts w:hint="eastAsia" w:ascii="宋体" w:hAnsi="宋体" w:cs="宋体"/>
          <w:bCs/>
          <w:sz w:val="24"/>
        </w:rPr>
        <w:t xml:space="preserve">10.主动接受和配合有关部门的专项检查和抽查，并接受相关处理。每季度末向招标单位提供当季出险理赔情况报告。</w:t>
      </w:r>
      <w:r/>
    </w:p>
    <w:p>
      <w:pPr>
        <w:ind w:firstLine="480"/>
        <w:spacing w:line="360" w:lineRule="auto"/>
        <w:rPr>
          <w:rFonts w:hint="eastAsia" w:ascii="宋体" w:hAnsi="宋体" w:cs="宋体"/>
          <w:bCs/>
          <w:sz w:val="24"/>
        </w:rPr>
      </w:pPr>
      <w:r>
        <w:rPr>
          <w:rFonts w:hint="eastAsia" w:ascii="宋体" w:hAnsi="宋体" w:cs="宋体"/>
          <w:bCs/>
          <w:sz w:val="24"/>
        </w:rPr>
        <w:t xml:space="preserve">11.应履行其公开招标响应文件中的所有服务承诺。招标单位如邀请中标方</w:t>
      </w:r>
      <w:r>
        <w:rPr>
          <w:rFonts w:hint="eastAsia" w:ascii="宋体" w:hAnsi="宋体" w:cs="宋体"/>
          <w:bCs/>
          <w:sz w:val="24"/>
        </w:rPr>
        <w:t xml:space="preserve">提供公开招标响应文件及合同以外的其他服务，其费用另定。</w:t>
      </w:r>
      <w:r/>
    </w:p>
    <w:p>
      <w:pPr>
        <w:ind w:firstLine="480"/>
        <w:spacing w:line="360" w:lineRule="auto"/>
        <w:rPr>
          <w:rFonts w:hint="eastAsia" w:ascii="宋体" w:hAnsi="宋体" w:cs="宋体"/>
          <w:bCs/>
          <w:sz w:val="24"/>
        </w:rPr>
      </w:pPr>
      <w:r>
        <w:rPr>
          <w:rFonts w:hint="eastAsia" w:ascii="宋体" w:hAnsi="宋体" w:cs="宋体"/>
          <w:bCs/>
          <w:sz w:val="24"/>
        </w:rPr>
        <w:t xml:space="preserve">12.在定点保险期内，由于国家政策重大调整导致的保险费用调整，由招标方和中标方协商确定，报经政府采购监督管理部门批准后方可实施。</w:t>
      </w:r>
      <w:r/>
    </w:p>
    <w:p>
      <w:pPr>
        <w:ind w:firstLine="480"/>
        <w:spacing w:line="360" w:lineRule="auto"/>
        <w:rPr>
          <w:rFonts w:hint="eastAsia" w:ascii="宋体" w:hAnsi="宋体" w:cs="宋体"/>
          <w:bCs/>
          <w:sz w:val="24"/>
        </w:rPr>
      </w:pPr>
      <w:r>
        <w:rPr>
          <w:rFonts w:hint="eastAsia" w:ascii="宋体" w:hAnsi="宋体" w:cs="宋体"/>
          <w:bCs/>
          <w:sz w:val="24"/>
        </w:rPr>
        <w:t xml:space="preserve">13.投标人可提供的其他服务。</w:t>
      </w:r>
      <w:r/>
    </w:p>
    <w:p>
      <w:pPr>
        <w:pStyle w:val="1100"/>
        <w:contextualSpacing/>
        <w:jc w:val="left"/>
        <w:spacing w:line="360" w:lineRule="auto"/>
        <w:rPr>
          <w:rFonts w:ascii="Times New Roman" w:hAnsi="Times New Roman"/>
          <w:szCs w:val="21"/>
        </w:rPr>
      </w:pPr>
      <w:r>
        <w:rPr>
          <w:rFonts w:ascii="Times New Roman" w:hAnsi="Times New Roman"/>
          <w:szCs w:val="21"/>
        </w:rPr>
      </w:r>
      <w:r/>
    </w:p>
    <w:p>
      <w:pPr>
        <w:pStyle w:val="1100"/>
        <w:contextualSpacing/>
        <w:jc w:val="left"/>
        <w:spacing w:line="360" w:lineRule="auto"/>
        <w:rPr>
          <w:rFonts w:ascii="Times New Roman" w:hAnsi="Times New Roman"/>
          <w:szCs w:val="21"/>
        </w:rPr>
      </w:pPr>
      <w:r>
        <w:rPr>
          <w:rFonts w:ascii="Times New Roman" w:hAnsi="Times New Roman"/>
          <w:szCs w:val="21"/>
        </w:rPr>
      </w:r>
      <w:r/>
    </w:p>
    <w:p>
      <w:pPr>
        <w:pStyle w:val="1100"/>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9</w:t>
      </w:r>
      <w:r>
        <w:rPr>
          <w:rFonts w:hint="eastAsia" w:ascii="Times New Roman" w:hAnsi="Times New Roman"/>
          <w:szCs w:val="21"/>
        </w:rPr>
        <w:t xml:space="preserve">月</w:t>
      </w:r>
      <w:r>
        <w:rPr>
          <w:rFonts w:hint="eastAsia" w:ascii="Times New Roman" w:hAnsi="Times New Roman"/>
          <w:szCs w:val="21"/>
        </w:rPr>
        <w:t xml:space="preserve">7</w:t>
      </w:r>
      <w:r>
        <w:rPr>
          <w:rFonts w:hint="eastAsia" w:ascii="Times New Roman" w:hAnsi="Times New Roman"/>
          <w:szCs w:val="21"/>
        </w:rPr>
        <w:t xml:space="preserve">日在常州市政府采购网中予以公示。</w:t>
      </w:r>
      <w:bookmarkEnd w:id="833"/>
      <w:r/>
      <w:bookmarkEnd w:id="834"/>
      <w:r/>
      <w:r/>
    </w:p>
    <w:p>
      <w:pPr>
        <w:rPr>
          <w:rFonts w:hint="eastAsia" w:ascii="宋体" w:hAnsi="宋体"/>
        </w:rPr>
      </w:pPr>
      <w:r>
        <w:rPr>
          <w:rFonts w:hint="eastAsia" w:ascii="宋体" w:hAnsi="宋体"/>
        </w:rPr>
      </w:r>
      <w:r/>
    </w:p>
    <w:p>
      <w:pPr>
        <w:pStyle w:val="1100"/>
        <w:contextualSpacing/>
        <w:ind w:firstLine="0"/>
        <w:jc w:val="left"/>
        <w:spacing w:line="360" w:lineRule="auto"/>
        <w:rPr>
          <w:rFonts w:ascii="Times New Roman" w:hAnsi="Times New Roman"/>
          <w:szCs w:val="21"/>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7" w:name="_Toc163804584"/>
      <w:r/>
      <w:bookmarkStart w:id="838" w:name="_Toc140257877"/>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7"/>
      <w:r/>
      <w:bookmarkEnd w:id="838"/>
      <w:r/>
      <w:r/>
    </w:p>
    <w:p>
      <w:pPr>
        <w:jc w:val="center"/>
        <w:spacing w:line="360" w:lineRule="exact"/>
        <w:rPr>
          <w:rFonts w:hint="eastAsia" w:ascii="宋体" w:hAnsi="宋体"/>
          <w:b/>
          <w:sz w:val="32"/>
          <w:szCs w:val="32"/>
        </w:rPr>
      </w:pPr>
      <w:r/>
      <w:bookmarkStart w:id="839" w:name="_Toc237251277"/>
      <w:r/>
      <w:bookmarkStart w:id="840" w:name="_Toc179632629"/>
      <w:r/>
      <w:bookmarkStart w:id="841" w:name="_Toc144974579"/>
      <w:r/>
      <w:bookmarkStart w:id="842" w:name="_Toc152042389"/>
      <w:r/>
      <w:bookmarkStart w:id="843" w:name="_Toc152045611"/>
      <w:r/>
      <w:r/>
    </w:p>
    <w:p>
      <w:pPr>
        <w:jc w:val="center"/>
        <w:spacing w:line="360" w:lineRule="exact"/>
        <w:rPr>
          <w:rFonts w:hint="eastAsia" w:ascii="宋体" w:hAnsi="宋体"/>
          <w:b/>
          <w:sz w:val="30"/>
          <w:szCs w:val="30"/>
        </w:rPr>
      </w:pPr>
      <w:r/>
      <w:bookmarkStart w:id="844" w:name="OLE_LINK2"/>
      <w:r>
        <w:rPr>
          <w:rFonts w:hint="eastAsia" w:ascii="宋体" w:hAnsi="宋体"/>
          <w:b/>
          <w:sz w:val="30"/>
          <w:szCs w:val="30"/>
        </w:rPr>
        <w:t xml:space="preserve">西湖街道“安康关爱行动”保险服务项目</w:t>
      </w:r>
      <w:r/>
    </w:p>
    <w:p>
      <w:pPr>
        <w:jc w:val="center"/>
        <w:spacing w:line="360" w:lineRule="exact"/>
        <w:rPr>
          <w:rFonts w:hint="eastAsia" w:ascii="宋体" w:hAnsi="宋体"/>
          <w:b/>
          <w:sz w:val="30"/>
          <w:szCs w:val="30"/>
        </w:rPr>
      </w:pPr>
      <w:r>
        <w:rPr>
          <w:rFonts w:hint="eastAsia" w:ascii="宋体" w:hAnsi="宋体"/>
          <w:b/>
          <w:sz w:val="30"/>
          <w:szCs w:val="30"/>
        </w:rPr>
        <w:t xml:space="preserve">采购合同</w:t>
      </w:r>
      <w:r/>
    </w:p>
    <w:p>
      <w:pPr>
        <w:jc w:val="left"/>
        <w:spacing w:line="360" w:lineRule="auto"/>
        <w:rPr>
          <w:rFonts w:hint="eastAsia" w:ascii="宋体" w:hAnsi="宋体" w:cs="宋体"/>
          <w:bCs/>
          <w:sz w:val="24"/>
        </w:rPr>
      </w:pPr>
      <w:r>
        <w:rPr>
          <w:rFonts w:hint="eastAsia" w:ascii="宋体" w:hAnsi="宋体" w:cs="宋体"/>
          <w:bCs/>
          <w:sz w:val="24"/>
        </w:rPr>
        <w:t xml:space="preserve">采购人（甲方）：</w:t>
      </w:r>
      <w:r>
        <w:rPr>
          <w:rFonts w:hint="eastAsia" w:ascii="宋体" w:hAnsi="宋体" w:cs="宋体"/>
          <w:bCs/>
          <w:sz w:val="24"/>
          <w:u w:val="single"/>
        </w:rPr>
        <w:t xml:space="preserve">常州市武进区西湖街道办事处</w:t>
      </w:r>
      <w:r/>
    </w:p>
    <w:p>
      <w:pPr>
        <w:jc w:val="left"/>
        <w:spacing w:line="360" w:lineRule="auto"/>
        <w:rPr>
          <w:rFonts w:hint="eastAsia" w:ascii="宋体" w:hAnsi="宋体" w:cs="宋体"/>
          <w:bCs/>
          <w:sz w:val="24"/>
        </w:rPr>
      </w:pPr>
      <w:r>
        <w:rPr>
          <w:rFonts w:hint="eastAsia" w:ascii="宋体" w:hAnsi="宋体" w:cs="宋体"/>
          <w:bCs/>
          <w:sz w:val="24"/>
        </w:rPr>
        <w:t xml:space="preserve">中标人（乙方）：</w:t>
      </w:r>
      <w:r>
        <w:rPr>
          <w:rFonts w:hint="eastAsia" w:ascii="宋体" w:hAnsi="宋体" w:cs="宋体"/>
          <w:bCs/>
          <w:sz w:val="24"/>
          <w:u w:val="single"/>
        </w:rPr>
        <w:t xml:space="preserve">                          </w:t>
      </w:r>
      <w:r/>
    </w:p>
    <w:p>
      <w:pPr>
        <w:ind w:firstLine="480"/>
        <w:spacing w:line="360" w:lineRule="auto"/>
        <w:rPr>
          <w:rFonts w:cs="宋体"/>
          <w:sz w:val="24"/>
        </w:rPr>
      </w:pPr>
      <w:r>
        <w:rPr>
          <w:rFonts w:hint="eastAsia" w:cs="宋体"/>
          <w:sz w:val="24"/>
        </w:rPr>
        <w:t xml:space="preserve">根据《中华人民共和国民法典》、《中华人民共和国政府采购法》等法律法规的规定，甲乙双方按照西湖街道“安康关爱行动”保险服务项目（采购编号为</w:t>
      </w:r>
      <w:r>
        <w:rPr>
          <w:rFonts w:hint="eastAsia" w:cs="宋体"/>
          <w:sz w:val="24"/>
        </w:rPr>
        <w:t xml:space="preserve">JSZC-320412-CZMJ-G2026-001</w:t>
      </w:r>
      <w:r>
        <w:rPr>
          <w:rFonts w:hint="eastAsia" w:cs="宋体"/>
          <w:sz w:val="24"/>
        </w:rPr>
        <w:t xml:space="preserve">2</w:t>
      </w:r>
      <w:r>
        <w:rPr>
          <w:rFonts w:hint="eastAsia" w:cs="宋体"/>
          <w:sz w:val="24"/>
        </w:rPr>
        <w:t xml:space="preserve">）招标文件的要求和招标结果，经甲乙双方协商一致，就本项目及相关问题签订本合同。</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一、项目概括</w:t>
      </w:r>
      <w:r/>
    </w:p>
    <w:p>
      <w:pPr>
        <w:ind w:firstLine="480"/>
        <w:spacing w:line="360" w:lineRule="auto"/>
        <w:rPr>
          <w:rFonts w:cs="宋体"/>
          <w:sz w:val="24"/>
        </w:rPr>
      </w:pPr>
      <w:r>
        <w:rPr>
          <w:rFonts w:hint="eastAsia" w:cs="宋体"/>
          <w:sz w:val="24"/>
        </w:rPr>
        <w:t xml:space="preserve">根据常州市武进区老龄工作委员会办公室《关于进一步规范“安康关爱行动”的工作提示》，为进一步规范老年人（小额）意外伤害保险投报工作流程。本项目拟为西湖街道各村（社区）提供</w:t>
      </w:r>
      <w:r>
        <w:rPr>
          <w:rFonts w:hint="eastAsia" w:cs="宋体"/>
          <w:sz w:val="24"/>
        </w:rPr>
        <w:t xml:space="preserve">60</w:t>
      </w:r>
      <w:r>
        <w:rPr>
          <w:rFonts w:hint="eastAsia" w:cs="宋体"/>
          <w:sz w:val="24"/>
        </w:rPr>
        <w:t xml:space="preserve">周岁及以上老年人（共</w:t>
      </w:r>
      <w:r>
        <w:rPr>
          <w:rFonts w:cs="宋体"/>
          <w:sz w:val="24"/>
        </w:rPr>
        <w:t xml:space="preserve">约</w:t>
      </w:r>
      <w:r>
        <w:rPr>
          <w:rFonts w:hint="eastAsia" w:cs="宋体"/>
          <w:sz w:val="24"/>
        </w:rPr>
        <w:t xml:space="preserve">9900</w:t>
      </w:r>
      <w:r>
        <w:rPr>
          <w:rFonts w:cs="宋体"/>
          <w:sz w:val="24"/>
        </w:rPr>
        <w:t xml:space="preserve">人次</w:t>
      </w:r>
      <w:r>
        <w:rPr>
          <w:rFonts w:hint="eastAsia" w:cs="宋体"/>
          <w:sz w:val="24"/>
        </w:rPr>
        <w:t xml:space="preserve">）</w:t>
      </w:r>
      <w:r>
        <w:rPr>
          <w:rFonts w:cs="宋体"/>
          <w:sz w:val="24"/>
        </w:rPr>
        <w:t xml:space="preserve">老年人意外险</w:t>
      </w:r>
      <w:r>
        <w:rPr>
          <w:rFonts w:hint="eastAsia" w:cs="宋体"/>
          <w:sz w:val="24"/>
        </w:rPr>
        <w:t xml:space="preserve">和</w:t>
      </w:r>
      <w:r>
        <w:rPr>
          <w:rFonts w:hint="eastAsia" w:cs="宋体"/>
          <w:sz w:val="24"/>
        </w:rPr>
        <w:t xml:space="preserve">60</w:t>
      </w:r>
      <w:r>
        <w:rPr>
          <w:rFonts w:hint="eastAsia" w:cs="宋体"/>
          <w:sz w:val="24"/>
        </w:rPr>
        <w:t xml:space="preserve">周岁以下（约</w:t>
      </w:r>
      <w:r>
        <w:rPr>
          <w:rFonts w:hint="eastAsia" w:cs="宋体"/>
          <w:sz w:val="24"/>
        </w:rPr>
        <w:t xml:space="preserve">13000</w:t>
      </w:r>
      <w:r>
        <w:rPr>
          <w:rFonts w:hint="eastAsia" w:cs="宋体"/>
          <w:sz w:val="24"/>
        </w:rPr>
        <w:t xml:space="preserve">人次）小额意外险。其中，保险</w:t>
      </w:r>
      <w:r>
        <w:rPr>
          <w:rFonts w:cs="宋体"/>
          <w:sz w:val="24"/>
        </w:rPr>
        <w:t xml:space="preserve">人数为预估，具体</w:t>
      </w:r>
      <w:r>
        <w:rPr>
          <w:rFonts w:hint="eastAsia" w:cs="宋体"/>
          <w:sz w:val="24"/>
        </w:rPr>
        <w:t xml:space="preserve">在乙方和西湖街道各村（社区）另行签订的补充协议中确定。</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二、服务内容</w:t>
      </w:r>
      <w:r/>
    </w:p>
    <w:p>
      <w:pPr>
        <w:ind w:firstLine="480"/>
        <w:spacing w:line="360" w:lineRule="auto"/>
        <w:rPr>
          <w:rFonts w:hint="eastAsia" w:ascii="宋体" w:hAnsi="宋体" w:cs="宋体"/>
          <w:sz w:val="24"/>
        </w:rPr>
      </w:pPr>
      <w:r>
        <w:rPr>
          <w:rFonts w:hint="eastAsia" w:ascii="宋体" w:hAnsi="宋体" w:cs="宋体"/>
          <w:sz w:val="24"/>
        </w:rPr>
        <w:t xml:space="preserve">甲方根据工作需要委托乙方对西湖街道内各村（社区）提供“安康关爱行动”保险服务，服务内容为公开招标文件“项目要求和有关说明”中所列的老年人意外保险和小额意外保险。</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三、合同标的</w:t>
      </w:r>
      <w:r/>
    </w:p>
    <w:tbl>
      <w:tblPr>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6"/>
        <w:gridCol w:w="3010"/>
        <w:gridCol w:w="1602"/>
        <w:gridCol w:w="2063"/>
        <w:gridCol w:w="2179"/>
      </w:tblGrid>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数量（人）</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单价（元/人）</w:t>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w:t>
            </w:r>
            <w:r>
              <w:rPr>
                <w:rFonts w:hint="eastAsia" w:ascii="宋体" w:hAnsi="宋体" w:cs="宋体"/>
                <w:bCs/>
                <w:sz w:val="24"/>
              </w:rPr>
              <w:t xml:space="preserve">价</w:t>
            </w:r>
            <w:r>
              <w:rPr>
                <w:rFonts w:hint="eastAsia" w:ascii="宋体" w:hAnsi="宋体" w:cs="宋体"/>
                <w:bCs/>
                <w:sz w:val="24"/>
              </w:rPr>
              <w:t xml:space="preserve">金额（元）</w:t>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老年人意外保险</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9900</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小额意外保险</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13000</w:t>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454" w:hRule="exact"/>
        </w:trPr>
        <w:tc>
          <w:tcPr>
            <w:tcW w:w="8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301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总</w:t>
            </w:r>
            <w:r>
              <w:rPr>
                <w:rFonts w:hint="eastAsia" w:ascii="宋体" w:hAnsi="宋体" w:cs="宋体"/>
                <w:bCs/>
                <w:sz w:val="24"/>
              </w:rPr>
              <w:t xml:space="preserve">计</w:t>
            </w:r>
            <w:r/>
          </w:p>
        </w:tc>
        <w:tc>
          <w:tcPr>
            <w:tcW w:w="160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06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217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firstLine="480"/>
        <w:spacing w:line="360" w:lineRule="auto"/>
        <w:rPr>
          <w:rFonts w:cs="宋体"/>
          <w:sz w:val="24"/>
        </w:rPr>
      </w:pPr>
      <w:r>
        <w:rPr>
          <w:rFonts w:hint="eastAsia" w:cs="宋体"/>
          <w:sz w:val="24"/>
        </w:rPr>
        <w:t xml:space="preserve">本合同总价款包括但不限于风险评估、出具保单、案件赔偿、查勘理赔、保险咨询、保险宣传、人员培训和交通工具发生的所有含税费用、支付给员工的工资和国家强制缴纳的各种社会保障资金等。本合同总价款还包括乙方应当提供的伴随服务</w:t>
      </w:r>
      <w:r>
        <w:rPr>
          <w:rFonts w:hint="eastAsia" w:cs="宋体"/>
          <w:sz w:val="24"/>
        </w:rPr>
        <w:t xml:space="preserve">/</w:t>
      </w:r>
      <w:r>
        <w:rPr>
          <w:rFonts w:hint="eastAsia" w:cs="宋体"/>
          <w:sz w:val="24"/>
        </w:rPr>
        <w:t xml:space="preserve">售后服务费用。本合同执行期间保险单价不变。</w:t>
      </w:r>
      <w:r/>
    </w:p>
    <w:p>
      <w:pPr>
        <w:ind w:firstLine="482"/>
        <w:spacing w:line="360" w:lineRule="auto"/>
        <w:rPr>
          <w:rFonts w:hint="eastAsia" w:ascii="宋体" w:hAnsi="宋体" w:cs="宋体"/>
          <w:bCs/>
          <w:sz w:val="24"/>
        </w:rPr>
      </w:pPr>
      <w:r>
        <w:rPr>
          <w:rFonts w:hint="eastAsia" w:ascii="宋体" w:hAnsi="宋体" w:cs="宋体"/>
          <w:bCs/>
          <w:sz w:val="24"/>
        </w:rPr>
        <w:t xml:space="preserve">其中：</w:t>
      </w:r>
      <w:r/>
    </w:p>
    <w:p>
      <w:pPr>
        <w:jc w:val="center"/>
        <w:spacing w:line="360" w:lineRule="auto"/>
        <w:rPr>
          <w:rFonts w:hint="eastAsia" w:ascii="宋体" w:hAnsi="宋体" w:cs="宋体"/>
          <w:b/>
          <w:sz w:val="24"/>
        </w:rPr>
      </w:pPr>
      <w:r>
        <w:rPr>
          <w:rFonts w:ascii="宋体" w:hAnsi="宋体" w:cs="宋体"/>
          <w:b/>
          <w:sz w:val="24"/>
        </w:rPr>
        <w:t xml:space="preserve">老年人意外险</w:t>
      </w:r>
      <w:r>
        <w:rPr>
          <w:rFonts w:hint="eastAsia" w:ascii="宋体" w:hAnsi="宋体" w:cs="宋体"/>
          <w:b/>
          <w:sz w:val="24"/>
        </w:rPr>
        <w:t xml:space="preserve">保险内容</w:t>
      </w:r>
      <w:r/>
    </w:p>
    <w:tbl>
      <w:tblPr>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961"/>
      </w:tblGrid>
      <w:tr>
        <w:trPr>
          <w:jc w:val="center"/>
        </w:trPr>
        <w:tc>
          <w:tcPr>
            <w:gridSpan w:val="2"/>
            <w:tcW w:w="678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保障内容</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保障额度</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道路交通事故的意外伤害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szCs w:val="21"/>
                <w:lang w:val="zh-CN" w:bidi="zh-CN"/>
              </w:rPr>
              <w:t xml:space="preserve">燃气事故的意外伤害</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w:t>
            </w:r>
            <w:r/>
          </w:p>
        </w:tc>
      </w:tr>
      <w:tr>
        <w:trPr>
          <w:jc w:val="center"/>
          <w:trHeight w:val="90"/>
        </w:trPr>
        <w:tc>
          <w:tcPr>
            <w:gridSpan w:val="2"/>
            <w:tcW w:w="6782" w:type="dxa"/>
            <w:vAlign w:val="center"/>
            <w:textDirection w:val="lrTb"/>
            <w:noWrap w:val="false"/>
          </w:tcPr>
          <w:p>
            <w:pPr>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民用燃气用户第三者责任保险</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100000元</w:t>
            </w:r>
            <w:r/>
          </w:p>
        </w:tc>
      </w:tr>
      <w:tr>
        <w:trPr>
          <w:jc w:val="center"/>
          <w:trHeight w:val="90"/>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bCs/>
              </w:rPr>
              <w:t xml:space="preserve">动物咬伤注射抗狂犬疫苗、破伤风抗毒素、血清费用</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意外伤害救护车费用</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300元</w:t>
            </w:r>
            <w:r/>
          </w:p>
        </w:tc>
      </w:tr>
      <w:tr>
        <w:trPr>
          <w:jc w:val="center"/>
        </w:trPr>
        <w:tc>
          <w:tcPr>
            <w:tcW w:w="1975" w:type="dxa"/>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意外住院津贴</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100元/天</w:t>
            </w:r>
            <w:r/>
          </w:p>
        </w:tc>
      </w:tr>
      <w:tr>
        <w:trPr>
          <w:jc w:val="center"/>
        </w:trPr>
        <w:tc>
          <w:tcPr>
            <w:tcW w:w="1975" w:type="dxa"/>
            <w:vAlign w:val="center"/>
            <w:vMerge w:val="continue"/>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骨折津贴</w:t>
            </w:r>
            <w:r/>
          </w:p>
        </w:tc>
        <w:tc>
          <w:tcPr>
            <w:tcW w:w="296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200-500元</w:t>
            </w:r>
            <w:r/>
          </w:p>
        </w:tc>
      </w:tr>
    </w:tbl>
    <w:p>
      <w:pPr>
        <w:spacing w:line="360" w:lineRule="auto"/>
        <w:rPr>
          <w:rFonts w:cs="宋体"/>
          <w:sz w:val="24"/>
        </w:rPr>
      </w:pPr>
      <w:r>
        <w:rPr>
          <w:rFonts w:hint="eastAsia" w:cs="宋体"/>
          <w:sz w:val="24"/>
        </w:rPr>
        <w:t xml:space="preserve">备注：实际结算时，上表中的“</w:t>
      </w:r>
      <w:r>
        <w:rPr>
          <w:rFonts w:cs="宋体"/>
          <w:sz w:val="24"/>
        </w:rPr>
        <w:t xml:space="preserve">老年人意外险</w:t>
      </w:r>
      <w:r>
        <w:rPr>
          <w:rFonts w:hint="eastAsia" w:cs="宋体"/>
          <w:sz w:val="24"/>
        </w:rPr>
        <w:t xml:space="preserve">保险”</w:t>
      </w:r>
      <w:r>
        <w:rPr>
          <w:rFonts w:hint="eastAsia" w:cs="宋体"/>
          <w:sz w:val="24"/>
        </w:rPr>
        <w:t xml:space="preserve">保费</w:t>
      </w:r>
      <w:r>
        <w:rPr>
          <w:rFonts w:hint="eastAsia" w:cs="宋体"/>
          <w:sz w:val="24"/>
        </w:rPr>
        <w:t xml:space="preserve">的</w:t>
      </w:r>
      <w:r>
        <w:rPr>
          <w:rFonts w:hint="eastAsia" w:cs="宋体"/>
          <w:sz w:val="24"/>
        </w:rPr>
        <w:t xml:space="preserve">20%</w:t>
      </w:r>
      <w:r>
        <w:rPr>
          <w:rFonts w:hint="eastAsia" w:cs="宋体"/>
          <w:sz w:val="24"/>
        </w:rPr>
        <w:t xml:space="preserve">由常州市武进区慈善总会予以补贴</w:t>
      </w:r>
      <w:r>
        <w:rPr>
          <w:rFonts w:hint="eastAsia" w:cs="宋体"/>
          <w:sz w:val="24"/>
        </w:rPr>
        <w:t xml:space="preserve">，且包含在合同价款内</w:t>
      </w:r>
      <w:r>
        <w:rPr>
          <w:rFonts w:hint="eastAsia" w:cs="宋体"/>
          <w:sz w:val="24"/>
        </w:rPr>
        <w:t xml:space="preserve">。</w:t>
      </w:r>
      <w:r/>
    </w:p>
    <w:p>
      <w:pPr>
        <w:jc w:val="center"/>
        <w:spacing w:line="360" w:lineRule="auto"/>
        <w:rPr>
          <w:rFonts w:hint="eastAsia" w:ascii="宋体" w:hAnsi="宋体" w:cs="宋体"/>
          <w:b/>
          <w:sz w:val="24"/>
        </w:rPr>
      </w:pPr>
      <w:r>
        <w:rPr>
          <w:rFonts w:hint="eastAsia" w:ascii="宋体" w:hAnsi="宋体" w:cs="宋体"/>
          <w:b/>
          <w:sz w:val="24"/>
        </w:rPr>
        <w:t xml:space="preserve">小额意外保险内容</w:t>
      </w:r>
      <w:r/>
    </w:p>
    <w:tbl>
      <w:tblPr>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75"/>
        <w:gridCol w:w="4807"/>
        <w:gridCol w:w="2961"/>
      </w:tblGrid>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1000元（新保等待期90天，续保0天。）</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50000元（未成年人保额减半）</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200000元（未成年人保额减半）</w:t>
            </w:r>
            <w:r/>
          </w:p>
        </w:tc>
      </w:tr>
      <w:tr>
        <w:trPr>
          <w:jc w:val="cente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jc w:val="cente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4807" w:type="dxa"/>
            <w:vAlign w:val="center"/>
            <w:textDirection w:val="lrTb"/>
            <w:noWrap w:val="false"/>
          </w:tcPr>
          <w:p>
            <w:pPr>
              <w:jc w:val="left"/>
              <w:rPr>
                <w:rFonts w:hint="eastAsia" w:ascii="宋体" w:hAnsi="宋体" w:cs="宋体"/>
                <w:bCs/>
                <w:szCs w:val="21"/>
              </w:rPr>
            </w:pPr>
            <w:r>
              <w:rPr>
                <w:rFonts w:hint="eastAsia"/>
                <w:bCs/>
              </w:rPr>
              <w:t xml:space="preserve">动物咬伤注射抗狂犬疫苗、破伤风抗毒素、血清</w:t>
            </w:r>
            <w:r>
              <w:rPr>
                <w:rFonts w:hint="eastAsia"/>
                <w:bCs/>
              </w:rPr>
              <w:t xml:space="preserve">费用</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jc w:val="cente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4807"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jc w:val="center"/>
        </w:trPr>
        <w:tc>
          <w:tcPr>
            <w:gridSpan w:val="2"/>
            <w:tcW w:w="6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9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bl>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四、甲方的权利和义务</w:t>
      </w:r>
      <w:r/>
    </w:p>
    <w:p>
      <w:pPr>
        <w:ind w:firstLine="480"/>
        <w:spacing w:line="360" w:lineRule="auto"/>
        <w:rPr>
          <w:rFonts w:hint="eastAsia" w:ascii="宋体" w:hAnsi="宋体" w:cs="宋体"/>
          <w:sz w:val="24"/>
        </w:rPr>
      </w:pPr>
      <w:r>
        <w:rPr>
          <w:rFonts w:hint="eastAsia" w:ascii="宋体" w:hAnsi="宋体" w:cs="宋体"/>
          <w:sz w:val="24"/>
        </w:rPr>
        <w:t xml:space="preserve">1.甲方根据工作需要委托乙方完成招标文件所列服务内容，并由西湖街道各村（社区）及时支付本合同约定的服务费用。</w:t>
      </w:r>
      <w:r/>
    </w:p>
    <w:p>
      <w:pPr>
        <w:ind w:firstLine="480"/>
        <w:spacing w:line="360" w:lineRule="auto"/>
        <w:rPr>
          <w:rFonts w:hint="eastAsia" w:ascii="宋体" w:hAnsi="宋体" w:cs="宋体"/>
          <w:sz w:val="24"/>
        </w:rPr>
      </w:pPr>
      <w:r>
        <w:rPr>
          <w:rFonts w:hint="eastAsia" w:ascii="宋体" w:hAnsi="宋体" w:cs="宋体"/>
          <w:sz w:val="24"/>
        </w:rPr>
        <w:t xml:space="preserve">2.甲方委托西湖街道各村（社区）指定联系人配合乙方的服务工作，为乙方项目实施提供方便（如有必要）。</w:t>
      </w:r>
      <w:r/>
    </w:p>
    <w:p>
      <w:pPr>
        <w:ind w:firstLine="480"/>
        <w:spacing w:line="360" w:lineRule="auto"/>
        <w:rPr>
          <w:rFonts w:cs="宋体"/>
          <w:sz w:val="24"/>
        </w:rPr>
      </w:pPr>
      <w:r>
        <w:rPr>
          <w:rFonts w:hint="eastAsia" w:cs="宋体"/>
          <w:sz w:val="24"/>
        </w:rPr>
        <w:t xml:space="preserve">3.</w:t>
      </w:r>
      <w:r>
        <w:rPr>
          <w:rFonts w:hint="eastAsia" w:cs="宋体"/>
          <w:sz w:val="24"/>
        </w:rPr>
        <w:t xml:space="preserve">甲方</w:t>
      </w:r>
      <w:r>
        <w:rPr>
          <w:rFonts w:hint="eastAsia" w:ascii="宋体" w:hAnsi="宋体" w:cs="宋体"/>
          <w:sz w:val="24"/>
        </w:rPr>
        <w:t xml:space="preserve">委托西湖街道各村（社区）</w:t>
      </w:r>
      <w:r>
        <w:rPr>
          <w:rFonts w:hint="eastAsia" w:cs="宋体"/>
          <w:sz w:val="24"/>
        </w:rPr>
        <w:t xml:space="preserve">对乙方承诺的服务质量执行情况进行监督检查，乙方如有违反，甲方有权取消乙方的服务单位资格。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4.甲方委托西湖街道各村（社区）就乙方服务工作的质量、时效、服务水平等进行监督检查，并根据考核办法对服务工作进行考核评估，考核评估结果将与服务费用挂钩。</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五、乙方的权利和义务</w:t>
      </w:r>
      <w:r/>
    </w:p>
    <w:p>
      <w:pPr>
        <w:ind w:firstLine="480"/>
        <w:spacing w:line="360" w:lineRule="auto"/>
        <w:rPr>
          <w:rFonts w:hint="eastAsia" w:ascii="宋体" w:hAnsi="宋体" w:cs="宋体"/>
          <w:sz w:val="24"/>
        </w:rPr>
      </w:pPr>
      <w:r>
        <w:rPr>
          <w:rFonts w:hint="eastAsia" w:ascii="宋体" w:hAnsi="宋体" w:cs="宋体"/>
          <w:sz w:val="24"/>
        </w:rPr>
        <w:t xml:space="preserve">1.乙方接受甲方及西湖街道各村（社区）委托，在服务期限内按照合同约定完成服务内容，并取得相应服务报酬。</w:t>
      </w:r>
      <w:r/>
    </w:p>
    <w:p>
      <w:pPr>
        <w:ind w:firstLine="480"/>
        <w:spacing w:line="360" w:lineRule="auto"/>
        <w:rPr>
          <w:rFonts w:hint="eastAsia" w:ascii="宋体" w:hAnsi="宋体" w:cs="宋体"/>
          <w:sz w:val="24"/>
        </w:rPr>
      </w:pPr>
      <w:r>
        <w:rPr>
          <w:rFonts w:hint="eastAsia" w:ascii="宋体" w:hAnsi="宋体" w:cs="宋体"/>
          <w:sz w:val="24"/>
        </w:rPr>
        <w:t xml:space="preserve">2.履行投标承诺，保证服务质量，及时出具正式保单。</w:t>
      </w:r>
      <w:r/>
    </w:p>
    <w:p>
      <w:pPr>
        <w:ind w:firstLine="480"/>
        <w:spacing w:line="360" w:lineRule="auto"/>
        <w:rPr>
          <w:rFonts w:hint="eastAsia" w:ascii="宋体" w:hAnsi="宋体" w:cs="宋体"/>
          <w:sz w:val="24"/>
        </w:rPr>
      </w:pPr>
      <w:r>
        <w:rPr>
          <w:rFonts w:hint="eastAsia" w:ascii="宋体" w:hAnsi="宋体" w:cs="宋体"/>
          <w:sz w:val="24"/>
        </w:rPr>
        <w:t xml:space="preserve">3.乙方不得将委托项目转包其他单位，加强对从业人员的执业管理，保证检查服务结果公正、真实，不得损害甲方及西湖街道各村（社区）利益。</w:t>
      </w:r>
      <w:r/>
    </w:p>
    <w:p>
      <w:pPr>
        <w:ind w:firstLine="480"/>
        <w:spacing w:line="360" w:lineRule="auto"/>
        <w:rPr>
          <w:rFonts w:hint="eastAsia" w:ascii="宋体" w:hAnsi="宋体" w:cs="宋体"/>
          <w:sz w:val="24"/>
        </w:rPr>
      </w:pPr>
      <w:r>
        <w:rPr>
          <w:rFonts w:hint="eastAsia" w:ascii="宋体" w:hAnsi="宋体" w:cs="宋体"/>
          <w:sz w:val="24"/>
        </w:rPr>
        <w:t xml:space="preserve">4.服务过程中，乙方对涉及的甲方及西湖街道各村（社区）保密信息和隐私负有永久保密义务。在进行安全检查服务工作时，应严格恪守职业道德，诚实守信，不得泄露相关企业的技术和商业秘密。</w:t>
      </w:r>
      <w:r/>
    </w:p>
    <w:p>
      <w:pPr>
        <w:ind w:firstLine="480"/>
        <w:spacing w:line="360" w:lineRule="auto"/>
        <w:rPr>
          <w:rFonts w:hint="eastAsia" w:ascii="宋体" w:hAnsi="宋体" w:cs="宋体"/>
          <w:sz w:val="24"/>
        </w:rPr>
      </w:pPr>
      <w:r>
        <w:rPr>
          <w:rFonts w:hint="eastAsia" w:ascii="宋体" w:hAnsi="宋体" w:cs="宋体"/>
          <w:sz w:val="24"/>
        </w:rPr>
        <w:t xml:space="preserve">5.乙方项目组成员应常驻常州，定期反馈工作开展情况。</w:t>
      </w:r>
      <w:r/>
    </w:p>
    <w:p>
      <w:pPr>
        <w:ind w:firstLine="480"/>
        <w:spacing w:line="360" w:lineRule="auto"/>
        <w:rPr>
          <w:rFonts w:hint="eastAsia" w:ascii="宋体" w:hAnsi="宋体"/>
          <w:bCs/>
          <w:sz w:val="24"/>
        </w:rPr>
      </w:pPr>
      <w:r>
        <w:rPr>
          <w:rFonts w:hint="eastAsia" w:ascii="宋体" w:hAnsi="宋体"/>
          <w:bCs/>
          <w:sz w:val="24"/>
        </w:rPr>
        <w:t xml:space="preserve">6.乙方配合</w:t>
      </w:r>
      <w:r>
        <w:rPr>
          <w:rFonts w:hint="eastAsia" w:ascii="宋体" w:hAnsi="宋体" w:cs="宋体"/>
          <w:sz w:val="24"/>
        </w:rPr>
        <w:t xml:space="preserve">西湖街道各村（社区）</w:t>
      </w:r>
      <w:r>
        <w:rPr>
          <w:rFonts w:hint="eastAsia" w:ascii="宋体" w:hAnsi="宋体"/>
          <w:bCs/>
          <w:sz w:val="24"/>
        </w:rPr>
        <w:t xml:space="preserve">在各个社区或者小区定期或不定期开展宣传活动，印制保险宣传手册，普及意外保险赔付等事宜。</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六、消费者权益保护条款</w:t>
      </w:r>
      <w:r/>
    </w:p>
    <w:p>
      <w:pPr>
        <w:ind w:firstLine="480"/>
        <w:spacing w:line="360" w:lineRule="auto"/>
        <w:rPr>
          <w:rFonts w:hint="eastAsia" w:ascii="宋体" w:hAnsi="宋体" w:cs="宋体"/>
          <w:sz w:val="24"/>
        </w:rPr>
      </w:pPr>
      <w:r>
        <w:rPr>
          <w:rFonts w:ascii="宋体" w:hAnsi="宋体" w:cs="宋体"/>
          <w:sz w:val="24"/>
        </w:rPr>
        <w:t xml:space="preserve">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w:t>
      </w:r>
      <w:r>
        <w:rPr>
          <w:rFonts w:ascii="宋体" w:hAnsi="宋体" w:cs="宋体"/>
          <w:sz w:val="24"/>
        </w:rPr>
        <w:t xml:space="preserve">管理办法》《金融机构产品适当性管理办法》等。具体如下：</w:t>
      </w:r>
      <w:r/>
    </w:p>
    <w:p>
      <w:pPr>
        <w:ind w:firstLine="480"/>
        <w:spacing w:line="360" w:lineRule="auto"/>
        <w:rPr>
          <w:rFonts w:hint="eastAsia" w:ascii="宋体" w:hAnsi="宋体" w:cs="宋体"/>
          <w:sz w:val="24"/>
        </w:rPr>
      </w:pPr>
      <w:r>
        <w:rPr>
          <w:rFonts w:ascii="宋体" w:hAnsi="宋体" w:cs="宋体"/>
          <w:sz w:val="24"/>
        </w:rPr>
        <w:t xml:space="preserve">1.双方应严格按照相关法律法规要求履行消费者权益保护相关责任和义务。</w:t>
      </w:r>
      <w:r/>
    </w:p>
    <w:p>
      <w:pPr>
        <w:ind w:firstLine="480"/>
        <w:spacing w:line="360" w:lineRule="auto"/>
        <w:rPr>
          <w:rFonts w:hint="eastAsia" w:ascii="宋体" w:hAnsi="宋体" w:cs="宋体"/>
          <w:sz w:val="24"/>
        </w:rPr>
      </w:pPr>
      <w:r>
        <w:rPr>
          <w:rFonts w:ascii="宋体" w:hAnsi="宋体" w:cs="宋体"/>
          <w:sz w:val="24"/>
        </w:rPr>
        <w:t xml:space="preserve">2.甲、乙双方应严格遵守在消费者权益保护方面的责任与义务，建立合作机构准入和退出机制。将合作机构消费者权益保护工作的落实情况及对消费投诉处理工作的配合情况作为合作准入、清退的条件。一方出现违反消费者权益保护要求、出现重大风险事件、存在严重违规行为或不配合开展消费投诉处理工作，另一方有权终止合作，并将其列入公司合作机构管理黑名单。</w:t>
      </w:r>
      <w:r/>
    </w:p>
    <w:p>
      <w:pPr>
        <w:ind w:firstLine="480"/>
        <w:spacing w:line="360" w:lineRule="auto"/>
        <w:rPr>
          <w:rFonts w:hint="eastAsia" w:ascii="宋体" w:hAnsi="宋体" w:cs="宋体"/>
          <w:sz w:val="24"/>
        </w:rPr>
      </w:pPr>
      <w:r>
        <w:rPr>
          <w:rFonts w:ascii="宋体" w:hAnsi="宋体" w:cs="宋体"/>
          <w:sz w:val="24"/>
        </w:rPr>
        <w:t xml:space="preserve">3.甲、乙双方应按照《保险销售行为管理办法》规范保险销售行为，确保从事保险销售的过程中不存在损害消费者利益的行为，包括但不限于一方不得在营业网点或者自营网络平台以另一方名义向消费者推介或者销售产品和服务，不得非法或超范围开展保险营销宣传活动，不得以欺诈或引人误解的方式对保险产品或保险服务进行营销宣传等。</w:t>
      </w:r>
      <w:r/>
    </w:p>
    <w:p>
      <w:pPr>
        <w:ind w:firstLine="480"/>
        <w:spacing w:line="360" w:lineRule="auto"/>
        <w:rPr>
          <w:rFonts w:hint="eastAsia" w:ascii="宋体" w:hAnsi="宋体" w:cs="宋体"/>
          <w:sz w:val="24"/>
        </w:rPr>
      </w:pPr>
      <w:r>
        <w:rPr>
          <w:rFonts w:ascii="宋体" w:hAnsi="宋体" w:cs="宋体"/>
          <w:sz w:val="24"/>
        </w:rPr>
        <w:t xml:space="preserve">4.甲乙双方应按照《金融机构产品适当性管理办法》建立适当性管理机制，严格落实监管机构</w:t>
      </w:r>
      <w:r>
        <w:rPr>
          <w:rFonts w:ascii="宋体" w:hAnsi="宋体" w:cs="宋体"/>
          <w:sz w:val="24"/>
        </w:rPr>
        <w:t xml:space="preserve">对适当</w:t>
      </w:r>
      <w:r>
        <w:rPr>
          <w:rFonts w:ascii="宋体" w:hAnsi="宋体" w:cs="宋体"/>
          <w:sz w:val="24"/>
        </w:rPr>
        <w:t xml:space="preserve">性管理的要求。甲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乙方，评估流程可回溯资料支持乙方调阅。乙方应当提供相关保险产品的适当性管理标准和要求、产品分类分级考虑因素等信息；对于保险产品分类分级的结果发生变更的，乙方应当及时通知甲方。对在保险销售中违反适当性义务的行为，甲乙双方应当依照法律法规及合同约定承担相应法律责任。</w:t>
      </w:r>
      <w:r/>
    </w:p>
    <w:p>
      <w:pPr>
        <w:ind w:firstLine="480"/>
        <w:spacing w:line="360" w:lineRule="auto"/>
        <w:rPr>
          <w:rFonts w:hint="eastAsia" w:ascii="宋体" w:hAnsi="宋体" w:cs="宋体"/>
          <w:sz w:val="24"/>
        </w:rPr>
      </w:pPr>
      <w:r>
        <w:rPr>
          <w:rFonts w:ascii="宋体" w:hAnsi="宋体" w:cs="宋体"/>
          <w:sz w:val="24"/>
        </w:rPr>
        <w:t xml:space="preserve">5.乙方不得利用业务便利，强制指定甲方为消费者提供收费服务。</w:t>
      </w:r>
      <w:r/>
    </w:p>
    <w:p>
      <w:pPr>
        <w:ind w:firstLine="480"/>
        <w:spacing w:line="360" w:lineRule="auto"/>
        <w:rPr>
          <w:rFonts w:hint="eastAsia" w:ascii="宋体" w:hAnsi="宋体" w:cs="宋体"/>
          <w:sz w:val="24"/>
        </w:rPr>
      </w:pPr>
      <w:r>
        <w:rPr>
          <w:rFonts w:ascii="宋体" w:hAnsi="宋体" w:cs="宋体"/>
          <w:sz w:val="24"/>
        </w:rPr>
        <w:t xml:space="preserve">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w:t>
      </w:r>
      <w:r>
        <w:rPr>
          <w:rFonts w:ascii="宋体" w:hAnsi="宋体" w:cs="宋体"/>
          <w:sz w:val="24"/>
        </w:rPr>
        <w:t xml:space="preserve">规</w:t>
      </w:r>
      <w:r>
        <w:rPr>
          <w:rFonts w:ascii="宋体" w:hAnsi="宋体" w:cs="宋体"/>
          <w:sz w:val="24"/>
        </w:rPr>
        <w:t xml:space="preserve">开展消费者投诉处理工作，避免事态扩大产生负面影响。根据消费者投诉反映出的问题积极进行溯源改进，查找服务薄弱环节和风险隐患，从源头上减少消费投诉的发生。对于客户投诉较多、设计上存在缺陷的保险产品或服务，双方应及时互通消费投诉信息，并妥善处理相关事宜，包括停止销售或提供服务等。</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七、客户信息保护条款</w:t>
      </w:r>
      <w:r/>
    </w:p>
    <w:p>
      <w:pPr>
        <w:ind w:firstLine="480"/>
        <w:spacing w:line="360" w:lineRule="auto"/>
        <w:rPr>
          <w:rFonts w:hint="eastAsia" w:ascii="宋体" w:hAnsi="宋体" w:cs="宋体"/>
          <w:sz w:val="24"/>
        </w:rPr>
      </w:pPr>
      <w:r>
        <w:rPr>
          <w:rFonts w:hint="eastAsia" w:ascii="宋体" w:hAnsi="宋体" w:cs="宋体"/>
          <w:sz w:val="24"/>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r>
        <w:rPr>
          <w:rFonts w:hint="eastAsia" w:ascii="宋体" w:hAnsi="宋体" w:cs="宋体"/>
          <w:sz w:val="24"/>
        </w:rPr>
        <w:br/>
        <w:t xml:space="preserve">    1.收集、使用及处理客户个人信息必须是依据法定义务或履行本协议所必要的行为，并在履行本协议必要范围内收集客户信息。未经客户授权同意，不得将客户个人信息公开披露，不得转移、出售给第三方。</w:t>
      </w:r>
      <w:r>
        <w:rPr>
          <w:rFonts w:hint="eastAsia" w:ascii="宋体" w:hAnsi="宋体" w:cs="宋体"/>
          <w:sz w:val="24"/>
        </w:rPr>
        <w:br/>
        <w:t xml:space="preserve">    </w:t>
      </w:r>
      <w:r>
        <w:rPr>
          <w:rFonts w:hint="eastAsia" w:ascii="宋体" w:hAnsi="宋体" w:cs="宋体"/>
          <w:sz w:val="24"/>
        </w:rPr>
        <w:t xml:space="preserve">一</w:t>
      </w:r>
      <w:r>
        <w:rPr>
          <w:rFonts w:hint="eastAsia" w:ascii="宋体" w:hAnsi="宋体" w:cs="宋体"/>
          <w:sz w:val="24"/>
        </w:rPr>
        <w:t xml:space="preserve">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宋体" w:hAnsi="宋体" w:cs="宋体"/>
          <w:sz w:val="24"/>
        </w:rPr>
        <w:br/>
        <w:t xml:space="preserve">    2.客户个人信息保存期限应符合实现本协议业务处理目的所必要的最短时间。完成收集和使用的目的后应及时删除或匿名处理合作过程中获取的客户个人信息。本合同不生效、无效、终止或被撤销的，乙方有权要求甲方返还或删除客户信息。</w:t>
      </w:r>
      <w:r>
        <w:rPr>
          <w:rFonts w:hint="eastAsia" w:ascii="宋体" w:hAnsi="宋体" w:cs="宋体"/>
          <w:sz w:val="24"/>
        </w:rPr>
        <w:br/>
        <w:t xml:space="preserve">    3.涉及客户敏感信息处理的，应具有特定的目的和充分的必要性，取得客户的单独同意，符合个人信息保护相关法律法规规定和管理要求。</w:t>
      </w:r>
      <w:r/>
    </w:p>
    <w:p>
      <w:pPr>
        <w:ind w:firstLine="480"/>
        <w:spacing w:line="360" w:lineRule="auto"/>
        <w:rPr>
          <w:rFonts w:hint="eastAsia" w:ascii="宋体" w:hAnsi="宋体" w:cs="宋体"/>
          <w:sz w:val="24"/>
        </w:rPr>
      </w:pPr>
      <w:r>
        <w:rPr>
          <w:rFonts w:hint="eastAsia" w:ascii="宋体" w:hAnsi="宋体" w:cs="宋体"/>
          <w:sz w:val="24"/>
        </w:rPr>
        <w:t xml:space="preserve">4.甲方应对客户个人信息严格保密，采取技术措施和其他必要措施，确保客户信息安全。若甲方发生或者可能发生客户个人信息泄露、篡改、丢失的，应当立即采取补救措施，并同步通知乙方，减轻对客户及乙方的危害。</w:t>
      </w:r>
      <w:r>
        <w:rPr>
          <w:rFonts w:hint="eastAsia" w:ascii="宋体" w:hAnsi="宋体" w:cs="宋体"/>
          <w:sz w:val="24"/>
        </w:rPr>
        <w:br/>
        <w:t xml:space="preserve">    5.甲方应保证客户信息来源合法，提供给乙方的客户信息真实、准确。客户对其信息提出的查阅、复制、更正、补充、删除等要求，在合法合理的前提下，甲乙双方应及时配合客户进行处理。在先收到客户要求的一方，应及时通知另一方。</w:t>
      </w:r>
      <w:r>
        <w:rPr>
          <w:rFonts w:hint="eastAsia" w:ascii="宋体" w:hAnsi="宋体" w:cs="宋体"/>
          <w:sz w:val="24"/>
        </w:rPr>
        <w:br/>
        <w:t xml:space="preserve">    6.乙方有权对甲方处理涉及乙方业务及乙方客户个人信息的有关事宜进行监督，乙方有权按照法律法规相关规定，要求甲方配合完成涉及客户信息处理</w:t>
      </w:r>
      <w:r>
        <w:rPr>
          <w:rFonts w:hint="eastAsia" w:ascii="宋体" w:hAnsi="宋体" w:cs="宋体"/>
          <w:sz w:val="24"/>
        </w:rPr>
        <w:t xml:space="preserve">的相关事宜。甲方未按照个人信息保护相关法律法规及合同约定处理客户信息，给乙方及乙方客户造成影响和损失的，甲方应承</w:t>
      </w:r>
      <w:r>
        <w:rPr>
          <w:rFonts w:hint="eastAsia" w:ascii="宋体" w:hAnsi="宋体" w:cs="宋体"/>
          <w:sz w:val="24"/>
        </w:rPr>
        <w:t xml:space="preserve">担一切</w:t>
      </w:r>
      <w:r>
        <w:rPr>
          <w:rFonts w:hint="eastAsia" w:ascii="宋体" w:hAnsi="宋体" w:cs="宋体"/>
          <w:sz w:val="24"/>
        </w:rPr>
        <w:t xml:space="preserve">赔偿责任，同时乙方有权解除本合同。</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八、服务费用及付款方式</w:t>
      </w:r>
      <w:r/>
    </w:p>
    <w:p>
      <w:pPr>
        <w:ind w:firstLine="482"/>
        <w:jc w:val="left"/>
        <w:spacing w:line="360" w:lineRule="auto"/>
        <w:rPr>
          <w:rFonts w:hint="eastAsia" w:ascii="宋体" w:hAnsi="宋体" w:cs="宋体"/>
          <w:sz w:val="24"/>
        </w:rPr>
      </w:pPr>
      <w:r>
        <w:rPr>
          <w:rFonts w:hint="eastAsia" w:ascii="宋体" w:hAnsi="宋体" w:cs="宋体"/>
          <w:b/>
          <w:bCs/>
          <w:sz w:val="24"/>
        </w:rPr>
        <w:t xml:space="preserve">（一）</w:t>
      </w:r>
      <w:r>
        <w:rPr>
          <w:rFonts w:hint="eastAsia" w:ascii="宋体" w:hAnsi="宋体" w:cs="宋体"/>
          <w:b/>
          <w:sz w:val="24"/>
        </w:rPr>
        <w:t xml:space="preserve">服务费用：</w:t>
      </w:r>
      <w:r>
        <w:rPr>
          <w:rFonts w:hint="eastAsia" w:ascii="宋体" w:hAnsi="宋体" w:cs="宋体"/>
          <w:sz w:val="24"/>
        </w:rPr>
        <w:t xml:space="preserve">服务费用即合同价款为人民币元。乙方收取的服务费应出具正式票据。</w:t>
      </w:r>
      <w:r/>
    </w:p>
    <w:p>
      <w:pPr>
        <w:ind w:firstLine="482"/>
        <w:spacing w:line="360" w:lineRule="auto"/>
        <w:rPr>
          <w:rFonts w:hint="eastAsia" w:ascii="宋体" w:hAnsi="宋体" w:cs="宋体"/>
          <w:sz w:val="24"/>
        </w:rPr>
      </w:pPr>
      <w:r>
        <w:rPr>
          <w:rFonts w:hint="eastAsia" w:cs="宋体"/>
          <w:b/>
          <w:bCs/>
          <w:sz w:val="24"/>
        </w:rPr>
        <w:t xml:space="preserve">（二）付款方式：</w:t>
      </w:r>
      <w:r>
        <w:rPr>
          <w:rFonts w:hint="eastAsia" w:ascii="宋体" w:hAnsi="宋体" w:cs="宋体"/>
          <w:sz w:val="24"/>
        </w:rPr>
        <w:t xml:space="preserve">自乙方与西湖街道各村（社区）补充协议</w:t>
      </w:r>
      <w:r>
        <w:rPr>
          <w:rFonts w:hint="eastAsia" w:ascii="宋体" w:hAnsi="宋体" w:cs="宋体"/>
          <w:sz w:val="24"/>
        </w:rPr>
        <w:t xml:space="preserve">签订后一次性付清当年保险费用。</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九、服务期限</w:t>
      </w:r>
      <w:r/>
    </w:p>
    <w:p>
      <w:pPr>
        <w:ind w:firstLine="480"/>
        <w:spacing w:line="360" w:lineRule="auto"/>
        <w:tabs>
          <w:tab w:val="left" w:pos="450" w:leader="none"/>
          <w:tab w:val="left" w:pos="720" w:leader="none"/>
          <w:tab w:val="left" w:pos="1260" w:leader="none"/>
        </w:tabs>
        <w:rPr>
          <w:rFonts w:hint="eastAsia" w:ascii="宋体" w:hAnsi="宋体" w:cs="宋体"/>
          <w:bCs/>
          <w:sz w:val="24"/>
        </w:rPr>
      </w:pPr>
      <w:r>
        <w:rPr>
          <w:rFonts w:hint="eastAsia" w:ascii="宋体" w:hAnsi="宋体" w:cs="宋体"/>
          <w:sz w:val="24"/>
        </w:rPr>
        <w:t xml:space="preserve">本协议服务期限为一年。</w:t>
      </w:r>
      <w:r>
        <w:rPr>
          <w:rFonts w:hint="eastAsia"/>
          <w:sz w:val="24"/>
        </w:rPr>
        <w:t xml:space="preserve">具体以乙方出具的保险凭证为准。</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十、履约担保</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sz w:val="24"/>
        </w:rPr>
        <w:t xml:space="preserve">本项目无需缴纳履约保证金。</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十一、违约责任</w:t>
      </w:r>
      <w:r/>
    </w:p>
    <w:p>
      <w:pPr>
        <w:ind w:firstLine="480"/>
        <w:spacing w:line="360" w:lineRule="auto"/>
        <w:rPr>
          <w:rFonts w:hint="eastAsia" w:ascii="宋体" w:hAnsi="宋体" w:cs="宋体"/>
          <w:sz w:val="24"/>
        </w:rPr>
      </w:pPr>
      <w:r>
        <w:rPr>
          <w:rFonts w:hint="eastAsia" w:ascii="宋体" w:hAnsi="宋体" w:cs="宋体"/>
          <w:sz w:val="24"/>
        </w:rPr>
        <w:t xml:space="preserve">1.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r/>
    </w:p>
    <w:p>
      <w:pPr>
        <w:ind w:firstLine="480"/>
        <w:spacing w:line="360" w:lineRule="auto"/>
        <w:rPr>
          <w:rFonts w:hint="eastAsia" w:ascii="宋体" w:hAnsi="宋体" w:cs="宋体"/>
          <w:sz w:val="24"/>
        </w:rPr>
      </w:pPr>
      <w:r>
        <w:rPr>
          <w:rFonts w:hint="eastAsia" w:ascii="宋体" w:hAnsi="宋体" w:cs="宋体"/>
          <w:sz w:val="24"/>
        </w:rPr>
        <w:t xml:space="preserve">2.甲方委托西湖街道各村（社区）对乙方承诺的服务质量执行情况进行监督检查，累计一次违反规定的，</w:t>
      </w:r>
      <w:r>
        <w:rPr>
          <w:rFonts w:hint="eastAsia"/>
          <w:sz w:val="24"/>
        </w:rPr>
        <w:t xml:space="preserve">西湖街道各村（社区）</w:t>
      </w:r>
      <w:r>
        <w:rPr>
          <w:rFonts w:hint="eastAsia" w:ascii="宋体" w:hAnsi="宋体" w:cs="宋体"/>
          <w:sz w:val="24"/>
        </w:rPr>
        <w:t xml:space="preserve">向乙方发出书面警告并责令限期整改。累计二次违反规定的，</w:t>
      </w:r>
      <w:r>
        <w:rPr>
          <w:rFonts w:hint="eastAsia"/>
          <w:sz w:val="24"/>
        </w:rPr>
        <w:t xml:space="preserve">西湖街道各村（社区）</w:t>
      </w:r>
      <w:r>
        <w:rPr>
          <w:rFonts w:hint="eastAsia" w:ascii="宋体" w:hAnsi="宋体" w:cs="宋体"/>
          <w:sz w:val="24"/>
        </w:rPr>
        <w:t xml:space="preserve">有权解除合同并取消乙方的服务单位资格。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3.乙方如有下列违约行为之一的，</w:t>
      </w:r>
      <w:r>
        <w:rPr>
          <w:rFonts w:hint="eastAsia"/>
          <w:sz w:val="24"/>
        </w:rPr>
        <w:t xml:space="preserve">西湖街道各村（社区）</w:t>
      </w:r>
      <w:r>
        <w:rPr>
          <w:rFonts w:hint="eastAsia" w:ascii="宋体" w:hAnsi="宋体" w:cs="宋体"/>
          <w:sz w:val="24"/>
        </w:rPr>
        <w:t xml:space="preserve">有权立即解除补充协议中的合同关系，取消乙方的服务单位资格：</w:t>
      </w:r>
      <w:r/>
    </w:p>
    <w:p>
      <w:pPr>
        <w:ind w:firstLine="480"/>
        <w:spacing w:line="360" w:lineRule="auto"/>
        <w:rPr>
          <w:rFonts w:hint="eastAsia" w:ascii="宋体" w:hAnsi="宋体" w:cs="宋体"/>
          <w:sz w:val="24"/>
        </w:rPr>
      </w:pPr>
      <w:r>
        <w:rPr>
          <w:rFonts w:hint="eastAsia" w:ascii="宋体" w:hAnsi="宋体" w:cs="宋体"/>
          <w:sz w:val="24"/>
        </w:rPr>
        <w:t xml:space="preserve">（1）乙方办公场所不符合招标相关要求或未实际开展办公活动；</w:t>
      </w:r>
      <w:r/>
    </w:p>
    <w:p>
      <w:pPr>
        <w:ind w:firstLine="480"/>
        <w:spacing w:line="360" w:lineRule="auto"/>
        <w:rPr>
          <w:rFonts w:hint="eastAsia" w:ascii="宋体" w:hAnsi="宋体" w:cs="宋体"/>
          <w:sz w:val="24"/>
        </w:rPr>
      </w:pPr>
      <w:r>
        <w:rPr>
          <w:rFonts w:hint="eastAsia" w:ascii="宋体" w:hAnsi="宋体" w:cs="宋体"/>
          <w:sz w:val="24"/>
        </w:rPr>
        <w:t xml:space="preserve">（2）项目组成员同时受聘于两家技术服务机构或以其他单位名义编制和出具保险技术文件；</w:t>
      </w:r>
      <w:r/>
    </w:p>
    <w:p>
      <w:pPr>
        <w:ind w:firstLine="480"/>
        <w:spacing w:line="360" w:lineRule="auto"/>
        <w:rPr>
          <w:rFonts w:hint="eastAsia" w:ascii="宋体" w:hAnsi="宋体" w:cs="宋体"/>
          <w:sz w:val="24"/>
        </w:rPr>
      </w:pPr>
      <w:r>
        <w:rPr>
          <w:rFonts w:hint="eastAsia" w:ascii="宋体" w:hAnsi="宋体" w:cs="宋体"/>
          <w:sz w:val="24"/>
        </w:rPr>
        <w:t xml:space="preserve">（3）合同期内项目组成员变动未提前书面告知</w:t>
      </w:r>
      <w:r>
        <w:rPr>
          <w:rFonts w:hint="eastAsia"/>
          <w:sz w:val="24"/>
        </w:rPr>
        <w:t xml:space="preserve">西湖街道各村（社区）</w:t>
      </w:r>
      <w:r>
        <w:rPr>
          <w:rFonts w:hint="eastAsia" w:ascii="宋体" w:hAnsi="宋体" w:cs="宋体"/>
          <w:sz w:val="24"/>
        </w:rPr>
        <w:t xml:space="preserve">并取得</w:t>
      </w:r>
      <w:r>
        <w:rPr>
          <w:rFonts w:hint="eastAsia"/>
          <w:sz w:val="24"/>
        </w:rPr>
        <w:t xml:space="preserve">西湖街道各村（社区）</w:t>
      </w:r>
      <w:r>
        <w:rPr>
          <w:rFonts w:hint="eastAsia" w:ascii="宋体" w:hAnsi="宋体" w:cs="宋体"/>
          <w:sz w:val="24"/>
        </w:rPr>
        <w:t xml:space="preserve">同意；</w:t>
      </w:r>
      <w:r/>
    </w:p>
    <w:p>
      <w:pPr>
        <w:ind w:firstLine="480"/>
        <w:spacing w:line="360" w:lineRule="auto"/>
        <w:rPr>
          <w:rFonts w:hint="eastAsia" w:ascii="宋体" w:hAnsi="宋体" w:cs="宋体"/>
          <w:b/>
          <w:sz w:val="24"/>
        </w:rPr>
      </w:pPr>
      <w:r>
        <w:rPr>
          <w:rFonts w:hint="eastAsia" w:ascii="宋体" w:hAnsi="宋体" w:cs="宋体"/>
          <w:sz w:val="24"/>
        </w:rPr>
        <w:t xml:space="preserve">（4）其他违约情形。</w:t>
      </w:r>
      <w:r/>
    </w:p>
    <w:p>
      <w:pPr>
        <w:ind w:firstLine="480"/>
        <w:spacing w:line="360" w:lineRule="auto"/>
        <w:rPr>
          <w:rFonts w:hint="eastAsia" w:ascii="宋体" w:hAnsi="宋体" w:cs="宋体"/>
          <w:sz w:val="24"/>
        </w:rPr>
      </w:pPr>
      <w:r>
        <w:rPr>
          <w:rFonts w:hint="eastAsia" w:ascii="宋体" w:hAnsi="宋体" w:cs="宋体"/>
          <w:sz w:val="24"/>
        </w:rPr>
        <w:t xml:space="preserve">4.乙方有下列情况之一时，</w:t>
      </w:r>
      <w:r>
        <w:rPr>
          <w:rFonts w:hint="eastAsia"/>
          <w:sz w:val="24"/>
        </w:rPr>
        <w:t xml:space="preserve">西湖街道各村（社区）</w:t>
      </w:r>
      <w:r>
        <w:rPr>
          <w:rFonts w:hint="eastAsia" w:ascii="宋体" w:hAnsi="宋体" w:cs="宋体"/>
          <w:sz w:val="24"/>
        </w:rPr>
        <w:t xml:space="preserve">有权调整乙方的工作内容或者解除本合同：</w:t>
      </w:r>
      <w:r/>
    </w:p>
    <w:p>
      <w:pPr>
        <w:ind w:firstLine="480"/>
        <w:spacing w:line="360" w:lineRule="auto"/>
        <w:rPr>
          <w:rFonts w:hint="eastAsia" w:ascii="宋体" w:hAnsi="宋体" w:cs="宋体"/>
          <w:sz w:val="24"/>
        </w:rPr>
      </w:pPr>
      <w:r>
        <w:rPr>
          <w:rFonts w:hint="eastAsia" w:ascii="宋体" w:hAnsi="宋体" w:cs="宋体"/>
          <w:sz w:val="24"/>
        </w:rPr>
        <w:t xml:space="preserve">（1）乙方在招投标过程中所提供的材料不客观真实；</w:t>
      </w:r>
      <w:r/>
    </w:p>
    <w:p>
      <w:pPr>
        <w:ind w:firstLine="480"/>
        <w:spacing w:line="360" w:lineRule="auto"/>
        <w:rPr>
          <w:rFonts w:hint="eastAsia" w:ascii="宋体" w:hAnsi="宋体" w:cs="宋体"/>
          <w:sz w:val="24"/>
        </w:rPr>
      </w:pPr>
      <w:r>
        <w:rPr>
          <w:rFonts w:hint="eastAsia" w:ascii="宋体" w:hAnsi="宋体" w:cs="宋体"/>
          <w:sz w:val="24"/>
        </w:rPr>
        <w:t xml:space="preserve">（2）乙方在中标前有不良行为记录的；</w:t>
      </w:r>
      <w:r/>
    </w:p>
    <w:p>
      <w:pPr>
        <w:ind w:firstLine="480"/>
        <w:spacing w:line="360" w:lineRule="auto"/>
        <w:rPr>
          <w:rFonts w:hint="eastAsia" w:ascii="宋体" w:hAnsi="宋体" w:cs="宋体"/>
          <w:sz w:val="24"/>
        </w:rPr>
      </w:pPr>
      <w:r>
        <w:rPr>
          <w:rFonts w:hint="eastAsia" w:ascii="宋体" w:hAnsi="宋体" w:cs="宋体"/>
          <w:sz w:val="24"/>
        </w:rPr>
        <w:t xml:space="preserve">（3）不严格执行各级关于对技术服务机构的管理规定，不主动接受区市场监督管理局的监督、检查和指导，不配合相关监督部门及其工作人员依法实施的监督检查；</w:t>
      </w:r>
      <w:r/>
    </w:p>
    <w:p>
      <w:pPr>
        <w:ind w:firstLine="480"/>
        <w:spacing w:line="360" w:lineRule="auto"/>
        <w:rPr>
          <w:rFonts w:hint="eastAsia" w:ascii="宋体" w:hAnsi="宋体" w:cs="宋体"/>
          <w:sz w:val="24"/>
        </w:rPr>
      </w:pPr>
      <w:r>
        <w:rPr>
          <w:rFonts w:hint="eastAsia" w:ascii="宋体" w:hAnsi="宋体" w:cs="宋体"/>
          <w:sz w:val="24"/>
        </w:rPr>
        <w:t xml:space="preserve">（4）以服务为名，向被保险人收取财物或者其他好处的；</w:t>
      </w:r>
      <w:r/>
    </w:p>
    <w:p>
      <w:pPr>
        <w:ind w:firstLine="480"/>
        <w:spacing w:line="360" w:lineRule="auto"/>
        <w:rPr>
          <w:rFonts w:hint="eastAsia" w:ascii="宋体" w:hAnsi="宋体" w:cs="宋体"/>
          <w:sz w:val="24"/>
        </w:rPr>
      </w:pPr>
      <w:r>
        <w:rPr>
          <w:rFonts w:hint="eastAsia" w:ascii="宋体" w:hAnsi="宋体" w:cs="宋体"/>
          <w:sz w:val="24"/>
        </w:rPr>
        <w:t xml:space="preserve">（5）在服务过程中向被保险人推销产品和服务或以政府及中标人名义强迫被保险人接受相关产品和服务。</w:t>
      </w:r>
      <w:r/>
    </w:p>
    <w:p>
      <w:pPr>
        <w:ind w:firstLine="480"/>
        <w:spacing w:line="360" w:lineRule="auto"/>
        <w:rPr>
          <w:rFonts w:hint="eastAsia" w:ascii="宋体" w:hAnsi="宋体" w:cs="宋体"/>
          <w:sz w:val="24"/>
        </w:rPr>
      </w:pPr>
      <w:r>
        <w:rPr>
          <w:rFonts w:hint="eastAsia" w:ascii="宋体" w:hAnsi="宋体" w:cs="宋体"/>
          <w:sz w:val="24"/>
        </w:rPr>
        <w:t xml:space="preserve">5.因乙方原因导致合同解除或终止，或者乙方经考核不合格且整改后再行考核仍不合格，乙方应退还未履约的合同款项。</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二</w:t>
      </w:r>
      <w:r>
        <w:rPr>
          <w:rFonts w:hint="eastAsia" w:ascii="Times New Roman" w:hAnsi="Times New Roman" w:eastAsia="宋体"/>
          <w:sz w:val="24"/>
          <w:szCs w:val="24"/>
        </w:rPr>
        <w:t xml:space="preserve">、合同的变更和终止</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除《政府采购法》第五十条规定的情形外，本合同一经签订，甲乙双方不得擅自变更、中止或终止合同。</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除发生法律规定的不能预见、不能避免并不能克服的客观情况外，甲乙双方不得放弃或拒绝履行合同。</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三</w:t>
      </w:r>
      <w:r>
        <w:rPr>
          <w:rFonts w:hint="eastAsia" w:ascii="Times New Roman" w:hAnsi="Times New Roman" w:eastAsia="宋体"/>
          <w:sz w:val="24"/>
          <w:szCs w:val="24"/>
        </w:rPr>
        <w:t xml:space="preserve">、合同的终止</w:t>
      </w:r>
      <w:r/>
    </w:p>
    <w:p>
      <w:pPr>
        <w:ind w:firstLine="480"/>
        <w:spacing w:line="360" w:lineRule="auto"/>
        <w:rPr>
          <w:rFonts w:hint="eastAsia" w:ascii="宋体" w:hAnsi="宋体" w:cs="宋体"/>
          <w:sz w:val="24"/>
        </w:rPr>
      </w:pPr>
      <w:r>
        <w:rPr>
          <w:rFonts w:ascii="宋体" w:hAnsi="宋体" w:cs="宋体"/>
          <w:sz w:val="24"/>
        </w:rPr>
        <w:t xml:space="preserve">本合同因下列原因而终止：</w:t>
      </w:r>
      <w:r/>
    </w:p>
    <w:p>
      <w:pPr>
        <w:ind w:firstLine="480"/>
        <w:spacing w:line="360" w:lineRule="auto"/>
        <w:rPr>
          <w:rFonts w:hint="eastAsia" w:ascii="宋体" w:hAnsi="宋体" w:cs="宋体"/>
          <w:sz w:val="24"/>
        </w:rPr>
      </w:pPr>
      <w:r>
        <w:rPr>
          <w:rFonts w:ascii="宋体" w:hAnsi="宋体" w:cs="宋体"/>
          <w:sz w:val="24"/>
        </w:rPr>
        <w:t xml:space="preserve">(1)本合同正常履行完毕；</w:t>
      </w:r>
      <w:r/>
    </w:p>
    <w:p>
      <w:pPr>
        <w:ind w:firstLine="480"/>
        <w:spacing w:line="360" w:lineRule="auto"/>
        <w:rPr>
          <w:rFonts w:hint="eastAsia" w:ascii="宋体" w:hAnsi="宋体" w:cs="宋体"/>
          <w:sz w:val="24"/>
        </w:rPr>
      </w:pPr>
      <w:r>
        <w:rPr>
          <w:rFonts w:ascii="宋体" w:hAnsi="宋体" w:cs="宋体"/>
          <w:sz w:val="24"/>
        </w:rPr>
        <w:t xml:space="preserve">(2)因不可抗力导致本合同无法履行或履行不必要；</w:t>
      </w:r>
      <w:r/>
    </w:p>
    <w:p>
      <w:pPr>
        <w:ind w:firstLine="480"/>
        <w:spacing w:line="360" w:lineRule="auto"/>
        <w:rPr>
          <w:rFonts w:hint="eastAsia" w:ascii="宋体" w:hAnsi="宋体" w:cs="宋体"/>
          <w:sz w:val="24"/>
        </w:rPr>
      </w:pPr>
      <w:r>
        <w:rPr>
          <w:rFonts w:ascii="宋体" w:hAnsi="宋体" w:cs="宋体"/>
          <w:sz w:val="24"/>
        </w:rPr>
        <w:t xml:space="preserve">(3)任何一方行使解除权解除本合同；</w:t>
      </w:r>
      <w:r/>
    </w:p>
    <w:p>
      <w:pPr>
        <w:ind w:firstLine="480"/>
        <w:spacing w:line="360" w:lineRule="auto"/>
        <w:rPr>
          <w:rFonts w:hint="eastAsia" w:ascii="宋体" w:hAnsi="宋体" w:cs="宋体"/>
          <w:sz w:val="24"/>
        </w:rPr>
      </w:pPr>
      <w:r>
        <w:rPr>
          <w:rFonts w:ascii="宋体" w:hAnsi="宋体" w:cs="宋体"/>
          <w:sz w:val="24"/>
        </w:rPr>
        <w:t xml:space="preserve">(4)合同的继续履行将损害国家利益和社会公共利益。</w:t>
      </w:r>
      <w:r/>
    </w:p>
    <w:p>
      <w:pPr>
        <w:ind w:firstLine="480"/>
        <w:spacing w:line="360" w:lineRule="auto"/>
        <w:rPr>
          <w:rFonts w:hint="eastAsia" w:ascii="宋体" w:hAnsi="宋体" w:cs="宋体"/>
          <w:sz w:val="24"/>
        </w:rPr>
      </w:pPr>
      <w:r>
        <w:rPr>
          <w:rFonts w:ascii="宋体" w:hAnsi="宋体" w:cs="宋体"/>
          <w:sz w:val="24"/>
        </w:rPr>
        <w:t xml:space="preserve">除上述情形外，甲乙双方不得擅自终止合同。</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w:t>
      </w:r>
      <w:r>
        <w:rPr>
          <w:rFonts w:hint="eastAsia" w:ascii="Times New Roman" w:hAnsi="Times New Roman" w:eastAsia="宋体"/>
          <w:sz w:val="24"/>
          <w:szCs w:val="24"/>
        </w:rPr>
        <w:t xml:space="preserve">四</w:t>
      </w:r>
      <w:r>
        <w:rPr>
          <w:rFonts w:hint="eastAsia" w:ascii="Times New Roman" w:hAnsi="Times New Roman" w:eastAsia="宋体"/>
          <w:sz w:val="24"/>
          <w:szCs w:val="24"/>
        </w:rPr>
        <w:t xml:space="preserve">、争议的解决</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hint="eastAsia" w:ascii="宋体" w:hAnsi="宋体" w:cs="宋体"/>
          <w:sz w:val="24"/>
          <w:u w:val="single"/>
        </w:rPr>
        <w:t xml:space="preserve">2</w:t>
      </w:r>
      <w:r>
        <w:rPr>
          <w:rFonts w:ascii="宋体" w:hAnsi="宋体" w:cs="宋体"/>
          <w:sz w:val="24"/>
          <w:u w:val="single"/>
        </w:rPr>
        <w:t xml:space="preserve"> </w:t>
      </w:r>
      <w:r>
        <w:rPr>
          <w:rFonts w:ascii="宋体" w:hAnsi="宋体" w:cs="宋体"/>
          <w:sz w:val="24"/>
        </w:rPr>
        <w:t xml:space="preserve">种方式解决争议：</w:t>
      </w:r>
      <w:r/>
    </w:p>
    <w:p>
      <w:pPr>
        <w:ind w:firstLine="480"/>
        <w:spacing w:line="360" w:lineRule="auto"/>
        <w:rPr>
          <w:rFonts w:hint="eastAsia" w:ascii="宋体" w:hAnsi="宋体" w:cs="宋体"/>
          <w:sz w:val="24"/>
        </w:rPr>
      </w:pPr>
      <w:r>
        <w:rPr>
          <w:rFonts w:ascii="宋体" w:hAnsi="宋体" w:cs="宋体"/>
          <w:sz w:val="24"/>
        </w:rPr>
        <w:t xml:space="preserve">（1）向甲方所在地有管辖权的人民法院提起诉讼；</w:t>
      </w:r>
      <w:r/>
    </w:p>
    <w:p>
      <w:pPr>
        <w:ind w:firstLine="480"/>
        <w:spacing w:line="360" w:lineRule="auto"/>
        <w:rPr>
          <w:rFonts w:hint="eastAsia" w:ascii="宋体" w:hAnsi="宋体" w:cs="宋体"/>
          <w:sz w:val="24"/>
        </w:rPr>
      </w:pPr>
      <w:r>
        <w:rPr>
          <w:rFonts w:ascii="宋体" w:hAnsi="宋体" w:cs="宋体"/>
          <w:sz w:val="24"/>
        </w:rPr>
        <w:t xml:space="preserve">（2）向甲方所在地仲裁委员会按其仲裁规则申请仲裁。</w:t>
      </w:r>
      <w:r/>
    </w:p>
    <w:p>
      <w:pPr>
        <w:ind w:firstLine="480"/>
        <w:spacing w:line="360" w:lineRule="auto"/>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在仲裁期间，本合同应继续履行。</w:t>
      </w:r>
      <w:r/>
    </w:p>
    <w:p>
      <w:pPr>
        <w:pStyle w:val="1028"/>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十五、合同生效及其他</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80"/>
        <w:spacing w:line="360" w:lineRule="auto"/>
        <w:rPr>
          <w:rFonts w:hint="eastAsia" w:ascii="宋体" w:hAnsi="宋体" w:cs="宋体"/>
          <w:sz w:val="24"/>
        </w:rPr>
      </w:pPr>
      <w:r>
        <w:rPr>
          <w:rFonts w:hint="eastAsia" w:ascii="宋体" w:hAnsi="宋体" w:cs="宋体"/>
          <w:sz w:val="24"/>
        </w:rPr>
        <w:t xml:space="preserve">2.在不违背本合同内容的前提下，乙方和西湖街道各村（社区）签订的补充协议，也将作为本合同的组成部分。</w:t>
      </w:r>
      <w:r/>
    </w:p>
    <w:p>
      <w:pPr>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380" w:lineRule="exact"/>
        <w:rPr>
          <w:rFonts w:hint="eastAsia" w:ascii="宋体" w:hAnsi="宋体" w:cs="楷体"/>
          <w:szCs w:val="21"/>
        </w:rPr>
      </w:pPr>
      <w:r>
        <w:rPr>
          <w:rFonts w:hint="eastAsia" w:ascii="宋体" w:hAnsi="宋体" w:cs="楷体"/>
          <w:szCs w:val="21"/>
        </w:rPr>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845" w:name="_Toc140257878"/>
      <w:r/>
      <w:bookmarkStart w:id="846" w:name="_Toc163804585"/>
      <w:r/>
      <w:bookmarkEnd w:id="844"/>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5"/>
      <w:r/>
      <w:bookmarkEnd w:id="846"/>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7" w:name="_Toc86202633"/>
            <w:r>
              <w:rPr>
                <w:rFonts w:hint="eastAsia" w:ascii="宋体" w:hAnsi="宋体" w:cs="宋体"/>
                <w:b/>
                <w:szCs w:val="21"/>
                <w:lang w:bidi="ar"/>
              </w:rPr>
              <w:t xml:space="preserve">名称</w:t>
            </w:r>
            <w:bookmarkEnd w:id="847"/>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△法定代表人（单位负责人）资格证明书或授权委托书（如有）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△特定资格条件（详见“第四章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8" w:name="_Toc139400581"/>
            <w:r/>
            <w:bookmarkStart w:id="849" w:name="_Toc140257879"/>
            <w:r/>
            <w:bookmarkStart w:id="850" w:name="_Toc163804586"/>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8"/>
            <w:r/>
            <w:bookmarkEnd w:id="849"/>
            <w:r/>
            <w:bookmarkEnd w:id="850"/>
            <w:r/>
            <w:r/>
          </w:p>
          <w:p>
            <w:pPr>
              <w:jc w:val="left"/>
              <w:keepNext/>
              <w:rPr>
                <w:rFonts w:hint="eastAsia" w:ascii="宋体" w:hAnsi="宋体" w:cs="宋体"/>
                <w:b/>
                <w:bCs/>
                <w:szCs w:val="21"/>
                <w:u w:val="single"/>
                <w:lang w:bidi="ar"/>
              </w:rPr>
              <w:outlineLvl w:val="0"/>
            </w:pPr>
            <w:r/>
            <w:bookmarkStart w:id="851" w:name="_Toc139400582"/>
            <w:r/>
            <w:bookmarkStart w:id="852" w:name="_Toc140257880"/>
            <w:r/>
            <w:bookmarkStart w:id="853"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51"/>
            <w:r/>
            <w:bookmarkEnd w:id="852"/>
            <w:r/>
            <w:bookmarkEnd w:id="853"/>
            <w:r/>
            <w:r/>
          </w:p>
          <w:p>
            <w:pPr>
              <w:jc w:val="left"/>
              <w:keepNext/>
              <w:rPr>
                <w:rFonts w:hint="eastAsia" w:ascii="宋体" w:hAnsi="宋体" w:cs="宋体"/>
                <w:b/>
                <w:bCs/>
                <w:szCs w:val="21"/>
                <w:u w:val="single"/>
                <w:lang w:bidi="ar"/>
              </w:rPr>
              <w:outlineLvl w:val="0"/>
            </w:pPr>
            <w:r/>
            <w:bookmarkStart w:id="854" w:name="_Toc163804588"/>
            <w:r/>
            <w:bookmarkStart w:id="855" w:name="_Toc140257881"/>
            <w:r/>
            <w:bookmarkStart w:id="856"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4"/>
            <w:r/>
            <w:bookmarkEnd w:id="855"/>
            <w:r/>
            <w:bookmarkEnd w:id="856"/>
            <w:r/>
            <w:r/>
          </w:p>
          <w:p>
            <w:pPr>
              <w:jc w:val="left"/>
              <w:keepNext/>
              <w:rPr>
                <w:rFonts w:hint="eastAsia" w:ascii="宋体" w:hAnsi="宋体" w:cs="宋体"/>
                <w:b/>
                <w:bCs/>
                <w:szCs w:val="21"/>
                <w:u w:val="single"/>
                <w:lang w:bidi="ar"/>
              </w:rPr>
              <w:outlineLvl w:val="0"/>
            </w:pPr>
            <w:r/>
            <w:bookmarkStart w:id="857" w:name="_Toc140257882"/>
            <w:r/>
            <w:bookmarkStart w:id="858" w:name="_Toc139400584"/>
            <w:r/>
            <w:bookmarkStart w:id="859"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7"/>
            <w:r/>
            <w:bookmarkEnd w:id="858"/>
            <w:r/>
            <w:bookmarkEnd w:id="859"/>
            <w:r/>
            <w:r/>
          </w:p>
          <w:p>
            <w:pPr>
              <w:jc w:val="left"/>
              <w:keepNext/>
              <w:rPr>
                <w:rFonts w:hint="eastAsia" w:ascii="宋体" w:hAnsi="宋体" w:cs="宋体"/>
                <w:b/>
                <w:szCs w:val="21"/>
              </w:rPr>
              <w:outlineLvl w:val="0"/>
            </w:pPr>
            <w:r/>
            <w:bookmarkStart w:id="860" w:name="_Toc139400585"/>
            <w:r/>
            <w:bookmarkStart w:id="861" w:name="_Toc140257883"/>
            <w:r/>
            <w:bookmarkStart w:id="862" w:name="_Toc163804590"/>
            <w:r>
              <w:rPr>
                <w:rFonts w:hint="eastAsia" w:ascii="宋体" w:hAnsi="宋体" w:cs="宋体"/>
                <w:b/>
                <w:bCs/>
                <w:szCs w:val="21"/>
                <w:u w:val="single"/>
                <w:lang w:bidi="ar"/>
              </w:rPr>
              <w:t xml:space="preserve">5.投标文件所附格式中要求填写的全部信息都必须正面回答并保证是真实准确的。</w:t>
            </w:r>
            <w:bookmarkEnd w:id="839"/>
            <w:r/>
            <w:bookmarkEnd w:id="840"/>
            <w:r/>
            <w:bookmarkEnd w:id="841"/>
            <w:r/>
            <w:bookmarkEnd w:id="842"/>
            <w:r/>
            <w:bookmarkEnd w:id="843"/>
            <w:r/>
            <w:bookmarkEnd w:id="860"/>
            <w:r/>
            <w:bookmarkEnd w:id="861"/>
            <w:r/>
            <w:bookmarkEnd w:id="862"/>
            <w:r/>
            <w:r/>
          </w:p>
        </w:tc>
      </w:tr>
    </w:tbl>
    <w:p>
      <w:pPr>
        <w:jc w:val="center"/>
        <w:spacing w:line="360" w:lineRule="auto"/>
        <w:rPr>
          <w:b/>
          <w:sz w:val="36"/>
          <w:szCs w:val="36"/>
        </w:rPr>
        <w:outlineLvl w:val="0"/>
      </w:pPr>
      <w:r>
        <w:rPr>
          <w:b/>
          <w:sz w:val="36"/>
          <w:szCs w:val="36"/>
        </w:rPr>
        <w:br w:type="page" w:clear="all"/>
      </w:r>
      <w:bookmarkStart w:id="863" w:name="_Toc140257884"/>
      <w:r/>
      <w:bookmarkStart w:id="864" w:name="_Toc163804591"/>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63"/>
      <w:r/>
      <w:bookmarkEnd w:id="864"/>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29"/>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39"/>
      </w:pPr>
      <w:r/>
      <w:r/>
    </w:p>
    <w:p>
      <w:pPr>
        <w:pStyle w:val="1039"/>
      </w:pPr>
      <w:r>
        <w:rPr>
          <w:rFonts w:hint="eastAsia"/>
        </w:rPr>
        <w:t xml:space="preserve">1、如为总公司</w:t>
      </w:r>
      <w:r>
        <w:t xml:space="preserve">参与投标</w:t>
      </w:r>
      <w:r>
        <w:rPr>
          <w:rFonts w:hint="eastAsia"/>
        </w:rPr>
        <w:t xml:space="preserve">，应提供总公司营业执照或事业单位法人证书；</w:t>
      </w:r>
      <w:r/>
    </w:p>
    <w:p>
      <w:pPr>
        <w:pStyle w:val="1039"/>
      </w:pPr>
      <w:r>
        <w:rPr>
          <w:rFonts w:hint="eastAsia"/>
        </w:rPr>
        <w:t xml:space="preserve">2、如为</w:t>
      </w:r>
      <w:r>
        <w:t xml:space="preserve">分支机构参与投标</w:t>
      </w:r>
      <w:r>
        <w:rPr>
          <w:rFonts w:hint="eastAsia"/>
        </w:rPr>
        <w:t xml:space="preserve">，应提供分支机构的营业执照或事业单位法人证书。</w:t>
      </w:r>
      <w:r/>
    </w:p>
    <w:p>
      <w:pPr>
        <w:pStyle w:val="1039"/>
      </w:pPr>
      <w:r/>
      <w:r/>
    </w:p>
    <w:p>
      <w:pPr>
        <w:spacing w:line="360" w:lineRule="auto"/>
        <w:rPr>
          <w:sz w:val="24"/>
        </w:rPr>
        <w:outlineLvl w:val="2"/>
      </w:pPr>
      <w:r>
        <w:rPr>
          <w:b/>
        </w:rPr>
        <w:br w:type="page" w:clear="all"/>
      </w:r>
      <w:r>
        <w:rPr>
          <w:b/>
        </w:rPr>
        <w:t xml:space="preserve">1-2 </w:t>
      </w:r>
      <w:r>
        <w:rPr>
          <w:rFonts w:hint="eastAsia"/>
          <w:sz w:val="24"/>
        </w:rPr>
        <w:t xml:space="preserve">法定代表人（单位负责人）资格证明书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法定代表人（单位负责人）资格证明书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4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投标人：（加盖公章）</w:t>
      </w:r>
      <w:r/>
    </w:p>
    <w:p>
      <w:pPr>
        <w:spacing w:line="560" w:lineRule="exact"/>
        <w:rPr>
          <w:rFonts w:hint="eastAsia" w:ascii="宋体" w:hAnsi="宋体"/>
          <w:sz w:val="24"/>
        </w:rPr>
      </w:pPr>
      <w:r>
        <w:rPr>
          <w:rFonts w:hint="eastAsia" w:ascii="宋体" w:hAnsi="宋体"/>
          <w:sz w:val="24"/>
        </w:rPr>
        <w:t xml:space="preserve">法定代表人（单位负责人）：（</w:t>
      </w:r>
      <w:r>
        <w:rPr>
          <w:rFonts w:ascii="宋体" w:hAnsi="宋体"/>
          <w:sz w:val="24"/>
          <w:szCs w:val="20"/>
        </w:rPr>
        <w:t xml:space="preserve">签字或</w:t>
      </w:r>
      <w:r>
        <w:rPr>
          <w:rFonts w:hint="eastAsia" w:ascii="宋体" w:hAnsi="宋体"/>
          <w:sz w:val="24"/>
          <w:szCs w:val="20"/>
        </w:rPr>
        <w:t xml:space="preserve">盖章）</w:t>
      </w:r>
      <w:r/>
    </w:p>
    <w:p>
      <w:pPr>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55"/>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单位负责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法定代表人（单位负责人）签字或盖章：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委托代理人（被授权人）身份证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29"/>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039"/>
        <w:ind w:firstLine="480"/>
        <w:spacing w:line="460" w:lineRule="exact"/>
      </w:pPr>
      <w:r/>
      <w:r/>
    </w:p>
    <w:p>
      <w:pPr>
        <w:pStyle w:val="1039"/>
        <w:ind w:firstLine="480"/>
        <w:spacing w:line="460" w:lineRule="exact"/>
      </w:pPr>
      <w:r>
        <w:rPr>
          <w:rFonts w:hint="eastAsia"/>
        </w:rPr>
        <w:t xml:space="preserve">致：常州明镜工程咨询有限公司</w:t>
      </w:r>
      <w:r/>
    </w:p>
    <w:p>
      <w:pPr>
        <w:pStyle w:val="1039"/>
        <w:ind w:firstLine="960"/>
        <w:spacing w:line="460" w:lineRule="exact"/>
        <w:rPr>
          <w:u w:val="single"/>
        </w:rPr>
      </w:pPr>
      <w:r>
        <w:rPr>
          <w:rFonts w:hint="eastAsia"/>
          <w:u w:val="single"/>
        </w:rPr>
        <w:t xml:space="preserve">（采购人名称）</w:t>
      </w:r>
      <w:r/>
    </w:p>
    <w:p>
      <w:pPr>
        <w:pStyle w:val="1039"/>
        <w:ind w:firstLine="480"/>
        <w:spacing w:line="460" w:lineRule="exact"/>
      </w:pPr>
      <w:r/>
      <w:r/>
    </w:p>
    <w:p>
      <w:pPr>
        <w:pStyle w:val="1039"/>
        <w:ind w:firstLine="480"/>
        <w:spacing w:line="460" w:lineRule="exact"/>
      </w:pPr>
      <w:r>
        <w:rPr>
          <w:rFonts w:hint="eastAsia"/>
        </w:rPr>
        <w:t xml:space="preserve">按照《中华人民共和国政府采购法》第二十二条和招标文件的规定，我单位郑重声明如下：</w:t>
      </w:r>
      <w:r/>
    </w:p>
    <w:p>
      <w:pPr>
        <w:pStyle w:val="10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039"/>
        <w:ind w:firstLine="480"/>
        <w:spacing w:line="460" w:lineRule="exact"/>
      </w:pPr>
      <w:r>
        <w:rPr>
          <w:rFonts w:hint="eastAsia"/>
        </w:rPr>
        <w:t xml:space="preserve">二、我单位具有良好的商业信誉（指投标人经营状况良好，无本资格声明第十条情形）和健全的财务会计制度。</w:t>
      </w:r>
      <w:r/>
    </w:p>
    <w:p>
      <w:pPr>
        <w:pStyle w:val="1039"/>
        <w:ind w:firstLine="480"/>
        <w:spacing w:line="460" w:lineRule="exact"/>
      </w:pPr>
      <w:r>
        <w:rPr>
          <w:rFonts w:hint="eastAsia"/>
        </w:rPr>
        <w:t xml:space="preserve">三、我单位依法进行纳税和社会保险申报并实际履行了义务。</w:t>
      </w:r>
      <w:r/>
    </w:p>
    <w:p>
      <w:pPr>
        <w:pStyle w:val="103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9"/>
        <w:ind w:firstLine="480"/>
        <w:spacing w:line="460" w:lineRule="exact"/>
      </w:pPr>
      <w:r>
        <w:rPr>
          <w:rFonts w:hint="eastAsia"/>
        </w:rPr>
        <w:t xml:space="preserve">主要设备有：</w:t>
      </w:r>
      <w:r>
        <w:rPr>
          <w:u w:val="single"/>
        </w:rPr>
        <w:t xml:space="preserve">            </w:t>
      </w:r>
      <w:r/>
    </w:p>
    <w:p>
      <w:pPr>
        <w:pStyle w:val="1039"/>
        <w:ind w:firstLine="480"/>
        <w:spacing w:line="460" w:lineRule="exact"/>
      </w:pPr>
      <w:r>
        <w:rPr>
          <w:rFonts w:hint="eastAsia"/>
        </w:rPr>
        <w:t xml:space="preserve">主要专业技术能力有</w:t>
      </w:r>
      <w:r>
        <w:rPr>
          <w:rFonts w:hint="eastAsia"/>
          <w:u w:val="single"/>
        </w:rPr>
        <w:t xml:space="preserve">                 </w:t>
      </w:r>
      <w:r/>
    </w:p>
    <w:p>
      <w:pPr>
        <w:pStyle w:val="103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9"/>
        <w:ind w:firstLine="480"/>
        <w:spacing w:line="460" w:lineRule="exact"/>
      </w:pPr>
      <w:r>
        <w:rPr>
          <w:rFonts w:hint="eastAsia"/>
        </w:rPr>
        <w:t xml:space="preserve">六、我单位具备法律、行政法规规定的其他条件。</w:t>
      </w:r>
      <w:r/>
    </w:p>
    <w:p>
      <w:pPr>
        <w:pStyle w:val="103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39"/>
        <w:ind w:firstLine="480"/>
        <w:spacing w:line="460" w:lineRule="exact"/>
      </w:pPr>
      <w:r>
        <w:rPr>
          <w:rFonts w:hint="eastAsia"/>
        </w:rPr>
        <w:t xml:space="preserve">九、</w:t>
      </w:r>
      <w:r>
        <w:t xml:space="preserve">我单位</w:t>
      </w:r>
      <w:r>
        <w:t xml:space="preserve">无以下</w:t>
      </w:r>
      <w:r>
        <w:t xml:space="preserve">不良信用记录情形：</w:t>
      </w:r>
      <w:r/>
    </w:p>
    <w:p>
      <w:pPr>
        <w:pStyle w:val="1039"/>
        <w:ind w:firstLine="480"/>
        <w:spacing w:line="460" w:lineRule="exact"/>
      </w:pPr>
      <w:r>
        <w:t xml:space="preserve">1</w:t>
      </w:r>
      <w:r>
        <w:rPr>
          <w:rFonts w:hint="eastAsia"/>
        </w:rPr>
        <w:t xml:space="preserve">、在“信用中国”网站被列入失信被执行人和重大税收违法案件当事人名单；</w:t>
      </w:r>
      <w:r/>
    </w:p>
    <w:p>
      <w:pPr>
        <w:pStyle w:val="1039"/>
        <w:ind w:firstLine="480"/>
        <w:spacing w:line="460" w:lineRule="exact"/>
      </w:pPr>
      <w:r>
        <w:t xml:space="preserve">2</w:t>
      </w:r>
      <w:r>
        <w:rPr>
          <w:rFonts w:hint="eastAsia"/>
        </w:rPr>
        <w:t xml:space="preserve">、在“中国政府采购网”网站被列入政府采购严重违法失信行为记录名单；</w:t>
      </w:r>
      <w:r/>
    </w:p>
    <w:p>
      <w:pPr>
        <w:pStyle w:val="1039"/>
        <w:ind w:firstLine="480"/>
        <w:spacing w:line="460" w:lineRule="exact"/>
      </w:pPr>
      <w:r>
        <w:t xml:space="preserve">3</w:t>
      </w:r>
      <w:r>
        <w:rPr>
          <w:rFonts w:hint="eastAsia"/>
        </w:rPr>
        <w:t xml:space="preserve">、</w:t>
      </w:r>
      <w:r>
        <w:t xml:space="preserve">不符合《政府采购法》第二十二条规定的条件。</w:t>
      </w:r>
      <w:r/>
    </w:p>
    <w:p>
      <w:pPr>
        <w:pStyle w:val="1039"/>
        <w:ind w:firstLine="480"/>
        <w:spacing w:line="460" w:lineRule="exact"/>
      </w:pPr>
      <w:r/>
      <w:r/>
    </w:p>
    <w:p>
      <w:pPr>
        <w:pStyle w:val="10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9"/>
        <w:ind w:firstLine="480"/>
        <w:spacing w:line="460" w:lineRule="exact"/>
      </w:pPr>
      <w:r/>
      <w:r/>
    </w:p>
    <w:p>
      <w:pPr>
        <w:pStyle w:val="1039"/>
        <w:ind w:firstLine="480"/>
        <w:spacing w:line="460" w:lineRule="exact"/>
      </w:pPr>
      <w:r/>
      <w:r/>
    </w:p>
    <w:p>
      <w:pPr>
        <w:pStyle w:val="1039"/>
        <w:ind w:firstLine="0"/>
        <w:spacing w:line="460" w:lineRule="exact"/>
      </w:pPr>
      <w:r>
        <w:rPr>
          <w:rFonts w:hint="eastAsia"/>
        </w:rPr>
        <w:t xml:space="preserve">投标人：（加盖公章）</w:t>
      </w:r>
      <w:r/>
    </w:p>
    <w:p>
      <w:pPr>
        <w:pStyle w:val="1039"/>
        <w:ind w:firstLine="0"/>
        <w:spacing w:line="460" w:lineRule="exact"/>
      </w:pPr>
      <w:r>
        <w:rPr>
          <w:rFonts w:hint="eastAsia"/>
        </w:rPr>
        <w:t xml:space="preserve">法定代表人（单位负责人）签字或盖章：</w:t>
      </w:r>
      <w:r/>
    </w:p>
    <w:p>
      <w:pPr>
        <w:pStyle w:val="1039"/>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37"/>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31" w:tooltip="http://202.106.120.146/baosong/appweb/orgScale.html" w:history="1">
        <w:r>
          <w:rPr>
            <w:rStyle w:val="1084"/>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rFonts w:hint="eastAsia"/>
          <w:sz w:val="24"/>
        </w:rPr>
        <w:t xml:space="preserve">经国家金融监督管理总局（原中国银行保险监督管理委员会）批准，具有该项目所有保险责任经营的相关许可。（如为总公司</w:t>
      </w:r>
      <w:r>
        <w:rPr>
          <w:sz w:val="24"/>
        </w:rPr>
        <w:t xml:space="preserve">参与投标</w:t>
      </w:r>
      <w:r>
        <w:rPr>
          <w:rFonts w:hint="eastAsia"/>
          <w:sz w:val="24"/>
        </w:rPr>
        <w:t xml:space="preserve">应提供总公司营业执照及保险许可证；如为</w:t>
      </w:r>
      <w:r>
        <w:rPr>
          <w:sz w:val="24"/>
        </w:rPr>
        <w:t xml:space="preserve">分支机构参与投标</w:t>
      </w:r>
      <w:r>
        <w:rPr>
          <w:rFonts w:hint="eastAsia"/>
          <w:sz w:val="24"/>
        </w:rPr>
        <w:t xml:space="preserve">应提供分支机构的营业执照及保险许可证）。</w:t>
      </w:r>
      <w:r/>
    </w:p>
    <w:p>
      <w:pPr>
        <w:ind w:firstLine="504"/>
        <w:spacing w:line="588" w:lineRule="exact"/>
        <w:rPr>
          <w:spacing w:val="6"/>
          <w:sz w:val="24"/>
        </w:rPr>
      </w:pPr>
      <w:r>
        <w:rPr>
          <w:spacing w:val="6"/>
          <w:sz w:val="24"/>
        </w:rPr>
      </w:r>
      <w:r/>
    </w:p>
    <w:p>
      <w:pPr>
        <w:rPr>
          <w:sz w:val="24"/>
          <w:szCs w:val="20"/>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5" w:name="_Ref467988698"/>
      <w:r/>
      <w:bookmarkStart w:id="866" w:name="_Toc150480794"/>
      <w:r/>
      <w:bookmarkStart w:id="867" w:name="_Toc226965829"/>
      <w:r/>
      <w:bookmarkStart w:id="868" w:name="_Toc195842921"/>
      <w:r/>
      <w:bookmarkStart w:id="869" w:name="_Toc520356217"/>
      <w:r/>
      <w:bookmarkStart w:id="870" w:name="_Toc127151556"/>
      <w:r/>
      <w:bookmarkStart w:id="871" w:name="_Toc142311058"/>
      <w:r/>
      <w:bookmarkStart w:id="872" w:name="_Toc480942349"/>
      <w:r/>
      <w:bookmarkStart w:id="873" w:name="_Toc226309800"/>
      <w:r/>
      <w:bookmarkStart w:id="874" w:name="_Toc226337252"/>
      <w:r/>
      <w:bookmarkStart w:id="875" w:name="_Toc150774761"/>
      <w:r/>
      <w:bookmarkStart w:id="876"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7" w:name="_Hlt520355938"/>
      <w:r/>
      <w:bookmarkStart w:id="878" w:name="_Hlt520356243"/>
      <w:r/>
      <w:bookmarkEnd w:id="877"/>
      <w:r/>
      <w:bookmarkEnd w:id="878"/>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9" w:name="_Toc264969247"/>
      <w:r/>
      <w:bookmarkStart w:id="880" w:name="_Toc226309801"/>
      <w:r/>
      <w:bookmarkStart w:id="881" w:name="_Toc305158899"/>
      <w:r/>
      <w:bookmarkStart w:id="882" w:name="_Toc480942350"/>
      <w:r/>
      <w:bookmarkStart w:id="883" w:name="_Toc226965747"/>
      <w:r/>
      <w:bookmarkStart w:id="884" w:name="_Toc150774762"/>
      <w:r/>
      <w:bookmarkStart w:id="885" w:name="_Toc127151557"/>
      <w:r/>
      <w:bookmarkStart w:id="886" w:name="_Ref467988705"/>
      <w:r/>
      <w:bookmarkStart w:id="887" w:name="_Toc305158825"/>
      <w:r/>
      <w:bookmarkStart w:id="888" w:name="_Toc195842922"/>
      <w:r/>
      <w:bookmarkStart w:id="889" w:name="_Toc520356218"/>
      <w:r/>
      <w:bookmarkStart w:id="890" w:name="_Toc142311059"/>
      <w:r/>
      <w:bookmarkStart w:id="891" w:name="_Toc150480795"/>
      <w:r/>
      <w:bookmarkStart w:id="892" w:name="_Toc226965830"/>
      <w:r/>
      <w:bookmarkStart w:id="893" w:name="_Toc265228395"/>
      <w:r/>
      <w:bookmarkStart w:id="894" w:name="_Toc226337253"/>
      <w:r>
        <w:rPr>
          <w:sz w:val="24"/>
          <w:szCs w:val="20"/>
        </w:rPr>
        <w:t xml:space="preserve">开标一览表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sz w:val="24"/>
          <w:szCs w:val="20"/>
        </w:rPr>
        <w:t xml:space="preserve">（实质性格式）</w:t>
      </w:r>
      <w:r/>
    </w:p>
    <w:p>
      <w:pPr>
        <w:jc w:val="center"/>
        <w:spacing w:line="360" w:lineRule="exact"/>
        <w:rPr>
          <w:b/>
          <w:sz w:val="36"/>
          <w:szCs w:val="36"/>
        </w:rPr>
      </w:pPr>
      <w:r/>
      <w:bookmarkStart w:id="895" w:name="_Toc305158826"/>
      <w:r/>
      <w:bookmarkStart w:id="896" w:name="_Toc195842923"/>
      <w:r/>
      <w:bookmarkStart w:id="897" w:name="_Toc264969248"/>
      <w:r/>
      <w:bookmarkStart w:id="898" w:name="_Toc226309802"/>
      <w:r/>
      <w:bookmarkStart w:id="899" w:name="_Toc164608827"/>
      <w:r/>
      <w:bookmarkStart w:id="900" w:name="_Toc265228396"/>
      <w:r/>
      <w:bookmarkStart w:id="901" w:name="_Toc164608672"/>
      <w:r/>
      <w:bookmarkStart w:id="902" w:name="_Toc226337254"/>
      <w:r/>
      <w:bookmarkStart w:id="903" w:name="_Toc226965748"/>
      <w:r/>
      <w:bookmarkStart w:id="904" w:name="_Toc226965831"/>
      <w:r/>
      <w:bookmarkStart w:id="905" w:name="_Toc305158900"/>
      <w:r>
        <w:rPr>
          <w:rFonts w:hint="eastAsia"/>
          <w:b/>
          <w:sz w:val="36"/>
          <w:szCs w:val="36"/>
        </w:rPr>
        <w:t xml:space="preserve">开标一览表</w:t>
      </w:r>
      <w:bookmarkEnd w:id="895"/>
      <w:r/>
      <w:bookmarkEnd w:id="896"/>
      <w:r/>
      <w:bookmarkEnd w:id="897"/>
      <w:r/>
      <w:bookmarkEnd w:id="898"/>
      <w:r/>
      <w:bookmarkEnd w:id="899"/>
      <w:r/>
      <w:bookmarkEnd w:id="900"/>
      <w:r/>
      <w:bookmarkEnd w:id="901"/>
      <w:r/>
      <w:bookmarkEnd w:id="902"/>
      <w:r/>
      <w:bookmarkEnd w:id="903"/>
      <w:r/>
      <w:bookmarkEnd w:id="904"/>
      <w:r/>
      <w:bookmarkEnd w:id="905"/>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sectPr>
          <w:headerReference w:type="even" r:id="rId16"/>
          <w:headerReference w:type="first" r:id="rId17"/>
          <w:footerReference w:type="even" r:id="rId26"/>
          <w:footerReference w:type="first" r:id="rId27"/>
          <w:footnotePr/>
          <w:endnotePr/>
          <w:type w:val="nextPage"/>
          <w:pgSz w:w="11907" w:h="16839" w:orient="portrait"/>
          <w:pgMar w:top="1440" w:right="1803" w:bottom="1440" w:left="1803" w:header="851" w:footer="851" w:gutter="0"/>
          <w:cols w:num="1" w:sep="0" w:space="720" w:equalWidth="1"/>
          <w:docGrid w:linePitch="360"/>
        </w:sectPr>
      </w:pPr>
      <w:r>
        <w:rPr>
          <w:sz w:val="24"/>
          <w:szCs w:val="20"/>
        </w:rPr>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w:t>
      </w:r>
      <w:r>
        <w:rPr>
          <w:sz w:val="24"/>
        </w:rPr>
        <w:t xml:space="preserve">（实质性格式）</w:t>
      </w:r>
      <w:r/>
    </w:p>
    <w:p>
      <w:pPr>
        <w:jc w:val="center"/>
        <w:rPr>
          <w:b/>
          <w:sz w:val="36"/>
          <w:szCs w:val="36"/>
        </w:rPr>
      </w:pPr>
      <w:r>
        <w:rPr>
          <w:b/>
          <w:sz w:val="36"/>
          <w:szCs w:val="36"/>
        </w:rPr>
        <w:t xml:space="preserve">分项报价表</w:t>
      </w:r>
      <w:r/>
    </w:p>
    <w:p>
      <w:pPr>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tabs>
          <w:tab w:val="left" w:pos="1800" w:leader="none"/>
          <w:tab w:val="left" w:pos="5580" w:leader="none"/>
        </w:tabs>
        <w:rPr>
          <w:sz w:val="24"/>
        </w:rPr>
      </w:pPr>
      <w:r>
        <w:rPr>
          <w:sz w:val="24"/>
        </w:rPr>
        <w:t xml:space="preserve">报价单位：人民币元</w:t>
      </w:r>
      <w:r/>
    </w:p>
    <w:tbl>
      <w:tblPr>
        <w:tblW w:w="15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366"/>
        <w:gridCol w:w="8415"/>
        <w:gridCol w:w="851"/>
        <w:gridCol w:w="992"/>
        <w:gridCol w:w="1134"/>
        <w:gridCol w:w="1927"/>
      </w:tblGrid>
      <w:tr>
        <w:trPr>
          <w:cantSplit/>
          <w:jc w:val="center"/>
          <w:trHeight w:val="285"/>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8415"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306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33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41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widowControl/>
              <w:rPr>
                <w:rFonts w:hint="eastAsia" w:ascii="宋体" w:hAnsi="宋体" w:cs="Arial"/>
                <w:sz w:val="24"/>
              </w:rPr>
            </w:pPr>
            <w:r>
              <w:rPr>
                <w:rFonts w:ascii="宋体" w:hAnsi="宋体" w:cs="Arial"/>
                <w:sz w:val="24"/>
              </w:rPr>
              <w:t xml:space="preserve">老年人意外险</w:t>
            </w:r>
            <w:r>
              <w:rPr>
                <w:rFonts w:hint="eastAsia" w:ascii="宋体" w:hAnsi="宋体" w:cs="Arial"/>
                <w:sz w:val="24"/>
              </w:rPr>
              <w:t xml:space="preserve">保险</w:t>
            </w:r>
            <w:r/>
          </w:p>
        </w:tc>
        <w:tc>
          <w:tcPr>
            <w:tcBorders>
              <w:top w:val="single" w:color="auto" w:sz="4" w:space="0"/>
              <w:left w:val="single" w:color="auto" w:sz="4" w:space="0"/>
              <w:bottom w:val="single" w:color="auto" w:sz="4" w:space="0"/>
              <w:right w:val="single" w:color="auto" w:sz="4" w:space="0"/>
            </w:tcBorders>
            <w:tcW w:w="8415" w:type="dxa"/>
            <w:vAlign w:val="center"/>
            <w:textDirection w:val="lrTb"/>
            <w:noWrap w:val="false"/>
          </w:tcPr>
          <w:tbl>
            <w:tblPr>
              <w:tblW w:w="8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3921"/>
              <w:gridCol w:w="2361"/>
            </w:tblGrid>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道路交通事故的意外伤害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燃气事故的意外伤害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30000元</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动物咬伤注射抗狂犬疫苗、破伤风抗毒素、血清费用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意外伤害救护车费用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300元</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骨折津贴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200-500元</w:t>
                  </w:r>
                  <w:r/>
                </w:p>
              </w:tc>
            </w:tr>
          </w:tbl>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9900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人·年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小额意外保险</w:t>
            </w:r>
            <w:r/>
          </w:p>
        </w:tc>
        <w:tc>
          <w:tcPr>
            <w:tcBorders>
              <w:top w:val="single" w:color="auto" w:sz="4" w:space="0"/>
              <w:left w:val="single" w:color="auto" w:sz="4" w:space="0"/>
              <w:bottom w:val="single" w:color="auto" w:sz="4" w:space="0"/>
              <w:right w:val="single" w:color="auto" w:sz="4" w:space="0"/>
            </w:tcBorders>
            <w:tcW w:w="8415" w:type="dxa"/>
            <w:vAlign w:val="center"/>
            <w:textDirection w:val="lrTb"/>
            <w:noWrap w:val="false"/>
          </w:tcPr>
          <w:tbl>
            <w:tblPr>
              <w:tblW w:w="8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5"/>
              <w:gridCol w:w="3921"/>
              <w:gridCol w:w="2361"/>
            </w:tblGrid>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保障内容</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保障额度</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疾病身故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rPr>
                      <w:rFonts w:hint="eastAsia" w:ascii="宋体" w:hAnsi="宋体" w:cs="宋体"/>
                      <w:bCs/>
                      <w:szCs w:val="21"/>
                    </w:rPr>
                    <w:t xml:space="preserve">（新保等待期90天，续保0天。）</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普通意外伤害</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意外身故</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40000元</w:t>
                  </w:r>
                  <w:r>
                    <w:rPr>
                      <w:rFonts w:hint="eastAsia" w:ascii="宋体" w:hAnsi="宋体" w:cs="宋体"/>
                      <w:bCs/>
                      <w:szCs w:val="21"/>
                    </w:rPr>
                    <w:t xml:space="preserve">（未成年人保额减半）</w:t>
                  </w:r>
                  <w:r/>
                </w:p>
              </w:tc>
            </w:tr>
            <w:tr>
              <w:trPr>
                <w:trHeight w:val="413"/>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营运交通工具乘客意外</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在汽车中因意外伤害造成的身故、伤残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在火车中因意外伤害造成的身故、伤残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在轮船中因意外伤害造成的身故、伤残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50000元</w:t>
                  </w:r>
                  <w:r>
                    <w:rPr>
                      <w:rFonts w:hint="eastAsia" w:ascii="宋体" w:hAnsi="宋体" w:cs="宋体"/>
                      <w:bCs/>
                      <w:szCs w:val="21"/>
                    </w:rPr>
                    <w:t xml:space="preserve">（未成年人保额减半）</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在飞机中因意外伤害造成的身故、伤残</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200000元</w:t>
                  </w:r>
                  <w:r>
                    <w:rPr>
                      <w:rFonts w:hint="eastAsia" w:ascii="宋体" w:hAnsi="宋体" w:cs="宋体"/>
                      <w:bCs/>
                      <w:szCs w:val="21"/>
                    </w:rPr>
                    <w:t xml:space="preserve">（未成年人保额减半）</w:t>
                  </w:r>
                  <w:r/>
                </w:p>
              </w:tc>
            </w:tr>
            <w:tr>
              <w:trPr/>
              <w:tc>
                <w:tcPr>
                  <w:tcW w:w="19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意外医疗</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意外医疗（符合</w:t>
                  </w:r>
                  <w:r>
                    <w:rPr>
                      <w:rFonts w:hint="eastAsia" w:ascii="宋体" w:hAnsi="宋体" w:cs="宋体"/>
                      <w:bCs/>
                      <w:szCs w:val="21"/>
                    </w:rPr>
                    <w:t xml:space="preserve">医</w:t>
                  </w:r>
                  <w:r>
                    <w:rPr>
                      <w:rFonts w:hint="eastAsia" w:ascii="宋体" w:hAnsi="宋体" w:cs="宋体"/>
                      <w:bCs/>
                      <w:szCs w:val="21"/>
                    </w:rPr>
                    <w:t xml:space="preserve">保目录）</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5000元</w:t>
                  </w:r>
                  <w:r/>
                </w:p>
              </w:tc>
            </w:tr>
            <w:tr>
              <w:trPr/>
              <w:tc>
                <w:tcPr>
                  <w:tcW w:w="19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动物咬伤注射抗狂犬疫苗、破伤风抗毒素、血清费用</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1000元</w:t>
                  </w:r>
                  <w:r/>
                </w:p>
              </w:tc>
            </w:tr>
            <w:tr>
              <w:trPr/>
              <w:tc>
                <w:tcPr>
                  <w:tcW w:w="19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津贴</w:t>
                  </w:r>
                  <w:r/>
                </w:p>
              </w:tc>
              <w:tc>
                <w:tcPr>
                  <w:tcW w:w="3921"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意外住院津贴</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100元/天</w:t>
                  </w:r>
                  <w:r/>
                </w:p>
              </w:tc>
            </w:tr>
            <w:tr>
              <w:trPr/>
              <w:tc>
                <w:tcPr>
                  <w:gridSpan w:val="2"/>
                  <w:tcW w:w="589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民用燃气用户第三者责任保险</w:t>
                  </w:r>
                  <w:r/>
                </w:p>
              </w:tc>
              <w:tc>
                <w:tcPr>
                  <w:tcW w:w="236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20000元</w:t>
                  </w:r>
                  <w:r/>
                </w:p>
              </w:tc>
            </w:tr>
          </w:tbl>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13000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人·年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10507" w:type="dxa"/>
            <w:vAlign w:val="center"/>
            <w:textDirection w:val="lrTb"/>
            <w:noWrap w:val="false"/>
          </w:tcPr>
          <w:p>
            <w:pPr>
              <w:jc w:val="center"/>
              <w:widowControl/>
              <w:rPr>
                <w:rFonts w:hint="eastAsia"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904" w:type="dxa"/>
            <w:vAlign w:val="center"/>
            <w:textDirection w:val="lrTb"/>
            <w:noWrap w:val="false"/>
          </w:tcPr>
          <w:p>
            <w:pPr>
              <w:jc w:val="center"/>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color w:val="000000"/>
          <w:sz w:val="24"/>
        </w:rPr>
      </w:pPr>
      <w:r>
        <w:rPr>
          <w:color w:val="000000"/>
          <w:sz w:val="24"/>
        </w:rPr>
        <w:t xml:space="preserve">注：</w:t>
      </w:r>
      <w:r>
        <w:rPr>
          <w:rFonts w:hint="eastAsia"/>
          <w:color w:val="000000"/>
          <w:sz w:val="24"/>
        </w:rPr>
        <w:t xml:space="preserve">1</w:t>
      </w:r>
      <w:r>
        <w:rPr>
          <w:color w:val="000000"/>
          <w:sz w:val="24"/>
        </w:rPr>
        <w:t xml:space="preserve">.</w:t>
      </w:r>
      <w:r>
        <w:rPr>
          <w:color w:val="000000"/>
          <w:sz w:val="24"/>
        </w:rPr>
        <w:t xml:space="preserve">如果不提供分项报价将视为没有实质性响应招标文件。</w:t>
      </w:r>
      <w:r/>
    </w:p>
    <w:p>
      <w:pPr>
        <w:ind w:firstLine="480"/>
        <w:jc w:val="left"/>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color w:val="000000"/>
          <w:sz w:val="24"/>
        </w:rPr>
      </w:pPr>
      <w:r>
        <w:rPr>
          <w:rFonts w:hint="eastAsia"/>
          <w:color w:val="000000"/>
          <w:sz w:val="24"/>
        </w:rPr>
        <w:t xml:space="preserve">4.</w:t>
      </w:r>
      <w:r>
        <w:rPr>
          <w:rFonts w:hint="eastAsia"/>
          <w:color w:val="000000"/>
          <w:sz w:val="24"/>
        </w:rPr>
        <w:t xml:space="preserve">实际结算时，上表中的“</w:t>
      </w:r>
      <w:r>
        <w:rPr>
          <w:color w:val="000000"/>
          <w:sz w:val="24"/>
        </w:rPr>
        <w:t xml:space="preserve">老年人意外险</w:t>
      </w:r>
      <w:r>
        <w:rPr>
          <w:rFonts w:hint="eastAsia"/>
          <w:color w:val="000000"/>
          <w:sz w:val="24"/>
        </w:rPr>
        <w:t xml:space="preserve">保险”</w:t>
      </w:r>
      <w:r>
        <w:rPr>
          <w:rFonts w:hint="eastAsia"/>
          <w:color w:val="000000"/>
          <w:sz w:val="24"/>
        </w:rPr>
        <w:t xml:space="preserve">保费</w:t>
      </w:r>
      <w:r>
        <w:rPr>
          <w:rFonts w:hint="eastAsia"/>
          <w:color w:val="000000"/>
          <w:sz w:val="24"/>
        </w:rPr>
        <w:t xml:space="preserve">的</w:t>
      </w:r>
      <w:r>
        <w:rPr>
          <w:rFonts w:hint="eastAsia"/>
          <w:color w:val="000000"/>
          <w:sz w:val="24"/>
        </w:rPr>
        <w:t xml:space="preserve">20%</w:t>
      </w:r>
      <w:r>
        <w:rPr>
          <w:rFonts w:hint="eastAsia"/>
          <w:color w:val="000000"/>
          <w:sz w:val="24"/>
        </w:rPr>
        <w:t xml:space="preserve">由常州市武进区慈善总会予以补贴</w:t>
      </w:r>
      <w:r>
        <w:rPr>
          <w:rFonts w:hint="eastAsia"/>
          <w:color w:val="000000"/>
          <w:sz w:val="24"/>
        </w:rPr>
        <w:t xml:space="preserve">，且包含在投标价款内</w:t>
      </w:r>
      <w:r>
        <w:rPr>
          <w:rFonts w:hint="eastAsia"/>
          <w:color w:val="000000"/>
          <w:sz w:val="24"/>
        </w:rPr>
        <w:t xml:space="preserve">。</w:t>
      </w:r>
      <w:r/>
    </w:p>
    <w:p>
      <w:pPr>
        <w:ind w:firstLine="480"/>
        <w:jc w:val="left"/>
        <w:tabs>
          <w:tab w:val="left" w:pos="1800" w:leader="none"/>
          <w:tab w:val="left" w:pos="5580" w:leader="none"/>
        </w:tabs>
        <w:rPr>
          <w:color w:val="000000"/>
          <w:sz w:val="24"/>
        </w:rPr>
      </w:pPr>
      <w:r>
        <w:rPr>
          <w:color w:val="000000"/>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bookmarkStart w:id="906" w:name="_Toc305158904"/>
      <w:r/>
      <w:bookmarkStart w:id="907" w:name="_Toc264969252"/>
      <w:r/>
      <w:bookmarkStart w:id="908" w:name="_Toc226337258"/>
      <w:r/>
      <w:bookmarkStart w:id="909" w:name="_Toc142311062"/>
      <w:r/>
      <w:bookmarkStart w:id="910" w:name="_Toc195842927"/>
      <w:r/>
      <w:bookmarkStart w:id="911" w:name="_Toc265228400"/>
      <w:r/>
      <w:bookmarkStart w:id="912" w:name="_Toc226309806"/>
      <w:r/>
      <w:bookmarkStart w:id="913" w:name="_Toc127151562"/>
      <w:r/>
      <w:bookmarkStart w:id="914" w:name="_Toc226965752"/>
      <w:r/>
      <w:bookmarkStart w:id="915" w:name="_Toc305158830"/>
      <w:r/>
      <w:bookmarkStart w:id="916" w:name="_Toc150774765"/>
      <w:r/>
      <w:bookmarkStart w:id="917" w:name="_Toc226965835"/>
      <w:r/>
      <w:bookmarkStart w:id="918" w:name="_Toc150480798"/>
      <w:r/>
      <w:bookmarkStart w:id="919" w:name="_Toc305158829"/>
      <w:r/>
      <w:bookmarkStart w:id="920" w:name="_Toc150480797"/>
      <w:r/>
      <w:bookmarkStart w:id="921" w:name="_Toc265228399"/>
      <w:r/>
      <w:bookmarkStart w:id="922" w:name="_Toc305158903"/>
      <w:r/>
      <w:bookmarkStart w:id="923" w:name="_Toc142311061"/>
      <w:r/>
      <w:bookmarkStart w:id="924" w:name="_Toc226309805"/>
      <w:r/>
      <w:bookmarkStart w:id="925" w:name="_Toc226965834"/>
      <w:r/>
      <w:bookmarkStart w:id="926" w:name="_Toc226965751"/>
      <w:r/>
      <w:bookmarkStart w:id="927" w:name="_Toc264969251"/>
      <w:r/>
      <w:bookmarkStart w:id="928" w:name="_Toc195842926"/>
      <w:r/>
      <w:bookmarkStart w:id="929" w:name="_Toc226337257"/>
      <w:r/>
      <w:bookmarkStart w:id="930" w:name="_Toc127151561"/>
      <w:r/>
      <w:bookmarkStart w:id="931" w:name="_Toc150774764"/>
      <w:r/>
      <w:r/>
    </w:p>
    <w:p>
      <w:pPr>
        <w:spacing w:line="360" w:lineRule="auto"/>
        <w:rPr>
          <w:rFonts w:hint="eastAsia" w:ascii="宋体" w:hAnsi="宋体"/>
          <w:sz w:val="24"/>
        </w:rPr>
        <w:sectPr>
          <w:footnotePr/>
          <w:endnotePr/>
          <w:type w:val="nextPage"/>
          <w:pgSz w:w="16839" w:h="11907" w:orient="landscape"/>
          <w:pgMar w:top="1803" w:right="1440" w:bottom="1803" w:left="1440" w:header="851" w:footer="851" w:gutter="0"/>
          <w:cols w:num="1" w:sep="0" w:space="720" w:equalWidth="1"/>
          <w:docGrid w:linePitch="360"/>
        </w:sectPr>
        <w:outlineLvl w:val="2"/>
      </w:pPr>
      <w:r>
        <w:rPr>
          <w:rFonts w:hint="eastAsia" w:ascii="宋体" w:hAnsi="宋体"/>
          <w:sz w:val="24"/>
        </w:rPr>
      </w:r>
      <w:r/>
    </w:p>
    <w:p>
      <w:pPr>
        <w:spacing w:line="360" w:lineRule="auto"/>
        <w:rPr>
          <w:sz w:val="24"/>
          <w:szCs w:val="20"/>
        </w:rPr>
        <w:outlineLvl w:val="2"/>
      </w:pPr>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4167505</wp:posOffset>
                </wp:positionH>
                <wp:positionV relativeFrom="paragraph">
                  <wp:posOffset>349885</wp:posOffset>
                </wp:positionV>
                <wp:extent cx="816610" cy="103505"/>
                <wp:effectExtent l="635" t="4445" r="8255" b="635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2096;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43815</wp:posOffset>
                </wp:positionH>
                <wp:positionV relativeFrom="paragraph">
                  <wp:posOffset>663575</wp:posOffset>
                </wp:positionV>
                <wp:extent cx="816610" cy="76200"/>
                <wp:effectExtent l="635" t="4445" r="8255" b="825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3120;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3040380</wp:posOffset>
                </wp:positionH>
                <wp:positionV relativeFrom="paragraph">
                  <wp:posOffset>349885</wp:posOffset>
                </wp:positionV>
                <wp:extent cx="816610" cy="103505"/>
                <wp:effectExtent l="635" t="4445" r="8255" b="635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4144;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3596005</wp:posOffset>
                </wp:positionH>
                <wp:positionV relativeFrom="paragraph">
                  <wp:posOffset>663575</wp:posOffset>
                </wp:positionV>
                <wp:extent cx="816610" cy="76200"/>
                <wp:effectExtent l="635" t="4445" r="8255" b="825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5168;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4819015</wp:posOffset>
                </wp:positionH>
                <wp:positionV relativeFrom="paragraph">
                  <wp:posOffset>61595</wp:posOffset>
                </wp:positionV>
                <wp:extent cx="816610" cy="76200"/>
                <wp:effectExtent l="635" t="4445" r="8255" b="825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619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2323465</wp:posOffset>
                </wp:positionH>
                <wp:positionV relativeFrom="paragraph">
                  <wp:posOffset>663575</wp:posOffset>
                </wp:positionV>
                <wp:extent cx="816610" cy="76200"/>
                <wp:effectExtent l="635" t="4445" r="8255" b="8255"/>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7216;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4083685</wp:posOffset>
                </wp:positionH>
                <wp:positionV relativeFrom="paragraph">
                  <wp:posOffset>349885</wp:posOffset>
                </wp:positionV>
                <wp:extent cx="816610" cy="103505"/>
                <wp:effectExtent l="635" t="4445" r="8255" b="635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8240;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2987675</wp:posOffset>
                </wp:positionH>
                <wp:positionV relativeFrom="paragraph">
                  <wp:posOffset>349885</wp:posOffset>
                </wp:positionV>
                <wp:extent cx="816610" cy="103505"/>
                <wp:effectExtent l="635" t="4445" r="8255" b="635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97155</wp:posOffset>
                </wp:positionH>
                <wp:positionV relativeFrom="paragraph">
                  <wp:posOffset>663575</wp:posOffset>
                </wp:positionV>
                <wp:extent cx="816610" cy="76200"/>
                <wp:effectExtent l="635" t="4445" r="8255" b="8255"/>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0288;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3481705</wp:posOffset>
                </wp:positionH>
                <wp:positionV relativeFrom="paragraph">
                  <wp:posOffset>663575</wp:posOffset>
                </wp:positionV>
                <wp:extent cx="816610" cy="76200"/>
                <wp:effectExtent l="635" t="4445" r="8255" b="8255"/>
                <wp:wrapNone/>
                <wp:docPr id="16" name="任意多边形: 形状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2171065</wp:posOffset>
                </wp:positionH>
                <wp:positionV relativeFrom="paragraph">
                  <wp:posOffset>663575</wp:posOffset>
                </wp:positionV>
                <wp:extent cx="816610" cy="76200"/>
                <wp:effectExtent l="635" t="4445" r="8255" b="8255"/>
                <wp:wrapNone/>
                <wp:docPr id="17" name="任意多边形: 形状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4819015</wp:posOffset>
                </wp:positionH>
                <wp:positionV relativeFrom="paragraph">
                  <wp:posOffset>61595</wp:posOffset>
                </wp:positionV>
                <wp:extent cx="816610" cy="76200"/>
                <wp:effectExtent l="635" t="4445" r="8255" b="8255"/>
                <wp:wrapNone/>
                <wp:docPr id="18" name="任意多边形: 形状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070"/>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070"/>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070"/>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0"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32" w:name="_Hlk139402032"/>
      <w:r>
        <w:rPr>
          <w:rFonts w:hint="eastAsia"/>
          <w:sz w:val="24"/>
          <w:szCs w:val="20"/>
        </w:rPr>
        <w:t xml:space="preserve">项目实施方案</w:t>
      </w:r>
      <w:bookmarkEnd w:id="932"/>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3" w:name="_Toc288738839"/>
      <w:r/>
      <w:bookmarkStart w:id="934" w:name="_Toc288738397"/>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3"/>
      <w:r/>
      <w:bookmarkEnd w:id="93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 </w:t>
      </w:r>
      <w:r>
        <w:rPr>
          <w:sz w:val="24"/>
          <w:szCs w:val="20"/>
        </w:rPr>
        <w:t xml:space="preserve">招标文件要求提供或投标人认为应附的其他材料</w:t>
      </w:r>
      <w:r/>
    </w:p>
    <w:p>
      <w:pPr>
        <w:jc w:val="left"/>
        <w:widowControl/>
        <w:rPr>
          <w:b/>
          <w:sz w:val="36"/>
          <w:szCs w:val="36"/>
        </w:rPr>
      </w:pPr>
      <w:r>
        <w:rPr>
          <w:b/>
          <w:sz w:val="36"/>
          <w:szCs w:val="36"/>
        </w:rPr>
      </w:r>
      <w:r/>
    </w:p>
    <w:sectPr>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rPr>
        <w:rStyle w:val="1081"/>
      </w:rPr>
      <w:framePr w:wrap="around" w:vAnchor="text" w:hAnchor="margin" w:y="1"/>
    </w:pPr>
    <w:r/>
    <w:r/>
  </w:p>
  <w:p>
    <w:pPr>
      <w:pStyle w:val="105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center" w:y="1"/>
    </w:pPr>
    <w:r>
      <w:fldChar w:fldCharType="begin"/>
    </w:r>
    <w:r>
      <w:rPr>
        <w:rStyle w:val="1081"/>
      </w:rPr>
      <w:instrText xml:space="preserve">PAGE  </w:instrText>
    </w:r>
    <w:r>
      <w:fldChar w:fldCharType="end"/>
    </w:r>
    <w:r/>
  </w:p>
  <w:p>
    <w:pPr>
      <w:pStyle w:val="105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5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right" w:y="1"/>
    </w:pPr>
    <w:r>
      <w:rPr>
        <w:rStyle w:val="1081"/>
      </w:rPr>
      <w:fldChar w:fldCharType="begin"/>
    </w:r>
    <w:r>
      <w:rPr>
        <w:rStyle w:val="1081"/>
      </w:rPr>
      <w:instrText xml:space="preserve">PAGE  </w:instrText>
    </w:r>
    <w:r>
      <w:rPr>
        <w:rStyle w:val="1081"/>
      </w:rPr>
      <w:fldChar w:fldCharType="end"/>
    </w:r>
    <w:r/>
  </w:p>
  <w:p>
    <w:pPr>
      <w:pStyle w:val="105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458"/>
      </w:rPr>
      <w:framePr w:wrap="around" w:vAnchor="text" w:hAnchor="margin" w:xAlign="outside" w:y="1"/>
    </w:pPr>
    <w:r>
      <w:fldChar w:fldCharType="begin"/>
    </w:r>
    <w:r>
      <w:rPr>
        <w:rStyle w:val="1458"/>
      </w:rPr>
      <w:instrText xml:space="preserve">PAGE  </w:instrText>
    </w:r>
    <w:r>
      <w:fldChar w:fldCharType="end"/>
    </w:r>
    <w:r/>
  </w:p>
  <w:p>
    <w:pPr>
      <w:pStyle w:val="1057"/>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center" w:y="1"/>
    </w:pPr>
    <w:r>
      <w:fldChar w:fldCharType="begin"/>
    </w:r>
    <w:r>
      <w:rPr>
        <w:rStyle w:val="1081"/>
      </w:rPr>
      <w:instrText xml:space="preserve"> PAGE </w:instrText>
    </w:r>
    <w:r>
      <w:fldChar w:fldCharType="separate"/>
    </w:r>
    <w:r>
      <w:rPr>
        <w:rStyle w:val="1081"/>
      </w:rPr>
      <w:t xml:space="preserve">- 38 -</w:t>
    </w:r>
    <w:r>
      <w:fldChar w:fldCharType="end"/>
    </w:r>
    <w:r/>
  </w:p>
  <w:p>
    <w:pPr>
      <w:pStyle w:val="105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right" w:y="1"/>
    </w:pPr>
    <w:r>
      <w:rPr>
        <w:rStyle w:val="1081"/>
      </w:rPr>
      <w:fldChar w:fldCharType="begin"/>
    </w:r>
    <w:r>
      <w:rPr>
        <w:rStyle w:val="1081"/>
      </w:rPr>
      <w:instrText xml:space="preserve">PAGE  </w:instrText>
    </w:r>
    <w:r>
      <w:rPr>
        <w:rStyle w:val="1081"/>
      </w:rPr>
      <w:fldChar w:fldCharType="end"/>
    </w:r>
    <w:r/>
  </w:p>
  <w:p>
    <w:pPr>
      <w:pStyle w:val="105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436245</wp:posOffset>
              </wp:positionH>
              <wp:positionV relativeFrom="paragraph">
                <wp:posOffset>-258445</wp:posOffset>
              </wp:positionV>
              <wp:extent cx="236220" cy="236220"/>
              <wp:effectExtent l="0" t="0" r="5080"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9525</wp:posOffset>
              </wp:positionH>
              <wp:positionV relativeFrom="paragraph">
                <wp:posOffset>-22225</wp:posOffset>
              </wp:positionV>
              <wp:extent cx="1106170" cy="182880"/>
              <wp:effectExtent l="0" t="0" r="11430" b="889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436245</wp:posOffset>
              </wp:positionH>
              <wp:positionV relativeFrom="paragraph">
                <wp:posOffset>-258445</wp:posOffset>
              </wp:positionV>
              <wp:extent cx="236220" cy="236220"/>
              <wp:effectExtent l="0" t="0" r="5080" b="508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5168;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9525</wp:posOffset>
              </wp:positionH>
              <wp:positionV relativeFrom="paragraph">
                <wp:posOffset>-22225</wp:posOffset>
              </wp:positionV>
              <wp:extent cx="1106170" cy="182880"/>
              <wp:effectExtent l="0" t="0" r="11430" b="889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6192;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952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pStyle w:val="1578"/>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2"/>
      <w:numFmt w:val="chineseCounting"/>
      <w:pStyle w:val="155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52"/>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29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3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29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9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7"/>
      <w:isLgl w:val="false"/>
      <w:suff w:val="nothing"/>
      <w:lvlText w:val="%1.%2.%3.%4.%5.%6　"/>
      <w:lvlJc w:val="left"/>
      <w:pPr>
        <w:ind w:left="-25" w:firstLine="0"/>
      </w:pPr>
      <w:rPr>
        <w:rFonts w:ascii="Times New Roman" w:hAnsi="Times New Roman" w:eastAsia="宋体"/>
        <w:b/>
        <w:i w:val="0"/>
        <w:sz w:val="28"/>
      </w:rPr>
    </w:lvl>
    <w:lvl w:ilvl="6">
      <w:start w:val="1"/>
      <w:numFmt w:val="lowerLetter"/>
      <w:pStyle w:val="135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1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3"/>
      <w:numFmt w:val="decimal"/>
      <w:pStyle w:val="15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pStyle w:val="134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pStyle w:val="137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000000"/>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0"/>
  </w:num>
  <w:num w:numId="3">
    <w:abstractNumId w:val="7"/>
  </w:num>
  <w:num w:numId="4">
    <w:abstractNumId w:val="8"/>
  </w:num>
  <w:num w:numId="5">
    <w:abstractNumId w:val="14"/>
  </w:num>
  <w:num w:numId="6">
    <w:abstractNumId w:val="15"/>
  </w:num>
  <w:num w:numId="7">
    <w:abstractNumId w:val="16"/>
  </w:num>
  <w:num w:numId="8">
    <w:abstractNumId w:val="12"/>
  </w:num>
  <w:num w:numId="9">
    <w:abstractNumId w:val="6"/>
  </w:num>
  <w:num w:numId="10">
    <w:abstractNumId w:val="5"/>
  </w:num>
  <w:num w:numId="11">
    <w:abstractNumId w:val="3"/>
  </w:num>
  <w:num w:numId="12">
    <w:abstractNumId w:val="10"/>
  </w:num>
  <w:num w:numId="13">
    <w:abstractNumId w:val="2"/>
  </w:num>
  <w:num w:numId="14">
    <w:abstractNumId w:val="11"/>
  </w:num>
  <w:num w:numId="15">
    <w:abstractNumId w:val="1"/>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26" w:default="1">
    <w:name w:val="Normal"/>
    <w:next w:val="1029"/>
    <w:qFormat/>
    <w:pPr>
      <w:jc w:val="both"/>
      <w:widowControl w:val="off"/>
    </w:pPr>
    <w:rPr>
      <w:sz w:val="21"/>
      <w:szCs w:val="24"/>
    </w:rPr>
  </w:style>
  <w:style w:type="paragraph" w:styleId="1027">
    <w:name w:val="Heading 1"/>
    <w:basedOn w:val="1026"/>
    <w:next w:val="1026"/>
    <w:link w:val="1240"/>
    <w:uiPriority w:val="9"/>
    <w:qFormat/>
    <w:pPr>
      <w:jc w:val="center"/>
      <w:keepLines/>
      <w:keepNext/>
      <w:spacing w:before="240" w:after="120" w:line="300" w:lineRule="auto"/>
      <w:outlineLvl w:val="0"/>
    </w:pPr>
    <w:rPr>
      <w:rFonts w:ascii="宋体"/>
      <w:b/>
      <w:sz w:val="32"/>
      <w:szCs w:val="20"/>
    </w:rPr>
  </w:style>
  <w:style w:type="paragraph" w:styleId="1028">
    <w:name w:val="Heading 2"/>
    <w:basedOn w:val="1026"/>
    <w:next w:val="1039"/>
    <w:link w:val="1241"/>
    <w:qFormat/>
    <w:pPr>
      <w:jc w:val="center"/>
      <w:keepLines/>
      <w:keepNext/>
      <w:spacing w:before="120" w:line="300" w:lineRule="auto"/>
      <w:outlineLvl w:val="1"/>
    </w:pPr>
    <w:rPr>
      <w:rFonts w:ascii="Arial" w:hAnsi="Arial" w:eastAsia="黑体"/>
      <w:b/>
      <w:sz w:val="30"/>
      <w:szCs w:val="20"/>
    </w:rPr>
  </w:style>
  <w:style w:type="paragraph" w:styleId="1029">
    <w:name w:val="Heading 3"/>
    <w:basedOn w:val="1026"/>
    <w:next w:val="1026"/>
    <w:link w:val="1239"/>
    <w:uiPriority w:val="9"/>
    <w:qFormat/>
    <w:pPr>
      <w:jc w:val="left"/>
      <w:keepLines/>
      <w:keepNext/>
      <w:spacing w:before="360" w:after="120"/>
      <w:outlineLvl w:val="2"/>
    </w:pPr>
    <w:rPr>
      <w:rFonts w:ascii="宋体"/>
      <w:b/>
      <w:sz w:val="24"/>
      <w:szCs w:val="20"/>
      <w:u w:val="single"/>
    </w:rPr>
  </w:style>
  <w:style w:type="paragraph" w:styleId="1030">
    <w:name w:val="Heading 4"/>
    <w:basedOn w:val="1026"/>
    <w:next w:val="1026"/>
    <w:link w:val="1243"/>
    <w:uiPriority w:val="9"/>
    <w:qFormat/>
    <w:pPr>
      <w:keepLines/>
      <w:keepNext/>
      <w:spacing w:before="280" w:after="290" w:line="376" w:lineRule="atLeast"/>
      <w:outlineLvl w:val="3"/>
    </w:pPr>
    <w:rPr>
      <w:rFonts w:ascii="Arial" w:hAnsi="Arial" w:eastAsia="黑体"/>
      <w:b/>
      <w:sz w:val="28"/>
      <w:szCs w:val="20"/>
    </w:rPr>
  </w:style>
  <w:style w:type="paragraph" w:styleId="1031">
    <w:name w:val="Heading 5"/>
    <w:basedOn w:val="1026"/>
    <w:next w:val="1026"/>
    <w:link w:val="1244"/>
    <w:uiPriority w:val="9"/>
    <w:qFormat/>
    <w:pPr>
      <w:keepLines/>
      <w:keepNext/>
      <w:spacing w:before="280" w:after="290" w:line="376" w:lineRule="atLeast"/>
      <w:outlineLvl w:val="4"/>
    </w:pPr>
    <w:rPr>
      <w:b/>
      <w:sz w:val="28"/>
      <w:szCs w:val="20"/>
    </w:rPr>
  </w:style>
  <w:style w:type="paragraph" w:styleId="1032">
    <w:name w:val="Heading 6"/>
    <w:basedOn w:val="1026"/>
    <w:next w:val="1026"/>
    <w:link w:val="1245"/>
    <w:uiPriority w:val="9"/>
    <w:qFormat/>
    <w:pPr>
      <w:keepLines/>
      <w:keepNext/>
      <w:spacing w:before="240" w:after="64" w:line="320" w:lineRule="atLeast"/>
      <w:outlineLvl w:val="5"/>
    </w:pPr>
    <w:rPr>
      <w:rFonts w:ascii="Arial" w:hAnsi="Arial" w:eastAsia="黑体"/>
      <w:b/>
      <w:sz w:val="24"/>
      <w:szCs w:val="20"/>
    </w:rPr>
  </w:style>
  <w:style w:type="paragraph" w:styleId="1033">
    <w:name w:val="Heading 7"/>
    <w:basedOn w:val="1026"/>
    <w:next w:val="1026"/>
    <w:link w:val="1246"/>
    <w:uiPriority w:val="9"/>
    <w:qFormat/>
    <w:pPr>
      <w:keepLines/>
      <w:keepNext/>
      <w:spacing w:before="240" w:after="64" w:line="320" w:lineRule="atLeast"/>
      <w:outlineLvl w:val="6"/>
    </w:pPr>
    <w:rPr>
      <w:b/>
      <w:sz w:val="24"/>
      <w:szCs w:val="20"/>
    </w:rPr>
  </w:style>
  <w:style w:type="paragraph" w:styleId="1034">
    <w:name w:val="Heading 8"/>
    <w:basedOn w:val="1026"/>
    <w:next w:val="1026"/>
    <w:link w:val="1247"/>
    <w:uiPriority w:val="9"/>
    <w:qFormat/>
    <w:pPr>
      <w:keepLines/>
      <w:keepNext/>
      <w:spacing w:before="240" w:after="64" w:line="320" w:lineRule="atLeast"/>
      <w:outlineLvl w:val="7"/>
    </w:pPr>
    <w:rPr>
      <w:rFonts w:ascii="Arial" w:hAnsi="Arial" w:eastAsia="黑体"/>
      <w:sz w:val="24"/>
      <w:szCs w:val="20"/>
    </w:rPr>
  </w:style>
  <w:style w:type="paragraph" w:styleId="1035">
    <w:name w:val="Heading 9"/>
    <w:basedOn w:val="1026"/>
    <w:next w:val="1026"/>
    <w:link w:val="1248"/>
    <w:uiPriority w:val="9"/>
    <w:qFormat/>
    <w:pPr>
      <w:keepLines/>
      <w:keepNext/>
      <w:spacing w:before="240" w:after="64" w:line="320" w:lineRule="atLeast"/>
      <w:outlineLvl w:val="8"/>
    </w:pPr>
    <w:rPr>
      <w:rFonts w:ascii="Arial" w:hAnsi="Arial" w:eastAsia="黑体"/>
      <w:szCs w:val="20"/>
    </w:rPr>
  </w:style>
  <w:style w:type="character" w:styleId="1036" w:default="1">
    <w:name w:val="Default Paragraph Font"/>
    <w:uiPriority w:val="1"/>
    <w:semiHidden/>
    <w:unhideWhenUsed/>
  </w:style>
  <w:style w:type="table" w:styleId="1037" w:default="1">
    <w:name w:val="Normal Table"/>
    <w:uiPriority w:val="99"/>
    <w:semiHidden/>
    <w:unhideWhenUsed/>
    <w:tblPr>
      <w:tblInd w:w="0" w:type="dxa"/>
      <w:tblCellMar>
        <w:left w:w="108" w:type="dxa"/>
        <w:top w:w="0" w:type="dxa"/>
        <w:right w:w="108" w:type="dxa"/>
        <w:bottom w:w="0" w:type="dxa"/>
      </w:tblCellMar>
    </w:tblPr>
  </w:style>
  <w:style w:type="numbering" w:styleId="1038" w:default="1">
    <w:name w:val="No List"/>
    <w:uiPriority w:val="99"/>
    <w:semiHidden/>
    <w:unhideWhenUsed/>
  </w:style>
  <w:style w:type="paragraph" w:styleId="1039">
    <w:name w:val="Normal Indent"/>
    <w:basedOn w:val="1026"/>
    <w:link w:val="1242"/>
    <w:qFormat/>
    <w:pPr>
      <w:ind w:firstLine="420"/>
      <w:jc w:val="left"/>
    </w:pPr>
    <w:rPr>
      <w:rFonts w:ascii="宋体"/>
      <w:sz w:val="24"/>
    </w:rPr>
  </w:style>
  <w:style w:type="paragraph" w:styleId="1040">
    <w:name w:val="toc 7"/>
    <w:basedOn w:val="1026"/>
    <w:next w:val="1026"/>
    <w:qFormat/>
    <w:pPr>
      <w:ind w:left="2520"/>
    </w:pPr>
  </w:style>
  <w:style w:type="paragraph" w:styleId="1041">
    <w:name w:val="Caption"/>
    <w:basedOn w:val="1026"/>
    <w:next w:val="1026"/>
    <w:qFormat/>
    <w:pPr>
      <w:spacing w:line="480" w:lineRule="auto"/>
    </w:pPr>
    <w:rPr>
      <w:rFonts w:ascii="华文中宋" w:hAnsi="华文中宋" w:eastAsia="华文中宋"/>
      <w:sz w:val="36"/>
      <w:szCs w:val="20"/>
    </w:rPr>
  </w:style>
  <w:style w:type="paragraph" w:styleId="1042">
    <w:name w:val="Document Map"/>
    <w:basedOn w:val="1026"/>
    <w:link w:val="1249"/>
    <w:qFormat/>
    <w:pPr>
      <w:shd w:val="clear" w:color="auto" w:fill="000080"/>
    </w:pPr>
  </w:style>
  <w:style w:type="paragraph" w:styleId="1043">
    <w:name w:val="annotation text"/>
    <w:basedOn w:val="1026"/>
    <w:link w:val="1250"/>
    <w:uiPriority w:val="99"/>
    <w:qFormat/>
    <w:pPr>
      <w:jc w:val="left"/>
    </w:pPr>
  </w:style>
  <w:style w:type="paragraph" w:styleId="1044">
    <w:name w:val="Body Text 3"/>
    <w:basedOn w:val="1026"/>
    <w:link w:val="1251"/>
    <w:qFormat/>
    <w:pPr>
      <w:spacing w:after="120"/>
    </w:pPr>
    <w:rPr>
      <w:sz w:val="16"/>
      <w:szCs w:val="16"/>
    </w:rPr>
  </w:style>
  <w:style w:type="paragraph" w:styleId="1045">
    <w:name w:val="Body Text"/>
    <w:basedOn w:val="1026"/>
    <w:link w:val="1252"/>
    <w:uiPriority w:val="99"/>
    <w:qFormat/>
    <w:pPr>
      <w:spacing w:before="120" w:line="22" w:lineRule="atLeast"/>
      <w:tabs>
        <w:tab w:val="left" w:pos="567" w:leader="none"/>
      </w:tabs>
    </w:pPr>
    <w:rPr>
      <w:rFonts w:ascii="宋体" w:hAnsi="宋体"/>
      <w:sz w:val="24"/>
    </w:rPr>
  </w:style>
  <w:style w:type="paragraph" w:styleId="1046">
    <w:name w:val="Body Text Indent"/>
    <w:basedOn w:val="1026"/>
    <w:link w:val="1253"/>
    <w:qFormat/>
    <w:pPr>
      <w:ind w:firstLine="570"/>
      <w:spacing w:line="360" w:lineRule="auto"/>
    </w:pPr>
    <w:rPr>
      <w:sz w:val="24"/>
    </w:rPr>
  </w:style>
  <w:style w:type="paragraph" w:styleId="1047">
    <w:name w:val="List 2"/>
    <w:basedOn w:val="1026"/>
    <w:qFormat/>
    <w:pPr>
      <w:ind w:left="100" w:hanging="200"/>
    </w:pPr>
  </w:style>
  <w:style w:type="paragraph" w:styleId="1048">
    <w:name w:val="Block Text"/>
    <w:basedOn w:val="1026"/>
    <w:qFormat/>
    <w:pPr>
      <w:ind w:left="480" w:right="-341" w:firstLine="513"/>
      <w:widowControl/>
    </w:pPr>
    <w:rPr>
      <w:sz w:val="24"/>
      <w:szCs w:val="20"/>
    </w:rPr>
  </w:style>
  <w:style w:type="paragraph" w:styleId="1049">
    <w:name w:val="toc 5"/>
    <w:basedOn w:val="1026"/>
    <w:next w:val="1026"/>
    <w:qFormat/>
    <w:pPr>
      <w:ind w:left="1680"/>
    </w:pPr>
  </w:style>
  <w:style w:type="paragraph" w:styleId="1050">
    <w:name w:val="toc 3"/>
    <w:basedOn w:val="1026"/>
    <w:next w:val="1026"/>
    <w:qFormat/>
    <w:pPr>
      <w:ind w:left="840"/>
    </w:pPr>
  </w:style>
  <w:style w:type="paragraph" w:styleId="1051">
    <w:name w:val="Plain Text"/>
    <w:basedOn w:val="1026"/>
    <w:link w:val="1254"/>
    <w:uiPriority w:val="99"/>
    <w:qFormat/>
    <w:rPr>
      <w:rFonts w:hint="eastAsia" w:ascii="宋体" w:hAnsi="Courier New"/>
      <w:szCs w:val="20"/>
    </w:rPr>
  </w:style>
  <w:style w:type="paragraph" w:styleId="1052">
    <w:name w:val="toc 8"/>
    <w:basedOn w:val="1026"/>
    <w:next w:val="1026"/>
    <w:qFormat/>
    <w:pPr>
      <w:ind w:left="2940"/>
    </w:pPr>
  </w:style>
  <w:style w:type="paragraph" w:styleId="1053">
    <w:name w:val="Date"/>
    <w:basedOn w:val="1026"/>
    <w:next w:val="1026"/>
    <w:link w:val="1255"/>
    <w:qFormat/>
    <w:pPr>
      <w:ind w:left="100"/>
    </w:pPr>
    <w:rPr>
      <w:rFonts w:ascii="仿宋_GB2312" w:hAnsi="宋体" w:eastAsia="仿宋_GB2312"/>
      <w:color w:val="000000"/>
      <w:sz w:val="24"/>
    </w:rPr>
  </w:style>
  <w:style w:type="paragraph" w:styleId="1054">
    <w:name w:val="Body Text Indent 2"/>
    <w:basedOn w:val="1026"/>
    <w:link w:val="1256"/>
    <w:qFormat/>
    <w:pPr>
      <w:ind w:firstLine="480"/>
    </w:pPr>
    <w:rPr>
      <w:rFonts w:ascii="仿宋_GB2312" w:eastAsia="仿宋_GB2312"/>
      <w:sz w:val="24"/>
    </w:rPr>
  </w:style>
  <w:style w:type="paragraph" w:styleId="1055">
    <w:name w:val="endnote text"/>
    <w:basedOn w:val="1026"/>
    <w:link w:val="1257"/>
    <w:qFormat/>
    <w:pPr>
      <w:jc w:val="left"/>
    </w:pPr>
    <w:rPr>
      <w:sz w:val="24"/>
    </w:rPr>
  </w:style>
  <w:style w:type="paragraph" w:styleId="1056">
    <w:name w:val="Balloon Text"/>
    <w:basedOn w:val="1026"/>
    <w:link w:val="1258"/>
    <w:qFormat/>
    <w:rPr>
      <w:sz w:val="18"/>
      <w:szCs w:val="18"/>
    </w:rPr>
  </w:style>
  <w:style w:type="paragraph" w:styleId="1057">
    <w:name w:val="Footer"/>
    <w:basedOn w:val="1026"/>
    <w:link w:val="1259"/>
    <w:uiPriority w:val="99"/>
    <w:qFormat/>
    <w:pPr>
      <w:jc w:val="left"/>
      <w:tabs>
        <w:tab w:val="center" w:pos="4153" w:leader="none"/>
        <w:tab w:val="right" w:pos="8306" w:leader="none"/>
      </w:tabs>
    </w:pPr>
    <w:rPr>
      <w:rFonts w:ascii="宋体"/>
      <w:sz w:val="18"/>
      <w:szCs w:val="20"/>
    </w:rPr>
  </w:style>
  <w:style w:type="paragraph" w:styleId="1058">
    <w:name w:val="Header"/>
    <w:basedOn w:val="1026"/>
    <w:link w:val="1260"/>
    <w:qFormat/>
    <w:pPr>
      <w:jc w:val="center"/>
      <w:tabs>
        <w:tab w:val="center" w:pos="4153" w:leader="none"/>
        <w:tab w:val="right" w:pos="8306" w:leader="none"/>
      </w:tabs>
      <w:pBdr>
        <w:bottom w:val="single" w:color="000000" w:sz="6" w:space="1"/>
      </w:pBdr>
    </w:pPr>
    <w:rPr>
      <w:sz w:val="18"/>
      <w:szCs w:val="18"/>
    </w:rPr>
  </w:style>
  <w:style w:type="paragraph" w:styleId="1059">
    <w:name w:val="toc 1"/>
    <w:basedOn w:val="1026"/>
    <w:next w:val="1026"/>
    <w:uiPriority w:val="39"/>
    <w:qFormat/>
    <w:pPr>
      <w:spacing w:line="300" w:lineRule="auto"/>
      <w:tabs>
        <w:tab w:val="left" w:pos="1050" w:leader="none"/>
        <w:tab w:val="right" w:pos="8937" w:leader="dot"/>
      </w:tabs>
    </w:pPr>
    <w:rPr>
      <w:rFonts w:ascii="宋体" w:hAnsi="宋体"/>
      <w:b/>
      <w:sz w:val="24"/>
    </w:rPr>
  </w:style>
  <w:style w:type="paragraph" w:styleId="1060">
    <w:name w:val="toc 4"/>
    <w:basedOn w:val="1026"/>
    <w:next w:val="1026"/>
    <w:qFormat/>
    <w:pPr>
      <w:ind w:left="1260"/>
    </w:pPr>
  </w:style>
  <w:style w:type="paragraph" w:styleId="1061">
    <w:name w:val="Subtitle"/>
    <w:basedOn w:val="1026"/>
    <w:next w:val="1026"/>
    <w:link w:val="1103"/>
    <w:uiPriority w:val="11"/>
    <w:qFormat/>
    <w:pPr>
      <w:spacing w:before="200" w:after="200"/>
    </w:pPr>
    <w:rPr>
      <w:sz w:val="24"/>
    </w:rPr>
  </w:style>
  <w:style w:type="paragraph" w:styleId="1062">
    <w:name w:val="footnote text"/>
    <w:basedOn w:val="1026"/>
    <w:link w:val="1261"/>
    <w:qFormat/>
    <w:pPr>
      <w:jc w:val="left"/>
    </w:pPr>
    <w:rPr>
      <w:sz w:val="18"/>
      <w:szCs w:val="20"/>
    </w:rPr>
  </w:style>
  <w:style w:type="paragraph" w:styleId="1063">
    <w:name w:val="toc 6"/>
    <w:basedOn w:val="1026"/>
    <w:next w:val="1026"/>
    <w:qFormat/>
    <w:pPr>
      <w:ind w:left="2100"/>
    </w:pPr>
  </w:style>
  <w:style w:type="paragraph" w:styleId="1064">
    <w:name w:val="Body Text Indent 3"/>
    <w:basedOn w:val="1026"/>
    <w:link w:val="1262"/>
    <w:qFormat/>
    <w:pPr>
      <w:ind w:left="720" w:firstLine="480"/>
      <w:jc w:val="left"/>
      <w:spacing w:before="120" w:line="22" w:lineRule="atLeast"/>
    </w:pPr>
    <w:rPr>
      <w:rFonts w:ascii="宋体"/>
      <w:sz w:val="24"/>
      <w:szCs w:val="20"/>
    </w:rPr>
  </w:style>
  <w:style w:type="paragraph" w:styleId="1065">
    <w:name w:val="table of figures"/>
    <w:basedOn w:val="1026"/>
    <w:next w:val="1026"/>
    <w:uiPriority w:val="99"/>
    <w:unhideWhenUsed/>
    <w:qFormat/>
  </w:style>
  <w:style w:type="paragraph" w:styleId="1066">
    <w:name w:val="toc 2"/>
    <w:basedOn w:val="1026"/>
    <w:next w:val="1026"/>
    <w:uiPriority w:val="39"/>
    <w:qFormat/>
    <w:pPr>
      <w:ind w:left="420"/>
      <w:spacing w:line="312" w:lineRule="auto"/>
      <w:tabs>
        <w:tab w:val="right" w:pos="8937" w:leader="dot"/>
      </w:tabs>
    </w:pPr>
  </w:style>
  <w:style w:type="paragraph" w:styleId="1067">
    <w:name w:val="toc 9"/>
    <w:basedOn w:val="1026"/>
    <w:next w:val="1026"/>
    <w:qFormat/>
    <w:pPr>
      <w:ind w:left="3360"/>
    </w:pPr>
  </w:style>
  <w:style w:type="paragraph" w:styleId="1068">
    <w:name w:val="Body Text 2"/>
    <w:basedOn w:val="1026"/>
    <w:link w:val="1263"/>
    <w:qFormat/>
    <w:rPr>
      <w:rFonts w:ascii="宋体"/>
      <w:b/>
      <w:sz w:val="24"/>
      <w:szCs w:val="20"/>
    </w:rPr>
  </w:style>
  <w:style w:type="paragraph" w:styleId="1069">
    <w:name w:val="HTML Preformatted"/>
    <w:basedOn w:val="1026"/>
    <w:link w:val="12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70">
    <w:name w:val="Normal (Web)"/>
    <w:basedOn w:val="1026"/>
    <w:link w:val="1265"/>
    <w:uiPriority w:val="99"/>
    <w:unhideWhenUsed/>
    <w:qFormat/>
    <w:pPr>
      <w:jc w:val="left"/>
      <w:spacing w:before="100" w:beforeAutospacing="1" w:after="100" w:afterAutospacing="1"/>
      <w:widowControl/>
    </w:pPr>
    <w:rPr>
      <w:rFonts w:ascii="宋体" w:hAnsi="宋体" w:cs="宋体"/>
      <w:sz w:val="24"/>
    </w:rPr>
  </w:style>
  <w:style w:type="paragraph" w:styleId="1071">
    <w:name w:val="index 1"/>
    <w:basedOn w:val="1026"/>
    <w:next w:val="1026"/>
    <w:qFormat/>
    <w:rPr>
      <w:szCs w:val="20"/>
    </w:rPr>
  </w:style>
  <w:style w:type="paragraph" w:styleId="1072">
    <w:name w:val="index 2"/>
    <w:basedOn w:val="1026"/>
    <w:next w:val="1026"/>
    <w:uiPriority w:val="99"/>
    <w:qFormat/>
    <w:pPr>
      <w:ind w:left="200"/>
    </w:pPr>
    <w:rPr>
      <w:rFonts w:ascii="Calibri" w:hAnsi="Calibri"/>
      <w:szCs w:val="20"/>
    </w:rPr>
  </w:style>
  <w:style w:type="paragraph" w:styleId="1073">
    <w:name w:val="Title"/>
    <w:basedOn w:val="1026"/>
    <w:link w:val="1266"/>
    <w:uiPriority w:val="10"/>
    <w:qFormat/>
    <w:pPr>
      <w:jc w:val="center"/>
      <w:outlineLvl w:val="0"/>
    </w:pPr>
    <w:rPr>
      <w:b/>
      <w:sz w:val="32"/>
      <w:szCs w:val="20"/>
    </w:rPr>
  </w:style>
  <w:style w:type="paragraph" w:styleId="1074">
    <w:name w:val="annotation subject"/>
    <w:basedOn w:val="1043"/>
    <w:next w:val="1043"/>
    <w:link w:val="1267"/>
    <w:qFormat/>
    <w:rPr>
      <w:b/>
      <w:bCs/>
    </w:rPr>
  </w:style>
  <w:style w:type="paragraph" w:styleId="1075">
    <w:name w:val="Body Text First Indent"/>
    <w:basedOn w:val="1045"/>
    <w:link w:val="1268"/>
    <w:qFormat/>
    <w:pPr>
      <w:ind w:firstLine="420"/>
      <w:spacing w:before="0" w:after="120" w:line="240" w:lineRule="auto"/>
      <w:tabs>
        <w:tab w:val="clear" w:pos="567" w:leader="none"/>
      </w:tabs>
    </w:pPr>
    <w:rPr>
      <w:rFonts w:ascii="Times New Roman" w:hAnsi="Times New Roman"/>
      <w:sz w:val="21"/>
      <w:szCs w:val="20"/>
    </w:rPr>
  </w:style>
  <w:style w:type="paragraph" w:styleId="1076">
    <w:name w:val="Body Text First Indent 2"/>
    <w:basedOn w:val="1046"/>
    <w:link w:val="1269"/>
    <w:uiPriority w:val="99"/>
    <w:qFormat/>
    <w:pPr>
      <w:ind w:left="420" w:firstLine="420"/>
      <w:spacing w:after="120" w:line="480" w:lineRule="exact"/>
    </w:pPr>
    <w:rPr>
      <w:szCs w:val="20"/>
    </w:rPr>
  </w:style>
  <w:style w:type="table" w:styleId="1077">
    <w:name w:val="Table Grid"/>
    <w:basedOn w:val="10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8">
    <w:name w:val="Medium Grid 1 Accent 2"/>
    <w:basedOn w:val="103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1079">
    <w:name w:val="Strong"/>
    <w:qFormat/>
    <w:rPr>
      <w:b/>
      <w:bCs/>
    </w:rPr>
  </w:style>
  <w:style w:type="character" w:styleId="1080">
    <w:name w:val="endnote reference"/>
    <w:qFormat/>
    <w:rPr>
      <w:rFonts w:cs="Times New Roman"/>
      <w:vertAlign w:val="superscript"/>
    </w:rPr>
  </w:style>
  <w:style w:type="character" w:styleId="1081">
    <w:name w:val="page number"/>
    <w:qFormat/>
  </w:style>
  <w:style w:type="character" w:styleId="1082">
    <w:name w:val="FollowedHyperlink"/>
    <w:uiPriority w:val="99"/>
    <w:qFormat/>
    <w:rPr>
      <w:color w:val="800080"/>
      <w:u w:val="single"/>
    </w:rPr>
  </w:style>
  <w:style w:type="character" w:styleId="1083">
    <w:name w:val="Emphasis"/>
    <w:qFormat/>
    <w:rPr>
      <w:color w:val="cc0033"/>
    </w:rPr>
  </w:style>
  <w:style w:type="character" w:styleId="1084">
    <w:name w:val="Hyperlink"/>
    <w:uiPriority w:val="99"/>
    <w:qFormat/>
    <w:rPr>
      <w:color w:val="0000ff"/>
      <w:u w:val="single"/>
    </w:rPr>
  </w:style>
  <w:style w:type="character" w:styleId="1085">
    <w:name w:val="annotation reference"/>
    <w:qFormat/>
    <w:rPr>
      <w:sz w:val="21"/>
      <w:szCs w:val="21"/>
    </w:rPr>
  </w:style>
  <w:style w:type="character" w:styleId="1086">
    <w:name w:val="HTML Cite"/>
    <w:qFormat/>
    <w:rPr>
      <w:i/>
      <w:iCs/>
    </w:rPr>
  </w:style>
  <w:style w:type="character" w:styleId="1087">
    <w:name w:val="footnote reference"/>
    <w:qFormat/>
    <w:rPr>
      <w:rFonts w:cs="Times New Roman"/>
      <w:vertAlign w:val="superscript"/>
    </w:rPr>
  </w:style>
  <w:style w:type="character" w:styleId="1088" w:customStyle="1">
    <w:name w:val="Subtitle Char"/>
    <w:uiPriority w:val="11"/>
    <w:qFormat/>
    <w:rPr>
      <w:sz w:val="24"/>
      <w:szCs w:val="24"/>
    </w:rPr>
  </w:style>
  <w:style w:type="character" w:styleId="1089" w:customStyle="1">
    <w:name w:val="Quote Char"/>
    <w:uiPriority w:val="29"/>
    <w:qFormat/>
    <w:rPr>
      <w:i/>
    </w:rPr>
  </w:style>
  <w:style w:type="character" w:styleId="1090" w:customStyle="1">
    <w:name w:val="Intense Quote Char"/>
    <w:uiPriority w:val="30"/>
    <w:qFormat/>
    <w:rPr>
      <w:i/>
    </w:rPr>
  </w:style>
  <w:style w:type="character" w:styleId="1091" w:customStyle="1">
    <w:name w:val="Heading 1 Char"/>
    <w:uiPriority w:val="9"/>
    <w:qFormat/>
    <w:rPr>
      <w:rFonts w:ascii="Arial" w:hAnsi="Arial" w:eastAsia="Arial" w:cs="Arial"/>
      <w:sz w:val="40"/>
      <w:szCs w:val="40"/>
    </w:rPr>
  </w:style>
  <w:style w:type="character" w:styleId="1092" w:customStyle="1">
    <w:name w:val="Heading 2 Char"/>
    <w:uiPriority w:val="9"/>
    <w:qFormat/>
    <w:rPr>
      <w:rFonts w:ascii="Arial" w:hAnsi="Arial" w:eastAsia="Arial" w:cs="Arial"/>
      <w:sz w:val="34"/>
    </w:rPr>
  </w:style>
  <w:style w:type="character" w:styleId="1093" w:customStyle="1">
    <w:name w:val="Heading 3 Char"/>
    <w:uiPriority w:val="9"/>
    <w:qFormat/>
    <w:rPr>
      <w:rFonts w:ascii="Arial" w:hAnsi="Arial" w:eastAsia="Arial" w:cs="Arial"/>
      <w:sz w:val="30"/>
      <w:szCs w:val="30"/>
    </w:rPr>
  </w:style>
  <w:style w:type="character" w:styleId="1094" w:customStyle="1">
    <w:name w:val="Heading 4 Char"/>
    <w:uiPriority w:val="9"/>
    <w:qFormat/>
    <w:rPr>
      <w:rFonts w:ascii="Arial" w:hAnsi="Arial" w:eastAsia="Arial" w:cs="Arial"/>
      <w:b/>
      <w:bCs/>
      <w:sz w:val="26"/>
      <w:szCs w:val="26"/>
    </w:rPr>
  </w:style>
  <w:style w:type="character" w:styleId="1095" w:customStyle="1">
    <w:name w:val="Heading 5 Char"/>
    <w:uiPriority w:val="9"/>
    <w:qFormat/>
    <w:rPr>
      <w:rFonts w:ascii="Arial" w:hAnsi="Arial" w:eastAsia="Arial" w:cs="Arial"/>
      <w:b/>
      <w:bCs/>
      <w:sz w:val="24"/>
      <w:szCs w:val="24"/>
    </w:rPr>
  </w:style>
  <w:style w:type="character" w:styleId="1096" w:customStyle="1">
    <w:name w:val="Heading 6 Char"/>
    <w:uiPriority w:val="9"/>
    <w:qFormat/>
    <w:rPr>
      <w:rFonts w:ascii="Arial" w:hAnsi="Arial" w:eastAsia="Arial" w:cs="Arial"/>
      <w:b/>
      <w:bCs/>
      <w:sz w:val="22"/>
      <w:szCs w:val="22"/>
    </w:rPr>
  </w:style>
  <w:style w:type="character" w:styleId="1097" w:customStyle="1">
    <w:name w:val="Heading 7 Char"/>
    <w:uiPriority w:val="9"/>
    <w:qFormat/>
    <w:rPr>
      <w:rFonts w:ascii="Arial" w:hAnsi="Arial" w:eastAsia="Arial" w:cs="Arial"/>
      <w:b/>
      <w:bCs/>
      <w:i/>
      <w:iCs/>
      <w:sz w:val="22"/>
      <w:szCs w:val="22"/>
    </w:rPr>
  </w:style>
  <w:style w:type="character" w:styleId="1098" w:customStyle="1">
    <w:name w:val="Heading 8 Char"/>
    <w:uiPriority w:val="9"/>
    <w:qFormat/>
    <w:rPr>
      <w:rFonts w:ascii="Arial" w:hAnsi="Arial" w:eastAsia="Arial" w:cs="Arial"/>
      <w:i/>
      <w:iCs/>
      <w:sz w:val="22"/>
      <w:szCs w:val="22"/>
    </w:rPr>
  </w:style>
  <w:style w:type="character" w:styleId="1099" w:customStyle="1">
    <w:name w:val="Heading 9 Char"/>
    <w:uiPriority w:val="9"/>
    <w:qFormat/>
    <w:rPr>
      <w:rFonts w:ascii="Arial" w:hAnsi="Arial" w:eastAsia="Arial" w:cs="Arial"/>
      <w:i/>
      <w:iCs/>
      <w:sz w:val="21"/>
      <w:szCs w:val="21"/>
    </w:rPr>
  </w:style>
  <w:style w:type="paragraph" w:styleId="1100">
    <w:name w:val="List Paragraph"/>
    <w:basedOn w:val="1026"/>
    <w:link w:val="1285"/>
    <w:uiPriority w:val="34"/>
    <w:qFormat/>
    <w:pPr>
      <w:ind w:firstLine="420"/>
    </w:pPr>
    <w:rPr>
      <w:rFonts w:ascii="Calibri" w:hAnsi="Calibri"/>
      <w:szCs w:val="22"/>
    </w:rPr>
  </w:style>
  <w:style w:type="paragraph" w:styleId="1101">
    <w:name w:val="No Spacing"/>
    <w:qFormat/>
    <w:pPr>
      <w:jc w:val="both"/>
      <w:widowControl w:val="off"/>
    </w:pPr>
    <w:rPr>
      <w:sz w:val="21"/>
      <w:szCs w:val="24"/>
    </w:rPr>
  </w:style>
  <w:style w:type="character" w:styleId="1102" w:customStyle="1">
    <w:name w:val="Title Char"/>
    <w:uiPriority w:val="10"/>
    <w:qFormat/>
    <w:rPr>
      <w:sz w:val="48"/>
      <w:szCs w:val="48"/>
    </w:rPr>
  </w:style>
  <w:style w:type="character" w:styleId="1103" w:customStyle="1">
    <w:name w:val="副标题 字符"/>
    <w:link w:val="1061"/>
    <w:uiPriority w:val="11"/>
    <w:qFormat/>
    <w:rPr>
      <w:sz w:val="24"/>
      <w:szCs w:val="24"/>
    </w:rPr>
  </w:style>
  <w:style w:type="paragraph" w:styleId="1104">
    <w:name w:val="Quote"/>
    <w:basedOn w:val="1026"/>
    <w:next w:val="1026"/>
    <w:link w:val="1105"/>
    <w:uiPriority w:val="29"/>
    <w:qFormat/>
    <w:pPr>
      <w:ind w:left="720" w:right="720"/>
    </w:pPr>
    <w:rPr>
      <w:i/>
    </w:rPr>
  </w:style>
  <w:style w:type="character" w:styleId="1105" w:customStyle="1">
    <w:name w:val="引用 字符"/>
    <w:link w:val="1104"/>
    <w:uiPriority w:val="29"/>
    <w:qFormat/>
    <w:rPr>
      <w:i/>
    </w:rPr>
  </w:style>
  <w:style w:type="paragraph" w:styleId="1106">
    <w:name w:val="Intense Quote"/>
    <w:basedOn w:val="1026"/>
    <w:next w:val="1026"/>
    <w:link w:val="11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7" w:customStyle="1">
    <w:name w:val="明显引用 字符"/>
    <w:link w:val="1106"/>
    <w:uiPriority w:val="30"/>
    <w:qFormat/>
    <w:rPr>
      <w:i/>
    </w:rPr>
  </w:style>
  <w:style w:type="character" w:styleId="1108" w:customStyle="1">
    <w:name w:val="Header Char"/>
    <w:uiPriority w:val="99"/>
    <w:qFormat/>
  </w:style>
  <w:style w:type="character" w:styleId="1109" w:customStyle="1">
    <w:name w:val="Footer Char"/>
    <w:uiPriority w:val="99"/>
    <w:qFormat/>
  </w:style>
  <w:style w:type="character" w:styleId="1110" w:customStyle="1">
    <w:name w:val="Caption Char"/>
    <w:uiPriority w:val="99"/>
    <w:qFormat/>
  </w:style>
  <w:style w:type="table" w:styleId="11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14" w:customStyle="1">
    <w:name w:val="无格式表格 31"/>
    <w:uiPriority w:val="99"/>
    <w:qFormat/>
    <w:tblPr>
      <w:tblCellMar>
        <w:left w:w="0" w:type="dxa"/>
        <w:top w:w="0" w:type="dxa"/>
        <w:right w:w="0" w:type="dxa"/>
        <w:bottom w:w="0" w:type="dxa"/>
      </w:tblCellMar>
    </w:tblPr>
  </w:style>
  <w:style w:type="table" w:styleId="1115" w:customStyle="1">
    <w:name w:val="无格式表格 41"/>
    <w:uiPriority w:val="99"/>
    <w:qFormat/>
    <w:tblPr>
      <w:tblCellMar>
        <w:left w:w="0" w:type="dxa"/>
        <w:top w:w="0" w:type="dxa"/>
        <w:right w:w="0" w:type="dxa"/>
        <w:bottom w:w="0" w:type="dxa"/>
      </w:tblCellMar>
    </w:tblPr>
  </w:style>
  <w:style w:type="table" w:styleId="1116" w:customStyle="1">
    <w:name w:val="无格式表格 51"/>
    <w:uiPriority w:val="99"/>
    <w:qFormat/>
    <w:tblPr>
      <w:tblCellMar>
        <w:left w:w="0" w:type="dxa"/>
        <w:top w:w="0" w:type="dxa"/>
        <w:right w:w="0" w:type="dxa"/>
        <w:bottom w:w="0" w:type="dxa"/>
      </w:tblCellMar>
    </w:tblPr>
  </w:style>
  <w:style w:type="table" w:styleId="11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6" w:customStyle="1">
    <w:name w:val="清单表 1 浅色1"/>
    <w:uiPriority w:val="99"/>
    <w:qFormat/>
    <w:tblPr>
      <w:tblCellMar>
        <w:left w:w="0" w:type="dxa"/>
        <w:top w:w="0" w:type="dxa"/>
        <w:right w:w="0" w:type="dxa"/>
        <w:bottom w:w="0" w:type="dxa"/>
      </w:tblCellMar>
    </w:tblPr>
  </w:style>
  <w:style w:type="table" w:styleId="1167" w:customStyle="1">
    <w:name w:val="List Table 1 Light - Accent 1"/>
    <w:uiPriority w:val="99"/>
    <w:qFormat/>
    <w:tblPr>
      <w:tblCellMar>
        <w:left w:w="0" w:type="dxa"/>
        <w:top w:w="0" w:type="dxa"/>
        <w:right w:w="0" w:type="dxa"/>
        <w:bottom w:w="0" w:type="dxa"/>
      </w:tblCellMar>
    </w:tblPr>
  </w:style>
  <w:style w:type="table" w:styleId="1168" w:customStyle="1">
    <w:name w:val="List Table 1 Light - Accent 2"/>
    <w:uiPriority w:val="99"/>
    <w:qFormat/>
    <w:tblPr>
      <w:tblCellMar>
        <w:left w:w="0" w:type="dxa"/>
        <w:top w:w="0" w:type="dxa"/>
        <w:right w:w="0" w:type="dxa"/>
        <w:bottom w:w="0" w:type="dxa"/>
      </w:tblCellMar>
    </w:tblPr>
  </w:style>
  <w:style w:type="table" w:styleId="1169" w:customStyle="1">
    <w:name w:val="List Table 1 Light - Accent 3"/>
    <w:uiPriority w:val="99"/>
    <w:qFormat/>
    <w:tblPr>
      <w:tblCellMar>
        <w:left w:w="0" w:type="dxa"/>
        <w:top w:w="0" w:type="dxa"/>
        <w:right w:w="0" w:type="dxa"/>
        <w:bottom w:w="0" w:type="dxa"/>
      </w:tblCellMar>
    </w:tblPr>
  </w:style>
  <w:style w:type="table" w:styleId="1170" w:customStyle="1">
    <w:name w:val="List Table 1 Light - Accent 4"/>
    <w:uiPriority w:val="99"/>
    <w:qFormat/>
    <w:tblPr>
      <w:tblCellMar>
        <w:left w:w="0" w:type="dxa"/>
        <w:top w:w="0" w:type="dxa"/>
        <w:right w:w="0" w:type="dxa"/>
        <w:bottom w:w="0" w:type="dxa"/>
      </w:tblCellMar>
    </w:tblPr>
  </w:style>
  <w:style w:type="table" w:styleId="1171" w:customStyle="1">
    <w:name w:val="List Table 1 Light - Accent 5"/>
    <w:uiPriority w:val="99"/>
    <w:qFormat/>
    <w:tblPr>
      <w:tblCellMar>
        <w:left w:w="0" w:type="dxa"/>
        <w:top w:w="0" w:type="dxa"/>
        <w:right w:w="0" w:type="dxa"/>
        <w:bottom w:w="0" w:type="dxa"/>
      </w:tblCellMar>
    </w:tblPr>
  </w:style>
  <w:style w:type="table" w:styleId="1172" w:customStyle="1">
    <w:name w:val="List Table 1 Light - Accent 6"/>
    <w:uiPriority w:val="99"/>
    <w:qFormat/>
    <w:tblPr>
      <w:tblCellMar>
        <w:left w:w="0" w:type="dxa"/>
        <w:top w:w="0" w:type="dxa"/>
        <w:right w:w="0" w:type="dxa"/>
        <w:bottom w:w="0" w:type="dxa"/>
      </w:tblCellMar>
    </w:tblPr>
  </w:style>
  <w:style w:type="table" w:styleId="11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2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15" w:customStyle="1">
    <w:name w:val="Lined - Accent"/>
    <w:uiPriority w:val="99"/>
    <w:qFormat/>
    <w:rPr>
      <w:color w:val="404040"/>
    </w:rPr>
    <w:tblPr>
      <w:tblCellMar>
        <w:left w:w="0" w:type="dxa"/>
        <w:top w:w="0" w:type="dxa"/>
        <w:right w:w="0" w:type="dxa"/>
        <w:bottom w:w="0" w:type="dxa"/>
      </w:tblCellMar>
    </w:tblPr>
  </w:style>
  <w:style w:type="table" w:styleId="1216" w:customStyle="1">
    <w:name w:val="Lined - Accent 1"/>
    <w:uiPriority w:val="99"/>
    <w:qFormat/>
    <w:rPr>
      <w:color w:val="404040"/>
    </w:rPr>
    <w:tblPr>
      <w:tblCellMar>
        <w:left w:w="0" w:type="dxa"/>
        <w:top w:w="0" w:type="dxa"/>
        <w:right w:w="0" w:type="dxa"/>
        <w:bottom w:w="0" w:type="dxa"/>
      </w:tblCellMar>
    </w:tblPr>
  </w:style>
  <w:style w:type="table" w:styleId="1217" w:customStyle="1">
    <w:name w:val="Lined - Accent 2"/>
    <w:uiPriority w:val="99"/>
    <w:qFormat/>
    <w:rPr>
      <w:color w:val="404040"/>
    </w:rPr>
    <w:tblPr>
      <w:tblCellMar>
        <w:left w:w="0" w:type="dxa"/>
        <w:top w:w="0" w:type="dxa"/>
        <w:right w:w="0" w:type="dxa"/>
        <w:bottom w:w="0" w:type="dxa"/>
      </w:tblCellMar>
    </w:tblPr>
  </w:style>
  <w:style w:type="table" w:styleId="1218" w:customStyle="1">
    <w:name w:val="Lined - Accent 3"/>
    <w:uiPriority w:val="99"/>
    <w:qFormat/>
    <w:rPr>
      <w:color w:val="404040"/>
    </w:rPr>
    <w:tblPr>
      <w:tblCellMar>
        <w:left w:w="0" w:type="dxa"/>
        <w:top w:w="0" w:type="dxa"/>
        <w:right w:w="0" w:type="dxa"/>
        <w:bottom w:w="0" w:type="dxa"/>
      </w:tblCellMar>
    </w:tblPr>
  </w:style>
  <w:style w:type="table" w:styleId="1219" w:customStyle="1">
    <w:name w:val="Lined - Accent 4"/>
    <w:uiPriority w:val="99"/>
    <w:qFormat/>
    <w:rPr>
      <w:color w:val="404040"/>
    </w:rPr>
    <w:tblPr>
      <w:tblCellMar>
        <w:left w:w="0" w:type="dxa"/>
        <w:top w:w="0" w:type="dxa"/>
        <w:right w:w="0" w:type="dxa"/>
        <w:bottom w:w="0" w:type="dxa"/>
      </w:tblCellMar>
    </w:tblPr>
  </w:style>
  <w:style w:type="table" w:styleId="1220" w:customStyle="1">
    <w:name w:val="Lined - Accent 5"/>
    <w:uiPriority w:val="99"/>
    <w:qFormat/>
    <w:rPr>
      <w:color w:val="404040"/>
    </w:rPr>
    <w:tblPr>
      <w:tblCellMar>
        <w:left w:w="0" w:type="dxa"/>
        <w:top w:w="0" w:type="dxa"/>
        <w:right w:w="0" w:type="dxa"/>
        <w:bottom w:w="0" w:type="dxa"/>
      </w:tblCellMar>
    </w:tblPr>
  </w:style>
  <w:style w:type="table" w:styleId="1221" w:customStyle="1">
    <w:name w:val="Lined - Accent 6"/>
    <w:uiPriority w:val="99"/>
    <w:qFormat/>
    <w:rPr>
      <w:color w:val="404040"/>
    </w:rPr>
    <w:tblPr>
      <w:tblCellMar>
        <w:left w:w="0" w:type="dxa"/>
        <w:top w:w="0" w:type="dxa"/>
        <w:right w:w="0" w:type="dxa"/>
        <w:bottom w:w="0" w:type="dxa"/>
      </w:tblCellMar>
    </w:tblPr>
  </w:style>
  <w:style w:type="table" w:styleId="12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36" w:customStyle="1">
    <w:name w:val="Footnote Text Char"/>
    <w:uiPriority w:val="99"/>
    <w:qFormat/>
    <w:rPr>
      <w:sz w:val="18"/>
    </w:rPr>
  </w:style>
  <w:style w:type="character" w:styleId="1237" w:customStyle="1">
    <w:name w:val="Endnote Text Char"/>
    <w:uiPriority w:val="99"/>
    <w:qFormat/>
    <w:rPr>
      <w:sz w:val="20"/>
    </w:rPr>
  </w:style>
  <w:style w:type="paragraph" w:styleId="1238" w:customStyle="1">
    <w:name w:val="TOC 标题1"/>
    <w:uiPriority w:val="39"/>
    <w:unhideWhenUsed/>
    <w:qFormat/>
  </w:style>
  <w:style w:type="character" w:styleId="1239" w:customStyle="1">
    <w:name w:val="标题 3 字符2"/>
    <w:link w:val="1029"/>
    <w:qFormat/>
    <w:rPr>
      <w:rFonts w:ascii="宋体" w:eastAsia="宋体"/>
      <w:b/>
      <w:sz w:val="24"/>
      <w:u w:val="single"/>
      <w:lang w:val="en-US" w:eastAsia="zh-CN" w:bidi="ar-SA"/>
    </w:rPr>
  </w:style>
  <w:style w:type="character" w:styleId="1240" w:customStyle="1">
    <w:name w:val="标题 1 字符2"/>
    <w:link w:val="1027"/>
    <w:qFormat/>
    <w:rPr>
      <w:rFonts w:ascii="宋体"/>
      <w:b/>
      <w:sz w:val="32"/>
    </w:rPr>
  </w:style>
  <w:style w:type="character" w:styleId="1241" w:customStyle="1">
    <w:name w:val="标题 2 字符2"/>
    <w:link w:val="1028"/>
    <w:qFormat/>
    <w:rPr>
      <w:rFonts w:ascii="Arial" w:hAnsi="Arial" w:eastAsia="黑体"/>
      <w:b/>
      <w:sz w:val="30"/>
      <w:lang w:val="en-US" w:eastAsia="zh-CN" w:bidi="ar-SA"/>
    </w:rPr>
  </w:style>
  <w:style w:type="character" w:styleId="1242" w:customStyle="1">
    <w:name w:val="正文缩进 字符2"/>
    <w:link w:val="1039"/>
    <w:qFormat/>
    <w:rPr>
      <w:rFonts w:ascii="宋体" w:eastAsia="宋体"/>
      <w:sz w:val="24"/>
      <w:szCs w:val="24"/>
      <w:lang w:val="en-US" w:eastAsia="zh-CN" w:bidi="ar-SA"/>
    </w:rPr>
  </w:style>
  <w:style w:type="character" w:styleId="1243" w:customStyle="1">
    <w:name w:val="标题 4 字符2"/>
    <w:link w:val="1030"/>
    <w:qFormat/>
    <w:rPr>
      <w:rFonts w:ascii="Arial" w:hAnsi="Arial" w:eastAsia="黑体"/>
      <w:b/>
      <w:sz w:val="28"/>
    </w:rPr>
  </w:style>
  <w:style w:type="character" w:styleId="1244" w:customStyle="1">
    <w:name w:val="标题 5 字符2"/>
    <w:link w:val="1031"/>
    <w:qFormat/>
    <w:rPr>
      <w:b/>
      <w:sz w:val="28"/>
    </w:rPr>
  </w:style>
  <w:style w:type="character" w:styleId="1245" w:customStyle="1">
    <w:name w:val="标题 6 字符2"/>
    <w:link w:val="1032"/>
    <w:qFormat/>
    <w:rPr>
      <w:rFonts w:ascii="Arial" w:hAnsi="Arial" w:eastAsia="黑体"/>
      <w:b/>
      <w:sz w:val="24"/>
    </w:rPr>
  </w:style>
  <w:style w:type="character" w:styleId="1246" w:customStyle="1">
    <w:name w:val="标题 7 字符2"/>
    <w:link w:val="1033"/>
    <w:qFormat/>
    <w:rPr>
      <w:b/>
      <w:sz w:val="24"/>
    </w:rPr>
  </w:style>
  <w:style w:type="character" w:styleId="1247" w:customStyle="1">
    <w:name w:val="标题 8 字符2"/>
    <w:link w:val="1034"/>
    <w:qFormat/>
    <w:rPr>
      <w:rFonts w:ascii="Arial" w:hAnsi="Arial" w:eastAsia="黑体"/>
      <w:sz w:val="24"/>
    </w:rPr>
  </w:style>
  <w:style w:type="character" w:styleId="1248" w:customStyle="1">
    <w:name w:val="标题 9 字符2"/>
    <w:link w:val="1035"/>
    <w:qFormat/>
    <w:rPr>
      <w:rFonts w:ascii="Arial" w:hAnsi="Arial" w:eastAsia="黑体"/>
      <w:sz w:val="21"/>
    </w:rPr>
  </w:style>
  <w:style w:type="character" w:styleId="1249" w:customStyle="1">
    <w:name w:val="文档结构图 字符1"/>
    <w:link w:val="1042"/>
    <w:qFormat/>
    <w:rPr>
      <w:sz w:val="21"/>
      <w:szCs w:val="24"/>
      <w:shd w:val="clear" w:color="auto" w:fill="000080"/>
    </w:rPr>
  </w:style>
  <w:style w:type="character" w:styleId="1250" w:customStyle="1">
    <w:name w:val="批注文字 字符2"/>
    <w:link w:val="1043"/>
    <w:qFormat/>
    <w:rPr>
      <w:sz w:val="21"/>
      <w:szCs w:val="24"/>
    </w:rPr>
  </w:style>
  <w:style w:type="character" w:styleId="1251" w:customStyle="1">
    <w:name w:val="正文文本 3 字符3"/>
    <w:link w:val="1044"/>
    <w:qFormat/>
    <w:rPr>
      <w:sz w:val="16"/>
      <w:szCs w:val="16"/>
    </w:rPr>
  </w:style>
  <w:style w:type="character" w:styleId="1252" w:customStyle="1">
    <w:name w:val="正文文本 字符3"/>
    <w:link w:val="1045"/>
    <w:uiPriority w:val="99"/>
    <w:qFormat/>
    <w:rPr>
      <w:rFonts w:ascii="宋体" w:hAnsi="宋体"/>
      <w:sz w:val="24"/>
      <w:szCs w:val="24"/>
    </w:rPr>
  </w:style>
  <w:style w:type="character" w:styleId="1253" w:customStyle="1">
    <w:name w:val="正文文本缩进 字符2"/>
    <w:link w:val="1046"/>
    <w:qFormat/>
    <w:rPr>
      <w:rFonts w:eastAsia="宋体"/>
      <w:sz w:val="24"/>
      <w:szCs w:val="24"/>
      <w:lang w:val="en-US" w:eastAsia="zh-CN" w:bidi="ar-SA"/>
    </w:rPr>
  </w:style>
  <w:style w:type="character" w:styleId="1254" w:customStyle="1">
    <w:name w:val="纯文本 字符2"/>
    <w:link w:val="1051"/>
    <w:qFormat/>
    <w:rPr>
      <w:rFonts w:hint="eastAsia" w:ascii="宋体" w:hAnsi="Courier New" w:eastAsia="宋体" w:cs="宋体"/>
      <w:sz w:val="21"/>
    </w:rPr>
  </w:style>
  <w:style w:type="character" w:styleId="1255" w:customStyle="1">
    <w:name w:val="日期 字符2"/>
    <w:link w:val="1053"/>
    <w:qFormat/>
    <w:rPr>
      <w:rFonts w:ascii="仿宋_GB2312" w:hAnsi="宋体" w:eastAsia="仿宋_GB2312"/>
      <w:color w:val="000000"/>
      <w:sz w:val="24"/>
      <w:szCs w:val="24"/>
    </w:rPr>
  </w:style>
  <w:style w:type="character" w:styleId="1256" w:customStyle="1">
    <w:name w:val="正文文本缩进 2 字符2"/>
    <w:link w:val="1054"/>
    <w:qFormat/>
    <w:rPr>
      <w:rFonts w:ascii="仿宋_GB2312" w:eastAsia="仿宋_GB2312"/>
      <w:sz w:val="24"/>
      <w:szCs w:val="24"/>
    </w:rPr>
  </w:style>
  <w:style w:type="character" w:styleId="1257" w:customStyle="1">
    <w:name w:val="尾注文本 字符1"/>
    <w:link w:val="1055"/>
    <w:qFormat/>
    <w:rPr>
      <w:sz w:val="24"/>
      <w:szCs w:val="24"/>
    </w:rPr>
  </w:style>
  <w:style w:type="character" w:styleId="1258" w:customStyle="1">
    <w:name w:val="批注框文本 字符2"/>
    <w:link w:val="1056"/>
    <w:uiPriority w:val="99"/>
    <w:qFormat/>
    <w:rPr>
      <w:sz w:val="18"/>
      <w:szCs w:val="18"/>
    </w:rPr>
  </w:style>
  <w:style w:type="character" w:styleId="1259" w:customStyle="1">
    <w:name w:val="页脚 字符2"/>
    <w:link w:val="1057"/>
    <w:uiPriority w:val="99"/>
    <w:qFormat/>
    <w:rPr>
      <w:rFonts w:ascii="宋体" w:eastAsia="宋体"/>
      <w:sz w:val="18"/>
      <w:lang w:val="en-US" w:eastAsia="zh-CN" w:bidi="ar-SA"/>
    </w:rPr>
  </w:style>
  <w:style w:type="character" w:styleId="1260" w:customStyle="1">
    <w:name w:val="页眉 字符2"/>
    <w:link w:val="1058"/>
    <w:qFormat/>
    <w:rPr>
      <w:rFonts w:eastAsia="宋体"/>
      <w:sz w:val="18"/>
      <w:szCs w:val="18"/>
      <w:lang w:val="en-US" w:eastAsia="zh-CN" w:bidi="ar-SA"/>
    </w:rPr>
  </w:style>
  <w:style w:type="character" w:styleId="1261" w:customStyle="1">
    <w:name w:val="脚注文本 字符1"/>
    <w:link w:val="1062"/>
    <w:qFormat/>
    <w:rPr>
      <w:sz w:val="18"/>
    </w:rPr>
  </w:style>
  <w:style w:type="character" w:styleId="1262" w:customStyle="1">
    <w:name w:val="正文文本缩进 3 字符3"/>
    <w:link w:val="1064"/>
    <w:qFormat/>
    <w:rPr>
      <w:rFonts w:ascii="宋体"/>
      <w:sz w:val="24"/>
    </w:rPr>
  </w:style>
  <w:style w:type="character" w:styleId="1263" w:customStyle="1">
    <w:name w:val="正文文本 2 字符1"/>
    <w:link w:val="1068"/>
    <w:qFormat/>
    <w:rPr>
      <w:rFonts w:ascii="宋体"/>
      <w:b/>
      <w:sz w:val="24"/>
    </w:rPr>
  </w:style>
  <w:style w:type="character" w:styleId="1264" w:customStyle="1">
    <w:name w:val="HTML 预设格式 字符"/>
    <w:link w:val="1069"/>
    <w:qFormat/>
    <w:rPr>
      <w:rFonts w:ascii="宋体" w:hAnsi="宋体" w:cs="宋体"/>
      <w:sz w:val="24"/>
      <w:szCs w:val="24"/>
    </w:rPr>
  </w:style>
  <w:style w:type="character" w:styleId="1265" w:customStyle="1">
    <w:name w:val="普通(网站) 字符"/>
    <w:link w:val="1070"/>
    <w:qFormat/>
    <w:rPr>
      <w:rFonts w:ascii="宋体" w:hAnsi="宋体" w:cs="宋体"/>
      <w:sz w:val="24"/>
      <w:szCs w:val="24"/>
    </w:rPr>
  </w:style>
  <w:style w:type="character" w:styleId="1266" w:customStyle="1">
    <w:name w:val="标题 字符4"/>
    <w:link w:val="1073"/>
    <w:qFormat/>
    <w:rPr>
      <w:b/>
      <w:sz w:val="32"/>
    </w:rPr>
  </w:style>
  <w:style w:type="character" w:styleId="1267" w:customStyle="1">
    <w:name w:val="批注主题 字符3"/>
    <w:link w:val="1074"/>
    <w:uiPriority w:val="99"/>
    <w:qFormat/>
    <w:rPr>
      <w:rFonts w:ascii="Times New Roman" w:hAnsi="Times New Roman" w:eastAsia="宋体" w:cs="Times New Roman"/>
      <w:b/>
      <w:bCs/>
      <w:sz w:val="21"/>
      <w:szCs w:val="24"/>
      <w:lang w:val="en-US" w:eastAsia="zh-CN" w:bidi="ar-SA"/>
    </w:rPr>
  </w:style>
  <w:style w:type="character" w:styleId="1268" w:customStyle="1">
    <w:name w:val="正文文本首行缩进 字符"/>
    <w:link w:val="1075"/>
    <w:qFormat/>
    <w:rPr>
      <w:rFonts w:ascii="宋体" w:hAnsi="宋体"/>
      <w:sz w:val="21"/>
      <w:szCs w:val="24"/>
    </w:rPr>
  </w:style>
  <w:style w:type="character" w:styleId="1269" w:customStyle="1">
    <w:name w:val="正文文本首行缩进 2 字符1"/>
    <w:link w:val="1076"/>
    <w:qFormat/>
    <w:rPr>
      <w:rFonts w:eastAsia="宋体"/>
      <w:sz w:val="24"/>
      <w:szCs w:val="24"/>
      <w:lang w:val="en-US" w:eastAsia="zh-CN" w:bidi="ar-SA"/>
    </w:rPr>
  </w:style>
  <w:style w:type="character" w:styleId="1270" w:customStyle="1">
    <w:name w:val="批注文字 字符"/>
    <w:uiPriority w:val="99"/>
    <w:qFormat/>
    <w:rPr>
      <w:rFonts w:ascii="Times New Roman" w:hAnsi="Times New Roman" w:eastAsia="宋体" w:cs="Times New Roman"/>
      <w:sz w:val="24"/>
      <w:lang w:val="en-US" w:eastAsia="zh-CN" w:bidi="ar-SA"/>
    </w:rPr>
  </w:style>
  <w:style w:type="character" w:styleId="1271" w:customStyle="1">
    <w:name w:val="c21"/>
    <w:qFormat/>
    <w:rPr>
      <w:rFonts w:ascii="ˎ̥" w:hAnsi="ˎ̥"/>
      <w:color w:val="000000"/>
      <w:sz w:val="20"/>
      <w:szCs w:val="20"/>
      <w:u w:val="none"/>
    </w:rPr>
  </w:style>
  <w:style w:type="character" w:styleId="1272" w:customStyle="1">
    <w:name w:val="title4"/>
    <w:qFormat/>
    <w:rPr>
      <w:b/>
      <w:bCs/>
      <w:color w:val="1d87b3"/>
      <w:sz w:val="15"/>
      <w:szCs w:val="15"/>
    </w:rPr>
  </w:style>
  <w:style w:type="character" w:styleId="1273" w:customStyle="1">
    <w:name w:val="标题 2 Char Char"/>
    <w:qFormat/>
    <w:rPr>
      <w:rFonts w:ascii="Arial" w:hAnsi="Arial" w:eastAsia="黑体"/>
      <w:b/>
      <w:bCs/>
      <w:sz w:val="32"/>
      <w:szCs w:val="32"/>
      <w:lang w:val="en-US" w:eastAsia="zh-CN" w:bidi="ar-SA"/>
    </w:rPr>
  </w:style>
  <w:style w:type="character" w:styleId="1274" w:customStyle="1">
    <w:name w:val="black1"/>
    <w:qFormat/>
    <w:rPr>
      <w:color w:val="000000"/>
    </w:rPr>
  </w:style>
  <w:style w:type="character" w:styleId="1275" w:customStyle="1">
    <w:name w:val="street-address"/>
    <w:qFormat/>
  </w:style>
  <w:style w:type="character" w:styleId="1276" w:customStyle="1">
    <w:name w:val="locality"/>
    <w:qFormat/>
  </w:style>
  <w:style w:type="character" w:styleId="1277" w:customStyle="1">
    <w:name w:val="正文文本缩进 Char1"/>
    <w:link w:val="1278"/>
    <w:qFormat/>
    <w:rPr>
      <w:rFonts w:ascii="宋体" w:hAnsi="宋体" w:eastAsia="宋体"/>
      <w:sz w:val="24"/>
      <w:szCs w:val="24"/>
      <w:lang w:bidi="ar-SA"/>
    </w:rPr>
  </w:style>
  <w:style w:type="paragraph" w:styleId="1278" w:customStyle="1">
    <w:name w:val="正文文本缩进1"/>
    <w:basedOn w:val="1026"/>
    <w:link w:val="1277"/>
    <w:qFormat/>
    <w:pPr>
      <w:ind w:firstLine="480"/>
      <w:spacing w:line="480" w:lineRule="exact"/>
    </w:pPr>
    <w:rPr>
      <w:rFonts w:ascii="宋体" w:hAnsi="宋体"/>
      <w:sz w:val="24"/>
    </w:rPr>
  </w:style>
  <w:style w:type="character" w:styleId="1279" w:customStyle="1">
    <w:name w:val="Char Char11"/>
    <w:qFormat/>
    <w:rPr>
      <w:rFonts w:ascii="宋体" w:eastAsia="宋体"/>
      <w:b/>
      <w:sz w:val="24"/>
      <w:u w:val="single"/>
      <w:lang w:val="en-US" w:eastAsia="zh-CN" w:bidi="ar-SA"/>
    </w:rPr>
  </w:style>
  <w:style w:type="character" w:styleId="1280" w:customStyle="1">
    <w:name w:val="txt"/>
    <w:qFormat/>
  </w:style>
  <w:style w:type="character" w:styleId="1281" w:customStyle="1">
    <w:name w:val="正文缩进 Char Char"/>
    <w:link w:val="1282"/>
    <w:qFormat/>
    <w:rPr>
      <w:rFonts w:ascii="宋体" w:eastAsia="宋体"/>
      <w:color w:val="000000"/>
      <w:sz w:val="28"/>
      <w:lang w:bidi="ar-SA"/>
    </w:rPr>
  </w:style>
  <w:style w:type="paragraph" w:styleId="1282" w:customStyle="1">
    <w:name w:val="正文缩进1"/>
    <w:basedOn w:val="1026"/>
    <w:link w:val="1281"/>
    <w:qFormat/>
    <w:pPr>
      <w:ind w:firstLine="567"/>
      <w:spacing w:line="480" w:lineRule="exact"/>
      <w:widowControl/>
    </w:pPr>
    <w:rPr>
      <w:rFonts w:ascii="宋体"/>
      <w:color w:val="000000"/>
      <w:sz w:val="28"/>
      <w:szCs w:val="20"/>
    </w:rPr>
  </w:style>
  <w:style w:type="character" w:styleId="1283" w:customStyle="1">
    <w:name w:val="普通文字1 Char1"/>
    <w:qFormat/>
    <w:rPr>
      <w:rFonts w:ascii="宋体" w:hAnsi="Courier New" w:eastAsia="宋体"/>
      <w:sz w:val="21"/>
      <w:lang w:val="en-US" w:eastAsia="zh-CN" w:bidi="ar-SA"/>
    </w:rPr>
  </w:style>
  <w:style w:type="character" w:styleId="1284" w:customStyle="1">
    <w:name w:val="chanpin1"/>
    <w:qFormat/>
    <w:rPr>
      <w:rFonts w:ascii="ˎ̥" w:hAnsi="ˎ̥"/>
      <w:color w:val="000000"/>
      <w:sz w:val="20"/>
      <w:szCs w:val="20"/>
      <w:u w:val="none"/>
    </w:rPr>
  </w:style>
  <w:style w:type="character" w:styleId="1285" w:customStyle="1">
    <w:name w:val="列表段落 字符"/>
    <w:link w:val="1100"/>
    <w:uiPriority w:val="34"/>
    <w:qFormat/>
    <w:rPr>
      <w:rFonts w:ascii="Calibri" w:hAnsi="Calibri" w:eastAsia="宋体"/>
      <w:sz w:val="21"/>
      <w:szCs w:val="22"/>
      <w:lang w:val="en-US" w:eastAsia="zh-CN" w:bidi="ar-SA"/>
    </w:rPr>
  </w:style>
  <w:style w:type="character" w:styleId="1286" w:customStyle="1">
    <w:name w:val="标题 3 Char Char"/>
    <w:qFormat/>
    <w:rPr>
      <w:rFonts w:eastAsia="宋体"/>
      <w:b/>
      <w:bCs/>
      <w:sz w:val="32"/>
      <w:szCs w:val="32"/>
      <w:lang w:val="en-US" w:eastAsia="zh-CN" w:bidi="ar-SA"/>
    </w:rPr>
  </w:style>
  <w:style w:type="character" w:styleId="1287" w:customStyle="1">
    <w:name w:val="段1 Char"/>
    <w:qFormat/>
    <w:rPr>
      <w:rFonts w:ascii="宋体" w:eastAsia="宋体"/>
      <w:sz w:val="24"/>
      <w:lang w:val="en-US" w:eastAsia="zh-CN" w:bidi="ar-SA"/>
    </w:rPr>
  </w:style>
  <w:style w:type="character" w:styleId="1288" w:customStyle="1">
    <w:name w:val="chanpin拷贝"/>
    <w:qFormat/>
  </w:style>
  <w:style w:type="character" w:styleId="1289" w:customStyle="1">
    <w:name w:val="纯文本 Char1"/>
    <w:qFormat/>
    <w:rPr>
      <w:rFonts w:ascii="宋体" w:hAnsi="Courier New" w:eastAsia="宋体"/>
      <w:sz w:val="21"/>
      <w:lang w:val="en-US" w:eastAsia="zh-CN" w:bidi="ar-SA"/>
    </w:rPr>
  </w:style>
  <w:style w:type="character" w:styleId="1290" w:customStyle="1">
    <w:name w:val="apple-style-span"/>
    <w:uiPriority w:val="99"/>
    <w:qFormat/>
    <w:rPr>
      <w:rFonts w:cs="Times New Roman"/>
    </w:rPr>
  </w:style>
  <w:style w:type="paragraph" w:styleId="1291" w:customStyle="1">
    <w:name w:val="二级条标题"/>
    <w:basedOn w:val="1292"/>
    <w:next w:val="1026"/>
    <w:qFormat/>
    <w:pPr>
      <w:numPr>
        <w:ilvl w:val="0"/>
        <w:numId w:val="0"/>
      </w:numPr>
      <w:ind w:hanging="840"/>
      <w:outlineLvl w:val="2"/>
    </w:pPr>
    <w:rPr>
      <w:rFonts w:ascii="宋体" w:eastAsia="宋体"/>
      <w:b w:val="0"/>
    </w:rPr>
  </w:style>
  <w:style w:type="paragraph" w:styleId="1292" w:customStyle="1">
    <w:name w:val="一级条标题"/>
    <w:basedOn w:val="1293"/>
    <w:next w:val="1026"/>
    <w:qFormat/>
    <w:pPr>
      <w:numPr>
        <w:ilvl w:val="1"/>
      </w:numPr>
      <w:ind w:left="0" w:hanging="840"/>
      <w:tabs>
        <w:tab w:val="left" w:pos="360" w:leader="none"/>
        <w:tab w:val="left" w:pos="840" w:leader="none"/>
      </w:tabs>
      <w:outlineLvl w:val="1"/>
    </w:pPr>
  </w:style>
  <w:style w:type="paragraph" w:styleId="1293" w:customStyle="1">
    <w:name w:val="章标题"/>
    <w:next w:val="1026"/>
    <w:qFormat/>
    <w:pPr>
      <w:numPr>
        <w:numId w:val="1"/>
      </w:numPr>
      <w:ind w:left="0"/>
      <w:jc w:val="both"/>
      <w:spacing w:before="156" w:after="156" w:line="460" w:lineRule="exact"/>
      <w:outlineLvl w:val="0"/>
    </w:pPr>
    <w:rPr>
      <w:rFonts w:ascii="黑体" w:eastAsia="黑体"/>
      <w:b/>
      <w:sz w:val="28"/>
    </w:rPr>
  </w:style>
  <w:style w:type="paragraph" w:styleId="1294" w:customStyle="1">
    <w:name w:val="font7"/>
    <w:basedOn w:val="1026"/>
    <w:qFormat/>
    <w:pPr>
      <w:jc w:val="left"/>
      <w:spacing w:before="100" w:beforeAutospacing="1" w:after="100" w:afterAutospacing="1"/>
      <w:widowControl/>
    </w:pPr>
    <w:rPr>
      <w:rFonts w:eastAsia="Arial Unicode MS"/>
      <w:b/>
      <w:bCs/>
      <w:color w:val="000000"/>
      <w:sz w:val="20"/>
      <w:szCs w:val="20"/>
    </w:rPr>
  </w:style>
  <w:style w:type="paragraph" w:styleId="1295" w:customStyle="1">
    <w:name w:val="字元 字元"/>
    <w:basedOn w:val="1026"/>
    <w:qFormat/>
    <w:rPr>
      <w:rFonts w:ascii="Tahoma" w:hAnsi="Tahoma"/>
      <w:sz w:val="24"/>
      <w:szCs w:val="20"/>
    </w:rPr>
  </w:style>
  <w:style w:type="paragraph" w:styleId="1296" w:customStyle="1">
    <w:name w:val="Char3 Char Char Char"/>
    <w:basedOn w:val="1026"/>
    <w:qFormat/>
    <w:rPr>
      <w:rFonts w:ascii="Tahoma" w:hAnsi="Tahoma"/>
      <w:sz w:val="24"/>
      <w:szCs w:val="20"/>
    </w:rPr>
  </w:style>
  <w:style w:type="paragraph" w:styleId="1297" w:customStyle="1">
    <w:name w:val="font6"/>
    <w:basedOn w:val="1026"/>
    <w:qFormat/>
    <w:pPr>
      <w:jc w:val="left"/>
      <w:spacing w:before="100" w:beforeAutospacing="1" w:after="100" w:afterAutospacing="1"/>
      <w:widowControl/>
    </w:pPr>
    <w:rPr>
      <w:rFonts w:ascii="宋体" w:hAnsi="宋体" w:cs="宋体"/>
      <w:sz w:val="20"/>
      <w:szCs w:val="20"/>
    </w:rPr>
  </w:style>
  <w:style w:type="paragraph" w:styleId="1298" w:customStyle="1">
    <w:name w:val="项目编号2"/>
    <w:basedOn w:val="1299"/>
    <w:qFormat/>
    <w:pPr>
      <w:numPr>
        <w:numId w:val="2"/>
      </w:numPr>
    </w:pPr>
  </w:style>
  <w:style w:type="paragraph" w:styleId="1299" w:customStyle="1">
    <w:name w:val="项目编号1"/>
    <w:basedOn w:val="1026"/>
    <w:qFormat/>
    <w:pPr>
      <w:numPr>
        <w:numId w:val="3"/>
      </w:numPr>
      <w:spacing w:before="100" w:beforeAutospacing="1" w:after="100" w:afterAutospacing="1" w:line="360" w:lineRule="auto"/>
    </w:pPr>
    <w:rPr>
      <w:sz w:val="24"/>
    </w:rPr>
  </w:style>
  <w:style w:type="paragraph" w:styleId="1300" w:customStyle="1">
    <w:name w:val="图中文字"/>
    <w:basedOn w:val="1026"/>
    <w:qFormat/>
    <w:pPr>
      <w:jc w:val="center"/>
      <w:spacing w:line="0" w:lineRule="atLeast"/>
    </w:pPr>
    <w:rPr>
      <w:sz w:val="24"/>
      <w:szCs w:val="20"/>
    </w:rPr>
  </w:style>
  <w:style w:type="paragraph" w:styleId="1301" w:customStyle="1">
    <w:name w:val="xl46"/>
    <w:basedOn w:val="10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2" w:customStyle="1">
    <w:name w:val="xl25"/>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customStyle="1">
    <w:name w:val="Char2"/>
    <w:basedOn w:val="1026"/>
    <w:qFormat/>
    <w:rPr>
      <w:rFonts w:ascii="Tahoma" w:hAnsi="Tahoma"/>
      <w:sz w:val="24"/>
      <w:szCs w:val="20"/>
    </w:rPr>
  </w:style>
  <w:style w:type="paragraph" w:styleId="1304" w:customStyle="1">
    <w:name w:val="xl35"/>
    <w:basedOn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5" w:customStyle="1">
    <w:name w:val="xl40"/>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xl52"/>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7" w:customStyle="1">
    <w:name w:val="xl43"/>
    <w:basedOn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8" w:customStyle="1">
    <w:name w:val="background1"/>
    <w:basedOn w:val="1026"/>
    <w:qFormat/>
    <w:pPr>
      <w:jc w:val="left"/>
      <w:spacing w:before="100" w:beforeAutospacing="1" w:after="100" w:afterAutospacing="1"/>
      <w:widowControl/>
    </w:pPr>
    <w:rPr>
      <w:rFonts w:ascii="宋体" w:hAnsi="宋体" w:cs="宋体"/>
      <w:sz w:val="24"/>
    </w:rPr>
  </w:style>
  <w:style w:type="paragraph" w:styleId="1309" w:customStyle="1">
    <w:name w:val="Char Char Char Char Char Char Char"/>
    <w:basedOn w:val="1026"/>
    <w:qFormat/>
    <w:pPr>
      <w:ind w:firstLine="200"/>
      <w:spacing w:line="360" w:lineRule="auto"/>
    </w:pPr>
    <w:rPr>
      <w:rFonts w:eastAsia="仿宋_GB2312"/>
      <w:sz w:val="24"/>
    </w:rPr>
  </w:style>
  <w:style w:type="paragraph" w:styleId="1310" w:customStyle="1">
    <w:name w:val="xl38"/>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1" w:customStyle="1">
    <w:name w:val="xl36"/>
    <w:basedOn w:val="10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2" w:customStyle="1">
    <w:name w:val="正文 + 宋体"/>
    <w:basedOn w:val="1026"/>
    <w:qFormat/>
    <w:pPr>
      <w:ind w:left="360" w:hanging="360"/>
      <w:jc w:val="left"/>
      <w:widowControl/>
    </w:pPr>
    <w:rPr>
      <w:rFonts w:ascii="宋体" w:hAnsi="宋体" w:cs="宋体"/>
      <w:b/>
      <w:bCs/>
      <w:color w:val="000000"/>
      <w:sz w:val="18"/>
      <w:szCs w:val="18"/>
    </w:rPr>
  </w:style>
  <w:style w:type="paragraph" w:styleId="1313" w:customStyle="1">
    <w:name w:val="正文列项_数字"/>
    <w:basedOn w:val="1026"/>
    <w:qFormat/>
    <w:pPr>
      <w:numPr>
        <w:ilvl w:val="7"/>
        <w:numId w:val="1"/>
      </w:numPr>
      <w:ind w:left="680" w:hanging="150"/>
      <w:spacing w:line="460" w:lineRule="exact"/>
      <w:tabs>
        <w:tab w:val="clear" w:pos="860" w:leader="none"/>
      </w:tabs>
      <w:outlineLvl w:val="7"/>
    </w:pPr>
    <w:rPr>
      <w:rFonts w:ascii="宋体"/>
      <w:sz w:val="28"/>
      <w:szCs w:val="20"/>
    </w:rPr>
  </w:style>
  <w:style w:type="paragraph" w:styleId="1314" w:customStyle="1">
    <w:name w:val="xl39"/>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5" w:customStyle="1">
    <w:name w:val="xl37"/>
    <w:basedOn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6" w:customStyle="1">
    <w:name w:val="xl32"/>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font8"/>
    <w:basedOn w:val="1026"/>
    <w:qFormat/>
    <w:pPr>
      <w:jc w:val="left"/>
      <w:spacing w:before="100" w:beforeAutospacing="1" w:after="100" w:afterAutospacing="1"/>
      <w:widowControl/>
    </w:pPr>
    <w:rPr>
      <w:sz w:val="36"/>
      <w:szCs w:val="36"/>
    </w:rPr>
  </w:style>
  <w:style w:type="paragraph" w:styleId="1318" w:customStyle="1">
    <w:name w:val="Char"/>
    <w:basedOn w:val="1026"/>
    <w:qFormat/>
    <w:pPr>
      <w:tabs>
        <w:tab w:val="left" w:pos="360" w:leader="none"/>
      </w:tabs>
    </w:pPr>
    <w:rPr>
      <w:sz w:val="24"/>
    </w:rPr>
  </w:style>
  <w:style w:type="paragraph" w:styleId="1319" w:customStyle="1">
    <w:name w:val="Char Char Char Char Char Char Char Char Char Char Char Char Char Char Char Char"/>
    <w:basedOn w:val="1026"/>
    <w:qFormat/>
    <w:pPr>
      <w:jc w:val="center"/>
      <w:spacing w:after="160" w:line="240" w:lineRule="exact"/>
      <w:widowControl/>
    </w:pPr>
    <w:rPr>
      <w:rFonts w:ascii="宋体" w:hAnsi="宋体"/>
      <w:b/>
      <w:sz w:val="30"/>
      <w:szCs w:val="30"/>
      <w:lang w:eastAsia="en-US"/>
    </w:rPr>
  </w:style>
  <w:style w:type="paragraph" w:styleId="1320" w:customStyle="1">
    <w:name w:val="xl45"/>
    <w:basedOn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1" w:customStyle="1">
    <w:name w:val="Char Char1 Char Char Char Char Char Char"/>
    <w:basedOn w:val="1026"/>
    <w:qFormat/>
    <w:pPr>
      <w:jc w:val="left"/>
      <w:spacing w:after="160" w:line="240" w:lineRule="exact"/>
      <w:widowControl/>
    </w:pPr>
    <w:rPr>
      <w:rFonts w:ascii="Verdana" w:hAnsi="Verdana" w:eastAsia="仿宋_GB2312"/>
      <w:sz w:val="24"/>
      <w:szCs w:val="20"/>
      <w:lang w:eastAsia="en-US"/>
    </w:rPr>
  </w:style>
  <w:style w:type="paragraph" w:styleId="1322" w:customStyle="1">
    <w:name w:val="Char Char1"/>
    <w:basedOn w:val="1042"/>
    <w:qFormat/>
    <w:rPr>
      <w:rFonts w:ascii="Tahoma" w:hAnsi="Tahoma"/>
      <w:sz w:val="24"/>
    </w:rPr>
  </w:style>
  <w:style w:type="paragraph" w:styleId="1323" w:customStyle="1">
    <w:name w:val="xl2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4" w:customStyle="1">
    <w:name w:val="xl30"/>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5" w:customStyle="1">
    <w:name w:val="xl41"/>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6" w:customStyle="1">
    <w:name w:val="样式 宋体 五号 行距: 单倍行距"/>
    <w:basedOn w:val="1026"/>
    <w:qFormat/>
    <w:pPr>
      <w:jc w:val="left"/>
    </w:pPr>
    <w:rPr>
      <w:rFonts w:ascii="宋体" w:hAnsi="宋体"/>
      <w:szCs w:val="20"/>
    </w:rPr>
  </w:style>
  <w:style w:type="paragraph" w:styleId="1327" w:customStyle="1">
    <w:name w:val="Char1 Char Char Char1"/>
    <w:basedOn w:val="1026"/>
    <w:qFormat/>
    <w:rPr>
      <w:rFonts w:ascii="Tahoma" w:hAnsi="Tahoma" w:cs="仿宋_GB2312"/>
      <w:sz w:val="24"/>
      <w:szCs w:val="28"/>
    </w:rPr>
  </w:style>
  <w:style w:type="paragraph" w:styleId="1328" w:customStyle="1">
    <w:name w:val="四级条标题"/>
    <w:basedOn w:val="1329"/>
    <w:next w:val="1026"/>
    <w:qFormat/>
    <w:pPr>
      <w:numPr>
        <w:ilvl w:val="4"/>
      </w:numPr>
      <w:ind w:left="0" w:hanging="840"/>
      <w:outlineLvl w:val="4"/>
    </w:pPr>
  </w:style>
  <w:style w:type="paragraph" w:styleId="1329" w:customStyle="1">
    <w:name w:val="三级条标题"/>
    <w:basedOn w:val="1291"/>
    <w:next w:val="1026"/>
    <w:qFormat/>
    <w:pPr>
      <w:numPr>
        <w:ilvl w:val="3"/>
        <w:numId w:val="1"/>
      </w:numPr>
      <w:ind w:left="0" w:hanging="840"/>
      <w:outlineLvl w:val="3"/>
    </w:pPr>
  </w:style>
  <w:style w:type="paragraph" w:styleId="1330" w:customStyle="1">
    <w:name w:val="??"/>
    <w:qFormat/>
    <w:pPr>
      <w:jc w:val="both"/>
      <w:widowControl w:val="off"/>
    </w:pPr>
    <w:rPr>
      <w:sz w:val="21"/>
      <w:lang w:eastAsia="en-US"/>
    </w:rPr>
  </w:style>
  <w:style w:type="paragraph" w:styleId="1331" w:customStyle="1">
    <w:name w:val="样式 标题 2 + 宋体 五号 行距: 单倍行距"/>
    <w:basedOn w:val="1028"/>
    <w:qFormat/>
    <w:pPr>
      <w:numPr>
        <w:ilvl w:val="1"/>
        <w:numId w:val="4"/>
      </w:numPr>
      <w:jc w:val="left"/>
      <w:spacing w:before="260" w:after="260" w:line="240" w:lineRule="auto"/>
    </w:pPr>
    <w:rPr>
      <w:rFonts w:ascii="宋体" w:hAnsi="宋体" w:eastAsia="宋体"/>
      <w:bCs/>
      <w:sz w:val="21"/>
    </w:rPr>
  </w:style>
  <w:style w:type="paragraph" w:styleId="1332" w:customStyle="1">
    <w:name w:val="List Paragraph1"/>
    <w:basedOn w:val="1026"/>
    <w:qFormat/>
    <w:pPr>
      <w:ind w:firstLine="420"/>
    </w:pPr>
    <w:rPr>
      <w:rFonts w:ascii="Calibri" w:hAnsi="Calibri"/>
      <w:szCs w:val="22"/>
    </w:rPr>
  </w:style>
  <w:style w:type="paragraph" w:styleId="1333" w:customStyle="1">
    <w:name w:val="项目符号1"/>
    <w:basedOn w:val="1334"/>
    <w:qFormat/>
    <w:pPr>
      <w:ind w:left="-25" w:firstLine="0"/>
    </w:pPr>
  </w:style>
  <w:style w:type="paragraph" w:styleId="1334" w:customStyle="1">
    <w:name w:val="正文文本样式"/>
    <w:basedOn w:val="1026"/>
    <w:qFormat/>
    <w:pPr>
      <w:ind w:firstLine="482"/>
      <w:spacing w:line="360" w:lineRule="auto"/>
    </w:pPr>
    <w:rPr>
      <w:rFonts w:cs="宋体"/>
      <w:sz w:val="24"/>
      <w:szCs w:val="20"/>
    </w:rPr>
  </w:style>
  <w:style w:type="paragraph" w:styleId="1335" w:customStyle="1">
    <w:name w:val="xl27"/>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customStyle="1">
    <w:name w:val="font5"/>
    <w:basedOn w:val="1026"/>
    <w:qFormat/>
    <w:pPr>
      <w:jc w:val="left"/>
      <w:spacing w:before="100" w:beforeAutospacing="1" w:after="100" w:afterAutospacing="1"/>
      <w:widowControl/>
    </w:pPr>
    <w:rPr>
      <w:rFonts w:ascii="宋体" w:hAnsi="宋体" w:cs="宋体"/>
      <w:sz w:val="18"/>
      <w:szCs w:val="18"/>
    </w:rPr>
  </w:style>
  <w:style w:type="paragraph" w:styleId="1337" w:customStyle="1">
    <w:name w:val="五级条标题"/>
    <w:basedOn w:val="1328"/>
    <w:next w:val="1026"/>
    <w:qFormat/>
    <w:pPr>
      <w:numPr>
        <w:ilvl w:val="5"/>
      </w:numPr>
      <w:ind w:left="0" w:hanging="840"/>
      <w:outlineLvl w:val="5"/>
    </w:pPr>
  </w:style>
  <w:style w:type="paragraph" w:styleId="1338" w:customStyle="1">
    <w:name w:val="xl4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9" w:customStyle="1">
    <w:name w:val="文档正文"/>
    <w:basedOn w:val="1026"/>
    <w:qFormat/>
    <w:pPr>
      <w:spacing w:before="120" w:after="120" w:line="180" w:lineRule="auto"/>
    </w:pPr>
    <w:rPr>
      <w:rFonts w:ascii="Arial" w:hAnsi="Arial"/>
      <w:szCs w:val="20"/>
    </w:rPr>
  </w:style>
  <w:style w:type="paragraph" w:styleId="1340" w:customStyle="1">
    <w:name w:val="xl33"/>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1" w:customStyle="1">
    <w:name w:val="xl42"/>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2" w:customStyle="1">
    <w:name w:val="Char Char Char1 Char"/>
    <w:basedOn w:val="1026"/>
    <w:uiPriority w:val="99"/>
    <w:qFormat/>
    <w:rPr>
      <w:rFonts w:ascii="Tahoma" w:hAnsi="Tahoma"/>
      <w:sz w:val="24"/>
      <w:szCs w:val="20"/>
    </w:rPr>
  </w:style>
  <w:style w:type="paragraph" w:styleId="1343" w:customStyle="1">
    <w:name w:val="xl44"/>
    <w:basedOn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4" w:customStyle="1">
    <w:name w:val="1名"/>
    <w:basedOn w:val="1026"/>
    <w:qFormat/>
    <w:pPr>
      <w:numPr>
        <w:numId w:val="5"/>
      </w:numPr>
      <w:spacing w:before="120"/>
    </w:pPr>
    <w:rPr>
      <w:rFonts w:ascii="宋体"/>
      <w:sz w:val="28"/>
      <w:szCs w:val="20"/>
    </w:rPr>
  </w:style>
  <w:style w:type="paragraph" w:styleId="1345" w:customStyle="1">
    <w:name w:val="font9"/>
    <w:basedOn w:val="1026"/>
    <w:qFormat/>
    <w:pPr>
      <w:jc w:val="left"/>
      <w:spacing w:before="100" w:beforeAutospacing="1" w:after="100" w:afterAutospacing="1"/>
      <w:widowControl/>
    </w:pPr>
    <w:rPr>
      <w:rFonts w:hint="eastAsia" w:ascii="宋体" w:hAnsi="宋体" w:cs="Arial Unicode MS"/>
      <w:color w:val="000000"/>
      <w:sz w:val="20"/>
      <w:szCs w:val="20"/>
    </w:rPr>
  </w:style>
  <w:style w:type="paragraph" w:styleId="1346" w:customStyle="1">
    <w:name w:val="Char Char Char1 Char1"/>
    <w:basedOn w:val="1026"/>
    <w:uiPriority w:val="99"/>
    <w:qFormat/>
    <w:rPr>
      <w:rFonts w:ascii="Tahoma" w:hAnsi="Tahoma"/>
      <w:sz w:val="24"/>
      <w:szCs w:val="20"/>
    </w:rPr>
  </w:style>
  <w:style w:type="paragraph" w:styleId="1347" w:customStyle="1">
    <w:name w:val="Char Char Char Char Char Char Char Char Char Char"/>
    <w:basedOn w:val="1026"/>
    <w:qFormat/>
  </w:style>
  <w:style w:type="paragraph" w:styleId="1348" w:customStyle="1">
    <w:name w:val="Char Char1 Char Char Char Char Char Char Char Char"/>
    <w:basedOn w:val="1026"/>
    <w:qFormat/>
    <w:pPr>
      <w:jc w:val="left"/>
      <w:spacing w:after="160" w:line="240" w:lineRule="exact"/>
      <w:widowControl/>
    </w:pPr>
    <w:rPr>
      <w:rFonts w:ascii="Verdana" w:hAnsi="Verdana"/>
      <w:sz w:val="20"/>
      <w:szCs w:val="20"/>
      <w:lang w:eastAsia="en-US"/>
    </w:rPr>
  </w:style>
  <w:style w:type="paragraph" w:styleId="1349" w:customStyle="1">
    <w:name w:val="Char1"/>
    <w:basedOn w:val="1026"/>
    <w:qFormat/>
    <w:pPr>
      <w:tabs>
        <w:tab w:val="left" w:pos="360" w:leader="none"/>
      </w:tabs>
    </w:pPr>
    <w:rPr>
      <w:sz w:val="24"/>
    </w:rPr>
  </w:style>
  <w:style w:type="paragraph" w:styleId="1350" w:customStyle="1">
    <w:name w:val="正文列项_字母"/>
    <w:basedOn w:val="1026"/>
    <w:qFormat/>
    <w:pPr>
      <w:numPr>
        <w:ilvl w:val="6"/>
        <w:numId w:val="1"/>
      </w:numPr>
      <w:ind w:left="480" w:hanging="180"/>
      <w:spacing w:line="460" w:lineRule="exact"/>
      <w:tabs>
        <w:tab w:val="clear" w:pos="635" w:leader="none"/>
      </w:tabs>
      <w:outlineLvl w:val="6"/>
    </w:pPr>
    <w:rPr>
      <w:rFonts w:ascii="宋体"/>
      <w:sz w:val="28"/>
      <w:szCs w:val="20"/>
    </w:rPr>
  </w:style>
  <w:style w:type="paragraph" w:styleId="1351" w:customStyle="1">
    <w:name w:val="xl2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2" w:customStyle="1">
    <w:name w:val="xl47"/>
    <w:basedOn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3" w:customStyle="1">
    <w:name w:val="默认段落字体 Para Char Char Char Char"/>
    <w:basedOn w:val="1026"/>
    <w:qFormat/>
    <w:rPr>
      <w:rFonts w:ascii="Arial" w:hAnsi="Arial" w:cs="Arial"/>
      <w:szCs w:val="21"/>
    </w:rPr>
  </w:style>
  <w:style w:type="paragraph" w:styleId="1354" w:customStyle="1">
    <w:name w:val="xl4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customStyle="1">
    <w:name w:val="xl31"/>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6" w:customStyle="1">
    <w:name w:val="xl5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customStyle="1">
    <w:name w:val="Char Char Char"/>
    <w:basedOn w:val="1026"/>
    <w:qFormat/>
    <w:rPr>
      <w:rFonts w:ascii="Tahoma" w:hAnsi="Tahoma"/>
      <w:sz w:val="24"/>
      <w:szCs w:val="20"/>
    </w:rPr>
  </w:style>
  <w:style w:type="paragraph" w:styleId="1358" w:customStyle="1">
    <w:name w:val="xl50"/>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9" w:customStyle="1">
    <w:name w:val="缺省文本"/>
    <w:basedOn w:val="1026"/>
    <w:qFormat/>
    <w:pPr>
      <w:jc w:val="left"/>
    </w:pPr>
    <w:rPr>
      <w:sz w:val="24"/>
    </w:rPr>
  </w:style>
  <w:style w:type="paragraph" w:styleId="1360" w:customStyle="1">
    <w:name w:val="Char Char Char1"/>
    <w:basedOn w:val="1026"/>
    <w:qFormat/>
    <w:rPr>
      <w:rFonts w:ascii="Tahoma" w:hAnsi="Tahoma"/>
      <w:sz w:val="24"/>
      <w:szCs w:val="20"/>
    </w:rPr>
  </w:style>
  <w:style w:type="paragraph" w:styleId="1361" w:customStyle="1">
    <w:name w:val="Char Char Char Char Char Char Char1"/>
    <w:basedOn w:val="1026"/>
    <w:qFormat/>
    <w:pPr>
      <w:ind w:firstLine="200"/>
      <w:spacing w:line="360" w:lineRule="auto"/>
    </w:pPr>
    <w:rPr>
      <w:rFonts w:eastAsia="仿宋_GB2312"/>
      <w:sz w:val="24"/>
    </w:rPr>
  </w:style>
  <w:style w:type="paragraph" w:styleId="1362" w:customStyle="1">
    <w:name w:val="xl51"/>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customStyle="1">
    <w:name w:val="样式2"/>
    <w:basedOn w:val="1071"/>
    <w:uiPriority w:val="99"/>
    <w:qFormat/>
    <w:pPr>
      <w:jc w:val="center"/>
      <w:spacing w:line="360" w:lineRule="auto"/>
    </w:pPr>
    <w:rPr>
      <w:sz w:val="24"/>
    </w:rPr>
  </w:style>
  <w:style w:type="paragraph" w:styleId="1364" w:customStyle="1">
    <w:name w:val="xl24"/>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customStyle="1">
    <w:name w:val="xl29"/>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6" w:customStyle="1">
    <w:name w:val="正文 + 楷体_GB2312"/>
    <w:basedOn w:val="1026"/>
    <w:qFormat/>
    <w:pPr>
      <w:jc w:val="left"/>
      <w:widowControl/>
    </w:pPr>
    <w:rPr>
      <w:rFonts w:ascii="楷体_GB2312" w:eastAsia="楷体_GB2312" w:cs="Arial"/>
      <w:sz w:val="24"/>
    </w:rPr>
  </w:style>
  <w:style w:type="paragraph" w:styleId="1367" w:customStyle="1">
    <w:name w:val="xl34"/>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8" w:customStyle="1">
    <w:name w:val="1 Char Char Char Char"/>
    <w:basedOn w:val="1026"/>
    <w:qFormat/>
    <w:rPr>
      <w:rFonts w:ascii="Tahoma" w:hAnsi="Tahoma"/>
      <w:sz w:val="24"/>
      <w:szCs w:val="20"/>
    </w:rPr>
  </w:style>
  <w:style w:type="paragraph" w:styleId="1369" w:customStyle="1">
    <w:name w:val="Default"/>
    <w:link w:val="1738"/>
    <w:qFormat/>
    <w:pPr>
      <w:widowControl w:val="off"/>
    </w:pPr>
    <w:rPr>
      <w:rFonts w:ascii="Symbol" w:hAnsi="Symbol" w:cs="Symbol"/>
      <w:color w:val="000000"/>
      <w:sz w:val="24"/>
      <w:szCs w:val="24"/>
    </w:rPr>
  </w:style>
  <w:style w:type="paragraph" w:styleId="1370" w:customStyle="1">
    <w:name w:val="列出段落1"/>
    <w:basedOn w:val="1026"/>
    <w:qFormat/>
    <w:pPr>
      <w:ind w:firstLine="420"/>
    </w:pPr>
    <w:rPr>
      <w:rFonts w:ascii="Calibri" w:hAnsi="Calibri"/>
      <w:szCs w:val="22"/>
    </w:rPr>
  </w:style>
  <w:style w:type="paragraph" w:styleId="1371" w:customStyle="1">
    <w:name w:val="default"/>
    <w:basedOn w:val="1026"/>
    <w:qFormat/>
    <w:pPr>
      <w:jc w:val="left"/>
      <w:spacing w:before="100" w:beforeAutospacing="1" w:after="100" w:afterAutospacing="1"/>
      <w:widowControl/>
    </w:pPr>
    <w:rPr>
      <w:rFonts w:ascii="宋体" w:hAnsi="宋体" w:cs="宋体"/>
      <w:sz w:val="24"/>
    </w:rPr>
  </w:style>
  <w:style w:type="paragraph" w:styleId="1372" w:customStyle="1">
    <w:name w:val="字元 字元1"/>
    <w:basedOn w:val="1026"/>
    <w:qFormat/>
    <w:rPr>
      <w:rFonts w:ascii="Tahoma" w:hAnsi="Tahoma"/>
      <w:sz w:val="24"/>
      <w:szCs w:val="20"/>
    </w:rPr>
  </w:style>
  <w:style w:type="paragraph" w:styleId="1373" w:customStyle="1">
    <w:name w:val="_Style 160"/>
    <w:qFormat/>
    <w:rPr>
      <w:sz w:val="21"/>
      <w:szCs w:val="24"/>
    </w:rPr>
  </w:style>
  <w:style w:type="paragraph" w:styleId="1374" w:customStyle="1">
    <w:name w:val="项目编号3"/>
    <w:basedOn w:val="1334"/>
    <w:qFormat/>
    <w:pPr>
      <w:numPr>
        <w:numId w:val="6"/>
      </w:numPr>
    </w:pPr>
  </w:style>
  <w:style w:type="paragraph" w:styleId="1375" w:customStyle="1">
    <w:name w:val="Char21"/>
    <w:basedOn w:val="1026"/>
    <w:qFormat/>
    <w:rPr>
      <w:rFonts w:ascii="Tahoma" w:hAnsi="Tahoma"/>
      <w:sz w:val="24"/>
      <w:szCs w:val="20"/>
    </w:rPr>
  </w:style>
  <w:style w:type="paragraph" w:styleId="1376" w:customStyle="1">
    <w:name w:val="表格文字"/>
    <w:basedOn w:val="1046"/>
    <w:qFormat/>
    <w:pPr>
      <w:ind w:firstLine="0"/>
      <w:spacing w:before="20" w:after="20" w:line="240" w:lineRule="auto"/>
    </w:pPr>
    <w:rPr>
      <w:rFonts w:ascii="Century Gothic" w:hAnsi="Century Gothic"/>
      <w:sz w:val="20"/>
      <w:szCs w:val="20"/>
    </w:rPr>
  </w:style>
  <w:style w:type="paragraph" w:styleId="1377" w:customStyle="1">
    <w:name w:val="Char Char Char Char Char Char Char Char Char Char1"/>
    <w:basedOn w:val="1026"/>
    <w:qFormat/>
    <w:rPr>
      <w:rFonts w:ascii="宋体" w:hAnsi="宋体" w:cs="Courier New"/>
      <w:sz w:val="32"/>
      <w:szCs w:val="32"/>
    </w:rPr>
  </w:style>
  <w:style w:type="paragraph" w:styleId="1378" w:customStyle="1">
    <w:name w:val="正文文本样式 加粗"/>
    <w:basedOn w:val="1334"/>
    <w:qFormat/>
    <w:rPr>
      <w:b/>
    </w:rPr>
  </w:style>
  <w:style w:type="paragraph" w:styleId="1379" w:customStyle="1">
    <w:name w:val="Char2 Char Char Char Char Char Char"/>
    <w:basedOn w:val="1026"/>
    <w:qFormat/>
    <w:pPr>
      <w:jc w:val="center"/>
      <w:spacing w:line="400" w:lineRule="exact"/>
      <w:widowControl/>
    </w:pPr>
  </w:style>
  <w:style w:type="paragraph" w:styleId="1380" w:customStyle="1">
    <w:name w:val="Char Char4"/>
    <w:basedOn w:val="1026"/>
    <w:qFormat/>
    <w:pPr>
      <w:jc w:val="center"/>
      <w:spacing w:line="400" w:lineRule="exact"/>
      <w:widowControl/>
    </w:pPr>
  </w:style>
  <w:style w:type="paragraph" w:styleId="1381" w:customStyle="1">
    <w:name w:val="Char3 Char Char Char1"/>
    <w:basedOn w:val="1026"/>
    <w:qFormat/>
    <w:rPr>
      <w:rFonts w:ascii="Tahoma" w:hAnsi="Tahoma"/>
      <w:sz w:val="24"/>
      <w:szCs w:val="20"/>
    </w:rPr>
  </w:style>
  <w:style w:type="paragraph" w:styleId="1382" w:customStyle="1">
    <w:name w:val="22222222222222"/>
    <w:basedOn w:val="1026"/>
    <w:qFormat/>
    <w:pPr>
      <w:ind w:firstLine="480"/>
      <w:jc w:val="left"/>
      <w:spacing w:line="360" w:lineRule="auto"/>
      <w:widowControl/>
    </w:pPr>
    <w:rPr>
      <w:color w:val="ff0000"/>
      <w:sz w:val="24"/>
      <w:szCs w:val="20"/>
    </w:rPr>
  </w:style>
  <w:style w:type="character" w:styleId="1383" w:customStyle="1">
    <w:name w:val="中等深浅网格 1 - 强调文字颜色 2 Char"/>
    <w:link w:val="1384"/>
    <w:qFormat/>
    <w:rPr>
      <w:sz w:val="21"/>
      <w:szCs w:val="24"/>
      <w:lang w:val="zh-CN" w:eastAsia="zh-CN" w:bidi="ar-SA"/>
    </w:rPr>
  </w:style>
  <w:style w:type="paragraph" w:styleId="1384" w:customStyle="1">
    <w:name w:val="1"/>
    <w:link w:val="1383"/>
    <w:qFormat/>
    <w:rPr>
      <w:sz w:val="21"/>
      <w:szCs w:val="24"/>
      <w:lang w:val="zh-CN"/>
    </w:rPr>
  </w:style>
  <w:style w:type="paragraph" w:styleId="1385" w:customStyle="1">
    <w:name w:val="图文"/>
    <w:basedOn w:val="1026"/>
    <w:qFormat/>
    <w:pPr>
      <w:spacing w:after="50" w:line="360" w:lineRule="auto"/>
    </w:pPr>
    <w:rPr>
      <w:sz w:val="24"/>
    </w:rPr>
  </w:style>
  <w:style w:type="paragraph" w:styleId="1386" w:customStyle="1">
    <w:name w:val="xl23"/>
    <w:basedOn w:val="1026"/>
    <w:qFormat/>
    <w:pPr>
      <w:spacing w:before="100" w:beforeAutospacing="1" w:after="100" w:afterAutospacing="1" w:line="360" w:lineRule="auto"/>
      <w:widowControl/>
    </w:pPr>
    <w:rPr>
      <w:sz w:val="24"/>
      <w:szCs w:val="20"/>
    </w:rPr>
  </w:style>
  <w:style w:type="paragraph" w:styleId="1387" w:customStyle="1">
    <w:name w:val="正文表格"/>
    <w:basedOn w:val="1026"/>
    <w:link w:val="1388"/>
    <w:qFormat/>
    <w:pPr>
      <w:jc w:val="left"/>
    </w:pPr>
    <w:rPr>
      <w:rFonts w:ascii="宋体" w:hAnsi="宋体"/>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1026"/>
    <w:link w:val="1390"/>
    <w:qFormat/>
    <w:pPr>
      <w:ind w:firstLine="482"/>
      <w:jc w:val="left"/>
      <w:spacing w:line="360" w:lineRule="auto"/>
    </w:pPr>
    <w:rPr>
      <w:b/>
      <w:sz w:val="24"/>
      <w:szCs w:val="20"/>
    </w:rPr>
  </w:style>
  <w:style w:type="character" w:styleId="1390" w:customStyle="1">
    <w:name w:val="正文重点 Char"/>
    <w:link w:val="1389"/>
    <w:qFormat/>
    <w:rPr>
      <w:b/>
      <w:sz w:val="24"/>
    </w:rPr>
  </w:style>
  <w:style w:type="paragraph" w:styleId="1391" w:customStyle="1">
    <w:name w:val="标题1-附件"/>
    <w:basedOn w:val="1027"/>
    <w:qFormat/>
    <w:pPr>
      <w:jc w:val="left"/>
    </w:pPr>
    <w:rPr>
      <w:sz w:val="24"/>
      <w:szCs w:val="24"/>
    </w:rPr>
  </w:style>
  <w:style w:type="paragraph" w:styleId="1392" w:customStyle="1">
    <w:name w:val="正文小标题"/>
    <w:basedOn w:val="1026"/>
    <w:next w:val="1039"/>
    <w:link w:val="1393"/>
    <w:qFormat/>
    <w:pPr>
      <w:ind w:firstLine="482"/>
      <w:jc w:val="left"/>
      <w:spacing w:before="312" w:after="312"/>
    </w:pPr>
    <w:rPr>
      <w:rFonts w:ascii="宋体" w:hAnsi="宋体"/>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1039"/>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1026"/>
    <w:link w:val="1397"/>
    <w:qFormat/>
    <w:pPr>
      <w:ind w:left="420" w:hanging="420"/>
      <w:jc w:val="left"/>
    </w:pPr>
    <w:rPr>
      <w:rFonts w:ascii="宋体" w:hAnsi="宋体"/>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1026"/>
    <w:next w:val="1026"/>
    <w:qFormat/>
    <w:pPr>
      <w:numPr>
        <w:numId w:val="7"/>
      </w:numPr>
      <w:spacing w:line="300" w:lineRule="auto"/>
    </w:pPr>
    <w:rPr>
      <w:rFonts w:ascii="宋体" w:hAnsi="Calibri"/>
      <w:sz w:val="24"/>
      <w:szCs w:val="21"/>
    </w:rPr>
  </w:style>
  <w:style w:type="paragraph" w:styleId="1399" w:customStyle="1">
    <w:name w:val="正文须知-2级"/>
    <w:basedOn w:val="1026"/>
    <w:qFormat/>
    <w:pPr>
      <w:numPr>
        <w:ilvl w:val="1"/>
        <w:numId w:val="7"/>
      </w:numPr>
      <w:spacing w:line="300" w:lineRule="auto"/>
    </w:pPr>
    <w:rPr>
      <w:rFonts w:ascii="宋体" w:hAnsi="Calibri"/>
      <w:sz w:val="24"/>
      <w:szCs w:val="21"/>
    </w:rPr>
  </w:style>
  <w:style w:type="paragraph" w:styleId="1400" w:customStyle="1">
    <w:name w:val="正文须知-3级"/>
    <w:basedOn w:val="1026"/>
    <w:qFormat/>
    <w:pPr>
      <w:numPr>
        <w:ilvl w:val="2"/>
        <w:numId w:val="7"/>
      </w:numPr>
      <w:ind w:hanging="355"/>
      <w:spacing w:line="300" w:lineRule="auto"/>
    </w:pPr>
    <w:rPr>
      <w:rFonts w:ascii="宋体" w:hAnsi="Calibri"/>
      <w:sz w:val="24"/>
      <w:szCs w:val="21"/>
    </w:rPr>
  </w:style>
  <w:style w:type="character" w:styleId="1401" w:customStyle="1">
    <w:name w:val="纯文本 字符"/>
    <w:uiPriority w:val="99"/>
    <w:qFormat/>
    <w:rPr>
      <w:rFonts w:ascii="宋体" w:hAnsi="Courier New" w:eastAsia="宋体" w:cs="Times New Roman"/>
      <w:sz w:val="21"/>
      <w:szCs w:val="21"/>
      <w:lang w:val="en-US" w:eastAsia="zh-CN" w:bidi="ar-SA"/>
    </w:rPr>
  </w:style>
  <w:style w:type="paragraph" w:styleId="1402" w:customStyle="1">
    <w:name w:val="表格1"/>
    <w:basedOn w:val="1026"/>
    <w:qFormat/>
    <w:pPr>
      <w:ind w:firstLine="480"/>
      <w:jc w:val="center"/>
    </w:pPr>
    <w:rPr>
      <w:sz w:val="24"/>
      <w:szCs w:val="20"/>
    </w:rPr>
  </w:style>
  <w:style w:type="character" w:styleId="1403" w:customStyle="1">
    <w:name w:val="纯文本 字符1"/>
    <w:qFormat/>
    <w:rPr>
      <w:rFonts w:ascii="宋体" w:hAnsi="Courier New"/>
    </w:rPr>
  </w:style>
  <w:style w:type="character" w:styleId="1404" w:customStyle="1">
    <w:name w:val="bjh-p"/>
    <w:qFormat/>
  </w:style>
  <w:style w:type="paragraph" w:styleId="1405" w:customStyle="1">
    <w:name w:val="无标题条"/>
    <w:next w:val="1026"/>
    <w:qFormat/>
    <w:pPr>
      <w:jc w:val="both"/>
    </w:pPr>
    <w:rPr>
      <w:sz w:val="21"/>
    </w:rPr>
  </w:style>
  <w:style w:type="character" w:styleId="1406" w:customStyle="1">
    <w:name w:val="正文格式 Char"/>
    <w:link w:val="1407"/>
    <w:qFormat/>
    <w:rPr>
      <w:rFonts w:ascii="宋体" w:hAnsi="宋体"/>
      <w:sz w:val="24"/>
      <w:szCs w:val="24"/>
      <w:lang w:val="en-GB"/>
    </w:rPr>
  </w:style>
  <w:style w:type="paragraph" w:styleId="1407" w:customStyle="1">
    <w:name w:val="正文格式"/>
    <w:basedOn w:val="1026"/>
    <w:link w:val="1406"/>
    <w:qFormat/>
    <w:pPr>
      <w:ind w:firstLine="480"/>
      <w:spacing w:line="360" w:lineRule="auto"/>
    </w:pPr>
    <w:rPr>
      <w:rFonts w:ascii="宋体" w:hAnsi="宋体"/>
      <w:sz w:val="24"/>
      <w:lang w:val="en-GB"/>
    </w:rPr>
  </w:style>
  <w:style w:type="character" w:styleId="1408" w:customStyle="1">
    <w:name w:val="标题 3 Char"/>
    <w:qFormat/>
    <w:rPr>
      <w:rFonts w:ascii="宋体" w:eastAsia="宋体"/>
      <w:b/>
      <w:sz w:val="24"/>
      <w:u w:val="single"/>
      <w:lang w:val="en-US" w:eastAsia="zh-CN" w:bidi="ar-SA"/>
    </w:rPr>
  </w:style>
  <w:style w:type="character" w:styleId="1409" w:customStyle="1">
    <w:name w:val="正文缩进 Char"/>
    <w:qFormat/>
    <w:rPr>
      <w:rFonts w:ascii="宋体" w:eastAsia="宋体"/>
      <w:sz w:val="24"/>
      <w:szCs w:val="24"/>
      <w:lang w:val="en-US" w:eastAsia="zh-CN" w:bidi="ar-SA"/>
    </w:rPr>
  </w:style>
  <w:style w:type="character" w:styleId="1410" w:customStyle="1">
    <w:name w:val="Char Char111"/>
    <w:qFormat/>
    <w:rPr>
      <w:rFonts w:ascii="宋体" w:eastAsia="宋体"/>
      <w:b/>
      <w:sz w:val="24"/>
      <w:u w:val="single"/>
      <w:lang w:val="en-US" w:eastAsia="zh-CN" w:bidi="ar-SA"/>
    </w:rPr>
  </w:style>
  <w:style w:type="character" w:styleId="1411" w:customStyle="1">
    <w:name w:val="正文文本缩进 Char"/>
    <w:uiPriority w:val="99"/>
    <w:qFormat/>
    <w:rPr>
      <w:rFonts w:eastAsia="宋体"/>
      <w:sz w:val="24"/>
      <w:szCs w:val="24"/>
      <w:lang w:val="en-US" w:eastAsia="zh-CN" w:bidi="ar-SA"/>
    </w:rPr>
  </w:style>
  <w:style w:type="character" w:styleId="1412" w:customStyle="1">
    <w:name w:val="列出段落 Char"/>
    <w:qFormat/>
    <w:rPr>
      <w:rFonts w:ascii="Calibri" w:hAnsi="Calibri" w:eastAsia="宋体"/>
      <w:sz w:val="21"/>
      <w:szCs w:val="22"/>
      <w:lang w:val="en-US" w:eastAsia="zh-CN" w:bidi="ar-SA"/>
    </w:rPr>
  </w:style>
  <w:style w:type="character" w:styleId="1413" w:customStyle="1">
    <w:name w:val="页眉 Char"/>
    <w:qFormat/>
    <w:rPr>
      <w:rFonts w:eastAsia="宋体"/>
      <w:sz w:val="18"/>
      <w:szCs w:val="18"/>
      <w:lang w:val="en-US" w:eastAsia="zh-CN" w:bidi="ar-SA"/>
    </w:rPr>
  </w:style>
  <w:style w:type="character" w:styleId="1414" w:customStyle="1">
    <w:name w:val="标题 2 Char"/>
    <w:uiPriority w:val="9"/>
    <w:qFormat/>
    <w:rPr>
      <w:rFonts w:ascii="Arial" w:hAnsi="Arial" w:eastAsia="黑体"/>
      <w:b/>
      <w:sz w:val="30"/>
      <w:lang w:val="en-US" w:eastAsia="zh-CN" w:bidi="ar-SA"/>
    </w:rPr>
  </w:style>
  <w:style w:type="paragraph" w:styleId="1415" w:customStyle="1">
    <w:name w:val="字元 字元2"/>
    <w:basedOn w:val="1026"/>
    <w:qFormat/>
    <w:rPr>
      <w:rFonts w:ascii="Tahoma" w:hAnsi="Tahoma"/>
      <w:sz w:val="24"/>
      <w:szCs w:val="20"/>
    </w:rPr>
  </w:style>
  <w:style w:type="paragraph" w:styleId="1416" w:customStyle="1">
    <w:name w:val="Char3 Char Char Char2"/>
    <w:basedOn w:val="1026"/>
    <w:qFormat/>
    <w:rPr>
      <w:rFonts w:ascii="Tahoma" w:hAnsi="Tahoma"/>
      <w:sz w:val="24"/>
      <w:szCs w:val="20"/>
    </w:rPr>
  </w:style>
  <w:style w:type="paragraph" w:styleId="1417" w:customStyle="1">
    <w:name w:val="正文文本缩进2"/>
    <w:basedOn w:val="1026"/>
    <w:qFormat/>
    <w:pPr>
      <w:ind w:firstLine="480"/>
      <w:spacing w:line="480" w:lineRule="exact"/>
    </w:pPr>
    <w:rPr>
      <w:rFonts w:ascii="宋体" w:hAnsi="宋体"/>
      <w:sz w:val="24"/>
      <w:lang w:val="zh-CN"/>
    </w:rPr>
  </w:style>
  <w:style w:type="paragraph" w:styleId="1418" w:customStyle="1">
    <w:name w:val="Char3"/>
    <w:basedOn w:val="1026"/>
    <w:qFormat/>
    <w:pPr>
      <w:tabs>
        <w:tab w:val="left" w:pos="360" w:leader="none"/>
      </w:tabs>
    </w:pPr>
    <w:rPr>
      <w:sz w:val="24"/>
    </w:rPr>
  </w:style>
  <w:style w:type="paragraph" w:styleId="1419" w:customStyle="1">
    <w:name w:val="Char Char Char Char Char Char Char Char Char Char Char Char Char Char Char Char1"/>
    <w:basedOn w:val="1026"/>
    <w:qFormat/>
    <w:pPr>
      <w:jc w:val="center"/>
      <w:spacing w:after="160" w:line="240" w:lineRule="exact"/>
      <w:widowControl/>
    </w:pPr>
    <w:rPr>
      <w:rFonts w:ascii="宋体" w:hAnsi="宋体"/>
      <w:b/>
      <w:sz w:val="30"/>
      <w:szCs w:val="30"/>
      <w:lang w:eastAsia="en-US"/>
    </w:rPr>
  </w:style>
  <w:style w:type="paragraph" w:styleId="1420" w:customStyle="1">
    <w:name w:val="Char Char1 Char Char Char Char Char Char1"/>
    <w:basedOn w:val="1026"/>
    <w:qFormat/>
    <w:pPr>
      <w:jc w:val="left"/>
      <w:spacing w:after="160" w:line="240" w:lineRule="exact"/>
      <w:widowControl/>
    </w:pPr>
    <w:rPr>
      <w:rFonts w:ascii="Verdana" w:hAnsi="Verdana" w:eastAsia="仿宋_GB2312"/>
      <w:sz w:val="24"/>
      <w:szCs w:val="20"/>
      <w:lang w:eastAsia="en-US"/>
    </w:rPr>
  </w:style>
  <w:style w:type="paragraph" w:styleId="1421" w:customStyle="1">
    <w:name w:val="列出段落2"/>
    <w:basedOn w:val="1026"/>
    <w:qFormat/>
    <w:pPr>
      <w:ind w:firstLine="420"/>
    </w:pPr>
    <w:rPr>
      <w:rFonts w:ascii="Calibri" w:hAnsi="Calibri"/>
      <w:szCs w:val="22"/>
    </w:rPr>
  </w:style>
  <w:style w:type="paragraph" w:styleId="1422" w:customStyle="1">
    <w:name w:val="Char Char Char1 Char2"/>
    <w:basedOn w:val="1026"/>
    <w:uiPriority w:val="99"/>
    <w:qFormat/>
    <w:rPr>
      <w:rFonts w:ascii="Tahoma" w:hAnsi="Tahoma"/>
      <w:sz w:val="24"/>
      <w:szCs w:val="20"/>
    </w:rPr>
  </w:style>
  <w:style w:type="paragraph" w:styleId="1423" w:customStyle="1">
    <w:name w:val="Char Char Char2"/>
    <w:basedOn w:val="1026"/>
    <w:qFormat/>
    <w:rPr>
      <w:rFonts w:ascii="Tahoma" w:hAnsi="Tahoma"/>
      <w:sz w:val="24"/>
      <w:szCs w:val="20"/>
    </w:rPr>
  </w:style>
  <w:style w:type="paragraph" w:styleId="1424" w:customStyle="1">
    <w:name w:val="Char Char Char Char Char Char Char2"/>
    <w:basedOn w:val="1026"/>
    <w:qFormat/>
    <w:pPr>
      <w:ind w:firstLine="200"/>
      <w:spacing w:line="360" w:lineRule="auto"/>
    </w:pPr>
    <w:rPr>
      <w:rFonts w:eastAsia="仿宋_GB2312"/>
      <w:sz w:val="24"/>
    </w:rPr>
  </w:style>
  <w:style w:type="paragraph" w:styleId="1425" w:customStyle="1">
    <w:name w:val="正文缩进2"/>
    <w:basedOn w:val="1026"/>
    <w:qFormat/>
    <w:pPr>
      <w:ind w:firstLine="567"/>
      <w:spacing w:line="480" w:lineRule="exact"/>
      <w:widowControl/>
    </w:pPr>
    <w:rPr>
      <w:rFonts w:ascii="宋体"/>
      <w:color w:val="000000"/>
      <w:sz w:val="28"/>
      <w:szCs w:val="20"/>
      <w:lang w:val="zh-CN"/>
    </w:rPr>
  </w:style>
  <w:style w:type="paragraph" w:styleId="1426" w:customStyle="1">
    <w:name w:val="修订1"/>
    <w:uiPriority w:val="99"/>
    <w:unhideWhenUsed/>
    <w:qFormat/>
    <w:rPr>
      <w:sz w:val="21"/>
      <w:szCs w:val="24"/>
    </w:rPr>
  </w:style>
  <w:style w:type="paragraph" w:styleId="1427" w:customStyle="1">
    <w:name w:val="Char22"/>
    <w:basedOn w:val="1026"/>
    <w:qFormat/>
    <w:rPr>
      <w:rFonts w:ascii="Tahoma" w:hAnsi="Tahoma"/>
      <w:sz w:val="24"/>
      <w:szCs w:val="20"/>
    </w:rPr>
  </w:style>
  <w:style w:type="paragraph" w:styleId="1428" w:customStyle="1">
    <w:name w:val="Char Char Char Char Char Char Char Char Char Char2"/>
    <w:basedOn w:val="1026"/>
    <w:qFormat/>
    <w:rPr>
      <w:rFonts w:ascii="宋体" w:hAnsi="宋体" w:cs="Courier New"/>
      <w:sz w:val="32"/>
      <w:szCs w:val="32"/>
    </w:rPr>
  </w:style>
  <w:style w:type="paragraph" w:styleId="1429" w:customStyle="1">
    <w:name w:val="Char2 Char Char Char Char Char Char1"/>
    <w:basedOn w:val="1026"/>
    <w:qFormat/>
    <w:pPr>
      <w:jc w:val="center"/>
      <w:spacing w:line="400" w:lineRule="exact"/>
      <w:widowControl/>
    </w:pPr>
  </w:style>
  <w:style w:type="character" w:styleId="1430" w:customStyle="1">
    <w:name w:val="页脚 Char"/>
    <w:qFormat/>
    <w:rPr>
      <w:rFonts w:ascii="宋体" w:eastAsia="宋体"/>
      <w:sz w:val="18"/>
      <w:lang w:val="en-US" w:eastAsia="zh-CN" w:bidi="ar-SA"/>
    </w:rPr>
  </w:style>
  <w:style w:type="paragraph" w:styleId="1431" w:customStyle="1">
    <w:name w:val="Char Char41"/>
    <w:basedOn w:val="1026"/>
    <w:qFormat/>
    <w:pPr>
      <w:jc w:val="center"/>
      <w:spacing w:line="400" w:lineRule="exact"/>
      <w:widowControl/>
    </w:pPr>
  </w:style>
  <w:style w:type="character" w:styleId="1432" w:customStyle="1">
    <w:name w:val="批注文字 Char"/>
    <w:uiPriority w:val="99"/>
    <w:qFormat/>
    <w:rPr>
      <w:sz w:val="21"/>
      <w:szCs w:val="24"/>
    </w:rPr>
  </w:style>
  <w:style w:type="character" w:styleId="1433" w:customStyle="1">
    <w:name w:val="标题 Char"/>
    <w:qFormat/>
    <w:rPr>
      <w:b/>
      <w:sz w:val="32"/>
    </w:rPr>
  </w:style>
  <w:style w:type="paragraph" w:styleId="1434" w:customStyle="1">
    <w:name w:val="图例"/>
    <w:basedOn w:val="1026"/>
    <w:qFormat/>
    <w:pPr>
      <w:jc w:val="center"/>
      <w:spacing w:before="120" w:after="120" w:line="360" w:lineRule="auto"/>
    </w:pPr>
    <w:rPr>
      <w:rFonts w:eastAsia="仿宋_GB2312"/>
      <w:b/>
      <w:sz w:val="24"/>
      <w:szCs w:val="20"/>
    </w:rPr>
  </w:style>
  <w:style w:type="table" w:styleId="1435"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6" w:customStyle="1">
    <w:name w:val="Table Paragraph"/>
    <w:basedOn w:val="1026"/>
    <w:uiPriority w:val="1"/>
    <w:qFormat/>
    <w:pPr>
      <w:jc w:val="left"/>
    </w:pPr>
    <w:rPr>
      <w:rFonts w:ascii="宋体" w:hAnsi="宋体" w:cs="宋体"/>
      <w:sz w:val="22"/>
      <w:szCs w:val="22"/>
      <w:lang w:eastAsia="en-US"/>
    </w:rPr>
  </w:style>
  <w:style w:type="paragraph" w:styleId="1437" w:customStyle="1">
    <w:name w:val="成文日期"/>
    <w:basedOn w:val="1026"/>
    <w:link w:val="1438"/>
    <w:qFormat/>
    <w:pPr>
      <w:ind w:right="400" w:firstLine="200"/>
      <w:jc w:val="right"/>
      <w:spacing w:line="570" w:lineRule="exact"/>
    </w:pPr>
    <w:rPr>
      <w:rFonts w:ascii="仿宋_GB2312" w:eastAsia="仿宋_GB2312"/>
      <w:sz w:val="32"/>
      <w:szCs w:val="20"/>
    </w:rPr>
  </w:style>
  <w:style w:type="character" w:styleId="1438" w:customStyle="1">
    <w:name w:val="成文日期 Char"/>
    <w:link w:val="1437"/>
    <w:qFormat/>
    <w:rPr>
      <w:rFonts w:ascii="仿宋_GB2312" w:eastAsia="仿宋_GB2312"/>
      <w:sz w:val="32"/>
    </w:rPr>
  </w:style>
  <w:style w:type="character" w:styleId="1439" w:customStyle="1">
    <w:name w:val="未处理的提及1"/>
    <w:uiPriority w:val="99"/>
    <w:unhideWhenUsed/>
    <w:qFormat/>
    <w:rPr>
      <w:color w:val="605e5c"/>
      <w:shd w:val="clear" w:color="auto" w:fill="e1dfdd"/>
    </w:rPr>
  </w:style>
  <w:style w:type="character" w:styleId="1440" w:customStyle="1">
    <w:name w:val="尾注文本 字符"/>
    <w:qFormat/>
    <w:rPr>
      <w:sz w:val="21"/>
      <w:szCs w:val="24"/>
    </w:rPr>
  </w:style>
  <w:style w:type="character" w:styleId="1441" w:customStyle="1">
    <w:name w:val="脚注文本 字符"/>
    <w:qFormat/>
    <w:rPr>
      <w:sz w:val="18"/>
      <w:szCs w:val="18"/>
    </w:rPr>
  </w:style>
  <w:style w:type="character" w:styleId="1442" w:customStyle="1">
    <w:name w:val="正文文本 2 字符"/>
    <w:qFormat/>
    <w:rPr>
      <w:sz w:val="21"/>
      <w:szCs w:val="24"/>
    </w:rPr>
  </w:style>
  <w:style w:type="character" w:styleId="1443" w:customStyle="1">
    <w:name w:val="标题 1 字符"/>
    <w:uiPriority w:val="9"/>
    <w:qFormat/>
    <w:rPr>
      <w:rFonts w:ascii="黑体" w:hAnsi="Times New Roman" w:eastAsia="宋体" w:cs="Times New Roman"/>
      <w:b/>
      <w:sz w:val="32"/>
      <w:szCs w:val="24"/>
    </w:rPr>
  </w:style>
  <w:style w:type="character" w:styleId="1444" w:customStyle="1">
    <w:name w:val="标题 2 字符"/>
    <w:uiPriority w:val="9"/>
    <w:qFormat/>
    <w:rPr>
      <w:rFonts w:ascii="Arial" w:hAnsi="Arial" w:eastAsia="黑体" w:cs="Times New Roman"/>
      <w:b/>
      <w:sz w:val="32"/>
      <w:szCs w:val="20"/>
    </w:rPr>
  </w:style>
  <w:style w:type="character" w:styleId="1445" w:customStyle="1">
    <w:name w:val="标题 3 字符"/>
    <w:uiPriority w:val="9"/>
    <w:qFormat/>
    <w:rPr>
      <w:rFonts w:ascii="Times New Roman" w:hAnsi="Times New Roman" w:eastAsia="宋体" w:cs="Times New Roman"/>
      <w:b/>
      <w:sz w:val="32"/>
      <w:szCs w:val="20"/>
    </w:rPr>
  </w:style>
  <w:style w:type="character" w:styleId="1446" w:customStyle="1">
    <w:name w:val="文档结构图 字符"/>
    <w:qFormat/>
    <w:rPr>
      <w:rFonts w:ascii="宋体" w:hAnsi="Times New Roman" w:eastAsia="宋体" w:cs="Times New Roman"/>
      <w:sz w:val="18"/>
      <w:szCs w:val="18"/>
    </w:rPr>
  </w:style>
  <w:style w:type="character" w:styleId="1447" w:customStyle="1">
    <w:name w:val="批注主题 字符"/>
    <w:qFormat/>
    <w:rPr>
      <w:rFonts w:ascii="Times New Roman" w:hAnsi="Times New Roman" w:eastAsia="宋体" w:cs="Times New Roman"/>
      <w:b/>
      <w:bCs/>
      <w:sz w:val="24"/>
      <w:szCs w:val="20"/>
      <w:lang w:val="en-US" w:eastAsia="zh-CN" w:bidi="ar-SA"/>
    </w:rPr>
  </w:style>
  <w:style w:type="character" w:styleId="1448" w:customStyle="1">
    <w:name w:val="正文文本 字符"/>
    <w:qFormat/>
    <w:rPr>
      <w:rFonts w:ascii="Times New Roman" w:hAnsi="Times New Roman" w:eastAsia="宋体" w:cs="Times New Roman"/>
      <w:szCs w:val="24"/>
    </w:rPr>
  </w:style>
  <w:style w:type="character" w:styleId="1449" w:customStyle="1">
    <w:name w:val="正文文本缩进 字符"/>
    <w:qFormat/>
    <w:rPr>
      <w:rFonts w:ascii="宋体" w:hAnsi="Times New Roman" w:eastAsia="宋体" w:cs="Century"/>
      <w:spacing w:val="2"/>
      <w:szCs w:val="24"/>
    </w:rPr>
  </w:style>
  <w:style w:type="character" w:styleId="1450" w:customStyle="1">
    <w:name w:val="日期 字符"/>
    <w:uiPriority w:val="99"/>
    <w:qFormat/>
    <w:rPr>
      <w:rFonts w:ascii="宋体" w:hAnsi="宋体" w:eastAsia="宋体" w:cs="Times New Roman"/>
      <w:sz w:val="24"/>
      <w:szCs w:val="20"/>
    </w:rPr>
  </w:style>
  <w:style w:type="character" w:styleId="1451" w:customStyle="1">
    <w:name w:val="正文文本缩进 2 字符"/>
    <w:qFormat/>
    <w:rPr>
      <w:rFonts w:ascii="Times New Roman" w:hAnsi="Times New Roman" w:eastAsia="宋体" w:cs="Times New Roman"/>
      <w:szCs w:val="24"/>
    </w:rPr>
  </w:style>
  <w:style w:type="character" w:styleId="1452" w:customStyle="1">
    <w:name w:val="批注框文本 字符"/>
    <w:uiPriority w:val="99"/>
    <w:qFormat/>
    <w:rPr>
      <w:rFonts w:ascii="Times New Roman" w:hAnsi="Times New Roman" w:eastAsia="宋体" w:cs="Times New Roman"/>
      <w:sz w:val="18"/>
      <w:szCs w:val="18"/>
    </w:rPr>
  </w:style>
  <w:style w:type="character" w:styleId="1453" w:customStyle="1">
    <w:name w:val="页脚 字符"/>
    <w:uiPriority w:val="99"/>
    <w:qFormat/>
    <w:rPr>
      <w:rFonts w:ascii="Times New Roman" w:hAnsi="Times New Roman" w:eastAsia="宋体" w:cs="Times New Roman"/>
      <w:sz w:val="18"/>
      <w:szCs w:val="18"/>
    </w:rPr>
  </w:style>
  <w:style w:type="character" w:styleId="1454" w:customStyle="1">
    <w:name w:val="页眉 字符"/>
    <w:uiPriority w:val="99"/>
    <w:qFormat/>
    <w:rPr>
      <w:rFonts w:ascii="Times New Roman" w:hAnsi="Times New Roman" w:eastAsia="宋体" w:cs="Times New Roman"/>
      <w:sz w:val="18"/>
      <w:szCs w:val="20"/>
    </w:rPr>
  </w:style>
  <w:style w:type="paragraph" w:styleId="1455" w:customStyle="1">
    <w:name w:val="纯文本1"/>
    <w:next w:val="1060"/>
    <w:link w:val="1456"/>
    <w:uiPriority w:val="99"/>
    <w:qFormat/>
    <w:pPr>
      <w:jc w:val="both"/>
      <w:widowControl w:val="off"/>
    </w:pPr>
    <w:rPr>
      <w:rFonts w:ascii="宋体" w:hAnsi="宋体"/>
      <w:sz w:val="26"/>
    </w:rPr>
  </w:style>
  <w:style w:type="character" w:styleId="1456" w:customStyle="1">
    <w:name w:val="Plain Text Char"/>
    <w:link w:val="1455"/>
    <w:qFormat/>
    <w:rPr>
      <w:rFonts w:ascii="宋体" w:hAnsi="宋体"/>
      <w:sz w:val="26"/>
    </w:rPr>
  </w:style>
  <w:style w:type="paragraph" w:styleId="1457" w:customStyle="1">
    <w:name w:val="列出段落11"/>
    <w:basedOn w:val="1026"/>
    <w:uiPriority w:val="99"/>
    <w:qFormat/>
    <w:pPr>
      <w:ind w:firstLine="420"/>
    </w:pPr>
    <w:rPr>
      <w:szCs w:val="20"/>
    </w:rPr>
  </w:style>
  <w:style w:type="character" w:styleId="1458" w:customStyle="1">
    <w:name w:val="页码1"/>
    <w:link w:val="1459"/>
    <w:qFormat/>
  </w:style>
  <w:style w:type="paragraph" w:styleId="1459" w:customStyle="1">
    <w:name w:val="正文11"/>
    <w:next w:val="1026"/>
    <w:link w:val="1458"/>
    <w:qFormat/>
    <w:pPr>
      <w:jc w:val="both"/>
    </w:pPr>
  </w:style>
  <w:style w:type="paragraph" w:styleId="1460" w:customStyle="1">
    <w:name w:val="正文文本缩进21"/>
    <w:basedOn w:val="1026"/>
    <w:qFormat/>
    <w:pPr>
      <w:ind w:firstLine="301"/>
      <w:spacing w:line="200" w:lineRule="exact"/>
    </w:pPr>
    <w:rPr>
      <w:rFonts w:ascii="宋体" w:hAnsi="Courier New"/>
      <w:spacing w:val="-4"/>
      <w:sz w:val="18"/>
      <w:szCs w:val="20"/>
    </w:rPr>
  </w:style>
  <w:style w:type="paragraph" w:styleId="1461" w:customStyle="1">
    <w:name w:val="修订1"/>
    <w:uiPriority w:val="99"/>
    <w:semiHidden/>
    <w:qFormat/>
    <w:rPr>
      <w:sz w:val="21"/>
    </w:rPr>
  </w:style>
  <w:style w:type="character" w:styleId="1462" w:customStyle="1">
    <w:name w:val="正文缩进 字符"/>
    <w:uiPriority w:val="99"/>
    <w:qFormat/>
    <w:rPr>
      <w:rFonts w:ascii="宋体" w:hAnsi="Times New Roman" w:eastAsia="宋体" w:cs="Times New Roman"/>
      <w:sz w:val="24"/>
    </w:rPr>
  </w:style>
  <w:style w:type="paragraph" w:styleId="1463" w:customStyle="1">
    <w:name w:val="Í¼±íÕýÎÄ"/>
    <w:basedOn w:val="1026"/>
    <w:next w:val="1039"/>
    <w:qFormat/>
    <w:pPr>
      <w:ind w:firstLine="420"/>
    </w:pPr>
    <w:rPr>
      <w:sz w:val="24"/>
      <w:szCs w:val="20"/>
    </w:rPr>
  </w:style>
  <w:style w:type="character" w:styleId="1464" w:customStyle="1">
    <w:name w:val="font01"/>
    <w:qFormat/>
    <w:rPr>
      <w:rFonts w:hint="eastAsia" w:ascii="宋体" w:hAnsi="宋体" w:eastAsia="宋体" w:cs="宋体"/>
      <w:color w:val="000000"/>
      <w:sz w:val="24"/>
      <w:szCs w:val="24"/>
      <w:u w:val="none"/>
    </w:rPr>
  </w:style>
  <w:style w:type="paragraph" w:styleId="1465" w:customStyle="1">
    <w:name w:val="纯文本2"/>
    <w:next w:val="1060"/>
    <w:link w:val="1466"/>
    <w:qFormat/>
    <w:pPr>
      <w:jc w:val="both"/>
      <w:widowControl w:val="off"/>
    </w:pPr>
    <w:rPr>
      <w:rFonts w:ascii="宋体"/>
      <w:sz w:val="26"/>
      <w:szCs w:val="22"/>
    </w:rPr>
  </w:style>
  <w:style w:type="character" w:styleId="1466" w:customStyle="1">
    <w:name w:val="纯文本 Char2"/>
    <w:link w:val="1465"/>
    <w:qFormat/>
    <w:rPr>
      <w:rFonts w:ascii="宋体"/>
      <w:sz w:val="26"/>
      <w:szCs w:val="22"/>
    </w:rPr>
  </w:style>
  <w:style w:type="paragraph" w:styleId="1467" w:customStyle="1">
    <w:name w:val="TOC 标题1"/>
    <w:basedOn w:val="1027"/>
    <w:next w:val="1026"/>
    <w:unhideWhenUsed/>
    <w:qFormat/>
    <w:pPr>
      <w:jc w:val="left"/>
      <w:spacing w:before="480" w:after="0" w:line="276" w:lineRule="auto"/>
      <w:widowControl/>
      <w:outlineLvl w:val="9"/>
    </w:pPr>
    <w:rPr>
      <w:rFonts w:ascii="Cambria" w:hAnsi="Cambria"/>
      <w:bCs/>
      <w:color w:val="365f91"/>
      <w:sz w:val="28"/>
      <w:szCs w:val="28"/>
    </w:rPr>
  </w:style>
  <w:style w:type="character" w:styleId="1468" w:customStyle="1">
    <w:name w:val="标题 4 字符"/>
    <w:uiPriority w:val="9"/>
    <w:qFormat/>
    <w:rPr>
      <w:rFonts w:ascii="Cambria" w:hAnsi="Cambria" w:eastAsia="宋体" w:cs="Times New Roman"/>
      <w:b/>
      <w:bCs/>
      <w:sz w:val="28"/>
      <w:szCs w:val="28"/>
    </w:rPr>
  </w:style>
  <w:style w:type="character" w:styleId="1469" w:customStyle="1">
    <w:name w:val="标题 5 字符"/>
    <w:uiPriority w:val="9"/>
    <w:qFormat/>
    <w:rPr>
      <w:rFonts w:ascii="Times New Roman" w:hAnsi="Times New Roman" w:eastAsia="宋体" w:cs="Times New Roman"/>
      <w:b/>
      <w:bCs/>
      <w:sz w:val="28"/>
      <w:szCs w:val="28"/>
    </w:rPr>
  </w:style>
  <w:style w:type="character" w:styleId="1470" w:customStyle="1">
    <w:name w:val="标题 6 字符"/>
    <w:uiPriority w:val="9"/>
    <w:qFormat/>
    <w:rPr>
      <w:rFonts w:ascii="Cambria" w:hAnsi="Cambria" w:eastAsia="宋体" w:cs="Times New Roman"/>
      <w:b/>
      <w:bCs/>
      <w:sz w:val="24"/>
      <w:szCs w:val="24"/>
    </w:rPr>
  </w:style>
  <w:style w:type="character" w:styleId="1471" w:customStyle="1">
    <w:name w:val="标题 7 字符"/>
    <w:uiPriority w:val="9"/>
    <w:qFormat/>
    <w:rPr>
      <w:rFonts w:ascii="Times New Roman" w:hAnsi="Times New Roman" w:eastAsia="宋体" w:cs="Times New Roman"/>
      <w:b/>
      <w:bCs/>
      <w:sz w:val="24"/>
      <w:szCs w:val="24"/>
    </w:rPr>
  </w:style>
  <w:style w:type="character" w:styleId="1472" w:customStyle="1">
    <w:name w:val="标题 8 字符"/>
    <w:uiPriority w:val="9"/>
    <w:qFormat/>
    <w:rPr>
      <w:rFonts w:ascii="Cambria" w:hAnsi="Cambria" w:eastAsia="宋体" w:cs="Times New Roman"/>
      <w:sz w:val="24"/>
      <w:szCs w:val="24"/>
    </w:rPr>
  </w:style>
  <w:style w:type="character" w:styleId="1473" w:customStyle="1">
    <w:name w:val="标题 9 字符"/>
    <w:uiPriority w:val="9"/>
    <w:qFormat/>
    <w:rPr>
      <w:rFonts w:ascii="Cambria" w:hAnsi="Cambria" w:eastAsia="宋体" w:cs="Times New Roman"/>
      <w:sz w:val="21"/>
      <w:szCs w:val="21"/>
    </w:rPr>
  </w:style>
  <w:style w:type="character" w:styleId="1474" w:customStyle="1">
    <w:name w:val="正文文本 3 字符"/>
    <w:qFormat/>
    <w:rPr>
      <w:rFonts w:ascii="Times New Roman" w:hAnsi="Times New Roman" w:eastAsia="宋体" w:cs="Times New Roman"/>
      <w:sz w:val="16"/>
      <w:szCs w:val="16"/>
    </w:rPr>
  </w:style>
  <w:style w:type="character" w:styleId="1475" w:customStyle="1">
    <w:name w:val="正文文本缩进 3 字符"/>
    <w:qFormat/>
    <w:rPr>
      <w:rFonts w:ascii="Times New Roman" w:hAnsi="Times New Roman" w:eastAsia="宋体" w:cs="Times New Roman"/>
      <w:sz w:val="16"/>
      <w:szCs w:val="16"/>
    </w:rPr>
  </w:style>
  <w:style w:type="character" w:styleId="1476" w:customStyle="1">
    <w:name w:val="标题 字符"/>
    <w:uiPriority w:val="10"/>
    <w:qFormat/>
    <w:rPr>
      <w:rFonts w:ascii="Cambria" w:hAnsi="Cambria" w:eastAsia="宋体" w:cs="Times New Roman"/>
      <w:b/>
      <w:bCs/>
      <w:sz w:val="32"/>
      <w:szCs w:val="32"/>
    </w:rPr>
  </w:style>
  <w:style w:type="character" w:styleId="1477" w:customStyle="1">
    <w:name w:val="正文文本首行缩进 2 字符"/>
    <w:uiPriority w:val="99"/>
    <w:qFormat/>
    <w:rPr>
      <w:rFonts w:ascii="Times New Roman" w:hAnsi="Times New Roman" w:eastAsia="宋体" w:cs="Times New Roman"/>
      <w:spacing w:val="2"/>
      <w:sz w:val="21"/>
      <w:szCs w:val="24"/>
    </w:rPr>
  </w:style>
  <w:style w:type="paragraph" w:styleId="1478" w:customStyle="1">
    <w:name w:val="p0"/>
    <w:basedOn w:val="1026"/>
    <w:uiPriority w:val="99"/>
    <w:qFormat/>
    <w:pPr>
      <w:widowControl/>
    </w:pPr>
    <w:rPr>
      <w:szCs w:val="21"/>
    </w:rPr>
  </w:style>
  <w:style w:type="character" w:styleId="1479" w:customStyle="1">
    <w:name w:val="font91"/>
    <w:qFormat/>
    <w:rPr>
      <w:rFonts w:ascii="Times New Roman" w:hAnsi="Times New Roman" w:cs="Times New Roman"/>
      <w:color w:val="000000"/>
      <w:sz w:val="21"/>
      <w:szCs w:val="21"/>
    </w:rPr>
  </w:style>
  <w:style w:type="character" w:styleId="1480" w:customStyle="1">
    <w:name w:val="页眉 字符1"/>
    <w:qFormat/>
    <w:rPr>
      <w:rFonts w:eastAsia="宋体"/>
      <w:sz w:val="18"/>
      <w:lang w:val="en-US" w:eastAsia="zh-CN"/>
    </w:rPr>
  </w:style>
  <w:style w:type="character" w:styleId="1481" w:customStyle="1">
    <w:name w:val="正文缩进 字符1"/>
    <w:qFormat/>
    <w:rPr>
      <w:sz w:val="24"/>
    </w:rPr>
  </w:style>
  <w:style w:type="character" w:styleId="1482" w:customStyle="1">
    <w:name w:val="正文文本缩进 3 Char1"/>
    <w:qFormat/>
    <w:rPr>
      <w:sz w:val="16"/>
    </w:rPr>
  </w:style>
  <w:style w:type="character" w:styleId="1483" w:customStyle="1">
    <w:name w:val="正文文本 3 Char1"/>
    <w:semiHidden/>
    <w:qFormat/>
    <w:rPr>
      <w:rFonts w:ascii="Times New Roman" w:hAnsi="Times New Roman" w:eastAsia="宋体" w:cs="Times New Roman"/>
      <w:sz w:val="16"/>
      <w:szCs w:val="16"/>
    </w:rPr>
  </w:style>
  <w:style w:type="paragraph" w:styleId="1484" w:customStyle="1">
    <w:name w:val="正文文本缩进 Char Char"/>
    <w:basedOn w:val="1026"/>
    <w:uiPriority w:val="99"/>
    <w:qFormat/>
    <w:pPr>
      <w:ind w:left="420"/>
      <w:spacing w:after="120"/>
    </w:pPr>
    <w:rPr>
      <w:rFonts w:hAnsi="Calibri"/>
      <w:szCs w:val="20"/>
    </w:rPr>
  </w:style>
  <w:style w:type="character" w:styleId="1485" w:customStyle="1">
    <w:name w:val="批注框文本 Char1"/>
    <w:semiHidden/>
    <w:qFormat/>
    <w:rPr>
      <w:sz w:val="18"/>
    </w:rPr>
  </w:style>
  <w:style w:type="character" w:styleId="1486" w:customStyle="1">
    <w:name w:val="info1"/>
    <w:uiPriority w:val="99"/>
    <w:qFormat/>
    <w:rPr>
      <w:sz w:val="29"/>
    </w:rPr>
  </w:style>
  <w:style w:type="character" w:styleId="1487" w:customStyle="1">
    <w:name w:val="正文文本 3 字符1"/>
    <w:qFormat/>
    <w:rPr>
      <w:rFonts w:ascii="Times New Roman" w:hAnsi="Times New Roman"/>
      <w:b/>
      <w:sz w:val="24"/>
    </w:rPr>
  </w:style>
  <w:style w:type="character" w:styleId="1488" w:customStyle="1">
    <w:name w:val="font21"/>
    <w:qFormat/>
    <w:rPr>
      <w:rFonts w:ascii="宋体" w:hAnsi="宋体" w:eastAsia="宋体" w:cs="宋体"/>
      <w:color w:val="000000"/>
      <w:sz w:val="24"/>
      <w:szCs w:val="24"/>
    </w:rPr>
  </w:style>
  <w:style w:type="character" w:styleId="1489" w:customStyle="1">
    <w:name w:val="标题 字符1"/>
    <w:uiPriority w:val="10"/>
    <w:qFormat/>
    <w:rPr>
      <w:rFonts w:ascii="Arial" w:hAnsi="Arial"/>
      <w:b/>
      <w:sz w:val="32"/>
    </w:rPr>
  </w:style>
  <w:style w:type="character" w:styleId="1490" w:customStyle="1">
    <w:name w:val="正文文本 字符1"/>
    <w:qFormat/>
  </w:style>
  <w:style w:type="character" w:styleId="1491" w:customStyle="1">
    <w:name w:val="font101"/>
    <w:qFormat/>
    <w:rPr>
      <w:rFonts w:ascii="宋体" w:hAnsi="宋体" w:eastAsia="宋体" w:cs="宋体"/>
      <w:b/>
      <w:color w:val="000000"/>
      <w:sz w:val="24"/>
      <w:szCs w:val="24"/>
    </w:rPr>
  </w:style>
  <w:style w:type="character" w:styleId="1492" w:customStyle="1">
    <w:name w:val="font31"/>
    <w:qFormat/>
    <w:rPr>
      <w:rFonts w:ascii="宋体" w:hAnsi="宋体" w:eastAsia="宋体" w:cs="宋体"/>
      <w:b/>
      <w:color w:val="000000"/>
      <w:sz w:val="24"/>
      <w:szCs w:val="24"/>
    </w:rPr>
  </w:style>
  <w:style w:type="character" w:styleId="1493" w:customStyle="1">
    <w:name w:val="标题 7 字符1"/>
    <w:qFormat/>
    <w:rPr>
      <w:rFonts w:ascii="Courier New" w:hAnsi="Courier New" w:eastAsia="宋体" w:cs="Times New Roman"/>
      <w:b/>
      <w:bCs/>
      <w:sz w:val="21"/>
      <w:szCs w:val="21"/>
    </w:rPr>
  </w:style>
  <w:style w:type="character" w:styleId="1494" w:customStyle="1">
    <w:name w:val="页脚 字符1"/>
    <w:qFormat/>
    <w:rPr>
      <w:rFonts w:eastAsia="宋体"/>
      <w:sz w:val="18"/>
      <w:lang w:val="en-US" w:eastAsia="zh-CN"/>
    </w:rPr>
  </w:style>
  <w:style w:type="character" w:styleId="1495" w:customStyle="1">
    <w:name w:val="正文文本缩进 字符1"/>
    <w:qFormat/>
    <w:rPr>
      <w:rFonts w:ascii="宋体" w:hAnsi="宋体" w:cs="Century"/>
      <w:spacing w:val="2"/>
      <w:sz w:val="24"/>
      <w:szCs w:val="24"/>
    </w:rPr>
  </w:style>
  <w:style w:type="character" w:styleId="1496" w:customStyle="1">
    <w:name w:val="font81"/>
    <w:qFormat/>
    <w:rPr>
      <w:rFonts w:ascii="宋体" w:hAnsi="宋体" w:eastAsia="宋体" w:cs="宋体"/>
      <w:b/>
      <w:color w:val="000000"/>
      <w:sz w:val="24"/>
      <w:szCs w:val="24"/>
    </w:rPr>
  </w:style>
  <w:style w:type="character" w:styleId="1497" w:customStyle="1">
    <w:name w:val="font51"/>
    <w:qFormat/>
    <w:rPr>
      <w:rFonts w:ascii="Times New Roman" w:hAnsi="Times New Roman" w:cs="Times New Roman"/>
      <w:color w:val="000000"/>
      <w:sz w:val="24"/>
      <w:szCs w:val="24"/>
    </w:rPr>
  </w:style>
  <w:style w:type="character" w:styleId="1498" w:customStyle="1">
    <w:name w:val="正文文本 Char1"/>
    <w:semiHidden/>
    <w:qFormat/>
    <w:rPr>
      <w:sz w:val="24"/>
    </w:rPr>
  </w:style>
  <w:style w:type="character" w:styleId="1499" w:customStyle="1">
    <w:name w:val="引用 Char"/>
    <w:link w:val="1500"/>
    <w:uiPriority w:val="99"/>
    <w:qFormat/>
    <w:rPr>
      <w:rFonts w:eastAsia="仿宋_GB2312"/>
      <w:color w:val="000000"/>
      <w:sz w:val="24"/>
    </w:rPr>
  </w:style>
  <w:style w:type="paragraph" w:styleId="1500" w:customStyle="1">
    <w:name w:val="引用1"/>
    <w:basedOn w:val="1026"/>
    <w:next w:val="1026"/>
    <w:link w:val="1499"/>
    <w:uiPriority w:val="99"/>
    <w:qFormat/>
    <w:rPr>
      <w:rFonts w:eastAsia="仿宋_GB2312"/>
      <w:color w:val="000000"/>
      <w:sz w:val="24"/>
      <w:szCs w:val="20"/>
    </w:rPr>
  </w:style>
  <w:style w:type="character" w:styleId="1501" w:customStyle="1">
    <w:name w:val="font71"/>
    <w:qFormat/>
    <w:rPr>
      <w:rFonts w:ascii="宋体" w:hAnsi="宋体" w:eastAsia="宋体" w:cs="宋体"/>
      <w:b/>
      <w:color w:val="000000"/>
      <w:sz w:val="18"/>
      <w:szCs w:val="18"/>
      <w:vertAlign w:val="superscript"/>
    </w:rPr>
  </w:style>
  <w:style w:type="character" w:styleId="1502" w:customStyle="1">
    <w:name w:val="标题 9 字符1"/>
    <w:qFormat/>
    <w:rPr>
      <w:rFonts w:ascii="Arial" w:hAnsi="Arial" w:eastAsia="黑体" w:cs="Times New Roman"/>
    </w:rPr>
  </w:style>
  <w:style w:type="character" w:styleId="1503" w:customStyle="1">
    <w:name w:val="标题 6 字符1"/>
    <w:qFormat/>
    <w:rPr>
      <w:rFonts w:ascii="Arial" w:hAnsi="Arial" w:eastAsia="宋体" w:cs="Times New Roman"/>
      <w:bCs/>
      <w:sz w:val="24"/>
      <w:szCs w:val="24"/>
    </w:rPr>
  </w:style>
  <w:style w:type="character" w:styleId="1504" w:customStyle="1">
    <w:name w:val="日期 字符1"/>
    <w:qFormat/>
    <w:rPr>
      <w:szCs w:val="20"/>
    </w:rPr>
  </w:style>
  <w:style w:type="character" w:styleId="1505" w:customStyle="1">
    <w:name w:val="Char Char17"/>
    <w:qFormat/>
    <w:rPr>
      <w:rFonts w:ascii="Arial" w:hAnsi="Arial" w:eastAsia="黑体"/>
      <w:b/>
      <w:sz w:val="32"/>
    </w:rPr>
  </w:style>
  <w:style w:type="character" w:styleId="1506" w:customStyle="1">
    <w:name w:val="articlecontent"/>
    <w:qFormat/>
    <w:rPr>
      <w:rFonts w:cs="Times New Roman"/>
    </w:rPr>
  </w:style>
  <w:style w:type="character" w:styleId="1507" w:customStyle="1">
    <w:name w:val="批注主题 字符1"/>
    <w:qFormat/>
    <w:rPr>
      <w:b/>
      <w:bCs/>
      <w:sz w:val="24"/>
      <w:szCs w:val="24"/>
    </w:rPr>
  </w:style>
  <w:style w:type="character" w:styleId="1508" w:customStyle="1">
    <w:name w:val="标题 2 字符1"/>
    <w:qFormat/>
    <w:rPr>
      <w:rFonts w:ascii="Arial" w:hAnsi="Arial" w:eastAsia="黑体" w:cs="Arial"/>
      <w:sz w:val="28"/>
    </w:rPr>
  </w:style>
  <w:style w:type="character" w:styleId="1509" w:customStyle="1">
    <w:name w:val="标题 8 字符1"/>
    <w:qFormat/>
    <w:rPr>
      <w:rFonts w:ascii="Arial" w:hAnsi="Arial" w:eastAsia="黑体" w:cs="Times New Roman"/>
    </w:rPr>
  </w:style>
  <w:style w:type="character" w:styleId="1510" w:customStyle="1">
    <w:name w:val="font161"/>
    <w:qFormat/>
    <w:rPr>
      <w:b/>
      <w:sz w:val="32"/>
    </w:rPr>
  </w:style>
  <w:style w:type="character" w:styleId="1511" w:customStyle="1">
    <w:name w:val="标题 1 Char1"/>
    <w:qFormat/>
    <w:rPr>
      <w:rFonts w:ascii="Times New Roman" w:hAnsi="Times New Roman" w:eastAsia="黑体" w:cs="Times New Roman"/>
      <w:sz w:val="30"/>
      <w:szCs w:val="20"/>
    </w:rPr>
  </w:style>
  <w:style w:type="character" w:styleId="1512" w:customStyle="1">
    <w:name w:val="正文文本 字符2"/>
    <w:qFormat/>
    <w:rPr>
      <w:rFonts w:ascii="Times New Roman" w:hAnsi="Times New Roman"/>
    </w:rPr>
  </w:style>
  <w:style w:type="character" w:styleId="1513" w:customStyle="1">
    <w:name w:val="标题 4 字符1"/>
    <w:qFormat/>
    <w:rPr>
      <w:rFonts w:ascii="Arial" w:hAnsi="Arial" w:eastAsia="黑体" w:cs="Times New Roman"/>
      <w:b/>
      <w:bCs/>
      <w:sz w:val="28"/>
      <w:szCs w:val="28"/>
    </w:rPr>
  </w:style>
  <w:style w:type="character" w:styleId="1514" w:customStyle="1">
    <w:name w:val="批注文字 字符1"/>
    <w:uiPriority w:val="99"/>
    <w:qFormat/>
    <w:rPr>
      <w:sz w:val="21"/>
    </w:rPr>
  </w:style>
  <w:style w:type="character" w:styleId="1515" w:customStyle="1">
    <w:name w:val="标题 1 字符1"/>
    <w:qFormat/>
    <w:rPr>
      <w:rFonts w:eastAsia="黑体"/>
      <w:sz w:val="30"/>
    </w:rPr>
  </w:style>
  <w:style w:type="character" w:styleId="1516" w:customStyle="1">
    <w:name w:val="apple-converted-space"/>
    <w:qFormat/>
    <w:rPr>
      <w:rFonts w:cs="Times New Roman"/>
    </w:rPr>
  </w:style>
  <w:style w:type="character" w:styleId="1517" w:customStyle="1">
    <w:name w:val="正文文本缩进 3 字符1"/>
    <w:qFormat/>
    <w:rPr>
      <w:rFonts w:ascii="Times New Roman" w:hAnsi="Times New Roman"/>
      <w:sz w:val="16"/>
      <w:szCs w:val="16"/>
    </w:rPr>
  </w:style>
  <w:style w:type="character" w:styleId="1518" w:customStyle="1">
    <w:name w:val="标题 3 字符1"/>
    <w:qFormat/>
    <w:rPr>
      <w:rFonts w:eastAsia="宋体"/>
      <w:b/>
      <w:sz w:val="32"/>
      <w:lang w:val="en-US" w:eastAsia="zh-CN"/>
    </w:rPr>
  </w:style>
  <w:style w:type="character" w:styleId="1519" w:customStyle="1">
    <w:name w:val="文档结构图 Char1"/>
    <w:semiHidden/>
    <w:qFormat/>
    <w:rPr>
      <w:rFonts w:ascii="Microsoft YaHei UI" w:eastAsia="Microsoft YaHei UI"/>
      <w:sz w:val="18"/>
    </w:rPr>
  </w:style>
  <w:style w:type="character" w:styleId="1520" w:customStyle="1">
    <w:name w:val="font11"/>
    <w:qFormat/>
    <w:rPr>
      <w:rFonts w:ascii="宋体" w:hAnsi="宋体" w:eastAsia="宋体" w:cs="宋体"/>
      <w:b/>
      <w:color w:val="000000"/>
      <w:sz w:val="18"/>
      <w:szCs w:val="18"/>
    </w:rPr>
  </w:style>
  <w:style w:type="character" w:styleId="1521" w:customStyle="1">
    <w:name w:val="正文文本 2 Char1"/>
    <w:semiHidden/>
    <w:qFormat/>
    <w:rPr>
      <w:rFonts w:ascii="Times New Roman" w:hAnsi="Times New Roman" w:eastAsia="宋体" w:cs="Times New Roman"/>
      <w:sz w:val="24"/>
      <w:szCs w:val="24"/>
    </w:rPr>
  </w:style>
  <w:style w:type="character" w:styleId="1522" w:customStyle="1">
    <w:name w:val="正文文本缩进 2 字符1"/>
    <w:qFormat/>
    <w:rPr>
      <w:rFonts w:ascii="Courier New" w:hAnsi="Courier New"/>
    </w:rPr>
  </w:style>
  <w:style w:type="character" w:styleId="1523" w:customStyle="1">
    <w:name w:val="脚注文本 Char1"/>
    <w:semiHidden/>
    <w:qFormat/>
    <w:rPr>
      <w:rFonts w:ascii="Times New Roman" w:hAnsi="Times New Roman" w:eastAsia="宋体" w:cs="Times New Roman"/>
      <w:sz w:val="18"/>
      <w:szCs w:val="18"/>
    </w:rPr>
  </w:style>
  <w:style w:type="character" w:styleId="1524" w:customStyle="1">
    <w:name w:val="标题 5 字符1"/>
    <w:qFormat/>
    <w:rPr>
      <w:rFonts w:ascii="Times New Roman" w:hAnsi="Times New Roman" w:eastAsia="宋体" w:cs="Times New Roman"/>
      <w:b/>
      <w:sz w:val="28"/>
      <w:szCs w:val="28"/>
    </w:rPr>
  </w:style>
  <w:style w:type="character" w:styleId="1525" w:customStyle="1">
    <w:name w:val="正文文本缩进 2 Char1"/>
    <w:semiHidden/>
    <w:qFormat/>
    <w:rPr>
      <w:rFonts w:ascii="Times New Roman" w:hAnsi="Times New Roman" w:eastAsia="宋体" w:cs="Times New Roman"/>
      <w:sz w:val="24"/>
      <w:szCs w:val="24"/>
    </w:rPr>
  </w:style>
  <w:style w:type="character" w:styleId="1526" w:customStyle="1">
    <w:name w:val="Placeholder Text1"/>
    <w:uiPriority w:val="99"/>
    <w:semiHidden/>
    <w:qFormat/>
    <w:rPr>
      <w:rFonts w:cs="Times New Roman"/>
      <w:color w:val="808080"/>
    </w:rPr>
  </w:style>
  <w:style w:type="character" w:styleId="1527" w:customStyle="1">
    <w:name w:val="批注框文本 字符1"/>
    <w:qFormat/>
    <w:rPr>
      <w:sz w:val="18"/>
    </w:rPr>
  </w:style>
  <w:style w:type="character" w:styleId="1528" w:customStyle="1">
    <w:name w:val="font61"/>
    <w:qFormat/>
    <w:rPr>
      <w:rFonts w:ascii="宋体" w:hAnsi="宋体" w:eastAsia="宋体" w:cs="宋体"/>
      <w:b/>
      <w:color w:val="000000"/>
      <w:sz w:val="24"/>
      <w:szCs w:val="24"/>
      <w:vertAlign w:val="superscript"/>
    </w:rPr>
  </w:style>
  <w:style w:type="character" w:styleId="1529" w:customStyle="1">
    <w:name w:val="批注主题 字符2"/>
    <w:qFormat/>
    <w:rPr>
      <w:b/>
      <w:bCs/>
      <w:sz w:val="21"/>
    </w:rPr>
  </w:style>
  <w:style w:type="character" w:styleId="1530" w:customStyle="1">
    <w:name w:val="已访问的超链接1"/>
    <w:uiPriority w:val="99"/>
    <w:qFormat/>
    <w:rPr>
      <w:rFonts w:ascii="Times New Roman"/>
    </w:rPr>
  </w:style>
  <w:style w:type="paragraph" w:styleId="1531" w:customStyle="1">
    <w:name w:val="_Style 49"/>
    <w:basedOn w:val="1026"/>
    <w:next w:val="1051"/>
    <w:uiPriority w:val="99"/>
    <w:qFormat/>
    <w:rPr>
      <w:rFonts w:ascii="宋体" w:hAnsi="Courier New"/>
      <w:sz w:val="24"/>
      <w:szCs w:val="20"/>
    </w:rPr>
  </w:style>
  <w:style w:type="paragraph" w:styleId="1532" w:customStyle="1">
    <w:name w:val="_Style 90"/>
    <w:qFormat/>
    <w:pPr>
      <w:jc w:val="both"/>
      <w:widowControl w:val="off"/>
    </w:pPr>
    <w:rPr>
      <w:sz w:val="21"/>
    </w:rPr>
  </w:style>
  <w:style w:type="paragraph" w:styleId="1533" w:customStyle="1">
    <w:name w:val="Char Char Char1 Char8"/>
    <w:basedOn w:val="1026"/>
    <w:uiPriority w:val="99"/>
    <w:qFormat/>
    <w:pPr>
      <w:numPr>
        <w:numId w:val="8"/>
      </w:numPr>
      <w:ind w:firstLine="200"/>
      <w:spacing w:line="360" w:lineRule="auto"/>
    </w:pPr>
    <w:rPr>
      <w:rFonts w:ascii="Calibri" w:hAnsi="Calibri"/>
      <w:szCs w:val="20"/>
    </w:rPr>
  </w:style>
  <w:style w:type="character" w:styleId="1534" w:customStyle="1">
    <w:name w:val="正文文本首行缩进 字符1"/>
    <w:uiPriority w:val="99"/>
    <w:semiHidden/>
    <w:qFormat/>
    <w:rPr>
      <w:rFonts w:ascii="Times New Roman" w:hAnsi="Times New Roman" w:eastAsia="宋体" w:cs="Times New Roman"/>
      <w:sz w:val="21"/>
      <w:szCs w:val="24"/>
    </w:rPr>
  </w:style>
  <w:style w:type="paragraph" w:styleId="1535" w:customStyle="1">
    <w:name w:val="样式 标题 3 + (中文) 黑体 小四 非加粗 段前: 7.8 磅 段后: 0 磅 行距: 固定值 20 磅"/>
    <w:basedOn w:val="1029"/>
    <w:qFormat/>
    <w:pPr>
      <w:jc w:val="both"/>
      <w:spacing w:before="0" w:after="0" w:line="400" w:lineRule="exact"/>
    </w:pPr>
    <w:rPr>
      <w:rFonts w:ascii="Calibri" w:hAnsi="Calibri" w:eastAsia="黑体"/>
      <w:b w:val="0"/>
      <w:szCs w:val="24"/>
      <w:u w:val="none"/>
    </w:rPr>
  </w:style>
  <w:style w:type="paragraph" w:styleId="1536" w:customStyle="1">
    <w:name w:val="6'"/>
    <w:basedOn w:val="1026"/>
    <w:qFormat/>
    <w:pPr>
      <w:jc w:val="center"/>
      <w:spacing w:line="320" w:lineRule="exact"/>
    </w:pPr>
    <w:rPr>
      <w:spacing w:val="20"/>
      <w:szCs w:val="20"/>
    </w:rPr>
  </w:style>
  <w:style w:type="character" w:styleId="1537" w:customStyle="1">
    <w:name w:val="脚注文本 字符2"/>
    <w:uiPriority w:val="99"/>
    <w:semiHidden/>
    <w:qFormat/>
    <w:rPr>
      <w:rFonts w:ascii="Times New Roman" w:hAnsi="Times New Roman" w:eastAsia="宋体" w:cs="Times New Roman"/>
      <w:sz w:val="18"/>
      <w:szCs w:val="18"/>
    </w:rPr>
  </w:style>
  <w:style w:type="paragraph" w:styleId="1538" w:customStyle="1">
    <w:name w:val="默认段落字体 Para Char Char Char Char Char Char Char Char Char1 Char Char Char Char Char Char Char Char"/>
    <w:basedOn w:val="1042"/>
    <w:qFormat/>
  </w:style>
  <w:style w:type="paragraph" w:styleId="1539" w:customStyle="1">
    <w:name w:val="样式 标题 1 + 黑体 三号 非加粗 居中 段前: 6 磅 段后: 6 磅 行距: 固定值 20 磅"/>
    <w:basedOn w:val="1027"/>
    <w:qFormat/>
    <w:pPr>
      <w:spacing w:before="120" w:line="400" w:lineRule="exact"/>
    </w:pPr>
    <w:rPr>
      <w:rFonts w:ascii="黑体" w:hAnsi="黑体" w:eastAsia="黑体" w:cs="宋体"/>
      <w:b w:val="0"/>
    </w:rPr>
  </w:style>
  <w:style w:type="paragraph" w:styleId="1540" w:customStyle="1">
    <w:name w:val="myparagraph"/>
    <w:basedOn w:val="1026"/>
    <w:qFormat/>
    <w:pPr>
      <w:ind w:firstLine="480"/>
      <w:jc w:val="left"/>
      <w:spacing w:before="100" w:beforeAutospacing="1" w:after="100" w:afterAutospacing="1"/>
      <w:widowControl/>
    </w:pPr>
    <w:rPr>
      <w:rFonts w:ascii="宋体" w:hAnsi="宋体"/>
      <w:sz w:val="28"/>
      <w:szCs w:val="28"/>
    </w:rPr>
  </w:style>
  <w:style w:type="paragraph" w:styleId="1541" w:customStyle="1">
    <w:name w:val="xl57"/>
    <w:basedOn w:val="102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2" w:customStyle="1">
    <w:name w:val="标题 字符2"/>
    <w:uiPriority w:val="10"/>
    <w:qFormat/>
    <w:rPr>
      <w:rFonts w:ascii="Cambria" w:hAnsi="Cambria" w:eastAsia="宋体" w:cs="Times New Roman"/>
      <w:b/>
      <w:bCs/>
      <w:sz w:val="32"/>
      <w:szCs w:val="32"/>
    </w:rPr>
  </w:style>
  <w:style w:type="paragraph" w:styleId="1543" w:customStyle="1">
    <w:name w:val="标题3"/>
    <w:basedOn w:val="1026"/>
    <w:next w:val="1026"/>
    <w:qFormat/>
    <w:pPr>
      <w:keepNext/>
      <w:spacing w:before="50" w:after="50" w:line="440" w:lineRule="atLeast"/>
      <w:outlineLvl w:val="2"/>
    </w:pPr>
    <w:rPr>
      <w:rFonts w:ascii="宋体" w:hAnsi="宋体"/>
      <w:b/>
      <w:sz w:val="24"/>
      <w:szCs w:val="20"/>
    </w:rPr>
  </w:style>
  <w:style w:type="paragraph" w:styleId="1544" w:customStyle="1">
    <w:name w:val="xl56"/>
    <w:basedOn w:val="10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5" w:customStyle="1">
    <w:name w:val="格式10"/>
    <w:basedOn w:val="1026"/>
    <w:qFormat/>
    <w:pPr>
      <w:ind w:left="480"/>
      <w:spacing w:line="360" w:lineRule="exact"/>
    </w:pPr>
    <w:rPr>
      <w:sz w:val="24"/>
    </w:rPr>
  </w:style>
  <w:style w:type="paragraph" w:styleId="1546" w:customStyle="1">
    <w:name w:val="xl54"/>
    <w:basedOn w:val="102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customStyle="1">
    <w:name w:val="表格文字居中"/>
    <w:basedOn w:val="1026"/>
    <w:next w:val="1026"/>
    <w:qFormat/>
    <w:pPr>
      <w:jc w:val="center"/>
      <w:spacing w:line="360" w:lineRule="auto"/>
      <w:tabs>
        <w:tab w:val="left" w:pos="720" w:leader="none"/>
        <w:tab w:val="left" w:pos="900" w:leader="none"/>
      </w:tabs>
    </w:pPr>
    <w:rPr>
      <w:rFonts w:ascii="宋体" w:hAnsi="Arial"/>
      <w:sz w:val="18"/>
      <w:szCs w:val="20"/>
    </w:rPr>
  </w:style>
  <w:style w:type="paragraph" w:styleId="1548" w:customStyle="1">
    <w:name w:val="xl61"/>
    <w:basedOn w:val="102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49" w:customStyle="1">
    <w:name w:val="正文文本 2 字符2"/>
    <w:uiPriority w:val="99"/>
    <w:semiHidden/>
    <w:qFormat/>
    <w:rPr>
      <w:rFonts w:ascii="Times New Roman" w:hAnsi="Times New Roman" w:eastAsia="宋体" w:cs="Times New Roman"/>
      <w:sz w:val="21"/>
    </w:rPr>
  </w:style>
  <w:style w:type="paragraph" w:styleId="1550" w:customStyle="1">
    <w:name w:val="Char Char Char1 Char6"/>
    <w:basedOn w:val="1026"/>
    <w:uiPriority w:val="99"/>
    <w:qFormat/>
    <w:pPr>
      <w:ind w:firstLine="200"/>
      <w:spacing w:line="360" w:lineRule="auto"/>
    </w:pPr>
    <w:rPr>
      <w:rFonts w:ascii="宋体" w:hAnsi="宋体"/>
      <w:sz w:val="24"/>
      <w:szCs w:val="20"/>
    </w:rPr>
  </w:style>
  <w:style w:type="paragraph" w:styleId="1551" w:customStyle="1">
    <w:name w:val="正文文本缩进 3 Char Char"/>
    <w:basedOn w:val="1026"/>
    <w:qFormat/>
    <w:pPr>
      <w:ind w:firstLine="479"/>
      <w:spacing w:line="400" w:lineRule="exact"/>
    </w:pPr>
    <w:rPr>
      <w:rFonts w:ascii="仿宋_GB2312" w:hAnsi="Calibri" w:eastAsia="仿宋_GB2312"/>
      <w:szCs w:val="20"/>
    </w:rPr>
  </w:style>
  <w:style w:type="paragraph" w:styleId="1552" w:customStyle="1">
    <w:name w:val="2"/>
    <w:basedOn w:val="1026"/>
    <w:qFormat/>
    <w:pPr>
      <w:numPr>
        <w:numId w:val="9"/>
      </w:numPr>
      <w:spacing w:line="460" w:lineRule="exact"/>
      <w:tabs>
        <w:tab w:val="left" w:pos="1955" w:leader="none"/>
      </w:tabs>
    </w:pPr>
    <w:rPr>
      <w:sz w:val="28"/>
    </w:rPr>
  </w:style>
  <w:style w:type="paragraph" w:styleId="1553" w:customStyle="1">
    <w:name w:val="xl60"/>
    <w:basedOn w:val="102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4" w:customStyle="1">
    <w:name w:val="正文文本 3 字符2"/>
    <w:uiPriority w:val="99"/>
    <w:semiHidden/>
    <w:qFormat/>
    <w:rPr>
      <w:rFonts w:ascii="Times New Roman" w:hAnsi="Times New Roman" w:eastAsia="宋体" w:cs="Times New Roman"/>
      <w:sz w:val="16"/>
      <w:szCs w:val="16"/>
    </w:rPr>
  </w:style>
  <w:style w:type="paragraph" w:styleId="1555" w:customStyle="1">
    <w:name w:val="Char Char Char1 Char3"/>
    <w:basedOn w:val="1026"/>
    <w:uiPriority w:val="99"/>
    <w:qFormat/>
    <w:pPr>
      <w:ind w:firstLine="200"/>
      <w:spacing w:line="360" w:lineRule="auto"/>
    </w:pPr>
    <w:rPr>
      <w:rFonts w:ascii="宋体" w:hAnsi="宋体"/>
      <w:sz w:val="24"/>
      <w:szCs w:val="20"/>
    </w:rPr>
  </w:style>
  <w:style w:type="paragraph" w:styleId="1556" w:customStyle="1">
    <w:name w:val="xl55"/>
    <w:basedOn w:val="1026"/>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57" w:customStyle="1">
    <w:name w:val="xl58"/>
    <w:basedOn w:val="102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8" w:customStyle="1">
    <w:name w:val="公文标题"/>
    <w:basedOn w:val="1026"/>
    <w:qFormat/>
    <w:pPr>
      <w:jc w:val="center"/>
    </w:pPr>
    <w:rPr>
      <w:rFonts w:eastAsia="仿宋_GB2312"/>
      <w:sz w:val="44"/>
      <w:szCs w:val="20"/>
    </w:rPr>
  </w:style>
  <w:style w:type="character" w:styleId="1559" w:customStyle="1">
    <w:name w:val="尾注文本 字符2"/>
    <w:uiPriority w:val="99"/>
    <w:semiHidden/>
    <w:qFormat/>
    <w:rPr>
      <w:rFonts w:ascii="Times New Roman" w:hAnsi="Times New Roman" w:eastAsia="宋体" w:cs="Times New Roman"/>
      <w:sz w:val="21"/>
    </w:rPr>
  </w:style>
  <w:style w:type="paragraph" w:styleId="1560" w:customStyle="1">
    <w:name w:val="普通(网站)1"/>
    <w:basedOn w:val="1026"/>
    <w:uiPriority w:val="99"/>
    <w:qFormat/>
    <w:pPr>
      <w:jc w:val="left"/>
      <w:spacing w:before="100" w:beforeAutospacing="1" w:after="100" w:afterAutospacing="1"/>
      <w:widowControl/>
    </w:pPr>
    <w:rPr>
      <w:rFonts w:ascii="宋体" w:hAnsi="宋体"/>
      <w:sz w:val="24"/>
      <w:szCs w:val="20"/>
    </w:rPr>
  </w:style>
  <w:style w:type="paragraph" w:styleId="1561" w:customStyle="1">
    <w:name w:val="洗"/>
    <w:basedOn w:val="1026"/>
    <w:qFormat/>
    <w:pPr>
      <w:spacing w:line="360" w:lineRule="auto"/>
    </w:pPr>
    <w:rPr>
      <w:rFonts w:ascii="宋体"/>
      <w:sz w:val="28"/>
      <w:szCs w:val="20"/>
    </w:rPr>
  </w:style>
  <w:style w:type="character" w:styleId="1562" w:customStyle="1">
    <w:name w:val="正文文本缩进 3 字符2"/>
    <w:uiPriority w:val="99"/>
    <w:semiHidden/>
    <w:qFormat/>
    <w:rPr>
      <w:rFonts w:ascii="Times New Roman" w:hAnsi="Times New Roman" w:eastAsia="宋体" w:cs="Times New Roman"/>
      <w:sz w:val="16"/>
      <w:szCs w:val="16"/>
    </w:rPr>
  </w:style>
  <w:style w:type="paragraph" w:styleId="1563" w:customStyle="1">
    <w:name w:val="Char Char Char1 Char7"/>
    <w:basedOn w:val="1026"/>
    <w:uiPriority w:val="99"/>
    <w:qFormat/>
    <w:pPr>
      <w:ind w:firstLine="200"/>
      <w:spacing w:line="360" w:lineRule="auto"/>
    </w:pPr>
    <w:rPr>
      <w:rFonts w:ascii="宋体" w:hAnsi="宋体"/>
      <w:sz w:val="24"/>
      <w:szCs w:val="20"/>
    </w:rPr>
  </w:style>
  <w:style w:type="paragraph" w:styleId="1564" w:customStyle="1">
    <w:name w:val="xl59"/>
    <w:basedOn w:val="1026"/>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5" w:customStyle="1">
    <w:name w:val="样式 标题 2 + Times New Roman 四号 非加粗 段前: 5 磅 段后: 0 磅 行距: 固定值 20..."/>
    <w:basedOn w:val="1028"/>
    <w:qFormat/>
    <w:pPr>
      <w:jc w:val="both"/>
      <w:spacing w:before="100" w:line="400" w:lineRule="exact"/>
    </w:pPr>
    <w:rPr>
      <w:rFonts w:ascii="Times New Roman" w:hAnsi="Times New Roman" w:cs="宋体"/>
      <w:b w:val="0"/>
      <w:sz w:val="24"/>
    </w:rPr>
  </w:style>
  <w:style w:type="paragraph" w:styleId="1566" w:customStyle="1">
    <w:name w:val="Char Char Char Char1"/>
    <w:basedOn w:val="1026"/>
    <w:uiPriority w:val="99"/>
    <w:qFormat/>
    <w:pPr>
      <w:ind w:firstLine="200"/>
      <w:spacing w:line="360" w:lineRule="auto"/>
    </w:pPr>
    <w:rPr>
      <w:rFonts w:ascii="Calibri" w:hAnsi="Calibri"/>
      <w:szCs w:val="20"/>
    </w:rPr>
  </w:style>
  <w:style w:type="paragraph" w:styleId="1567" w:customStyle="1">
    <w:name w:val="主送机关"/>
    <w:basedOn w:val="1026"/>
    <w:qFormat/>
    <w:rPr>
      <w:rFonts w:eastAsia="仿宋_GB2312"/>
      <w:sz w:val="32"/>
      <w:szCs w:val="20"/>
    </w:rPr>
  </w:style>
  <w:style w:type="paragraph" w:styleId="1568" w:customStyle="1">
    <w:name w:val="样式4"/>
    <w:basedOn w:val="1028"/>
    <w:uiPriority w:val="99"/>
    <w:qFormat/>
    <w:pPr>
      <w:spacing w:before="0" w:line="240" w:lineRule="auto"/>
    </w:pPr>
    <w:rPr>
      <w:b w:val="0"/>
      <w:sz w:val="28"/>
    </w:rPr>
  </w:style>
  <w:style w:type="paragraph" w:styleId="1569" w:customStyle="1">
    <w:name w:val="格式2"/>
    <w:qFormat/>
    <w:pPr>
      <w:jc w:val="both"/>
      <w:spacing w:before="50" w:line="440" w:lineRule="exact"/>
      <w:widowControl w:val="off"/>
    </w:pPr>
    <w:rPr>
      <w:sz w:val="24"/>
    </w:rPr>
  </w:style>
  <w:style w:type="paragraph" w:styleId="1570" w:customStyle="1">
    <w:name w:val="font0"/>
    <w:basedOn w:val="1026"/>
    <w:qFormat/>
    <w:pPr>
      <w:jc w:val="left"/>
      <w:spacing w:before="100" w:beforeAutospacing="1" w:after="100" w:afterAutospacing="1"/>
      <w:widowControl/>
    </w:pPr>
    <w:rPr>
      <w:rFonts w:ascii="宋体" w:hAnsi="宋体" w:cs="宋体"/>
      <w:sz w:val="24"/>
    </w:rPr>
  </w:style>
  <w:style w:type="paragraph" w:styleId="1571" w:customStyle="1">
    <w:name w:val="格式３"/>
    <w:basedOn w:val="1026"/>
    <w:qFormat/>
    <w:pPr>
      <w:ind w:left="600" w:hanging="600"/>
      <w:spacing w:line="420" w:lineRule="exact"/>
    </w:pPr>
    <w:rPr>
      <w:rFonts w:ascii="宋体" w:hAnsi="宋体"/>
      <w:color w:val="000000"/>
      <w:sz w:val="24"/>
      <w:szCs w:val="20"/>
    </w:rPr>
  </w:style>
  <w:style w:type="paragraph" w:styleId="1572" w:customStyle="1">
    <w:name w:val="正文样式"/>
    <w:basedOn w:val="1026"/>
    <w:qFormat/>
    <w:pPr>
      <w:ind w:firstLine="680"/>
      <w:jc w:val="center"/>
      <w:spacing w:line="360" w:lineRule="auto"/>
    </w:pPr>
    <w:rPr>
      <w:rFonts w:ascii="宋体"/>
      <w:sz w:val="28"/>
      <w:szCs w:val="20"/>
    </w:rPr>
  </w:style>
  <w:style w:type="paragraph" w:styleId="1573" w:customStyle="1">
    <w:name w:val="样式3"/>
    <w:basedOn w:val="1028"/>
    <w:uiPriority w:val="99"/>
    <w:qFormat/>
    <w:pPr>
      <w:spacing w:before="0" w:line="240" w:lineRule="auto"/>
    </w:pPr>
    <w:rPr>
      <w:b w:val="0"/>
      <w:sz w:val="28"/>
    </w:rPr>
  </w:style>
  <w:style w:type="paragraph" w:styleId="1574" w:customStyle="1">
    <w:name w:val="列表段落1"/>
    <w:basedOn w:val="1026"/>
    <w:uiPriority w:val="34"/>
    <w:qFormat/>
    <w:pPr>
      <w:ind w:firstLine="420"/>
    </w:pPr>
    <w:rPr>
      <w:rFonts w:ascii="Calibri" w:hAnsi="Calibri"/>
      <w:szCs w:val="22"/>
    </w:rPr>
  </w:style>
  <w:style w:type="paragraph" w:styleId="1575" w:customStyle="1">
    <w:name w:val="格式1"/>
    <w:basedOn w:val="1026"/>
    <w:qFormat/>
    <w:pPr>
      <w:jc w:val="center"/>
    </w:pPr>
    <w:rPr>
      <w:rFonts w:ascii="黑体" w:hAnsi="宋体" w:eastAsia="黑体"/>
      <w:b/>
      <w:bCs/>
      <w:color w:val="000000"/>
      <w:sz w:val="32"/>
      <w:szCs w:val="20"/>
    </w:rPr>
  </w:style>
  <w:style w:type="paragraph" w:styleId="1576" w:customStyle="1">
    <w:name w:val="样式1"/>
    <w:basedOn w:val="1028"/>
    <w:uiPriority w:val="99"/>
    <w:qFormat/>
    <w:pPr>
      <w:spacing w:before="0" w:line="415" w:lineRule="auto"/>
    </w:pPr>
    <w:rPr>
      <w:b w:val="0"/>
      <w:sz w:val="28"/>
    </w:rPr>
  </w:style>
  <w:style w:type="paragraph" w:styleId="1577" w:customStyle="1">
    <w:name w:val="Char Char Char1 Char Char Char Char"/>
    <w:basedOn w:val="1026"/>
    <w:uiPriority w:val="99"/>
    <w:qFormat/>
    <w:rPr>
      <w:rFonts w:ascii="宋体" w:hAnsi="宋体" w:cs="Courier New"/>
      <w:sz w:val="32"/>
      <w:szCs w:val="32"/>
    </w:rPr>
  </w:style>
  <w:style w:type="paragraph" w:styleId="1578" w:customStyle="1">
    <w:name w:val="格式3"/>
    <w:basedOn w:val="1026"/>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79" w:customStyle="1">
    <w:name w:val="表1"/>
    <w:basedOn w:val="1026"/>
    <w:qFormat/>
    <w:pPr>
      <w:ind w:left="1965" w:hanging="705"/>
      <w:spacing w:before="200" w:line="320" w:lineRule="atLeast"/>
      <w:tabs>
        <w:tab w:val="left" w:pos="1965" w:leader="none"/>
      </w:tabs>
    </w:pPr>
    <w:rPr>
      <w:sz w:val="24"/>
      <w:szCs w:val="20"/>
    </w:rPr>
  </w:style>
  <w:style w:type="paragraph" w:styleId="1580" w:customStyle="1">
    <w:name w:val="表格3"/>
    <w:basedOn w:val="1026"/>
    <w:qFormat/>
    <w:pPr>
      <w:spacing w:line="420" w:lineRule="atLeast"/>
    </w:pPr>
    <w:rPr>
      <w:rFonts w:eastAsia="楷体"/>
      <w:szCs w:val="20"/>
    </w:rPr>
  </w:style>
  <w:style w:type="paragraph" w:styleId="1581" w:customStyle="1">
    <w:name w:val="表格"/>
    <w:basedOn w:val="1026"/>
    <w:qFormat/>
    <w:pPr>
      <w:jc w:val="center"/>
    </w:pPr>
    <w:rPr>
      <w:rFonts w:ascii="华文细黑" w:hAnsi="华文细黑"/>
      <w:szCs w:val="20"/>
    </w:rPr>
  </w:style>
  <w:style w:type="paragraph" w:styleId="1582" w:customStyle="1">
    <w:name w:val="Char Char Char1 Char5"/>
    <w:basedOn w:val="1026"/>
    <w:uiPriority w:val="99"/>
    <w:qFormat/>
    <w:pPr>
      <w:ind w:firstLine="200"/>
      <w:spacing w:line="360" w:lineRule="auto"/>
    </w:pPr>
    <w:rPr>
      <w:rFonts w:ascii="宋体" w:hAnsi="宋体"/>
      <w:sz w:val="24"/>
      <w:szCs w:val="20"/>
    </w:rPr>
  </w:style>
  <w:style w:type="paragraph" w:styleId="1583" w:customStyle="1">
    <w:name w:val="纯文本3"/>
    <w:next w:val="1060"/>
    <w:uiPriority w:val="99"/>
    <w:qFormat/>
    <w:pPr>
      <w:jc w:val="both"/>
      <w:widowControl w:val="off"/>
    </w:pPr>
    <w:rPr>
      <w:rFonts w:ascii="宋体" w:hAnsi="Calibri" w:cs="宋体"/>
      <w:sz w:val="26"/>
      <w:szCs w:val="26"/>
    </w:rPr>
  </w:style>
  <w:style w:type="paragraph" w:styleId="1584" w:customStyle="1">
    <w:name w:val="默认段落字体 Para Char"/>
    <w:basedOn w:val="1026"/>
    <w:qFormat/>
  </w:style>
  <w:style w:type="paragraph" w:styleId="1585" w:customStyle="1">
    <w:name w:val="Char Char Char Char"/>
    <w:basedOn w:val="1026"/>
    <w:qFormat/>
    <w:rPr>
      <w:rFonts w:ascii="Calibri" w:hAnsi="Calibri"/>
      <w:szCs w:val="20"/>
    </w:rPr>
  </w:style>
  <w:style w:type="paragraph" w:styleId="1586" w:customStyle="1">
    <w:name w:val="Char Char Char1 Char4"/>
    <w:basedOn w:val="1026"/>
    <w:uiPriority w:val="99"/>
    <w:qFormat/>
    <w:pPr>
      <w:ind w:firstLine="200"/>
      <w:spacing w:line="360" w:lineRule="auto"/>
    </w:pPr>
    <w:rPr>
      <w:rFonts w:ascii="宋体" w:hAnsi="宋体"/>
      <w:sz w:val="24"/>
      <w:szCs w:val="20"/>
    </w:rPr>
  </w:style>
  <w:style w:type="paragraph" w:styleId="1587" w:customStyle="1">
    <w:name w:val="正文1"/>
    <w:basedOn w:val="1026"/>
    <w:qFormat/>
    <w:pPr>
      <w:contextualSpacing/>
      <w:ind w:firstLine="200"/>
      <w:jc w:val="left"/>
      <w:spacing w:before="120" w:after="120"/>
      <w:widowControl/>
    </w:pPr>
    <w:rPr>
      <w:rFonts w:ascii="Calibri" w:hAnsi="Calibri" w:eastAsia="Adobe 仿宋 Std R"/>
      <w:sz w:val="20"/>
      <w:szCs w:val="21"/>
    </w:rPr>
  </w:style>
  <w:style w:type="paragraph" w:styleId="1588" w:customStyle="1">
    <w:name w:val="msonormal"/>
    <w:basedOn w:val="1026"/>
    <w:qFormat/>
    <w:pPr>
      <w:jc w:val="left"/>
      <w:spacing w:before="100" w:beforeAutospacing="1" w:after="100" w:afterAutospacing="1"/>
      <w:widowControl/>
    </w:pPr>
    <w:rPr>
      <w:rFonts w:ascii="宋体" w:hAnsi="宋体" w:cs="宋体"/>
      <w:sz w:val="24"/>
    </w:rPr>
  </w:style>
  <w:style w:type="paragraph" w:styleId="1589" w:customStyle="1">
    <w:name w:val="xl125"/>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customStyle="1">
    <w:name w:val="xl12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customStyle="1">
    <w:name w:val="xl127"/>
    <w:basedOn w:val="1026"/>
    <w:qFormat/>
    <w:pPr>
      <w:jc w:val="left"/>
      <w:spacing w:before="100" w:beforeAutospacing="1" w:after="100" w:afterAutospacing="1"/>
      <w:widowControl/>
    </w:pPr>
    <w:rPr>
      <w:rFonts w:ascii="新宋体" w:hAnsi="新宋体" w:eastAsia="新宋体" w:cs="宋体"/>
      <w:sz w:val="28"/>
      <w:szCs w:val="28"/>
    </w:rPr>
  </w:style>
  <w:style w:type="paragraph" w:styleId="1592" w:customStyle="1">
    <w:name w:val="xl128"/>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2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xl130"/>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131"/>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6" w:customStyle="1">
    <w:name w:val="xl132"/>
    <w:basedOn w:val="10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7" w:customStyle="1">
    <w:name w:val="xl133"/>
    <w:basedOn w:val="10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8" w:customStyle="1">
    <w:name w:val="xl134"/>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9" w:customStyle="1">
    <w:name w:val="xl135"/>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0" w:customStyle="1">
    <w:name w:val="xl13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customStyle="1">
    <w:name w:val="xl137"/>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2" w:customStyle="1">
    <w:name w:val="xl138"/>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customStyle="1">
    <w:name w:val="xl139"/>
    <w:basedOn w:val="102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04" w:customStyle="1">
    <w:name w:val="xl140"/>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customStyle="1">
    <w:name w:val="xl141"/>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6" w:customStyle="1">
    <w:name w:val="xl142"/>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xl14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144"/>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9" w:customStyle="1">
    <w:name w:val="xl145"/>
    <w:basedOn w:val="10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0" w:customStyle="1">
    <w:name w:val="xl146"/>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1" w:customStyle="1">
    <w:name w:val="xl147"/>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2" w:customStyle="1">
    <w:name w:val="xl148"/>
    <w:basedOn w:val="10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3" w:customStyle="1">
    <w:name w:val="xl149"/>
    <w:basedOn w:val="10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4" w:customStyle="1">
    <w:name w:val="xl150"/>
    <w:basedOn w:val="10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5" w:customStyle="1">
    <w:name w:val="xl151"/>
    <w:basedOn w:val="10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6" w:customStyle="1">
    <w:name w:val="xl152"/>
    <w:basedOn w:val="10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7" w:customStyle="1">
    <w:name w:val="xl153"/>
    <w:basedOn w:val="1026"/>
    <w:qFormat/>
    <w:pPr>
      <w:jc w:val="left"/>
      <w:spacing w:before="100" w:beforeAutospacing="1" w:after="100" w:afterAutospacing="1"/>
      <w:widowControl/>
    </w:pPr>
    <w:rPr>
      <w:rFonts w:ascii="新宋体" w:hAnsi="新宋体" w:eastAsia="新宋体" w:cs="宋体"/>
      <w:sz w:val="28"/>
      <w:szCs w:val="28"/>
    </w:rPr>
  </w:style>
  <w:style w:type="paragraph" w:styleId="1618" w:customStyle="1">
    <w:name w:val="xl154"/>
    <w:basedOn w:val="1026"/>
    <w:qFormat/>
    <w:pPr>
      <w:jc w:val="center"/>
      <w:spacing w:before="100" w:beforeAutospacing="1" w:after="100" w:afterAutospacing="1"/>
      <w:widowControl/>
    </w:pPr>
    <w:rPr>
      <w:rFonts w:ascii="新宋体" w:hAnsi="新宋体" w:eastAsia="新宋体" w:cs="宋体"/>
      <w:sz w:val="28"/>
      <w:szCs w:val="28"/>
    </w:rPr>
  </w:style>
  <w:style w:type="paragraph" w:styleId="1619" w:customStyle="1">
    <w:name w:val="_Style 305"/>
    <w:basedOn w:val="1026"/>
    <w:next w:val="1100"/>
    <w:qFormat/>
    <w:pPr>
      <w:ind w:firstLine="420"/>
    </w:pPr>
    <w:rPr>
      <w:rFonts w:cs="宋体"/>
      <w:sz w:val="20"/>
      <w:szCs w:val="21"/>
    </w:rPr>
  </w:style>
  <w:style w:type="character" w:styleId="1620" w:customStyle="1">
    <w:name w:val="列出段落3 Char"/>
    <w:link w:val="1621"/>
    <w:qFormat/>
    <w:rPr>
      <w:rFonts w:ascii="Calibri" w:hAnsi="Calibri"/>
      <w:sz w:val="21"/>
      <w:szCs w:val="21"/>
    </w:rPr>
  </w:style>
  <w:style w:type="paragraph" w:styleId="1621" w:customStyle="1">
    <w:name w:val="列出段落3"/>
    <w:basedOn w:val="1026"/>
    <w:link w:val="1620"/>
    <w:qFormat/>
    <w:pPr>
      <w:ind w:firstLine="420"/>
    </w:pPr>
    <w:rPr>
      <w:rFonts w:ascii="Calibri" w:hAnsi="Calibri"/>
      <w:szCs w:val="21"/>
    </w:rPr>
  </w:style>
  <w:style w:type="paragraph" w:styleId="1622" w:customStyle="1">
    <w:name w:val="样式 标题 1 + 宋体 居中 段前: 17 磅 段后: 16.5 磅"/>
    <w:basedOn w:val="1027"/>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23" w:customStyle="1">
    <w:name w:val="段"/>
    <w:next w:val="1026"/>
    <w:qFormat/>
    <w:pPr>
      <w:ind w:firstLine="200"/>
      <w:jc w:val="both"/>
    </w:pPr>
    <w:rPr>
      <w:rFonts w:ascii="宋体"/>
      <w:sz w:val="21"/>
    </w:rPr>
  </w:style>
  <w:style w:type="paragraph" w:styleId="1624" w:customStyle="1">
    <w:name w:val="首行缩进"/>
    <w:basedOn w:val="1026"/>
    <w:qFormat/>
    <w:pPr>
      <w:ind w:firstLine="480"/>
      <w:jc w:val="left"/>
      <w:spacing w:line="360" w:lineRule="auto"/>
    </w:pPr>
    <w:rPr>
      <w:rFonts w:ascii="宋体" w:hAnsi="宋体"/>
      <w:sz w:val="24"/>
      <w:szCs w:val="22"/>
    </w:rPr>
  </w:style>
  <w:style w:type="paragraph" w:styleId="1625" w:customStyle="1">
    <w:name w:val="GP正文(无首行缩进)"/>
    <w:basedOn w:val="1026"/>
    <w:qFormat/>
    <w:pPr>
      <w:ind w:firstLine="480"/>
      <w:jc w:val="left"/>
      <w:spacing w:line="360" w:lineRule="auto"/>
    </w:pPr>
    <w:rPr>
      <w:rFonts w:hAnsi="宋体"/>
      <w:sz w:val="24"/>
    </w:rPr>
  </w:style>
  <w:style w:type="character" w:styleId="1626" w:customStyle="1">
    <w:name w:val="font131"/>
    <w:qFormat/>
    <w:rPr>
      <w:rFonts w:hint="eastAsia" w:ascii="宋体" w:hAnsi="宋体" w:eastAsia="宋体" w:cs="宋体"/>
      <w:color w:val="000000"/>
      <w:sz w:val="20"/>
      <w:szCs w:val="20"/>
      <w:u w:val="none"/>
    </w:rPr>
  </w:style>
  <w:style w:type="character" w:styleId="1627" w:customStyle="1">
    <w:name w:val="标题 字符3"/>
    <w:uiPriority w:val="10"/>
    <w:qFormat/>
    <w:rPr>
      <w:rFonts w:ascii="Arial" w:hAnsi="Arial"/>
      <w:b/>
      <w:sz w:val="32"/>
    </w:rPr>
  </w:style>
  <w:style w:type="character" w:styleId="1628" w:customStyle="1">
    <w:name w:val="材料标题 Char"/>
    <w:link w:val="1629"/>
    <w:qFormat/>
    <w:rPr>
      <w:rFonts w:ascii="方正小标宋简体" w:eastAsia="方正小标宋简体"/>
      <w:color w:val="000000"/>
      <w:sz w:val="44"/>
      <w:szCs w:val="44"/>
    </w:rPr>
  </w:style>
  <w:style w:type="paragraph" w:styleId="1629" w:customStyle="1">
    <w:name w:val="材料标题"/>
    <w:basedOn w:val="1026"/>
    <w:link w:val="1628"/>
    <w:qFormat/>
    <w:pPr>
      <w:jc w:val="center"/>
      <w:spacing w:line="700" w:lineRule="exact"/>
    </w:pPr>
    <w:rPr>
      <w:rFonts w:ascii="方正小标宋简体" w:eastAsia="方正小标宋简体"/>
      <w:color w:val="000000"/>
      <w:sz w:val="44"/>
      <w:szCs w:val="44"/>
    </w:rPr>
  </w:style>
  <w:style w:type="character" w:styleId="1630" w:customStyle="1">
    <w:name w:val="标题 6 Char1"/>
    <w:uiPriority w:val="99"/>
    <w:semiHidden/>
    <w:qFormat/>
    <w:rPr>
      <w:rFonts w:ascii="Cambria" w:hAnsi="Cambria" w:eastAsia="宋体"/>
      <w:b/>
      <w:sz w:val="24"/>
    </w:rPr>
  </w:style>
  <w:style w:type="character" w:styleId="1631" w:customStyle="1">
    <w:name w:val="明显参考1"/>
    <w:uiPriority w:val="32"/>
    <w:qFormat/>
    <w:rPr>
      <w:b/>
      <w:color w:val="000000"/>
      <w:sz w:val="21"/>
    </w:rPr>
  </w:style>
  <w:style w:type="character" w:styleId="1632" w:customStyle="1">
    <w:name w:val="不明显参考1"/>
    <w:uiPriority w:val="99"/>
    <w:qFormat/>
    <w:rPr>
      <w:color w:val="000000"/>
      <w:sz w:val="21"/>
    </w:rPr>
  </w:style>
  <w:style w:type="character" w:styleId="1633" w:customStyle="1">
    <w:name w:val="书籍标题1"/>
    <w:uiPriority w:val="99"/>
    <w:qFormat/>
    <w:rPr>
      <w:b/>
      <w:i/>
      <w:sz w:val="21"/>
    </w:rPr>
  </w:style>
  <w:style w:type="character" w:styleId="1634" w:customStyle="1">
    <w:name w:val="不明显强调1"/>
    <w:uiPriority w:val="99"/>
    <w:qFormat/>
    <w:rPr>
      <w:i/>
      <w:color w:val="000000"/>
      <w:sz w:val="21"/>
    </w:rPr>
  </w:style>
  <w:style w:type="character" w:styleId="1635" w:customStyle="1">
    <w:name w:val="明显强调1"/>
    <w:uiPriority w:val="21"/>
    <w:qFormat/>
    <w:rPr>
      <w:i/>
      <w:color w:val="000000"/>
      <w:sz w:val="21"/>
    </w:rPr>
  </w:style>
  <w:style w:type="paragraph" w:styleId="1636" w:customStyle="1">
    <w:name w:val="xl71"/>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37" w:customStyle="1">
    <w:name w:val="xl6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正文字缩2字"/>
    <w:basedOn w:val="1026"/>
    <w:qFormat/>
    <w:pPr>
      <w:ind w:left="200" w:firstLine="200"/>
      <w:spacing w:before="60" w:after="60" w:line="360" w:lineRule="auto"/>
    </w:pPr>
    <w:rPr>
      <w:sz w:val="20"/>
    </w:rPr>
  </w:style>
  <w:style w:type="paragraph" w:styleId="1639" w:customStyle="1">
    <w:name w:val="xl6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0" w:customStyle="1">
    <w:name w:val="xl6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1" w:customStyle="1">
    <w:name w:val="xl67"/>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2" w:customStyle="1">
    <w:name w:val="xl75"/>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3" w:customStyle="1">
    <w:name w:val="xl68"/>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xl73"/>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45" w:customStyle="1">
    <w:name w:val="xl72"/>
    <w:basedOn w:val="10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6" w:customStyle="1">
    <w:name w:val="xl76"/>
    <w:basedOn w:val="1026"/>
    <w:qFormat/>
    <w:pPr>
      <w:jc w:val="left"/>
      <w:spacing w:before="100" w:beforeAutospacing="1" w:after="100" w:afterAutospacing="1"/>
      <w:widowControl/>
    </w:pPr>
    <w:rPr>
      <w:rFonts w:ascii="宋体" w:hAnsi="宋体" w:cs="宋体"/>
      <w:sz w:val="24"/>
    </w:rPr>
  </w:style>
  <w:style w:type="paragraph" w:styleId="1647" w:customStyle="1">
    <w:name w:val="xl74"/>
    <w:basedOn w:val="10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8" w:customStyle="1">
    <w:name w:val="xl70"/>
    <w:basedOn w:val="1026"/>
    <w:qFormat/>
    <w:pPr>
      <w:jc w:val="center"/>
      <w:spacing w:before="100" w:beforeAutospacing="1" w:after="100" w:afterAutospacing="1"/>
      <w:widowControl/>
    </w:pPr>
    <w:rPr>
      <w:rFonts w:ascii="宋体" w:hAnsi="宋体" w:cs="宋体"/>
      <w:b/>
      <w:bCs/>
      <w:color w:val="000000"/>
      <w:sz w:val="40"/>
      <w:szCs w:val="40"/>
    </w:rPr>
  </w:style>
  <w:style w:type="paragraph" w:styleId="1649" w:customStyle="1">
    <w:name w:val="xl65"/>
    <w:basedOn w:val="1026"/>
    <w:qFormat/>
    <w:pPr>
      <w:jc w:val="center"/>
      <w:spacing w:before="100" w:beforeAutospacing="1" w:after="100" w:afterAutospacing="1"/>
      <w:widowControl/>
    </w:pPr>
    <w:rPr>
      <w:rFonts w:ascii="宋体" w:hAnsi="宋体" w:cs="宋体"/>
      <w:sz w:val="24"/>
    </w:rPr>
  </w:style>
  <w:style w:type="paragraph" w:styleId="1650" w:customStyle="1">
    <w:name w:val="正文 New"/>
    <w:uiPriority w:val="99"/>
    <w:qFormat/>
    <w:pPr>
      <w:jc w:val="both"/>
      <w:widowControl w:val="off"/>
    </w:pPr>
    <w:rPr>
      <w:sz w:val="21"/>
      <w:szCs w:val="24"/>
    </w:rPr>
  </w:style>
  <w:style w:type="paragraph" w:styleId="1651" w:customStyle="1">
    <w:name w:val="xl64"/>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52" w:customStyle="1">
    <w:name w:val="批注框文本 Char2"/>
    <w:uiPriority w:val="99"/>
    <w:qFormat/>
    <w:rPr>
      <w:sz w:val="18"/>
    </w:rPr>
  </w:style>
  <w:style w:type="character" w:styleId="1653" w:customStyle="1">
    <w:name w:val="文档结构图 Char2"/>
    <w:qFormat/>
    <w:rPr>
      <w:rFonts w:ascii="宋体"/>
      <w:sz w:val="18"/>
      <w:szCs w:val="18"/>
    </w:rPr>
  </w:style>
  <w:style w:type="character" w:styleId="1654" w:customStyle="1">
    <w:name w:val="批注文字 Char2"/>
    <w:qFormat/>
    <w:rPr>
      <w:sz w:val="21"/>
    </w:rPr>
  </w:style>
  <w:style w:type="paragraph" w:styleId="1655" w:customStyle="1">
    <w:name w:val="xl77"/>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6" w:customStyle="1">
    <w:name w:val="xl78"/>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57" w:customStyle="1">
    <w:name w:val="xl79"/>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8" w:customStyle="1">
    <w:name w:val="xl80"/>
    <w:basedOn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81"/>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0" w:customStyle="1">
    <w:name w:val="xl82"/>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1" w:customStyle="1">
    <w:name w:val="xl83"/>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2" w:customStyle="1">
    <w:name w:val="xl84"/>
    <w:basedOn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63" w:customStyle="1">
    <w:name w:val="xl85"/>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4" w:customStyle="1">
    <w:name w:val="xl86"/>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customStyle="1">
    <w:name w:val="xl87"/>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xl88"/>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89"/>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8" w:customStyle="1">
    <w:name w:val="xl90"/>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91"/>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92"/>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1" w:customStyle="1">
    <w:name w:val="xl93"/>
    <w:basedOn w:val="10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2" w:customStyle="1">
    <w:name w:val="xl94"/>
    <w:basedOn w:val="102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3" w:customStyle="1">
    <w:name w:val="xl95"/>
    <w:basedOn w:val="10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4" w:customStyle="1">
    <w:name w:val="xl96"/>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5" w:customStyle="1">
    <w:name w:val="xl97"/>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6" w:customStyle="1">
    <w:name w:val="xl98"/>
    <w:basedOn w:val="1026"/>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77" w:customStyle="1">
    <w:name w:val="xl99"/>
    <w:basedOn w:val="10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78" w:customStyle="1">
    <w:name w:val="xl100"/>
    <w:basedOn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9" w:customStyle="1">
    <w:name w:val="xl101"/>
    <w:basedOn w:val="1026"/>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80" w:customStyle="1">
    <w:name w:val="xl102"/>
    <w:basedOn w:val="10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103"/>
    <w:basedOn w:val="102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2" w:customStyle="1">
    <w:name w:val="xl104"/>
    <w:basedOn w:val="10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3" w:customStyle="1">
    <w:name w:val="xl105"/>
    <w:basedOn w:val="102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4" w:customStyle="1">
    <w:name w:val="xl106"/>
    <w:basedOn w:val="10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5" w:customStyle="1">
    <w:name w:val="xl107"/>
    <w:basedOn w:val="10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6" w:customStyle="1">
    <w:name w:val="xl108"/>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customStyle="1">
    <w:name w:val="xl109"/>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110"/>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xl111"/>
    <w:basedOn w:val="102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90" w:customStyle="1">
    <w:name w:val="xl112"/>
    <w:basedOn w:val="1026"/>
    <w:qFormat/>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91" w:customStyle="1">
    <w:name w:val="xl113"/>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2" w:customStyle="1">
    <w:name w:val="xl114"/>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3" w:customStyle="1">
    <w:name w:val="xl115"/>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4" w:customStyle="1">
    <w:name w:val="xl116"/>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5" w:customStyle="1">
    <w:name w:val="xl117"/>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6" w:customStyle="1">
    <w:name w:val="xl118"/>
    <w:basedOn w:val="102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7" w:customStyle="1">
    <w:name w:val="xl119"/>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8" w:customStyle="1">
    <w:name w:val="xl120"/>
    <w:basedOn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99" w:customStyle="1">
    <w:name w:val="NormalCharacter1"/>
    <w:semiHidden/>
    <w:qFormat/>
  </w:style>
  <w:style w:type="table" w:styleId="1700" w:customStyle="1">
    <w:name w:val="TableGrid1"/>
    <w:qFormat/>
    <w:rPr>
      <w:rFonts w:ascii="等线" w:hAnsi="等线" w:eastAsia="等线"/>
      <w:sz w:val="21"/>
      <w:szCs w:val="22"/>
    </w:rPr>
    <w:tblPr>
      <w:tblCellMar>
        <w:left w:w="0" w:type="dxa"/>
        <w:top w:w="0" w:type="dxa"/>
        <w:right w:w="0" w:type="dxa"/>
        <w:bottom w:w="0" w:type="dxa"/>
      </w:tblCellMar>
    </w:tblPr>
  </w:style>
  <w:style w:type="table" w:styleId="1701" w:customStyle="1">
    <w:name w:val="TableGrid11"/>
    <w:qFormat/>
    <w:rPr>
      <w:rFonts w:ascii="等线" w:hAnsi="等线" w:eastAsia="等线"/>
      <w:sz w:val="21"/>
      <w:szCs w:val="22"/>
    </w:rPr>
    <w:tblPr>
      <w:tblCellMar>
        <w:left w:w="0" w:type="dxa"/>
        <w:top w:w="0" w:type="dxa"/>
        <w:right w:w="0" w:type="dxa"/>
        <w:bottom w:w="0" w:type="dxa"/>
      </w:tblCellMar>
    </w:tblPr>
  </w:style>
  <w:style w:type="character" w:styleId="1702" w:customStyle="1">
    <w:name w:val="列出段落 Char1"/>
    <w:link w:val="1703"/>
    <w:uiPriority w:val="34"/>
    <w:qFormat/>
    <w:rPr>
      <w:rFonts w:ascii="Calibri" w:hAnsi="Calibri" w:eastAsia="宋体"/>
      <w:sz w:val="21"/>
      <w:szCs w:val="22"/>
      <w:lang w:val="en-US" w:eastAsia="zh-CN" w:bidi="ar-SA"/>
    </w:rPr>
  </w:style>
  <w:style w:type="paragraph" w:styleId="1703" w:customStyle="1">
    <w:name w:val="_Style 528"/>
    <w:basedOn w:val="1026"/>
    <w:next w:val="1100"/>
    <w:link w:val="1702"/>
    <w:uiPriority w:val="34"/>
    <w:qFormat/>
    <w:pPr>
      <w:ind w:firstLine="420"/>
    </w:pPr>
    <w:rPr>
      <w:rFonts w:ascii="Calibri" w:hAnsi="Calibri"/>
      <w:szCs w:val="22"/>
    </w:rPr>
  </w:style>
  <w:style w:type="paragraph" w:styleId="1704" w:customStyle="1">
    <w:name w:val="_Style 529"/>
    <w:basedOn w:val="1026"/>
    <w:next w:val="1100"/>
    <w:uiPriority w:val="34"/>
    <w:qFormat/>
    <w:pPr>
      <w:ind w:firstLine="420"/>
    </w:pPr>
    <w:rPr>
      <w:rFonts w:ascii="Calibri" w:hAnsi="Calibri"/>
      <w:szCs w:val="22"/>
    </w:rPr>
  </w:style>
  <w:style w:type="character" w:styleId="1705" w:customStyle="1">
    <w:name w:val="标题 2 Char1"/>
    <w:qFormat/>
    <w:rPr>
      <w:rFonts w:ascii="Arial" w:hAnsi="Arial" w:eastAsia="黑体"/>
      <w:b/>
      <w:sz w:val="30"/>
      <w:lang w:val="en-US" w:eastAsia="zh-CN" w:bidi="ar-SA"/>
    </w:rPr>
  </w:style>
  <w:style w:type="paragraph" w:styleId="1706" w:customStyle="1">
    <w:name w:val="_Style 531"/>
    <w:basedOn w:val="1026"/>
    <w:next w:val="1100"/>
    <w:uiPriority w:val="34"/>
    <w:qFormat/>
    <w:pPr>
      <w:ind w:firstLine="420"/>
    </w:pPr>
    <w:rPr>
      <w:rFonts w:ascii="Calibri" w:hAnsi="Calibri"/>
      <w:szCs w:val="22"/>
    </w:rPr>
  </w:style>
  <w:style w:type="paragraph" w:styleId="1707" w:customStyle="1">
    <w:name w:val="Table Text"/>
    <w:basedOn w:val="1026"/>
    <w:semiHidden/>
    <w:qFormat/>
    <w:pPr>
      <w:jc w:val="left"/>
      <w:widowControl/>
    </w:pPr>
    <w:rPr>
      <w:rFonts w:ascii="宋体" w:hAnsi="宋体" w:cs="宋体"/>
      <w:color w:val="000000"/>
      <w:szCs w:val="21"/>
      <w:lang w:eastAsia="en-US"/>
    </w:rPr>
  </w:style>
  <w:style w:type="character" w:styleId="1708" w:customStyle="1">
    <w:name w:val="NormalCharacter11"/>
    <w:semiHidden/>
    <w:qFormat/>
    <w:rPr>
      <w:rFonts w:ascii="Times New Roman" w:hAnsi="Times New Roman" w:eastAsia="宋体" w:cs="Times New Roman"/>
      <w:sz w:val="21"/>
      <w:szCs w:val="24"/>
    </w:rPr>
  </w:style>
  <w:style w:type="paragraph" w:styleId="1709" w:customStyle="1">
    <w:name w:val="正文文本1"/>
    <w:basedOn w:val="1026"/>
    <w:link w:val="1710"/>
    <w:qFormat/>
    <w:pPr>
      <w:spacing w:before="120" w:line="22" w:lineRule="atLeast"/>
      <w:tabs>
        <w:tab w:val="left" w:pos="567" w:leader="none"/>
      </w:tabs>
    </w:pPr>
    <w:rPr>
      <w:rFonts w:ascii="宋体" w:hAnsi="宋体"/>
      <w:sz w:val="24"/>
    </w:rPr>
  </w:style>
  <w:style w:type="character" w:styleId="1710" w:customStyle="1">
    <w:name w:val="正文文本 Char"/>
    <w:link w:val="1709"/>
    <w:qFormat/>
    <w:rPr>
      <w:rFonts w:ascii="宋体" w:hAnsi="宋体"/>
      <w:sz w:val="24"/>
      <w:szCs w:val="24"/>
    </w:rPr>
  </w:style>
  <w:style w:type="character" w:styleId="1711" w:customStyle="1">
    <w:name w:val="标题 1 Char"/>
    <w:qFormat/>
    <w:rPr>
      <w:rFonts w:ascii="宋体"/>
      <w:b/>
      <w:sz w:val="32"/>
    </w:rPr>
  </w:style>
  <w:style w:type="character" w:styleId="1712" w:customStyle="1">
    <w:name w:val="正文缩进 Char1"/>
    <w:uiPriority w:val="99"/>
    <w:qFormat/>
    <w:rPr>
      <w:rFonts w:ascii="宋体" w:eastAsia="宋体"/>
      <w:sz w:val="24"/>
      <w:szCs w:val="24"/>
      <w:lang w:val="en-US" w:eastAsia="zh-CN" w:bidi="ar-SA"/>
    </w:rPr>
  </w:style>
  <w:style w:type="character" w:styleId="1713" w:customStyle="1">
    <w:name w:val="标题 3 Char1"/>
    <w:qFormat/>
    <w:rPr>
      <w:rFonts w:ascii="宋体" w:eastAsia="宋体"/>
      <w:b/>
      <w:sz w:val="24"/>
      <w:u w:val="single"/>
      <w:lang w:val="en-US" w:eastAsia="zh-CN" w:bidi="ar-SA"/>
    </w:rPr>
  </w:style>
  <w:style w:type="character" w:styleId="1714" w:customStyle="1">
    <w:name w:val="标题 4 Char"/>
    <w:qFormat/>
    <w:rPr>
      <w:rFonts w:ascii="Arial" w:hAnsi="Arial" w:eastAsia="黑体"/>
      <w:b/>
      <w:sz w:val="28"/>
    </w:rPr>
  </w:style>
  <w:style w:type="character" w:styleId="1715" w:customStyle="1">
    <w:name w:val="标题 5 Char"/>
    <w:qFormat/>
    <w:rPr>
      <w:b/>
      <w:sz w:val="28"/>
    </w:rPr>
  </w:style>
  <w:style w:type="character" w:styleId="1716" w:customStyle="1">
    <w:name w:val="标题 6 Char"/>
    <w:qFormat/>
    <w:rPr>
      <w:rFonts w:ascii="Arial" w:hAnsi="Arial" w:eastAsia="黑体"/>
      <w:b/>
      <w:sz w:val="24"/>
    </w:rPr>
  </w:style>
  <w:style w:type="character" w:styleId="1717" w:customStyle="1">
    <w:name w:val="标题 7 Char"/>
    <w:qFormat/>
    <w:rPr>
      <w:b/>
      <w:sz w:val="24"/>
    </w:rPr>
  </w:style>
  <w:style w:type="character" w:styleId="1718" w:customStyle="1">
    <w:name w:val="标题 8 Char"/>
    <w:qFormat/>
    <w:rPr>
      <w:rFonts w:ascii="Arial" w:hAnsi="Arial" w:eastAsia="黑体"/>
      <w:sz w:val="24"/>
    </w:rPr>
  </w:style>
  <w:style w:type="character" w:styleId="1719" w:customStyle="1">
    <w:name w:val="标题 9 Char"/>
    <w:qFormat/>
    <w:rPr>
      <w:rFonts w:ascii="Arial" w:hAnsi="Arial" w:eastAsia="黑体"/>
      <w:sz w:val="21"/>
    </w:rPr>
  </w:style>
  <w:style w:type="paragraph" w:styleId="1720" w:customStyle="1">
    <w:name w:val="_Style 546"/>
    <w:link w:val="1721"/>
    <w:qFormat/>
    <w:rPr>
      <w:sz w:val="24"/>
      <w:szCs w:val="24"/>
    </w:rPr>
  </w:style>
  <w:style w:type="character" w:styleId="1721" w:customStyle="1">
    <w:name w:val="正文首行缩进 2 Char"/>
    <w:link w:val="1720"/>
    <w:qFormat/>
    <w:rPr>
      <w:sz w:val="24"/>
      <w:szCs w:val="24"/>
    </w:rPr>
  </w:style>
  <w:style w:type="character" w:styleId="1722" w:customStyle="1">
    <w:name w:val="文档结构图 Char"/>
    <w:qFormat/>
    <w:rPr>
      <w:sz w:val="21"/>
      <w:szCs w:val="24"/>
      <w:shd w:val="clear" w:color="auto" w:fill="000080"/>
    </w:rPr>
  </w:style>
  <w:style w:type="character" w:styleId="1723" w:customStyle="1">
    <w:name w:val="批注文字 Char1"/>
    <w:qFormat/>
    <w:rPr>
      <w:sz w:val="21"/>
      <w:szCs w:val="24"/>
    </w:rPr>
  </w:style>
  <w:style w:type="character" w:styleId="1724" w:customStyle="1">
    <w:name w:val="正文文本 3 Char"/>
    <w:qFormat/>
    <w:rPr>
      <w:sz w:val="16"/>
      <w:szCs w:val="16"/>
    </w:rPr>
  </w:style>
  <w:style w:type="character" w:styleId="1725" w:customStyle="1">
    <w:name w:val="正文文本缩进 Char2"/>
    <w:qFormat/>
    <w:rPr>
      <w:rFonts w:eastAsia="宋体"/>
      <w:sz w:val="24"/>
      <w:szCs w:val="24"/>
      <w:lang w:val="en-US" w:eastAsia="zh-CN" w:bidi="ar-SA"/>
    </w:rPr>
  </w:style>
  <w:style w:type="character" w:styleId="1726" w:customStyle="1">
    <w:name w:val="纯文本 Char"/>
    <w:qFormat/>
    <w:rPr>
      <w:rFonts w:hint="eastAsia" w:ascii="宋体" w:hAnsi="Courier New" w:eastAsia="宋体" w:cs="宋体"/>
      <w:sz w:val="21"/>
    </w:rPr>
  </w:style>
  <w:style w:type="character" w:styleId="1727" w:customStyle="1">
    <w:name w:val="日期 Char"/>
    <w:qFormat/>
    <w:rPr>
      <w:rFonts w:ascii="仿宋_GB2312" w:hAnsi="宋体" w:eastAsia="仿宋_GB2312"/>
      <w:color w:val="000000"/>
      <w:sz w:val="24"/>
      <w:szCs w:val="24"/>
    </w:rPr>
  </w:style>
  <w:style w:type="character" w:styleId="1728" w:customStyle="1">
    <w:name w:val="正文文本缩进 2 Char"/>
    <w:qFormat/>
    <w:rPr>
      <w:rFonts w:ascii="仿宋_GB2312" w:eastAsia="仿宋_GB2312"/>
      <w:sz w:val="24"/>
      <w:szCs w:val="24"/>
    </w:rPr>
  </w:style>
  <w:style w:type="character" w:styleId="1729" w:customStyle="1">
    <w:name w:val="批注框文本 Char"/>
    <w:uiPriority w:val="99"/>
    <w:qFormat/>
    <w:rPr>
      <w:sz w:val="18"/>
      <w:szCs w:val="18"/>
    </w:rPr>
  </w:style>
  <w:style w:type="character" w:styleId="1730" w:customStyle="1">
    <w:name w:val="页脚 Char1"/>
    <w:uiPriority w:val="99"/>
    <w:qFormat/>
    <w:rPr>
      <w:rFonts w:ascii="宋体" w:eastAsia="宋体"/>
      <w:sz w:val="18"/>
      <w:lang w:val="en-US" w:eastAsia="zh-CN" w:bidi="ar-SA"/>
    </w:rPr>
  </w:style>
  <w:style w:type="character" w:styleId="1731" w:customStyle="1">
    <w:name w:val="页眉 Char1"/>
    <w:qFormat/>
    <w:rPr>
      <w:rFonts w:eastAsia="宋体"/>
      <w:sz w:val="18"/>
      <w:szCs w:val="18"/>
      <w:lang w:val="en-US" w:eastAsia="zh-CN" w:bidi="ar-SA"/>
    </w:rPr>
  </w:style>
  <w:style w:type="character" w:styleId="1732" w:customStyle="1">
    <w:name w:val="正文文本缩进 3 Char"/>
    <w:qFormat/>
    <w:rPr>
      <w:rFonts w:ascii="宋体"/>
      <w:sz w:val="24"/>
    </w:rPr>
  </w:style>
  <w:style w:type="character" w:styleId="1733" w:customStyle="1">
    <w:name w:val="HTML 预设格式 Char"/>
    <w:qFormat/>
    <w:rPr>
      <w:rFonts w:ascii="宋体" w:hAnsi="宋体" w:cs="宋体"/>
      <w:sz w:val="24"/>
      <w:szCs w:val="24"/>
    </w:rPr>
  </w:style>
  <w:style w:type="character" w:styleId="1734" w:customStyle="1">
    <w:name w:val="标题 Char1"/>
    <w:qFormat/>
    <w:rPr>
      <w:b/>
      <w:sz w:val="32"/>
    </w:rPr>
  </w:style>
  <w:style w:type="character" w:styleId="1735" w:customStyle="1">
    <w:name w:val="批注主题 Char"/>
    <w:uiPriority w:val="99"/>
    <w:qFormat/>
    <w:rPr>
      <w:rFonts w:ascii="Times New Roman" w:hAnsi="Times New Roman" w:eastAsia="宋体" w:cs="Times New Roman"/>
      <w:b/>
      <w:bCs/>
      <w:sz w:val="21"/>
      <w:szCs w:val="24"/>
      <w:lang w:val="en-US" w:eastAsia="zh-CN" w:bidi="ar-SA"/>
    </w:rPr>
  </w:style>
  <w:style w:type="paragraph" w:styleId="1736" w:customStyle="1">
    <w:name w:val="_Style 459"/>
    <w:basedOn w:val="1026"/>
    <w:next w:val="1100"/>
    <w:uiPriority w:val="1"/>
    <w:qFormat/>
    <w:pPr>
      <w:ind w:firstLine="420"/>
    </w:pPr>
    <w:rPr>
      <w:rFonts w:ascii="Calibri" w:hAnsi="Calibri"/>
      <w:szCs w:val="22"/>
    </w:rPr>
  </w:style>
  <w:style w:type="paragraph" w:styleId="1737" w:customStyle="1">
    <w:name w:val="ÕýÎÄ"/>
    <w:qFormat/>
    <w:pPr>
      <w:jc w:val="both"/>
      <w:spacing w:line="357" w:lineRule="atLeast"/>
      <w:widowControl w:val="off"/>
    </w:pPr>
    <w:rPr>
      <w:color w:val="000000"/>
      <w:sz w:val="21"/>
    </w:rPr>
  </w:style>
  <w:style w:type="character" w:styleId="1738" w:customStyle="1">
    <w:name w:val="Default Char"/>
    <w:link w:val="1369"/>
    <w:qFormat/>
    <w:rPr>
      <w:rFonts w:ascii="Symbol" w:hAnsi="Symbol" w:cs="Symbol"/>
      <w:color w:val="000000"/>
      <w:sz w:val="24"/>
      <w:szCs w:val="24"/>
    </w:rPr>
  </w:style>
  <w:style w:type="paragraph" w:styleId="1739" w:customStyle="1">
    <w:name w:val="p"/>
    <w:basedOn w:val="1026"/>
    <w:qFormat/>
  </w:style>
  <w:style w:type="paragraph" w:styleId="1740" w:customStyle="1">
    <w:name w:val="标题 11"/>
    <w:basedOn w:val="1026"/>
    <w:next w:val="1026"/>
    <w:qFormat/>
    <w:pPr>
      <w:jc w:val="center"/>
      <w:keepLines/>
      <w:keepNext/>
      <w:spacing w:before="240" w:after="120" w:line="300" w:lineRule="auto"/>
      <w:outlineLvl w:val="0"/>
    </w:pPr>
    <w:rPr>
      <w:rFonts w:ascii="宋体"/>
      <w:b/>
      <w:sz w:val="32"/>
      <w:szCs w:val="20"/>
    </w:rPr>
  </w:style>
  <w:style w:type="paragraph" w:styleId="1741" w:customStyle="1">
    <w:name w:val="UserStyle_480"/>
    <w:qFormat/>
    <w:rPr>
      <w:sz w:val="24"/>
      <w:szCs w:val="24"/>
    </w:rPr>
  </w:style>
  <w:style w:type="character" w:styleId="1742" w:customStyle="1">
    <w:name w:val="页眉 字符3"/>
    <w:qFormat/>
    <w:rPr>
      <w:rFonts w:eastAsia="宋体"/>
      <w:sz w:val="18"/>
      <w:szCs w:val="18"/>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hyperlink" Target="http://gks.mof.gov.cn/ztztz/zhengfucaigouguanli/201802/t20180201_2804589.htm" TargetMode="External"/><Relationship Id="rId31"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4AD354-E93A-4C38-86D1-F21E1773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995</cp:revision>
  <dcterms:created xsi:type="dcterms:W3CDTF">2024-12-25T12:41:00Z</dcterms:created>
  <dcterms:modified xsi:type="dcterms:W3CDTF">2026-10-12T07:03:46Z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964520ECBAE348F2BDACB7CC09FD2272</vt:lpwstr>
  </property>
  <property fmtid="{D5CDD505-2E9C-101B-9397-08002B2CF9AE}" pid="4" name="KSOTemplateDocerSaveRecord">
    <vt:lpwstr>eyJoZGlkIjoiZDRjZTJhN2Q3Yjg5NTI5ZDU1NTNiMGU0YTRiMWM1NGUiLCJ1c2VySWQiOiI0MDg1MTQ2MDkifQ==</vt:lpwstr>
  </property>
</Properties>
</file>