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09DDB">
      <w:pPr>
        <w:spacing w:line="360" w:lineRule="auto"/>
        <w:rPr>
          <w:rFonts w:ascii="宋体" w:hAnsi="宋体" w:cs="宋体"/>
          <w:b/>
          <w:sz w:val="36"/>
          <w:szCs w:val="36"/>
        </w:rPr>
      </w:pPr>
    </w:p>
    <w:p w14:paraId="0E1978B7">
      <w:pPr>
        <w:spacing w:line="360" w:lineRule="auto"/>
        <w:rPr>
          <w:rFonts w:ascii="宋体" w:hAnsi="宋体" w:cs="宋体"/>
          <w:b/>
          <w:sz w:val="36"/>
          <w:szCs w:val="36"/>
        </w:rPr>
      </w:pPr>
    </w:p>
    <w:p w14:paraId="6FEA2135">
      <w:pPr>
        <w:pStyle w:val="208"/>
        <w:spacing w:before="0" w:after="0"/>
        <w:ind w:firstLine="0"/>
        <w:jc w:val="center"/>
        <w:rPr>
          <w:rFonts w:ascii="宋体" w:hAnsi="宋体" w:cs="宋体"/>
          <w:bCs/>
          <w:sz w:val="52"/>
          <w:szCs w:val="52"/>
        </w:rPr>
      </w:pPr>
      <w:r>
        <w:rPr>
          <w:rFonts w:hint="eastAsia" w:ascii="宋体" w:hAnsi="宋体" w:cs="宋体"/>
          <w:bCs/>
          <w:sz w:val="52"/>
          <w:szCs w:val="52"/>
        </w:rPr>
        <w:t>如皋市政府采购竞争性磋商文件</w:t>
      </w:r>
    </w:p>
    <w:p w14:paraId="17662AB3">
      <w:pPr>
        <w:pStyle w:val="208"/>
        <w:spacing w:before="0" w:after="0"/>
        <w:ind w:firstLine="0"/>
        <w:jc w:val="center"/>
        <w:rPr>
          <w:rFonts w:ascii="宋体" w:hAnsi="宋体" w:cs="宋体"/>
          <w:bCs/>
          <w:sz w:val="44"/>
          <w:szCs w:val="44"/>
        </w:rPr>
      </w:pPr>
    </w:p>
    <w:p w14:paraId="1C5FCB36">
      <w:pPr>
        <w:pStyle w:val="208"/>
        <w:spacing w:before="0" w:after="0"/>
        <w:ind w:firstLine="0"/>
        <w:jc w:val="center"/>
        <w:rPr>
          <w:rFonts w:ascii="宋体" w:hAnsi="宋体" w:cs="宋体"/>
          <w:bCs/>
          <w:sz w:val="44"/>
          <w:szCs w:val="44"/>
        </w:rPr>
      </w:pPr>
    </w:p>
    <w:p w14:paraId="1FA979E7">
      <w:pPr>
        <w:pStyle w:val="208"/>
        <w:spacing w:before="0" w:after="0"/>
        <w:ind w:firstLine="0"/>
        <w:jc w:val="center"/>
        <w:rPr>
          <w:rFonts w:ascii="宋体" w:hAnsi="宋体" w:cs="宋体"/>
          <w:bCs/>
          <w:sz w:val="44"/>
          <w:szCs w:val="44"/>
        </w:rPr>
      </w:pPr>
    </w:p>
    <w:p w14:paraId="68064F72">
      <w:pPr>
        <w:pStyle w:val="208"/>
        <w:spacing w:before="0" w:after="0"/>
        <w:jc w:val="center"/>
        <w:rPr>
          <w:rFonts w:ascii="宋体" w:hAnsi="宋体" w:cs="宋体"/>
          <w:b/>
          <w:bCs/>
          <w:sz w:val="32"/>
          <w:u w:val="single"/>
        </w:rPr>
      </w:pPr>
      <w:r>
        <w:rPr>
          <w:rFonts w:hint="eastAsia" w:ascii="宋体" w:hAnsi="宋体" w:cs="宋体"/>
          <w:b/>
          <w:bCs/>
          <w:sz w:val="32"/>
          <w:u w:val="single"/>
        </w:rPr>
        <w:t>项目名称：搬经镇2026-2027年度道路、桥梁、市政、建筑等公共基础设施维修工程</w:t>
      </w:r>
    </w:p>
    <w:p w14:paraId="7FFAAC5B">
      <w:pPr>
        <w:pStyle w:val="208"/>
        <w:spacing w:before="0" w:after="0"/>
        <w:jc w:val="center"/>
        <w:rPr>
          <w:rFonts w:ascii="宋体" w:hAnsi="宋体" w:cs="宋体"/>
          <w:b/>
          <w:bCs/>
          <w:sz w:val="32"/>
          <w:u w:val="single"/>
        </w:rPr>
      </w:pPr>
      <w:r>
        <w:rPr>
          <w:rFonts w:hint="eastAsia" w:ascii="宋体" w:hAnsi="宋体" w:cs="宋体"/>
          <w:b/>
          <w:bCs/>
          <w:sz w:val="32"/>
        </w:rPr>
        <w:t>项目编号：JSZC-320682-JGGC-C2026-0007</w:t>
      </w:r>
    </w:p>
    <w:p w14:paraId="51688403">
      <w:pPr>
        <w:pStyle w:val="208"/>
        <w:spacing w:before="0" w:after="0"/>
        <w:ind w:firstLine="0"/>
        <w:jc w:val="center"/>
        <w:rPr>
          <w:rFonts w:ascii="宋体" w:hAnsi="宋体" w:cs="宋体"/>
          <w:b/>
          <w:bCs/>
          <w:sz w:val="32"/>
        </w:rPr>
      </w:pPr>
    </w:p>
    <w:p w14:paraId="26C63814">
      <w:pPr>
        <w:pStyle w:val="208"/>
        <w:spacing w:before="0" w:after="0"/>
        <w:ind w:firstLine="0"/>
        <w:jc w:val="center"/>
        <w:rPr>
          <w:rFonts w:ascii="宋体" w:hAnsi="宋体" w:cs="宋体"/>
          <w:b/>
          <w:bCs/>
          <w:sz w:val="32"/>
        </w:rPr>
      </w:pPr>
    </w:p>
    <w:p w14:paraId="19324084">
      <w:pPr>
        <w:pStyle w:val="208"/>
        <w:spacing w:before="0" w:after="0"/>
        <w:ind w:firstLine="0"/>
        <w:jc w:val="center"/>
        <w:rPr>
          <w:rFonts w:ascii="宋体" w:hAnsi="宋体" w:cs="宋体"/>
          <w:b/>
          <w:bCs/>
          <w:sz w:val="32"/>
        </w:rPr>
      </w:pPr>
    </w:p>
    <w:p w14:paraId="05680B12">
      <w:pPr>
        <w:pStyle w:val="208"/>
        <w:spacing w:before="0" w:after="0"/>
        <w:ind w:firstLine="0"/>
        <w:jc w:val="center"/>
        <w:rPr>
          <w:rFonts w:ascii="宋体" w:hAnsi="宋体" w:cs="宋体"/>
          <w:b/>
          <w:bCs/>
          <w:sz w:val="32"/>
        </w:rPr>
      </w:pPr>
    </w:p>
    <w:p w14:paraId="649A39C8">
      <w:pPr>
        <w:pStyle w:val="208"/>
        <w:spacing w:before="0" w:after="0"/>
        <w:ind w:firstLine="0"/>
        <w:jc w:val="center"/>
        <w:rPr>
          <w:rFonts w:ascii="宋体" w:hAnsi="宋体" w:cs="宋体"/>
          <w:b/>
          <w:bCs/>
          <w:sz w:val="32"/>
          <w:szCs w:val="32"/>
        </w:rPr>
      </w:pPr>
    </w:p>
    <w:p w14:paraId="6318C67C">
      <w:pPr>
        <w:pStyle w:val="208"/>
        <w:spacing w:before="0" w:after="0"/>
        <w:ind w:firstLine="0"/>
        <w:jc w:val="both"/>
        <w:rPr>
          <w:rFonts w:ascii="宋体" w:hAnsi="宋体" w:cs="宋体"/>
          <w:b/>
          <w:bCs/>
          <w:sz w:val="32"/>
          <w:szCs w:val="32"/>
        </w:rPr>
      </w:pPr>
    </w:p>
    <w:p w14:paraId="5677D668">
      <w:pPr>
        <w:pStyle w:val="208"/>
        <w:spacing w:before="0" w:after="0"/>
        <w:ind w:firstLine="0"/>
        <w:jc w:val="center"/>
        <w:rPr>
          <w:rFonts w:ascii="宋体" w:hAnsi="宋体" w:cs="宋体"/>
          <w:b/>
          <w:bCs/>
          <w:sz w:val="32"/>
        </w:rPr>
      </w:pPr>
    </w:p>
    <w:p w14:paraId="574D1E09">
      <w:pPr>
        <w:pStyle w:val="208"/>
        <w:spacing w:before="0" w:after="0"/>
        <w:ind w:firstLine="851"/>
        <w:rPr>
          <w:rFonts w:ascii="宋体" w:hAnsi="宋体" w:cs="宋体"/>
          <w:b/>
          <w:bCs/>
          <w:sz w:val="32"/>
          <w:u w:val="single"/>
        </w:rPr>
      </w:pPr>
      <w:r>
        <w:rPr>
          <w:rFonts w:hint="eastAsia" w:ascii="宋体" w:hAnsi="宋体" w:cs="宋体"/>
          <w:b/>
          <w:bCs/>
          <w:sz w:val="32"/>
        </w:rPr>
        <w:t>采购人名称：如皋市搬经镇人民政府</w:t>
      </w:r>
    </w:p>
    <w:p w14:paraId="6A456439">
      <w:pPr>
        <w:pStyle w:val="208"/>
        <w:spacing w:before="0" w:after="0"/>
        <w:ind w:firstLine="851"/>
        <w:rPr>
          <w:rFonts w:ascii="宋体" w:hAnsi="宋体" w:cs="宋体"/>
          <w:b/>
          <w:bCs/>
          <w:sz w:val="32"/>
          <w:u w:val="single"/>
        </w:rPr>
      </w:pPr>
      <w:r>
        <w:rPr>
          <w:rFonts w:hint="eastAsia" w:ascii="宋体" w:hAnsi="宋体" w:cs="宋体"/>
          <w:b/>
          <w:bCs/>
          <w:sz w:val="32"/>
        </w:rPr>
        <w:t>采购代理机构名称：江苏久格工程项目管理有限公司</w:t>
      </w:r>
    </w:p>
    <w:p w14:paraId="754820DC">
      <w:pPr>
        <w:pStyle w:val="208"/>
        <w:spacing w:before="0" w:after="0"/>
        <w:ind w:firstLine="0"/>
        <w:jc w:val="center"/>
        <w:rPr>
          <w:rFonts w:ascii="宋体" w:hAnsi="宋体" w:cs="宋体"/>
          <w:b/>
          <w:bCs/>
          <w:sz w:val="32"/>
        </w:rPr>
      </w:pPr>
      <w:r>
        <w:rPr>
          <w:rFonts w:hint="eastAsia" w:ascii="宋体" w:hAnsi="宋体" w:cs="宋体"/>
          <w:b/>
          <w:bCs/>
          <w:sz w:val="32"/>
        </w:rPr>
        <w:t>2026年10月</w:t>
      </w:r>
      <w:r>
        <w:rPr>
          <w:rFonts w:hint="eastAsia" w:ascii="宋体" w:hAnsi="宋体" w:cs="宋体"/>
          <w:b/>
          <w:bCs/>
          <w:sz w:val="32"/>
          <w:lang w:val="en-US" w:eastAsia="zh-CN"/>
        </w:rPr>
        <w:t>19</w:t>
      </w:r>
      <w:r>
        <w:rPr>
          <w:rFonts w:hint="eastAsia" w:ascii="宋体" w:hAnsi="宋体" w:cs="宋体"/>
          <w:b/>
          <w:bCs/>
          <w:sz w:val="32"/>
        </w:rPr>
        <w:t>日</w:t>
      </w:r>
      <w:r>
        <w:rPr>
          <w:rFonts w:hint="eastAsia" w:ascii="宋体" w:hAnsi="宋体" w:cs="宋体"/>
          <w:b/>
          <w:bCs/>
          <w:sz w:val="32"/>
        </w:rPr>
        <w:br w:type="page" w:clear="all"/>
      </w:r>
    </w:p>
    <w:p w14:paraId="199F58A5">
      <w:pPr>
        <w:spacing w:line="360" w:lineRule="auto"/>
        <w:rPr>
          <w:b/>
          <w:bCs/>
        </w:rPr>
      </w:pPr>
    </w:p>
    <w:p w14:paraId="18EC1B82">
      <w:pPr>
        <w:pStyle w:val="208"/>
        <w:spacing w:before="0" w:after="0"/>
        <w:ind w:firstLine="0"/>
        <w:jc w:val="center"/>
        <w:outlineLvl w:val="0"/>
        <w:rPr>
          <w:rFonts w:ascii="宋体" w:hAnsi="宋体" w:cs="宋体"/>
          <w:b/>
          <w:bCs/>
          <w:sz w:val="32"/>
          <w:szCs w:val="32"/>
        </w:rPr>
      </w:pPr>
      <w:r>
        <w:rPr>
          <w:rFonts w:hint="eastAsia" w:ascii="宋体" w:hAnsi="宋体" w:cs="宋体"/>
          <w:b/>
          <w:bCs/>
          <w:sz w:val="32"/>
          <w:szCs w:val="32"/>
        </w:rPr>
        <w:t>第一章 竞争性磋商公告</w:t>
      </w:r>
    </w:p>
    <w:p w14:paraId="243AD5EF">
      <w:pPr>
        <w:pStyle w:val="20"/>
        <w:spacing w:after="0" w:line="360" w:lineRule="auto"/>
        <w:ind w:firstLine="560"/>
        <w:outlineLvl w:val="1"/>
        <w:rPr>
          <w:rFonts w:hAnsi="宋体" w:cs="宋体"/>
          <w:sz w:val="24"/>
          <w:szCs w:val="24"/>
        </w:rPr>
      </w:pPr>
      <w:bookmarkStart w:id="0" w:name="_Toc35393629"/>
      <w:bookmarkStart w:id="1" w:name="_Toc28359089"/>
      <w:bookmarkStart w:id="2" w:name="_Toc35393798"/>
      <w:bookmarkStart w:id="3" w:name="_Toc28359012"/>
      <w:bookmarkStart w:id="4" w:name="OLE_LINK2"/>
      <w:r>
        <w:rPr>
          <w:rFonts w:hint="eastAsia" w:hAnsi="宋体" w:cs="宋体"/>
          <w:sz w:val="24"/>
          <w:szCs w:val="24"/>
        </w:rPr>
        <w:t>一、项目基本情况</w:t>
      </w:r>
      <w:bookmarkEnd w:id="0"/>
      <w:bookmarkEnd w:id="1"/>
      <w:bookmarkEnd w:id="2"/>
      <w:bookmarkEnd w:id="3"/>
    </w:p>
    <w:p w14:paraId="537CC617">
      <w:pPr>
        <w:spacing w:line="360" w:lineRule="auto"/>
        <w:ind w:firstLine="560"/>
        <w:rPr>
          <w:rFonts w:ascii="宋体" w:hAnsi="宋体" w:cs="宋体"/>
          <w:sz w:val="24"/>
        </w:rPr>
      </w:pPr>
      <w:r>
        <w:rPr>
          <w:rFonts w:hint="eastAsia" w:ascii="宋体" w:hAnsi="宋体" w:cs="宋体"/>
          <w:sz w:val="24"/>
        </w:rPr>
        <w:t xml:space="preserve">1.项目名称：搬经镇2026-2027年度道路、桥梁、市政、建筑等公共基础设施维修工程  </w:t>
      </w:r>
    </w:p>
    <w:p w14:paraId="7246028F">
      <w:pPr>
        <w:spacing w:line="360" w:lineRule="auto"/>
        <w:ind w:firstLine="560"/>
        <w:rPr>
          <w:rFonts w:ascii="宋体" w:hAnsi="宋体" w:cs="宋体"/>
          <w:sz w:val="24"/>
        </w:rPr>
      </w:pPr>
      <w:r>
        <w:rPr>
          <w:rFonts w:hint="eastAsia" w:ascii="宋体" w:hAnsi="宋体" w:cs="宋体"/>
          <w:sz w:val="24"/>
        </w:rPr>
        <w:t>2.项目编号：JSZC-320682-JGGC-C2026-0007</w:t>
      </w:r>
    </w:p>
    <w:p w14:paraId="52307E30">
      <w:pPr>
        <w:spacing w:line="360" w:lineRule="auto"/>
        <w:ind w:firstLine="560"/>
        <w:rPr>
          <w:rFonts w:ascii="宋体" w:hAnsi="宋体" w:cs="宋体"/>
          <w:sz w:val="24"/>
        </w:rPr>
      </w:pPr>
      <w:r>
        <w:rPr>
          <w:rFonts w:hint="eastAsia" w:ascii="宋体" w:hAnsi="宋体" w:cs="宋体"/>
          <w:sz w:val="24"/>
        </w:rPr>
        <w:t>3.预算金额：150万元</w:t>
      </w:r>
    </w:p>
    <w:p w14:paraId="29E4A2E4">
      <w:pPr>
        <w:spacing w:line="360" w:lineRule="auto"/>
        <w:ind w:firstLine="560"/>
        <w:rPr>
          <w:rFonts w:ascii="宋体" w:hAnsi="宋体" w:cs="宋体"/>
          <w:sz w:val="24"/>
        </w:rPr>
      </w:pPr>
      <w:r>
        <w:rPr>
          <w:rFonts w:hint="eastAsia" w:ascii="宋体" w:hAnsi="宋体" w:cs="宋体"/>
          <w:sz w:val="24"/>
        </w:rPr>
        <w:t>4.最高限价：150万元，报价要求：按优惠率报价。（以工程审计价为基准报优惠率。）（例如：优惠率报价10%，则结算时按工程审计价*（1-10%）据实结算）。</w:t>
      </w:r>
    </w:p>
    <w:p w14:paraId="4B511DAC">
      <w:pPr>
        <w:spacing w:line="360" w:lineRule="auto"/>
        <w:ind w:firstLine="560"/>
        <w:rPr>
          <w:rFonts w:ascii="宋体" w:hAnsi="宋体" w:cs="宋体"/>
          <w:sz w:val="24"/>
          <w:u w:val="single"/>
        </w:rPr>
      </w:pPr>
      <w:r>
        <w:rPr>
          <w:rFonts w:hint="eastAsia" w:ascii="宋体" w:hAnsi="宋体" w:cs="宋体"/>
          <w:sz w:val="24"/>
        </w:rPr>
        <w:t>5.采购需求：详见第三章。</w:t>
      </w:r>
    </w:p>
    <w:p w14:paraId="2CA99085">
      <w:pPr>
        <w:spacing w:line="360" w:lineRule="auto"/>
        <w:ind w:firstLine="560"/>
        <w:rPr>
          <w:rFonts w:ascii="宋体" w:hAnsi="宋体" w:cs="宋体"/>
          <w:sz w:val="24"/>
        </w:rPr>
      </w:pPr>
      <w:r>
        <w:rPr>
          <w:rFonts w:hint="eastAsia" w:ascii="宋体" w:hAnsi="宋体" w:cs="宋体"/>
          <w:sz w:val="24"/>
        </w:rPr>
        <w:t>6.合同履行期限：合同签订后至2027年12月31日，具体以采购人要求为准。</w:t>
      </w:r>
    </w:p>
    <w:p w14:paraId="6115D65C">
      <w:pPr>
        <w:spacing w:line="360" w:lineRule="auto"/>
        <w:ind w:firstLine="560"/>
        <w:rPr>
          <w:rFonts w:ascii="宋体" w:hAnsi="宋体" w:cs="宋体"/>
          <w:sz w:val="24"/>
          <w:u w:val="single"/>
        </w:rPr>
      </w:pPr>
      <w:r>
        <w:rPr>
          <w:rFonts w:hint="eastAsia" w:ascii="宋体" w:hAnsi="宋体" w:cs="宋体"/>
          <w:sz w:val="24"/>
        </w:rPr>
        <w:t>7.本项目是否接受进口产品：否。</w:t>
      </w:r>
    </w:p>
    <w:p w14:paraId="72C96E0B">
      <w:pPr>
        <w:spacing w:line="360" w:lineRule="auto"/>
        <w:ind w:firstLine="560"/>
        <w:rPr>
          <w:rFonts w:ascii="宋体" w:hAnsi="宋体" w:cs="宋体"/>
          <w:sz w:val="24"/>
        </w:rPr>
      </w:pPr>
      <w:r>
        <w:rPr>
          <w:rFonts w:hint="eastAsia" w:ascii="宋体" w:hAnsi="宋体" w:cs="宋体"/>
          <w:sz w:val="24"/>
        </w:rPr>
        <w:t>8.本项目是否接受联合体：否。</w:t>
      </w:r>
    </w:p>
    <w:p w14:paraId="48E5D2E4">
      <w:pPr>
        <w:spacing w:line="360" w:lineRule="auto"/>
        <w:ind w:firstLine="560"/>
        <w:rPr>
          <w:rFonts w:ascii="宋体" w:hAnsi="宋体" w:cs="宋体"/>
          <w:sz w:val="24"/>
        </w:rPr>
      </w:pPr>
      <w:r>
        <w:rPr>
          <w:rFonts w:hint="eastAsia" w:ascii="宋体" w:hAnsi="宋体" w:cs="宋体"/>
          <w:sz w:val="24"/>
        </w:rPr>
        <w:t>9.本项目是否专门面向中小企业采购：是。</w:t>
      </w:r>
    </w:p>
    <w:p w14:paraId="7F393DC5">
      <w:pPr>
        <w:spacing w:line="360" w:lineRule="auto"/>
        <w:ind w:firstLine="560"/>
        <w:rPr>
          <w:rFonts w:ascii="宋体" w:hAnsi="宋体" w:cs="宋体"/>
          <w:sz w:val="24"/>
        </w:rPr>
      </w:pPr>
      <w:r>
        <w:rPr>
          <w:rFonts w:hint="eastAsia" w:ascii="宋体" w:hAnsi="宋体" w:cs="宋体"/>
          <w:sz w:val="24"/>
        </w:rPr>
        <w:t>10.项目类型：工程类</w:t>
      </w:r>
    </w:p>
    <w:p w14:paraId="2B7C15C2">
      <w:pPr>
        <w:spacing w:line="360" w:lineRule="auto"/>
        <w:ind w:firstLine="560"/>
        <w:rPr>
          <w:rFonts w:ascii="宋体" w:hAnsi="宋体" w:cs="宋体"/>
          <w:sz w:val="24"/>
        </w:rPr>
      </w:pPr>
      <w:r>
        <w:rPr>
          <w:rFonts w:hint="eastAsia" w:ascii="宋体" w:hAnsi="宋体" w:cs="宋体"/>
          <w:sz w:val="24"/>
        </w:rPr>
        <w:t>11.项目所属行业：建筑业</w:t>
      </w:r>
    </w:p>
    <w:p w14:paraId="397BF741">
      <w:pPr>
        <w:pStyle w:val="20"/>
        <w:spacing w:after="0" w:line="360" w:lineRule="auto"/>
        <w:ind w:firstLine="560"/>
        <w:outlineLvl w:val="1"/>
        <w:rPr>
          <w:rFonts w:hAnsi="宋体" w:cs="宋体"/>
          <w:sz w:val="24"/>
          <w:szCs w:val="24"/>
        </w:rPr>
      </w:pPr>
      <w:bookmarkStart w:id="5" w:name="_Toc28359013"/>
      <w:bookmarkStart w:id="6" w:name="_Toc28359090"/>
      <w:bookmarkStart w:id="7" w:name="_Toc35393630"/>
      <w:bookmarkStart w:id="8" w:name="_Toc35393799"/>
      <w:r>
        <w:rPr>
          <w:rFonts w:hint="eastAsia" w:hAnsi="宋体" w:cs="宋体"/>
          <w:sz w:val="24"/>
          <w:szCs w:val="24"/>
        </w:rPr>
        <w:t>二、响应人的资格要求：</w:t>
      </w:r>
      <w:bookmarkEnd w:id="5"/>
      <w:bookmarkEnd w:id="6"/>
      <w:bookmarkEnd w:id="7"/>
      <w:bookmarkEnd w:id="8"/>
    </w:p>
    <w:p w14:paraId="074946C0">
      <w:pPr>
        <w:spacing w:line="360" w:lineRule="auto"/>
        <w:ind w:firstLine="560"/>
        <w:rPr>
          <w:rFonts w:ascii="宋体" w:hAnsi="宋体" w:cs="宋体"/>
          <w:sz w:val="24"/>
        </w:rPr>
      </w:pPr>
      <w:r>
        <w:rPr>
          <w:rFonts w:hint="eastAsia" w:ascii="宋体" w:hAnsi="宋体" w:cs="宋体"/>
          <w:sz w:val="24"/>
        </w:rPr>
        <w:t>1.《中华人民共和国政府采购法》第二十二条规定的条件：</w:t>
      </w:r>
    </w:p>
    <w:p w14:paraId="3D2509F1">
      <w:pPr>
        <w:pStyle w:val="37"/>
        <w:shd w:val="clear" w:color="auto" w:fill="FFFFFF"/>
        <w:spacing w:before="0" w:beforeAutospacing="0" w:after="0" w:afterAutospacing="0" w:line="360" w:lineRule="auto"/>
        <w:ind w:firstLine="560"/>
      </w:pPr>
      <w:bookmarkStart w:id="9" w:name="_Toc28359014"/>
      <w:bookmarkStart w:id="10" w:name="_Toc28359091"/>
      <w:r>
        <w:rPr>
          <w:rFonts w:hint="eastAsia"/>
        </w:rPr>
        <w:t>（1）具有独立承担民事责任的能力；</w:t>
      </w:r>
    </w:p>
    <w:p w14:paraId="144388C1">
      <w:pPr>
        <w:pStyle w:val="37"/>
        <w:shd w:val="clear" w:color="auto" w:fill="FFFFFF"/>
        <w:spacing w:before="0" w:beforeAutospacing="0" w:after="0" w:afterAutospacing="0" w:line="360" w:lineRule="auto"/>
        <w:ind w:firstLine="560"/>
      </w:pPr>
      <w:r>
        <w:rPr>
          <w:rFonts w:hint="eastAsia"/>
        </w:rPr>
        <w:t>（2）具有良好的商业信誉和健全的财务会计制度；</w:t>
      </w:r>
    </w:p>
    <w:p w14:paraId="78B43910">
      <w:pPr>
        <w:pStyle w:val="37"/>
        <w:shd w:val="clear" w:color="auto" w:fill="FFFFFF"/>
        <w:spacing w:before="0" w:beforeAutospacing="0" w:after="0" w:afterAutospacing="0" w:line="360" w:lineRule="auto"/>
        <w:ind w:firstLine="560"/>
      </w:pPr>
      <w:r>
        <w:rPr>
          <w:rFonts w:hint="eastAsia"/>
        </w:rPr>
        <w:t>（3）具有履行合同所必需的设备和专业技术能力；</w:t>
      </w:r>
    </w:p>
    <w:p w14:paraId="784F2F0C">
      <w:pPr>
        <w:pStyle w:val="37"/>
        <w:shd w:val="clear" w:color="auto" w:fill="FFFFFF"/>
        <w:spacing w:before="0" w:beforeAutospacing="0" w:after="0" w:afterAutospacing="0" w:line="360" w:lineRule="auto"/>
        <w:ind w:firstLine="560"/>
      </w:pPr>
      <w:r>
        <w:rPr>
          <w:rFonts w:hint="eastAsia"/>
        </w:rPr>
        <w:t>（4）有依法缴纳税收和社会保障资金的良好记录；</w:t>
      </w:r>
    </w:p>
    <w:p w14:paraId="03341369">
      <w:pPr>
        <w:pStyle w:val="37"/>
        <w:shd w:val="clear" w:color="auto" w:fill="FFFFFF"/>
        <w:spacing w:before="0" w:beforeAutospacing="0" w:after="0" w:afterAutospacing="0" w:line="360" w:lineRule="auto"/>
        <w:ind w:firstLine="560"/>
      </w:pPr>
      <w:r>
        <w:rPr>
          <w:rFonts w:hint="eastAsia"/>
        </w:rPr>
        <w:t>（5）参加政府采购活动前三年内，在经营活动中没有重大违法记录；</w:t>
      </w:r>
    </w:p>
    <w:p w14:paraId="386C9526">
      <w:pPr>
        <w:pStyle w:val="37"/>
        <w:shd w:val="clear" w:color="auto" w:fill="FFFFFF"/>
        <w:spacing w:before="0" w:beforeAutospacing="0" w:after="0" w:afterAutospacing="0" w:line="360" w:lineRule="auto"/>
        <w:ind w:firstLine="560"/>
      </w:pPr>
      <w:r>
        <w:rPr>
          <w:rFonts w:hint="eastAsia"/>
        </w:rPr>
        <w:t>（6）法律、行政法规规定的其他条件。</w:t>
      </w:r>
    </w:p>
    <w:p w14:paraId="4B880788">
      <w:pPr>
        <w:spacing w:line="360" w:lineRule="auto"/>
        <w:ind w:firstLine="560"/>
        <w:rPr>
          <w:rFonts w:ascii="宋体" w:hAnsi="宋体" w:cs="宋体"/>
          <w:sz w:val="24"/>
          <w:u w:val="single"/>
        </w:rPr>
      </w:pPr>
      <w:r>
        <w:rPr>
          <w:rFonts w:hint="eastAsia" w:ascii="宋体" w:hAnsi="宋体" w:cs="宋体"/>
          <w:sz w:val="24"/>
        </w:rPr>
        <w:t>2. 落实政府采购政策需满足的资格要求：</w:t>
      </w:r>
    </w:p>
    <w:p w14:paraId="35014986">
      <w:pPr>
        <w:pStyle w:val="37"/>
        <w:shd w:val="clear" w:color="auto" w:fill="FFFFFF"/>
        <w:spacing w:before="0" w:beforeAutospacing="0" w:after="0" w:afterAutospacing="0" w:line="360" w:lineRule="auto"/>
        <w:ind w:firstLine="482"/>
      </w:pPr>
      <w:r>
        <w:rPr>
          <w:rFonts w:hint="eastAsia"/>
        </w:rPr>
        <w:t>（1）提供《中小企业声明函》《残疾人福利性单位声明函》或监狱和省级以上监狱管理局、戒毒管理局（含新疆生产建设兵团）出具的属于监狱企业的证明文件。对于专门面向中小企业采购的项目，不提供的，按无效响应处理；对于非专门面向中小企业采购的项目，供应商属于小微企业、监狱企业或者残疾人福利性单位的，享受价格扣除优惠。</w:t>
      </w:r>
    </w:p>
    <w:p w14:paraId="4A9B7A3F">
      <w:pPr>
        <w:pStyle w:val="37"/>
        <w:shd w:val="clear" w:color="auto" w:fill="FFFFFF"/>
        <w:spacing w:before="0" w:beforeAutospacing="0" w:after="0" w:afterAutospacing="0" w:line="360" w:lineRule="auto"/>
        <w:ind w:firstLine="482"/>
        <w:rPr>
          <w:iCs/>
        </w:rPr>
      </w:pPr>
      <w:r>
        <w:rPr>
          <w:rFonts w:hint="eastAsia"/>
        </w:rPr>
        <w:t>（2）</w:t>
      </w:r>
      <w:r>
        <w:rPr>
          <w:rFonts w:hint="eastAsia"/>
          <w:iCs/>
        </w:rPr>
        <w:t>响应产品属于财政部、国家发改委公布的“节能产品品目清单”范围内的，须提供国家确定的认证机构出具的、处于有效期之内的节能产品认证证书复印件，以及全国认证认可信息公共服务平台查询截图。</w:t>
      </w:r>
    </w:p>
    <w:p w14:paraId="673E67F6">
      <w:pPr>
        <w:pStyle w:val="37"/>
        <w:shd w:val="clear" w:color="auto" w:fill="FFFFFF"/>
        <w:spacing w:before="0" w:beforeAutospacing="0" w:after="0" w:afterAutospacing="0" w:line="360" w:lineRule="auto"/>
        <w:ind w:firstLine="482"/>
      </w:pPr>
      <w:r>
        <w:rPr>
          <w:rFonts w:hint="eastAsia"/>
          <w:iCs/>
        </w:rPr>
        <w:t>（3）响应产品如属于财政部、生态环境部公布的“环境标志产品品目清单”范围内的，须提供国家确定的认证机构出具的、处于有效期内的环境标志产品认证证书复印件，以及全国认证认可信息公共服务平台查询截图。</w:t>
      </w:r>
    </w:p>
    <w:p w14:paraId="3E4C9ED1">
      <w:pPr>
        <w:pStyle w:val="37"/>
        <w:shd w:val="clear" w:color="auto" w:fill="FFFFFF"/>
        <w:spacing w:before="0" w:beforeAutospacing="0" w:after="0" w:afterAutospacing="0" w:line="360" w:lineRule="auto"/>
        <w:ind w:firstLine="567"/>
        <w:rPr>
          <w:u w:val="single"/>
        </w:rPr>
      </w:pPr>
      <w:r>
        <w:rPr>
          <w:rFonts w:hint="eastAsia"/>
        </w:rPr>
        <w:t>3. 单位负责人为同一人或者存在直接控股、管理关系的不同供应商，不得参加同一合同项下的政府采购活动。为本采购项目提供整体设计、规范编制或者项目管理、监理、检测等服务的供应商，不得再参加本采购项目的采购活动。</w:t>
      </w:r>
    </w:p>
    <w:p w14:paraId="4C325322">
      <w:pPr>
        <w:spacing w:line="360" w:lineRule="auto"/>
        <w:ind w:firstLine="560"/>
        <w:rPr>
          <w:rFonts w:ascii="宋体" w:hAnsi="宋体" w:cs="宋体"/>
          <w:sz w:val="24"/>
        </w:rPr>
      </w:pPr>
      <w:r>
        <w:rPr>
          <w:rFonts w:hint="eastAsia" w:ascii="宋体" w:hAnsi="宋体" w:cs="宋体"/>
          <w:sz w:val="24"/>
        </w:rPr>
        <w:t>4. 本项目的特定资格要求：</w:t>
      </w:r>
    </w:p>
    <w:p w14:paraId="24598C9A">
      <w:pPr>
        <w:pStyle w:val="37"/>
        <w:shd w:val="clear" w:color="auto" w:fill="FFFFFF"/>
        <w:spacing w:before="0" w:beforeAutospacing="0" w:after="0" w:afterAutospacing="0" w:line="360" w:lineRule="auto"/>
        <w:ind w:firstLine="567"/>
        <w:rPr>
          <w:b/>
          <w:bCs/>
          <w:iCs/>
        </w:rPr>
      </w:pPr>
      <w:r>
        <w:rPr>
          <w:rFonts w:hint="eastAsia"/>
          <w:b/>
          <w:bCs/>
          <w:iCs/>
        </w:rPr>
        <w:t>响应供应商须具备市政公用工程施工总承包三级及以上资质，且具备有效的安全生产许可证；</w:t>
      </w:r>
    </w:p>
    <w:p w14:paraId="400EC86D">
      <w:pPr>
        <w:pStyle w:val="37"/>
        <w:shd w:val="clear" w:color="auto" w:fill="FFFFFF"/>
        <w:spacing w:before="0" w:beforeAutospacing="0" w:after="0" w:afterAutospacing="0" w:line="360" w:lineRule="auto"/>
        <w:ind w:firstLine="567"/>
      </w:pPr>
      <w:r>
        <w:rPr>
          <w:rFonts w:hint="eastAsia"/>
          <w:iCs/>
        </w:rPr>
        <w:t>5.</w:t>
      </w:r>
      <w:r>
        <w:rPr>
          <w:rFonts w:hint="eastAsia"/>
        </w:rPr>
        <w:t xml:space="preserve"> 供应商的法定代表人参加竞争性磋商活动的，须在响应文件中提供法定代表人身份证明和身份证复印件；委托代理人参加竞争性磋商活动的，还须在响应文件中提供法定代表人的</w:t>
      </w:r>
      <w:r>
        <w:rPr>
          <w:rFonts w:hint="eastAsia"/>
          <w:iCs/>
        </w:rPr>
        <w:t>授权委托书。代理人须为响应供应商的正式员工，并提供响应文件提交截止日前最近1个月响应供应商为其缴纳社保的证明；新成立企业距响应文件提交截止日期不足30日的，可不提供缴纳社保的证明（以新办企业营业执照发放日期为准）。</w:t>
      </w:r>
    </w:p>
    <w:p w14:paraId="458D82CB">
      <w:pPr>
        <w:spacing w:line="360" w:lineRule="auto"/>
        <w:ind w:firstLine="560"/>
        <w:rPr>
          <w:rFonts w:ascii="宋体" w:hAnsi="宋体" w:cs="宋体"/>
          <w:i/>
          <w:iCs/>
          <w:sz w:val="24"/>
          <w:u w:val="single"/>
        </w:rPr>
      </w:pPr>
      <w:r>
        <w:rPr>
          <w:rFonts w:hint="eastAsia" w:ascii="宋体" w:hAnsi="宋体" w:cs="宋体"/>
          <w:sz w:val="24"/>
        </w:rPr>
        <w:t>6.未被“信用中国（www.creditchina.gov.cn）”“中国政府采购网（http://www.ccgp.gov.cn/）”网站列入失信被执行人或重大税收违法案件当事人名单或政府采购严重失信行为记录名单，查询结果以评审过程中现场网络截图为准。</w:t>
      </w:r>
    </w:p>
    <w:p w14:paraId="471F1D49">
      <w:pPr>
        <w:pStyle w:val="20"/>
        <w:spacing w:after="0" w:line="360" w:lineRule="auto"/>
        <w:ind w:firstLine="560"/>
        <w:outlineLvl w:val="1"/>
        <w:rPr>
          <w:rFonts w:hAnsi="宋体" w:cs="宋体"/>
          <w:sz w:val="24"/>
          <w:szCs w:val="24"/>
        </w:rPr>
      </w:pPr>
      <w:bookmarkStart w:id="11" w:name="_Toc35393631"/>
      <w:bookmarkStart w:id="12" w:name="_Toc35393800"/>
      <w:r>
        <w:rPr>
          <w:rFonts w:hint="eastAsia" w:hAnsi="宋体" w:cs="宋体"/>
          <w:sz w:val="24"/>
          <w:szCs w:val="24"/>
        </w:rPr>
        <w:t>三、获取竞争性磋商文件</w:t>
      </w:r>
      <w:bookmarkEnd w:id="9"/>
      <w:bookmarkEnd w:id="10"/>
      <w:bookmarkEnd w:id="11"/>
      <w:bookmarkEnd w:id="12"/>
    </w:p>
    <w:p w14:paraId="2D842A37">
      <w:pPr>
        <w:spacing w:line="360" w:lineRule="auto"/>
        <w:ind w:firstLine="540"/>
        <w:rPr>
          <w:rFonts w:ascii="宋体" w:hAnsi="宋体" w:cs="宋体"/>
          <w:sz w:val="24"/>
        </w:rPr>
      </w:pPr>
      <w:r>
        <w:rPr>
          <w:rFonts w:hint="eastAsia" w:ascii="宋体" w:hAnsi="宋体" w:cs="宋体"/>
          <w:sz w:val="24"/>
        </w:rPr>
        <w:t>1. 时间：本公告发布之日起5个工作日内。</w:t>
      </w:r>
    </w:p>
    <w:p w14:paraId="15ADEF42">
      <w:pPr>
        <w:spacing w:line="360" w:lineRule="auto"/>
        <w:ind w:firstLine="540"/>
        <w:rPr>
          <w:rFonts w:ascii="宋体" w:hAnsi="宋体" w:cs="宋体"/>
          <w:sz w:val="24"/>
        </w:rPr>
      </w:pPr>
      <w:r>
        <w:rPr>
          <w:rFonts w:hint="eastAsia" w:ascii="宋体" w:hAnsi="宋体" w:cs="宋体"/>
          <w:sz w:val="24"/>
        </w:rPr>
        <w:t>2. 地点：江苏省政府采购网</w:t>
      </w:r>
    </w:p>
    <w:p w14:paraId="3B5CBCEA">
      <w:pPr>
        <w:spacing w:line="360" w:lineRule="auto"/>
        <w:ind w:firstLine="540"/>
        <w:rPr>
          <w:rFonts w:ascii="宋体" w:hAnsi="宋体" w:cs="宋体"/>
          <w:sz w:val="24"/>
          <w:highlight w:val="magenta"/>
        </w:rPr>
      </w:pPr>
      <w:r>
        <w:rPr>
          <w:rFonts w:hint="eastAsia" w:ascii="宋体" w:hAnsi="宋体" w:cs="宋体"/>
          <w:sz w:val="24"/>
        </w:rPr>
        <w:t>3. 方式：本项目采用“苏采云”系统网上注册登记方式，具体详见《江苏省政府采购管理交易系统（苏采云）投标人操作手册》。</w:t>
      </w:r>
    </w:p>
    <w:p w14:paraId="37802858">
      <w:pPr>
        <w:pStyle w:val="20"/>
        <w:spacing w:after="0" w:line="360" w:lineRule="auto"/>
        <w:ind w:firstLine="560"/>
        <w:outlineLvl w:val="1"/>
        <w:rPr>
          <w:rFonts w:hAnsi="宋体" w:cs="宋体"/>
          <w:sz w:val="24"/>
          <w:szCs w:val="24"/>
        </w:rPr>
      </w:pPr>
      <w:bookmarkStart w:id="13" w:name="_Toc28359092"/>
      <w:bookmarkStart w:id="14" w:name="_Toc35393632"/>
      <w:bookmarkStart w:id="15" w:name="_Toc28359015"/>
      <w:bookmarkStart w:id="16" w:name="_Toc35393801"/>
      <w:r>
        <w:rPr>
          <w:rFonts w:hint="eastAsia" w:hAnsi="宋体" w:cs="宋体"/>
          <w:sz w:val="24"/>
          <w:szCs w:val="24"/>
        </w:rPr>
        <w:t>四、</w:t>
      </w:r>
      <w:bookmarkEnd w:id="13"/>
      <w:bookmarkEnd w:id="14"/>
      <w:bookmarkEnd w:id="15"/>
      <w:bookmarkEnd w:id="16"/>
      <w:r>
        <w:rPr>
          <w:rFonts w:hint="eastAsia" w:hAnsi="宋体" w:cs="宋体"/>
          <w:sz w:val="24"/>
          <w:szCs w:val="24"/>
        </w:rPr>
        <w:t>竞争性磋商响应文件提交和开启</w:t>
      </w:r>
    </w:p>
    <w:p w14:paraId="57973F4B">
      <w:pPr>
        <w:spacing w:line="360" w:lineRule="auto"/>
        <w:ind w:firstLine="560"/>
        <w:rPr>
          <w:rFonts w:ascii="宋体" w:hAnsi="宋体" w:cs="宋体"/>
          <w:bCs/>
          <w:sz w:val="24"/>
          <w:u w:val="single"/>
        </w:rPr>
      </w:pPr>
      <w:r>
        <w:rPr>
          <w:rFonts w:hint="eastAsia" w:ascii="宋体" w:hAnsi="宋体" w:cs="宋体"/>
          <w:sz w:val="24"/>
        </w:rPr>
        <w:t>截止时间：2026</w:t>
      </w:r>
      <w:r>
        <w:rPr>
          <w:rFonts w:hint="eastAsia" w:ascii="宋体" w:hAnsi="宋体" w:cs="宋体"/>
          <w:bCs/>
          <w:sz w:val="24"/>
        </w:rPr>
        <w:t>年1</w:t>
      </w:r>
      <w:r>
        <w:rPr>
          <w:rFonts w:hint="eastAsia" w:ascii="宋体" w:hAnsi="宋体" w:cs="宋体"/>
          <w:bCs/>
          <w:sz w:val="24"/>
          <w:lang w:val="en-US" w:eastAsia="zh-CN"/>
        </w:rPr>
        <w:t>1</w:t>
      </w:r>
      <w:r>
        <w:rPr>
          <w:rFonts w:hint="eastAsia" w:ascii="宋体" w:hAnsi="宋体" w:cs="宋体"/>
          <w:bCs/>
          <w:sz w:val="24"/>
        </w:rPr>
        <w:t>月</w:t>
      </w:r>
      <w:r>
        <w:rPr>
          <w:rFonts w:hint="eastAsia" w:ascii="宋体" w:hAnsi="宋体" w:cs="宋体"/>
          <w:bCs/>
          <w:sz w:val="24"/>
          <w:lang w:val="en-US" w:eastAsia="zh-CN"/>
        </w:rPr>
        <w:t>02</w:t>
      </w:r>
      <w:r>
        <w:rPr>
          <w:rFonts w:hint="eastAsia" w:ascii="宋体" w:hAnsi="宋体" w:cs="宋体"/>
          <w:bCs/>
          <w:sz w:val="24"/>
        </w:rPr>
        <w:t>日14点00分（北京时间）</w:t>
      </w:r>
    </w:p>
    <w:p w14:paraId="63C006BC">
      <w:pPr>
        <w:spacing w:line="360" w:lineRule="auto"/>
        <w:ind w:firstLine="560"/>
        <w:rPr>
          <w:rFonts w:ascii="宋体" w:hAnsi="宋体" w:cs="宋体"/>
          <w:sz w:val="24"/>
        </w:rPr>
      </w:pPr>
      <w:r>
        <w:rPr>
          <w:rFonts w:hint="eastAsia" w:ascii="宋体" w:hAnsi="宋体" w:cs="宋体"/>
          <w:sz w:val="24"/>
        </w:rPr>
        <w:t>地点：通过“苏采云”系统提交，具体详见《江苏省政府采购管理交易系统（苏采云）投标人操作手册》。</w:t>
      </w:r>
    </w:p>
    <w:p w14:paraId="54F8F249">
      <w:pPr>
        <w:spacing w:line="360" w:lineRule="auto"/>
        <w:ind w:firstLine="560"/>
        <w:rPr>
          <w:rFonts w:ascii="宋体" w:hAnsi="宋体" w:cs="宋体"/>
          <w:bCs/>
          <w:sz w:val="24"/>
        </w:rPr>
      </w:pPr>
      <w:r>
        <w:rPr>
          <w:rFonts w:hint="eastAsia" w:ascii="宋体" w:hAnsi="宋体" w:cs="宋体"/>
          <w:sz w:val="24"/>
        </w:rPr>
        <w:t>开启时间：</w:t>
      </w:r>
      <w:r>
        <w:rPr>
          <w:rFonts w:hint="eastAsia" w:ascii="宋体" w:hAnsi="宋体" w:cs="宋体"/>
          <w:bCs/>
          <w:sz w:val="24"/>
        </w:rPr>
        <w:t>详见采购公告</w:t>
      </w:r>
    </w:p>
    <w:p w14:paraId="4EC28E20">
      <w:pPr>
        <w:spacing w:line="360" w:lineRule="auto"/>
        <w:ind w:firstLine="560"/>
        <w:rPr>
          <w:rFonts w:ascii="宋体" w:hAnsi="宋体" w:cs="宋体"/>
          <w:sz w:val="24"/>
        </w:rPr>
      </w:pPr>
      <w:r>
        <w:rPr>
          <w:rFonts w:hint="eastAsia" w:ascii="宋体" w:hAnsi="宋体" w:cs="宋体"/>
          <w:bCs/>
          <w:sz w:val="24"/>
        </w:rPr>
        <w:t>开启地点：</w:t>
      </w:r>
      <w:r>
        <w:rPr>
          <w:rFonts w:hint="eastAsia" w:ascii="宋体" w:hAnsi="宋体" w:cs="宋体"/>
          <w:sz w:val="24"/>
        </w:rPr>
        <w:t>“苏采云”系统（网址：http://jszfcg.jsczt.cn/）“开标大厅”。</w:t>
      </w:r>
    </w:p>
    <w:p w14:paraId="39F9C169">
      <w:pPr>
        <w:pStyle w:val="20"/>
        <w:spacing w:after="0" w:line="360" w:lineRule="auto"/>
        <w:ind w:firstLine="560"/>
        <w:outlineLvl w:val="1"/>
        <w:rPr>
          <w:rFonts w:hAnsi="宋体" w:cs="宋体"/>
          <w:sz w:val="24"/>
          <w:szCs w:val="24"/>
        </w:rPr>
      </w:pPr>
      <w:bookmarkStart w:id="17" w:name="_Toc28359017"/>
      <w:bookmarkStart w:id="18" w:name="_Toc35393803"/>
      <w:bookmarkStart w:id="19" w:name="_Toc28359094"/>
      <w:bookmarkStart w:id="20" w:name="_Toc35393634"/>
      <w:r>
        <w:rPr>
          <w:rFonts w:hint="eastAsia" w:hAnsi="宋体" w:cs="宋体"/>
          <w:sz w:val="24"/>
          <w:szCs w:val="24"/>
        </w:rPr>
        <w:t>五、公告期限</w:t>
      </w:r>
      <w:bookmarkEnd w:id="17"/>
      <w:bookmarkEnd w:id="18"/>
      <w:bookmarkEnd w:id="19"/>
      <w:bookmarkEnd w:id="20"/>
    </w:p>
    <w:p w14:paraId="26CC2D80">
      <w:pPr>
        <w:spacing w:line="360" w:lineRule="auto"/>
        <w:ind w:firstLine="560"/>
        <w:rPr>
          <w:rFonts w:ascii="宋体" w:hAnsi="宋体" w:cs="宋体"/>
          <w:sz w:val="24"/>
        </w:rPr>
      </w:pPr>
      <w:r>
        <w:rPr>
          <w:rFonts w:hint="eastAsia" w:ascii="宋体" w:hAnsi="宋体" w:cs="宋体"/>
          <w:sz w:val="24"/>
        </w:rPr>
        <w:t>自本公告发布之日起3个工作日。</w:t>
      </w:r>
    </w:p>
    <w:p w14:paraId="59A2F834">
      <w:pPr>
        <w:pStyle w:val="20"/>
        <w:spacing w:after="0" w:line="360" w:lineRule="auto"/>
        <w:ind w:firstLine="560"/>
        <w:outlineLvl w:val="1"/>
        <w:rPr>
          <w:rFonts w:hAnsi="宋体" w:cs="宋体"/>
          <w:sz w:val="24"/>
          <w:szCs w:val="24"/>
        </w:rPr>
      </w:pPr>
      <w:bookmarkStart w:id="21" w:name="_Toc35393804"/>
      <w:bookmarkStart w:id="22" w:name="_Toc35393635"/>
      <w:r>
        <w:rPr>
          <w:rFonts w:hint="eastAsia" w:hAnsi="宋体" w:cs="宋体"/>
          <w:sz w:val="24"/>
          <w:szCs w:val="24"/>
        </w:rPr>
        <w:t>六、其他补充事宜</w:t>
      </w:r>
      <w:bookmarkEnd w:id="21"/>
      <w:bookmarkEnd w:id="22"/>
    </w:p>
    <w:p w14:paraId="1E32B2E2">
      <w:pPr>
        <w:spacing w:line="360" w:lineRule="auto"/>
        <w:ind w:firstLine="565"/>
        <w:rPr>
          <w:rFonts w:ascii="宋体" w:hAnsi="宋体" w:cs="宋体"/>
          <w:bCs/>
          <w:sz w:val="24"/>
        </w:rPr>
      </w:pPr>
      <w:r>
        <w:rPr>
          <w:rFonts w:hint="eastAsia" w:ascii="宋体" w:hAnsi="宋体" w:cs="宋体"/>
          <w:sz w:val="24"/>
        </w:rPr>
        <w:t>1.</w:t>
      </w:r>
      <w:r>
        <w:rPr>
          <w:rFonts w:hint="eastAsia" w:ascii="宋体" w:hAnsi="宋体" w:cs="宋体"/>
          <w:bCs/>
          <w:sz w:val="24"/>
        </w:rPr>
        <w:t>本项目采用电子化交易模式，</w:t>
      </w:r>
      <w:r>
        <w:rPr>
          <w:rFonts w:hint="eastAsia" w:ascii="宋体" w:hAnsi="宋体" w:cs="宋体"/>
          <w:sz w:val="24"/>
        </w:rPr>
        <w:t>具体详见《江苏省政府采购管理交易系统（苏采云）投标人操作手册》，特别</w:t>
      </w:r>
      <w:r>
        <w:rPr>
          <w:rFonts w:hint="eastAsia" w:ascii="宋体" w:hAnsi="宋体" w:cs="宋体"/>
          <w:bCs/>
          <w:sz w:val="24"/>
        </w:rPr>
        <w:t>注意以下事项：</w:t>
      </w:r>
    </w:p>
    <w:p w14:paraId="2C334621">
      <w:pPr>
        <w:spacing w:line="360" w:lineRule="auto"/>
        <w:ind w:firstLine="560"/>
        <w:rPr>
          <w:rFonts w:ascii="宋体" w:hAnsi="宋体" w:cs="宋体"/>
          <w:bCs/>
          <w:sz w:val="24"/>
        </w:rPr>
      </w:pPr>
      <w:r>
        <w:rPr>
          <w:rFonts w:hint="eastAsia" w:ascii="宋体" w:hAnsi="宋体" w:cs="宋体"/>
          <w:bCs/>
          <w:sz w:val="24"/>
        </w:rPr>
        <w:t>（1）“苏采云”系统的网址为：http://jszfcg.jsczt.cn/</w:t>
      </w:r>
    </w:p>
    <w:p w14:paraId="2E231AA8">
      <w:pPr>
        <w:spacing w:line="360" w:lineRule="auto"/>
        <w:ind w:firstLine="560"/>
        <w:rPr>
          <w:rFonts w:ascii="宋体" w:hAnsi="宋体" w:cs="宋体"/>
          <w:bCs/>
          <w:sz w:val="24"/>
        </w:rPr>
      </w:pPr>
      <w:r>
        <w:rPr>
          <w:rFonts w:hint="eastAsia" w:ascii="宋体" w:hAnsi="宋体" w:cs="宋体"/>
          <w:bCs/>
          <w:sz w:val="24"/>
        </w:rPr>
        <w:t>（2）响应供应商需办理“CA 数字证书”的，可参阅“江苏省政府采购网/办事指南/资料下载”中有关资料。</w:t>
      </w:r>
    </w:p>
    <w:p w14:paraId="58F119BC">
      <w:pPr>
        <w:spacing w:line="360" w:lineRule="auto"/>
        <w:ind w:firstLine="560"/>
        <w:rPr>
          <w:rFonts w:ascii="宋体" w:hAnsi="宋体" w:cs="宋体"/>
          <w:sz w:val="24"/>
        </w:rPr>
      </w:pPr>
      <w:r>
        <w:rPr>
          <w:rFonts w:hint="eastAsia" w:ascii="宋体" w:hAnsi="宋体" w:cs="宋体"/>
          <w:sz w:val="24"/>
        </w:rPr>
        <w:t>（3）使用谷歌浏览器。</w:t>
      </w:r>
    </w:p>
    <w:p w14:paraId="5C1823A6">
      <w:pPr>
        <w:spacing w:line="360" w:lineRule="auto"/>
        <w:ind w:firstLine="560"/>
        <w:rPr>
          <w:rFonts w:ascii="宋体" w:hAnsi="宋体" w:cs="宋体"/>
          <w:sz w:val="24"/>
        </w:rPr>
      </w:pPr>
      <w:r>
        <w:rPr>
          <w:rFonts w:hint="eastAsia" w:ascii="宋体" w:hAnsi="宋体" w:cs="宋体"/>
          <w:sz w:val="24"/>
        </w:rPr>
        <w:t>（4）提前准备好麦克风、音响，摄像头，并检查保证能够正常使用。</w:t>
      </w:r>
    </w:p>
    <w:p w14:paraId="37BDAAA6">
      <w:pPr>
        <w:spacing w:line="360" w:lineRule="auto"/>
        <w:ind w:firstLine="560"/>
        <w:rPr>
          <w:rFonts w:ascii="宋体" w:hAnsi="宋体" w:cs="宋体"/>
          <w:bCs/>
          <w:sz w:val="24"/>
        </w:rPr>
      </w:pPr>
      <w:r>
        <w:rPr>
          <w:rFonts w:hint="eastAsia" w:ascii="宋体" w:hAnsi="宋体" w:cs="宋体"/>
          <w:sz w:val="24"/>
        </w:rPr>
        <w:t>（5）操作系统至少win7以上，建议使用win10操作系统。</w:t>
      </w:r>
    </w:p>
    <w:p w14:paraId="2F70230D">
      <w:pPr>
        <w:spacing w:line="360" w:lineRule="auto"/>
        <w:ind w:firstLine="560"/>
        <w:rPr>
          <w:rFonts w:ascii="宋体" w:hAnsi="宋体" w:cs="宋体"/>
          <w:b/>
          <w:sz w:val="24"/>
        </w:rPr>
      </w:pPr>
      <w:r>
        <w:rPr>
          <w:rFonts w:hint="eastAsia" w:ascii="宋体" w:hAnsi="宋体" w:cs="宋体"/>
          <w:bCs/>
          <w:sz w:val="24"/>
        </w:rPr>
        <w:t>（6）供应商应当通过“苏采云”系统提交电子响应文件，响应文件不得超过150M。</w:t>
      </w:r>
    </w:p>
    <w:p w14:paraId="3AF6D76B">
      <w:pPr>
        <w:spacing w:line="360" w:lineRule="auto"/>
        <w:ind w:firstLine="565"/>
        <w:rPr>
          <w:rFonts w:ascii="宋体" w:hAnsi="宋体" w:cs="宋体"/>
          <w:b/>
          <w:sz w:val="24"/>
        </w:rPr>
      </w:pPr>
      <w:r>
        <w:rPr>
          <w:rFonts w:hint="eastAsia" w:ascii="宋体" w:hAnsi="宋体" w:cs="宋体"/>
          <w:sz w:val="24"/>
        </w:rPr>
        <w:t>2. 磋商保证金及履约保证金：免收</w:t>
      </w:r>
    </w:p>
    <w:p w14:paraId="32F813D2">
      <w:pPr>
        <w:pStyle w:val="20"/>
        <w:spacing w:after="0" w:line="360" w:lineRule="auto"/>
        <w:ind w:firstLine="560"/>
        <w:outlineLvl w:val="1"/>
        <w:rPr>
          <w:rFonts w:hAnsi="宋体" w:cs="宋体"/>
          <w:sz w:val="24"/>
          <w:szCs w:val="24"/>
        </w:rPr>
      </w:pPr>
      <w:bookmarkStart w:id="23" w:name="_Toc35393805"/>
      <w:bookmarkStart w:id="24" w:name="_Toc35393636"/>
      <w:bookmarkStart w:id="25" w:name="_Toc28359095"/>
      <w:bookmarkStart w:id="26" w:name="_Toc28359018"/>
      <w:r>
        <w:rPr>
          <w:rFonts w:hint="eastAsia" w:hAnsi="宋体" w:cs="宋体"/>
          <w:sz w:val="24"/>
          <w:szCs w:val="24"/>
        </w:rPr>
        <w:t>七、凡对本次采购提出询问，请按以下方式联系。</w:t>
      </w:r>
      <w:bookmarkEnd w:id="23"/>
      <w:bookmarkEnd w:id="24"/>
      <w:bookmarkEnd w:id="25"/>
      <w:bookmarkEnd w:id="26"/>
    </w:p>
    <w:p w14:paraId="0D18EFAA">
      <w:pPr>
        <w:spacing w:line="360" w:lineRule="auto"/>
        <w:ind w:firstLine="560"/>
        <w:rPr>
          <w:rFonts w:ascii="宋体" w:hAnsi="宋体" w:cs="宋体"/>
          <w:sz w:val="24"/>
        </w:rPr>
      </w:pPr>
      <w:bookmarkStart w:id="27" w:name="_Toc35393806"/>
      <w:bookmarkStart w:id="28" w:name="_Toc28359019"/>
      <w:bookmarkStart w:id="29" w:name="_Toc35393637"/>
      <w:bookmarkStart w:id="30" w:name="_Toc28359096"/>
      <w:r>
        <w:rPr>
          <w:rFonts w:hint="eastAsia" w:ascii="宋体" w:hAnsi="宋体" w:cs="宋体"/>
          <w:sz w:val="24"/>
        </w:rPr>
        <w:t>（一）采购人信息</w:t>
      </w:r>
      <w:bookmarkEnd w:id="27"/>
      <w:bookmarkEnd w:id="28"/>
      <w:bookmarkEnd w:id="29"/>
      <w:bookmarkEnd w:id="30"/>
    </w:p>
    <w:p w14:paraId="5E7FD47B">
      <w:pPr>
        <w:spacing w:line="360" w:lineRule="auto"/>
        <w:ind w:firstLine="560"/>
        <w:rPr>
          <w:rFonts w:ascii="宋体" w:hAnsi="宋体" w:cs="宋体"/>
          <w:sz w:val="24"/>
        </w:rPr>
      </w:pPr>
      <w:bookmarkStart w:id="31" w:name="_Toc28359020"/>
      <w:bookmarkStart w:id="32" w:name="_Toc35393638"/>
      <w:bookmarkStart w:id="33" w:name="_Toc35393807"/>
      <w:bookmarkStart w:id="34" w:name="_Toc28359097"/>
      <w:r>
        <w:rPr>
          <w:rFonts w:hint="eastAsia" w:ascii="宋体" w:hAnsi="宋体" w:cs="宋体"/>
          <w:sz w:val="24"/>
        </w:rPr>
        <w:t>名    称：如皋市搬经镇人民政府</w:t>
      </w:r>
    </w:p>
    <w:p w14:paraId="0B92C3B7">
      <w:pPr>
        <w:spacing w:line="360" w:lineRule="auto"/>
        <w:ind w:firstLine="560"/>
        <w:rPr>
          <w:rFonts w:ascii="宋体" w:hAnsi="宋体" w:cs="宋体"/>
          <w:sz w:val="24"/>
        </w:rPr>
      </w:pPr>
      <w:r>
        <w:rPr>
          <w:rFonts w:hint="eastAsia" w:ascii="宋体" w:hAnsi="宋体" w:cs="宋体"/>
          <w:sz w:val="24"/>
        </w:rPr>
        <w:t>地    址：如皋市搬经镇.</w:t>
      </w:r>
    </w:p>
    <w:p w14:paraId="1448F974">
      <w:pPr>
        <w:spacing w:line="360" w:lineRule="auto"/>
        <w:ind w:firstLine="560"/>
        <w:rPr>
          <w:rFonts w:ascii="宋体" w:hAnsi="宋体" w:cs="宋体"/>
          <w:sz w:val="24"/>
        </w:rPr>
      </w:pPr>
      <w:r>
        <w:rPr>
          <w:rFonts w:hint="eastAsia" w:ascii="宋体" w:hAnsi="宋体" w:cs="宋体"/>
          <w:sz w:val="24"/>
        </w:rPr>
        <w:t>项目联系人：宗先生</w:t>
      </w:r>
    </w:p>
    <w:p w14:paraId="26D4B6A9">
      <w:pPr>
        <w:spacing w:line="360" w:lineRule="auto"/>
        <w:ind w:firstLine="560"/>
        <w:rPr>
          <w:rFonts w:ascii="宋体" w:hAnsi="宋体" w:cs="宋体"/>
          <w:sz w:val="24"/>
        </w:rPr>
      </w:pPr>
      <w:r>
        <w:rPr>
          <w:rFonts w:hint="eastAsia" w:ascii="宋体" w:hAnsi="宋体" w:cs="宋体"/>
          <w:sz w:val="24"/>
        </w:rPr>
        <w:t>联系方式：13862736727</w:t>
      </w:r>
    </w:p>
    <w:p w14:paraId="4793154E">
      <w:pPr>
        <w:spacing w:line="360" w:lineRule="auto"/>
        <w:ind w:firstLine="560"/>
        <w:rPr>
          <w:rFonts w:ascii="宋体" w:hAnsi="宋体" w:cs="宋体"/>
          <w:sz w:val="24"/>
        </w:rPr>
      </w:pPr>
      <w:r>
        <w:rPr>
          <w:rFonts w:hint="eastAsia" w:ascii="宋体" w:hAnsi="宋体" w:cs="宋体"/>
          <w:sz w:val="24"/>
        </w:rPr>
        <w:t>（二）采购代理机构信息</w:t>
      </w:r>
      <w:bookmarkEnd w:id="31"/>
      <w:bookmarkEnd w:id="32"/>
      <w:bookmarkEnd w:id="33"/>
      <w:bookmarkEnd w:id="34"/>
    </w:p>
    <w:p w14:paraId="4DF5C98A">
      <w:pPr>
        <w:spacing w:line="360" w:lineRule="auto"/>
        <w:ind w:firstLine="560"/>
        <w:rPr>
          <w:rFonts w:ascii="宋体" w:hAnsi="宋体" w:cs="宋体"/>
          <w:sz w:val="24"/>
        </w:rPr>
      </w:pPr>
      <w:r>
        <w:rPr>
          <w:rFonts w:hint="eastAsia" w:ascii="宋体" w:hAnsi="宋体" w:cs="宋体"/>
          <w:sz w:val="24"/>
        </w:rPr>
        <w:t xml:space="preserve">名    称：江苏久格工程项目管理有限公司 </w:t>
      </w:r>
    </w:p>
    <w:p w14:paraId="5F9EC90D">
      <w:pPr>
        <w:spacing w:line="360" w:lineRule="auto"/>
        <w:ind w:firstLine="560"/>
        <w:rPr>
          <w:rFonts w:ascii="宋体" w:hAnsi="宋体" w:cs="宋体"/>
          <w:sz w:val="24"/>
        </w:rPr>
      </w:pPr>
      <w:r>
        <w:rPr>
          <w:rFonts w:hint="eastAsia" w:ascii="宋体" w:hAnsi="宋体" w:cs="宋体"/>
          <w:sz w:val="24"/>
        </w:rPr>
        <w:t>地　　址：如皋市城南街道万寿南路999号（软件园6号楼9层南区906室）</w:t>
      </w:r>
    </w:p>
    <w:p w14:paraId="0446ACAA">
      <w:pPr>
        <w:spacing w:line="360" w:lineRule="auto"/>
        <w:ind w:firstLine="560"/>
        <w:rPr>
          <w:rFonts w:ascii="宋体" w:hAnsi="宋体" w:cs="宋体"/>
          <w:sz w:val="24"/>
        </w:rPr>
      </w:pPr>
      <w:r>
        <w:rPr>
          <w:rFonts w:hint="eastAsia" w:ascii="宋体" w:hAnsi="宋体" w:cs="宋体"/>
          <w:sz w:val="24"/>
        </w:rPr>
        <w:t>联系方式：程碧瑶18921606380</w:t>
      </w:r>
    </w:p>
    <w:p w14:paraId="3367E0E5">
      <w:pPr>
        <w:spacing w:line="360" w:lineRule="auto"/>
        <w:ind w:firstLine="840"/>
        <w:rPr>
          <w:rFonts w:ascii="宋体" w:hAnsi="宋体" w:cs="宋体"/>
          <w:sz w:val="24"/>
          <w:u w:val="single"/>
        </w:rPr>
      </w:pPr>
    </w:p>
    <w:p w14:paraId="3903AFAA">
      <w:pPr>
        <w:spacing w:line="360" w:lineRule="auto"/>
        <w:rPr>
          <w:rFonts w:ascii="宋体" w:hAnsi="宋体" w:cs="宋体"/>
          <w:b/>
          <w:sz w:val="24"/>
        </w:rPr>
      </w:pPr>
      <w:r>
        <w:rPr>
          <w:rFonts w:hint="eastAsia" w:ascii="宋体" w:hAnsi="宋体" w:cs="宋体"/>
          <w:b/>
          <w:sz w:val="24"/>
        </w:rPr>
        <w:t>附件：</w:t>
      </w:r>
    </w:p>
    <w:p w14:paraId="3DC0B65E">
      <w:pPr>
        <w:spacing w:line="360" w:lineRule="auto"/>
        <w:rPr>
          <w:rFonts w:ascii="宋体" w:hAnsi="宋体" w:cs="宋体"/>
          <w:b/>
          <w:sz w:val="24"/>
        </w:rPr>
      </w:pPr>
      <w:r>
        <w:rPr>
          <w:rFonts w:hint="eastAsia" w:ascii="宋体" w:hAnsi="宋体" w:cs="宋体"/>
          <w:b/>
          <w:sz w:val="24"/>
        </w:rPr>
        <w:t>1.南通市政府采购线上合同信用融资政策告知函</w:t>
      </w:r>
    </w:p>
    <w:p w14:paraId="2A9E8D1E">
      <w:pPr>
        <w:spacing w:line="360" w:lineRule="auto"/>
        <w:rPr>
          <w:rFonts w:ascii="宋体" w:hAnsi="宋体" w:cs="宋体"/>
          <w:b/>
          <w:sz w:val="24"/>
        </w:rPr>
      </w:pPr>
      <w:r>
        <w:rPr>
          <w:rFonts w:hint="eastAsia" w:ascii="宋体" w:hAnsi="宋体" w:cs="宋体"/>
          <w:b/>
          <w:sz w:val="24"/>
        </w:rPr>
        <w:t>2.磋商文件</w:t>
      </w:r>
    </w:p>
    <w:p w14:paraId="470ED765">
      <w:pPr>
        <w:pStyle w:val="208"/>
        <w:spacing w:before="0" w:after="0"/>
        <w:ind w:firstLine="0"/>
        <w:rPr>
          <w:rFonts w:ascii="宋体" w:hAnsi="宋体" w:cs="宋体"/>
          <w:b/>
        </w:rPr>
      </w:pPr>
      <w:r>
        <w:rPr>
          <w:rFonts w:hint="eastAsia" w:ascii="宋体" w:hAnsi="宋体" w:cs="宋体"/>
          <w:b/>
        </w:rPr>
        <w:t>3.采购人信用承诺</w:t>
      </w:r>
    </w:p>
    <w:p w14:paraId="45DAA18C">
      <w:pPr>
        <w:pStyle w:val="208"/>
        <w:spacing w:before="0" w:after="0"/>
        <w:ind w:firstLine="0"/>
        <w:jc w:val="center"/>
        <w:outlineLvl w:val="0"/>
        <w:rPr>
          <w:rFonts w:ascii="宋体" w:hAnsi="宋体" w:cs="宋体"/>
          <w:bCs/>
          <w:sz w:val="32"/>
          <w:szCs w:val="32"/>
        </w:rPr>
      </w:pPr>
      <w:r>
        <w:rPr>
          <w:rFonts w:hint="eastAsia" w:ascii="宋体" w:hAnsi="宋体" w:cs="宋体"/>
          <w:b/>
          <w:sz w:val="28"/>
          <w:szCs w:val="28"/>
        </w:rPr>
        <w:br w:type="page" w:clear="all"/>
      </w:r>
      <w:r>
        <w:rPr>
          <w:rFonts w:hint="eastAsia" w:ascii="宋体" w:hAnsi="宋体" w:cs="宋体"/>
          <w:b/>
          <w:sz w:val="32"/>
          <w:szCs w:val="32"/>
        </w:rPr>
        <w:t>第二章 磋商须知</w:t>
      </w:r>
    </w:p>
    <w:p w14:paraId="4F9EE88A">
      <w:pPr>
        <w:spacing w:line="360" w:lineRule="auto"/>
        <w:ind w:firstLine="548"/>
        <w:outlineLvl w:val="1"/>
        <w:rPr>
          <w:rFonts w:ascii="宋体" w:hAnsi="宋体" w:cs="宋体"/>
          <w:sz w:val="24"/>
        </w:rPr>
      </w:pPr>
      <w:r>
        <w:rPr>
          <w:rFonts w:hint="eastAsia" w:ascii="宋体" w:hAnsi="宋体" w:cs="宋体"/>
          <w:sz w:val="24"/>
        </w:rPr>
        <w:t>1. 参加磋商费用</w:t>
      </w:r>
    </w:p>
    <w:p w14:paraId="0237179F">
      <w:pPr>
        <w:tabs>
          <w:tab w:val="left" w:pos="900"/>
        </w:tabs>
        <w:spacing w:line="360" w:lineRule="auto"/>
        <w:ind w:firstLine="560"/>
        <w:rPr>
          <w:rFonts w:ascii="宋体" w:hAnsi="宋体" w:cs="宋体"/>
          <w:sz w:val="24"/>
        </w:rPr>
      </w:pPr>
      <w:r>
        <w:rPr>
          <w:rFonts w:hint="eastAsia" w:ascii="宋体" w:hAnsi="宋体" w:cs="宋体"/>
          <w:sz w:val="24"/>
        </w:rPr>
        <w:t>参加竞争性磋商活动的供应商，应自行承担所有与准备和参加竞争性磋商活动有关的费用，无论磋商过程中做法和结果如何，采购人或者代理机构在任何情况下均无义务和责任承担这些费用。</w:t>
      </w:r>
    </w:p>
    <w:p w14:paraId="76DCFB64">
      <w:pPr>
        <w:tabs>
          <w:tab w:val="left" w:pos="900"/>
        </w:tabs>
        <w:spacing w:line="360" w:lineRule="auto"/>
        <w:ind w:firstLine="557"/>
        <w:outlineLvl w:val="1"/>
        <w:rPr>
          <w:rFonts w:ascii="宋体" w:hAnsi="宋体" w:cs="宋体"/>
          <w:sz w:val="24"/>
        </w:rPr>
      </w:pPr>
      <w:r>
        <w:rPr>
          <w:rFonts w:hint="eastAsia" w:ascii="宋体" w:hAnsi="宋体" w:cs="宋体"/>
          <w:sz w:val="24"/>
        </w:rPr>
        <w:t>2. 磋商文件的约束力</w:t>
      </w:r>
    </w:p>
    <w:p w14:paraId="457B2B0E">
      <w:pPr>
        <w:tabs>
          <w:tab w:val="left" w:pos="900"/>
        </w:tabs>
        <w:spacing w:line="360" w:lineRule="auto"/>
        <w:ind w:left="120" w:firstLine="557"/>
        <w:rPr>
          <w:rFonts w:ascii="宋体" w:hAnsi="宋体" w:cs="宋体"/>
          <w:sz w:val="24"/>
        </w:rPr>
      </w:pPr>
      <w:r>
        <w:rPr>
          <w:rFonts w:hint="eastAsia" w:ascii="宋体" w:hAnsi="宋体" w:cs="宋体"/>
          <w:sz w:val="24"/>
        </w:rPr>
        <w:t>2.1供应商一旦参加本项目磋商活动，即被认为接受了本磋商文件的规定和约束。本磋商文件由磋商公告、磋商须知、采购需求、合同文本、评审标准和评审方法、响应文件组成，以及</w:t>
      </w:r>
      <w:r>
        <w:rPr>
          <w:rFonts w:hint="eastAsia" w:ascii="宋体" w:hAnsi="宋体" w:cs="宋体"/>
          <w:bCs/>
          <w:sz w:val="24"/>
        </w:rPr>
        <w:t>“苏采云”系统相关要求</w:t>
      </w:r>
      <w:r>
        <w:rPr>
          <w:rFonts w:hint="eastAsia" w:ascii="宋体" w:hAnsi="宋体" w:cs="宋体"/>
          <w:sz w:val="24"/>
        </w:rPr>
        <w:t>等部分组成。</w:t>
      </w:r>
    </w:p>
    <w:p w14:paraId="73457253">
      <w:pPr>
        <w:tabs>
          <w:tab w:val="left" w:pos="900"/>
        </w:tabs>
        <w:spacing w:line="360" w:lineRule="auto"/>
        <w:ind w:firstLine="697"/>
        <w:rPr>
          <w:rFonts w:ascii="宋体" w:hAnsi="宋体" w:cs="宋体"/>
          <w:sz w:val="24"/>
        </w:rPr>
      </w:pPr>
      <w:r>
        <w:rPr>
          <w:rFonts w:hint="eastAsia" w:ascii="宋体" w:hAnsi="宋体" w:cs="宋体"/>
          <w:sz w:val="24"/>
        </w:rPr>
        <w:t>2.2提交首次响应文件截止之日前，采购人、采购代理机构或者磋商小组可以对已发出的磋商文件进行必要的澄清或者修改，通过“苏采云”系统发布澄清公告或者修改的内容，并以所发布的本项目的“更正（澄清）公告”的形式通知所有获取采购文件的潜在供应商。敬请各潜在供应商关注本项目的“更正（澄清）公告”，并通过“苏采云”系统重新下载更正（澄清）后的采购文件（后缀名为“.kedt”），离线编制响应文件，否则，将自行承担相应的风险。</w:t>
      </w:r>
    </w:p>
    <w:p w14:paraId="056D427A">
      <w:pPr>
        <w:tabs>
          <w:tab w:val="left" w:pos="900"/>
        </w:tabs>
        <w:spacing w:line="360" w:lineRule="auto"/>
        <w:ind w:firstLine="697"/>
        <w:rPr>
          <w:rFonts w:ascii="宋体" w:hAnsi="宋体" w:cs="宋体"/>
          <w:sz w:val="24"/>
        </w:rPr>
      </w:pPr>
      <w:r>
        <w:rPr>
          <w:rFonts w:hint="eastAsia" w:ascii="宋体" w:hAnsi="宋体" w:cs="宋体"/>
          <w:sz w:val="24"/>
        </w:rPr>
        <w:t>2.3 澄清或者修改的内容可能影响响应文件编制的，采购人、采购代理机构应当在提交首次响应文件截止时间至少5日前，以发布更正公告形式通知所有获取磋商文件的供应商；不足5日的，采购人、采购代理机构应当顺延提交首次响应文件截止时间。</w:t>
      </w:r>
    </w:p>
    <w:p w14:paraId="44160296">
      <w:pPr>
        <w:spacing w:line="360" w:lineRule="auto"/>
        <w:ind w:firstLine="560"/>
        <w:outlineLvl w:val="1"/>
        <w:rPr>
          <w:rFonts w:ascii="宋体" w:hAnsi="宋体" w:cs="宋体"/>
          <w:sz w:val="24"/>
        </w:rPr>
      </w:pPr>
      <w:r>
        <w:rPr>
          <w:rFonts w:hint="eastAsia" w:ascii="宋体" w:hAnsi="宋体" w:cs="宋体"/>
          <w:sz w:val="24"/>
        </w:rPr>
        <w:t>3.响应文件编制</w:t>
      </w:r>
    </w:p>
    <w:p w14:paraId="55764414">
      <w:pPr>
        <w:spacing w:line="360" w:lineRule="auto"/>
        <w:ind w:firstLine="560"/>
        <w:rPr>
          <w:rFonts w:ascii="宋体" w:hAnsi="宋体" w:cs="宋体"/>
          <w:sz w:val="24"/>
        </w:rPr>
      </w:pPr>
      <w:r>
        <w:rPr>
          <w:rFonts w:hint="eastAsia" w:ascii="宋体" w:hAnsi="宋体" w:cs="宋体"/>
          <w:sz w:val="24"/>
        </w:rPr>
        <w:t>3.1 供应商应认真阅读竞争性磋商文件中所有的事项、格式、条款和规范等要求。按竞争性磋商文件要求和规定编制响应文件，并保证所提供的全部资料的真实性，以使其响应文件对磋商文件作出实质性响应，否则其风险由供应商自行承担。</w:t>
      </w:r>
    </w:p>
    <w:p w14:paraId="2A01B189">
      <w:pPr>
        <w:spacing w:line="360" w:lineRule="auto"/>
        <w:ind w:firstLine="560"/>
        <w:rPr>
          <w:rFonts w:ascii="宋体" w:hAnsi="宋体" w:cs="宋体"/>
          <w:sz w:val="24"/>
        </w:rPr>
      </w:pPr>
      <w:r>
        <w:rPr>
          <w:rFonts w:hint="eastAsia" w:ascii="宋体" w:hAnsi="宋体" w:cs="宋体"/>
          <w:sz w:val="24"/>
        </w:rPr>
        <w:t xml:space="preserve">3.2 </w:t>
      </w:r>
      <w:r>
        <w:rPr>
          <w:rFonts w:hint="eastAsia" w:ascii="宋体" w:hAnsi="宋体" w:cs="宋体"/>
          <w:bCs/>
          <w:sz w:val="24"/>
        </w:rPr>
        <w:t>除技术性能另有规定外，响应文件所使用的度量衡单位，均须采用国家法定计量单位</w:t>
      </w:r>
      <w:r>
        <w:rPr>
          <w:rFonts w:hint="eastAsia" w:ascii="宋体" w:hAnsi="宋体" w:cs="宋体"/>
          <w:sz w:val="24"/>
        </w:rPr>
        <w:t>。</w:t>
      </w:r>
    </w:p>
    <w:p w14:paraId="2B629ABF">
      <w:pPr>
        <w:tabs>
          <w:tab w:val="left" w:pos="900"/>
        </w:tabs>
        <w:spacing w:line="360" w:lineRule="auto"/>
        <w:ind w:firstLine="697"/>
        <w:rPr>
          <w:rFonts w:ascii="宋体" w:hAnsi="宋体" w:cs="宋体"/>
          <w:sz w:val="24"/>
        </w:rPr>
      </w:pPr>
      <w:r>
        <w:rPr>
          <w:rFonts w:hint="eastAsia" w:ascii="宋体" w:hAnsi="宋体" w:cs="宋体"/>
          <w:bCs/>
          <w:sz w:val="24"/>
        </w:rPr>
        <w:t>3.3 供应商编写的响应文件应包括资格审查文件、商务技术文件、报价文件等部分，具体按照“第6章 响应文件组成”要求编写</w:t>
      </w:r>
      <w:r>
        <w:rPr>
          <w:rFonts w:hint="eastAsia" w:ascii="宋体" w:hAnsi="宋体" w:cs="宋体"/>
          <w:sz w:val="24"/>
        </w:rPr>
        <w:t>。</w:t>
      </w:r>
    </w:p>
    <w:p w14:paraId="64A4A41C">
      <w:pPr>
        <w:spacing w:line="360" w:lineRule="auto"/>
        <w:ind w:firstLine="560"/>
        <w:outlineLvl w:val="1"/>
        <w:rPr>
          <w:rFonts w:ascii="宋体" w:hAnsi="宋体" w:cs="宋体"/>
          <w:sz w:val="24"/>
        </w:rPr>
      </w:pPr>
      <w:r>
        <w:rPr>
          <w:rFonts w:hint="eastAsia" w:ascii="宋体" w:hAnsi="宋体" w:cs="宋体"/>
          <w:sz w:val="24"/>
        </w:rPr>
        <w:t>4.响应文件提交、撤回和修改</w:t>
      </w:r>
    </w:p>
    <w:p w14:paraId="48D0397E">
      <w:pPr>
        <w:spacing w:line="360" w:lineRule="auto"/>
        <w:ind w:firstLine="560"/>
        <w:rPr>
          <w:rFonts w:ascii="宋体" w:hAnsi="宋体" w:cs="宋体"/>
          <w:bCs/>
          <w:sz w:val="24"/>
        </w:rPr>
      </w:pPr>
      <w:r>
        <w:rPr>
          <w:rFonts w:hint="eastAsia" w:ascii="宋体" w:hAnsi="宋体" w:cs="宋体"/>
          <w:sz w:val="24"/>
        </w:rPr>
        <w:t>4.1 供应商</w:t>
      </w:r>
      <w:r>
        <w:rPr>
          <w:rFonts w:hint="eastAsia" w:ascii="宋体" w:hAnsi="宋体" w:cs="宋体"/>
          <w:bCs/>
          <w:sz w:val="24"/>
        </w:rPr>
        <w:t>对CA证书妥善保管，如被他人盗用投标，因此带来的结果均由供应商自行承担。</w:t>
      </w:r>
    </w:p>
    <w:p w14:paraId="635DA38E">
      <w:pPr>
        <w:spacing w:line="360" w:lineRule="auto"/>
        <w:ind w:firstLine="560"/>
        <w:rPr>
          <w:rFonts w:ascii="宋体" w:hAnsi="宋体" w:cs="宋体"/>
          <w:bCs/>
          <w:sz w:val="24"/>
        </w:rPr>
      </w:pPr>
      <w:r>
        <w:rPr>
          <w:rFonts w:hint="eastAsia" w:ascii="宋体" w:hAnsi="宋体" w:cs="宋体"/>
          <w:sz w:val="24"/>
        </w:rPr>
        <w:t xml:space="preserve">4.2 </w:t>
      </w:r>
      <w:r>
        <w:rPr>
          <w:rFonts w:hint="eastAsia" w:ascii="宋体" w:hAnsi="宋体" w:cs="宋体"/>
          <w:bCs/>
          <w:sz w:val="24"/>
        </w:rPr>
        <w:t>供应商应当按照采购文件和“苏采云”系统的要求编制并加密投标文件。</w:t>
      </w:r>
    </w:p>
    <w:p w14:paraId="08EB0B3F">
      <w:pPr>
        <w:spacing w:line="360" w:lineRule="auto"/>
        <w:ind w:firstLine="560"/>
        <w:rPr>
          <w:rFonts w:ascii="宋体" w:hAnsi="宋体" w:cs="宋体"/>
          <w:bCs/>
          <w:sz w:val="24"/>
        </w:rPr>
      </w:pPr>
      <w:r>
        <w:rPr>
          <w:rFonts w:hint="eastAsia" w:ascii="宋体" w:hAnsi="宋体" w:cs="宋体"/>
          <w:bCs/>
          <w:sz w:val="24"/>
        </w:rPr>
        <w:t>4.3 供应商应当对采购文件提出的实质性要求和条件作出实质性响应，并在电子投标系统逐条应答。</w:t>
      </w:r>
    </w:p>
    <w:p w14:paraId="37270337">
      <w:pPr>
        <w:spacing w:line="360" w:lineRule="auto"/>
        <w:ind w:firstLine="560"/>
        <w:rPr>
          <w:rFonts w:ascii="宋体" w:hAnsi="宋体" w:cs="宋体"/>
          <w:bCs/>
          <w:sz w:val="24"/>
        </w:rPr>
      </w:pPr>
      <w:r>
        <w:rPr>
          <w:rFonts w:hint="eastAsia" w:ascii="宋体" w:hAnsi="宋体" w:cs="宋体"/>
          <w:bCs/>
          <w:sz w:val="24"/>
        </w:rPr>
        <w:t>4.4 供应商应对要求提供的资格证明文件（如资质证书、资格证书）、技术资料（如白皮书、彩页、手册、检测报告等）扫描上传至投标系统。</w:t>
      </w:r>
    </w:p>
    <w:p w14:paraId="58CB449D">
      <w:pPr>
        <w:spacing w:line="360" w:lineRule="auto"/>
        <w:ind w:firstLine="560"/>
        <w:rPr>
          <w:rFonts w:ascii="宋体" w:hAnsi="宋体" w:cs="宋体"/>
          <w:sz w:val="24"/>
        </w:rPr>
      </w:pPr>
      <w:r>
        <w:rPr>
          <w:rFonts w:hint="eastAsia" w:ascii="宋体" w:hAnsi="宋体" w:cs="宋体"/>
          <w:bCs/>
          <w:sz w:val="24"/>
        </w:rPr>
        <w:t>4.5 供应商须通过“苏采云”系统提供的政府采购客户端工具（使用“CA数字证书”）加盖电子签章，并对电子投标文件加密。未按规定加密的投标文件，“苏采云”系统拒收并提示。</w:t>
      </w:r>
    </w:p>
    <w:p w14:paraId="2D5E96AB">
      <w:pPr>
        <w:spacing w:line="360" w:lineRule="auto"/>
        <w:ind w:firstLine="560"/>
        <w:rPr>
          <w:rFonts w:ascii="宋体" w:hAnsi="宋体" w:cs="宋体"/>
          <w:bCs/>
          <w:sz w:val="24"/>
        </w:rPr>
      </w:pPr>
      <w:r>
        <w:rPr>
          <w:rFonts w:hint="eastAsia" w:ascii="宋体" w:hAnsi="宋体" w:cs="宋体"/>
          <w:bCs/>
          <w:sz w:val="24"/>
        </w:rPr>
        <w:t>4.6 供应商应当在投标文件提交截止时间前，通过“苏采云”系统提交电子投标文件。逾期提交的投标文件，“苏采云”系统将自动拒收。供应商应充分考虑到网络环境、网络带宽等风险因素，如因供应商自身原因造成的电子投标文件上传不成功由供应商自行承担全部责任。</w:t>
      </w:r>
    </w:p>
    <w:p w14:paraId="55924FF2">
      <w:pPr>
        <w:spacing w:line="360" w:lineRule="auto"/>
        <w:ind w:firstLine="560"/>
        <w:rPr>
          <w:rFonts w:ascii="宋体" w:hAnsi="宋体" w:cs="宋体"/>
          <w:bCs/>
          <w:sz w:val="24"/>
        </w:rPr>
      </w:pPr>
      <w:r>
        <w:rPr>
          <w:rFonts w:hint="eastAsia" w:ascii="宋体" w:hAnsi="宋体" w:cs="宋体"/>
          <w:bCs/>
          <w:sz w:val="24"/>
        </w:rPr>
        <w:t>4.7 供应商可在投标文件提交截止时间前，撤回其电子投标文件，具体操作方法见《江苏省政府采购管理交易系统（苏采云）供应商操作指南》。供应商撤回电子投标文件的，则认为其不再参与本项目招标活动。</w:t>
      </w:r>
    </w:p>
    <w:p w14:paraId="3A389859">
      <w:pPr>
        <w:spacing w:line="360" w:lineRule="auto"/>
        <w:ind w:firstLine="560"/>
        <w:rPr>
          <w:rFonts w:ascii="宋体" w:hAnsi="宋体" w:cs="宋体"/>
          <w:bCs/>
          <w:sz w:val="24"/>
        </w:rPr>
      </w:pPr>
      <w:r>
        <w:rPr>
          <w:rFonts w:hint="eastAsia" w:ascii="宋体" w:hAnsi="宋体" w:cs="宋体"/>
          <w:bCs/>
          <w:sz w:val="24"/>
        </w:rPr>
        <w:t>4.8供应商可在投标文件提交截止时间前，对其电子投标文件进行修改。在投标文件提交截止时间之后，供应商不得对其电子投标文件作任何修改。</w:t>
      </w:r>
    </w:p>
    <w:p w14:paraId="6C0A6BD6">
      <w:pPr>
        <w:spacing w:line="360" w:lineRule="auto"/>
        <w:ind w:firstLine="560"/>
        <w:rPr>
          <w:rFonts w:ascii="宋体" w:hAnsi="宋体" w:cs="宋体"/>
          <w:bCs/>
          <w:sz w:val="24"/>
        </w:rPr>
      </w:pPr>
      <w:r>
        <w:rPr>
          <w:rFonts w:hint="eastAsia" w:ascii="宋体" w:hAnsi="宋体" w:cs="宋体"/>
          <w:bCs/>
          <w:sz w:val="24"/>
        </w:rPr>
        <w:t>4.9 采购代理机构可以通过修改招标文件，酌情延长投标文件提交截止时间。</w:t>
      </w:r>
    </w:p>
    <w:p w14:paraId="1271B5AC">
      <w:pPr>
        <w:spacing w:line="360" w:lineRule="auto"/>
        <w:ind w:firstLine="560"/>
        <w:rPr>
          <w:rFonts w:ascii="宋体" w:hAnsi="宋体" w:cs="宋体"/>
          <w:sz w:val="24"/>
        </w:rPr>
      </w:pPr>
      <w:r>
        <w:rPr>
          <w:rFonts w:hint="eastAsia" w:ascii="宋体" w:hAnsi="宋体" w:cs="宋体"/>
          <w:sz w:val="24"/>
        </w:rPr>
        <w:t>4.10 投标文件的有效期：从提交投标文件截止日起90天。</w:t>
      </w:r>
    </w:p>
    <w:p w14:paraId="38B10466">
      <w:pPr>
        <w:tabs>
          <w:tab w:val="left" w:pos="900"/>
        </w:tabs>
        <w:spacing w:line="360" w:lineRule="auto"/>
        <w:ind w:firstLine="560"/>
        <w:outlineLvl w:val="1"/>
        <w:rPr>
          <w:rFonts w:ascii="宋体" w:hAnsi="宋体" w:cs="宋体"/>
          <w:sz w:val="24"/>
        </w:rPr>
      </w:pPr>
      <w:r>
        <w:rPr>
          <w:rFonts w:hint="eastAsia" w:ascii="宋体" w:hAnsi="宋体" w:cs="宋体"/>
          <w:sz w:val="24"/>
        </w:rPr>
        <w:t>5. 磋商</w:t>
      </w:r>
    </w:p>
    <w:p w14:paraId="0305E934">
      <w:pPr>
        <w:spacing w:line="360" w:lineRule="auto"/>
        <w:ind w:firstLine="560"/>
        <w:rPr>
          <w:rFonts w:ascii="宋体" w:hAnsi="宋体" w:cs="宋体"/>
          <w:sz w:val="24"/>
        </w:rPr>
      </w:pPr>
      <w:r>
        <w:rPr>
          <w:rFonts w:hint="eastAsia" w:ascii="宋体" w:hAnsi="宋体" w:cs="宋体"/>
          <w:sz w:val="24"/>
        </w:rPr>
        <w:t>5.1 采购人或者代理机构将在竞争性磋商公告中规定的时间和地点组织竞争性磋商活动。</w:t>
      </w:r>
    </w:p>
    <w:p w14:paraId="2CEC0680">
      <w:pPr>
        <w:spacing w:line="360" w:lineRule="auto"/>
        <w:ind w:firstLine="560"/>
        <w:rPr>
          <w:rFonts w:ascii="宋体" w:hAnsi="宋体" w:cs="宋体"/>
          <w:bCs/>
          <w:sz w:val="24"/>
        </w:rPr>
      </w:pPr>
      <w:r>
        <w:rPr>
          <w:rFonts w:hint="eastAsia" w:ascii="宋体" w:hAnsi="宋体" w:cs="宋体"/>
          <w:bCs/>
          <w:sz w:val="24"/>
        </w:rPr>
        <w:t>5.2竞争性磋商开始前，供应商使用CA数字证书登录“苏采云”系统，并根据开标会议区发出响应文件解密的指令，在30分钟之内使用CA数字证书解密各自响应文件。</w:t>
      </w:r>
    </w:p>
    <w:p w14:paraId="54875DC9">
      <w:pPr>
        <w:spacing w:line="360" w:lineRule="auto"/>
        <w:ind w:firstLine="560"/>
        <w:rPr>
          <w:rFonts w:ascii="宋体" w:hAnsi="宋体" w:cs="宋体"/>
          <w:bCs/>
          <w:sz w:val="24"/>
        </w:rPr>
      </w:pPr>
      <w:r>
        <w:rPr>
          <w:rFonts w:hint="eastAsia" w:ascii="宋体" w:hAnsi="宋体" w:cs="宋体"/>
          <w:bCs/>
          <w:sz w:val="24"/>
        </w:rPr>
        <w:t>5.3响应供应商因网络与电源不稳定、未按操作手册要求配置软硬件、解密锁发生故障或用错、故意不在要求时限内完成解密等自身原因，导致响应文件在规定时间内未能解密、解密失败或解密超时，视为响应供应商撤销其响应文件，系统内响应文件将被退回。</w:t>
      </w:r>
    </w:p>
    <w:p w14:paraId="060FFF82">
      <w:pPr>
        <w:spacing w:line="360" w:lineRule="auto"/>
        <w:ind w:firstLine="560"/>
        <w:rPr>
          <w:rFonts w:ascii="宋体" w:hAnsi="宋体" w:cs="宋体"/>
          <w:sz w:val="24"/>
        </w:rPr>
      </w:pPr>
      <w:r>
        <w:rPr>
          <w:rFonts w:hint="eastAsia" w:ascii="宋体" w:hAnsi="宋体" w:cs="宋体"/>
          <w:bCs/>
          <w:sz w:val="24"/>
        </w:rPr>
        <w:t>5.4因采购人原因或网上招投标平台发生故障，导致无法按时完成响应文件解密或评审工作无法进行的，可根据实际情况相应延迟解密时间或调整评审时间。</w:t>
      </w:r>
    </w:p>
    <w:p w14:paraId="3B90321F">
      <w:pPr>
        <w:spacing w:line="360" w:lineRule="auto"/>
        <w:ind w:firstLine="560"/>
        <w:rPr>
          <w:rFonts w:ascii="宋体" w:hAnsi="宋体" w:cs="宋体"/>
          <w:sz w:val="24"/>
        </w:rPr>
      </w:pPr>
      <w:r>
        <w:rPr>
          <w:rFonts w:hint="eastAsia" w:ascii="宋体" w:hAnsi="宋体" w:cs="宋体"/>
          <w:sz w:val="24"/>
        </w:rPr>
        <w:t>5.5 磋商小组由政府采购评审专家、采购人代表组成。评审专家不得以评审专家身份参加本部门或本单位采购项目的评审。达到公开招标限额标准的项目，磋商小组应当由5人以上单数组成。</w:t>
      </w:r>
    </w:p>
    <w:p w14:paraId="7465A67E">
      <w:pPr>
        <w:spacing w:line="360" w:lineRule="auto"/>
        <w:ind w:firstLine="560"/>
        <w:rPr>
          <w:rFonts w:ascii="宋体" w:hAnsi="宋体" w:cs="宋体"/>
          <w:sz w:val="24"/>
        </w:rPr>
      </w:pPr>
      <w:r>
        <w:rPr>
          <w:rFonts w:hint="eastAsia" w:ascii="宋体" w:hAnsi="宋体" w:cs="宋体"/>
          <w:sz w:val="24"/>
        </w:rPr>
        <w:t>5.6 磋商小组对响应文件的有效性、完整性和响应程度进行审查。磋商小组审查分为资格审查、符合性审查和综合评审。响应供应商未通过资格审查、符合性审查的，告知其具体原因。</w:t>
      </w:r>
    </w:p>
    <w:p w14:paraId="3469DA86">
      <w:pPr>
        <w:spacing w:line="360" w:lineRule="auto"/>
        <w:ind w:firstLine="560"/>
        <w:rPr>
          <w:rFonts w:ascii="宋体" w:hAnsi="宋体" w:cs="宋体"/>
          <w:sz w:val="24"/>
        </w:rPr>
      </w:pPr>
      <w:r>
        <w:rPr>
          <w:rFonts w:hint="eastAsia" w:ascii="宋体" w:hAnsi="宋体" w:cs="宋体"/>
          <w:sz w:val="24"/>
        </w:rPr>
        <w:t>5.7 磋商小组审查时，可以通过视频会议，要求供应商对响应文件中含义不明确、同类问题表述不一致或者有明显文字和计算错误的内容等作出必要的澄清、说明或者更正。</w:t>
      </w:r>
    </w:p>
    <w:p w14:paraId="3BBB1352">
      <w:pPr>
        <w:spacing w:line="360" w:lineRule="auto"/>
        <w:ind w:firstLine="560"/>
        <w:rPr>
          <w:rFonts w:ascii="宋体" w:hAnsi="宋体" w:cs="宋体"/>
          <w:sz w:val="24"/>
        </w:rPr>
      </w:pPr>
      <w:r>
        <w:rPr>
          <w:rFonts w:hint="eastAsia" w:ascii="宋体" w:hAnsi="宋体" w:cs="宋体"/>
          <w:sz w:val="24"/>
        </w:rPr>
        <w:t xml:space="preserve">5.8 </w:t>
      </w:r>
      <w:r>
        <w:rPr>
          <w:rFonts w:hint="eastAsia" w:ascii="宋体" w:hAnsi="宋体" w:cs="宋体"/>
          <w:bCs/>
          <w:sz w:val="24"/>
        </w:rPr>
        <w:t>接到澄清要求的供应商，应在磋商小组规定的时间内作出澄清，澄清的内容作为响应文件的补充部分，</w:t>
      </w:r>
      <w:r>
        <w:rPr>
          <w:rFonts w:hint="eastAsia" w:ascii="宋体" w:hAnsi="宋体" w:cs="宋体"/>
          <w:sz w:val="24"/>
        </w:rPr>
        <w:t>但澄清、说明或者更正不得超出响应文件的范围或者改变响应文件的实质性内容。</w:t>
      </w:r>
    </w:p>
    <w:p w14:paraId="32EF4497">
      <w:pPr>
        <w:spacing w:line="360" w:lineRule="auto"/>
        <w:ind w:firstLine="560"/>
        <w:rPr>
          <w:rFonts w:ascii="宋体" w:hAnsi="宋体" w:cs="宋体"/>
          <w:sz w:val="24"/>
        </w:rPr>
      </w:pPr>
      <w:r>
        <w:rPr>
          <w:rFonts w:hint="eastAsia" w:ascii="宋体" w:hAnsi="宋体" w:cs="宋体"/>
          <w:sz w:val="24"/>
        </w:rPr>
        <w:t xml:space="preserve">5.9 </w:t>
      </w:r>
      <w:r>
        <w:rPr>
          <w:rFonts w:hint="eastAsia" w:ascii="宋体" w:hAnsi="宋体" w:cs="宋体"/>
          <w:bCs/>
          <w:sz w:val="24"/>
        </w:rPr>
        <w:t>供应商在评审全过程中应保持通信畅通，并安排专人与采购人或采购代理机构及磋商小组联系</w:t>
      </w:r>
      <w:r>
        <w:rPr>
          <w:rFonts w:hint="eastAsia" w:ascii="宋体" w:hAnsi="宋体" w:cs="宋体"/>
          <w:sz w:val="24"/>
        </w:rPr>
        <w:t>。</w:t>
      </w:r>
    </w:p>
    <w:p w14:paraId="11D23A10">
      <w:pPr>
        <w:spacing w:line="360" w:lineRule="auto"/>
        <w:ind w:firstLine="560"/>
        <w:rPr>
          <w:rFonts w:ascii="宋体" w:hAnsi="宋体" w:cs="宋体"/>
          <w:sz w:val="24"/>
        </w:rPr>
      </w:pPr>
      <w:r>
        <w:rPr>
          <w:rFonts w:hint="eastAsia" w:ascii="宋体" w:hAnsi="宋体" w:cs="宋体"/>
          <w:sz w:val="24"/>
        </w:rPr>
        <w:t>5.10各响应供应商请关注开标大厅交流区，响应文件解密结束后，请勿离开开标大厅。在资格审查、符合性审查和综合评审结束后，根据采购人或采购代理机构通知，须在20分钟内填写并提交最后报价。未在规定时间内提交最后报价的，视为退出磋商。</w:t>
      </w:r>
    </w:p>
    <w:p w14:paraId="20B831A0">
      <w:pPr>
        <w:spacing w:line="360" w:lineRule="auto"/>
        <w:ind w:firstLine="560"/>
        <w:rPr>
          <w:rFonts w:ascii="宋体" w:hAnsi="宋体" w:cs="宋体"/>
          <w:sz w:val="24"/>
          <w:highlight w:val="magenta"/>
        </w:rPr>
      </w:pPr>
      <w:r>
        <w:rPr>
          <w:rFonts w:hint="eastAsia" w:ascii="宋体" w:hAnsi="宋体" w:cs="宋体"/>
          <w:sz w:val="24"/>
        </w:rPr>
        <w:t>5.11在磋商过程中，磋商小组可以根据磋商文件和磋商情况实质性变动采购需求中的技术、服务要求以及合同草案条款。对磋商文件作出的实质性变动是磋商文件的有效组成部分，磋商小组及时以书面形式通知所有参加磋商的供应商。供应商应当按照磋商文件的变动情况和磋商小组的要求重新提交响应文件。</w:t>
      </w:r>
    </w:p>
    <w:p w14:paraId="6145807B">
      <w:pPr>
        <w:spacing w:line="360" w:lineRule="auto"/>
        <w:ind w:firstLine="560"/>
        <w:rPr>
          <w:rFonts w:ascii="宋体" w:hAnsi="宋体" w:cs="宋体"/>
          <w:b/>
          <w:sz w:val="24"/>
        </w:rPr>
      </w:pPr>
      <w:r>
        <w:rPr>
          <w:rFonts w:hint="eastAsia" w:ascii="宋体" w:hAnsi="宋体" w:cs="宋体"/>
          <w:sz w:val="24"/>
        </w:rPr>
        <w:t>5.12需经磋商由供应商提供最终设计方案或解决方案的，磋商结束后，磋商小组按照少数服从多数的原则投票推荐3家以上供应商在规定时间内提交最后报价。</w:t>
      </w:r>
    </w:p>
    <w:p w14:paraId="6FA0F40C">
      <w:pPr>
        <w:spacing w:line="360" w:lineRule="auto"/>
        <w:ind w:firstLine="560"/>
        <w:rPr>
          <w:rFonts w:ascii="宋体" w:hAnsi="宋体" w:cs="宋体"/>
          <w:sz w:val="24"/>
        </w:rPr>
      </w:pPr>
      <w:r>
        <w:rPr>
          <w:rFonts w:hint="eastAsia" w:ascii="宋体" w:hAnsi="宋体" w:cs="宋体"/>
          <w:sz w:val="24"/>
        </w:rPr>
        <w:t xml:space="preserve">5.13 </w:t>
      </w:r>
      <w:r>
        <w:rPr>
          <w:rFonts w:hint="eastAsia" w:ascii="宋体" w:hAnsi="宋体" w:cs="宋体"/>
          <w:bCs/>
          <w:sz w:val="24"/>
        </w:rPr>
        <w:t>接到澄清要求的供应商，应在评标委员会规定的时间内作出澄清，澄清的内容作为投标文件的补充部分，</w:t>
      </w:r>
      <w:r>
        <w:rPr>
          <w:rFonts w:hint="eastAsia" w:ascii="宋体" w:hAnsi="宋体" w:cs="宋体"/>
          <w:sz w:val="24"/>
        </w:rPr>
        <w:t>但澄清、说明或者更正不得超出投标文件的范围或者改变投标文件的实质性内容。</w:t>
      </w:r>
    </w:p>
    <w:p w14:paraId="70C0E91F">
      <w:pPr>
        <w:spacing w:line="360" w:lineRule="auto"/>
        <w:ind w:firstLine="560"/>
        <w:rPr>
          <w:rFonts w:ascii="宋体" w:hAnsi="宋体" w:cs="宋体"/>
          <w:sz w:val="24"/>
        </w:rPr>
      </w:pPr>
      <w:r>
        <w:rPr>
          <w:rFonts w:hint="eastAsia" w:ascii="宋体" w:hAnsi="宋体" w:cs="宋体"/>
          <w:sz w:val="24"/>
        </w:rPr>
        <w:t xml:space="preserve">5.14出现下列情形之一的，评标委员会应当启动异常低价投标审查程序： </w:t>
      </w:r>
    </w:p>
    <w:p w14:paraId="3242AD40">
      <w:pPr>
        <w:spacing w:line="360" w:lineRule="auto"/>
        <w:ind w:firstLine="562"/>
        <w:rPr>
          <w:rFonts w:ascii="宋体" w:hAnsi="宋体" w:cs="宋体"/>
          <w:b/>
          <w:bCs/>
          <w:sz w:val="24"/>
        </w:rPr>
      </w:pPr>
      <w:r>
        <w:rPr>
          <w:rFonts w:hint="eastAsia" w:ascii="宋体" w:hAnsi="宋体" w:cs="宋体"/>
          <w:b/>
          <w:bCs/>
          <w:sz w:val="24"/>
        </w:rPr>
        <w:t>5.14.1.投标报价低于全部通过符合性审查供应商投标报价平均值50%的，即投标报价&lt;全部通过符合性审查供应商投标报价平均值×50%；</w:t>
      </w:r>
    </w:p>
    <w:p w14:paraId="68DB46D8">
      <w:pPr>
        <w:spacing w:line="360" w:lineRule="auto"/>
        <w:ind w:firstLine="562"/>
        <w:rPr>
          <w:rFonts w:ascii="宋体" w:hAnsi="宋体" w:cs="宋体"/>
          <w:b/>
          <w:bCs/>
          <w:sz w:val="24"/>
        </w:rPr>
      </w:pPr>
      <w:r>
        <w:rPr>
          <w:rFonts w:hint="eastAsia" w:ascii="宋体" w:hAnsi="宋体" w:cs="宋体"/>
          <w:b/>
          <w:bCs/>
          <w:sz w:val="24"/>
        </w:rPr>
        <w:t>5.14.2.投标报价低于通过符合性审查的次低报价供应商投标报价50%的，即投标报价&lt;通过符合性审查的次低报价供应商投标报价×50%；</w:t>
      </w:r>
    </w:p>
    <w:p w14:paraId="35ED163D">
      <w:pPr>
        <w:spacing w:line="360" w:lineRule="auto"/>
        <w:ind w:firstLine="562"/>
        <w:rPr>
          <w:rFonts w:ascii="宋体" w:hAnsi="宋体" w:cs="宋体"/>
          <w:b/>
          <w:bCs/>
          <w:sz w:val="24"/>
        </w:rPr>
      </w:pPr>
      <w:r>
        <w:rPr>
          <w:rFonts w:hint="eastAsia" w:ascii="宋体" w:hAnsi="宋体" w:cs="宋体"/>
          <w:b/>
          <w:bCs/>
          <w:sz w:val="24"/>
        </w:rPr>
        <w:t>5.14.3.投标报价低于采购项目最高限价45%的，即投标报价&lt;采购项目最高限价×45%；</w:t>
      </w:r>
    </w:p>
    <w:p w14:paraId="48619CB4">
      <w:pPr>
        <w:spacing w:line="360" w:lineRule="auto"/>
        <w:ind w:firstLine="562"/>
        <w:rPr>
          <w:rFonts w:ascii="宋体" w:hAnsi="宋体" w:cs="宋体"/>
          <w:b/>
          <w:bCs/>
          <w:sz w:val="24"/>
        </w:rPr>
      </w:pPr>
      <w:r>
        <w:rPr>
          <w:rFonts w:hint="eastAsia" w:ascii="宋体" w:hAnsi="宋体" w:cs="宋体"/>
          <w:b/>
          <w:bCs/>
          <w:sz w:val="24"/>
        </w:rPr>
        <w:t>5.14.4.评标委员会基于专业判断，认为供应商报价过低，有可能影响产品质量或者不能诚信履约的其他情形。</w:t>
      </w:r>
    </w:p>
    <w:p w14:paraId="1DA23350">
      <w:pPr>
        <w:spacing w:line="360" w:lineRule="auto"/>
        <w:ind w:firstLine="560"/>
        <w:rPr>
          <w:rFonts w:ascii="宋体" w:hAnsi="宋体" w:cs="宋体"/>
          <w:sz w:val="24"/>
        </w:rPr>
      </w:pPr>
      <w:r>
        <w:rPr>
          <w:rFonts w:hint="eastAsia" w:ascii="宋体" w:hAnsi="宋体" w:cs="宋体"/>
          <w:sz w:val="24"/>
        </w:rPr>
        <w:t>评标委员会应当要求相关供应商在评审现场不少于30分钟时间内对投标价格作出解释，并提供项目具体成本测算等与报价合理性相关的书面说明及必要的证明材料，包括但不限于原材料成本、人工成本、制造费用等。</w:t>
      </w:r>
    </w:p>
    <w:p w14:paraId="6EB80B68">
      <w:pPr>
        <w:spacing w:line="360" w:lineRule="auto"/>
        <w:ind w:firstLine="560"/>
        <w:rPr>
          <w:rFonts w:ascii="宋体" w:hAnsi="宋体" w:cs="宋体"/>
          <w:sz w:val="24"/>
        </w:rPr>
      </w:pPr>
      <w:r>
        <w:rPr>
          <w:rFonts w:hint="eastAsia" w:ascii="宋体" w:hAnsi="宋体" w:cs="宋体"/>
          <w:sz w:val="24"/>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7A3F4ECD">
      <w:pPr>
        <w:spacing w:line="360" w:lineRule="auto"/>
        <w:ind w:firstLine="560"/>
        <w:outlineLvl w:val="1"/>
        <w:rPr>
          <w:rFonts w:ascii="宋体" w:hAnsi="宋体" w:cs="宋体"/>
          <w:bCs/>
          <w:sz w:val="24"/>
        </w:rPr>
      </w:pPr>
      <w:r>
        <w:rPr>
          <w:rFonts w:hint="eastAsia" w:ascii="宋体" w:hAnsi="宋体" w:cs="宋体"/>
          <w:bCs/>
          <w:sz w:val="24"/>
        </w:rPr>
        <w:t>6.成交和合同</w:t>
      </w:r>
    </w:p>
    <w:p w14:paraId="313A2BBA">
      <w:pPr>
        <w:spacing w:line="360" w:lineRule="auto"/>
        <w:ind w:firstLine="560"/>
        <w:rPr>
          <w:rFonts w:ascii="宋体" w:hAnsi="宋体" w:cs="宋体"/>
          <w:sz w:val="24"/>
        </w:rPr>
      </w:pPr>
      <w:r>
        <w:rPr>
          <w:rFonts w:hint="eastAsia" w:ascii="宋体" w:hAnsi="宋体" w:cs="宋体"/>
          <w:sz w:val="24"/>
        </w:rPr>
        <w:t>6.1 磋商小组应当根据综合评分情况，按照评审得分由高到低顺序推荐3名以上成交候选供应商。对于市场竞争不充分的科研项目、需要扶持的科技成果转化项目以及政府购买服务项目，可以推荐2家成交候选供应商。评审得分相同的，按照最后报价由低到高的顺序推荐。评审得分且最后报价相同的，按照技术指标优劣顺序推荐。</w:t>
      </w:r>
    </w:p>
    <w:p w14:paraId="628ACA0F">
      <w:pPr>
        <w:spacing w:line="360" w:lineRule="auto"/>
        <w:ind w:firstLine="560"/>
        <w:rPr>
          <w:rFonts w:ascii="宋体" w:hAnsi="宋体" w:cs="宋体"/>
          <w:sz w:val="24"/>
        </w:rPr>
      </w:pPr>
      <w:r>
        <w:rPr>
          <w:rFonts w:hint="eastAsia" w:ascii="宋体" w:hAnsi="宋体" w:cs="宋体"/>
          <w:sz w:val="24"/>
        </w:rPr>
        <w:t>6.2 除资格性检查认定错误、分值汇总计算错误、分项评分超出评分标准范围、客观分评分不一致，或者经磋商小组一致认定评分畸高、畸低的情形外，采购人或者采购代理机构不得以任何理由组织重新评审。</w:t>
      </w:r>
    </w:p>
    <w:p w14:paraId="525B34D3">
      <w:pPr>
        <w:spacing w:line="360" w:lineRule="auto"/>
        <w:ind w:firstLine="560"/>
        <w:rPr>
          <w:rFonts w:ascii="宋体" w:hAnsi="宋体" w:cs="宋体"/>
          <w:sz w:val="24"/>
        </w:rPr>
      </w:pPr>
      <w:r>
        <w:rPr>
          <w:rFonts w:hint="eastAsia" w:ascii="宋体" w:hAnsi="宋体" w:cs="宋体"/>
          <w:sz w:val="24"/>
        </w:rPr>
        <w:t>6.3 采购人与成交供应商应当在成交通知书发出之日起30日内，按照采购文件确定的合同文本以及采购标的、规格型号、采购金额、采购数量、技术和服务要求等事项签订政府采购合同。</w:t>
      </w:r>
    </w:p>
    <w:p w14:paraId="774BB00B">
      <w:pPr>
        <w:spacing w:line="360" w:lineRule="auto"/>
        <w:ind w:firstLine="560"/>
        <w:rPr>
          <w:rFonts w:ascii="宋体" w:hAnsi="宋体" w:cs="宋体"/>
          <w:sz w:val="24"/>
        </w:rPr>
      </w:pPr>
      <w:r>
        <w:rPr>
          <w:rFonts w:hint="eastAsia" w:ascii="宋体" w:hAnsi="宋体" w:cs="宋体"/>
          <w:sz w:val="24"/>
        </w:rPr>
        <w:t>6.4 采购人不得向成交供应商提出超出采购文件以外的任何要求作为签订合同的条件，不得与成交供应商订立背离采购文件确定的合同文本以及采购标的、规格型号、采购金额、采购数量、技术和服务要求等实质性内容的协议。</w:t>
      </w:r>
    </w:p>
    <w:p w14:paraId="7535C5B6">
      <w:pPr>
        <w:spacing w:line="360" w:lineRule="auto"/>
        <w:ind w:firstLine="560"/>
        <w:rPr>
          <w:rFonts w:ascii="宋体" w:hAnsi="宋体" w:cs="宋体"/>
          <w:sz w:val="24"/>
        </w:rPr>
      </w:pPr>
      <w:r>
        <w:rPr>
          <w:rFonts w:hint="eastAsia" w:ascii="宋体" w:hAnsi="宋体" w:cs="宋体"/>
          <w:sz w:val="24"/>
        </w:rPr>
        <w:t>6.5 除不可抗力等因素外，成交通知书发出后，采购人改变成交结果，或者成交供应商拒绝签订政府采购合同的，应当承担相应的法律责任。拒绝签订政府采购合同的成交供应商不得参加对该项目重新开展的采购活动。</w:t>
      </w:r>
    </w:p>
    <w:p w14:paraId="3FFA2712">
      <w:pPr>
        <w:spacing w:line="360" w:lineRule="auto"/>
        <w:ind w:firstLine="560"/>
        <w:rPr>
          <w:rFonts w:ascii="宋体" w:hAnsi="宋体" w:cs="宋体"/>
          <w:sz w:val="24"/>
        </w:rPr>
      </w:pPr>
      <w:r>
        <w:rPr>
          <w:rFonts w:hint="eastAsia" w:ascii="宋体" w:hAnsi="宋体" w:cs="宋体"/>
          <w:sz w:val="24"/>
        </w:rPr>
        <w:t>6.6采购人与成交供应商应当根据合同的约定依法履行合同义务。政府采购合同的履行、违约责任和解决争议的方法等适用《中华人民共和国民法典》。</w:t>
      </w:r>
    </w:p>
    <w:p w14:paraId="05CB14C8">
      <w:pPr>
        <w:spacing w:line="360" w:lineRule="auto"/>
        <w:ind w:firstLine="560"/>
        <w:outlineLvl w:val="1"/>
        <w:rPr>
          <w:rFonts w:ascii="宋体" w:hAnsi="宋体" w:cs="宋体"/>
          <w:bCs/>
          <w:sz w:val="24"/>
        </w:rPr>
      </w:pPr>
      <w:r>
        <w:rPr>
          <w:rFonts w:hint="eastAsia" w:ascii="宋体" w:hAnsi="宋体" w:cs="宋体"/>
          <w:bCs/>
          <w:sz w:val="24"/>
        </w:rPr>
        <w:t>7.政府采购政策功能落实</w:t>
      </w:r>
    </w:p>
    <w:p w14:paraId="0AA959D9">
      <w:pPr>
        <w:spacing w:line="360" w:lineRule="auto"/>
        <w:ind w:firstLine="560"/>
        <w:rPr>
          <w:rFonts w:ascii="宋体" w:hAnsi="宋体" w:cs="宋体"/>
          <w:sz w:val="24"/>
        </w:rPr>
      </w:pPr>
      <w:r>
        <w:rPr>
          <w:rFonts w:hint="eastAsia" w:ascii="宋体" w:hAnsi="宋体" w:cs="宋体"/>
          <w:sz w:val="24"/>
        </w:rPr>
        <w:t>7.1 对于非专门面向中小企业采购的项目，小微型企业享受价格扣除优惠。</w:t>
      </w:r>
    </w:p>
    <w:p w14:paraId="306C5099">
      <w:pPr>
        <w:spacing w:line="360" w:lineRule="auto"/>
        <w:ind w:firstLine="560"/>
        <w:rPr>
          <w:rFonts w:ascii="宋体" w:hAnsi="宋体" w:cs="宋体"/>
          <w:sz w:val="24"/>
        </w:rPr>
      </w:pPr>
      <w:r>
        <w:rPr>
          <w:rFonts w:hint="eastAsia" w:ascii="宋体" w:hAnsi="宋体" w:cs="宋体"/>
          <w:sz w:val="24"/>
        </w:rPr>
        <w:t>7.1.1 货物类或者服务类采购项目，采购人、采购代理机构应当对符合《政府采购促进中小企业发展管理办法》（财库〔2020〕46号）规定的小微企业报价给予10%的扣除；工程类采购项目，给予3%的扣除，给予用扣除后的价格参加评审。</w:t>
      </w:r>
    </w:p>
    <w:p w14:paraId="229E77D6">
      <w:pPr>
        <w:spacing w:line="360" w:lineRule="auto"/>
        <w:ind w:firstLine="560"/>
        <w:rPr>
          <w:rFonts w:ascii="宋体" w:hAnsi="宋体" w:cs="宋体"/>
          <w:sz w:val="24"/>
        </w:rPr>
      </w:pPr>
      <w:r>
        <w:rPr>
          <w:rFonts w:hint="eastAsia" w:ascii="宋体" w:hAnsi="宋体" w:cs="宋体"/>
          <w:sz w:val="24"/>
        </w:rPr>
        <w:t>7.1.2接受大中型企业与小微企业组成联合体或者允许大中型企业向一家或者多家小微企业分包的货物类或者服务类采购项目，对于联合协议或者分包意向协议约定小微企业的合同份额占到合同总金额 30%以上的，采购人、采购代理机构应当对联合体或者大中型企业的报价给予 4%的扣除；工程类采购项目，给予1%的扣除，用扣除后的价格参加评审。组成联合体或者接受分包的小微企业与联合体内其他企业、分包企业之间存在直接控股、管理关系的，不享受价格扣除优惠政策。</w:t>
      </w:r>
    </w:p>
    <w:p w14:paraId="08A55BA8">
      <w:pPr>
        <w:spacing w:line="360" w:lineRule="auto"/>
        <w:ind w:firstLine="560"/>
        <w:rPr>
          <w:rFonts w:ascii="宋体" w:hAnsi="宋体" w:cs="宋体"/>
          <w:sz w:val="24"/>
        </w:rPr>
      </w:pPr>
      <w:r>
        <w:rPr>
          <w:rFonts w:hint="eastAsia" w:ascii="宋体" w:hAnsi="宋体" w:cs="宋体"/>
          <w:sz w:val="24"/>
        </w:rPr>
        <w:t>7.1.3价格扣除比例或者价格分加分比例对小型企业和微型企业同等对待，不作区分。</w:t>
      </w:r>
    </w:p>
    <w:p w14:paraId="4A3AF8C6">
      <w:pPr>
        <w:spacing w:line="360" w:lineRule="auto"/>
        <w:ind w:firstLine="560"/>
        <w:rPr>
          <w:rFonts w:ascii="宋体" w:hAnsi="宋体" w:cs="宋体"/>
          <w:sz w:val="24"/>
        </w:rPr>
      </w:pPr>
      <w:r>
        <w:rPr>
          <w:rFonts w:hint="eastAsia" w:ascii="宋体" w:hAnsi="宋体" w:cs="宋体"/>
          <w:sz w:val="24"/>
        </w:rPr>
        <w:t>7.1.4 在政府采购活动中，供应商提供的货物、工程或者服务符合下列情形的，享受价格扣除政策：</w:t>
      </w:r>
    </w:p>
    <w:p w14:paraId="47408BE9">
      <w:pPr>
        <w:spacing w:line="360" w:lineRule="auto"/>
        <w:ind w:firstLine="560"/>
        <w:rPr>
          <w:rFonts w:ascii="宋体" w:hAnsi="宋体" w:cs="宋体"/>
          <w:sz w:val="24"/>
        </w:rPr>
      </w:pPr>
      <w:r>
        <w:rPr>
          <w:rFonts w:hint="eastAsia" w:ascii="宋体" w:hAnsi="宋体" w:cs="宋体"/>
          <w:sz w:val="24"/>
        </w:rPr>
        <w:t>7.1.4.1在货物采购项目中，货物由小微企业制造，即货物由小微企业生产且使用该小微企业商号或者注册商标；</w:t>
      </w:r>
    </w:p>
    <w:p w14:paraId="674CEAB0">
      <w:pPr>
        <w:spacing w:line="360" w:lineRule="auto"/>
        <w:ind w:firstLine="560"/>
        <w:rPr>
          <w:rFonts w:ascii="宋体" w:hAnsi="宋体" w:cs="宋体"/>
          <w:sz w:val="24"/>
        </w:rPr>
      </w:pPr>
      <w:r>
        <w:rPr>
          <w:rFonts w:hint="eastAsia" w:ascii="宋体" w:hAnsi="宋体" w:cs="宋体"/>
          <w:sz w:val="24"/>
        </w:rPr>
        <w:t>7.1.4.2在工程采购项目中，工程由小微企业承建，即工程施工单位为小微企业；</w:t>
      </w:r>
    </w:p>
    <w:p w14:paraId="37E86134">
      <w:pPr>
        <w:spacing w:line="360" w:lineRule="auto"/>
        <w:ind w:firstLine="560"/>
        <w:rPr>
          <w:rFonts w:ascii="宋体" w:hAnsi="宋体" w:cs="宋体"/>
          <w:sz w:val="24"/>
        </w:rPr>
      </w:pPr>
      <w:r>
        <w:rPr>
          <w:rFonts w:hint="eastAsia" w:ascii="宋体" w:hAnsi="宋体" w:cs="宋体"/>
          <w:sz w:val="24"/>
        </w:rPr>
        <w:t>7.1.4.3在服务采购项目中，服务由小微企业承接，即提供服务的人员为小微企业依照《中华人民共和国劳动合同法》订立劳动合同的从业人员。</w:t>
      </w:r>
    </w:p>
    <w:p w14:paraId="31791104">
      <w:pPr>
        <w:spacing w:line="360" w:lineRule="auto"/>
        <w:ind w:firstLine="560"/>
        <w:rPr>
          <w:rFonts w:ascii="宋体" w:hAnsi="宋体" w:cs="宋体"/>
          <w:sz w:val="24"/>
        </w:rPr>
      </w:pPr>
      <w:r>
        <w:rPr>
          <w:rFonts w:hint="eastAsia" w:ascii="宋体" w:hAnsi="宋体" w:cs="宋体"/>
          <w:sz w:val="24"/>
        </w:rPr>
        <w:t>7.1.4.4以联合体形式参加政府采购活动，联合体各方均为小微企业的，联合体视同小微企业。</w:t>
      </w:r>
    </w:p>
    <w:p w14:paraId="340624FC">
      <w:pPr>
        <w:spacing w:line="360" w:lineRule="auto"/>
        <w:ind w:firstLine="560"/>
        <w:rPr>
          <w:rFonts w:ascii="宋体" w:hAnsi="宋体" w:cs="宋体"/>
          <w:sz w:val="24"/>
        </w:rPr>
      </w:pPr>
      <w:r>
        <w:rPr>
          <w:rFonts w:hint="eastAsia" w:ascii="宋体" w:hAnsi="宋体" w:cs="宋体"/>
          <w:sz w:val="24"/>
        </w:rPr>
        <w:t>7.1.5 符合上述要求的企业，应当出具《中小企业声明函》，否则不得享受相关中小企业扶持政策。供应商提供声明函内容不实的，属于提供虚假材料谋取中标、成交，依照《中华人民共和国政府采购法》等国家有关规定追究相应责任。适用招标投标法的政府采购工程建设项目，响应供应商提供声明函内容不实的，属于弄虚作假骗取成交，依照《中华人民共和国招标投标法》等国家有关规定追究相应责任。</w:t>
      </w:r>
    </w:p>
    <w:p w14:paraId="3747F810">
      <w:pPr>
        <w:spacing w:line="360" w:lineRule="auto"/>
        <w:ind w:firstLine="560"/>
        <w:rPr>
          <w:rFonts w:ascii="宋体" w:hAnsi="宋体" w:cs="宋体"/>
          <w:sz w:val="24"/>
        </w:rPr>
      </w:pPr>
      <w:r>
        <w:rPr>
          <w:rFonts w:hint="eastAsia" w:ascii="宋体" w:hAnsi="宋体" w:cs="宋体"/>
          <w:sz w:val="24"/>
        </w:rPr>
        <w:t>7.1.6 下列情形不享受价格扣除政策：</w:t>
      </w:r>
    </w:p>
    <w:p w14:paraId="52FC88C4">
      <w:pPr>
        <w:spacing w:line="360" w:lineRule="auto"/>
        <w:ind w:firstLine="560"/>
        <w:rPr>
          <w:rFonts w:ascii="宋体" w:hAnsi="宋体" w:cs="宋体"/>
          <w:sz w:val="24"/>
        </w:rPr>
      </w:pPr>
      <w:r>
        <w:rPr>
          <w:rFonts w:hint="eastAsia" w:ascii="宋体" w:hAnsi="宋体" w:cs="宋体"/>
          <w:sz w:val="24"/>
        </w:rPr>
        <w:t>7.1.6.1在货物采购项目中，供应商提供的货物既有中小企业制造货物，也有大型企业制造货物的。</w:t>
      </w:r>
    </w:p>
    <w:p w14:paraId="1E096FB8">
      <w:pPr>
        <w:spacing w:line="360" w:lineRule="auto"/>
        <w:ind w:firstLine="560"/>
        <w:rPr>
          <w:rFonts w:ascii="宋体" w:hAnsi="宋体" w:cs="宋体"/>
          <w:sz w:val="24"/>
        </w:rPr>
      </w:pPr>
      <w:r>
        <w:rPr>
          <w:rFonts w:hint="eastAsia" w:ascii="宋体" w:hAnsi="宋体" w:cs="宋体"/>
          <w:sz w:val="24"/>
        </w:rPr>
        <w:t>7.1.6.2 响应供应商与大企业的负责人为同一人，或者与大企业存在直接控股、管理关系。</w:t>
      </w:r>
    </w:p>
    <w:p w14:paraId="28BCC1D4">
      <w:pPr>
        <w:spacing w:line="360" w:lineRule="auto"/>
        <w:ind w:firstLine="560"/>
        <w:rPr>
          <w:rFonts w:ascii="宋体" w:hAnsi="宋体" w:cs="宋体"/>
          <w:sz w:val="24"/>
        </w:rPr>
      </w:pPr>
      <w:r>
        <w:rPr>
          <w:rFonts w:hint="eastAsia" w:ascii="宋体" w:hAnsi="宋体" w:cs="宋体"/>
          <w:sz w:val="24"/>
        </w:rPr>
        <w:t>7.1.7《中小企业划型标准规定》（工信部联企业〔2011〕300号）</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7"/>
        <w:gridCol w:w="1635"/>
        <w:gridCol w:w="772"/>
        <w:gridCol w:w="2068"/>
        <w:gridCol w:w="1776"/>
        <w:gridCol w:w="1170"/>
      </w:tblGrid>
      <w:tr w14:paraId="1435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54" w:type="dxa"/>
            <w:noWrap/>
            <w:vAlign w:val="center"/>
          </w:tcPr>
          <w:p w14:paraId="6128E68E">
            <w:pPr>
              <w:spacing w:line="360" w:lineRule="auto"/>
              <w:jc w:val="center"/>
              <w:rPr>
                <w:rFonts w:ascii="宋体" w:hAnsi="宋体" w:cs="宋体"/>
                <w:b/>
              </w:rPr>
            </w:pPr>
            <w:r>
              <w:rPr>
                <w:rFonts w:hint="eastAsia" w:ascii="宋体" w:hAnsi="宋体" w:cs="宋体"/>
                <w:b/>
              </w:rPr>
              <w:t>行业名称</w:t>
            </w:r>
          </w:p>
        </w:tc>
        <w:tc>
          <w:tcPr>
            <w:tcW w:w="1447" w:type="dxa"/>
            <w:noWrap/>
            <w:vAlign w:val="center"/>
          </w:tcPr>
          <w:p w14:paraId="4DCD143B">
            <w:pPr>
              <w:spacing w:line="360" w:lineRule="auto"/>
              <w:jc w:val="center"/>
              <w:rPr>
                <w:rFonts w:ascii="宋体" w:hAnsi="宋体" w:cs="宋体"/>
                <w:b/>
              </w:rPr>
            </w:pPr>
            <w:r>
              <w:rPr>
                <w:rFonts w:hint="eastAsia" w:ascii="宋体" w:hAnsi="宋体" w:cs="宋体"/>
                <w:b/>
              </w:rPr>
              <w:t>指标名称</w:t>
            </w:r>
          </w:p>
        </w:tc>
        <w:tc>
          <w:tcPr>
            <w:tcW w:w="683" w:type="dxa"/>
            <w:noWrap/>
            <w:vAlign w:val="center"/>
          </w:tcPr>
          <w:p w14:paraId="6CE617C8">
            <w:pPr>
              <w:spacing w:line="360" w:lineRule="auto"/>
              <w:jc w:val="center"/>
              <w:rPr>
                <w:rFonts w:ascii="宋体" w:hAnsi="宋体" w:cs="宋体"/>
                <w:b/>
              </w:rPr>
            </w:pPr>
            <w:r>
              <w:rPr>
                <w:rFonts w:hint="eastAsia" w:ascii="宋体" w:hAnsi="宋体" w:cs="宋体"/>
                <w:b/>
              </w:rPr>
              <w:t>计量</w:t>
            </w:r>
          </w:p>
          <w:p w14:paraId="3C194A08">
            <w:pPr>
              <w:spacing w:line="360" w:lineRule="auto"/>
              <w:jc w:val="center"/>
              <w:rPr>
                <w:rFonts w:ascii="宋体" w:hAnsi="宋体" w:cs="宋体"/>
                <w:b/>
              </w:rPr>
            </w:pPr>
            <w:r>
              <w:rPr>
                <w:rFonts w:hint="eastAsia" w:ascii="宋体" w:hAnsi="宋体" w:cs="宋体"/>
                <w:b/>
              </w:rPr>
              <w:t>单位</w:t>
            </w:r>
          </w:p>
        </w:tc>
        <w:tc>
          <w:tcPr>
            <w:tcW w:w="1830" w:type="dxa"/>
            <w:noWrap/>
            <w:vAlign w:val="center"/>
          </w:tcPr>
          <w:p w14:paraId="360D49D7">
            <w:pPr>
              <w:spacing w:line="360" w:lineRule="auto"/>
              <w:jc w:val="center"/>
              <w:rPr>
                <w:rFonts w:ascii="宋体" w:hAnsi="宋体" w:cs="宋体"/>
                <w:b/>
              </w:rPr>
            </w:pPr>
            <w:r>
              <w:rPr>
                <w:rFonts w:hint="eastAsia" w:ascii="宋体" w:hAnsi="宋体" w:cs="宋体"/>
                <w:b/>
              </w:rPr>
              <w:t>中型</w:t>
            </w:r>
          </w:p>
        </w:tc>
        <w:tc>
          <w:tcPr>
            <w:tcW w:w="1572" w:type="dxa"/>
            <w:noWrap/>
            <w:vAlign w:val="center"/>
          </w:tcPr>
          <w:p w14:paraId="22818F6D">
            <w:pPr>
              <w:spacing w:line="360" w:lineRule="auto"/>
              <w:jc w:val="center"/>
              <w:rPr>
                <w:rFonts w:ascii="宋体" w:hAnsi="宋体" w:cs="宋体"/>
                <w:b/>
              </w:rPr>
            </w:pPr>
            <w:r>
              <w:rPr>
                <w:rFonts w:hint="eastAsia" w:ascii="宋体" w:hAnsi="宋体" w:cs="宋体"/>
                <w:b/>
              </w:rPr>
              <w:t>小型</w:t>
            </w:r>
          </w:p>
        </w:tc>
        <w:tc>
          <w:tcPr>
            <w:tcW w:w="1036" w:type="dxa"/>
            <w:noWrap/>
            <w:vAlign w:val="center"/>
          </w:tcPr>
          <w:p w14:paraId="50017CF5">
            <w:pPr>
              <w:spacing w:line="360" w:lineRule="auto"/>
              <w:jc w:val="center"/>
              <w:rPr>
                <w:rFonts w:ascii="宋体" w:hAnsi="宋体" w:cs="宋体"/>
                <w:b/>
              </w:rPr>
            </w:pPr>
            <w:r>
              <w:rPr>
                <w:rFonts w:hint="eastAsia" w:ascii="宋体" w:hAnsi="宋体" w:cs="宋体"/>
                <w:b/>
              </w:rPr>
              <w:t>微型</w:t>
            </w:r>
          </w:p>
        </w:tc>
      </w:tr>
      <w:tr w14:paraId="7A78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noWrap/>
            <w:vAlign w:val="center"/>
          </w:tcPr>
          <w:p w14:paraId="34CA1AB5">
            <w:pPr>
              <w:spacing w:line="360" w:lineRule="auto"/>
              <w:jc w:val="center"/>
              <w:rPr>
                <w:rFonts w:ascii="宋体" w:hAnsi="宋体" w:cs="宋体"/>
              </w:rPr>
            </w:pPr>
            <w:r>
              <w:rPr>
                <w:rFonts w:hint="eastAsia" w:ascii="宋体" w:hAnsi="宋体" w:cs="宋体"/>
              </w:rPr>
              <w:t>农、林、牧、渔</w:t>
            </w:r>
          </w:p>
        </w:tc>
        <w:tc>
          <w:tcPr>
            <w:tcW w:w="1447" w:type="dxa"/>
            <w:noWrap/>
            <w:vAlign w:val="center"/>
          </w:tcPr>
          <w:p w14:paraId="126550DB">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7BD4A6FC">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6C867592">
            <w:pPr>
              <w:spacing w:line="360" w:lineRule="auto"/>
              <w:jc w:val="center"/>
              <w:rPr>
                <w:rFonts w:ascii="宋体" w:hAnsi="宋体" w:cs="宋体"/>
              </w:rPr>
            </w:pPr>
            <w:r>
              <w:rPr>
                <w:rFonts w:hint="eastAsia" w:ascii="宋体" w:hAnsi="宋体" w:cs="宋体"/>
              </w:rPr>
              <w:t>500≤Y&lt;20000</w:t>
            </w:r>
          </w:p>
        </w:tc>
        <w:tc>
          <w:tcPr>
            <w:tcW w:w="1572" w:type="dxa"/>
            <w:noWrap/>
            <w:vAlign w:val="center"/>
          </w:tcPr>
          <w:p w14:paraId="30AD8FA2">
            <w:pPr>
              <w:spacing w:line="360" w:lineRule="auto"/>
              <w:jc w:val="center"/>
              <w:rPr>
                <w:rFonts w:ascii="宋体" w:hAnsi="宋体" w:cs="宋体"/>
              </w:rPr>
            </w:pPr>
            <w:r>
              <w:rPr>
                <w:rFonts w:hint="eastAsia" w:ascii="宋体" w:hAnsi="宋体" w:cs="宋体"/>
              </w:rPr>
              <w:t>50≤Y&lt;500</w:t>
            </w:r>
          </w:p>
        </w:tc>
        <w:tc>
          <w:tcPr>
            <w:tcW w:w="1036" w:type="dxa"/>
            <w:noWrap/>
            <w:vAlign w:val="center"/>
          </w:tcPr>
          <w:p w14:paraId="502D99CD">
            <w:pPr>
              <w:spacing w:line="360" w:lineRule="auto"/>
              <w:jc w:val="center"/>
              <w:rPr>
                <w:rFonts w:ascii="宋体" w:hAnsi="宋体" w:cs="宋体"/>
              </w:rPr>
            </w:pPr>
            <w:r>
              <w:rPr>
                <w:rFonts w:hint="eastAsia" w:ascii="宋体" w:hAnsi="宋体" w:cs="宋体"/>
              </w:rPr>
              <w:t>Y&lt;50</w:t>
            </w:r>
          </w:p>
        </w:tc>
      </w:tr>
      <w:tr w14:paraId="0E5B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2C6E6C1C">
            <w:pPr>
              <w:spacing w:line="360" w:lineRule="auto"/>
              <w:jc w:val="center"/>
              <w:rPr>
                <w:rFonts w:ascii="宋体" w:hAnsi="宋体" w:cs="宋体"/>
              </w:rPr>
            </w:pPr>
            <w:r>
              <w:rPr>
                <w:rFonts w:hint="eastAsia" w:ascii="宋体" w:hAnsi="宋体" w:cs="宋体"/>
              </w:rPr>
              <w:t>工业</w:t>
            </w:r>
          </w:p>
        </w:tc>
        <w:tc>
          <w:tcPr>
            <w:tcW w:w="1447" w:type="dxa"/>
            <w:noWrap/>
            <w:vAlign w:val="center"/>
          </w:tcPr>
          <w:p w14:paraId="0A453871">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1932BA50">
            <w:pPr>
              <w:spacing w:line="360" w:lineRule="auto"/>
              <w:jc w:val="center"/>
              <w:rPr>
                <w:rFonts w:ascii="宋体" w:hAnsi="宋体" w:cs="宋体"/>
              </w:rPr>
            </w:pPr>
            <w:r>
              <w:rPr>
                <w:rFonts w:hint="eastAsia" w:ascii="宋体" w:hAnsi="宋体" w:cs="宋体"/>
              </w:rPr>
              <w:t>人</w:t>
            </w:r>
          </w:p>
        </w:tc>
        <w:tc>
          <w:tcPr>
            <w:tcW w:w="1830" w:type="dxa"/>
            <w:noWrap/>
            <w:vAlign w:val="center"/>
          </w:tcPr>
          <w:p w14:paraId="2DB34711">
            <w:pPr>
              <w:spacing w:line="360" w:lineRule="auto"/>
              <w:jc w:val="center"/>
              <w:rPr>
                <w:rFonts w:ascii="宋体" w:hAnsi="宋体" w:cs="宋体"/>
              </w:rPr>
            </w:pPr>
            <w:r>
              <w:rPr>
                <w:rFonts w:hint="eastAsia" w:ascii="宋体" w:hAnsi="宋体" w:cs="宋体"/>
              </w:rPr>
              <w:t>300≤X&lt;1000</w:t>
            </w:r>
          </w:p>
        </w:tc>
        <w:tc>
          <w:tcPr>
            <w:tcW w:w="1572" w:type="dxa"/>
            <w:noWrap/>
            <w:vAlign w:val="center"/>
          </w:tcPr>
          <w:p w14:paraId="5C0FC0EA">
            <w:pPr>
              <w:spacing w:line="360" w:lineRule="auto"/>
              <w:jc w:val="center"/>
              <w:rPr>
                <w:rFonts w:ascii="宋体" w:hAnsi="宋体" w:cs="宋体"/>
              </w:rPr>
            </w:pPr>
            <w:r>
              <w:rPr>
                <w:rFonts w:hint="eastAsia" w:ascii="宋体" w:hAnsi="宋体" w:cs="宋体"/>
              </w:rPr>
              <w:t>20≤X&lt;300</w:t>
            </w:r>
          </w:p>
        </w:tc>
        <w:tc>
          <w:tcPr>
            <w:tcW w:w="1036" w:type="dxa"/>
            <w:noWrap/>
            <w:vAlign w:val="center"/>
          </w:tcPr>
          <w:p w14:paraId="6CD0793F">
            <w:pPr>
              <w:spacing w:line="360" w:lineRule="auto"/>
              <w:jc w:val="center"/>
              <w:rPr>
                <w:rFonts w:ascii="宋体" w:hAnsi="宋体" w:cs="宋体"/>
              </w:rPr>
            </w:pPr>
            <w:r>
              <w:rPr>
                <w:rFonts w:hint="eastAsia" w:ascii="宋体" w:hAnsi="宋体" w:cs="宋体"/>
              </w:rPr>
              <w:t>X&lt;20</w:t>
            </w:r>
          </w:p>
        </w:tc>
      </w:tr>
      <w:tr w14:paraId="467D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4CAC53BA">
            <w:pPr>
              <w:spacing w:line="360" w:lineRule="auto"/>
              <w:jc w:val="center"/>
              <w:rPr>
                <w:rFonts w:ascii="宋体" w:hAnsi="宋体" w:cs="宋体"/>
              </w:rPr>
            </w:pPr>
          </w:p>
        </w:tc>
        <w:tc>
          <w:tcPr>
            <w:tcW w:w="1447" w:type="dxa"/>
            <w:noWrap/>
            <w:vAlign w:val="center"/>
          </w:tcPr>
          <w:p w14:paraId="6EFD5F82">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7FB5DECB">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18EF9067">
            <w:pPr>
              <w:spacing w:line="360" w:lineRule="auto"/>
              <w:jc w:val="center"/>
              <w:rPr>
                <w:rFonts w:ascii="宋体" w:hAnsi="宋体" w:cs="宋体"/>
              </w:rPr>
            </w:pPr>
            <w:r>
              <w:rPr>
                <w:rFonts w:hint="eastAsia" w:ascii="宋体" w:hAnsi="宋体" w:cs="宋体"/>
              </w:rPr>
              <w:t>2000≤Y&lt;40000</w:t>
            </w:r>
          </w:p>
        </w:tc>
        <w:tc>
          <w:tcPr>
            <w:tcW w:w="1572" w:type="dxa"/>
            <w:noWrap/>
            <w:vAlign w:val="center"/>
          </w:tcPr>
          <w:p w14:paraId="1D7A8B80">
            <w:pPr>
              <w:spacing w:line="360" w:lineRule="auto"/>
              <w:jc w:val="center"/>
              <w:rPr>
                <w:rFonts w:ascii="宋体" w:hAnsi="宋体" w:cs="宋体"/>
              </w:rPr>
            </w:pPr>
            <w:r>
              <w:rPr>
                <w:rFonts w:hint="eastAsia" w:ascii="宋体" w:hAnsi="宋体" w:cs="宋体"/>
              </w:rPr>
              <w:t>300≤Y&lt;2000</w:t>
            </w:r>
          </w:p>
        </w:tc>
        <w:tc>
          <w:tcPr>
            <w:tcW w:w="1036" w:type="dxa"/>
            <w:noWrap/>
            <w:vAlign w:val="center"/>
          </w:tcPr>
          <w:p w14:paraId="27E40C17">
            <w:pPr>
              <w:spacing w:line="360" w:lineRule="auto"/>
              <w:jc w:val="center"/>
              <w:rPr>
                <w:rFonts w:ascii="宋体" w:hAnsi="宋体" w:cs="宋体"/>
              </w:rPr>
            </w:pPr>
            <w:r>
              <w:rPr>
                <w:rFonts w:hint="eastAsia" w:ascii="宋体" w:hAnsi="宋体" w:cs="宋体"/>
              </w:rPr>
              <w:t>Y&lt;300</w:t>
            </w:r>
          </w:p>
        </w:tc>
      </w:tr>
      <w:tr w14:paraId="5D81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0CF30C7E">
            <w:pPr>
              <w:spacing w:line="360" w:lineRule="auto"/>
              <w:jc w:val="center"/>
              <w:rPr>
                <w:rFonts w:ascii="宋体" w:hAnsi="宋体" w:cs="宋体"/>
              </w:rPr>
            </w:pPr>
            <w:r>
              <w:rPr>
                <w:rFonts w:hint="eastAsia" w:ascii="宋体" w:hAnsi="宋体" w:cs="宋体"/>
              </w:rPr>
              <w:t>建筑业</w:t>
            </w:r>
          </w:p>
        </w:tc>
        <w:tc>
          <w:tcPr>
            <w:tcW w:w="1447" w:type="dxa"/>
            <w:noWrap/>
            <w:vAlign w:val="center"/>
          </w:tcPr>
          <w:p w14:paraId="7FFAE29D">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41D340A9">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32912107">
            <w:pPr>
              <w:spacing w:line="360" w:lineRule="auto"/>
              <w:jc w:val="center"/>
              <w:rPr>
                <w:rFonts w:ascii="宋体" w:hAnsi="宋体" w:cs="宋体"/>
              </w:rPr>
            </w:pPr>
            <w:r>
              <w:rPr>
                <w:rFonts w:hint="eastAsia" w:ascii="宋体" w:hAnsi="宋体" w:cs="宋体"/>
              </w:rPr>
              <w:t>6000≤Y&lt;80000</w:t>
            </w:r>
          </w:p>
        </w:tc>
        <w:tc>
          <w:tcPr>
            <w:tcW w:w="1572" w:type="dxa"/>
            <w:noWrap/>
            <w:vAlign w:val="center"/>
          </w:tcPr>
          <w:p w14:paraId="501186ED">
            <w:pPr>
              <w:spacing w:line="360" w:lineRule="auto"/>
              <w:jc w:val="center"/>
              <w:rPr>
                <w:rFonts w:ascii="宋体" w:hAnsi="宋体" w:cs="宋体"/>
              </w:rPr>
            </w:pPr>
            <w:r>
              <w:rPr>
                <w:rFonts w:hint="eastAsia" w:ascii="宋体" w:hAnsi="宋体" w:cs="宋体"/>
              </w:rPr>
              <w:t>300≤Y&lt;6000</w:t>
            </w:r>
          </w:p>
        </w:tc>
        <w:tc>
          <w:tcPr>
            <w:tcW w:w="1036" w:type="dxa"/>
            <w:noWrap/>
            <w:vAlign w:val="center"/>
          </w:tcPr>
          <w:p w14:paraId="4CE11E81">
            <w:pPr>
              <w:spacing w:line="360" w:lineRule="auto"/>
              <w:jc w:val="center"/>
              <w:rPr>
                <w:rFonts w:ascii="宋体" w:hAnsi="宋体" w:cs="宋体"/>
              </w:rPr>
            </w:pPr>
            <w:r>
              <w:rPr>
                <w:rFonts w:hint="eastAsia" w:ascii="宋体" w:hAnsi="宋体" w:cs="宋体"/>
              </w:rPr>
              <w:t>Y&lt;300</w:t>
            </w:r>
          </w:p>
        </w:tc>
      </w:tr>
      <w:tr w14:paraId="7DC4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5FFFC2F3">
            <w:pPr>
              <w:spacing w:line="360" w:lineRule="auto"/>
              <w:jc w:val="center"/>
              <w:rPr>
                <w:rFonts w:ascii="宋体" w:hAnsi="宋体" w:cs="宋体"/>
              </w:rPr>
            </w:pPr>
          </w:p>
        </w:tc>
        <w:tc>
          <w:tcPr>
            <w:tcW w:w="1447" w:type="dxa"/>
            <w:noWrap/>
            <w:vAlign w:val="center"/>
          </w:tcPr>
          <w:p w14:paraId="27FA31E8">
            <w:pPr>
              <w:spacing w:line="360" w:lineRule="auto"/>
              <w:jc w:val="center"/>
              <w:rPr>
                <w:rFonts w:ascii="宋体" w:hAnsi="宋体" w:cs="宋体"/>
              </w:rPr>
            </w:pPr>
            <w:r>
              <w:rPr>
                <w:rFonts w:hint="eastAsia" w:ascii="宋体" w:hAnsi="宋体" w:cs="宋体"/>
              </w:rPr>
              <w:t>资产总额（Z）</w:t>
            </w:r>
          </w:p>
        </w:tc>
        <w:tc>
          <w:tcPr>
            <w:tcW w:w="683" w:type="dxa"/>
            <w:noWrap/>
            <w:vAlign w:val="center"/>
          </w:tcPr>
          <w:p w14:paraId="664EA7F3">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383EEA1E">
            <w:pPr>
              <w:spacing w:line="360" w:lineRule="auto"/>
              <w:jc w:val="center"/>
              <w:rPr>
                <w:rFonts w:ascii="宋体" w:hAnsi="宋体" w:cs="宋体"/>
              </w:rPr>
            </w:pPr>
            <w:r>
              <w:rPr>
                <w:rFonts w:hint="eastAsia" w:ascii="宋体" w:hAnsi="宋体" w:cs="宋体"/>
              </w:rPr>
              <w:t>5000≤Z &lt;80000</w:t>
            </w:r>
          </w:p>
        </w:tc>
        <w:tc>
          <w:tcPr>
            <w:tcW w:w="1572" w:type="dxa"/>
            <w:noWrap/>
            <w:vAlign w:val="center"/>
          </w:tcPr>
          <w:p w14:paraId="73D6EC13">
            <w:pPr>
              <w:spacing w:line="360" w:lineRule="auto"/>
              <w:jc w:val="center"/>
              <w:rPr>
                <w:rFonts w:ascii="宋体" w:hAnsi="宋体" w:cs="宋体"/>
              </w:rPr>
            </w:pPr>
            <w:r>
              <w:rPr>
                <w:rFonts w:hint="eastAsia" w:ascii="宋体" w:hAnsi="宋体" w:cs="宋体"/>
              </w:rPr>
              <w:t>300≤Z &lt;5000</w:t>
            </w:r>
          </w:p>
        </w:tc>
        <w:tc>
          <w:tcPr>
            <w:tcW w:w="1036" w:type="dxa"/>
            <w:noWrap/>
            <w:vAlign w:val="center"/>
          </w:tcPr>
          <w:p w14:paraId="501B13F8">
            <w:pPr>
              <w:spacing w:line="360" w:lineRule="auto"/>
              <w:jc w:val="center"/>
              <w:rPr>
                <w:rFonts w:ascii="宋体" w:hAnsi="宋体" w:cs="宋体"/>
              </w:rPr>
            </w:pPr>
            <w:r>
              <w:rPr>
                <w:rFonts w:hint="eastAsia" w:ascii="宋体" w:hAnsi="宋体" w:cs="宋体"/>
              </w:rPr>
              <w:t>Z&lt;300</w:t>
            </w:r>
          </w:p>
        </w:tc>
      </w:tr>
      <w:tr w14:paraId="153C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3EF1461B">
            <w:pPr>
              <w:spacing w:line="360" w:lineRule="auto"/>
              <w:jc w:val="center"/>
              <w:rPr>
                <w:rFonts w:ascii="宋体" w:hAnsi="宋体" w:cs="宋体"/>
              </w:rPr>
            </w:pPr>
            <w:r>
              <w:rPr>
                <w:rFonts w:hint="eastAsia" w:ascii="宋体" w:hAnsi="宋体" w:cs="宋体"/>
              </w:rPr>
              <w:t>批发业</w:t>
            </w:r>
          </w:p>
        </w:tc>
        <w:tc>
          <w:tcPr>
            <w:tcW w:w="1447" w:type="dxa"/>
            <w:noWrap/>
            <w:vAlign w:val="center"/>
          </w:tcPr>
          <w:p w14:paraId="5A5F2601">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6F333983">
            <w:pPr>
              <w:spacing w:line="360" w:lineRule="auto"/>
              <w:jc w:val="center"/>
              <w:rPr>
                <w:rFonts w:ascii="宋体" w:hAnsi="宋体" w:cs="宋体"/>
              </w:rPr>
            </w:pPr>
            <w:r>
              <w:rPr>
                <w:rFonts w:hint="eastAsia" w:ascii="宋体" w:hAnsi="宋体" w:cs="宋体"/>
              </w:rPr>
              <w:t>人</w:t>
            </w:r>
          </w:p>
        </w:tc>
        <w:tc>
          <w:tcPr>
            <w:tcW w:w="1830" w:type="dxa"/>
            <w:noWrap/>
            <w:vAlign w:val="center"/>
          </w:tcPr>
          <w:p w14:paraId="48E417BD">
            <w:pPr>
              <w:spacing w:line="360" w:lineRule="auto"/>
              <w:jc w:val="center"/>
              <w:rPr>
                <w:rFonts w:ascii="宋体" w:hAnsi="宋体" w:cs="宋体"/>
              </w:rPr>
            </w:pPr>
            <w:r>
              <w:rPr>
                <w:rFonts w:hint="eastAsia" w:ascii="宋体" w:hAnsi="宋体" w:cs="宋体"/>
              </w:rPr>
              <w:t>20≤X&lt;200</w:t>
            </w:r>
          </w:p>
        </w:tc>
        <w:tc>
          <w:tcPr>
            <w:tcW w:w="1572" w:type="dxa"/>
            <w:noWrap/>
            <w:vAlign w:val="center"/>
          </w:tcPr>
          <w:p w14:paraId="5D7EDA4D">
            <w:pPr>
              <w:spacing w:line="360" w:lineRule="auto"/>
              <w:jc w:val="center"/>
              <w:rPr>
                <w:rFonts w:ascii="宋体" w:hAnsi="宋体" w:cs="宋体"/>
              </w:rPr>
            </w:pPr>
            <w:r>
              <w:rPr>
                <w:rFonts w:hint="eastAsia" w:ascii="宋体" w:hAnsi="宋体" w:cs="宋体"/>
              </w:rPr>
              <w:t>5≤X&lt;20</w:t>
            </w:r>
          </w:p>
        </w:tc>
        <w:tc>
          <w:tcPr>
            <w:tcW w:w="1036" w:type="dxa"/>
            <w:noWrap/>
            <w:vAlign w:val="center"/>
          </w:tcPr>
          <w:p w14:paraId="1D03EAE1">
            <w:pPr>
              <w:spacing w:line="360" w:lineRule="auto"/>
              <w:jc w:val="center"/>
              <w:rPr>
                <w:rFonts w:ascii="宋体" w:hAnsi="宋体" w:cs="宋体"/>
              </w:rPr>
            </w:pPr>
            <w:r>
              <w:rPr>
                <w:rFonts w:hint="eastAsia" w:ascii="宋体" w:hAnsi="宋体" w:cs="宋体"/>
              </w:rPr>
              <w:t>X&lt;5</w:t>
            </w:r>
          </w:p>
        </w:tc>
      </w:tr>
      <w:tr w14:paraId="7C79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0B07A3E9">
            <w:pPr>
              <w:spacing w:line="360" w:lineRule="auto"/>
              <w:jc w:val="center"/>
              <w:rPr>
                <w:rFonts w:ascii="宋体" w:hAnsi="宋体" w:cs="宋体"/>
              </w:rPr>
            </w:pPr>
          </w:p>
        </w:tc>
        <w:tc>
          <w:tcPr>
            <w:tcW w:w="1447" w:type="dxa"/>
            <w:noWrap/>
            <w:vAlign w:val="center"/>
          </w:tcPr>
          <w:p w14:paraId="06B273F2">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14097614">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0177B670">
            <w:pPr>
              <w:spacing w:line="360" w:lineRule="auto"/>
              <w:jc w:val="center"/>
              <w:rPr>
                <w:rFonts w:ascii="宋体" w:hAnsi="宋体" w:cs="宋体"/>
              </w:rPr>
            </w:pPr>
            <w:r>
              <w:rPr>
                <w:rFonts w:hint="eastAsia" w:ascii="宋体" w:hAnsi="宋体" w:cs="宋体"/>
              </w:rPr>
              <w:t>5000≤Y&lt;50000</w:t>
            </w:r>
          </w:p>
        </w:tc>
        <w:tc>
          <w:tcPr>
            <w:tcW w:w="1572" w:type="dxa"/>
            <w:noWrap/>
            <w:vAlign w:val="center"/>
          </w:tcPr>
          <w:p w14:paraId="22A9CFE7">
            <w:pPr>
              <w:spacing w:line="360" w:lineRule="auto"/>
              <w:jc w:val="center"/>
              <w:rPr>
                <w:rFonts w:ascii="宋体" w:hAnsi="宋体" w:cs="宋体"/>
              </w:rPr>
            </w:pPr>
            <w:r>
              <w:rPr>
                <w:rFonts w:hint="eastAsia" w:ascii="宋体" w:hAnsi="宋体" w:cs="宋体"/>
              </w:rPr>
              <w:t>1000≤Y&lt;5000</w:t>
            </w:r>
          </w:p>
        </w:tc>
        <w:tc>
          <w:tcPr>
            <w:tcW w:w="1036" w:type="dxa"/>
            <w:noWrap/>
            <w:vAlign w:val="center"/>
          </w:tcPr>
          <w:p w14:paraId="1A98D910">
            <w:pPr>
              <w:spacing w:line="360" w:lineRule="auto"/>
              <w:jc w:val="center"/>
              <w:rPr>
                <w:rFonts w:ascii="宋体" w:hAnsi="宋体" w:cs="宋体"/>
              </w:rPr>
            </w:pPr>
            <w:r>
              <w:rPr>
                <w:rFonts w:hint="eastAsia" w:ascii="宋体" w:hAnsi="宋体" w:cs="宋体"/>
              </w:rPr>
              <w:t>Y&lt;1000</w:t>
            </w:r>
          </w:p>
        </w:tc>
      </w:tr>
      <w:tr w14:paraId="22B4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016F75DB">
            <w:pPr>
              <w:spacing w:line="360" w:lineRule="auto"/>
              <w:jc w:val="center"/>
              <w:rPr>
                <w:rFonts w:ascii="宋体" w:hAnsi="宋体" w:cs="宋体"/>
              </w:rPr>
            </w:pPr>
            <w:r>
              <w:rPr>
                <w:rFonts w:hint="eastAsia" w:ascii="宋体" w:hAnsi="宋体" w:cs="宋体"/>
              </w:rPr>
              <w:t>零售业</w:t>
            </w:r>
          </w:p>
        </w:tc>
        <w:tc>
          <w:tcPr>
            <w:tcW w:w="1447" w:type="dxa"/>
            <w:noWrap/>
            <w:vAlign w:val="center"/>
          </w:tcPr>
          <w:p w14:paraId="3A5E78AD">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47FB0EE7">
            <w:pPr>
              <w:spacing w:line="360" w:lineRule="auto"/>
              <w:jc w:val="center"/>
              <w:rPr>
                <w:rFonts w:ascii="宋体" w:hAnsi="宋体" w:cs="宋体"/>
              </w:rPr>
            </w:pPr>
            <w:r>
              <w:rPr>
                <w:rFonts w:hint="eastAsia" w:ascii="宋体" w:hAnsi="宋体" w:cs="宋体"/>
              </w:rPr>
              <w:t>人</w:t>
            </w:r>
          </w:p>
        </w:tc>
        <w:tc>
          <w:tcPr>
            <w:tcW w:w="1830" w:type="dxa"/>
            <w:noWrap/>
            <w:vAlign w:val="center"/>
          </w:tcPr>
          <w:p w14:paraId="10DBFB8A">
            <w:pPr>
              <w:spacing w:line="360" w:lineRule="auto"/>
              <w:jc w:val="center"/>
              <w:rPr>
                <w:rFonts w:ascii="宋体" w:hAnsi="宋体" w:cs="宋体"/>
              </w:rPr>
            </w:pPr>
            <w:r>
              <w:rPr>
                <w:rFonts w:hint="eastAsia" w:ascii="宋体" w:hAnsi="宋体" w:cs="宋体"/>
              </w:rPr>
              <w:t>50≤X&lt;300</w:t>
            </w:r>
          </w:p>
        </w:tc>
        <w:tc>
          <w:tcPr>
            <w:tcW w:w="1572" w:type="dxa"/>
            <w:noWrap/>
            <w:vAlign w:val="center"/>
          </w:tcPr>
          <w:p w14:paraId="5147C0ED">
            <w:pPr>
              <w:spacing w:line="360" w:lineRule="auto"/>
              <w:jc w:val="center"/>
              <w:rPr>
                <w:rFonts w:ascii="宋体" w:hAnsi="宋体" w:cs="宋体"/>
              </w:rPr>
            </w:pPr>
            <w:r>
              <w:rPr>
                <w:rFonts w:hint="eastAsia" w:ascii="宋体" w:hAnsi="宋体" w:cs="宋体"/>
              </w:rPr>
              <w:t>10≤X&lt;50</w:t>
            </w:r>
          </w:p>
        </w:tc>
        <w:tc>
          <w:tcPr>
            <w:tcW w:w="1036" w:type="dxa"/>
            <w:noWrap/>
            <w:vAlign w:val="center"/>
          </w:tcPr>
          <w:p w14:paraId="36CDF34D">
            <w:pPr>
              <w:spacing w:line="360" w:lineRule="auto"/>
              <w:jc w:val="center"/>
              <w:rPr>
                <w:rFonts w:ascii="宋体" w:hAnsi="宋体" w:cs="宋体"/>
              </w:rPr>
            </w:pPr>
            <w:r>
              <w:rPr>
                <w:rFonts w:hint="eastAsia" w:ascii="宋体" w:hAnsi="宋体" w:cs="宋体"/>
              </w:rPr>
              <w:t>X&lt;10</w:t>
            </w:r>
          </w:p>
        </w:tc>
      </w:tr>
      <w:tr w14:paraId="0038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5E898325">
            <w:pPr>
              <w:spacing w:line="360" w:lineRule="auto"/>
              <w:jc w:val="center"/>
              <w:rPr>
                <w:rFonts w:ascii="宋体" w:hAnsi="宋体" w:cs="宋体"/>
              </w:rPr>
            </w:pPr>
          </w:p>
        </w:tc>
        <w:tc>
          <w:tcPr>
            <w:tcW w:w="1447" w:type="dxa"/>
            <w:noWrap/>
            <w:vAlign w:val="center"/>
          </w:tcPr>
          <w:p w14:paraId="35B9BA01">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7B5711F9">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6AA872EC">
            <w:pPr>
              <w:spacing w:line="360" w:lineRule="auto"/>
              <w:jc w:val="center"/>
              <w:rPr>
                <w:rFonts w:ascii="宋体" w:hAnsi="宋体" w:cs="宋体"/>
              </w:rPr>
            </w:pPr>
            <w:r>
              <w:rPr>
                <w:rFonts w:hint="eastAsia" w:ascii="宋体" w:hAnsi="宋体" w:cs="宋体"/>
              </w:rPr>
              <w:t>500≤Y&lt;20000</w:t>
            </w:r>
          </w:p>
        </w:tc>
        <w:tc>
          <w:tcPr>
            <w:tcW w:w="1572" w:type="dxa"/>
            <w:noWrap/>
            <w:vAlign w:val="center"/>
          </w:tcPr>
          <w:p w14:paraId="366959FD">
            <w:pPr>
              <w:spacing w:line="360" w:lineRule="auto"/>
              <w:jc w:val="center"/>
              <w:rPr>
                <w:rFonts w:ascii="宋体" w:hAnsi="宋体" w:cs="宋体"/>
              </w:rPr>
            </w:pPr>
            <w:r>
              <w:rPr>
                <w:rFonts w:hint="eastAsia" w:ascii="宋体" w:hAnsi="宋体" w:cs="宋体"/>
              </w:rPr>
              <w:t>100≤Y&lt;500</w:t>
            </w:r>
          </w:p>
        </w:tc>
        <w:tc>
          <w:tcPr>
            <w:tcW w:w="1036" w:type="dxa"/>
            <w:noWrap/>
            <w:vAlign w:val="center"/>
          </w:tcPr>
          <w:p w14:paraId="54BC4C01">
            <w:pPr>
              <w:spacing w:line="360" w:lineRule="auto"/>
              <w:jc w:val="center"/>
              <w:rPr>
                <w:rFonts w:ascii="宋体" w:hAnsi="宋体" w:cs="宋体"/>
              </w:rPr>
            </w:pPr>
            <w:r>
              <w:rPr>
                <w:rFonts w:hint="eastAsia" w:ascii="宋体" w:hAnsi="宋体" w:cs="宋体"/>
              </w:rPr>
              <w:t>Y&lt;100</w:t>
            </w:r>
          </w:p>
        </w:tc>
      </w:tr>
      <w:tr w14:paraId="7091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5E108361">
            <w:pPr>
              <w:spacing w:line="360" w:lineRule="auto"/>
              <w:jc w:val="center"/>
              <w:rPr>
                <w:rFonts w:ascii="宋体" w:hAnsi="宋体" w:cs="宋体"/>
              </w:rPr>
            </w:pPr>
            <w:r>
              <w:rPr>
                <w:rFonts w:hint="eastAsia" w:ascii="宋体" w:hAnsi="宋体" w:cs="宋体"/>
              </w:rPr>
              <w:t>交通运输业</w:t>
            </w:r>
          </w:p>
        </w:tc>
        <w:tc>
          <w:tcPr>
            <w:tcW w:w="1447" w:type="dxa"/>
            <w:noWrap/>
            <w:vAlign w:val="center"/>
          </w:tcPr>
          <w:p w14:paraId="1B30E397">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33E6855F">
            <w:pPr>
              <w:spacing w:line="360" w:lineRule="auto"/>
              <w:jc w:val="center"/>
              <w:rPr>
                <w:rFonts w:ascii="宋体" w:hAnsi="宋体" w:cs="宋体"/>
              </w:rPr>
            </w:pPr>
            <w:r>
              <w:rPr>
                <w:rFonts w:hint="eastAsia" w:ascii="宋体" w:hAnsi="宋体" w:cs="宋体"/>
              </w:rPr>
              <w:t>人</w:t>
            </w:r>
          </w:p>
        </w:tc>
        <w:tc>
          <w:tcPr>
            <w:tcW w:w="1830" w:type="dxa"/>
            <w:noWrap/>
            <w:vAlign w:val="center"/>
          </w:tcPr>
          <w:p w14:paraId="39B4CB15">
            <w:pPr>
              <w:spacing w:line="360" w:lineRule="auto"/>
              <w:jc w:val="center"/>
              <w:rPr>
                <w:rFonts w:ascii="宋体" w:hAnsi="宋体" w:cs="宋体"/>
              </w:rPr>
            </w:pPr>
            <w:r>
              <w:rPr>
                <w:rFonts w:hint="eastAsia" w:ascii="宋体" w:hAnsi="宋体" w:cs="宋体"/>
              </w:rPr>
              <w:t>300≤X&lt;1000</w:t>
            </w:r>
          </w:p>
        </w:tc>
        <w:tc>
          <w:tcPr>
            <w:tcW w:w="1572" w:type="dxa"/>
            <w:noWrap/>
            <w:vAlign w:val="center"/>
          </w:tcPr>
          <w:p w14:paraId="0697D84F">
            <w:pPr>
              <w:spacing w:line="360" w:lineRule="auto"/>
              <w:jc w:val="center"/>
              <w:rPr>
                <w:rFonts w:ascii="宋体" w:hAnsi="宋体" w:cs="宋体"/>
              </w:rPr>
            </w:pPr>
            <w:r>
              <w:rPr>
                <w:rFonts w:hint="eastAsia" w:ascii="宋体" w:hAnsi="宋体" w:cs="宋体"/>
              </w:rPr>
              <w:t>20≤X&lt;300</w:t>
            </w:r>
          </w:p>
        </w:tc>
        <w:tc>
          <w:tcPr>
            <w:tcW w:w="1036" w:type="dxa"/>
            <w:noWrap/>
            <w:vAlign w:val="center"/>
          </w:tcPr>
          <w:p w14:paraId="05A119E3">
            <w:pPr>
              <w:spacing w:line="360" w:lineRule="auto"/>
              <w:jc w:val="center"/>
              <w:rPr>
                <w:rFonts w:ascii="宋体" w:hAnsi="宋体" w:cs="宋体"/>
              </w:rPr>
            </w:pPr>
            <w:r>
              <w:rPr>
                <w:rFonts w:hint="eastAsia" w:ascii="宋体" w:hAnsi="宋体" w:cs="宋体"/>
              </w:rPr>
              <w:t>X&lt;20</w:t>
            </w:r>
          </w:p>
        </w:tc>
      </w:tr>
      <w:tr w14:paraId="375B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0914FE89">
            <w:pPr>
              <w:spacing w:line="360" w:lineRule="auto"/>
              <w:jc w:val="center"/>
              <w:rPr>
                <w:rFonts w:ascii="宋体" w:hAnsi="宋体" w:cs="宋体"/>
              </w:rPr>
            </w:pPr>
          </w:p>
        </w:tc>
        <w:tc>
          <w:tcPr>
            <w:tcW w:w="1447" w:type="dxa"/>
            <w:noWrap/>
            <w:vAlign w:val="center"/>
          </w:tcPr>
          <w:p w14:paraId="7B834BA4">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0B62FFBD">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18B873FF">
            <w:pPr>
              <w:spacing w:line="360" w:lineRule="auto"/>
              <w:jc w:val="center"/>
              <w:rPr>
                <w:rFonts w:ascii="宋体" w:hAnsi="宋体" w:cs="宋体"/>
              </w:rPr>
            </w:pPr>
            <w:r>
              <w:rPr>
                <w:rFonts w:hint="eastAsia" w:ascii="宋体" w:hAnsi="宋体" w:cs="宋体"/>
              </w:rPr>
              <w:t>3000≤Y&lt;30000</w:t>
            </w:r>
          </w:p>
        </w:tc>
        <w:tc>
          <w:tcPr>
            <w:tcW w:w="1572" w:type="dxa"/>
            <w:noWrap/>
            <w:vAlign w:val="center"/>
          </w:tcPr>
          <w:p w14:paraId="5D533C3C">
            <w:pPr>
              <w:spacing w:line="360" w:lineRule="auto"/>
              <w:jc w:val="center"/>
              <w:rPr>
                <w:rFonts w:ascii="宋体" w:hAnsi="宋体" w:cs="宋体"/>
              </w:rPr>
            </w:pPr>
            <w:r>
              <w:rPr>
                <w:rFonts w:hint="eastAsia" w:ascii="宋体" w:hAnsi="宋体" w:cs="宋体"/>
              </w:rPr>
              <w:t>200≤Y&lt;3000</w:t>
            </w:r>
          </w:p>
        </w:tc>
        <w:tc>
          <w:tcPr>
            <w:tcW w:w="1036" w:type="dxa"/>
            <w:noWrap/>
            <w:vAlign w:val="center"/>
          </w:tcPr>
          <w:p w14:paraId="53DE875E">
            <w:pPr>
              <w:spacing w:line="360" w:lineRule="auto"/>
              <w:jc w:val="center"/>
              <w:rPr>
                <w:rFonts w:ascii="宋体" w:hAnsi="宋体" w:cs="宋体"/>
              </w:rPr>
            </w:pPr>
            <w:r>
              <w:rPr>
                <w:rFonts w:hint="eastAsia" w:ascii="宋体" w:hAnsi="宋体" w:cs="宋体"/>
              </w:rPr>
              <w:t>Y&lt;200</w:t>
            </w:r>
          </w:p>
        </w:tc>
      </w:tr>
      <w:tr w14:paraId="3882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0460379A">
            <w:pPr>
              <w:spacing w:line="360" w:lineRule="auto"/>
              <w:jc w:val="center"/>
              <w:rPr>
                <w:rFonts w:ascii="宋体" w:hAnsi="宋体" w:cs="宋体"/>
              </w:rPr>
            </w:pPr>
            <w:r>
              <w:rPr>
                <w:rFonts w:hint="eastAsia" w:ascii="宋体" w:hAnsi="宋体" w:cs="宋体"/>
              </w:rPr>
              <w:t>仓储业</w:t>
            </w:r>
          </w:p>
        </w:tc>
        <w:tc>
          <w:tcPr>
            <w:tcW w:w="1447" w:type="dxa"/>
            <w:noWrap/>
            <w:vAlign w:val="center"/>
          </w:tcPr>
          <w:p w14:paraId="5789E11D">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09D095DF">
            <w:pPr>
              <w:spacing w:line="360" w:lineRule="auto"/>
              <w:jc w:val="center"/>
              <w:rPr>
                <w:rFonts w:ascii="宋体" w:hAnsi="宋体" w:cs="宋体"/>
              </w:rPr>
            </w:pPr>
            <w:r>
              <w:rPr>
                <w:rFonts w:hint="eastAsia" w:ascii="宋体" w:hAnsi="宋体" w:cs="宋体"/>
              </w:rPr>
              <w:t>人</w:t>
            </w:r>
          </w:p>
        </w:tc>
        <w:tc>
          <w:tcPr>
            <w:tcW w:w="1830" w:type="dxa"/>
            <w:noWrap/>
            <w:vAlign w:val="center"/>
          </w:tcPr>
          <w:p w14:paraId="11A23844">
            <w:pPr>
              <w:spacing w:line="360" w:lineRule="auto"/>
              <w:jc w:val="center"/>
              <w:rPr>
                <w:rFonts w:ascii="宋体" w:hAnsi="宋体" w:cs="宋体"/>
              </w:rPr>
            </w:pPr>
            <w:r>
              <w:rPr>
                <w:rFonts w:hint="eastAsia" w:ascii="宋体" w:hAnsi="宋体" w:cs="宋体"/>
              </w:rPr>
              <w:t>100≤X&lt;200</w:t>
            </w:r>
          </w:p>
        </w:tc>
        <w:tc>
          <w:tcPr>
            <w:tcW w:w="1572" w:type="dxa"/>
            <w:noWrap/>
            <w:vAlign w:val="center"/>
          </w:tcPr>
          <w:p w14:paraId="76494CC0">
            <w:pPr>
              <w:spacing w:line="360" w:lineRule="auto"/>
              <w:jc w:val="center"/>
              <w:rPr>
                <w:rFonts w:ascii="宋体" w:hAnsi="宋体" w:cs="宋体"/>
              </w:rPr>
            </w:pPr>
            <w:r>
              <w:rPr>
                <w:rFonts w:hint="eastAsia" w:ascii="宋体" w:hAnsi="宋体" w:cs="宋体"/>
              </w:rPr>
              <w:t>20≤X&lt;100</w:t>
            </w:r>
          </w:p>
        </w:tc>
        <w:tc>
          <w:tcPr>
            <w:tcW w:w="1036" w:type="dxa"/>
            <w:noWrap/>
            <w:vAlign w:val="center"/>
          </w:tcPr>
          <w:p w14:paraId="4959E580">
            <w:pPr>
              <w:spacing w:line="360" w:lineRule="auto"/>
              <w:jc w:val="center"/>
              <w:rPr>
                <w:rFonts w:ascii="宋体" w:hAnsi="宋体" w:cs="宋体"/>
              </w:rPr>
            </w:pPr>
            <w:r>
              <w:rPr>
                <w:rFonts w:hint="eastAsia" w:ascii="宋体" w:hAnsi="宋体" w:cs="宋体"/>
              </w:rPr>
              <w:t>X&lt;20</w:t>
            </w:r>
          </w:p>
        </w:tc>
      </w:tr>
      <w:tr w14:paraId="4ABB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1B283EBC">
            <w:pPr>
              <w:spacing w:line="360" w:lineRule="auto"/>
              <w:jc w:val="center"/>
              <w:rPr>
                <w:rFonts w:ascii="宋体" w:hAnsi="宋体" w:cs="宋体"/>
              </w:rPr>
            </w:pPr>
          </w:p>
        </w:tc>
        <w:tc>
          <w:tcPr>
            <w:tcW w:w="1447" w:type="dxa"/>
            <w:noWrap/>
            <w:vAlign w:val="center"/>
          </w:tcPr>
          <w:p w14:paraId="40CF53A2">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76F1349B">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6F8380B0">
            <w:pPr>
              <w:spacing w:line="360" w:lineRule="auto"/>
              <w:jc w:val="center"/>
              <w:rPr>
                <w:rFonts w:ascii="宋体" w:hAnsi="宋体" w:cs="宋体"/>
              </w:rPr>
            </w:pPr>
            <w:r>
              <w:rPr>
                <w:rFonts w:hint="eastAsia" w:ascii="宋体" w:hAnsi="宋体" w:cs="宋体"/>
              </w:rPr>
              <w:t>1000≤Y&lt;30000</w:t>
            </w:r>
          </w:p>
        </w:tc>
        <w:tc>
          <w:tcPr>
            <w:tcW w:w="1572" w:type="dxa"/>
            <w:noWrap/>
            <w:vAlign w:val="center"/>
          </w:tcPr>
          <w:p w14:paraId="7B88C648">
            <w:pPr>
              <w:spacing w:line="360" w:lineRule="auto"/>
              <w:jc w:val="center"/>
              <w:rPr>
                <w:rFonts w:ascii="宋体" w:hAnsi="宋体" w:cs="宋体"/>
              </w:rPr>
            </w:pPr>
            <w:r>
              <w:rPr>
                <w:rFonts w:hint="eastAsia" w:ascii="宋体" w:hAnsi="宋体" w:cs="宋体"/>
              </w:rPr>
              <w:t>100≤Y&lt;1000</w:t>
            </w:r>
          </w:p>
        </w:tc>
        <w:tc>
          <w:tcPr>
            <w:tcW w:w="1036" w:type="dxa"/>
            <w:noWrap/>
            <w:vAlign w:val="center"/>
          </w:tcPr>
          <w:p w14:paraId="0A7268B8">
            <w:pPr>
              <w:spacing w:line="360" w:lineRule="auto"/>
              <w:jc w:val="center"/>
              <w:rPr>
                <w:rFonts w:ascii="宋体" w:hAnsi="宋体" w:cs="宋体"/>
              </w:rPr>
            </w:pPr>
            <w:r>
              <w:rPr>
                <w:rFonts w:hint="eastAsia" w:ascii="宋体" w:hAnsi="宋体" w:cs="宋体"/>
              </w:rPr>
              <w:t>Y&lt;100</w:t>
            </w:r>
          </w:p>
        </w:tc>
      </w:tr>
      <w:tr w14:paraId="7AB0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2DA8C74D">
            <w:pPr>
              <w:spacing w:line="360" w:lineRule="auto"/>
              <w:jc w:val="center"/>
              <w:rPr>
                <w:rFonts w:ascii="宋体" w:hAnsi="宋体" w:cs="宋体"/>
              </w:rPr>
            </w:pPr>
            <w:r>
              <w:rPr>
                <w:rFonts w:hint="eastAsia" w:ascii="宋体" w:hAnsi="宋体" w:cs="宋体"/>
              </w:rPr>
              <w:t>邮政业</w:t>
            </w:r>
          </w:p>
        </w:tc>
        <w:tc>
          <w:tcPr>
            <w:tcW w:w="1447" w:type="dxa"/>
            <w:noWrap/>
            <w:vAlign w:val="center"/>
          </w:tcPr>
          <w:p w14:paraId="233CC4CA">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107A6C05">
            <w:pPr>
              <w:spacing w:line="360" w:lineRule="auto"/>
              <w:jc w:val="center"/>
              <w:rPr>
                <w:rFonts w:ascii="宋体" w:hAnsi="宋体" w:cs="宋体"/>
              </w:rPr>
            </w:pPr>
            <w:r>
              <w:rPr>
                <w:rFonts w:hint="eastAsia" w:ascii="宋体" w:hAnsi="宋体" w:cs="宋体"/>
              </w:rPr>
              <w:t>人</w:t>
            </w:r>
          </w:p>
        </w:tc>
        <w:tc>
          <w:tcPr>
            <w:tcW w:w="1830" w:type="dxa"/>
            <w:noWrap/>
            <w:vAlign w:val="center"/>
          </w:tcPr>
          <w:p w14:paraId="7350C793">
            <w:pPr>
              <w:spacing w:line="360" w:lineRule="auto"/>
              <w:jc w:val="center"/>
              <w:rPr>
                <w:rFonts w:ascii="宋体" w:hAnsi="宋体" w:cs="宋体"/>
              </w:rPr>
            </w:pPr>
            <w:r>
              <w:rPr>
                <w:rFonts w:hint="eastAsia" w:ascii="宋体" w:hAnsi="宋体" w:cs="宋体"/>
              </w:rPr>
              <w:t>300≤X&lt;1000</w:t>
            </w:r>
          </w:p>
        </w:tc>
        <w:tc>
          <w:tcPr>
            <w:tcW w:w="1572" w:type="dxa"/>
            <w:noWrap/>
            <w:vAlign w:val="center"/>
          </w:tcPr>
          <w:p w14:paraId="160205C2">
            <w:pPr>
              <w:spacing w:line="360" w:lineRule="auto"/>
              <w:jc w:val="center"/>
              <w:rPr>
                <w:rFonts w:ascii="宋体" w:hAnsi="宋体" w:cs="宋体"/>
              </w:rPr>
            </w:pPr>
            <w:r>
              <w:rPr>
                <w:rFonts w:hint="eastAsia" w:ascii="宋体" w:hAnsi="宋体" w:cs="宋体"/>
              </w:rPr>
              <w:t>20≤X&lt;300</w:t>
            </w:r>
          </w:p>
        </w:tc>
        <w:tc>
          <w:tcPr>
            <w:tcW w:w="1036" w:type="dxa"/>
            <w:noWrap/>
            <w:vAlign w:val="center"/>
          </w:tcPr>
          <w:p w14:paraId="236CDEA4">
            <w:pPr>
              <w:spacing w:line="360" w:lineRule="auto"/>
              <w:jc w:val="center"/>
              <w:rPr>
                <w:rFonts w:ascii="宋体" w:hAnsi="宋体" w:cs="宋体"/>
              </w:rPr>
            </w:pPr>
            <w:r>
              <w:rPr>
                <w:rFonts w:hint="eastAsia" w:ascii="宋体" w:hAnsi="宋体" w:cs="宋体"/>
              </w:rPr>
              <w:t>X&lt;20</w:t>
            </w:r>
          </w:p>
        </w:tc>
      </w:tr>
      <w:tr w14:paraId="45D3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715A79EF">
            <w:pPr>
              <w:spacing w:line="360" w:lineRule="auto"/>
              <w:jc w:val="center"/>
              <w:rPr>
                <w:rFonts w:ascii="宋体" w:hAnsi="宋体" w:cs="宋体"/>
              </w:rPr>
            </w:pPr>
          </w:p>
        </w:tc>
        <w:tc>
          <w:tcPr>
            <w:tcW w:w="1447" w:type="dxa"/>
            <w:noWrap/>
            <w:vAlign w:val="center"/>
          </w:tcPr>
          <w:p w14:paraId="1FA9BB0F">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718C4E23">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0A322706">
            <w:pPr>
              <w:spacing w:line="360" w:lineRule="auto"/>
              <w:jc w:val="center"/>
              <w:rPr>
                <w:rFonts w:ascii="宋体" w:hAnsi="宋体" w:cs="宋体"/>
              </w:rPr>
            </w:pPr>
            <w:r>
              <w:rPr>
                <w:rFonts w:hint="eastAsia" w:ascii="宋体" w:hAnsi="宋体" w:cs="宋体"/>
              </w:rPr>
              <w:t>2000≤Y&lt;30000</w:t>
            </w:r>
          </w:p>
        </w:tc>
        <w:tc>
          <w:tcPr>
            <w:tcW w:w="1572" w:type="dxa"/>
            <w:noWrap/>
            <w:vAlign w:val="center"/>
          </w:tcPr>
          <w:p w14:paraId="03410FB4">
            <w:pPr>
              <w:spacing w:line="360" w:lineRule="auto"/>
              <w:jc w:val="center"/>
              <w:rPr>
                <w:rFonts w:ascii="宋体" w:hAnsi="宋体" w:cs="宋体"/>
              </w:rPr>
            </w:pPr>
            <w:r>
              <w:rPr>
                <w:rFonts w:hint="eastAsia" w:ascii="宋体" w:hAnsi="宋体" w:cs="宋体"/>
              </w:rPr>
              <w:t>100≤Y&lt;2000</w:t>
            </w:r>
          </w:p>
        </w:tc>
        <w:tc>
          <w:tcPr>
            <w:tcW w:w="1036" w:type="dxa"/>
            <w:noWrap/>
            <w:vAlign w:val="center"/>
          </w:tcPr>
          <w:p w14:paraId="1216C652">
            <w:pPr>
              <w:spacing w:line="360" w:lineRule="auto"/>
              <w:jc w:val="center"/>
              <w:rPr>
                <w:rFonts w:ascii="宋体" w:hAnsi="宋体" w:cs="宋体"/>
              </w:rPr>
            </w:pPr>
            <w:r>
              <w:rPr>
                <w:rFonts w:hint="eastAsia" w:ascii="宋体" w:hAnsi="宋体" w:cs="宋体"/>
              </w:rPr>
              <w:t>Y&lt;100</w:t>
            </w:r>
          </w:p>
        </w:tc>
      </w:tr>
      <w:tr w14:paraId="7D6CD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2B63759E">
            <w:pPr>
              <w:spacing w:line="360" w:lineRule="auto"/>
              <w:jc w:val="center"/>
              <w:rPr>
                <w:rFonts w:ascii="宋体" w:hAnsi="宋体" w:cs="宋体"/>
              </w:rPr>
            </w:pPr>
            <w:r>
              <w:rPr>
                <w:rFonts w:hint="eastAsia" w:ascii="宋体" w:hAnsi="宋体" w:cs="宋体"/>
              </w:rPr>
              <w:t>住宿业</w:t>
            </w:r>
          </w:p>
        </w:tc>
        <w:tc>
          <w:tcPr>
            <w:tcW w:w="1447" w:type="dxa"/>
            <w:noWrap/>
            <w:vAlign w:val="center"/>
          </w:tcPr>
          <w:p w14:paraId="4C35A847">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272B2A06">
            <w:pPr>
              <w:spacing w:line="360" w:lineRule="auto"/>
              <w:jc w:val="center"/>
              <w:rPr>
                <w:rFonts w:ascii="宋体" w:hAnsi="宋体" w:cs="宋体"/>
              </w:rPr>
            </w:pPr>
            <w:r>
              <w:rPr>
                <w:rFonts w:hint="eastAsia" w:ascii="宋体" w:hAnsi="宋体" w:cs="宋体"/>
              </w:rPr>
              <w:t>人</w:t>
            </w:r>
          </w:p>
        </w:tc>
        <w:tc>
          <w:tcPr>
            <w:tcW w:w="1830" w:type="dxa"/>
            <w:noWrap/>
            <w:vAlign w:val="center"/>
          </w:tcPr>
          <w:p w14:paraId="02EDACD9">
            <w:pPr>
              <w:spacing w:line="360" w:lineRule="auto"/>
              <w:jc w:val="center"/>
              <w:rPr>
                <w:rFonts w:ascii="宋体" w:hAnsi="宋体" w:cs="宋体"/>
              </w:rPr>
            </w:pPr>
            <w:r>
              <w:rPr>
                <w:rFonts w:hint="eastAsia" w:ascii="宋体" w:hAnsi="宋体" w:cs="宋体"/>
              </w:rPr>
              <w:t>100≤X&lt;300</w:t>
            </w:r>
          </w:p>
        </w:tc>
        <w:tc>
          <w:tcPr>
            <w:tcW w:w="1572" w:type="dxa"/>
            <w:noWrap/>
            <w:vAlign w:val="center"/>
          </w:tcPr>
          <w:p w14:paraId="0FEF93B9">
            <w:pPr>
              <w:spacing w:line="360" w:lineRule="auto"/>
              <w:jc w:val="center"/>
              <w:rPr>
                <w:rFonts w:ascii="宋体" w:hAnsi="宋体" w:cs="宋体"/>
              </w:rPr>
            </w:pPr>
            <w:r>
              <w:rPr>
                <w:rFonts w:hint="eastAsia" w:ascii="宋体" w:hAnsi="宋体" w:cs="宋体"/>
              </w:rPr>
              <w:t>10≤X&lt;100</w:t>
            </w:r>
          </w:p>
        </w:tc>
        <w:tc>
          <w:tcPr>
            <w:tcW w:w="1036" w:type="dxa"/>
            <w:noWrap/>
            <w:vAlign w:val="center"/>
          </w:tcPr>
          <w:p w14:paraId="72A929C7">
            <w:pPr>
              <w:spacing w:line="360" w:lineRule="auto"/>
              <w:jc w:val="center"/>
              <w:rPr>
                <w:rFonts w:ascii="宋体" w:hAnsi="宋体" w:cs="宋体"/>
              </w:rPr>
            </w:pPr>
            <w:r>
              <w:rPr>
                <w:rFonts w:hint="eastAsia" w:ascii="宋体" w:hAnsi="宋体" w:cs="宋体"/>
              </w:rPr>
              <w:t>X&lt;10</w:t>
            </w:r>
          </w:p>
        </w:tc>
      </w:tr>
      <w:tr w14:paraId="0E9F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5735DEC7">
            <w:pPr>
              <w:spacing w:line="360" w:lineRule="auto"/>
              <w:jc w:val="center"/>
              <w:rPr>
                <w:rFonts w:ascii="宋体" w:hAnsi="宋体" w:cs="宋体"/>
              </w:rPr>
            </w:pPr>
          </w:p>
        </w:tc>
        <w:tc>
          <w:tcPr>
            <w:tcW w:w="1447" w:type="dxa"/>
            <w:noWrap/>
            <w:vAlign w:val="center"/>
          </w:tcPr>
          <w:p w14:paraId="0501F8F0">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22113117">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4543CC29">
            <w:pPr>
              <w:spacing w:line="360" w:lineRule="auto"/>
              <w:jc w:val="center"/>
              <w:rPr>
                <w:rFonts w:ascii="宋体" w:hAnsi="宋体" w:cs="宋体"/>
              </w:rPr>
            </w:pPr>
            <w:r>
              <w:rPr>
                <w:rFonts w:hint="eastAsia" w:ascii="宋体" w:hAnsi="宋体" w:cs="宋体"/>
              </w:rPr>
              <w:t>2000≤Y&lt;10000</w:t>
            </w:r>
          </w:p>
        </w:tc>
        <w:tc>
          <w:tcPr>
            <w:tcW w:w="1572" w:type="dxa"/>
            <w:noWrap/>
            <w:vAlign w:val="center"/>
          </w:tcPr>
          <w:p w14:paraId="60A2035D">
            <w:pPr>
              <w:spacing w:line="360" w:lineRule="auto"/>
              <w:jc w:val="center"/>
              <w:rPr>
                <w:rFonts w:ascii="宋体" w:hAnsi="宋体" w:cs="宋体"/>
              </w:rPr>
            </w:pPr>
            <w:r>
              <w:rPr>
                <w:rFonts w:hint="eastAsia" w:ascii="宋体" w:hAnsi="宋体" w:cs="宋体"/>
              </w:rPr>
              <w:t>100≤Y&lt;2000</w:t>
            </w:r>
          </w:p>
        </w:tc>
        <w:tc>
          <w:tcPr>
            <w:tcW w:w="1036" w:type="dxa"/>
            <w:noWrap/>
            <w:vAlign w:val="center"/>
          </w:tcPr>
          <w:p w14:paraId="7FF38406">
            <w:pPr>
              <w:spacing w:line="360" w:lineRule="auto"/>
              <w:jc w:val="center"/>
              <w:rPr>
                <w:rFonts w:ascii="宋体" w:hAnsi="宋体" w:cs="宋体"/>
              </w:rPr>
            </w:pPr>
            <w:r>
              <w:rPr>
                <w:rFonts w:hint="eastAsia" w:ascii="宋体" w:hAnsi="宋体" w:cs="宋体"/>
              </w:rPr>
              <w:t>Y&lt;100</w:t>
            </w:r>
          </w:p>
        </w:tc>
      </w:tr>
      <w:tr w14:paraId="7D79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70793457">
            <w:pPr>
              <w:spacing w:line="360" w:lineRule="auto"/>
              <w:jc w:val="center"/>
              <w:rPr>
                <w:rFonts w:ascii="宋体" w:hAnsi="宋体" w:cs="宋体"/>
              </w:rPr>
            </w:pPr>
            <w:r>
              <w:rPr>
                <w:rFonts w:hint="eastAsia" w:ascii="宋体" w:hAnsi="宋体" w:cs="宋体"/>
              </w:rPr>
              <w:t>餐饮业</w:t>
            </w:r>
          </w:p>
        </w:tc>
        <w:tc>
          <w:tcPr>
            <w:tcW w:w="1447" w:type="dxa"/>
            <w:noWrap/>
            <w:vAlign w:val="center"/>
          </w:tcPr>
          <w:p w14:paraId="62E477FD">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0C09292A">
            <w:pPr>
              <w:spacing w:line="360" w:lineRule="auto"/>
              <w:jc w:val="center"/>
              <w:rPr>
                <w:rFonts w:ascii="宋体" w:hAnsi="宋体" w:cs="宋体"/>
              </w:rPr>
            </w:pPr>
            <w:r>
              <w:rPr>
                <w:rFonts w:hint="eastAsia" w:ascii="宋体" w:hAnsi="宋体" w:cs="宋体"/>
              </w:rPr>
              <w:t>人</w:t>
            </w:r>
          </w:p>
        </w:tc>
        <w:tc>
          <w:tcPr>
            <w:tcW w:w="1830" w:type="dxa"/>
            <w:noWrap/>
            <w:vAlign w:val="center"/>
          </w:tcPr>
          <w:p w14:paraId="057A8924">
            <w:pPr>
              <w:spacing w:line="360" w:lineRule="auto"/>
              <w:jc w:val="center"/>
              <w:rPr>
                <w:rFonts w:ascii="宋体" w:hAnsi="宋体" w:cs="宋体"/>
              </w:rPr>
            </w:pPr>
            <w:r>
              <w:rPr>
                <w:rFonts w:hint="eastAsia" w:ascii="宋体" w:hAnsi="宋体" w:cs="宋体"/>
              </w:rPr>
              <w:t>100≤X&lt;300</w:t>
            </w:r>
          </w:p>
        </w:tc>
        <w:tc>
          <w:tcPr>
            <w:tcW w:w="1572" w:type="dxa"/>
            <w:noWrap/>
            <w:vAlign w:val="center"/>
          </w:tcPr>
          <w:p w14:paraId="2174341F">
            <w:pPr>
              <w:spacing w:line="360" w:lineRule="auto"/>
              <w:jc w:val="center"/>
              <w:rPr>
                <w:rFonts w:ascii="宋体" w:hAnsi="宋体" w:cs="宋体"/>
              </w:rPr>
            </w:pPr>
            <w:r>
              <w:rPr>
                <w:rFonts w:hint="eastAsia" w:ascii="宋体" w:hAnsi="宋体" w:cs="宋体"/>
              </w:rPr>
              <w:t>10≤X&lt;100</w:t>
            </w:r>
          </w:p>
        </w:tc>
        <w:tc>
          <w:tcPr>
            <w:tcW w:w="1036" w:type="dxa"/>
            <w:noWrap/>
            <w:vAlign w:val="center"/>
          </w:tcPr>
          <w:p w14:paraId="7A19E548">
            <w:pPr>
              <w:spacing w:line="360" w:lineRule="auto"/>
              <w:jc w:val="center"/>
              <w:rPr>
                <w:rFonts w:ascii="宋体" w:hAnsi="宋体" w:cs="宋体"/>
              </w:rPr>
            </w:pPr>
            <w:r>
              <w:rPr>
                <w:rFonts w:hint="eastAsia" w:ascii="宋体" w:hAnsi="宋体" w:cs="宋体"/>
              </w:rPr>
              <w:t>X&lt;10</w:t>
            </w:r>
          </w:p>
        </w:tc>
      </w:tr>
      <w:tr w14:paraId="5716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0E7880B1">
            <w:pPr>
              <w:spacing w:line="360" w:lineRule="auto"/>
              <w:jc w:val="center"/>
              <w:rPr>
                <w:rFonts w:ascii="宋体" w:hAnsi="宋体" w:cs="宋体"/>
              </w:rPr>
            </w:pPr>
          </w:p>
        </w:tc>
        <w:tc>
          <w:tcPr>
            <w:tcW w:w="1447" w:type="dxa"/>
            <w:noWrap/>
            <w:vAlign w:val="center"/>
          </w:tcPr>
          <w:p w14:paraId="5F54BE01">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67109012">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14AB3952">
            <w:pPr>
              <w:spacing w:line="360" w:lineRule="auto"/>
              <w:jc w:val="center"/>
              <w:rPr>
                <w:rFonts w:ascii="宋体" w:hAnsi="宋体" w:cs="宋体"/>
              </w:rPr>
            </w:pPr>
            <w:r>
              <w:rPr>
                <w:rFonts w:hint="eastAsia" w:ascii="宋体" w:hAnsi="宋体" w:cs="宋体"/>
              </w:rPr>
              <w:t>2000≤Y&lt;10000</w:t>
            </w:r>
          </w:p>
        </w:tc>
        <w:tc>
          <w:tcPr>
            <w:tcW w:w="1572" w:type="dxa"/>
            <w:noWrap/>
            <w:vAlign w:val="center"/>
          </w:tcPr>
          <w:p w14:paraId="551411CE">
            <w:pPr>
              <w:spacing w:line="360" w:lineRule="auto"/>
              <w:jc w:val="center"/>
              <w:rPr>
                <w:rFonts w:ascii="宋体" w:hAnsi="宋体" w:cs="宋体"/>
              </w:rPr>
            </w:pPr>
            <w:r>
              <w:rPr>
                <w:rFonts w:hint="eastAsia" w:ascii="宋体" w:hAnsi="宋体" w:cs="宋体"/>
              </w:rPr>
              <w:t>100≤Y&lt;2000</w:t>
            </w:r>
          </w:p>
        </w:tc>
        <w:tc>
          <w:tcPr>
            <w:tcW w:w="1036" w:type="dxa"/>
            <w:noWrap/>
            <w:vAlign w:val="center"/>
          </w:tcPr>
          <w:p w14:paraId="2CFA11E2">
            <w:pPr>
              <w:spacing w:line="360" w:lineRule="auto"/>
              <w:jc w:val="center"/>
              <w:rPr>
                <w:rFonts w:ascii="宋体" w:hAnsi="宋体" w:cs="宋体"/>
              </w:rPr>
            </w:pPr>
            <w:r>
              <w:rPr>
                <w:rFonts w:hint="eastAsia" w:ascii="宋体" w:hAnsi="宋体" w:cs="宋体"/>
              </w:rPr>
              <w:t>Y&lt;100</w:t>
            </w:r>
          </w:p>
        </w:tc>
      </w:tr>
      <w:tr w14:paraId="13E6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24528F7A">
            <w:pPr>
              <w:spacing w:line="360" w:lineRule="auto"/>
              <w:jc w:val="center"/>
              <w:rPr>
                <w:rFonts w:ascii="宋体" w:hAnsi="宋体" w:cs="宋体"/>
              </w:rPr>
            </w:pPr>
            <w:r>
              <w:rPr>
                <w:rFonts w:hint="eastAsia" w:ascii="宋体" w:hAnsi="宋体" w:cs="宋体"/>
              </w:rPr>
              <w:t>信息传输业</w:t>
            </w:r>
          </w:p>
        </w:tc>
        <w:tc>
          <w:tcPr>
            <w:tcW w:w="1447" w:type="dxa"/>
            <w:noWrap/>
            <w:vAlign w:val="center"/>
          </w:tcPr>
          <w:p w14:paraId="335E3BB7">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33155E36">
            <w:pPr>
              <w:spacing w:line="360" w:lineRule="auto"/>
              <w:jc w:val="center"/>
              <w:rPr>
                <w:rFonts w:ascii="宋体" w:hAnsi="宋体" w:cs="宋体"/>
              </w:rPr>
            </w:pPr>
            <w:r>
              <w:rPr>
                <w:rFonts w:hint="eastAsia" w:ascii="宋体" w:hAnsi="宋体" w:cs="宋体"/>
              </w:rPr>
              <w:t>人</w:t>
            </w:r>
          </w:p>
        </w:tc>
        <w:tc>
          <w:tcPr>
            <w:tcW w:w="1830" w:type="dxa"/>
            <w:noWrap/>
            <w:vAlign w:val="center"/>
          </w:tcPr>
          <w:p w14:paraId="783C5800">
            <w:pPr>
              <w:spacing w:line="360" w:lineRule="auto"/>
              <w:jc w:val="center"/>
              <w:rPr>
                <w:rFonts w:ascii="宋体" w:hAnsi="宋体" w:cs="宋体"/>
              </w:rPr>
            </w:pPr>
            <w:r>
              <w:rPr>
                <w:rFonts w:hint="eastAsia" w:ascii="宋体" w:hAnsi="宋体" w:cs="宋体"/>
              </w:rPr>
              <w:t>100≤X&lt;2000</w:t>
            </w:r>
          </w:p>
        </w:tc>
        <w:tc>
          <w:tcPr>
            <w:tcW w:w="1572" w:type="dxa"/>
            <w:noWrap/>
            <w:vAlign w:val="center"/>
          </w:tcPr>
          <w:p w14:paraId="2FFD9CDD">
            <w:pPr>
              <w:spacing w:line="360" w:lineRule="auto"/>
              <w:jc w:val="center"/>
              <w:rPr>
                <w:rFonts w:ascii="宋体" w:hAnsi="宋体" w:cs="宋体"/>
              </w:rPr>
            </w:pPr>
            <w:r>
              <w:rPr>
                <w:rFonts w:hint="eastAsia" w:ascii="宋体" w:hAnsi="宋体" w:cs="宋体"/>
              </w:rPr>
              <w:t>10≤X&lt;100</w:t>
            </w:r>
          </w:p>
        </w:tc>
        <w:tc>
          <w:tcPr>
            <w:tcW w:w="1036" w:type="dxa"/>
            <w:noWrap/>
            <w:vAlign w:val="center"/>
          </w:tcPr>
          <w:p w14:paraId="686F8F61">
            <w:pPr>
              <w:spacing w:line="360" w:lineRule="auto"/>
              <w:jc w:val="center"/>
              <w:rPr>
                <w:rFonts w:ascii="宋体" w:hAnsi="宋体" w:cs="宋体"/>
              </w:rPr>
            </w:pPr>
            <w:r>
              <w:rPr>
                <w:rFonts w:hint="eastAsia" w:ascii="宋体" w:hAnsi="宋体" w:cs="宋体"/>
              </w:rPr>
              <w:t>X&lt;10</w:t>
            </w:r>
          </w:p>
        </w:tc>
      </w:tr>
      <w:tr w14:paraId="23C0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526DE344">
            <w:pPr>
              <w:spacing w:line="360" w:lineRule="auto"/>
              <w:jc w:val="center"/>
              <w:rPr>
                <w:rFonts w:ascii="宋体" w:hAnsi="宋体" w:cs="宋体"/>
              </w:rPr>
            </w:pPr>
          </w:p>
        </w:tc>
        <w:tc>
          <w:tcPr>
            <w:tcW w:w="1447" w:type="dxa"/>
            <w:noWrap/>
            <w:vAlign w:val="center"/>
          </w:tcPr>
          <w:p w14:paraId="2F9D84EC">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0D57EA24">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0845B690">
            <w:pPr>
              <w:spacing w:line="360" w:lineRule="auto"/>
              <w:jc w:val="center"/>
              <w:rPr>
                <w:rFonts w:ascii="宋体" w:hAnsi="宋体" w:cs="宋体"/>
              </w:rPr>
            </w:pPr>
            <w:r>
              <w:rPr>
                <w:rFonts w:hint="eastAsia" w:ascii="宋体" w:hAnsi="宋体" w:cs="宋体"/>
              </w:rPr>
              <w:t>1000≤Y&lt;100000</w:t>
            </w:r>
          </w:p>
        </w:tc>
        <w:tc>
          <w:tcPr>
            <w:tcW w:w="1572" w:type="dxa"/>
            <w:noWrap/>
            <w:vAlign w:val="center"/>
          </w:tcPr>
          <w:p w14:paraId="7B6479EF">
            <w:pPr>
              <w:spacing w:line="360" w:lineRule="auto"/>
              <w:jc w:val="center"/>
              <w:rPr>
                <w:rFonts w:ascii="宋体" w:hAnsi="宋体" w:cs="宋体"/>
              </w:rPr>
            </w:pPr>
            <w:r>
              <w:rPr>
                <w:rFonts w:hint="eastAsia" w:ascii="宋体" w:hAnsi="宋体" w:cs="宋体"/>
              </w:rPr>
              <w:t>100≤Y&lt;1000</w:t>
            </w:r>
          </w:p>
        </w:tc>
        <w:tc>
          <w:tcPr>
            <w:tcW w:w="1036" w:type="dxa"/>
            <w:noWrap/>
            <w:vAlign w:val="center"/>
          </w:tcPr>
          <w:p w14:paraId="74EF0613">
            <w:pPr>
              <w:spacing w:line="360" w:lineRule="auto"/>
              <w:jc w:val="center"/>
              <w:rPr>
                <w:rFonts w:ascii="宋体" w:hAnsi="宋体" w:cs="宋体"/>
              </w:rPr>
            </w:pPr>
            <w:r>
              <w:rPr>
                <w:rFonts w:hint="eastAsia" w:ascii="宋体" w:hAnsi="宋体" w:cs="宋体"/>
              </w:rPr>
              <w:t>Y&lt;100</w:t>
            </w:r>
          </w:p>
        </w:tc>
      </w:tr>
      <w:tr w14:paraId="02E7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2E431A63">
            <w:pPr>
              <w:spacing w:line="360" w:lineRule="auto"/>
              <w:jc w:val="center"/>
              <w:rPr>
                <w:rFonts w:ascii="宋体" w:hAnsi="宋体" w:cs="宋体"/>
              </w:rPr>
            </w:pPr>
            <w:r>
              <w:rPr>
                <w:rFonts w:hint="eastAsia" w:ascii="宋体" w:hAnsi="宋体" w:cs="宋体"/>
              </w:rPr>
              <w:t>软件和信息技术服务业</w:t>
            </w:r>
          </w:p>
        </w:tc>
        <w:tc>
          <w:tcPr>
            <w:tcW w:w="1447" w:type="dxa"/>
            <w:noWrap/>
            <w:vAlign w:val="center"/>
          </w:tcPr>
          <w:p w14:paraId="6B12293B">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53D01E81">
            <w:pPr>
              <w:spacing w:line="360" w:lineRule="auto"/>
              <w:jc w:val="center"/>
              <w:rPr>
                <w:rFonts w:ascii="宋体" w:hAnsi="宋体" w:cs="宋体"/>
              </w:rPr>
            </w:pPr>
            <w:r>
              <w:rPr>
                <w:rFonts w:hint="eastAsia" w:ascii="宋体" w:hAnsi="宋体" w:cs="宋体"/>
              </w:rPr>
              <w:t>人</w:t>
            </w:r>
          </w:p>
        </w:tc>
        <w:tc>
          <w:tcPr>
            <w:tcW w:w="1830" w:type="dxa"/>
            <w:noWrap/>
            <w:vAlign w:val="center"/>
          </w:tcPr>
          <w:p w14:paraId="7E555977">
            <w:pPr>
              <w:spacing w:line="360" w:lineRule="auto"/>
              <w:jc w:val="center"/>
              <w:rPr>
                <w:rFonts w:ascii="宋体" w:hAnsi="宋体" w:cs="宋体"/>
              </w:rPr>
            </w:pPr>
            <w:r>
              <w:rPr>
                <w:rFonts w:hint="eastAsia" w:ascii="宋体" w:hAnsi="宋体" w:cs="宋体"/>
              </w:rPr>
              <w:t>100≤X&lt;300</w:t>
            </w:r>
          </w:p>
        </w:tc>
        <w:tc>
          <w:tcPr>
            <w:tcW w:w="1572" w:type="dxa"/>
            <w:noWrap/>
            <w:vAlign w:val="center"/>
          </w:tcPr>
          <w:p w14:paraId="21B824F9">
            <w:pPr>
              <w:spacing w:line="360" w:lineRule="auto"/>
              <w:jc w:val="center"/>
              <w:rPr>
                <w:rFonts w:ascii="宋体" w:hAnsi="宋体" w:cs="宋体"/>
              </w:rPr>
            </w:pPr>
            <w:r>
              <w:rPr>
                <w:rFonts w:hint="eastAsia" w:ascii="宋体" w:hAnsi="宋体" w:cs="宋体"/>
              </w:rPr>
              <w:t>10≤X&lt;100</w:t>
            </w:r>
          </w:p>
        </w:tc>
        <w:tc>
          <w:tcPr>
            <w:tcW w:w="1036" w:type="dxa"/>
            <w:noWrap/>
            <w:vAlign w:val="center"/>
          </w:tcPr>
          <w:p w14:paraId="669104B0">
            <w:pPr>
              <w:spacing w:line="360" w:lineRule="auto"/>
              <w:jc w:val="center"/>
              <w:rPr>
                <w:rFonts w:ascii="宋体" w:hAnsi="宋体" w:cs="宋体"/>
              </w:rPr>
            </w:pPr>
            <w:r>
              <w:rPr>
                <w:rFonts w:hint="eastAsia" w:ascii="宋体" w:hAnsi="宋体" w:cs="宋体"/>
              </w:rPr>
              <w:t>X&lt;10</w:t>
            </w:r>
          </w:p>
        </w:tc>
      </w:tr>
      <w:tr w14:paraId="30FF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0A501918">
            <w:pPr>
              <w:spacing w:line="360" w:lineRule="auto"/>
              <w:jc w:val="center"/>
              <w:rPr>
                <w:rFonts w:ascii="宋体" w:hAnsi="宋体" w:cs="宋体"/>
              </w:rPr>
            </w:pPr>
          </w:p>
        </w:tc>
        <w:tc>
          <w:tcPr>
            <w:tcW w:w="1447" w:type="dxa"/>
            <w:noWrap/>
            <w:vAlign w:val="center"/>
          </w:tcPr>
          <w:p w14:paraId="437B52FB">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489DE7C2">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31C06191">
            <w:pPr>
              <w:spacing w:line="360" w:lineRule="auto"/>
              <w:jc w:val="center"/>
              <w:rPr>
                <w:rFonts w:ascii="宋体" w:hAnsi="宋体" w:cs="宋体"/>
              </w:rPr>
            </w:pPr>
            <w:r>
              <w:rPr>
                <w:rFonts w:hint="eastAsia" w:ascii="宋体" w:hAnsi="宋体" w:cs="宋体"/>
              </w:rPr>
              <w:t>1000≤Y&lt;10000</w:t>
            </w:r>
          </w:p>
        </w:tc>
        <w:tc>
          <w:tcPr>
            <w:tcW w:w="1572" w:type="dxa"/>
            <w:noWrap/>
            <w:vAlign w:val="center"/>
          </w:tcPr>
          <w:p w14:paraId="07829DE7">
            <w:pPr>
              <w:spacing w:line="360" w:lineRule="auto"/>
              <w:jc w:val="center"/>
              <w:rPr>
                <w:rFonts w:ascii="宋体" w:hAnsi="宋体" w:cs="宋体"/>
              </w:rPr>
            </w:pPr>
            <w:r>
              <w:rPr>
                <w:rFonts w:hint="eastAsia" w:ascii="宋体" w:hAnsi="宋体" w:cs="宋体"/>
              </w:rPr>
              <w:t>50≤Y&lt;1000</w:t>
            </w:r>
          </w:p>
        </w:tc>
        <w:tc>
          <w:tcPr>
            <w:tcW w:w="1036" w:type="dxa"/>
            <w:noWrap/>
            <w:vAlign w:val="center"/>
          </w:tcPr>
          <w:p w14:paraId="64F3BCAC">
            <w:pPr>
              <w:spacing w:line="360" w:lineRule="auto"/>
              <w:jc w:val="center"/>
              <w:rPr>
                <w:rFonts w:ascii="宋体" w:hAnsi="宋体" w:cs="宋体"/>
              </w:rPr>
            </w:pPr>
            <w:r>
              <w:rPr>
                <w:rFonts w:hint="eastAsia" w:ascii="宋体" w:hAnsi="宋体" w:cs="宋体"/>
              </w:rPr>
              <w:t>Y&lt;50</w:t>
            </w:r>
          </w:p>
        </w:tc>
      </w:tr>
      <w:tr w14:paraId="0D5A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5E083B53">
            <w:pPr>
              <w:spacing w:line="360" w:lineRule="auto"/>
              <w:jc w:val="center"/>
              <w:rPr>
                <w:rFonts w:ascii="宋体" w:hAnsi="宋体" w:cs="宋体"/>
              </w:rPr>
            </w:pPr>
            <w:r>
              <w:rPr>
                <w:rFonts w:hint="eastAsia" w:ascii="宋体" w:hAnsi="宋体" w:cs="宋体"/>
              </w:rPr>
              <w:t>房地产开发经营</w:t>
            </w:r>
          </w:p>
        </w:tc>
        <w:tc>
          <w:tcPr>
            <w:tcW w:w="1447" w:type="dxa"/>
            <w:noWrap/>
            <w:vAlign w:val="center"/>
          </w:tcPr>
          <w:p w14:paraId="48BFB0CE">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514B52D8">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5228BAB6">
            <w:pPr>
              <w:spacing w:line="360" w:lineRule="auto"/>
              <w:jc w:val="center"/>
              <w:rPr>
                <w:rFonts w:ascii="宋体" w:hAnsi="宋体" w:cs="宋体"/>
              </w:rPr>
            </w:pPr>
            <w:r>
              <w:rPr>
                <w:rFonts w:hint="eastAsia" w:ascii="宋体" w:hAnsi="宋体" w:cs="宋体"/>
              </w:rPr>
              <w:t>1000≤Y&lt;200000</w:t>
            </w:r>
          </w:p>
        </w:tc>
        <w:tc>
          <w:tcPr>
            <w:tcW w:w="1572" w:type="dxa"/>
            <w:noWrap/>
            <w:vAlign w:val="center"/>
          </w:tcPr>
          <w:p w14:paraId="5599D8F0">
            <w:pPr>
              <w:spacing w:line="360" w:lineRule="auto"/>
              <w:jc w:val="center"/>
              <w:rPr>
                <w:rFonts w:ascii="宋体" w:hAnsi="宋体" w:cs="宋体"/>
              </w:rPr>
            </w:pPr>
            <w:r>
              <w:rPr>
                <w:rFonts w:hint="eastAsia" w:ascii="宋体" w:hAnsi="宋体" w:cs="宋体"/>
              </w:rPr>
              <w:t>100≤Y&lt;1000</w:t>
            </w:r>
          </w:p>
        </w:tc>
        <w:tc>
          <w:tcPr>
            <w:tcW w:w="1036" w:type="dxa"/>
            <w:noWrap/>
            <w:vAlign w:val="center"/>
          </w:tcPr>
          <w:p w14:paraId="0AD8084E">
            <w:pPr>
              <w:spacing w:line="360" w:lineRule="auto"/>
              <w:jc w:val="center"/>
              <w:rPr>
                <w:rFonts w:ascii="宋体" w:hAnsi="宋体" w:cs="宋体"/>
              </w:rPr>
            </w:pPr>
            <w:r>
              <w:rPr>
                <w:rFonts w:hint="eastAsia" w:ascii="宋体" w:hAnsi="宋体" w:cs="宋体"/>
              </w:rPr>
              <w:t>Y&lt;100</w:t>
            </w:r>
          </w:p>
        </w:tc>
      </w:tr>
      <w:tr w14:paraId="11CB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7FF9981B">
            <w:pPr>
              <w:spacing w:line="360" w:lineRule="auto"/>
              <w:jc w:val="center"/>
              <w:rPr>
                <w:rFonts w:ascii="宋体" w:hAnsi="宋体" w:cs="宋体"/>
              </w:rPr>
            </w:pPr>
          </w:p>
        </w:tc>
        <w:tc>
          <w:tcPr>
            <w:tcW w:w="1447" w:type="dxa"/>
            <w:noWrap/>
            <w:vAlign w:val="center"/>
          </w:tcPr>
          <w:p w14:paraId="0649F14B">
            <w:pPr>
              <w:spacing w:line="360" w:lineRule="auto"/>
              <w:jc w:val="center"/>
              <w:rPr>
                <w:rFonts w:ascii="宋体" w:hAnsi="宋体" w:cs="宋体"/>
              </w:rPr>
            </w:pPr>
            <w:r>
              <w:rPr>
                <w:rFonts w:hint="eastAsia" w:ascii="宋体" w:hAnsi="宋体" w:cs="宋体"/>
              </w:rPr>
              <w:t>资产总额（Z）</w:t>
            </w:r>
          </w:p>
        </w:tc>
        <w:tc>
          <w:tcPr>
            <w:tcW w:w="683" w:type="dxa"/>
            <w:noWrap/>
            <w:vAlign w:val="center"/>
          </w:tcPr>
          <w:p w14:paraId="5F150802">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014EAA65">
            <w:pPr>
              <w:spacing w:line="360" w:lineRule="auto"/>
              <w:jc w:val="center"/>
              <w:rPr>
                <w:rFonts w:ascii="宋体" w:hAnsi="宋体" w:cs="宋体"/>
              </w:rPr>
            </w:pPr>
            <w:r>
              <w:rPr>
                <w:rFonts w:hint="eastAsia" w:ascii="宋体" w:hAnsi="宋体" w:cs="宋体"/>
              </w:rPr>
              <w:t>5000≤Z &lt;10000</w:t>
            </w:r>
          </w:p>
        </w:tc>
        <w:tc>
          <w:tcPr>
            <w:tcW w:w="1572" w:type="dxa"/>
            <w:noWrap/>
            <w:vAlign w:val="center"/>
          </w:tcPr>
          <w:p w14:paraId="75C4E9E1">
            <w:pPr>
              <w:spacing w:line="360" w:lineRule="auto"/>
              <w:jc w:val="center"/>
              <w:rPr>
                <w:rFonts w:ascii="宋体" w:hAnsi="宋体" w:cs="宋体"/>
              </w:rPr>
            </w:pPr>
            <w:r>
              <w:rPr>
                <w:rFonts w:hint="eastAsia" w:ascii="宋体" w:hAnsi="宋体" w:cs="宋体"/>
              </w:rPr>
              <w:t>2000≤Z &lt;5000</w:t>
            </w:r>
          </w:p>
        </w:tc>
        <w:tc>
          <w:tcPr>
            <w:tcW w:w="1036" w:type="dxa"/>
            <w:noWrap/>
            <w:vAlign w:val="center"/>
          </w:tcPr>
          <w:p w14:paraId="19961336">
            <w:pPr>
              <w:spacing w:line="360" w:lineRule="auto"/>
              <w:jc w:val="center"/>
              <w:rPr>
                <w:rFonts w:ascii="宋体" w:hAnsi="宋体" w:cs="宋体"/>
              </w:rPr>
            </w:pPr>
            <w:r>
              <w:rPr>
                <w:rFonts w:hint="eastAsia" w:ascii="宋体" w:hAnsi="宋体" w:cs="宋体"/>
              </w:rPr>
              <w:t>Z&lt;2000</w:t>
            </w:r>
          </w:p>
        </w:tc>
      </w:tr>
      <w:tr w14:paraId="3A88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30594393">
            <w:pPr>
              <w:spacing w:line="360" w:lineRule="auto"/>
              <w:jc w:val="center"/>
              <w:rPr>
                <w:rFonts w:ascii="宋体" w:hAnsi="宋体" w:cs="宋体"/>
              </w:rPr>
            </w:pPr>
            <w:r>
              <w:rPr>
                <w:rFonts w:hint="eastAsia" w:ascii="宋体" w:hAnsi="宋体" w:cs="宋体"/>
              </w:rPr>
              <w:t>物业管理</w:t>
            </w:r>
          </w:p>
        </w:tc>
        <w:tc>
          <w:tcPr>
            <w:tcW w:w="1447" w:type="dxa"/>
            <w:noWrap/>
            <w:vAlign w:val="center"/>
          </w:tcPr>
          <w:p w14:paraId="0A43C014">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48F9F543">
            <w:pPr>
              <w:spacing w:line="360" w:lineRule="auto"/>
              <w:jc w:val="center"/>
              <w:rPr>
                <w:rFonts w:ascii="宋体" w:hAnsi="宋体" w:cs="宋体"/>
              </w:rPr>
            </w:pPr>
            <w:r>
              <w:rPr>
                <w:rFonts w:hint="eastAsia" w:ascii="宋体" w:hAnsi="宋体" w:cs="宋体"/>
              </w:rPr>
              <w:t>人</w:t>
            </w:r>
          </w:p>
        </w:tc>
        <w:tc>
          <w:tcPr>
            <w:tcW w:w="1830" w:type="dxa"/>
            <w:noWrap/>
            <w:vAlign w:val="center"/>
          </w:tcPr>
          <w:p w14:paraId="77881E67">
            <w:pPr>
              <w:spacing w:line="360" w:lineRule="auto"/>
              <w:jc w:val="center"/>
              <w:rPr>
                <w:rFonts w:ascii="宋体" w:hAnsi="宋体" w:cs="宋体"/>
              </w:rPr>
            </w:pPr>
            <w:r>
              <w:rPr>
                <w:rFonts w:hint="eastAsia" w:ascii="宋体" w:hAnsi="宋体" w:cs="宋体"/>
              </w:rPr>
              <w:t>300≤X&lt;1000</w:t>
            </w:r>
          </w:p>
        </w:tc>
        <w:tc>
          <w:tcPr>
            <w:tcW w:w="1572" w:type="dxa"/>
            <w:noWrap/>
            <w:vAlign w:val="center"/>
          </w:tcPr>
          <w:p w14:paraId="05E769B4">
            <w:pPr>
              <w:spacing w:line="360" w:lineRule="auto"/>
              <w:jc w:val="center"/>
              <w:rPr>
                <w:rFonts w:ascii="宋体" w:hAnsi="宋体" w:cs="宋体"/>
              </w:rPr>
            </w:pPr>
            <w:r>
              <w:rPr>
                <w:rFonts w:hint="eastAsia" w:ascii="宋体" w:hAnsi="宋体" w:cs="宋体"/>
              </w:rPr>
              <w:t>100≤X&lt;300</w:t>
            </w:r>
          </w:p>
        </w:tc>
        <w:tc>
          <w:tcPr>
            <w:tcW w:w="1036" w:type="dxa"/>
            <w:noWrap/>
            <w:vAlign w:val="center"/>
          </w:tcPr>
          <w:p w14:paraId="0615988A">
            <w:pPr>
              <w:spacing w:line="360" w:lineRule="auto"/>
              <w:jc w:val="center"/>
              <w:rPr>
                <w:rFonts w:ascii="宋体" w:hAnsi="宋体" w:cs="宋体"/>
              </w:rPr>
            </w:pPr>
            <w:r>
              <w:rPr>
                <w:rFonts w:hint="eastAsia" w:ascii="宋体" w:hAnsi="宋体" w:cs="宋体"/>
              </w:rPr>
              <w:t>X&lt;100</w:t>
            </w:r>
          </w:p>
        </w:tc>
      </w:tr>
      <w:tr w14:paraId="39D7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4161CC35">
            <w:pPr>
              <w:spacing w:line="360" w:lineRule="auto"/>
              <w:jc w:val="center"/>
              <w:rPr>
                <w:rFonts w:ascii="宋体" w:hAnsi="宋体" w:cs="宋体"/>
              </w:rPr>
            </w:pPr>
          </w:p>
        </w:tc>
        <w:tc>
          <w:tcPr>
            <w:tcW w:w="1447" w:type="dxa"/>
            <w:noWrap/>
            <w:vAlign w:val="center"/>
          </w:tcPr>
          <w:p w14:paraId="0DA64A4D">
            <w:pPr>
              <w:spacing w:line="360" w:lineRule="auto"/>
              <w:jc w:val="center"/>
              <w:rPr>
                <w:rFonts w:ascii="宋体" w:hAnsi="宋体" w:cs="宋体"/>
              </w:rPr>
            </w:pPr>
            <w:r>
              <w:rPr>
                <w:rFonts w:hint="eastAsia" w:ascii="宋体" w:hAnsi="宋体" w:cs="宋体"/>
              </w:rPr>
              <w:t>营业收入（Y）</w:t>
            </w:r>
          </w:p>
        </w:tc>
        <w:tc>
          <w:tcPr>
            <w:tcW w:w="683" w:type="dxa"/>
            <w:noWrap/>
            <w:vAlign w:val="center"/>
          </w:tcPr>
          <w:p w14:paraId="15DE2387">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15AD64A9">
            <w:pPr>
              <w:spacing w:line="360" w:lineRule="auto"/>
              <w:jc w:val="center"/>
              <w:rPr>
                <w:rFonts w:ascii="宋体" w:hAnsi="宋体" w:cs="宋体"/>
              </w:rPr>
            </w:pPr>
            <w:r>
              <w:rPr>
                <w:rFonts w:hint="eastAsia" w:ascii="宋体" w:hAnsi="宋体" w:cs="宋体"/>
              </w:rPr>
              <w:t>1000≤Y&lt;5000</w:t>
            </w:r>
          </w:p>
        </w:tc>
        <w:tc>
          <w:tcPr>
            <w:tcW w:w="1572" w:type="dxa"/>
            <w:noWrap/>
            <w:vAlign w:val="center"/>
          </w:tcPr>
          <w:p w14:paraId="7A95CCF8">
            <w:pPr>
              <w:spacing w:line="360" w:lineRule="auto"/>
              <w:jc w:val="center"/>
              <w:rPr>
                <w:rFonts w:ascii="宋体" w:hAnsi="宋体" w:cs="宋体"/>
              </w:rPr>
            </w:pPr>
            <w:r>
              <w:rPr>
                <w:rFonts w:hint="eastAsia" w:ascii="宋体" w:hAnsi="宋体" w:cs="宋体"/>
              </w:rPr>
              <w:t>500≤Y&lt;1000</w:t>
            </w:r>
          </w:p>
        </w:tc>
        <w:tc>
          <w:tcPr>
            <w:tcW w:w="1036" w:type="dxa"/>
            <w:noWrap/>
            <w:vAlign w:val="center"/>
          </w:tcPr>
          <w:p w14:paraId="78666C3A">
            <w:pPr>
              <w:spacing w:line="360" w:lineRule="auto"/>
              <w:jc w:val="center"/>
              <w:rPr>
                <w:rFonts w:ascii="宋体" w:hAnsi="宋体" w:cs="宋体"/>
              </w:rPr>
            </w:pPr>
            <w:r>
              <w:rPr>
                <w:rFonts w:hint="eastAsia" w:ascii="宋体" w:hAnsi="宋体" w:cs="宋体"/>
              </w:rPr>
              <w:t>Y&lt;500</w:t>
            </w:r>
          </w:p>
        </w:tc>
      </w:tr>
      <w:tr w14:paraId="6B5C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restart"/>
            <w:noWrap/>
            <w:vAlign w:val="center"/>
          </w:tcPr>
          <w:p w14:paraId="1ECB5F4A">
            <w:pPr>
              <w:spacing w:line="360" w:lineRule="auto"/>
              <w:jc w:val="center"/>
              <w:rPr>
                <w:rFonts w:ascii="宋体" w:hAnsi="宋体" w:cs="宋体"/>
              </w:rPr>
            </w:pPr>
            <w:r>
              <w:rPr>
                <w:rFonts w:hint="eastAsia" w:ascii="宋体" w:hAnsi="宋体" w:cs="宋体"/>
              </w:rPr>
              <w:t>租赁和商务服务业</w:t>
            </w:r>
          </w:p>
        </w:tc>
        <w:tc>
          <w:tcPr>
            <w:tcW w:w="1447" w:type="dxa"/>
            <w:noWrap/>
            <w:vAlign w:val="center"/>
          </w:tcPr>
          <w:p w14:paraId="682FEF77">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3AE4078A">
            <w:pPr>
              <w:spacing w:line="360" w:lineRule="auto"/>
              <w:jc w:val="center"/>
              <w:rPr>
                <w:rFonts w:ascii="宋体" w:hAnsi="宋体" w:cs="宋体"/>
              </w:rPr>
            </w:pPr>
            <w:r>
              <w:rPr>
                <w:rFonts w:hint="eastAsia" w:ascii="宋体" w:hAnsi="宋体" w:cs="宋体"/>
              </w:rPr>
              <w:t>人</w:t>
            </w:r>
          </w:p>
        </w:tc>
        <w:tc>
          <w:tcPr>
            <w:tcW w:w="1830" w:type="dxa"/>
            <w:noWrap/>
            <w:vAlign w:val="center"/>
          </w:tcPr>
          <w:p w14:paraId="1D6BB6A7">
            <w:pPr>
              <w:spacing w:line="360" w:lineRule="auto"/>
              <w:jc w:val="center"/>
              <w:rPr>
                <w:rFonts w:ascii="宋体" w:hAnsi="宋体" w:cs="宋体"/>
              </w:rPr>
            </w:pPr>
            <w:r>
              <w:rPr>
                <w:rFonts w:hint="eastAsia" w:ascii="宋体" w:hAnsi="宋体" w:cs="宋体"/>
              </w:rPr>
              <w:t>100≤X&lt;300</w:t>
            </w:r>
          </w:p>
        </w:tc>
        <w:tc>
          <w:tcPr>
            <w:tcW w:w="1572" w:type="dxa"/>
            <w:noWrap/>
            <w:vAlign w:val="center"/>
          </w:tcPr>
          <w:p w14:paraId="45999B7E">
            <w:pPr>
              <w:spacing w:line="360" w:lineRule="auto"/>
              <w:jc w:val="center"/>
              <w:rPr>
                <w:rFonts w:ascii="宋体" w:hAnsi="宋体" w:cs="宋体"/>
              </w:rPr>
            </w:pPr>
            <w:r>
              <w:rPr>
                <w:rFonts w:hint="eastAsia" w:ascii="宋体" w:hAnsi="宋体" w:cs="宋体"/>
              </w:rPr>
              <w:t>10≤X&lt;100</w:t>
            </w:r>
          </w:p>
        </w:tc>
        <w:tc>
          <w:tcPr>
            <w:tcW w:w="1036" w:type="dxa"/>
            <w:noWrap/>
            <w:vAlign w:val="center"/>
          </w:tcPr>
          <w:p w14:paraId="13083B63">
            <w:pPr>
              <w:spacing w:line="360" w:lineRule="auto"/>
              <w:jc w:val="center"/>
              <w:rPr>
                <w:rFonts w:ascii="宋体" w:hAnsi="宋体" w:cs="宋体"/>
              </w:rPr>
            </w:pPr>
            <w:r>
              <w:rPr>
                <w:rFonts w:hint="eastAsia" w:ascii="宋体" w:hAnsi="宋体" w:cs="宋体"/>
              </w:rPr>
              <w:t>X&lt;10</w:t>
            </w:r>
          </w:p>
        </w:tc>
      </w:tr>
      <w:tr w14:paraId="1DF6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vMerge w:val="continue"/>
            <w:noWrap/>
            <w:vAlign w:val="center"/>
          </w:tcPr>
          <w:p w14:paraId="6ADCE48F">
            <w:pPr>
              <w:spacing w:line="360" w:lineRule="auto"/>
              <w:jc w:val="center"/>
              <w:rPr>
                <w:rFonts w:ascii="宋体" w:hAnsi="宋体" w:cs="宋体"/>
              </w:rPr>
            </w:pPr>
          </w:p>
        </w:tc>
        <w:tc>
          <w:tcPr>
            <w:tcW w:w="1447" w:type="dxa"/>
            <w:noWrap/>
            <w:vAlign w:val="center"/>
          </w:tcPr>
          <w:p w14:paraId="784D809B">
            <w:pPr>
              <w:spacing w:line="360" w:lineRule="auto"/>
              <w:jc w:val="center"/>
              <w:rPr>
                <w:rFonts w:ascii="宋体" w:hAnsi="宋体" w:cs="宋体"/>
              </w:rPr>
            </w:pPr>
            <w:r>
              <w:rPr>
                <w:rFonts w:hint="eastAsia" w:ascii="宋体" w:hAnsi="宋体" w:cs="宋体"/>
              </w:rPr>
              <w:t>资产总额（Z）</w:t>
            </w:r>
          </w:p>
        </w:tc>
        <w:tc>
          <w:tcPr>
            <w:tcW w:w="683" w:type="dxa"/>
            <w:noWrap/>
            <w:vAlign w:val="center"/>
          </w:tcPr>
          <w:p w14:paraId="29D6B7C4">
            <w:pPr>
              <w:spacing w:line="360" w:lineRule="auto"/>
              <w:jc w:val="center"/>
              <w:rPr>
                <w:rFonts w:ascii="宋体" w:hAnsi="宋体" w:cs="宋体"/>
              </w:rPr>
            </w:pPr>
            <w:r>
              <w:rPr>
                <w:rFonts w:hint="eastAsia" w:ascii="宋体" w:hAnsi="宋体" w:cs="宋体"/>
              </w:rPr>
              <w:t>万元</w:t>
            </w:r>
          </w:p>
        </w:tc>
        <w:tc>
          <w:tcPr>
            <w:tcW w:w="1830" w:type="dxa"/>
            <w:noWrap/>
            <w:vAlign w:val="center"/>
          </w:tcPr>
          <w:p w14:paraId="701897C3">
            <w:pPr>
              <w:spacing w:line="360" w:lineRule="auto"/>
              <w:jc w:val="center"/>
              <w:rPr>
                <w:rFonts w:ascii="宋体" w:hAnsi="宋体" w:cs="宋体"/>
              </w:rPr>
            </w:pPr>
            <w:r>
              <w:rPr>
                <w:rFonts w:hint="eastAsia" w:ascii="宋体" w:hAnsi="宋体" w:cs="宋体"/>
              </w:rPr>
              <w:t>8000≤Z &lt;120000</w:t>
            </w:r>
          </w:p>
        </w:tc>
        <w:tc>
          <w:tcPr>
            <w:tcW w:w="1572" w:type="dxa"/>
            <w:noWrap/>
            <w:vAlign w:val="center"/>
          </w:tcPr>
          <w:p w14:paraId="2A622E28">
            <w:pPr>
              <w:spacing w:line="360" w:lineRule="auto"/>
              <w:jc w:val="center"/>
              <w:rPr>
                <w:rFonts w:ascii="宋体" w:hAnsi="宋体" w:cs="宋体"/>
              </w:rPr>
            </w:pPr>
            <w:r>
              <w:rPr>
                <w:rFonts w:hint="eastAsia" w:ascii="宋体" w:hAnsi="宋体" w:cs="宋体"/>
              </w:rPr>
              <w:t>100≤Z &lt;8000</w:t>
            </w:r>
          </w:p>
        </w:tc>
        <w:tc>
          <w:tcPr>
            <w:tcW w:w="1036" w:type="dxa"/>
            <w:noWrap/>
            <w:vAlign w:val="center"/>
          </w:tcPr>
          <w:p w14:paraId="320CB925">
            <w:pPr>
              <w:spacing w:line="360" w:lineRule="auto"/>
              <w:jc w:val="center"/>
              <w:rPr>
                <w:rFonts w:ascii="宋体" w:hAnsi="宋体" w:cs="宋体"/>
              </w:rPr>
            </w:pPr>
            <w:r>
              <w:rPr>
                <w:rFonts w:hint="eastAsia" w:ascii="宋体" w:hAnsi="宋体" w:cs="宋体"/>
              </w:rPr>
              <w:t>Z&lt;100</w:t>
            </w:r>
          </w:p>
        </w:tc>
      </w:tr>
      <w:tr w14:paraId="7068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54" w:type="dxa"/>
            <w:noWrap/>
            <w:vAlign w:val="center"/>
          </w:tcPr>
          <w:p w14:paraId="1060AA38">
            <w:pPr>
              <w:spacing w:line="360" w:lineRule="auto"/>
              <w:jc w:val="center"/>
              <w:rPr>
                <w:rFonts w:ascii="宋体" w:hAnsi="宋体" w:cs="宋体"/>
              </w:rPr>
            </w:pPr>
            <w:r>
              <w:rPr>
                <w:rFonts w:hint="eastAsia" w:ascii="宋体" w:hAnsi="宋体" w:cs="宋体"/>
              </w:rPr>
              <w:t>其他未列明行业</w:t>
            </w:r>
          </w:p>
        </w:tc>
        <w:tc>
          <w:tcPr>
            <w:tcW w:w="1447" w:type="dxa"/>
            <w:noWrap/>
            <w:vAlign w:val="center"/>
          </w:tcPr>
          <w:p w14:paraId="3082AFB0">
            <w:pPr>
              <w:spacing w:line="360" w:lineRule="auto"/>
              <w:jc w:val="center"/>
              <w:rPr>
                <w:rFonts w:ascii="宋体" w:hAnsi="宋体" w:cs="宋体"/>
              </w:rPr>
            </w:pPr>
            <w:r>
              <w:rPr>
                <w:rFonts w:hint="eastAsia" w:ascii="宋体" w:hAnsi="宋体" w:cs="宋体"/>
              </w:rPr>
              <w:t>从业人员（X）</w:t>
            </w:r>
          </w:p>
        </w:tc>
        <w:tc>
          <w:tcPr>
            <w:tcW w:w="683" w:type="dxa"/>
            <w:noWrap/>
            <w:vAlign w:val="center"/>
          </w:tcPr>
          <w:p w14:paraId="5886CB79">
            <w:pPr>
              <w:spacing w:line="360" w:lineRule="auto"/>
              <w:jc w:val="center"/>
              <w:rPr>
                <w:rFonts w:ascii="宋体" w:hAnsi="宋体" w:cs="宋体"/>
              </w:rPr>
            </w:pPr>
            <w:r>
              <w:rPr>
                <w:rFonts w:hint="eastAsia" w:ascii="宋体" w:hAnsi="宋体" w:cs="宋体"/>
              </w:rPr>
              <w:t>人</w:t>
            </w:r>
          </w:p>
        </w:tc>
        <w:tc>
          <w:tcPr>
            <w:tcW w:w="1830" w:type="dxa"/>
            <w:noWrap/>
            <w:vAlign w:val="center"/>
          </w:tcPr>
          <w:p w14:paraId="21AE67BB">
            <w:pPr>
              <w:spacing w:line="360" w:lineRule="auto"/>
              <w:jc w:val="center"/>
              <w:rPr>
                <w:rFonts w:ascii="宋体" w:hAnsi="宋体" w:cs="宋体"/>
              </w:rPr>
            </w:pPr>
            <w:r>
              <w:rPr>
                <w:rFonts w:hint="eastAsia" w:ascii="宋体" w:hAnsi="宋体" w:cs="宋体"/>
              </w:rPr>
              <w:t>100≤X&lt;300</w:t>
            </w:r>
          </w:p>
        </w:tc>
        <w:tc>
          <w:tcPr>
            <w:tcW w:w="1572" w:type="dxa"/>
            <w:noWrap/>
            <w:vAlign w:val="center"/>
          </w:tcPr>
          <w:p w14:paraId="20DB0252">
            <w:pPr>
              <w:spacing w:line="360" w:lineRule="auto"/>
              <w:jc w:val="center"/>
              <w:rPr>
                <w:rFonts w:ascii="宋体" w:hAnsi="宋体" w:cs="宋体"/>
              </w:rPr>
            </w:pPr>
            <w:r>
              <w:rPr>
                <w:rFonts w:hint="eastAsia" w:ascii="宋体" w:hAnsi="宋体" w:cs="宋体"/>
              </w:rPr>
              <w:t>10≤X&lt;100</w:t>
            </w:r>
          </w:p>
        </w:tc>
        <w:tc>
          <w:tcPr>
            <w:tcW w:w="1036" w:type="dxa"/>
            <w:noWrap/>
            <w:vAlign w:val="center"/>
          </w:tcPr>
          <w:p w14:paraId="06A460D1">
            <w:pPr>
              <w:spacing w:line="360" w:lineRule="auto"/>
              <w:jc w:val="center"/>
              <w:rPr>
                <w:rFonts w:ascii="宋体" w:hAnsi="宋体" w:cs="宋体"/>
              </w:rPr>
            </w:pPr>
            <w:r>
              <w:rPr>
                <w:rFonts w:hint="eastAsia" w:ascii="宋体" w:hAnsi="宋体" w:cs="宋体"/>
              </w:rPr>
              <w:t>X&lt;10</w:t>
            </w:r>
          </w:p>
        </w:tc>
      </w:tr>
    </w:tbl>
    <w:p w14:paraId="2CF0C5AD">
      <w:pPr>
        <w:spacing w:line="360" w:lineRule="auto"/>
        <w:ind w:firstLine="420"/>
        <w:rPr>
          <w:rFonts w:ascii="宋体" w:hAnsi="宋体" w:cs="宋体"/>
          <w:sz w:val="28"/>
          <w:szCs w:val="28"/>
        </w:rPr>
      </w:pPr>
      <w:r>
        <w:rPr>
          <w:rFonts w:hint="eastAsia" w:ascii="宋体" w:hAnsi="宋体" w:cs="宋体"/>
        </w:rPr>
        <w:t>说明：大型、中型和小型企业须同时满足所列指标的下限，否则下划一档；微型企业只需满足所列指标中的一项即可。</w:t>
      </w:r>
    </w:p>
    <w:p w14:paraId="652C08F2">
      <w:pPr>
        <w:spacing w:line="360" w:lineRule="auto"/>
        <w:ind w:firstLine="560"/>
        <w:rPr>
          <w:rFonts w:ascii="宋体" w:hAnsi="宋体" w:cs="宋体"/>
          <w:sz w:val="24"/>
        </w:rPr>
      </w:pPr>
      <w:r>
        <w:rPr>
          <w:rFonts w:hint="eastAsia" w:ascii="宋体" w:hAnsi="宋体" w:cs="宋体"/>
          <w:sz w:val="24"/>
        </w:rPr>
        <w:t>7.2 残疾人福利单位价格扣除</w:t>
      </w:r>
    </w:p>
    <w:p w14:paraId="55ADFC8D">
      <w:pPr>
        <w:spacing w:line="360" w:lineRule="auto"/>
        <w:ind w:firstLine="560"/>
        <w:rPr>
          <w:rFonts w:ascii="宋体" w:hAnsi="宋体" w:cs="宋体"/>
          <w:sz w:val="24"/>
        </w:rPr>
      </w:pPr>
      <w:r>
        <w:rPr>
          <w:rFonts w:hint="eastAsia" w:ascii="宋体" w:hAnsi="宋体" w:cs="宋体"/>
          <w:sz w:val="24"/>
        </w:rPr>
        <w:t>7.2.1享受政府采购支持政策的残疾人福利性单位应当同时满足以下条件：</w:t>
      </w:r>
    </w:p>
    <w:p w14:paraId="74ACBC2B">
      <w:pPr>
        <w:spacing w:line="360" w:lineRule="auto"/>
        <w:ind w:firstLine="560"/>
        <w:rPr>
          <w:rFonts w:ascii="宋体" w:hAnsi="宋体" w:cs="宋体"/>
          <w:sz w:val="24"/>
        </w:rPr>
      </w:pPr>
      <w:r>
        <w:rPr>
          <w:rFonts w:hint="eastAsia" w:ascii="宋体" w:hAnsi="宋体" w:cs="宋体"/>
          <w:sz w:val="24"/>
        </w:rPr>
        <w:t>7.2.1.1 安置的残疾人（指法定劳动年龄内，持有《中华人民共和国残疾人证》或者《中华人民共和国残疾军人证（1至8级）》的自然人，包括具有劳动条件和劳动意愿的精神残疾人）占本单位在职职工人数（指与残疾人福利性单位建立劳动关系并依法签订劳动合同或者服务协议的雇员人数）的比例不低于25%（含25%），并且安置的残疾人人数不少于10人（含10人）；</w:t>
      </w:r>
    </w:p>
    <w:p w14:paraId="1B5A6CC7">
      <w:pPr>
        <w:spacing w:line="360" w:lineRule="auto"/>
        <w:ind w:firstLine="560"/>
        <w:rPr>
          <w:rFonts w:ascii="宋体" w:hAnsi="宋体" w:cs="宋体"/>
          <w:sz w:val="24"/>
        </w:rPr>
      </w:pPr>
      <w:r>
        <w:rPr>
          <w:rFonts w:hint="eastAsia" w:ascii="宋体" w:hAnsi="宋体" w:cs="宋体"/>
          <w:sz w:val="24"/>
        </w:rPr>
        <w:t>7.2.1.2 依法与安置的每位残疾人签订了一年以上（含一年）的劳动合同或服务协议；</w:t>
      </w:r>
    </w:p>
    <w:p w14:paraId="75A9C097">
      <w:pPr>
        <w:spacing w:line="360" w:lineRule="auto"/>
        <w:ind w:firstLine="560"/>
        <w:rPr>
          <w:rFonts w:ascii="宋体" w:hAnsi="宋体" w:cs="宋体"/>
          <w:sz w:val="24"/>
        </w:rPr>
      </w:pPr>
      <w:r>
        <w:rPr>
          <w:rFonts w:hint="eastAsia" w:ascii="宋体" w:hAnsi="宋体" w:cs="宋体"/>
          <w:sz w:val="24"/>
        </w:rPr>
        <w:t>7.2.1.3 为安置的每位残疾人按月足额缴纳了基本养老保险、基本医疗保险、失业保险、工伤保险和生育保险等社会保险费；</w:t>
      </w:r>
    </w:p>
    <w:p w14:paraId="2E14421A">
      <w:pPr>
        <w:spacing w:line="360" w:lineRule="auto"/>
        <w:ind w:firstLine="560"/>
        <w:rPr>
          <w:rFonts w:ascii="宋体" w:hAnsi="宋体" w:cs="宋体"/>
          <w:sz w:val="24"/>
        </w:rPr>
      </w:pPr>
      <w:r>
        <w:rPr>
          <w:rFonts w:hint="eastAsia" w:ascii="宋体" w:hAnsi="宋体" w:cs="宋体"/>
          <w:sz w:val="24"/>
        </w:rPr>
        <w:t>7.2.1.4 通过银行等金融机构向安置的每位残疾人，按月支付了不低于单位所在区县适用的经省级人民政府批准的月最低工资标准的工资；</w:t>
      </w:r>
    </w:p>
    <w:p w14:paraId="220C391A">
      <w:pPr>
        <w:spacing w:line="360" w:lineRule="auto"/>
        <w:ind w:firstLine="560"/>
        <w:rPr>
          <w:rFonts w:ascii="宋体" w:hAnsi="宋体" w:cs="宋体"/>
          <w:sz w:val="24"/>
        </w:rPr>
      </w:pPr>
      <w:r>
        <w:rPr>
          <w:rFonts w:hint="eastAsia" w:ascii="宋体" w:hAnsi="宋体" w:cs="宋体"/>
          <w:sz w:val="24"/>
        </w:rPr>
        <w:t>7.2.1.5 提供本单位制造的货物、承担的工程或者服务（以下简称产品），或者提供其他残疾人福利性单位制造的货物（不包括使用非残疾人福利性单位注册商标的货物）。</w:t>
      </w:r>
    </w:p>
    <w:p w14:paraId="2B63C96B">
      <w:pPr>
        <w:spacing w:line="360" w:lineRule="auto"/>
        <w:ind w:firstLine="560"/>
        <w:rPr>
          <w:rFonts w:ascii="宋体" w:hAnsi="宋体" w:cs="宋体"/>
          <w:sz w:val="24"/>
        </w:rPr>
      </w:pPr>
      <w:r>
        <w:rPr>
          <w:rFonts w:hint="eastAsia" w:ascii="宋体" w:hAnsi="宋体" w:cs="宋体"/>
          <w:sz w:val="24"/>
        </w:rPr>
        <w:t>7.2.2 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62F796B2">
      <w:pPr>
        <w:spacing w:line="360" w:lineRule="auto"/>
        <w:ind w:firstLine="560"/>
        <w:rPr>
          <w:rFonts w:ascii="宋体" w:hAnsi="宋体" w:cs="宋体"/>
          <w:sz w:val="24"/>
        </w:rPr>
      </w:pPr>
      <w:r>
        <w:rPr>
          <w:rFonts w:hint="eastAsia" w:ascii="宋体" w:hAnsi="宋体" w:cs="宋体"/>
          <w:sz w:val="24"/>
        </w:rPr>
        <w:t>7.2.3 残疾人福利单位需按照采购文件的要求提供《残疾人福利性单位声明函》，否则不予享受。</w:t>
      </w:r>
    </w:p>
    <w:p w14:paraId="3A240B56">
      <w:pPr>
        <w:spacing w:line="360" w:lineRule="auto"/>
        <w:ind w:firstLine="560"/>
        <w:rPr>
          <w:rFonts w:ascii="宋体" w:hAnsi="宋体" w:cs="宋体"/>
          <w:sz w:val="24"/>
        </w:rPr>
      </w:pPr>
      <w:r>
        <w:rPr>
          <w:rFonts w:hint="eastAsia" w:ascii="宋体" w:hAnsi="宋体" w:cs="宋体"/>
          <w:sz w:val="24"/>
        </w:rPr>
        <w:t>7.2.4 残疾人福利单位属于小型、微型企业的，不重复享受政策。</w:t>
      </w:r>
    </w:p>
    <w:p w14:paraId="1BF6F501">
      <w:pPr>
        <w:spacing w:line="360" w:lineRule="auto"/>
        <w:ind w:firstLine="560"/>
        <w:rPr>
          <w:rFonts w:ascii="宋体" w:hAnsi="宋体" w:cs="宋体"/>
          <w:sz w:val="24"/>
        </w:rPr>
      </w:pPr>
      <w:r>
        <w:rPr>
          <w:rFonts w:hint="eastAsia" w:ascii="宋体" w:hAnsi="宋体" w:cs="宋体"/>
          <w:sz w:val="24"/>
        </w:rPr>
        <w:t>7.3 监狱和戒毒企业价格扣除</w:t>
      </w:r>
    </w:p>
    <w:p w14:paraId="78405823">
      <w:pPr>
        <w:spacing w:line="360" w:lineRule="auto"/>
        <w:ind w:firstLine="560"/>
        <w:rPr>
          <w:rFonts w:ascii="宋体" w:hAnsi="宋体" w:cs="宋体"/>
          <w:sz w:val="24"/>
        </w:rPr>
      </w:pPr>
      <w:r>
        <w:rPr>
          <w:rFonts w:hint="eastAsia" w:ascii="宋体" w:hAnsi="宋体" w:cs="宋体"/>
          <w:sz w:val="24"/>
        </w:rPr>
        <w:t>7.3.1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8B6C62A">
      <w:pPr>
        <w:spacing w:line="360" w:lineRule="auto"/>
        <w:ind w:firstLine="560"/>
        <w:rPr>
          <w:rFonts w:ascii="宋体" w:hAnsi="宋体" w:cs="宋体"/>
          <w:sz w:val="24"/>
        </w:rPr>
      </w:pPr>
      <w:r>
        <w:rPr>
          <w:rFonts w:hint="eastAsia" w:ascii="宋体" w:hAnsi="宋体" w:cs="宋体"/>
          <w:sz w:val="24"/>
        </w:rPr>
        <w:t>7.3.2 监狱企业参加政府采购活动时，应当提供由省级以上监狱管理局、戒毒管理局（含新疆生产建设兵团）出具的属于监狱企业的证明文件。</w:t>
      </w:r>
    </w:p>
    <w:p w14:paraId="201EAE3E">
      <w:pPr>
        <w:spacing w:line="360" w:lineRule="auto"/>
        <w:ind w:firstLine="560"/>
        <w:rPr>
          <w:rFonts w:ascii="宋体" w:hAnsi="宋体" w:cs="宋体"/>
          <w:sz w:val="24"/>
        </w:rPr>
      </w:pPr>
      <w:r>
        <w:rPr>
          <w:rFonts w:hint="eastAsia" w:ascii="宋体" w:hAnsi="宋体" w:cs="宋体"/>
          <w:sz w:val="24"/>
        </w:rPr>
        <w:t>7.3.3 在政府采购活动中，监狱企业视同小型、微型企业，享受预留份额、评审中价格扣除等政府采购促进中小企业发展的政府采购政策。</w:t>
      </w:r>
    </w:p>
    <w:p w14:paraId="227E5C9C">
      <w:pPr>
        <w:spacing w:line="360" w:lineRule="auto"/>
        <w:ind w:firstLine="560"/>
        <w:rPr>
          <w:rFonts w:ascii="宋体" w:hAnsi="宋体" w:cs="宋体"/>
          <w:sz w:val="24"/>
        </w:rPr>
      </w:pPr>
      <w:r>
        <w:rPr>
          <w:rFonts w:hint="eastAsia" w:ascii="宋体" w:hAnsi="宋体" w:cs="宋体"/>
          <w:sz w:val="24"/>
        </w:rPr>
        <w:t>7.3.4 监狱企业属于小型、微型企业的，不重复享受政策。</w:t>
      </w:r>
    </w:p>
    <w:p w14:paraId="69570118">
      <w:pPr>
        <w:spacing w:line="360" w:lineRule="auto"/>
        <w:ind w:firstLine="560"/>
        <w:rPr>
          <w:rFonts w:ascii="宋体" w:hAnsi="宋体" w:cs="宋体"/>
          <w:sz w:val="24"/>
        </w:rPr>
      </w:pPr>
      <w:r>
        <w:rPr>
          <w:rFonts w:hint="eastAsia" w:ascii="宋体" w:hAnsi="宋体" w:cs="宋体"/>
          <w:sz w:val="24"/>
        </w:rPr>
        <w:t>7.4 根据《财政部、发展改革委关于印发节能产品政府采购品目清单的通知》（财库〔2019〕19号）要求，下列产品实行强制采购或者优先采购：</w:t>
      </w:r>
    </w:p>
    <w:p w14:paraId="2EB1EB92">
      <w:pPr>
        <w:spacing w:line="360" w:lineRule="auto"/>
        <w:ind w:firstLine="560"/>
        <w:rPr>
          <w:rFonts w:ascii="宋体" w:hAnsi="宋体" w:cs="宋体"/>
          <w:sz w:val="24"/>
        </w:rPr>
      </w:pPr>
      <w:r>
        <w:rPr>
          <w:rFonts w:hint="eastAsia" w:ascii="宋体" w:hAnsi="宋体" w:cs="宋体"/>
          <w:sz w:val="24"/>
        </w:rPr>
        <w:t>7.4.1 对于属于节能产品政府采购品目清单内的台式计算机、便携式计算机、平板式微型计算机、激光打印机、针式打印机、液晶显示器、投影仪、多功能一体机、冷水机组、水源热泵机组、溴化锂吸收式冷水机组、多联式空调、房间空气调节器、单元式空气调节机、机房空调、管型荧光灯镇流器、空调机、电热水器、普通照明用双端荧光灯、电视机、监视器、便器、水嘴器等产品，实行强制采购。</w:t>
      </w:r>
    </w:p>
    <w:p w14:paraId="08F3980E">
      <w:pPr>
        <w:spacing w:line="360" w:lineRule="auto"/>
        <w:ind w:firstLine="560"/>
        <w:rPr>
          <w:rFonts w:ascii="宋体" w:hAnsi="宋体" w:cs="宋体"/>
          <w:sz w:val="24"/>
        </w:rPr>
      </w:pPr>
      <w:r>
        <w:rPr>
          <w:rFonts w:hint="eastAsia" w:ascii="宋体" w:hAnsi="宋体" w:cs="宋体"/>
          <w:sz w:val="24"/>
        </w:rPr>
        <w:t>7.4.2 对于属于节能产品政府采购品目清单内的喷墨打印机、扫描仪、离心泵、冷却塔、电机、配电变压器、电冰箱、洗衣机、燃气热水器、热泵热水器、太阳能热水系统、LED道路/隧道照明产品、LED筒灯、普通照明用非定向自镇流LED灯、商用燃气灶具等产品实行优先采购。</w:t>
      </w:r>
    </w:p>
    <w:p w14:paraId="2D091F5D">
      <w:pPr>
        <w:spacing w:line="360" w:lineRule="auto"/>
        <w:ind w:firstLine="560"/>
        <w:rPr>
          <w:rFonts w:ascii="宋体" w:hAnsi="宋体" w:cs="宋体"/>
          <w:sz w:val="24"/>
        </w:rPr>
      </w:pPr>
      <w:r>
        <w:rPr>
          <w:rFonts w:hint="eastAsia" w:ascii="宋体" w:hAnsi="宋体" w:cs="宋体"/>
          <w:sz w:val="24"/>
        </w:rPr>
        <w:t>7.5 根据《财政部、生态环境部关于印发环境标志产品政府采购品目清单的通知》（财库〔2019〕18号）要求，对于</w:t>
      </w:r>
      <w:r>
        <w:fldChar w:fldCharType="begin"/>
      </w:r>
      <w:r>
        <w:instrText xml:space="preserve"> HYPERLINK "http://gks.mof.gov.cn/zhengfucaigouguanli/201903/P020190329702478575295.pdf" </w:instrText>
      </w:r>
      <w:r>
        <w:fldChar w:fldCharType="separate"/>
      </w:r>
      <w:r>
        <w:rPr>
          <w:rFonts w:hint="eastAsia" w:ascii="宋体" w:hAnsi="宋体" w:cs="宋体"/>
          <w:sz w:val="24"/>
        </w:rPr>
        <w:t>环境标志产品政府采购品目清单</w:t>
      </w:r>
      <w:r>
        <w:rPr>
          <w:rFonts w:hint="eastAsia" w:ascii="宋体" w:hAnsi="宋体" w:cs="宋体"/>
          <w:sz w:val="24"/>
        </w:rPr>
        <w:fldChar w:fldCharType="end"/>
      </w:r>
      <w:r>
        <w:rPr>
          <w:rFonts w:hint="eastAsia" w:ascii="宋体" w:hAnsi="宋体" w:cs="宋体"/>
          <w:sz w:val="24"/>
        </w:rPr>
        <w:t>内的计算机设备、打印设备、显示设备、扫描仪、投影仪、复印机、多功能一体机、速印机、载货汽车（含自卸汽车）、乘用车、小型客车、专用车辆、制冷空调设备、空调机、热水器、室内照明灯具、传真通信设备、电视设备、床类、台/桌类、椅凳类、沙发类、柜类、架类、屏风类、水池、便器、水嘴、组合家具、家用家具零配件、其他家具用具、棉、化纤纺织及印染原料、复印纸、鼓粉盒、人造板、人造板表面装饰板、水泥、商品混凝土、纤维增强水泥制品、石膏板、轻质隔墙条板、建筑陶瓷制品、建筑防水卷材及制品、矿物绝热和吸声材料、矿物材料制品、功能性建筑涂料、其他非金属建筑材料、墙面涂料、防水涂料、门、门槛、窗、涂料、密封用填料及类似制品、塑料制品等产品，实行优先或强制采购。</w:t>
      </w:r>
    </w:p>
    <w:p w14:paraId="3FDFB695">
      <w:pPr>
        <w:spacing w:line="360" w:lineRule="auto"/>
        <w:ind w:firstLine="560"/>
        <w:rPr>
          <w:rFonts w:ascii="宋体" w:hAnsi="宋体" w:cs="宋体"/>
          <w:sz w:val="24"/>
        </w:rPr>
      </w:pPr>
      <w:r>
        <w:rPr>
          <w:rFonts w:hint="eastAsia" w:ascii="宋体" w:hAnsi="宋体" w:cs="宋体"/>
          <w:sz w:val="24"/>
        </w:rPr>
        <w:t>7.6 根据《江苏省政府采购供应商监督管理暂行办法》的规定，诚信记录分每减10分，给予本项目总分值2%的扣分，扣分最多不超过本项目总分值6%。</w:t>
      </w:r>
    </w:p>
    <w:p w14:paraId="1A87C3D1">
      <w:pPr>
        <w:spacing w:line="360" w:lineRule="auto"/>
        <w:ind w:firstLine="560"/>
        <w:rPr>
          <w:rFonts w:ascii="宋体" w:hAnsi="宋体" w:cs="宋体"/>
          <w:sz w:val="24"/>
        </w:rPr>
      </w:pPr>
      <w:r>
        <w:rPr>
          <w:rFonts w:hint="eastAsia" w:ascii="宋体" w:hAnsi="宋体" w:cs="宋体"/>
          <w:sz w:val="24"/>
        </w:rPr>
        <w:t>7.7.商品包装环保要求：应当按《关于印发〈商品包装政府采购需求标准（试行）〉、〈快递包装政府采购需求标准（试行）〉的通知》（财办库〔2020〕123号）文件执行。</w:t>
      </w:r>
    </w:p>
    <w:p w14:paraId="723EF777">
      <w:pPr>
        <w:spacing w:line="360" w:lineRule="auto"/>
        <w:ind w:firstLine="560"/>
        <w:rPr>
          <w:rFonts w:ascii="宋体" w:hAnsi="宋体" w:cs="宋体"/>
          <w:sz w:val="24"/>
        </w:rPr>
      </w:pPr>
      <w:r>
        <w:rPr>
          <w:rFonts w:hint="eastAsia" w:ascii="宋体" w:hAnsi="宋体" w:cs="宋体"/>
          <w:sz w:val="24"/>
        </w:rPr>
        <w:t>7.7.1商品包装层数不得超过 3 层，空隙率不大于 40%；</w:t>
      </w:r>
    </w:p>
    <w:p w14:paraId="2AB5856A">
      <w:pPr>
        <w:spacing w:line="360" w:lineRule="auto"/>
        <w:ind w:firstLine="560"/>
        <w:rPr>
          <w:rFonts w:ascii="宋体" w:hAnsi="宋体" w:cs="宋体"/>
          <w:sz w:val="24"/>
        </w:rPr>
      </w:pPr>
      <w:r>
        <w:rPr>
          <w:rFonts w:hint="eastAsia" w:ascii="宋体" w:hAnsi="宋体" w:cs="宋体"/>
          <w:sz w:val="24"/>
        </w:rPr>
        <w:t>7.7.2商品包装尽可能使用单一材质的包装材料，如因功能需求必须使用不同材质，不同材质间应便于分离；</w:t>
      </w:r>
    </w:p>
    <w:p w14:paraId="109E6080">
      <w:pPr>
        <w:spacing w:line="360" w:lineRule="auto"/>
        <w:ind w:firstLine="560"/>
        <w:rPr>
          <w:rFonts w:ascii="宋体" w:hAnsi="宋体" w:cs="宋体"/>
          <w:sz w:val="24"/>
        </w:rPr>
      </w:pPr>
      <w:r>
        <w:rPr>
          <w:rFonts w:hint="eastAsia" w:ascii="宋体" w:hAnsi="宋体" w:cs="宋体"/>
          <w:sz w:val="24"/>
        </w:rPr>
        <w:t>7.7.3商品包装中铅、汞、镉、六价铬的总含量应不大于100mg/kg；</w:t>
      </w:r>
    </w:p>
    <w:p w14:paraId="11C86F3B">
      <w:pPr>
        <w:spacing w:line="360" w:lineRule="auto"/>
        <w:ind w:firstLine="560"/>
        <w:rPr>
          <w:rFonts w:ascii="宋体" w:hAnsi="宋体" w:cs="宋体"/>
          <w:sz w:val="24"/>
        </w:rPr>
      </w:pPr>
      <w:r>
        <w:rPr>
          <w:rFonts w:hint="eastAsia" w:ascii="宋体" w:hAnsi="宋体" w:cs="宋体"/>
          <w:sz w:val="24"/>
        </w:rPr>
        <w:t>7.7.4商品包装印刷使用的油墨中挥发性有机化合物（VOCs）含量应不大于 5%（以重量计）；</w:t>
      </w:r>
    </w:p>
    <w:p w14:paraId="27A2F363">
      <w:pPr>
        <w:spacing w:line="360" w:lineRule="auto"/>
        <w:ind w:firstLine="560"/>
        <w:rPr>
          <w:rFonts w:ascii="宋体" w:hAnsi="宋体" w:cs="宋体"/>
          <w:sz w:val="24"/>
        </w:rPr>
      </w:pPr>
      <w:r>
        <w:rPr>
          <w:rFonts w:hint="eastAsia" w:ascii="宋体" w:hAnsi="宋体" w:cs="宋体"/>
          <w:sz w:val="24"/>
        </w:rPr>
        <w:t>7.7.5塑料材质商品包装上呈现的印刷颜色不得超过 6 色；</w:t>
      </w:r>
    </w:p>
    <w:p w14:paraId="6F469D3C">
      <w:pPr>
        <w:spacing w:line="360" w:lineRule="auto"/>
        <w:ind w:firstLine="560"/>
        <w:rPr>
          <w:rFonts w:ascii="宋体" w:hAnsi="宋体" w:cs="宋体"/>
          <w:sz w:val="24"/>
        </w:rPr>
      </w:pPr>
      <w:r>
        <w:rPr>
          <w:rFonts w:hint="eastAsia" w:ascii="宋体" w:hAnsi="宋体" w:cs="宋体"/>
          <w:sz w:val="24"/>
        </w:rPr>
        <w:t>7.7.6纸质商品包装应使用 75%以上的可再生纤维原料生产；</w:t>
      </w:r>
    </w:p>
    <w:p w14:paraId="0EDB2B6B">
      <w:pPr>
        <w:spacing w:line="360" w:lineRule="auto"/>
        <w:ind w:firstLine="560"/>
        <w:rPr>
          <w:rFonts w:ascii="宋体" w:hAnsi="宋体" w:cs="宋体"/>
          <w:sz w:val="24"/>
        </w:rPr>
      </w:pPr>
      <w:r>
        <w:rPr>
          <w:rFonts w:hint="eastAsia" w:ascii="宋体" w:hAnsi="宋体" w:cs="宋体"/>
          <w:sz w:val="24"/>
        </w:rPr>
        <w:t>7.7.7木质商品包装的原料应来源于可持续性森林。</w:t>
      </w:r>
    </w:p>
    <w:p w14:paraId="5C7BD474">
      <w:pPr>
        <w:spacing w:line="360" w:lineRule="auto"/>
        <w:ind w:firstLine="560"/>
        <w:rPr>
          <w:rFonts w:ascii="宋体" w:hAnsi="宋体" w:cs="宋体"/>
          <w:sz w:val="24"/>
        </w:rPr>
      </w:pPr>
      <w:r>
        <w:rPr>
          <w:rFonts w:hint="eastAsia" w:ascii="宋体" w:hAnsi="宋体" w:cs="宋体"/>
          <w:sz w:val="24"/>
        </w:rPr>
        <w:t>（投标时供应商提供承诺函，承诺函需对以上要求逐一作出响应。采购人在必要时可要求中标供应商在履约验收环节出具检测报告。）</w:t>
      </w:r>
    </w:p>
    <w:p w14:paraId="32C3D1F3">
      <w:pPr>
        <w:spacing w:line="360" w:lineRule="auto"/>
        <w:ind w:firstLine="560"/>
        <w:rPr>
          <w:rFonts w:ascii="宋体" w:hAnsi="宋体" w:cs="宋体"/>
          <w:sz w:val="24"/>
        </w:rPr>
      </w:pPr>
      <w:r>
        <w:rPr>
          <w:rFonts w:hint="eastAsia" w:ascii="宋体" w:hAnsi="宋体" w:cs="宋体"/>
          <w:sz w:val="24"/>
        </w:rPr>
        <w:t>7.8快递包装环保要求：</w:t>
      </w:r>
    </w:p>
    <w:p w14:paraId="7E3E6E94">
      <w:pPr>
        <w:spacing w:line="360" w:lineRule="auto"/>
        <w:ind w:firstLine="560"/>
        <w:rPr>
          <w:rFonts w:ascii="宋体" w:hAnsi="宋体" w:cs="宋体"/>
          <w:sz w:val="24"/>
        </w:rPr>
      </w:pPr>
      <w:r>
        <w:rPr>
          <w:rFonts w:hint="eastAsia" w:ascii="宋体" w:hAnsi="宋体" w:cs="宋体"/>
          <w:sz w:val="24"/>
        </w:rPr>
        <w:t>7.8.1快递包装中重金属（铅、汞、镉、六价铬）总量应不大于 100mg/kg；</w:t>
      </w:r>
    </w:p>
    <w:p w14:paraId="52798A61">
      <w:pPr>
        <w:spacing w:line="360" w:lineRule="auto"/>
        <w:ind w:firstLine="560"/>
        <w:rPr>
          <w:rFonts w:ascii="宋体" w:hAnsi="宋体" w:cs="宋体"/>
          <w:sz w:val="24"/>
        </w:rPr>
      </w:pPr>
      <w:r>
        <w:rPr>
          <w:rFonts w:hint="eastAsia" w:ascii="宋体" w:hAnsi="宋体" w:cs="宋体"/>
          <w:sz w:val="24"/>
        </w:rPr>
        <w:t>7.8.2快递包装印刷使用的油墨中不应添加邻苯二甲酸酯，其挥发性有机化合物（VOCs）含量应不大于5%（以重量计）；</w:t>
      </w:r>
    </w:p>
    <w:p w14:paraId="48BA2BC1">
      <w:pPr>
        <w:spacing w:line="360" w:lineRule="auto"/>
        <w:ind w:firstLine="560"/>
        <w:rPr>
          <w:rFonts w:ascii="宋体" w:hAnsi="宋体" w:cs="宋体"/>
          <w:sz w:val="24"/>
        </w:rPr>
      </w:pPr>
      <w:r>
        <w:rPr>
          <w:rFonts w:hint="eastAsia" w:ascii="宋体" w:hAnsi="宋体" w:cs="宋体"/>
          <w:sz w:val="24"/>
        </w:rPr>
        <w:t>7.8.3快递包装中使用纸基材的包装材料，纸基材中的有机氯的含量应不大于 150 mg/kg；</w:t>
      </w:r>
    </w:p>
    <w:p w14:paraId="4A9A9D55">
      <w:pPr>
        <w:spacing w:line="360" w:lineRule="auto"/>
        <w:ind w:firstLine="560"/>
        <w:rPr>
          <w:rFonts w:ascii="宋体" w:hAnsi="宋体" w:cs="宋体"/>
          <w:sz w:val="24"/>
        </w:rPr>
      </w:pPr>
      <w:r>
        <w:rPr>
          <w:rFonts w:hint="eastAsia" w:ascii="宋体" w:hAnsi="宋体" w:cs="宋体"/>
          <w:sz w:val="24"/>
        </w:rPr>
        <w:t>7.8.4快递包装中使用塑料基材的包装材料不得使用邻苯二甲酸二异壬酯、邻苯二甲酸二正辛酯、邻苯二甲酸二（2－乙基）己酯、邻苯二甲酸二异癸酯、邻苯二甲酸丁基苄基酯、邻苯二甲酸二丁酯等作为增塑剂；</w:t>
      </w:r>
    </w:p>
    <w:p w14:paraId="5B637FE1">
      <w:pPr>
        <w:spacing w:line="360" w:lineRule="auto"/>
        <w:ind w:firstLine="560"/>
        <w:rPr>
          <w:rFonts w:ascii="宋体" w:hAnsi="宋体" w:cs="宋体"/>
          <w:sz w:val="24"/>
        </w:rPr>
      </w:pPr>
      <w:r>
        <w:rPr>
          <w:rFonts w:hint="eastAsia" w:ascii="宋体" w:hAnsi="宋体" w:cs="宋体"/>
          <w:sz w:val="24"/>
        </w:rPr>
        <w:t>7.8.5快递中使用的塑料包装袋不得使用聚氯乙烯作为原料，且原料应为单一材质制成，生物分解率大于60%；</w:t>
      </w:r>
    </w:p>
    <w:p w14:paraId="2D3207F1">
      <w:pPr>
        <w:spacing w:line="360" w:lineRule="auto"/>
        <w:ind w:firstLine="560"/>
        <w:rPr>
          <w:rFonts w:ascii="宋体" w:hAnsi="宋体" w:cs="宋体"/>
          <w:sz w:val="24"/>
        </w:rPr>
      </w:pPr>
      <w:r>
        <w:rPr>
          <w:rFonts w:hint="eastAsia" w:ascii="宋体" w:hAnsi="宋体" w:cs="宋体"/>
          <w:sz w:val="24"/>
        </w:rPr>
        <w:t>7.8.6快递中使用的充气类填充物不得使用聚氯乙烯作为原料，且原料为单一材质制成，生物分解率大于60%；</w:t>
      </w:r>
    </w:p>
    <w:p w14:paraId="3BB4AAF3">
      <w:pPr>
        <w:spacing w:line="360" w:lineRule="auto"/>
        <w:ind w:firstLine="560"/>
        <w:rPr>
          <w:rFonts w:ascii="宋体" w:hAnsi="宋体" w:cs="宋体"/>
          <w:sz w:val="24"/>
        </w:rPr>
      </w:pPr>
      <w:r>
        <w:rPr>
          <w:rFonts w:hint="eastAsia" w:ascii="宋体" w:hAnsi="宋体" w:cs="宋体"/>
          <w:sz w:val="24"/>
        </w:rPr>
        <w:t>7.8.7快递中使用的集装袋应为单一材质制成，其重复使用次数应不小于 80 次；</w:t>
      </w:r>
    </w:p>
    <w:p w14:paraId="20DA3861">
      <w:pPr>
        <w:spacing w:line="360" w:lineRule="auto"/>
        <w:ind w:firstLine="560"/>
        <w:rPr>
          <w:rFonts w:ascii="宋体" w:hAnsi="宋体" w:cs="宋体"/>
          <w:sz w:val="24"/>
        </w:rPr>
      </w:pPr>
      <w:r>
        <w:rPr>
          <w:rFonts w:hint="eastAsia" w:ascii="宋体" w:hAnsi="宋体" w:cs="宋体"/>
          <w:sz w:val="24"/>
        </w:rPr>
        <w:t>7.8.8快递中应使用幅宽不大于45mm 的生物降解胶带；</w:t>
      </w:r>
    </w:p>
    <w:p w14:paraId="6C976014">
      <w:pPr>
        <w:spacing w:line="360" w:lineRule="auto"/>
        <w:ind w:firstLine="560"/>
        <w:rPr>
          <w:rFonts w:ascii="宋体" w:hAnsi="宋体" w:cs="宋体"/>
          <w:sz w:val="24"/>
        </w:rPr>
      </w:pPr>
      <w:r>
        <w:rPr>
          <w:rFonts w:hint="eastAsia" w:ascii="宋体" w:hAnsi="宋体" w:cs="宋体"/>
          <w:sz w:val="24"/>
        </w:rPr>
        <w:t>7.8.9快递包装中不得使用溶剂型胶黏剂；</w:t>
      </w:r>
    </w:p>
    <w:p w14:paraId="6454A0E1">
      <w:pPr>
        <w:spacing w:line="360" w:lineRule="auto"/>
        <w:ind w:firstLine="560"/>
        <w:rPr>
          <w:rFonts w:ascii="宋体" w:hAnsi="宋体" w:cs="宋体"/>
          <w:sz w:val="24"/>
        </w:rPr>
      </w:pPr>
      <w:r>
        <w:rPr>
          <w:rFonts w:hint="eastAsia" w:ascii="宋体" w:hAnsi="宋体" w:cs="宋体"/>
          <w:sz w:val="24"/>
        </w:rPr>
        <w:t>7.8.10快递应使用电子面单；</w:t>
      </w:r>
    </w:p>
    <w:p w14:paraId="3993A846">
      <w:pPr>
        <w:spacing w:line="360" w:lineRule="auto"/>
        <w:ind w:firstLine="560"/>
        <w:rPr>
          <w:rFonts w:ascii="宋体" w:hAnsi="宋体" w:cs="宋体"/>
          <w:sz w:val="24"/>
        </w:rPr>
      </w:pPr>
      <w:r>
        <w:rPr>
          <w:rFonts w:hint="eastAsia" w:ascii="宋体" w:hAnsi="宋体" w:cs="宋体"/>
          <w:sz w:val="24"/>
        </w:rPr>
        <w:t>7.8.11直接使用商品包装作为快递包装的商品，其商品包装满足《商品包装政府采购需求标准（试行）》即可；</w:t>
      </w:r>
    </w:p>
    <w:p w14:paraId="5F5E8FBF">
      <w:pPr>
        <w:spacing w:line="360" w:lineRule="auto"/>
        <w:ind w:firstLine="560"/>
        <w:rPr>
          <w:rFonts w:ascii="宋体" w:hAnsi="宋体" w:cs="宋体"/>
          <w:sz w:val="24"/>
        </w:rPr>
      </w:pPr>
      <w:r>
        <w:rPr>
          <w:rFonts w:hint="eastAsia" w:ascii="宋体" w:hAnsi="宋体" w:cs="宋体"/>
          <w:sz w:val="24"/>
        </w:rPr>
        <w:t>7.8.12快递包装产品质量和封装方式应符合相关国家或行业标准技术指标要求。</w:t>
      </w:r>
    </w:p>
    <w:p w14:paraId="5519CCF7">
      <w:pPr>
        <w:spacing w:line="360" w:lineRule="auto"/>
        <w:ind w:firstLine="560"/>
        <w:rPr>
          <w:rFonts w:ascii="宋体" w:hAnsi="宋体" w:cs="宋体"/>
          <w:sz w:val="24"/>
        </w:rPr>
      </w:pPr>
      <w:r>
        <w:rPr>
          <w:rFonts w:hint="eastAsia" w:ascii="宋体" w:hAnsi="宋体" w:cs="宋体"/>
          <w:sz w:val="24"/>
        </w:rPr>
        <w:t>（投标时供应商提供承诺函，承诺函需对以上要求逐一作出响应。采购人在必要时可要求中标供应商在履约验收环节出具检测报告。）</w:t>
      </w:r>
    </w:p>
    <w:p w14:paraId="17763A0E">
      <w:pPr>
        <w:spacing w:line="360" w:lineRule="auto"/>
        <w:ind w:firstLine="560"/>
        <w:rPr>
          <w:rFonts w:ascii="宋体" w:hAnsi="宋体" w:cs="宋体"/>
          <w:sz w:val="24"/>
        </w:rPr>
      </w:pPr>
      <w:r>
        <w:rPr>
          <w:rFonts w:hint="eastAsia" w:ascii="宋体" w:hAnsi="宋体" w:cs="宋体"/>
          <w:sz w:val="24"/>
        </w:rPr>
        <w:t>7.9绿色数据中心（如有）</w:t>
      </w:r>
    </w:p>
    <w:p w14:paraId="7B463516">
      <w:pPr>
        <w:spacing w:line="360" w:lineRule="auto"/>
        <w:ind w:firstLine="560"/>
        <w:rPr>
          <w:rFonts w:ascii="宋体" w:hAnsi="宋体" w:cs="宋体"/>
          <w:sz w:val="24"/>
        </w:rPr>
      </w:pPr>
      <w:r>
        <w:rPr>
          <w:rFonts w:hint="eastAsia" w:ascii="宋体" w:hAnsi="宋体" w:cs="宋体"/>
          <w:sz w:val="24"/>
        </w:rPr>
        <w:t>7.9.1采购数据中心相关设备、运维服务，应当有利于节约能源、环境保护和资源循环利用。</w:t>
      </w:r>
    </w:p>
    <w:p w14:paraId="7C80673A">
      <w:pPr>
        <w:spacing w:line="360" w:lineRule="auto"/>
        <w:ind w:firstLine="560"/>
        <w:rPr>
          <w:rFonts w:ascii="宋体" w:hAnsi="宋体" w:cs="宋体"/>
          <w:sz w:val="24"/>
        </w:rPr>
      </w:pPr>
      <w:r>
        <w:rPr>
          <w:rFonts w:hint="eastAsia" w:ascii="宋体" w:hAnsi="宋体" w:cs="宋体"/>
          <w:sz w:val="24"/>
        </w:rPr>
        <w:t>7.9.2采购人在履约验收中对成交供应商提供的产品或服务进行抽查检测，必要时可委托取得相关资质的第三方机构对其进行检测、认证。因检测、认证涉及生产过程或检测时间长等原因，不能在验收过程中开展检测、认证的，供应商应在验收阶段提供相关检测报告、认证报告。</w:t>
      </w:r>
    </w:p>
    <w:p w14:paraId="63CCF494">
      <w:pPr>
        <w:spacing w:line="360" w:lineRule="auto"/>
        <w:ind w:firstLine="560"/>
        <w:rPr>
          <w:rFonts w:ascii="宋体" w:hAnsi="宋体" w:cs="宋体"/>
          <w:sz w:val="24"/>
        </w:rPr>
      </w:pPr>
      <w:r>
        <w:rPr>
          <w:rFonts w:hint="eastAsia" w:ascii="宋体" w:hAnsi="宋体" w:cs="宋体"/>
          <w:sz w:val="24"/>
        </w:rPr>
        <w:t>7.9.3成交供应商未按合同约定提供设备或服务的，采购人依法追究其违约责任。对供应商提供虚假材料谋取中标、成交的，依法由相关部门予以处理。</w:t>
      </w:r>
    </w:p>
    <w:p w14:paraId="3159EB81">
      <w:pPr>
        <w:spacing w:line="360" w:lineRule="auto"/>
        <w:ind w:firstLine="560"/>
        <w:rPr>
          <w:rFonts w:ascii="宋体" w:hAnsi="宋体" w:cs="宋体"/>
          <w:sz w:val="24"/>
        </w:rPr>
      </w:pPr>
      <w:r>
        <w:rPr>
          <w:rFonts w:hint="eastAsia" w:ascii="宋体" w:hAnsi="宋体" w:cs="宋体"/>
          <w:sz w:val="24"/>
        </w:rPr>
        <w:t>7.10低挥发性有机化合物产品：本项目中如有涉及涂料、胶黏剂、油墨、清洗剂等挥发性有机物产品的，属于强制性标准的，供应商应当执行国家和江苏省VOCs含量限制标准。供应商如提供符合推荐性标准的涂料、胶黏剂、油墨、清洗剂等挥发性有机物产品的，予以评审优惠。在通用类货物、家具、印刷、公务车辆维修等采购项目中，供应商应优先使用低挥发性原辅材料，将使用低VOCs含量的涂料、胶黏剂等纳入合同条款。</w:t>
      </w:r>
    </w:p>
    <w:p w14:paraId="50E367A1">
      <w:pPr>
        <w:spacing w:line="360" w:lineRule="auto"/>
        <w:ind w:firstLine="560"/>
        <w:rPr>
          <w:rFonts w:ascii="宋体" w:hAnsi="宋体" w:cs="宋体"/>
          <w:sz w:val="24"/>
        </w:rPr>
      </w:pPr>
      <w:r>
        <w:rPr>
          <w:rFonts w:hint="eastAsia" w:ascii="宋体" w:hAnsi="宋体" w:cs="宋体"/>
          <w:sz w:val="24"/>
        </w:rPr>
        <w:t>7.11节能环保产品：依据财政部、发展改革委发布的《节能产品政府采购品目清单》，本项目中如有政府强制采购节能产品的（属于清单中打★品目的），只能选择具有国家确定的认证机构出具的、处于有效期之内的节能产品认证证书的产品进行报价，认证机构详见市场监管总局发布的《参与实施政府采购节能产品认证机构名录》和《参与实施政府采购环境标志产品认证机构名录》。</w:t>
      </w:r>
    </w:p>
    <w:p w14:paraId="3D52943B">
      <w:pPr>
        <w:spacing w:line="360" w:lineRule="auto"/>
        <w:ind w:firstLine="560"/>
        <w:rPr>
          <w:rFonts w:ascii="宋体" w:hAnsi="宋体" w:cs="宋体"/>
          <w:sz w:val="24"/>
        </w:rPr>
      </w:pPr>
      <w:r>
        <w:rPr>
          <w:rFonts w:hint="eastAsia" w:ascii="宋体" w:hAnsi="宋体" w:cs="宋体"/>
          <w:sz w:val="24"/>
        </w:rPr>
        <w:t>7.12绿色低碳管理目标和服务要求：在物业、合同能源管理等服务类采购项目中，要强化绿色低碳管理目标和服务要求，促进绿色产品和服务推广应用。</w:t>
      </w:r>
    </w:p>
    <w:p w14:paraId="33AE12B1">
      <w:pPr>
        <w:spacing w:line="360" w:lineRule="auto"/>
        <w:ind w:firstLine="560"/>
        <w:rPr>
          <w:rFonts w:ascii="宋体" w:hAnsi="宋体" w:cs="宋体"/>
          <w:sz w:val="24"/>
        </w:rPr>
      </w:pPr>
      <w:r>
        <w:rPr>
          <w:rFonts w:hint="eastAsia" w:ascii="宋体" w:hAnsi="宋体" w:cs="宋体"/>
          <w:sz w:val="24"/>
        </w:rPr>
        <w:t>7.12商务技术分部分新增：</w:t>
      </w:r>
    </w:p>
    <w:p w14:paraId="661D367F">
      <w:pPr>
        <w:spacing w:line="360" w:lineRule="auto"/>
        <w:ind w:firstLine="560"/>
        <w:rPr>
          <w:rFonts w:ascii="宋体" w:hAnsi="宋体" w:cs="宋体"/>
          <w:sz w:val="24"/>
        </w:rPr>
      </w:pPr>
      <w:r>
        <w:rPr>
          <w:rFonts w:hint="eastAsia" w:ascii="宋体" w:hAnsi="宋体" w:cs="宋体"/>
          <w:sz w:val="24"/>
        </w:rPr>
        <w:t>绿色采购：依据《江苏省财政厅关于加强政府绿色采购有关事项的通知》（苏财购〔2023〕65号），供应商提供符合推荐性标准的涂料、胶黏剂、油墨、清洗剂等挥发性有机物产品的或者在通用类货物、家具、印刷、公务车辆维修等采购项目中，优先使用低挥发性原辅材料的加1分（投标时须提供相应使用低VOCs 含量的有效证明材料，否则不得分）。</w:t>
      </w:r>
    </w:p>
    <w:p w14:paraId="30404929">
      <w:pPr>
        <w:spacing w:line="360" w:lineRule="auto"/>
        <w:ind w:firstLine="560"/>
        <w:outlineLvl w:val="1"/>
        <w:rPr>
          <w:rFonts w:ascii="宋体" w:hAnsi="宋体" w:cs="宋体"/>
          <w:bCs/>
          <w:sz w:val="24"/>
        </w:rPr>
      </w:pPr>
      <w:r>
        <w:rPr>
          <w:rFonts w:hint="eastAsia" w:ascii="宋体" w:hAnsi="宋体" w:cs="宋体"/>
          <w:bCs/>
          <w:sz w:val="24"/>
        </w:rPr>
        <w:t>8.无效响应和磋商活动终止</w:t>
      </w:r>
    </w:p>
    <w:p w14:paraId="468ED07B">
      <w:pPr>
        <w:spacing w:line="360" w:lineRule="auto"/>
        <w:ind w:firstLine="560"/>
        <w:rPr>
          <w:rFonts w:ascii="宋体" w:hAnsi="宋体" w:cs="宋体"/>
          <w:sz w:val="24"/>
        </w:rPr>
      </w:pPr>
      <w:r>
        <w:rPr>
          <w:rFonts w:hint="eastAsia" w:ascii="宋体" w:hAnsi="宋体" w:cs="宋体"/>
          <w:sz w:val="24"/>
        </w:rPr>
        <w:t>8.1 出现下列情形之一的，作无效响应处理。</w:t>
      </w:r>
      <w:r>
        <w:rPr>
          <w:rFonts w:hint="eastAsia" w:ascii="宋体" w:hAnsi="宋体" w:cs="宋体"/>
          <w:sz w:val="24"/>
        </w:rPr>
        <w:tab/>
      </w:r>
      <w:r>
        <w:rPr>
          <w:rFonts w:hint="eastAsia" w:ascii="宋体" w:hAnsi="宋体" w:cs="宋体"/>
          <w:sz w:val="24"/>
        </w:rPr>
        <w:tab/>
      </w:r>
    </w:p>
    <w:p w14:paraId="67E37772">
      <w:pPr>
        <w:spacing w:line="360" w:lineRule="auto"/>
        <w:ind w:firstLine="560"/>
        <w:rPr>
          <w:rFonts w:ascii="宋体" w:hAnsi="宋体" w:cs="宋体"/>
          <w:sz w:val="24"/>
        </w:rPr>
      </w:pPr>
      <w:r>
        <w:rPr>
          <w:rFonts w:hint="eastAsia" w:ascii="宋体" w:hAnsi="宋体" w:cs="宋体"/>
          <w:sz w:val="24"/>
        </w:rPr>
        <w:t>8.1.1 不具备竞争性磋商文件中规定的资格要求的。</w:t>
      </w:r>
    </w:p>
    <w:p w14:paraId="55450B66">
      <w:pPr>
        <w:spacing w:line="360" w:lineRule="auto"/>
        <w:ind w:firstLine="560"/>
        <w:rPr>
          <w:rFonts w:ascii="宋体" w:hAnsi="宋体" w:cs="宋体"/>
          <w:sz w:val="24"/>
        </w:rPr>
      </w:pPr>
      <w:r>
        <w:rPr>
          <w:rFonts w:hint="eastAsia" w:ascii="宋体" w:hAnsi="宋体" w:cs="宋体"/>
          <w:sz w:val="24"/>
        </w:rPr>
        <w:t>8.1.2 最后报价超过了采购预算或最高限价的。</w:t>
      </w:r>
    </w:p>
    <w:p w14:paraId="71DF1ADE">
      <w:pPr>
        <w:spacing w:line="360" w:lineRule="auto"/>
        <w:ind w:firstLine="560"/>
        <w:rPr>
          <w:rFonts w:ascii="宋体" w:hAnsi="宋体" w:cs="宋体"/>
          <w:sz w:val="24"/>
        </w:rPr>
      </w:pPr>
      <w:r>
        <w:rPr>
          <w:rFonts w:hint="eastAsia" w:ascii="宋体" w:hAnsi="宋体" w:cs="宋体"/>
          <w:sz w:val="24"/>
        </w:rPr>
        <w:t>8.1.3 未通过符合性审查的。</w:t>
      </w:r>
    </w:p>
    <w:p w14:paraId="6EF71EDC">
      <w:pPr>
        <w:spacing w:line="360" w:lineRule="auto"/>
        <w:ind w:firstLine="560"/>
        <w:rPr>
          <w:rFonts w:ascii="宋体" w:hAnsi="宋体" w:cs="宋体"/>
          <w:sz w:val="24"/>
        </w:rPr>
      </w:pPr>
      <w:r>
        <w:rPr>
          <w:rFonts w:hint="eastAsia" w:ascii="宋体" w:hAnsi="宋体" w:cs="宋体"/>
          <w:sz w:val="24"/>
        </w:rPr>
        <w:t>8.1.4 不符合法律法规和竞争性磋商文件中规定的其他实质性要求的。</w:t>
      </w:r>
    </w:p>
    <w:p w14:paraId="438DECA9">
      <w:pPr>
        <w:spacing w:line="360" w:lineRule="auto"/>
        <w:ind w:firstLine="560"/>
        <w:rPr>
          <w:rFonts w:ascii="宋体" w:hAnsi="宋体" w:cs="宋体"/>
          <w:sz w:val="24"/>
        </w:rPr>
      </w:pPr>
      <w:r>
        <w:rPr>
          <w:rFonts w:hint="eastAsia" w:ascii="宋体" w:hAnsi="宋体" w:cs="宋体"/>
          <w:sz w:val="24"/>
        </w:rPr>
        <w:t>8.1.5 供应商被“信用中国”网站列入失信被执行人或重大税收违法案件当事人名单或政府采购严重失信行为记录名单。或查询“信用中国”网站后发现供应商存在其他不符合《中华人民共和国政府采购法》第二十二条规定条件的信用记录。</w:t>
      </w:r>
    </w:p>
    <w:p w14:paraId="58B8DF17">
      <w:pPr>
        <w:spacing w:line="360" w:lineRule="auto"/>
        <w:ind w:firstLine="560"/>
        <w:rPr>
          <w:rFonts w:ascii="宋体" w:hAnsi="宋体" w:cs="宋体"/>
          <w:sz w:val="24"/>
        </w:rPr>
      </w:pPr>
      <w:r>
        <w:rPr>
          <w:rFonts w:hint="eastAsia" w:ascii="宋体" w:hAnsi="宋体" w:cs="宋体"/>
          <w:sz w:val="24"/>
        </w:rPr>
        <w:t>8.1.6 响应文件含有采购人不能接受的附加条件的。</w:t>
      </w:r>
    </w:p>
    <w:p w14:paraId="52A95DDC">
      <w:pPr>
        <w:spacing w:line="360" w:lineRule="auto"/>
        <w:ind w:firstLine="560"/>
        <w:rPr>
          <w:rFonts w:ascii="宋体" w:hAnsi="宋体" w:cs="宋体"/>
          <w:sz w:val="24"/>
        </w:rPr>
      </w:pPr>
      <w:r>
        <w:rPr>
          <w:rFonts w:hint="eastAsia" w:ascii="宋体" w:hAnsi="宋体" w:cs="宋体"/>
          <w:sz w:val="24"/>
        </w:rPr>
        <w:t>8.1.7 本项目采购产品被财政部、国家发改委、生态环境部等列入“节能产品品目清单”“环境标志产品品目清单”强制采购范围，而供应商的响应产品不在强制采购范围内的。</w:t>
      </w:r>
    </w:p>
    <w:p w14:paraId="4ECB0FB8">
      <w:pPr>
        <w:spacing w:line="360" w:lineRule="auto"/>
        <w:ind w:firstLine="560"/>
        <w:rPr>
          <w:rFonts w:ascii="宋体" w:hAnsi="宋体" w:cs="宋体"/>
          <w:sz w:val="24"/>
        </w:rPr>
      </w:pPr>
      <w:r>
        <w:rPr>
          <w:rFonts w:hint="eastAsia" w:ascii="宋体" w:hAnsi="宋体" w:cs="宋体"/>
          <w:sz w:val="24"/>
        </w:rPr>
        <w:t>8.1.8 响应文件未按照磋商文件要求加盖电子签章。</w:t>
      </w:r>
    </w:p>
    <w:p w14:paraId="538F2DA4">
      <w:pPr>
        <w:spacing w:line="360" w:lineRule="auto"/>
        <w:ind w:firstLine="560"/>
        <w:rPr>
          <w:rFonts w:ascii="宋体" w:hAnsi="宋体" w:cs="宋体"/>
          <w:sz w:val="24"/>
        </w:rPr>
      </w:pPr>
      <w:r>
        <w:rPr>
          <w:rFonts w:hint="eastAsia" w:ascii="宋体" w:hAnsi="宋体" w:cs="宋体"/>
          <w:sz w:val="24"/>
        </w:rPr>
        <w:t>8.1.9 供应商在系统规定的时间内未成功解密电子响应文件的。</w:t>
      </w:r>
    </w:p>
    <w:p w14:paraId="362A507B">
      <w:pPr>
        <w:spacing w:line="360" w:lineRule="auto"/>
        <w:ind w:firstLine="560"/>
        <w:rPr>
          <w:rFonts w:ascii="宋体" w:hAnsi="宋体" w:cs="宋体"/>
          <w:sz w:val="24"/>
        </w:rPr>
      </w:pPr>
      <w:r>
        <w:rPr>
          <w:rFonts w:hint="eastAsia" w:ascii="宋体" w:hAnsi="宋体" w:cs="宋体"/>
          <w:sz w:val="24"/>
        </w:rPr>
        <w:t>8.1.10 未完整上传响应文件电子文档的，或上传的文件打不开的。</w:t>
      </w:r>
    </w:p>
    <w:p w14:paraId="763FA209">
      <w:pPr>
        <w:spacing w:line="360" w:lineRule="auto"/>
        <w:ind w:firstLine="560"/>
        <w:rPr>
          <w:rFonts w:ascii="宋体" w:hAnsi="宋体" w:cs="宋体"/>
          <w:sz w:val="24"/>
        </w:rPr>
      </w:pPr>
      <w:r>
        <w:rPr>
          <w:rFonts w:hint="eastAsia" w:ascii="宋体" w:hAnsi="宋体" w:cs="宋体"/>
          <w:sz w:val="24"/>
        </w:rPr>
        <w:t>8.1.11 不同的供应商响应文件制作机器码、文件创建标识码一致的。</w:t>
      </w:r>
    </w:p>
    <w:p w14:paraId="3489E695">
      <w:pPr>
        <w:spacing w:line="360" w:lineRule="auto"/>
        <w:ind w:firstLine="560"/>
        <w:rPr>
          <w:rFonts w:ascii="宋体" w:hAnsi="宋体" w:cs="宋体"/>
          <w:sz w:val="24"/>
        </w:rPr>
      </w:pPr>
      <w:r>
        <w:rPr>
          <w:rFonts w:hint="eastAsia" w:ascii="宋体" w:hAnsi="宋体" w:cs="宋体"/>
          <w:sz w:val="24"/>
        </w:rPr>
        <w:t>8.1.12其他法律法规及本磋商文件规定的属于无效响应的情形。</w:t>
      </w:r>
    </w:p>
    <w:p w14:paraId="24C2D10B">
      <w:pPr>
        <w:spacing w:line="360" w:lineRule="auto"/>
        <w:ind w:firstLine="560"/>
        <w:rPr>
          <w:rFonts w:ascii="宋体" w:hAnsi="宋体" w:cs="宋体"/>
          <w:sz w:val="24"/>
        </w:rPr>
      </w:pPr>
      <w:r>
        <w:rPr>
          <w:rFonts w:hint="eastAsia" w:ascii="宋体" w:hAnsi="宋体" w:cs="宋体"/>
          <w:sz w:val="24"/>
        </w:rPr>
        <w:t>8.2 出现下列情形之一的，本次竞争性磋商采购活动将被终止：</w:t>
      </w:r>
    </w:p>
    <w:p w14:paraId="78BFA1F7">
      <w:pPr>
        <w:spacing w:line="360" w:lineRule="auto"/>
        <w:ind w:firstLine="560"/>
        <w:rPr>
          <w:rFonts w:ascii="宋体" w:hAnsi="宋体" w:cs="宋体"/>
          <w:sz w:val="24"/>
        </w:rPr>
      </w:pPr>
      <w:r>
        <w:rPr>
          <w:rFonts w:hint="eastAsia" w:ascii="宋体" w:hAnsi="宋体" w:cs="宋体"/>
          <w:sz w:val="24"/>
        </w:rPr>
        <w:t>8.2.1 因情况变化，不再符合规定的竞争性磋商采购方式适用情形的；</w:t>
      </w:r>
    </w:p>
    <w:p w14:paraId="112DCF41">
      <w:pPr>
        <w:spacing w:line="360" w:lineRule="auto"/>
        <w:ind w:firstLine="560"/>
        <w:rPr>
          <w:rFonts w:ascii="宋体" w:hAnsi="宋体" w:cs="宋体"/>
          <w:sz w:val="24"/>
        </w:rPr>
      </w:pPr>
      <w:r>
        <w:rPr>
          <w:rFonts w:hint="eastAsia" w:ascii="宋体" w:hAnsi="宋体" w:cs="宋体"/>
          <w:sz w:val="24"/>
        </w:rPr>
        <w:t>8.2.2 出现影响采购公正的违法、违规行为的；</w:t>
      </w:r>
    </w:p>
    <w:p w14:paraId="7DACF6B8">
      <w:pPr>
        <w:spacing w:line="360" w:lineRule="auto"/>
        <w:ind w:firstLine="560"/>
        <w:rPr>
          <w:rFonts w:ascii="宋体" w:hAnsi="宋体" w:cs="宋体"/>
          <w:sz w:val="24"/>
        </w:rPr>
      </w:pPr>
      <w:r>
        <w:rPr>
          <w:rFonts w:hint="eastAsia" w:ascii="宋体" w:hAnsi="宋体" w:cs="宋体"/>
          <w:sz w:val="24"/>
        </w:rPr>
        <w:t>8.2.3 除了市场竞争不充分的科研项目、需要扶持的科技成果转化项目和政府购买服务项目之外，在采购过程中符合要求的供应商或者报价未超过采购预算的供应商不足3家的。</w:t>
      </w:r>
    </w:p>
    <w:p w14:paraId="4FBAA3D8">
      <w:pPr>
        <w:spacing w:line="360" w:lineRule="auto"/>
        <w:ind w:firstLine="560"/>
        <w:rPr>
          <w:rFonts w:ascii="宋体" w:hAnsi="宋体" w:cs="宋体"/>
          <w:sz w:val="24"/>
        </w:rPr>
      </w:pPr>
      <w:r>
        <w:rPr>
          <w:rFonts w:hint="eastAsia" w:ascii="宋体" w:hAnsi="宋体" w:cs="宋体"/>
          <w:sz w:val="24"/>
        </w:rPr>
        <w:t>8.2.3 对于市场竞争不充分的科研项目、需要扶持的科技成果转化项目或者政府购买服务项目，提交最后报价的供应商不足2家。</w:t>
      </w:r>
    </w:p>
    <w:p w14:paraId="732628B1">
      <w:pPr>
        <w:spacing w:line="360" w:lineRule="auto"/>
        <w:ind w:firstLine="560"/>
        <w:rPr>
          <w:rFonts w:ascii="宋体" w:hAnsi="宋体" w:cs="宋体"/>
          <w:sz w:val="24"/>
        </w:rPr>
      </w:pPr>
      <w:r>
        <w:rPr>
          <w:rFonts w:hint="eastAsia" w:ascii="宋体" w:hAnsi="宋体" w:cs="宋体"/>
          <w:sz w:val="24"/>
        </w:rPr>
        <w:t>8.2.5  因重大变故，采购任务取消的。</w:t>
      </w:r>
    </w:p>
    <w:p w14:paraId="1568140A">
      <w:pPr>
        <w:spacing w:line="360" w:lineRule="auto"/>
        <w:ind w:firstLine="560"/>
        <w:outlineLvl w:val="1"/>
        <w:rPr>
          <w:rFonts w:ascii="宋体" w:hAnsi="宋体" w:cs="宋体"/>
          <w:sz w:val="24"/>
        </w:rPr>
      </w:pPr>
      <w:r>
        <w:rPr>
          <w:rFonts w:hint="eastAsia" w:ascii="宋体" w:hAnsi="宋体" w:cs="宋体"/>
          <w:sz w:val="24"/>
        </w:rPr>
        <w:t>9. 询问、质疑和投诉</w:t>
      </w:r>
    </w:p>
    <w:p w14:paraId="4BD56CCC">
      <w:pPr>
        <w:spacing w:line="360" w:lineRule="auto"/>
        <w:ind w:firstLine="560"/>
        <w:rPr>
          <w:rFonts w:ascii="宋体" w:hAnsi="宋体" w:cs="宋体"/>
          <w:sz w:val="24"/>
        </w:rPr>
      </w:pPr>
      <w:r>
        <w:rPr>
          <w:rFonts w:hint="eastAsia" w:ascii="宋体" w:hAnsi="宋体" w:cs="宋体"/>
          <w:sz w:val="24"/>
        </w:rPr>
        <w:t>9.1 供应商对政府采购活动事项有疑问的，可以向采购人或者采购代理机构提出询问，采购人或者采购代理机构应当在3个工作日内作出答复。</w:t>
      </w:r>
    </w:p>
    <w:p w14:paraId="2F8835FD">
      <w:pPr>
        <w:spacing w:line="360" w:lineRule="auto"/>
        <w:ind w:firstLine="560"/>
        <w:rPr>
          <w:rFonts w:ascii="宋体" w:hAnsi="宋体" w:cs="宋体"/>
          <w:sz w:val="24"/>
        </w:rPr>
      </w:pPr>
      <w:r>
        <w:rPr>
          <w:rFonts w:hint="eastAsia" w:ascii="宋体" w:hAnsi="宋体" w:cs="宋体"/>
          <w:sz w:val="24"/>
        </w:rPr>
        <w:t>9.2 供应商认为采购文件、采购过程、中标或者成交结果使自己的权益受到损害的，可以在知道或者应知其权益受到损害之日起7个工作日内，以书面形式向采购人、采购代理机构提出质疑。</w:t>
      </w:r>
    </w:p>
    <w:p w14:paraId="73985764">
      <w:pPr>
        <w:spacing w:line="360" w:lineRule="auto"/>
        <w:ind w:firstLine="560"/>
        <w:rPr>
          <w:rFonts w:ascii="宋体" w:hAnsi="宋体" w:cs="宋体"/>
          <w:sz w:val="24"/>
        </w:rPr>
      </w:pPr>
      <w:r>
        <w:rPr>
          <w:rFonts w:hint="eastAsia" w:ascii="宋体" w:hAnsi="宋体" w:cs="宋体"/>
          <w:sz w:val="24"/>
        </w:rPr>
        <w:t>上述应知其权益受到损害之日，是指：对可以质疑的招标文件提出质疑的，为收到招标文件之日或者招标文件公告期限届满之日；对采购过程提出质疑的，为各采购程序环节结束之日；对成交结果提出质疑的，为成交结果公告期限届满之日。</w:t>
      </w:r>
    </w:p>
    <w:p w14:paraId="55924311">
      <w:pPr>
        <w:spacing w:line="360" w:lineRule="auto"/>
        <w:ind w:firstLine="560"/>
        <w:rPr>
          <w:rFonts w:ascii="宋体" w:hAnsi="宋体" w:cs="宋体"/>
          <w:sz w:val="24"/>
        </w:rPr>
      </w:pPr>
      <w:r>
        <w:rPr>
          <w:rFonts w:hint="eastAsia" w:ascii="宋体" w:hAnsi="宋体" w:cs="宋体"/>
          <w:sz w:val="24"/>
        </w:rPr>
        <w:t>9.3 提出质疑的供应商（以下简称质疑供应商）应当是参与所质疑项目采购活动的供应商。潜在供应商已依法获取其可质疑的采购文件的，可以对该文件提出质疑。</w:t>
      </w:r>
    </w:p>
    <w:p w14:paraId="2EE25427">
      <w:pPr>
        <w:spacing w:line="360" w:lineRule="auto"/>
        <w:ind w:firstLine="560"/>
        <w:rPr>
          <w:rFonts w:ascii="宋体" w:hAnsi="宋体" w:cs="宋体"/>
          <w:sz w:val="24"/>
        </w:rPr>
      </w:pPr>
      <w:r>
        <w:rPr>
          <w:rFonts w:hint="eastAsia" w:ascii="宋体" w:hAnsi="宋体" w:cs="宋体"/>
          <w:sz w:val="24"/>
        </w:rPr>
        <w:t>9.4 供应商提出质疑应当提交质疑函和必要的证明材料，质疑函内容详见第9.9条质疑函范本。供应商为自然人的，应当由本人签字；供应商为法人或者其他组织的，应当由法定代表人、主要负责人，或者其授权代表签字或者盖章，并加盖公章。</w:t>
      </w:r>
    </w:p>
    <w:p w14:paraId="7201E841">
      <w:pPr>
        <w:spacing w:line="360" w:lineRule="auto"/>
        <w:ind w:firstLine="560"/>
        <w:rPr>
          <w:rFonts w:ascii="宋体" w:hAnsi="宋体" w:cs="宋体"/>
          <w:b/>
          <w:sz w:val="24"/>
        </w:rPr>
      </w:pPr>
      <w:r>
        <w:rPr>
          <w:rFonts w:hint="eastAsia" w:ascii="宋体" w:hAnsi="宋体" w:cs="宋体"/>
          <w:sz w:val="24"/>
        </w:rPr>
        <w:t xml:space="preserve">9.5 </w:t>
      </w:r>
      <w:r>
        <w:rPr>
          <w:rFonts w:hint="eastAsia" w:ascii="宋体" w:hAnsi="宋体" w:cs="宋体"/>
          <w:b/>
          <w:sz w:val="24"/>
        </w:rPr>
        <w:t>供应商须在法定质疑期内一次性提出针对同一采购程序环节的质疑。供应商提交的书面质疑材料应当包括下列内容：营业执照复印件（自然人除外）、授权委托书原件（如有代理人）、法人代表及代理人（如有代理人）身份证复印件、按照本招标文件中《质疑函范本》要求填写的质疑函原件。</w:t>
      </w:r>
    </w:p>
    <w:p w14:paraId="38939C0A">
      <w:pPr>
        <w:spacing w:line="360" w:lineRule="auto"/>
        <w:ind w:firstLine="560"/>
        <w:rPr>
          <w:rFonts w:ascii="宋体" w:hAnsi="宋体" w:cs="宋体"/>
          <w:b/>
          <w:sz w:val="24"/>
        </w:rPr>
      </w:pPr>
      <w:r>
        <w:rPr>
          <w:rFonts w:hint="eastAsia" w:ascii="宋体" w:hAnsi="宋体" w:cs="宋体"/>
          <w:sz w:val="24"/>
        </w:rPr>
        <w:t xml:space="preserve">9.6 </w:t>
      </w:r>
      <w:r>
        <w:rPr>
          <w:rFonts w:hint="eastAsia" w:ascii="宋体" w:hAnsi="宋体" w:cs="宋体"/>
          <w:b/>
          <w:sz w:val="24"/>
        </w:rPr>
        <w:t>书面质疑材料应当直接送达，由采购人或者采购代理机构项目经办人员签收。经采购人或者采购代理机构同意，可以采用电子方式送达质疑函。直接送达书面质疑材料有困难的，可以邮寄送达。邮寄送达的，以回执上注明的收件日期为送达日期。采购人或者采购代理机构项目经办人及联系方式，见磋商文件第1章。</w:t>
      </w:r>
    </w:p>
    <w:p w14:paraId="2E0B82BB">
      <w:pPr>
        <w:spacing w:line="360" w:lineRule="auto"/>
        <w:ind w:firstLine="560"/>
        <w:rPr>
          <w:rFonts w:ascii="宋体" w:hAnsi="宋体" w:cs="宋体"/>
          <w:sz w:val="24"/>
        </w:rPr>
      </w:pPr>
      <w:r>
        <w:rPr>
          <w:rFonts w:hint="eastAsia" w:ascii="宋体" w:hAnsi="宋体" w:cs="宋体"/>
          <w:sz w:val="24"/>
        </w:rPr>
        <w:t>9.7 以下情形的质疑不予受理：</w:t>
      </w:r>
    </w:p>
    <w:p w14:paraId="1136AA29">
      <w:pPr>
        <w:spacing w:line="360" w:lineRule="auto"/>
        <w:ind w:firstLine="560"/>
        <w:rPr>
          <w:rFonts w:ascii="宋体" w:hAnsi="宋体" w:cs="宋体"/>
          <w:sz w:val="24"/>
        </w:rPr>
      </w:pPr>
      <w:r>
        <w:rPr>
          <w:rFonts w:hint="eastAsia" w:ascii="宋体" w:hAnsi="宋体" w:cs="宋体"/>
          <w:sz w:val="24"/>
        </w:rPr>
        <w:t>9.7.1 内容不符合《政府采购质疑和投诉办法》第十二条规定的质疑。</w:t>
      </w:r>
    </w:p>
    <w:p w14:paraId="1D6512CF">
      <w:pPr>
        <w:spacing w:line="360" w:lineRule="auto"/>
        <w:ind w:firstLine="560"/>
        <w:rPr>
          <w:rFonts w:ascii="宋体" w:hAnsi="宋体" w:cs="宋体"/>
          <w:sz w:val="24"/>
        </w:rPr>
      </w:pPr>
      <w:r>
        <w:rPr>
          <w:rFonts w:hint="eastAsia" w:ascii="宋体" w:hAnsi="宋体" w:cs="宋体"/>
          <w:sz w:val="24"/>
        </w:rPr>
        <w:t>9.7.2 超出政府采购法定期限的质疑。</w:t>
      </w:r>
    </w:p>
    <w:p w14:paraId="520E5B05">
      <w:pPr>
        <w:spacing w:line="360" w:lineRule="auto"/>
        <w:ind w:firstLine="560"/>
        <w:rPr>
          <w:rFonts w:ascii="宋体" w:hAnsi="宋体" w:cs="宋体"/>
          <w:sz w:val="24"/>
        </w:rPr>
      </w:pPr>
      <w:r>
        <w:rPr>
          <w:rFonts w:hint="eastAsia" w:ascii="宋体" w:hAnsi="宋体" w:cs="宋体"/>
          <w:sz w:val="24"/>
        </w:rPr>
        <w:t>9.7.3未参加磋商活动的供应商或在磋商活动中自身权益未受到损害的供应商所提出的质疑。</w:t>
      </w:r>
    </w:p>
    <w:p w14:paraId="79E79662">
      <w:pPr>
        <w:spacing w:line="360" w:lineRule="auto"/>
        <w:ind w:firstLine="560"/>
        <w:rPr>
          <w:rFonts w:ascii="宋体" w:hAnsi="宋体" w:cs="宋体"/>
          <w:sz w:val="24"/>
        </w:rPr>
      </w:pPr>
      <w:r>
        <w:rPr>
          <w:rFonts w:hint="eastAsia" w:ascii="宋体" w:hAnsi="宋体" w:cs="宋体"/>
          <w:sz w:val="24"/>
        </w:rPr>
        <w:t>9.7.4 供应商组成联合体参加磋商活动，联合体中任何一方或多方未按要求签字、盖章、加盖公章的质疑。</w:t>
      </w:r>
    </w:p>
    <w:p w14:paraId="0ECEAA4C">
      <w:pPr>
        <w:spacing w:line="360" w:lineRule="auto"/>
        <w:ind w:firstLine="560"/>
        <w:rPr>
          <w:rFonts w:ascii="宋体" w:hAnsi="宋体" w:cs="宋体"/>
          <w:sz w:val="24"/>
        </w:rPr>
      </w:pPr>
      <w:r>
        <w:rPr>
          <w:rFonts w:hint="eastAsia" w:ascii="宋体" w:hAnsi="宋体" w:cs="宋体"/>
          <w:sz w:val="24"/>
        </w:rPr>
        <w:t>9.8 供应商提出书面质疑必须有理、有据，不得捏造事实、提供虚假材料进行恶意质疑。否则，一经查实，采购代理机构有权依据政府采购的有关规定，报请政府采购监管部门对该供应商进行相应的行政处罚和记录该供应商的失信信息。</w:t>
      </w:r>
    </w:p>
    <w:p w14:paraId="51F32AC9">
      <w:pPr>
        <w:spacing w:line="360" w:lineRule="auto"/>
        <w:ind w:firstLine="560"/>
        <w:rPr>
          <w:rFonts w:ascii="宋体" w:hAnsi="宋体" w:cs="宋体"/>
          <w:sz w:val="24"/>
        </w:rPr>
      </w:pPr>
      <w:r>
        <w:rPr>
          <w:rFonts w:hint="eastAsia" w:ascii="宋体" w:hAnsi="宋体" w:cs="宋体"/>
          <w:sz w:val="24"/>
        </w:rPr>
        <w:t>9.9 质疑函范本</w:t>
      </w:r>
    </w:p>
    <w:p w14:paraId="531249C9">
      <w:pPr>
        <w:spacing w:line="360" w:lineRule="auto"/>
        <w:jc w:val="center"/>
        <w:rPr>
          <w:rFonts w:ascii="宋体" w:hAnsi="宋体" w:cs="宋体"/>
          <w:b/>
          <w:bCs/>
          <w:sz w:val="24"/>
        </w:rPr>
      </w:pPr>
      <w:r>
        <w:rPr>
          <w:rFonts w:hint="eastAsia" w:ascii="宋体" w:hAnsi="宋体" w:cs="宋体"/>
          <w:b/>
          <w:bCs/>
          <w:sz w:val="24"/>
        </w:rPr>
        <w:t>质疑函</w:t>
      </w:r>
    </w:p>
    <w:p w14:paraId="465847F3">
      <w:pPr>
        <w:spacing w:line="360" w:lineRule="auto"/>
        <w:rPr>
          <w:rFonts w:ascii="宋体" w:hAnsi="宋体" w:cs="宋体"/>
          <w:bCs/>
          <w:sz w:val="24"/>
        </w:rPr>
      </w:pPr>
      <w:r>
        <w:rPr>
          <w:rFonts w:hint="eastAsia" w:ascii="宋体" w:hAnsi="宋体" w:cs="宋体"/>
          <w:bCs/>
          <w:sz w:val="24"/>
        </w:rPr>
        <w:t>一、质疑供应商基本信息</w:t>
      </w:r>
    </w:p>
    <w:p w14:paraId="710925E9">
      <w:pPr>
        <w:spacing w:line="360" w:lineRule="auto"/>
        <w:rPr>
          <w:rFonts w:ascii="宋体" w:hAnsi="宋体" w:cs="宋体"/>
          <w:sz w:val="24"/>
          <w:u w:val="single"/>
        </w:rPr>
      </w:pPr>
      <w:r>
        <w:rPr>
          <w:rFonts w:hint="eastAsia" w:ascii="宋体" w:hAnsi="宋体" w:cs="宋体"/>
          <w:sz w:val="24"/>
        </w:rPr>
        <w:t>质疑供应商：</w:t>
      </w:r>
    </w:p>
    <w:p w14:paraId="523A4C83">
      <w:pPr>
        <w:spacing w:line="360" w:lineRule="auto"/>
        <w:rPr>
          <w:rFonts w:ascii="宋体" w:hAnsi="宋体" w:cs="宋体"/>
          <w:sz w:val="24"/>
        </w:rPr>
      </w:pPr>
      <w:r>
        <w:rPr>
          <w:rFonts w:hint="eastAsia" w:ascii="宋体" w:hAnsi="宋体" w:cs="宋体"/>
          <w:sz w:val="24"/>
        </w:rPr>
        <w:t>地址：邮编：</w:t>
      </w:r>
    </w:p>
    <w:p w14:paraId="7C7BCC44">
      <w:pPr>
        <w:spacing w:line="360" w:lineRule="auto"/>
        <w:rPr>
          <w:rFonts w:ascii="宋体" w:hAnsi="宋体" w:cs="宋体"/>
          <w:sz w:val="24"/>
        </w:rPr>
      </w:pPr>
      <w:r>
        <w:rPr>
          <w:rFonts w:hint="eastAsia" w:ascii="宋体" w:hAnsi="宋体" w:cs="宋体"/>
          <w:sz w:val="24"/>
        </w:rPr>
        <w:t>联系人：联系电话：</w:t>
      </w:r>
    </w:p>
    <w:p w14:paraId="13F98E64">
      <w:pPr>
        <w:spacing w:line="360" w:lineRule="auto"/>
        <w:rPr>
          <w:rFonts w:ascii="宋体" w:hAnsi="宋体" w:cs="宋体"/>
          <w:sz w:val="24"/>
          <w:u w:val="single"/>
        </w:rPr>
      </w:pPr>
      <w:r>
        <w:rPr>
          <w:rFonts w:hint="eastAsia" w:ascii="宋体" w:hAnsi="宋体" w:cs="宋体"/>
          <w:sz w:val="24"/>
        </w:rPr>
        <w:t>授权代表：联系电话：</w:t>
      </w:r>
    </w:p>
    <w:p w14:paraId="791C113E">
      <w:pPr>
        <w:spacing w:line="360" w:lineRule="auto"/>
        <w:rPr>
          <w:rFonts w:ascii="宋体" w:hAnsi="宋体" w:cs="宋体"/>
          <w:sz w:val="24"/>
        </w:rPr>
      </w:pPr>
      <w:r>
        <w:rPr>
          <w:rFonts w:hint="eastAsia" w:ascii="宋体" w:hAnsi="宋体" w:cs="宋体"/>
          <w:sz w:val="24"/>
        </w:rPr>
        <w:t>地址：邮编：</w:t>
      </w:r>
    </w:p>
    <w:p w14:paraId="1ADD6073">
      <w:pPr>
        <w:spacing w:line="360" w:lineRule="auto"/>
        <w:rPr>
          <w:rFonts w:ascii="宋体" w:hAnsi="宋体" w:cs="宋体"/>
          <w:bCs/>
          <w:sz w:val="24"/>
        </w:rPr>
      </w:pPr>
      <w:r>
        <w:rPr>
          <w:rFonts w:hint="eastAsia" w:ascii="宋体" w:hAnsi="宋体" w:cs="宋体"/>
          <w:bCs/>
          <w:sz w:val="24"/>
        </w:rPr>
        <w:t>二、质疑项目基本情况</w:t>
      </w:r>
    </w:p>
    <w:p w14:paraId="45F06D81">
      <w:pPr>
        <w:spacing w:line="360" w:lineRule="auto"/>
        <w:rPr>
          <w:rFonts w:ascii="宋体" w:hAnsi="宋体" w:cs="宋体"/>
          <w:sz w:val="24"/>
        </w:rPr>
      </w:pPr>
      <w:r>
        <w:rPr>
          <w:rFonts w:hint="eastAsia" w:ascii="宋体" w:hAnsi="宋体" w:cs="宋体"/>
          <w:sz w:val="24"/>
        </w:rPr>
        <w:t>质疑项目的名称：</w:t>
      </w:r>
    </w:p>
    <w:p w14:paraId="4F1B361C">
      <w:pPr>
        <w:spacing w:line="360" w:lineRule="auto"/>
        <w:rPr>
          <w:rFonts w:ascii="宋体" w:hAnsi="宋体" w:cs="宋体"/>
          <w:sz w:val="24"/>
        </w:rPr>
      </w:pPr>
      <w:r>
        <w:rPr>
          <w:rFonts w:hint="eastAsia" w:ascii="宋体" w:hAnsi="宋体" w:cs="宋体"/>
          <w:sz w:val="24"/>
        </w:rPr>
        <w:t>质疑项目的编号：包号：</w:t>
      </w:r>
    </w:p>
    <w:p w14:paraId="3F3D6546">
      <w:pPr>
        <w:spacing w:line="360" w:lineRule="auto"/>
        <w:rPr>
          <w:rFonts w:ascii="宋体" w:hAnsi="宋体" w:cs="宋体"/>
          <w:sz w:val="24"/>
          <w:u w:val="single"/>
        </w:rPr>
      </w:pPr>
      <w:r>
        <w:rPr>
          <w:rFonts w:hint="eastAsia" w:ascii="宋体" w:hAnsi="宋体" w:cs="宋体"/>
          <w:sz w:val="24"/>
        </w:rPr>
        <w:t>采购人名称：</w:t>
      </w:r>
    </w:p>
    <w:p w14:paraId="675B593D">
      <w:pPr>
        <w:spacing w:line="360" w:lineRule="auto"/>
        <w:rPr>
          <w:rFonts w:ascii="宋体" w:hAnsi="宋体" w:cs="宋体"/>
          <w:sz w:val="24"/>
        </w:rPr>
      </w:pPr>
      <w:r>
        <w:rPr>
          <w:rFonts w:hint="eastAsia" w:ascii="宋体" w:hAnsi="宋体" w:cs="宋体"/>
          <w:sz w:val="24"/>
        </w:rPr>
        <w:t>采购文件获取日期：</w:t>
      </w:r>
    </w:p>
    <w:p w14:paraId="485B2083">
      <w:pPr>
        <w:spacing w:line="360" w:lineRule="auto"/>
        <w:rPr>
          <w:rFonts w:ascii="宋体" w:hAnsi="宋体" w:cs="宋体"/>
          <w:bCs/>
          <w:sz w:val="24"/>
        </w:rPr>
      </w:pPr>
      <w:r>
        <w:rPr>
          <w:rFonts w:hint="eastAsia" w:ascii="宋体" w:hAnsi="宋体" w:cs="宋体"/>
          <w:bCs/>
          <w:sz w:val="24"/>
        </w:rPr>
        <w:t>三、质疑事项具体内容</w:t>
      </w:r>
    </w:p>
    <w:p w14:paraId="37A81EE7">
      <w:pPr>
        <w:spacing w:line="360" w:lineRule="auto"/>
        <w:rPr>
          <w:rFonts w:ascii="宋体" w:hAnsi="宋体" w:cs="宋体"/>
          <w:sz w:val="24"/>
          <w:u w:val="single"/>
        </w:rPr>
      </w:pPr>
      <w:r>
        <w:rPr>
          <w:rFonts w:hint="eastAsia" w:ascii="宋体" w:hAnsi="宋体" w:cs="宋体"/>
          <w:sz w:val="24"/>
        </w:rPr>
        <w:t>质疑事项1：</w:t>
      </w:r>
    </w:p>
    <w:p w14:paraId="1FE8199D">
      <w:pPr>
        <w:spacing w:line="360" w:lineRule="auto"/>
        <w:rPr>
          <w:rFonts w:ascii="宋体" w:hAnsi="宋体" w:cs="宋体"/>
          <w:sz w:val="24"/>
          <w:u w:val="single"/>
        </w:rPr>
      </w:pPr>
      <w:r>
        <w:rPr>
          <w:rFonts w:hint="eastAsia" w:ascii="宋体" w:hAnsi="宋体" w:cs="宋体"/>
          <w:sz w:val="24"/>
        </w:rPr>
        <w:t>事实依据：</w:t>
      </w:r>
    </w:p>
    <w:p w14:paraId="7132DBB9">
      <w:pPr>
        <w:spacing w:line="360" w:lineRule="auto"/>
        <w:rPr>
          <w:rFonts w:ascii="宋体" w:hAnsi="宋体" w:cs="宋体"/>
          <w:sz w:val="24"/>
        </w:rPr>
      </w:pPr>
    </w:p>
    <w:p w14:paraId="0E25103B">
      <w:pPr>
        <w:spacing w:line="360" w:lineRule="auto"/>
        <w:rPr>
          <w:rFonts w:ascii="宋体" w:hAnsi="宋体" w:cs="宋体"/>
          <w:sz w:val="24"/>
          <w:u w:val="single"/>
        </w:rPr>
      </w:pPr>
      <w:r>
        <w:rPr>
          <w:rFonts w:hint="eastAsia" w:ascii="宋体" w:hAnsi="宋体" w:cs="宋体"/>
          <w:sz w:val="24"/>
        </w:rPr>
        <w:t>法律依据：</w:t>
      </w:r>
    </w:p>
    <w:p w14:paraId="282F7E04">
      <w:pPr>
        <w:spacing w:line="360" w:lineRule="auto"/>
        <w:rPr>
          <w:rFonts w:ascii="宋体" w:hAnsi="宋体" w:cs="宋体"/>
          <w:sz w:val="24"/>
          <w:u w:val="single"/>
        </w:rPr>
      </w:pPr>
    </w:p>
    <w:p w14:paraId="01605A3D">
      <w:pPr>
        <w:spacing w:line="360" w:lineRule="auto"/>
        <w:rPr>
          <w:rFonts w:ascii="宋体" w:hAnsi="宋体" w:cs="宋体"/>
          <w:sz w:val="24"/>
          <w:u w:val="single"/>
        </w:rPr>
      </w:pPr>
      <w:r>
        <w:rPr>
          <w:rFonts w:hint="eastAsia" w:ascii="宋体" w:hAnsi="宋体" w:cs="宋体"/>
          <w:sz w:val="24"/>
        </w:rPr>
        <w:t>质疑事项2</w:t>
      </w:r>
    </w:p>
    <w:p w14:paraId="6C061B32">
      <w:pPr>
        <w:spacing w:line="360" w:lineRule="auto"/>
        <w:rPr>
          <w:rFonts w:ascii="宋体" w:hAnsi="宋体" w:cs="宋体"/>
          <w:sz w:val="24"/>
        </w:rPr>
      </w:pPr>
      <w:r>
        <w:rPr>
          <w:rFonts w:hint="eastAsia" w:ascii="宋体" w:hAnsi="宋体" w:cs="宋体"/>
          <w:sz w:val="24"/>
        </w:rPr>
        <w:t>……</w:t>
      </w:r>
    </w:p>
    <w:p w14:paraId="4210C3E1">
      <w:pPr>
        <w:spacing w:line="360" w:lineRule="auto"/>
        <w:rPr>
          <w:rFonts w:ascii="宋体" w:hAnsi="宋体" w:cs="宋体"/>
          <w:bCs/>
          <w:sz w:val="24"/>
        </w:rPr>
      </w:pPr>
      <w:r>
        <w:rPr>
          <w:rFonts w:hint="eastAsia" w:ascii="宋体" w:hAnsi="宋体" w:cs="宋体"/>
          <w:bCs/>
          <w:sz w:val="24"/>
        </w:rPr>
        <w:t>四、与质疑事项相关的质疑请求</w:t>
      </w:r>
    </w:p>
    <w:p w14:paraId="08E9381C">
      <w:pPr>
        <w:spacing w:line="360" w:lineRule="auto"/>
        <w:rPr>
          <w:rFonts w:ascii="宋体" w:hAnsi="宋体" w:cs="宋体"/>
          <w:sz w:val="24"/>
          <w:u w:val="single"/>
        </w:rPr>
      </w:pPr>
      <w:r>
        <w:rPr>
          <w:rFonts w:hint="eastAsia" w:ascii="宋体" w:hAnsi="宋体" w:cs="宋体"/>
          <w:sz w:val="24"/>
        </w:rPr>
        <w:t>请求：</w:t>
      </w:r>
    </w:p>
    <w:p w14:paraId="3CA48129">
      <w:pPr>
        <w:spacing w:line="360" w:lineRule="auto"/>
        <w:rPr>
          <w:rFonts w:ascii="宋体" w:hAnsi="宋体" w:cs="宋体"/>
          <w:sz w:val="24"/>
        </w:rPr>
      </w:pPr>
      <w:r>
        <w:rPr>
          <w:rFonts w:hint="eastAsia" w:ascii="宋体" w:hAnsi="宋体" w:cs="宋体"/>
          <w:sz w:val="24"/>
        </w:rPr>
        <w:t xml:space="preserve">签字（签章）：              公章：                      </w:t>
      </w:r>
    </w:p>
    <w:p w14:paraId="4BAEAC41">
      <w:pPr>
        <w:spacing w:line="360" w:lineRule="auto"/>
        <w:ind w:right="560" w:firstLine="480"/>
        <w:rPr>
          <w:rFonts w:ascii="宋体" w:hAnsi="宋体" w:cs="宋体"/>
          <w:sz w:val="24"/>
        </w:rPr>
      </w:pPr>
      <w:r>
        <w:rPr>
          <w:rFonts w:hint="eastAsia" w:ascii="宋体" w:hAnsi="宋体" w:cs="宋体"/>
          <w:sz w:val="24"/>
        </w:rPr>
        <w:t>日期：</w:t>
      </w:r>
    </w:p>
    <w:p w14:paraId="50B51990">
      <w:pPr>
        <w:spacing w:line="360" w:lineRule="auto"/>
        <w:ind w:firstLine="480"/>
        <w:rPr>
          <w:rFonts w:ascii="宋体" w:hAnsi="宋体" w:cs="宋体"/>
          <w:sz w:val="24"/>
        </w:rPr>
      </w:pPr>
      <w:r>
        <w:rPr>
          <w:rFonts w:hint="eastAsia" w:ascii="宋体" w:hAnsi="宋体" w:cs="宋体"/>
          <w:sz w:val="24"/>
        </w:rPr>
        <w:t>9.10 质疑供应商对采购人、采购代理机构的答复不满意，或者采购人、采购代理机构未在规定时间内作出答复的，可以在答复期满后15个工作日内向财政部门提起投诉。</w:t>
      </w:r>
    </w:p>
    <w:p w14:paraId="7B51CFE7">
      <w:pPr>
        <w:spacing w:line="360" w:lineRule="auto"/>
        <w:ind w:firstLine="480"/>
        <w:rPr>
          <w:rFonts w:ascii="宋体" w:hAnsi="宋体" w:cs="宋体"/>
          <w:sz w:val="24"/>
        </w:rPr>
      </w:pPr>
      <w:r>
        <w:rPr>
          <w:rFonts w:hint="eastAsia" w:ascii="宋体" w:hAnsi="宋体" w:cs="宋体"/>
          <w:sz w:val="24"/>
        </w:rPr>
        <w:t>9.11 投诉人投诉时，应当提交投诉书和必要的证明材料，并按照被投诉采购人、采购代理机构（以下简称被投诉人）和与投诉事项有关的供应商数量提供投诉书的副本。</w:t>
      </w:r>
    </w:p>
    <w:p w14:paraId="04A2F194">
      <w:pPr>
        <w:spacing w:line="360" w:lineRule="auto"/>
        <w:ind w:firstLine="480"/>
        <w:rPr>
          <w:rFonts w:ascii="宋体" w:hAnsi="宋体" w:cs="宋体"/>
          <w:sz w:val="24"/>
        </w:rPr>
      </w:pPr>
      <w:r>
        <w:rPr>
          <w:rFonts w:hint="eastAsia" w:ascii="宋体" w:hAnsi="宋体" w:cs="宋体"/>
          <w:sz w:val="24"/>
        </w:rPr>
        <w:t>9.12 投诉人投诉时，应当提交投诉书和必要的证明材料，并按照被投诉采购人、采购代理机构（以下简称被投诉人）和与投诉事项有关的供应商数量提供投诉书的副本。投诉人为自然人的，应当由本人签字；投诉人为法人或者其他组织的，应当由法定代表人、主要负责人，或者其授权代表签字或者盖章，并加盖公章。投诉书内容详见第9.14条投诉书范本。</w:t>
      </w:r>
    </w:p>
    <w:p w14:paraId="73B6A677">
      <w:pPr>
        <w:spacing w:line="360" w:lineRule="auto"/>
        <w:ind w:firstLine="480"/>
        <w:jc w:val="left"/>
        <w:rPr>
          <w:rFonts w:ascii="宋体" w:hAnsi="宋体" w:cs="宋体"/>
          <w:sz w:val="24"/>
        </w:rPr>
      </w:pPr>
      <w:r>
        <w:rPr>
          <w:rFonts w:hint="eastAsia" w:ascii="宋体" w:hAnsi="宋体" w:cs="宋体"/>
          <w:sz w:val="24"/>
        </w:rPr>
        <w:t>9.13 投诉人应当将投诉书送达如皋市财政局政府采购管理科（如皋市解放路199号，行政中心A座814室，联系电话0513-87623860）。</w:t>
      </w:r>
    </w:p>
    <w:p w14:paraId="4C39970D">
      <w:pPr>
        <w:spacing w:line="360" w:lineRule="auto"/>
        <w:ind w:firstLine="480"/>
        <w:rPr>
          <w:rFonts w:ascii="宋体" w:hAnsi="宋体" w:cs="宋体"/>
          <w:sz w:val="24"/>
        </w:rPr>
      </w:pPr>
      <w:r>
        <w:rPr>
          <w:rFonts w:hint="eastAsia" w:ascii="宋体" w:hAnsi="宋体" w:cs="宋体"/>
          <w:sz w:val="24"/>
        </w:rPr>
        <w:t>9.14 投诉书范本</w:t>
      </w:r>
    </w:p>
    <w:p w14:paraId="5D65595B">
      <w:pPr>
        <w:spacing w:line="360" w:lineRule="auto"/>
        <w:jc w:val="center"/>
        <w:rPr>
          <w:rFonts w:ascii="宋体" w:hAnsi="宋体" w:cs="宋体"/>
          <w:b/>
          <w:sz w:val="24"/>
        </w:rPr>
      </w:pPr>
      <w:r>
        <w:rPr>
          <w:rFonts w:hint="eastAsia" w:ascii="宋体" w:hAnsi="宋体" w:cs="宋体"/>
          <w:b/>
          <w:sz w:val="24"/>
        </w:rPr>
        <w:t>投诉书</w:t>
      </w:r>
    </w:p>
    <w:p w14:paraId="056408EB">
      <w:pPr>
        <w:spacing w:line="360" w:lineRule="auto"/>
        <w:rPr>
          <w:rFonts w:ascii="宋体" w:hAnsi="宋体" w:cs="宋体"/>
          <w:sz w:val="24"/>
        </w:rPr>
      </w:pPr>
      <w:r>
        <w:rPr>
          <w:rFonts w:hint="eastAsia" w:ascii="宋体" w:hAnsi="宋体" w:cs="宋体"/>
          <w:sz w:val="24"/>
        </w:rPr>
        <w:t>一、投诉相关主体基本情况</w:t>
      </w:r>
    </w:p>
    <w:p w14:paraId="77B63F9C">
      <w:pPr>
        <w:spacing w:line="360" w:lineRule="auto"/>
        <w:rPr>
          <w:rFonts w:ascii="宋体" w:hAnsi="宋体" w:cs="宋体"/>
          <w:sz w:val="24"/>
          <w:u w:val="single"/>
        </w:rPr>
      </w:pPr>
      <w:r>
        <w:rPr>
          <w:rFonts w:hint="eastAsia" w:ascii="宋体" w:hAnsi="宋体" w:cs="宋体"/>
          <w:sz w:val="24"/>
        </w:rPr>
        <w:t>投诉人：</w:t>
      </w:r>
    </w:p>
    <w:p w14:paraId="263F749C">
      <w:pPr>
        <w:spacing w:line="360" w:lineRule="auto"/>
        <w:rPr>
          <w:rFonts w:ascii="宋体" w:hAnsi="宋体" w:cs="宋体"/>
          <w:sz w:val="24"/>
          <w:u w:val="single"/>
        </w:rPr>
      </w:pPr>
      <w:r>
        <w:rPr>
          <w:rFonts w:hint="eastAsia" w:ascii="宋体" w:hAnsi="宋体" w:cs="宋体"/>
          <w:sz w:val="24"/>
        </w:rPr>
        <w:t>地     址：邮编：</w:t>
      </w:r>
    </w:p>
    <w:p w14:paraId="0CA116F8">
      <w:pPr>
        <w:tabs>
          <w:tab w:val="left" w:pos="6510"/>
        </w:tabs>
        <w:spacing w:line="360" w:lineRule="auto"/>
        <w:jc w:val="left"/>
        <w:rPr>
          <w:rFonts w:ascii="宋体" w:hAnsi="宋体" w:cs="宋体"/>
          <w:sz w:val="24"/>
        </w:rPr>
      </w:pPr>
      <w:r>
        <w:rPr>
          <w:rFonts w:hint="eastAsia" w:ascii="宋体" w:hAnsi="宋体" w:cs="宋体"/>
          <w:sz w:val="24"/>
        </w:rPr>
        <w:t>法定代表人/主要负责人：联系电话：</w:t>
      </w:r>
    </w:p>
    <w:p w14:paraId="353CA37D">
      <w:pPr>
        <w:spacing w:line="360" w:lineRule="auto"/>
        <w:rPr>
          <w:rFonts w:ascii="宋体" w:hAnsi="宋体" w:cs="宋体"/>
          <w:sz w:val="24"/>
          <w:u w:val="single"/>
        </w:rPr>
      </w:pPr>
      <w:r>
        <w:rPr>
          <w:rFonts w:hint="eastAsia" w:ascii="宋体" w:hAnsi="宋体" w:cs="宋体"/>
          <w:sz w:val="24"/>
        </w:rPr>
        <w:t>授权代表：联系电话：</w:t>
      </w:r>
    </w:p>
    <w:p w14:paraId="0DBFF50E">
      <w:pPr>
        <w:spacing w:line="360" w:lineRule="auto"/>
        <w:rPr>
          <w:rFonts w:ascii="宋体" w:hAnsi="宋体" w:cs="宋体"/>
          <w:sz w:val="24"/>
          <w:u w:val="single"/>
        </w:rPr>
      </w:pPr>
      <w:r>
        <w:rPr>
          <w:rFonts w:hint="eastAsia" w:ascii="宋体" w:hAnsi="宋体" w:cs="宋体"/>
          <w:sz w:val="24"/>
        </w:rPr>
        <w:t>地     址：邮编：</w:t>
      </w:r>
    </w:p>
    <w:p w14:paraId="63BEAC7E">
      <w:pPr>
        <w:spacing w:line="360" w:lineRule="auto"/>
        <w:rPr>
          <w:rFonts w:ascii="宋体" w:hAnsi="宋体" w:cs="宋体"/>
          <w:sz w:val="24"/>
          <w:u w:val="single"/>
        </w:rPr>
      </w:pPr>
      <w:r>
        <w:rPr>
          <w:rFonts w:hint="eastAsia" w:ascii="宋体" w:hAnsi="宋体" w:cs="宋体"/>
          <w:sz w:val="24"/>
        </w:rPr>
        <w:t>被投诉人1：</w:t>
      </w:r>
    </w:p>
    <w:p w14:paraId="08E632F5">
      <w:pPr>
        <w:spacing w:line="360" w:lineRule="auto"/>
        <w:rPr>
          <w:rFonts w:ascii="宋体" w:hAnsi="宋体" w:cs="宋体"/>
          <w:sz w:val="24"/>
          <w:u w:val="single"/>
        </w:rPr>
      </w:pPr>
      <w:r>
        <w:rPr>
          <w:rFonts w:hint="eastAsia" w:ascii="宋体" w:hAnsi="宋体" w:cs="宋体"/>
          <w:sz w:val="24"/>
        </w:rPr>
        <w:t>地     址：邮编：</w:t>
      </w:r>
    </w:p>
    <w:p w14:paraId="2F15AB3B">
      <w:pPr>
        <w:spacing w:line="360" w:lineRule="auto"/>
        <w:rPr>
          <w:rFonts w:ascii="宋体" w:hAnsi="宋体" w:cs="宋体"/>
          <w:sz w:val="24"/>
          <w:u w:val="single"/>
        </w:rPr>
      </w:pPr>
      <w:r>
        <w:rPr>
          <w:rFonts w:hint="eastAsia" w:ascii="宋体" w:hAnsi="宋体" w:cs="宋体"/>
          <w:sz w:val="24"/>
        </w:rPr>
        <w:t>联系人：联系电话：</w:t>
      </w:r>
    </w:p>
    <w:p w14:paraId="3C11981A">
      <w:pPr>
        <w:spacing w:line="360" w:lineRule="auto"/>
        <w:rPr>
          <w:rFonts w:ascii="宋体" w:hAnsi="宋体" w:cs="宋体"/>
          <w:sz w:val="24"/>
        </w:rPr>
      </w:pPr>
      <w:r>
        <w:rPr>
          <w:rFonts w:hint="eastAsia" w:ascii="宋体" w:hAnsi="宋体" w:cs="宋体"/>
          <w:sz w:val="24"/>
        </w:rPr>
        <w:t>被投诉人2</w:t>
      </w:r>
    </w:p>
    <w:p w14:paraId="5C3E604E">
      <w:pPr>
        <w:spacing w:line="360" w:lineRule="auto"/>
        <w:rPr>
          <w:rFonts w:ascii="宋体" w:hAnsi="宋体" w:cs="宋体"/>
          <w:sz w:val="24"/>
          <w:u w:val="single"/>
        </w:rPr>
      </w:pPr>
      <w:r>
        <w:rPr>
          <w:rFonts w:hint="eastAsia" w:ascii="宋体" w:hAnsi="宋体" w:cs="宋体"/>
          <w:sz w:val="24"/>
        </w:rPr>
        <w:t>……</w:t>
      </w:r>
    </w:p>
    <w:p w14:paraId="7F20E880">
      <w:pPr>
        <w:spacing w:line="360" w:lineRule="auto"/>
        <w:rPr>
          <w:rFonts w:ascii="宋体" w:hAnsi="宋体" w:cs="宋体"/>
          <w:sz w:val="24"/>
          <w:u w:val="single"/>
        </w:rPr>
      </w:pPr>
      <w:r>
        <w:rPr>
          <w:rFonts w:hint="eastAsia" w:ascii="宋体" w:hAnsi="宋体" w:cs="宋体"/>
          <w:sz w:val="24"/>
        </w:rPr>
        <w:t>相关供应商：</w:t>
      </w:r>
    </w:p>
    <w:p w14:paraId="0AEBF2A1">
      <w:pPr>
        <w:spacing w:line="360" w:lineRule="auto"/>
        <w:rPr>
          <w:rFonts w:ascii="宋体" w:hAnsi="宋体" w:cs="宋体"/>
          <w:sz w:val="24"/>
          <w:u w:val="single"/>
        </w:rPr>
      </w:pPr>
      <w:r>
        <w:rPr>
          <w:rFonts w:hint="eastAsia" w:ascii="宋体" w:hAnsi="宋体" w:cs="宋体"/>
          <w:sz w:val="24"/>
        </w:rPr>
        <w:t>地     址：邮编：</w:t>
      </w:r>
    </w:p>
    <w:p w14:paraId="2C762927">
      <w:pPr>
        <w:spacing w:line="360" w:lineRule="auto"/>
        <w:rPr>
          <w:rFonts w:ascii="宋体" w:hAnsi="宋体" w:cs="宋体"/>
          <w:sz w:val="24"/>
          <w:u w:val="single"/>
        </w:rPr>
      </w:pPr>
      <w:r>
        <w:rPr>
          <w:rFonts w:hint="eastAsia" w:ascii="宋体" w:hAnsi="宋体" w:cs="宋体"/>
          <w:sz w:val="24"/>
        </w:rPr>
        <w:t>联系人：联系电话：</w:t>
      </w:r>
    </w:p>
    <w:p w14:paraId="06D4E4F8">
      <w:pPr>
        <w:spacing w:line="360" w:lineRule="auto"/>
        <w:rPr>
          <w:rFonts w:ascii="宋体" w:hAnsi="宋体" w:cs="宋体"/>
          <w:sz w:val="24"/>
        </w:rPr>
      </w:pPr>
      <w:r>
        <w:rPr>
          <w:rFonts w:hint="eastAsia" w:ascii="宋体" w:hAnsi="宋体" w:cs="宋体"/>
          <w:sz w:val="24"/>
        </w:rPr>
        <w:t>二、投诉项目基本情况</w:t>
      </w:r>
    </w:p>
    <w:p w14:paraId="31CE053C">
      <w:pPr>
        <w:spacing w:line="360" w:lineRule="auto"/>
        <w:rPr>
          <w:rFonts w:ascii="宋体" w:hAnsi="宋体" w:cs="宋体"/>
          <w:sz w:val="24"/>
          <w:u w:val="single"/>
        </w:rPr>
      </w:pPr>
      <w:r>
        <w:rPr>
          <w:rFonts w:hint="eastAsia" w:ascii="宋体" w:hAnsi="宋体" w:cs="宋体"/>
          <w:sz w:val="24"/>
        </w:rPr>
        <w:t>采购项目名称：</w:t>
      </w:r>
    </w:p>
    <w:p w14:paraId="6AE681F7">
      <w:pPr>
        <w:spacing w:line="360" w:lineRule="auto"/>
        <w:rPr>
          <w:rFonts w:ascii="宋体" w:hAnsi="宋体" w:cs="宋体"/>
          <w:sz w:val="24"/>
          <w:u w:val="single"/>
        </w:rPr>
      </w:pPr>
      <w:r>
        <w:rPr>
          <w:rFonts w:hint="eastAsia" w:ascii="宋体" w:hAnsi="宋体" w:cs="宋体"/>
          <w:sz w:val="24"/>
        </w:rPr>
        <w:t>采购项目编号：包号：</w:t>
      </w:r>
    </w:p>
    <w:p w14:paraId="5A274CD7">
      <w:pPr>
        <w:spacing w:line="360" w:lineRule="auto"/>
        <w:rPr>
          <w:rFonts w:ascii="宋体" w:hAnsi="宋体" w:cs="宋体"/>
          <w:sz w:val="24"/>
        </w:rPr>
      </w:pPr>
      <w:r>
        <w:rPr>
          <w:rFonts w:hint="eastAsia" w:ascii="宋体" w:hAnsi="宋体" w:cs="宋体"/>
          <w:sz w:val="24"/>
        </w:rPr>
        <w:t>采购人名称：</w:t>
      </w:r>
    </w:p>
    <w:p w14:paraId="70E4A011">
      <w:pPr>
        <w:spacing w:line="360" w:lineRule="auto"/>
        <w:rPr>
          <w:rFonts w:ascii="宋体" w:hAnsi="宋体" w:cs="宋体"/>
          <w:sz w:val="24"/>
          <w:u w:val="single"/>
        </w:rPr>
      </w:pPr>
      <w:r>
        <w:rPr>
          <w:rFonts w:hint="eastAsia" w:ascii="宋体" w:hAnsi="宋体" w:cs="宋体"/>
          <w:sz w:val="24"/>
        </w:rPr>
        <w:t>代理机构名称：</w:t>
      </w:r>
    </w:p>
    <w:p w14:paraId="0FEDB8FE">
      <w:pPr>
        <w:spacing w:line="360" w:lineRule="auto"/>
        <w:rPr>
          <w:rFonts w:ascii="宋体" w:hAnsi="宋体" w:cs="宋体"/>
          <w:sz w:val="24"/>
          <w:u w:val="single"/>
        </w:rPr>
      </w:pPr>
      <w:r>
        <w:rPr>
          <w:rFonts w:hint="eastAsia" w:ascii="宋体" w:hAnsi="宋体" w:cs="宋体"/>
          <w:sz w:val="24"/>
        </w:rPr>
        <w:t>采购文件公告：</w:t>
      </w:r>
      <w:r>
        <w:rPr>
          <w:rFonts w:hint="eastAsia" w:ascii="宋体" w:hAnsi="宋体" w:cs="宋体"/>
          <w:sz w:val="24"/>
          <w:u w:val="single"/>
        </w:rPr>
        <w:t xml:space="preserve">是/否 </w:t>
      </w:r>
      <w:r>
        <w:rPr>
          <w:rFonts w:hint="eastAsia" w:ascii="宋体" w:hAnsi="宋体" w:cs="宋体"/>
          <w:sz w:val="24"/>
        </w:rPr>
        <w:t>公告期限：</w:t>
      </w:r>
    </w:p>
    <w:p w14:paraId="26F73FAC">
      <w:pPr>
        <w:spacing w:line="360" w:lineRule="auto"/>
        <w:rPr>
          <w:rFonts w:ascii="宋体" w:hAnsi="宋体" w:cs="宋体"/>
          <w:sz w:val="24"/>
          <w:u w:val="single"/>
        </w:rPr>
      </w:pPr>
      <w:r>
        <w:rPr>
          <w:rFonts w:hint="eastAsia" w:ascii="宋体" w:hAnsi="宋体" w:cs="宋体"/>
          <w:sz w:val="24"/>
        </w:rPr>
        <w:t>采购结果公告：</w:t>
      </w:r>
      <w:r>
        <w:rPr>
          <w:rFonts w:hint="eastAsia" w:ascii="宋体" w:hAnsi="宋体" w:cs="宋体"/>
          <w:sz w:val="24"/>
          <w:u w:val="single"/>
        </w:rPr>
        <w:t xml:space="preserve">是/否 </w:t>
      </w:r>
      <w:r>
        <w:rPr>
          <w:rFonts w:hint="eastAsia" w:ascii="宋体" w:hAnsi="宋体" w:cs="宋体"/>
          <w:sz w:val="24"/>
        </w:rPr>
        <w:t>公告期限：</w:t>
      </w:r>
    </w:p>
    <w:p w14:paraId="2DBFEB8B">
      <w:pPr>
        <w:spacing w:line="360" w:lineRule="auto"/>
        <w:rPr>
          <w:rFonts w:ascii="宋体" w:hAnsi="宋体" w:cs="宋体"/>
          <w:sz w:val="24"/>
        </w:rPr>
      </w:pPr>
      <w:r>
        <w:rPr>
          <w:rFonts w:hint="eastAsia" w:ascii="宋体" w:hAnsi="宋体" w:cs="宋体"/>
          <w:sz w:val="24"/>
        </w:rPr>
        <w:t>三、质疑基本情况</w:t>
      </w:r>
    </w:p>
    <w:p w14:paraId="5A79E00B">
      <w:pPr>
        <w:spacing w:line="360" w:lineRule="auto"/>
        <w:ind w:firstLine="480"/>
        <w:rPr>
          <w:rFonts w:ascii="宋体" w:hAnsi="宋体" w:cs="宋体"/>
          <w:sz w:val="24"/>
          <w:u w:val="single"/>
        </w:rPr>
      </w:pPr>
      <w:r>
        <w:rPr>
          <w:rFonts w:hint="eastAsia" w:ascii="宋体" w:hAnsi="宋体" w:cs="宋体"/>
          <w:sz w:val="24"/>
        </w:rPr>
        <w:t>投诉人于年月日,向提出质疑，质疑事项为：</w:t>
      </w:r>
    </w:p>
    <w:p w14:paraId="4497B837">
      <w:pPr>
        <w:spacing w:line="360" w:lineRule="auto"/>
        <w:rPr>
          <w:rFonts w:ascii="宋体" w:hAnsi="宋体" w:cs="宋体"/>
          <w:sz w:val="24"/>
          <w:u w:val="single"/>
        </w:rPr>
      </w:pPr>
    </w:p>
    <w:p w14:paraId="5C2DEDF0">
      <w:pPr>
        <w:spacing w:line="360" w:lineRule="auto"/>
        <w:ind w:firstLine="360"/>
        <w:rPr>
          <w:rFonts w:ascii="宋体" w:hAnsi="宋体" w:cs="宋体"/>
          <w:sz w:val="24"/>
        </w:rPr>
      </w:pPr>
      <w:r>
        <w:rPr>
          <w:rFonts w:hint="eastAsia" w:ascii="宋体" w:hAnsi="宋体" w:cs="宋体"/>
          <w:sz w:val="24"/>
          <w:u w:val="single"/>
        </w:rPr>
        <w:t>采购人/代理机构</w:t>
      </w:r>
      <w:r>
        <w:rPr>
          <w:rFonts w:hint="eastAsia" w:ascii="宋体" w:hAnsi="宋体" w:cs="宋体"/>
          <w:sz w:val="24"/>
        </w:rPr>
        <w:t>于年月日，就质疑事项作出了答复/没有在法定期限内作出答复。</w:t>
      </w:r>
    </w:p>
    <w:p w14:paraId="523DFC6C">
      <w:pPr>
        <w:spacing w:line="360" w:lineRule="auto"/>
        <w:rPr>
          <w:rFonts w:ascii="宋体" w:hAnsi="宋体" w:cs="宋体"/>
          <w:sz w:val="24"/>
        </w:rPr>
      </w:pPr>
      <w:r>
        <w:rPr>
          <w:rFonts w:hint="eastAsia" w:ascii="宋体" w:hAnsi="宋体" w:cs="宋体"/>
          <w:sz w:val="24"/>
        </w:rPr>
        <w:t>四、投诉事项具体内容</w:t>
      </w:r>
    </w:p>
    <w:p w14:paraId="7AE63CA8">
      <w:pPr>
        <w:spacing w:line="360" w:lineRule="auto"/>
        <w:rPr>
          <w:rFonts w:ascii="宋体" w:hAnsi="宋体" w:cs="宋体"/>
          <w:sz w:val="24"/>
          <w:u w:val="single"/>
        </w:rPr>
      </w:pPr>
      <w:r>
        <w:rPr>
          <w:rFonts w:hint="eastAsia" w:ascii="宋体" w:hAnsi="宋体" w:cs="宋体"/>
          <w:sz w:val="24"/>
        </w:rPr>
        <w:t>投诉事项 1：</w:t>
      </w:r>
    </w:p>
    <w:p w14:paraId="62D02E99">
      <w:pPr>
        <w:spacing w:line="360" w:lineRule="auto"/>
        <w:rPr>
          <w:rFonts w:ascii="宋体" w:hAnsi="宋体" w:cs="宋体"/>
          <w:sz w:val="24"/>
        </w:rPr>
      </w:pPr>
      <w:r>
        <w:rPr>
          <w:rFonts w:hint="eastAsia" w:ascii="宋体" w:hAnsi="宋体" w:cs="宋体"/>
          <w:sz w:val="24"/>
        </w:rPr>
        <w:t>事实依据：</w:t>
      </w:r>
    </w:p>
    <w:p w14:paraId="06844F17">
      <w:pPr>
        <w:spacing w:line="360" w:lineRule="auto"/>
        <w:rPr>
          <w:rFonts w:ascii="宋体" w:hAnsi="宋体" w:cs="宋体"/>
          <w:sz w:val="24"/>
          <w:u w:val="single"/>
        </w:rPr>
      </w:pPr>
    </w:p>
    <w:p w14:paraId="50721EE5">
      <w:pPr>
        <w:spacing w:line="360" w:lineRule="auto"/>
        <w:rPr>
          <w:rFonts w:ascii="宋体" w:hAnsi="宋体" w:cs="宋体"/>
          <w:sz w:val="24"/>
          <w:u w:val="single"/>
        </w:rPr>
      </w:pPr>
      <w:r>
        <w:rPr>
          <w:rFonts w:hint="eastAsia" w:ascii="宋体" w:hAnsi="宋体" w:cs="宋体"/>
          <w:sz w:val="24"/>
        </w:rPr>
        <w:t>法律依据：</w:t>
      </w:r>
    </w:p>
    <w:p w14:paraId="5D75CEF2">
      <w:pPr>
        <w:spacing w:line="360" w:lineRule="auto"/>
        <w:rPr>
          <w:rFonts w:ascii="宋体" w:hAnsi="宋体" w:cs="宋体"/>
          <w:sz w:val="24"/>
          <w:u w:val="single"/>
        </w:rPr>
      </w:pPr>
    </w:p>
    <w:p w14:paraId="6C83E13D">
      <w:pPr>
        <w:spacing w:line="360" w:lineRule="auto"/>
        <w:rPr>
          <w:rFonts w:ascii="宋体" w:hAnsi="宋体" w:cs="宋体"/>
          <w:sz w:val="24"/>
        </w:rPr>
      </w:pPr>
      <w:r>
        <w:rPr>
          <w:rFonts w:hint="eastAsia" w:ascii="宋体" w:hAnsi="宋体" w:cs="宋体"/>
          <w:sz w:val="24"/>
        </w:rPr>
        <w:t>投诉事项2</w:t>
      </w:r>
    </w:p>
    <w:p w14:paraId="62EBB5C2">
      <w:pPr>
        <w:spacing w:line="360" w:lineRule="auto"/>
        <w:rPr>
          <w:rFonts w:ascii="宋体" w:hAnsi="宋体" w:cs="宋体"/>
          <w:sz w:val="24"/>
          <w:u w:val="single"/>
        </w:rPr>
      </w:pPr>
      <w:r>
        <w:rPr>
          <w:rFonts w:hint="eastAsia" w:ascii="宋体" w:hAnsi="宋体" w:cs="宋体"/>
          <w:sz w:val="24"/>
        </w:rPr>
        <w:t>……</w:t>
      </w:r>
    </w:p>
    <w:p w14:paraId="0408781B">
      <w:pPr>
        <w:spacing w:line="360" w:lineRule="auto"/>
        <w:rPr>
          <w:rFonts w:ascii="宋体" w:hAnsi="宋体" w:cs="宋体"/>
          <w:sz w:val="24"/>
        </w:rPr>
      </w:pPr>
      <w:r>
        <w:rPr>
          <w:rFonts w:hint="eastAsia" w:ascii="宋体" w:hAnsi="宋体" w:cs="宋体"/>
          <w:sz w:val="24"/>
        </w:rPr>
        <w:t>五、与投诉事项相关的投诉请求</w:t>
      </w:r>
    </w:p>
    <w:p w14:paraId="3984D415">
      <w:pPr>
        <w:spacing w:line="360" w:lineRule="auto"/>
        <w:rPr>
          <w:rFonts w:ascii="宋体" w:hAnsi="宋体" w:cs="宋体"/>
          <w:sz w:val="24"/>
        </w:rPr>
      </w:pPr>
      <w:r>
        <w:rPr>
          <w:rFonts w:hint="eastAsia" w:ascii="宋体" w:hAnsi="宋体" w:cs="宋体"/>
          <w:sz w:val="24"/>
        </w:rPr>
        <w:t>请求：</w:t>
      </w:r>
    </w:p>
    <w:p w14:paraId="1E01004D">
      <w:pPr>
        <w:spacing w:line="360" w:lineRule="auto"/>
        <w:rPr>
          <w:rFonts w:ascii="宋体" w:hAnsi="宋体" w:cs="宋体"/>
          <w:sz w:val="24"/>
          <w:u w:val="single"/>
        </w:rPr>
      </w:pPr>
    </w:p>
    <w:p w14:paraId="6E69196A">
      <w:pPr>
        <w:spacing w:line="360" w:lineRule="auto"/>
        <w:rPr>
          <w:rFonts w:ascii="宋体" w:hAnsi="宋体" w:cs="宋体"/>
          <w:sz w:val="24"/>
        </w:rPr>
      </w:pPr>
      <w:r>
        <w:rPr>
          <w:rFonts w:hint="eastAsia" w:ascii="宋体" w:hAnsi="宋体" w:cs="宋体"/>
          <w:sz w:val="24"/>
        </w:rPr>
        <w:t xml:space="preserve">签字（签章）：                   公章：                      </w:t>
      </w:r>
    </w:p>
    <w:p w14:paraId="01735B72">
      <w:pPr>
        <w:spacing w:line="360" w:lineRule="auto"/>
        <w:ind w:firstLine="480"/>
        <w:rPr>
          <w:rFonts w:ascii="宋体" w:hAnsi="宋体" w:cs="宋体"/>
          <w:sz w:val="24"/>
        </w:rPr>
      </w:pPr>
      <w:r>
        <w:rPr>
          <w:rFonts w:hint="eastAsia" w:ascii="宋体" w:hAnsi="宋体" w:cs="宋体"/>
          <w:sz w:val="24"/>
        </w:rPr>
        <w:t xml:space="preserve">日期：    </w:t>
      </w:r>
    </w:p>
    <w:p w14:paraId="7290FB65">
      <w:pPr>
        <w:spacing w:line="360" w:lineRule="auto"/>
        <w:ind w:firstLine="560"/>
        <w:jc w:val="left"/>
        <w:outlineLvl w:val="1"/>
        <w:rPr>
          <w:rFonts w:ascii="宋体" w:hAnsi="宋体" w:cs="宋体"/>
          <w:sz w:val="24"/>
        </w:rPr>
      </w:pPr>
      <w:r>
        <w:rPr>
          <w:rFonts w:hint="eastAsia" w:ascii="宋体" w:hAnsi="宋体" w:cs="宋体"/>
          <w:sz w:val="24"/>
        </w:rPr>
        <w:t>10. 政府采购合同信用融资扶持政策</w:t>
      </w:r>
    </w:p>
    <w:p w14:paraId="2751AD63">
      <w:pPr>
        <w:spacing w:line="360" w:lineRule="auto"/>
        <w:ind w:firstLine="560"/>
        <w:jc w:val="left"/>
        <w:rPr>
          <w:rFonts w:ascii="宋体" w:hAnsi="宋体" w:cs="宋体"/>
          <w:sz w:val="24"/>
        </w:rPr>
      </w:pPr>
      <w:r>
        <w:rPr>
          <w:rFonts w:hint="eastAsia" w:ascii="宋体" w:hAnsi="宋体" w:cs="宋体"/>
          <w:sz w:val="24"/>
        </w:rPr>
        <w:t>10.1 政府采购成交供应商提出“政采贷”融资申请的，采购人应当依法按时在“苏采云”系统中录入并公开政府采购合同信息，勾选“融资贷款”选项，并在合同签订、验收付款、账号维护等环节提供必要便利，持续降低参与政府采购的中小企业融资成本。</w:t>
      </w:r>
    </w:p>
    <w:p w14:paraId="56028A4A">
      <w:pPr>
        <w:spacing w:line="360" w:lineRule="auto"/>
        <w:ind w:firstLine="560"/>
        <w:jc w:val="left"/>
        <w:rPr>
          <w:rFonts w:ascii="宋体" w:hAnsi="宋体" w:cs="宋体"/>
          <w:sz w:val="24"/>
        </w:rPr>
      </w:pPr>
      <w:r>
        <w:rPr>
          <w:rFonts w:hint="eastAsia" w:ascii="宋体" w:hAnsi="宋体" w:cs="宋体"/>
          <w:sz w:val="24"/>
        </w:rPr>
        <w:t>10.2 成交供应商如需获得合同信用融资支持，可凭政府采购合同办理“政采贷”融资贷款，详情请见南通市政府采购网 “易企服”综合服务平台－金融产品全周期－贷款产品专栏。</w:t>
      </w:r>
    </w:p>
    <w:p w14:paraId="4C412C52">
      <w:pPr>
        <w:keepNext w:val="0"/>
        <w:keepLines w:val="0"/>
        <w:pageBreakBefore w:val="0"/>
        <w:widowControl w:val="0"/>
        <w:kinsoku/>
        <w:wordWrap/>
        <w:overflowPunct/>
        <w:topLinePunct w:val="0"/>
        <w:autoSpaceDE/>
        <w:autoSpaceDN/>
        <w:bidi w:val="0"/>
        <w:adjustRightInd/>
        <w:snapToGrid/>
        <w:spacing w:line="360" w:lineRule="auto"/>
        <w:ind w:firstLine="560"/>
        <w:textAlignment w:val="auto"/>
        <w:outlineLvl w:val="1"/>
        <w:rPr>
          <w:rFonts w:ascii="宋体" w:hAnsi="宋体" w:cs="宋体"/>
          <w:sz w:val="24"/>
        </w:rPr>
      </w:pPr>
      <w:r>
        <w:rPr>
          <w:rFonts w:hint="eastAsia" w:ascii="宋体" w:hAnsi="宋体" w:cs="宋体"/>
          <w:sz w:val="24"/>
        </w:rPr>
        <w:t>11. 采购代理服务费</w:t>
      </w:r>
    </w:p>
    <w:p w14:paraId="7B5AFE50">
      <w:pPr>
        <w:keepNext w:val="0"/>
        <w:keepLines w:val="0"/>
        <w:pageBreakBefore w:val="0"/>
        <w:widowControl w:val="0"/>
        <w:kinsoku/>
        <w:wordWrap/>
        <w:overflowPunct/>
        <w:topLinePunct w:val="0"/>
        <w:autoSpaceDE/>
        <w:autoSpaceDN/>
        <w:bidi w:val="0"/>
        <w:adjustRightInd/>
        <w:snapToGrid/>
        <w:spacing w:line="360" w:lineRule="auto"/>
        <w:ind w:firstLine="56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11.1 采购代理服务费收取标准：本项目采购代理服务费以成交价</w:t>
      </w:r>
      <w:r>
        <w:rPr>
          <w:rFonts w:hint="eastAsia" w:ascii="宋体" w:hAnsi="宋体" w:eastAsia="宋体" w:cs="宋体"/>
          <w:sz w:val="24"/>
          <w:szCs w:val="24"/>
          <w:highlight w:val="none"/>
          <w:lang w:val="en-US" w:eastAsia="zh-CN"/>
        </w:rPr>
        <w:t>为</w:t>
      </w:r>
      <w:r>
        <w:rPr>
          <w:rFonts w:hint="eastAsia" w:ascii="宋体" w:hAnsi="宋体" w:eastAsia="宋体" w:cs="宋体"/>
          <w:sz w:val="24"/>
          <w:szCs w:val="24"/>
          <w:highlight w:val="none"/>
        </w:rPr>
        <w:t>基数，采用差额定率累进法（50万元(含)以下部分，费率1.6%；50万元~400万元（含）部分，费率为1.5%；400万元~1000万元（含）部分，费率1.1%；1000万元~5000万元（含）部分，费率为0.8%）分段计算后汇总，不足伍仟元按伍仟元计取，由中标供应商承担。本项目预算中包含此费用，投标人在报价中需考虑此费用的代付，采购人不再另行支付。</w:t>
      </w:r>
    </w:p>
    <w:p w14:paraId="4679117B">
      <w:pPr>
        <w:keepNext w:val="0"/>
        <w:keepLines w:val="0"/>
        <w:pageBreakBefore w:val="0"/>
        <w:widowControl w:val="0"/>
        <w:kinsoku/>
        <w:wordWrap/>
        <w:overflowPunct/>
        <w:topLinePunct w:val="0"/>
        <w:autoSpaceDE/>
        <w:autoSpaceDN/>
        <w:bidi w:val="0"/>
        <w:adjustRightInd/>
        <w:snapToGrid/>
        <w:spacing w:line="360" w:lineRule="auto"/>
        <w:ind w:firstLine="560"/>
        <w:jc w:val="left"/>
        <w:textAlignment w:val="auto"/>
        <w:rPr>
          <w:rFonts w:ascii="宋体" w:hAnsi="宋体" w:cs="宋体"/>
          <w:sz w:val="24"/>
        </w:rPr>
      </w:pPr>
      <w:r>
        <w:rPr>
          <w:rFonts w:hint="eastAsia" w:ascii="宋体" w:hAnsi="宋体" w:cs="宋体"/>
          <w:sz w:val="24"/>
        </w:rPr>
        <w:t>11.2 采购代理服务费由成交供应商支付。成交供应商自成交结果公告发布之日起五个工作日内，向采购代理机构支付服务费。</w:t>
      </w:r>
    </w:p>
    <w:p w14:paraId="00AA9886">
      <w:pPr>
        <w:keepNext w:val="0"/>
        <w:keepLines w:val="0"/>
        <w:pageBreakBefore w:val="0"/>
        <w:widowControl w:val="0"/>
        <w:kinsoku/>
        <w:wordWrap/>
        <w:overflowPunct/>
        <w:topLinePunct w:val="0"/>
        <w:autoSpaceDE/>
        <w:autoSpaceDN/>
        <w:bidi w:val="0"/>
        <w:adjustRightInd/>
        <w:snapToGrid/>
        <w:spacing w:line="360" w:lineRule="auto"/>
        <w:ind w:firstLine="560"/>
        <w:jc w:val="left"/>
        <w:textAlignment w:val="auto"/>
        <w:rPr>
          <w:rFonts w:ascii="宋体" w:hAnsi="宋体" w:cs="宋体"/>
          <w:sz w:val="24"/>
        </w:rPr>
      </w:pPr>
      <w:r>
        <w:rPr>
          <w:rFonts w:hint="eastAsia" w:ascii="宋体" w:hAnsi="宋体" w:cs="宋体"/>
          <w:sz w:val="24"/>
        </w:rPr>
        <w:t>11.3 采购代理机构账户信息：</w:t>
      </w:r>
    </w:p>
    <w:p w14:paraId="119A3C8E">
      <w:pPr>
        <w:pStyle w:val="39"/>
        <w:keepNext w:val="0"/>
        <w:keepLines w:val="0"/>
        <w:pageBreakBefore w:val="0"/>
        <w:widowControl w:val="0"/>
        <w:kinsoku/>
        <w:wordWrap/>
        <w:overflowPunct/>
        <w:topLinePunct w:val="0"/>
        <w:autoSpaceDE/>
        <w:autoSpaceDN/>
        <w:bidi w:val="0"/>
        <w:adjustRightInd/>
        <w:snapToGrid/>
        <w:spacing w:after="0" w:line="360" w:lineRule="auto"/>
        <w:textAlignment w:val="auto"/>
        <w:rPr>
          <w:rFonts w:ascii="宋体" w:hAnsi="宋体" w:cs="宋体"/>
          <w:sz w:val="24"/>
          <w:szCs w:val="24"/>
        </w:rPr>
      </w:pPr>
      <w:r>
        <w:rPr>
          <w:rFonts w:hint="eastAsia" w:ascii="宋体" w:hAnsi="宋体" w:cs="宋体"/>
          <w:sz w:val="24"/>
          <w:szCs w:val="24"/>
        </w:rPr>
        <w:t>收款单位名称为：江苏久格工程项目管理有限公司南通分公司</w:t>
      </w:r>
    </w:p>
    <w:p w14:paraId="645BDD5A">
      <w:pPr>
        <w:pStyle w:val="39"/>
        <w:keepNext w:val="0"/>
        <w:keepLines w:val="0"/>
        <w:pageBreakBefore w:val="0"/>
        <w:widowControl w:val="0"/>
        <w:kinsoku/>
        <w:wordWrap/>
        <w:overflowPunct/>
        <w:topLinePunct w:val="0"/>
        <w:autoSpaceDE/>
        <w:autoSpaceDN/>
        <w:bidi w:val="0"/>
        <w:adjustRightInd/>
        <w:snapToGrid/>
        <w:spacing w:after="0" w:line="360" w:lineRule="auto"/>
        <w:textAlignment w:val="auto"/>
        <w:rPr>
          <w:rFonts w:ascii="宋体" w:hAnsi="宋体" w:cs="宋体"/>
          <w:sz w:val="24"/>
          <w:szCs w:val="24"/>
        </w:rPr>
      </w:pPr>
      <w:r>
        <w:rPr>
          <w:rFonts w:hint="eastAsia" w:ascii="宋体" w:hAnsi="宋体" w:cs="宋体"/>
          <w:sz w:val="24"/>
          <w:szCs w:val="24"/>
        </w:rPr>
        <w:t>账户号码：1111450609100210944；</w:t>
      </w:r>
    </w:p>
    <w:p w14:paraId="3EF7066D">
      <w:pPr>
        <w:keepNext w:val="0"/>
        <w:keepLines w:val="0"/>
        <w:pageBreakBefore w:val="0"/>
        <w:widowControl w:val="0"/>
        <w:kinsoku/>
        <w:wordWrap/>
        <w:overflowPunct/>
        <w:topLinePunct w:val="0"/>
        <w:autoSpaceDE/>
        <w:autoSpaceDN/>
        <w:bidi w:val="0"/>
        <w:adjustRightInd/>
        <w:snapToGrid/>
        <w:spacing w:line="360" w:lineRule="auto"/>
        <w:ind w:firstLine="878" w:firstLineChars="366"/>
        <w:textAlignment w:val="auto"/>
        <w:rPr>
          <w:rFonts w:ascii="宋体" w:hAnsi="宋体" w:cs="宋体"/>
          <w:sz w:val="24"/>
        </w:rPr>
      </w:pPr>
      <w:r>
        <w:rPr>
          <w:rFonts w:hint="eastAsia" w:ascii="宋体" w:hAnsi="宋体" w:cs="宋体"/>
          <w:sz w:val="24"/>
        </w:rPr>
        <w:t>开户行：中国工商银行南通世纪大道支行</w:t>
      </w:r>
    </w:p>
    <w:p w14:paraId="3B550438">
      <w:pPr>
        <w:keepNext w:val="0"/>
        <w:keepLines w:val="0"/>
        <w:pageBreakBefore w:val="0"/>
        <w:widowControl w:val="0"/>
        <w:kinsoku/>
        <w:wordWrap/>
        <w:overflowPunct/>
        <w:topLinePunct w:val="0"/>
        <w:autoSpaceDE/>
        <w:autoSpaceDN/>
        <w:bidi w:val="0"/>
        <w:adjustRightInd/>
        <w:snapToGrid/>
        <w:spacing w:line="360" w:lineRule="auto"/>
        <w:ind w:firstLine="878" w:firstLineChars="366"/>
        <w:textAlignment w:val="auto"/>
        <w:rPr>
          <w:rFonts w:ascii="宋体" w:hAnsi="宋体" w:cs="宋体"/>
          <w:sz w:val="28"/>
          <w:szCs w:val="28"/>
        </w:rPr>
      </w:pPr>
      <w:r>
        <w:rPr>
          <w:rFonts w:hint="eastAsia" w:ascii="宋体" w:hAnsi="宋体" w:cs="宋体"/>
          <w:sz w:val="24"/>
        </w:rPr>
        <w:t>行号：102308445062</w:t>
      </w:r>
      <w:bookmarkEnd w:id="4"/>
    </w:p>
    <w:p w14:paraId="589F28A4">
      <w:pPr>
        <w:pStyle w:val="208"/>
        <w:keepNext w:val="0"/>
        <w:keepLines w:val="0"/>
        <w:pageBreakBefore w:val="0"/>
        <w:widowControl w:val="0"/>
        <w:kinsoku/>
        <w:wordWrap/>
        <w:overflowPunct/>
        <w:topLinePunct w:val="0"/>
        <w:autoSpaceDE/>
        <w:autoSpaceDN/>
        <w:bidi w:val="0"/>
        <w:adjustRightInd/>
        <w:snapToGrid/>
        <w:spacing w:before="0" w:after="0" w:line="360" w:lineRule="auto"/>
        <w:ind w:firstLine="0"/>
        <w:jc w:val="center"/>
        <w:textAlignment w:val="auto"/>
        <w:outlineLvl w:val="0"/>
        <w:rPr>
          <w:rFonts w:ascii="宋体" w:hAnsi="宋体" w:cs="宋体"/>
          <w:bCs/>
          <w:sz w:val="32"/>
          <w:szCs w:val="32"/>
        </w:rPr>
      </w:pPr>
      <w:r>
        <w:rPr>
          <w:rFonts w:hint="eastAsia" w:ascii="宋体" w:hAnsi="宋体" w:cs="宋体"/>
          <w:bCs/>
          <w:sz w:val="32"/>
          <w:szCs w:val="32"/>
        </w:rPr>
        <w:br w:type="page" w:clear="all"/>
      </w:r>
      <w:r>
        <w:rPr>
          <w:rFonts w:hint="eastAsia" w:ascii="宋体" w:hAnsi="宋体" w:cs="宋体"/>
          <w:bCs/>
          <w:sz w:val="32"/>
          <w:szCs w:val="32"/>
        </w:rPr>
        <w:t>第三章 采购需求</w:t>
      </w:r>
    </w:p>
    <w:p w14:paraId="1FD75722">
      <w:pPr>
        <w:spacing w:line="360" w:lineRule="auto"/>
        <w:ind w:firstLine="562"/>
        <w:jc w:val="left"/>
        <w:rPr>
          <w:rFonts w:ascii="宋体" w:hAnsi="宋体" w:cs="宋体"/>
          <w:b/>
          <w:bCs/>
          <w:sz w:val="24"/>
        </w:rPr>
      </w:pPr>
      <w:r>
        <w:rPr>
          <w:rFonts w:hint="eastAsia" w:ascii="宋体" w:hAnsi="宋体" w:cs="宋体"/>
          <w:b/>
          <w:bCs/>
          <w:sz w:val="24"/>
        </w:rPr>
        <w:t>供应商在制作响应文件时仔细研究采购需求说明。采购需求包括技术要求和商务要求：技术要求是指对采购标的功能和质量要求，包括性能、材料、结构、外观、安全，或者服务内容和标准等；商务要求是指取得采购标的的时间、地点、财务和服务要求，包括交付（实施）的时间（期限）和地点（范围），付款条件（进度和方法），包装和运输，售后服务，保险等。</w:t>
      </w:r>
    </w:p>
    <w:p w14:paraId="70C24FC6">
      <w:pPr>
        <w:pStyle w:val="208"/>
        <w:spacing w:before="0" w:after="0"/>
        <w:ind w:firstLine="562"/>
        <w:rPr>
          <w:rFonts w:ascii="宋体" w:hAnsi="宋体" w:cs="宋体"/>
          <w:b/>
          <w:bCs/>
        </w:rPr>
      </w:pPr>
      <w:r>
        <w:rPr>
          <w:rFonts w:hint="eastAsia" w:ascii="宋体" w:hAnsi="宋体" w:cs="宋体"/>
          <w:b/>
          <w:bCs/>
        </w:rPr>
        <w:t>供应商不能简单照搬照抄磋商文件项目需求说明中的技术、商务要求，必须做到实事求是地响应。如响应供应商提供的货物和服务同采购人提出的项目需求说明中的技术、商务要求不同的，必须在《商务部分正负偏离表》和《技术部分正负偏离表》上明示。</w:t>
      </w:r>
    </w:p>
    <w:p w14:paraId="239E760B">
      <w:pPr>
        <w:spacing w:line="360" w:lineRule="auto"/>
        <w:ind w:firstLine="560"/>
        <w:outlineLvl w:val="1"/>
        <w:rPr>
          <w:rFonts w:ascii="宋体" w:hAnsi="宋体" w:cs="宋体"/>
          <w:sz w:val="24"/>
        </w:rPr>
      </w:pPr>
      <w:r>
        <w:rPr>
          <w:rFonts w:hint="eastAsia" w:ascii="宋体" w:hAnsi="宋体" w:cs="宋体"/>
          <w:sz w:val="24"/>
        </w:rPr>
        <w:t>一、项目简介</w:t>
      </w:r>
    </w:p>
    <w:p w14:paraId="5A864653">
      <w:pPr>
        <w:spacing w:line="360" w:lineRule="auto"/>
        <w:ind w:firstLine="560"/>
        <w:rPr>
          <w:rFonts w:ascii="宋体" w:hAnsi="宋体" w:cs="宋体"/>
          <w:sz w:val="24"/>
        </w:rPr>
      </w:pPr>
      <w:r>
        <w:rPr>
          <w:rFonts w:hint="eastAsia" w:ascii="宋体" w:hAnsi="宋体" w:cs="宋体"/>
          <w:sz w:val="24"/>
        </w:rPr>
        <w:t>本项目为搬经镇2026-2027年镇市政公共基础设施建筑等零星维修工程，包含相应设备、材料采购并施工安装。</w:t>
      </w:r>
    </w:p>
    <w:p w14:paraId="77CDFDB9">
      <w:pPr>
        <w:spacing w:line="360" w:lineRule="auto"/>
        <w:ind w:firstLine="560"/>
        <w:outlineLvl w:val="1"/>
        <w:rPr>
          <w:rFonts w:ascii="宋体" w:hAnsi="宋体" w:cs="宋体"/>
          <w:sz w:val="24"/>
        </w:rPr>
      </w:pPr>
      <w:r>
        <w:rPr>
          <w:rFonts w:hint="eastAsia" w:ascii="宋体" w:hAnsi="宋体" w:cs="宋体"/>
          <w:sz w:val="24"/>
        </w:rPr>
        <w:t>二、采购内容</w:t>
      </w:r>
    </w:p>
    <w:p w14:paraId="6638480A">
      <w:pPr>
        <w:spacing w:line="360" w:lineRule="auto"/>
        <w:ind w:firstLine="560"/>
        <w:rPr>
          <w:rFonts w:ascii="宋体" w:hAnsi="宋体" w:cs="宋体"/>
          <w:sz w:val="24"/>
        </w:rPr>
      </w:pPr>
      <w:r>
        <w:rPr>
          <w:rFonts w:hint="eastAsia" w:ascii="宋体" w:hAnsi="宋体" w:cs="宋体"/>
          <w:sz w:val="24"/>
        </w:rPr>
        <w:t>本项目为如皋市搬经镇全镇范围内道路、桥梁、建筑、公共基础设施、雨污管网、路灯亮化、绿化养护、安置小区及12345热线反应的急需维修的设施及部位进行维修和其他突击性工程等公共设施零星维修改造等。</w:t>
      </w:r>
    </w:p>
    <w:p w14:paraId="41BF9CA1">
      <w:pPr>
        <w:spacing w:line="360" w:lineRule="auto"/>
        <w:ind w:firstLine="560"/>
        <w:outlineLvl w:val="1"/>
        <w:rPr>
          <w:rFonts w:ascii="宋体" w:hAnsi="宋体" w:cs="宋体"/>
          <w:sz w:val="24"/>
        </w:rPr>
      </w:pPr>
      <w:r>
        <w:rPr>
          <w:rFonts w:hint="eastAsia" w:ascii="宋体" w:hAnsi="宋体" w:cs="宋体"/>
          <w:sz w:val="24"/>
        </w:rPr>
        <w:t>三、技术要求</w:t>
      </w:r>
    </w:p>
    <w:p w14:paraId="22FBF22B">
      <w:pPr>
        <w:spacing w:line="360" w:lineRule="auto"/>
        <w:ind w:firstLine="560"/>
        <w:rPr>
          <w:rFonts w:ascii="宋体" w:hAnsi="宋体" w:cs="宋体"/>
          <w:sz w:val="24"/>
        </w:rPr>
      </w:pPr>
      <w:r>
        <w:rPr>
          <w:rFonts w:hint="eastAsia" w:ascii="宋体" w:hAnsi="宋体" w:cs="宋体"/>
          <w:sz w:val="24"/>
        </w:rPr>
        <w:t>（一）成交供应商应严格按照国家现行相关法律法规、技术标准和规范、图纸等要求组织施工。</w:t>
      </w:r>
    </w:p>
    <w:p w14:paraId="58151B41">
      <w:pPr>
        <w:spacing w:line="360" w:lineRule="auto"/>
        <w:ind w:firstLine="560"/>
        <w:rPr>
          <w:rFonts w:ascii="宋体" w:hAnsi="宋体" w:cs="宋体"/>
          <w:sz w:val="24"/>
        </w:rPr>
      </w:pPr>
      <w:r>
        <w:rPr>
          <w:rFonts w:hint="eastAsia" w:ascii="宋体" w:hAnsi="宋体" w:cs="宋体"/>
          <w:sz w:val="24"/>
        </w:rPr>
        <w:t>（二）当采购人有维修需求时，成交供应商根据采购人、监理要求及具体实施方案，组织各类专业技术人员、配备所需机械设备，实施维修工程，并服从采购人及监理的现场管理监督。施工及维修的配套材料进场前必须得到采购人的确认。</w:t>
      </w:r>
    </w:p>
    <w:p w14:paraId="4C4182B5">
      <w:pPr>
        <w:spacing w:line="360" w:lineRule="auto"/>
        <w:ind w:firstLine="560"/>
        <w:rPr>
          <w:rFonts w:ascii="宋体" w:hAnsi="宋体" w:cs="宋体"/>
          <w:sz w:val="24"/>
        </w:rPr>
      </w:pPr>
      <w:r>
        <w:rPr>
          <w:rFonts w:hint="eastAsia" w:ascii="宋体" w:hAnsi="宋体" w:cs="宋体"/>
          <w:sz w:val="24"/>
        </w:rPr>
        <w:t>（三）成交供应商对接项目时须同时提供项目经理、施工员、材料员、安全员、水电人员等相关专业人员名单。</w:t>
      </w:r>
    </w:p>
    <w:p w14:paraId="6C88E0ED">
      <w:pPr>
        <w:spacing w:line="360" w:lineRule="auto"/>
        <w:ind w:firstLine="560"/>
        <w:rPr>
          <w:rFonts w:ascii="宋体" w:hAnsi="宋体" w:cs="宋体"/>
          <w:sz w:val="24"/>
        </w:rPr>
      </w:pPr>
      <w:r>
        <w:rPr>
          <w:rFonts w:hint="eastAsia" w:ascii="宋体" w:hAnsi="宋体" w:cs="宋体"/>
          <w:sz w:val="24"/>
        </w:rPr>
        <w:t>（四）成交供应商施工中必须按时清理施工场地,垃圾必须清理离场，竣工时对施工场所全面打扫。</w:t>
      </w:r>
    </w:p>
    <w:p w14:paraId="27EB35C6">
      <w:pPr>
        <w:spacing w:line="360" w:lineRule="auto"/>
        <w:ind w:firstLine="560"/>
        <w:rPr>
          <w:rFonts w:ascii="宋体" w:hAnsi="宋体" w:cs="宋体"/>
          <w:sz w:val="24"/>
        </w:rPr>
      </w:pPr>
      <w:r>
        <w:rPr>
          <w:rFonts w:hint="eastAsia" w:ascii="宋体" w:hAnsi="宋体" w:cs="宋体"/>
          <w:sz w:val="24"/>
        </w:rPr>
        <w:t>（五）成交供应商须对合同范围内所有施工范围和施工人员的安全负全部责任，严格遵守相关的法规、规范和现场采购人的规定，督促现场施工人员规范操作相关的法规、规范和现场采购人的规定，督促现场施工人员规范操作，采取严格有力的安全防护措施，做好安全防护工作(包括施工现场防护等)，确保施工者的人身安全。若发生安全事故，一切责任均由成交供应商自己承担。</w:t>
      </w:r>
    </w:p>
    <w:p w14:paraId="7E78A6A7">
      <w:pPr>
        <w:spacing w:line="360" w:lineRule="auto"/>
        <w:ind w:firstLine="560"/>
        <w:rPr>
          <w:rFonts w:ascii="宋体" w:hAnsi="宋体" w:cs="宋体"/>
          <w:sz w:val="24"/>
        </w:rPr>
      </w:pPr>
      <w:r>
        <w:rPr>
          <w:rFonts w:hint="eastAsia" w:ascii="宋体" w:hAnsi="宋体" w:cs="宋体"/>
          <w:sz w:val="24"/>
        </w:rPr>
        <w:t>（六）成交供应商必须遵守有关主管部门对施工噪音、环境保护和安全生产等的管理规定，如因成交供应商的原因，导致扰民投诉及相关部门罚款的，均由成交供应商负责处理，费用自理。</w:t>
      </w:r>
    </w:p>
    <w:p w14:paraId="14A4DA3E">
      <w:pPr>
        <w:spacing w:line="360" w:lineRule="auto"/>
        <w:ind w:firstLine="560"/>
        <w:rPr>
          <w:rFonts w:ascii="宋体" w:hAnsi="宋体" w:cs="宋体"/>
          <w:sz w:val="24"/>
        </w:rPr>
      </w:pPr>
      <w:r>
        <w:rPr>
          <w:rFonts w:hint="eastAsia" w:ascii="宋体" w:hAnsi="宋体" w:cs="宋体"/>
          <w:sz w:val="24"/>
        </w:rPr>
        <w:t>（七）成交供应商不得拒绝完成采购人在施工地点范围内变更或要求增加的工程内容。</w:t>
      </w:r>
    </w:p>
    <w:p w14:paraId="5407ABDD">
      <w:pPr>
        <w:spacing w:line="360" w:lineRule="auto"/>
        <w:ind w:firstLine="560"/>
        <w:rPr>
          <w:rFonts w:ascii="宋体" w:hAnsi="宋体" w:cs="宋体"/>
          <w:sz w:val="24"/>
        </w:rPr>
      </w:pPr>
      <w:r>
        <w:rPr>
          <w:rFonts w:hint="eastAsia" w:ascii="宋体" w:hAnsi="宋体" w:cs="宋体"/>
          <w:sz w:val="24"/>
        </w:rPr>
        <w:t>（八）成交供应商对工程质量缺陷不予更正，采购单位有权另请其他单位更正，所发生的费用由成交供应商承担。</w:t>
      </w:r>
    </w:p>
    <w:p w14:paraId="289E9361">
      <w:pPr>
        <w:spacing w:line="360" w:lineRule="auto"/>
        <w:ind w:firstLine="560"/>
        <w:rPr>
          <w:rFonts w:ascii="宋体" w:hAnsi="宋体" w:cs="宋体"/>
          <w:sz w:val="24"/>
        </w:rPr>
      </w:pPr>
      <w:r>
        <w:rPr>
          <w:rFonts w:hint="eastAsia" w:ascii="宋体" w:hAnsi="宋体" w:cs="宋体"/>
          <w:sz w:val="24"/>
        </w:rPr>
        <w:t>（九）成交供应商做到文明施工、服务态度好，坚持维护集体利益，确保维修无上访。</w:t>
      </w:r>
    </w:p>
    <w:p w14:paraId="1A65C826">
      <w:pPr>
        <w:spacing w:line="360" w:lineRule="auto"/>
        <w:ind w:firstLine="560"/>
        <w:rPr>
          <w:rFonts w:ascii="宋体" w:hAnsi="宋体" w:cs="宋体"/>
          <w:sz w:val="24"/>
        </w:rPr>
      </w:pPr>
      <w:r>
        <w:rPr>
          <w:rFonts w:hint="eastAsia" w:ascii="宋体" w:hAnsi="宋体" w:cs="宋体"/>
          <w:sz w:val="24"/>
        </w:rPr>
        <w:t>（十）施工期间的水、电费用由成交供应商负责。</w:t>
      </w:r>
    </w:p>
    <w:p w14:paraId="6A351B0E">
      <w:pPr>
        <w:spacing w:line="360" w:lineRule="auto"/>
        <w:ind w:firstLine="560"/>
        <w:outlineLvl w:val="1"/>
        <w:rPr>
          <w:rFonts w:ascii="宋体" w:hAnsi="宋体" w:cs="宋体"/>
          <w:sz w:val="24"/>
        </w:rPr>
      </w:pPr>
      <w:r>
        <w:rPr>
          <w:rFonts w:hint="eastAsia" w:ascii="宋体" w:hAnsi="宋体" w:cs="宋体"/>
          <w:sz w:val="24"/>
        </w:rPr>
        <w:t>四、服务标准</w:t>
      </w:r>
    </w:p>
    <w:p w14:paraId="678BDF22">
      <w:pPr>
        <w:spacing w:line="360" w:lineRule="auto"/>
        <w:ind w:firstLine="560"/>
        <w:rPr>
          <w:rFonts w:ascii="宋体" w:hAnsi="宋体" w:cs="宋体"/>
          <w:sz w:val="24"/>
        </w:rPr>
      </w:pPr>
      <w:bookmarkStart w:id="35" w:name="_Hlk40719223"/>
      <w:r>
        <w:rPr>
          <w:rFonts w:hint="eastAsia" w:ascii="宋体" w:hAnsi="宋体" w:cs="宋体"/>
          <w:sz w:val="24"/>
        </w:rPr>
        <w:t>（一）质量标准：合格，达到国家相关规范要求及采购文件要求。</w:t>
      </w:r>
      <w:bookmarkEnd w:id="35"/>
    </w:p>
    <w:p w14:paraId="68AA4B20">
      <w:pPr>
        <w:spacing w:line="360" w:lineRule="auto"/>
        <w:ind w:firstLine="560"/>
        <w:rPr>
          <w:rFonts w:ascii="宋体" w:hAnsi="宋体" w:cs="宋体"/>
          <w:sz w:val="24"/>
        </w:rPr>
      </w:pPr>
      <w:r>
        <w:rPr>
          <w:rFonts w:hint="eastAsia" w:ascii="宋体" w:hAnsi="宋体" w:cs="宋体"/>
          <w:sz w:val="24"/>
        </w:rPr>
        <w:t>（二）响应供应商不能简单照搬谈判文件提供的需求，必须按谈判文件技术规格逐项作出实质性应答，如照搬照抄项目需求中的技术的，成交后成交人在同采购人签订合同和履约环节中不得提出异议，一切后果和损失由成交人承担。</w:t>
      </w:r>
    </w:p>
    <w:p w14:paraId="773A5E25">
      <w:pPr>
        <w:spacing w:line="360" w:lineRule="auto"/>
        <w:ind w:firstLine="560"/>
        <w:rPr>
          <w:rFonts w:ascii="宋体" w:hAnsi="宋体" w:cs="宋体"/>
          <w:sz w:val="24"/>
        </w:rPr>
      </w:pPr>
      <w:r>
        <w:rPr>
          <w:rFonts w:hint="eastAsia" w:ascii="宋体" w:hAnsi="宋体" w:cs="宋体"/>
          <w:sz w:val="24"/>
        </w:rPr>
        <w:t>（三）成交人对工程质量缺陷不予更正，采购单位有权另请其他单位更正，所发生的费用由成交供应商承担。</w:t>
      </w:r>
    </w:p>
    <w:p w14:paraId="1469EA49">
      <w:pPr>
        <w:spacing w:line="360" w:lineRule="auto"/>
        <w:ind w:firstLine="560"/>
        <w:rPr>
          <w:rFonts w:ascii="宋体" w:hAnsi="宋体" w:cs="宋体"/>
          <w:sz w:val="24"/>
        </w:rPr>
      </w:pPr>
      <w:r>
        <w:rPr>
          <w:rFonts w:hint="eastAsia" w:ascii="宋体" w:hAnsi="宋体" w:cs="宋体"/>
          <w:sz w:val="24"/>
        </w:rPr>
        <w:t>（四）成交人应采取必要的安全措施保证货物的运输及安装的安全，并承担货物的运输及安装过程中产生的风险。</w:t>
      </w:r>
    </w:p>
    <w:p w14:paraId="10D5C21A">
      <w:pPr>
        <w:spacing w:line="360" w:lineRule="auto"/>
        <w:ind w:firstLine="560"/>
        <w:rPr>
          <w:rFonts w:ascii="宋体" w:hAnsi="宋体" w:cs="宋体"/>
          <w:sz w:val="24"/>
        </w:rPr>
      </w:pPr>
      <w:r>
        <w:rPr>
          <w:rFonts w:hint="eastAsia" w:ascii="宋体" w:hAnsi="宋体" w:cs="宋体"/>
          <w:sz w:val="24"/>
        </w:rPr>
        <w:t>（五）成交人所供货物最终验收后，成交人应对由于设计、工艺或材料的缺陷而发生的任何不足或故障负责，并承担由此引起的一切后果。</w:t>
      </w:r>
    </w:p>
    <w:p w14:paraId="3118BA14">
      <w:pPr>
        <w:spacing w:line="360" w:lineRule="auto"/>
        <w:ind w:firstLine="560"/>
        <w:rPr>
          <w:rFonts w:ascii="宋体" w:hAnsi="宋体" w:cs="宋体"/>
          <w:sz w:val="24"/>
        </w:rPr>
      </w:pPr>
      <w:r>
        <w:rPr>
          <w:rFonts w:hint="eastAsia" w:ascii="宋体" w:hAnsi="宋体" w:cs="宋体"/>
          <w:sz w:val="24"/>
        </w:rPr>
        <w:t>（六）所有成交产品的技术标准按国家标准执行，无国家标准的，按行业标准执行，无国家和行业标准的，按企业标准执行；但在采购文件中有特别要求的，按采购文件中规定的要求执行，并且符合相关法律、法规规定的要求。</w:t>
      </w:r>
    </w:p>
    <w:p w14:paraId="41AB452D">
      <w:pPr>
        <w:spacing w:line="360" w:lineRule="auto"/>
        <w:ind w:firstLine="560"/>
        <w:rPr>
          <w:rFonts w:ascii="宋体" w:hAnsi="宋体" w:cs="宋体"/>
          <w:sz w:val="24"/>
        </w:rPr>
      </w:pPr>
      <w:r>
        <w:rPr>
          <w:rFonts w:hint="eastAsia" w:ascii="宋体" w:hAnsi="宋体" w:cs="宋体"/>
          <w:sz w:val="24"/>
        </w:rPr>
        <w:t>（七）在项目采购或实施过程中，如国家标准修改，应按照新国家标准实施；如本谈判文件规定高于国家标准，无论新旧标准，均按本谈判文件规定实施；如本谈判文件规定低于国家标准，无论新旧标准，均按国家标准规定实施。如本谈判文件内有内容相互矛盾，以高标准高要求的为准。以上有关风险等由供应商自行考虑并承担。</w:t>
      </w:r>
    </w:p>
    <w:p w14:paraId="2915AD81">
      <w:pPr>
        <w:spacing w:line="360" w:lineRule="auto"/>
        <w:ind w:firstLine="560"/>
        <w:outlineLvl w:val="1"/>
        <w:rPr>
          <w:rFonts w:ascii="宋体" w:hAnsi="宋体" w:cs="宋体"/>
          <w:sz w:val="24"/>
        </w:rPr>
      </w:pPr>
      <w:r>
        <w:rPr>
          <w:rFonts w:hint="eastAsia" w:ascii="宋体" w:hAnsi="宋体" w:cs="宋体"/>
          <w:sz w:val="24"/>
        </w:rPr>
        <w:t>五、工程期限和地点</w:t>
      </w:r>
    </w:p>
    <w:p w14:paraId="34571230">
      <w:pPr>
        <w:spacing w:line="360" w:lineRule="auto"/>
        <w:ind w:firstLine="560"/>
        <w:rPr>
          <w:rFonts w:ascii="宋体" w:hAnsi="宋体" w:cs="宋体"/>
          <w:sz w:val="24"/>
        </w:rPr>
      </w:pPr>
      <w:r>
        <w:rPr>
          <w:rFonts w:hint="eastAsia" w:ascii="宋体" w:hAnsi="宋体" w:cs="宋体"/>
          <w:sz w:val="24"/>
        </w:rPr>
        <w:t>服务期限：合同签订后至2027年12月31日，具体以采购人通知为准。</w:t>
      </w:r>
    </w:p>
    <w:p w14:paraId="2B4A5B4A">
      <w:pPr>
        <w:spacing w:line="360" w:lineRule="auto"/>
        <w:ind w:firstLine="560"/>
        <w:rPr>
          <w:rFonts w:ascii="宋体" w:hAnsi="宋体" w:cs="宋体"/>
          <w:sz w:val="24"/>
        </w:rPr>
      </w:pPr>
      <w:r>
        <w:rPr>
          <w:rFonts w:hint="eastAsia" w:ascii="宋体" w:hAnsi="宋体" w:cs="宋体"/>
          <w:sz w:val="24"/>
        </w:rPr>
        <w:t>地点：采购人指定地点</w:t>
      </w:r>
    </w:p>
    <w:p w14:paraId="4AC9CBB9">
      <w:pPr>
        <w:spacing w:line="360" w:lineRule="auto"/>
        <w:ind w:firstLine="560"/>
        <w:outlineLvl w:val="1"/>
        <w:rPr>
          <w:rFonts w:ascii="宋体" w:hAnsi="宋体" w:cs="宋体"/>
          <w:sz w:val="24"/>
        </w:rPr>
      </w:pPr>
      <w:r>
        <w:rPr>
          <w:rFonts w:hint="eastAsia" w:ascii="宋体" w:hAnsi="宋体" w:cs="宋体"/>
          <w:sz w:val="24"/>
        </w:rPr>
        <w:t>六、考核方案</w:t>
      </w:r>
    </w:p>
    <w:p w14:paraId="4E9C2399">
      <w:pPr>
        <w:spacing w:line="360" w:lineRule="auto"/>
        <w:ind w:firstLine="560"/>
        <w:rPr>
          <w:rFonts w:ascii="宋体" w:hAnsi="宋体" w:cs="宋体"/>
          <w:sz w:val="24"/>
        </w:rPr>
      </w:pPr>
      <w:r>
        <w:rPr>
          <w:rFonts w:hint="eastAsia" w:ascii="宋体" w:hAnsi="宋体" w:cs="宋体"/>
          <w:sz w:val="24"/>
        </w:rPr>
        <w:t>维修结束的工程需在30日内及时申请采购人验收，在接到成交供应商以书面形式提出验收申请后，在 5 个工作日内及时组织相关专业技术人员及相关部门共同参与验收，并出具验收报告，作为支付货款的依据。</w:t>
      </w:r>
    </w:p>
    <w:p w14:paraId="38AFE5EC">
      <w:pPr>
        <w:spacing w:line="360" w:lineRule="auto"/>
        <w:ind w:firstLine="560"/>
        <w:outlineLvl w:val="1"/>
        <w:rPr>
          <w:rFonts w:ascii="宋体" w:hAnsi="宋体" w:cs="宋体"/>
          <w:sz w:val="24"/>
        </w:rPr>
      </w:pPr>
      <w:r>
        <w:rPr>
          <w:rFonts w:hint="eastAsia" w:ascii="宋体" w:hAnsi="宋体" w:cs="宋体"/>
          <w:sz w:val="24"/>
        </w:rPr>
        <w:t>七、责任缺陷期限</w:t>
      </w:r>
    </w:p>
    <w:p w14:paraId="7E700A7C">
      <w:pPr>
        <w:spacing w:line="360" w:lineRule="auto"/>
        <w:ind w:firstLine="560"/>
        <w:rPr>
          <w:rFonts w:ascii="宋体" w:hAnsi="宋体" w:cs="宋体"/>
          <w:sz w:val="24"/>
        </w:rPr>
      </w:pPr>
      <w:r>
        <w:rPr>
          <w:rFonts w:hint="eastAsia" w:ascii="宋体" w:hAnsi="宋体" w:cs="宋体"/>
          <w:sz w:val="24"/>
        </w:rPr>
        <w:t>维修项目自验收合格之日起计</w:t>
      </w:r>
      <w:r>
        <w:rPr>
          <w:rFonts w:hint="eastAsia" w:ascii="宋体" w:hAnsi="宋体" w:cs="宋体"/>
          <w:sz w:val="24"/>
          <w:u w:val="single"/>
        </w:rPr>
        <w:t>贰</w:t>
      </w:r>
      <w:r>
        <w:rPr>
          <w:rFonts w:hint="eastAsia" w:ascii="宋体" w:hAnsi="宋体" w:cs="宋体"/>
          <w:sz w:val="24"/>
        </w:rPr>
        <w:t>年。</w:t>
      </w:r>
    </w:p>
    <w:p w14:paraId="1574ED47">
      <w:pPr>
        <w:spacing w:line="360" w:lineRule="auto"/>
        <w:ind w:firstLine="560"/>
        <w:outlineLvl w:val="1"/>
        <w:rPr>
          <w:rFonts w:ascii="宋体" w:hAnsi="宋体" w:cs="宋体"/>
          <w:sz w:val="24"/>
        </w:rPr>
      </w:pPr>
      <w:r>
        <w:rPr>
          <w:rFonts w:hint="eastAsia" w:ascii="宋体" w:hAnsi="宋体" w:cs="宋体"/>
          <w:sz w:val="24"/>
        </w:rPr>
        <w:t>八、售后服务</w:t>
      </w:r>
    </w:p>
    <w:p w14:paraId="51662394">
      <w:pPr>
        <w:spacing w:line="360" w:lineRule="auto"/>
        <w:ind w:firstLine="560"/>
        <w:rPr>
          <w:rFonts w:ascii="宋体" w:hAnsi="宋体" w:cs="宋体"/>
          <w:sz w:val="24"/>
        </w:rPr>
      </w:pPr>
      <w:r>
        <w:rPr>
          <w:rFonts w:hint="eastAsia" w:ascii="宋体" w:hAnsi="宋体" w:cs="宋体"/>
          <w:sz w:val="24"/>
        </w:rPr>
        <w:t>成交供应商按国家有关规定的保修项目、内容、范围、期限，进行保修。保修期从采购人代表在最终验收记录上签字之日算起。</w:t>
      </w:r>
    </w:p>
    <w:p w14:paraId="632258D1">
      <w:pPr>
        <w:spacing w:line="360" w:lineRule="auto"/>
        <w:ind w:firstLine="560"/>
        <w:rPr>
          <w:rFonts w:ascii="宋体" w:hAnsi="宋体" w:cs="宋体"/>
          <w:sz w:val="24"/>
        </w:rPr>
      </w:pPr>
      <w:r>
        <w:rPr>
          <w:rFonts w:hint="eastAsia" w:ascii="宋体" w:hAnsi="宋体" w:cs="宋体"/>
          <w:sz w:val="24"/>
        </w:rPr>
        <w:t>保修期内出现施工质量问题无条件免费维修。在维修过程中，必须如实填报工程量清单，后附现场照片及原始工程量数据，由采购人联系人、使用单位联系人签字核实确认。在接到维修通知2小时内承包方派人维修，否则由采购人派人维修，维修费用从承包方未付款中双倍扣减，保修金的扣除按国家规定执行。</w:t>
      </w:r>
    </w:p>
    <w:p w14:paraId="056E20E8">
      <w:pPr>
        <w:spacing w:line="360" w:lineRule="auto"/>
        <w:ind w:firstLine="560"/>
        <w:outlineLvl w:val="1"/>
        <w:rPr>
          <w:rFonts w:ascii="宋体" w:hAnsi="宋体" w:cs="宋体"/>
          <w:sz w:val="24"/>
        </w:rPr>
      </w:pPr>
      <w:r>
        <w:rPr>
          <w:rFonts w:hint="eastAsia" w:ascii="宋体" w:hAnsi="宋体" w:cs="宋体"/>
          <w:sz w:val="24"/>
        </w:rPr>
        <w:t>九、付款方式</w:t>
      </w:r>
    </w:p>
    <w:p w14:paraId="3A9CDB5A">
      <w:pPr>
        <w:spacing w:line="360" w:lineRule="auto"/>
        <w:ind w:firstLine="560"/>
        <w:rPr>
          <w:rFonts w:ascii="宋体" w:hAnsi="宋体" w:cs="宋体"/>
          <w:sz w:val="24"/>
        </w:rPr>
      </w:pPr>
      <w:r>
        <w:rPr>
          <w:rFonts w:hint="eastAsia" w:ascii="宋体" w:hAnsi="宋体" w:cs="宋体"/>
          <w:sz w:val="24"/>
        </w:rPr>
        <w:t>按实际维修工程数量结算，全部工程竣工验收合格后当年农历年底前且审计报告出具后付至审计价*（1-成交优惠率）的60%，竣工验收合格后第二年农历年底前付至审计价*（1-成交优惠率）的90%，余款第三年农历年底前（凭复查合格证明）无质量问题一次性付清。每次支付前，成交人应出具正式发票。</w:t>
      </w:r>
    </w:p>
    <w:p w14:paraId="50629B5A">
      <w:pPr>
        <w:spacing w:line="360" w:lineRule="auto"/>
        <w:ind w:firstLine="560"/>
        <w:rPr>
          <w:rFonts w:ascii="宋体" w:hAnsi="宋体" w:cs="宋体"/>
          <w:sz w:val="24"/>
        </w:rPr>
      </w:pPr>
      <w:r>
        <w:rPr>
          <w:rFonts w:hint="eastAsia" w:ascii="宋体" w:hAnsi="宋体" w:cs="宋体"/>
          <w:sz w:val="24"/>
        </w:rPr>
        <w:t>维修结束的工程需在30日内及时申请采购人验收，验收合格的工程每季度承包人必须如实编制工程结算并报送发包人审核。合同履行期满后，由建设单位委托社会审计机构对所有工程结算进行审计，最终结算以审计报告为准。审计费用由成交供应商支付。</w:t>
      </w:r>
    </w:p>
    <w:p w14:paraId="5DABC3DA">
      <w:pPr>
        <w:spacing w:line="360" w:lineRule="auto"/>
        <w:ind w:firstLine="560"/>
        <w:outlineLvl w:val="1"/>
        <w:rPr>
          <w:rFonts w:ascii="宋体" w:hAnsi="宋体" w:cs="宋体"/>
          <w:sz w:val="24"/>
        </w:rPr>
      </w:pPr>
      <w:r>
        <w:rPr>
          <w:rFonts w:hint="eastAsia" w:ascii="宋体" w:hAnsi="宋体" w:cs="宋体"/>
          <w:sz w:val="24"/>
        </w:rPr>
        <w:t>十、安全事项</w:t>
      </w:r>
    </w:p>
    <w:p w14:paraId="38FBF8E5">
      <w:pPr>
        <w:spacing w:line="360" w:lineRule="auto"/>
        <w:ind w:firstLine="560"/>
        <w:rPr>
          <w:rFonts w:ascii="宋体" w:hAnsi="宋体" w:cs="宋体"/>
          <w:sz w:val="24"/>
        </w:rPr>
      </w:pPr>
      <w:r>
        <w:rPr>
          <w:rFonts w:hint="eastAsia" w:ascii="宋体" w:hAnsi="宋体" w:cs="宋体"/>
          <w:sz w:val="24"/>
        </w:rPr>
        <w:t>成交供应商对本项目准备、实施、质保期间的一切安全负责，并承担一切安全费用。确保各环节施工人员持证上岗，尤其注意：达到高空作业及以上高度的作业人员的必备高空作业资质。</w:t>
      </w:r>
    </w:p>
    <w:p w14:paraId="39F76300">
      <w:pPr>
        <w:spacing w:line="360" w:lineRule="auto"/>
        <w:ind w:firstLine="560"/>
        <w:outlineLvl w:val="1"/>
        <w:rPr>
          <w:rFonts w:ascii="宋体" w:hAnsi="宋体" w:cs="宋体"/>
          <w:sz w:val="24"/>
        </w:rPr>
      </w:pPr>
      <w:r>
        <w:rPr>
          <w:rFonts w:hint="eastAsia" w:ascii="宋体" w:hAnsi="宋体" w:cs="宋体"/>
          <w:sz w:val="24"/>
        </w:rPr>
        <w:t>十一、报价要求</w:t>
      </w:r>
    </w:p>
    <w:p w14:paraId="67CD4DED">
      <w:pPr>
        <w:spacing w:line="360" w:lineRule="auto"/>
        <w:ind w:firstLine="560"/>
        <w:rPr>
          <w:rFonts w:ascii="宋体" w:hAnsi="宋体" w:cs="宋体"/>
          <w:bCs/>
          <w:sz w:val="24"/>
        </w:rPr>
      </w:pPr>
      <w:r>
        <w:rPr>
          <w:rFonts w:hint="eastAsia" w:ascii="宋体" w:hAnsi="宋体" w:cs="宋体"/>
          <w:bCs/>
          <w:sz w:val="24"/>
        </w:rPr>
        <w:t>（一）报价要求：按优惠率报价。（以工程审计价为基准报优惠率。）</w:t>
      </w:r>
    </w:p>
    <w:p w14:paraId="09594000">
      <w:pPr>
        <w:pStyle w:val="31"/>
        <w:spacing w:line="360" w:lineRule="auto"/>
        <w:rPr>
          <w:rFonts w:ascii="宋体" w:hAnsi="宋体" w:cs="宋体"/>
          <w:bCs/>
          <w:sz w:val="24"/>
        </w:rPr>
      </w:pPr>
      <w:r>
        <w:rPr>
          <w:rFonts w:hint="eastAsia" w:ascii="宋体" w:hAnsi="宋体" w:cs="宋体"/>
          <w:bCs/>
          <w:sz w:val="24"/>
        </w:rPr>
        <w:t>（例如：优惠率报价10%，则结算时按工程审计价*（1-10%）据实结算）。</w:t>
      </w:r>
    </w:p>
    <w:p w14:paraId="10A2FCF3">
      <w:pPr>
        <w:spacing w:line="360" w:lineRule="auto"/>
        <w:ind w:firstLine="560"/>
        <w:rPr>
          <w:rFonts w:ascii="宋体" w:hAnsi="宋体" w:cs="宋体"/>
          <w:bCs/>
          <w:sz w:val="24"/>
        </w:rPr>
      </w:pPr>
      <w:r>
        <w:rPr>
          <w:rFonts w:hint="eastAsia" w:ascii="宋体" w:hAnsi="宋体" w:cs="宋体"/>
          <w:bCs/>
          <w:sz w:val="24"/>
        </w:rPr>
        <w:t>（二）响应供应商报价应包含完成该项目所需的人工费、材料费、机械费、管理费、验收、技术指导费、差旅费、人员培训、保险、利润、规费、税金、政策性文件规定及合同包含的所有风险、责任等各项费用。</w:t>
      </w:r>
    </w:p>
    <w:p w14:paraId="2109DD84">
      <w:pPr>
        <w:spacing w:line="360" w:lineRule="auto"/>
        <w:ind w:firstLine="560"/>
        <w:outlineLvl w:val="1"/>
        <w:rPr>
          <w:rFonts w:ascii="宋体" w:hAnsi="宋体" w:cs="宋体"/>
          <w:bCs/>
          <w:sz w:val="24"/>
        </w:rPr>
      </w:pPr>
      <w:r>
        <w:rPr>
          <w:rFonts w:hint="eastAsia" w:ascii="宋体" w:hAnsi="宋体" w:cs="宋体"/>
          <w:sz w:val="24"/>
        </w:rPr>
        <w:t>十二、其他要求</w:t>
      </w:r>
    </w:p>
    <w:p w14:paraId="1A841008">
      <w:pPr>
        <w:spacing w:line="360" w:lineRule="auto"/>
        <w:ind w:firstLine="560"/>
        <w:rPr>
          <w:rFonts w:ascii="宋体" w:hAnsi="宋体" w:cs="宋体"/>
          <w:bCs/>
          <w:sz w:val="24"/>
        </w:rPr>
      </w:pPr>
      <w:r>
        <w:rPr>
          <w:rFonts w:hint="eastAsia" w:ascii="宋体" w:hAnsi="宋体" w:cs="宋体"/>
          <w:bCs/>
          <w:sz w:val="24"/>
        </w:rPr>
        <w:t>（一）对本项目响应供应商资格要求、项目需求等的质疑由采购单位负责答复；采购单位具有项目的解释权，质疑函和答复由采购代理机构备案。</w:t>
      </w:r>
    </w:p>
    <w:p w14:paraId="1336464C">
      <w:pPr>
        <w:spacing w:line="360" w:lineRule="auto"/>
        <w:ind w:firstLine="560"/>
        <w:rPr>
          <w:rFonts w:ascii="宋体" w:hAnsi="宋体" w:cs="宋体"/>
          <w:sz w:val="24"/>
        </w:rPr>
      </w:pPr>
      <w:r>
        <w:rPr>
          <w:rFonts w:hint="eastAsia" w:ascii="宋体" w:hAnsi="宋体" w:cs="宋体"/>
          <w:bCs/>
          <w:sz w:val="24"/>
        </w:rPr>
        <w:t>（二）响应供应商对招标文件有疑义的必须在答疑截止日期前以书面方式向采购人提出，采购人认为合理的，将以采购文件答疑方式告知所有响应供应商。如在答疑截止日前未提出疑义的视同完全认同采购文件所有条款。</w:t>
      </w:r>
    </w:p>
    <w:p w14:paraId="55DC1987">
      <w:pPr>
        <w:pStyle w:val="14"/>
        <w:spacing w:line="360" w:lineRule="auto"/>
        <w:ind w:left="0" w:firstLine="560"/>
        <w:rPr>
          <w:rFonts w:ascii="宋体" w:hAnsi="宋体" w:cs="宋体"/>
          <w:bCs/>
          <w:sz w:val="28"/>
          <w:szCs w:val="28"/>
        </w:rPr>
      </w:pPr>
      <w:r>
        <w:rPr>
          <w:rFonts w:hint="eastAsia" w:ascii="宋体" w:hAnsi="宋体" w:cs="宋体"/>
          <w:bCs/>
          <w:sz w:val="24"/>
          <w:szCs w:val="24"/>
        </w:rPr>
        <w:t>（三）因本项目属于零星维修，具有较强不可预见性和即时性，响应供应商需承诺成交后在搬经镇区域内设立固定服务场所。并明确固定的项目联系人、联系方式等。</w:t>
      </w:r>
    </w:p>
    <w:p w14:paraId="6CECCA51">
      <w:pPr>
        <w:spacing w:line="360" w:lineRule="auto"/>
        <w:rPr>
          <w:rFonts w:ascii="宋体" w:hAnsi="宋体" w:cs="宋体"/>
        </w:rPr>
      </w:pPr>
      <w:r>
        <w:rPr>
          <w:rFonts w:hint="eastAsia" w:ascii="宋体" w:hAnsi="宋体" w:cs="宋体"/>
          <w:bCs/>
          <w:sz w:val="32"/>
          <w:szCs w:val="32"/>
        </w:rPr>
        <w:br w:type="page" w:clear="all"/>
      </w:r>
    </w:p>
    <w:p w14:paraId="521F97B1">
      <w:pPr>
        <w:pStyle w:val="208"/>
        <w:spacing w:before="0" w:after="0"/>
        <w:ind w:firstLine="0"/>
        <w:jc w:val="center"/>
        <w:outlineLvl w:val="0"/>
        <w:rPr>
          <w:rFonts w:ascii="宋体" w:hAnsi="宋体" w:cs="宋体"/>
          <w:bCs/>
          <w:sz w:val="32"/>
          <w:szCs w:val="32"/>
        </w:rPr>
      </w:pPr>
      <w:r>
        <w:rPr>
          <w:rFonts w:hint="eastAsia" w:ascii="宋体" w:hAnsi="宋体" w:cs="宋体"/>
          <w:bCs/>
          <w:sz w:val="32"/>
          <w:szCs w:val="32"/>
        </w:rPr>
        <w:t>第四章 合同文本</w:t>
      </w:r>
    </w:p>
    <w:p w14:paraId="506A25DB">
      <w:pPr>
        <w:spacing w:line="360" w:lineRule="auto"/>
        <w:jc w:val="center"/>
        <w:rPr>
          <w:rFonts w:ascii="宋体" w:hAnsi="宋体" w:cs="宋体"/>
          <w:szCs w:val="21"/>
        </w:rPr>
      </w:pPr>
      <w:r>
        <w:rPr>
          <w:rFonts w:hint="eastAsia" w:ascii="宋体" w:hAnsi="宋体" w:cs="宋体"/>
          <w:b/>
          <w:bCs/>
          <w:sz w:val="32"/>
          <w:szCs w:val="32"/>
        </w:rPr>
        <w:t>搬经镇2026-2027年度道路、桥梁、市政、建筑等公共基础设施维修工程合同</w:t>
      </w:r>
    </w:p>
    <w:p w14:paraId="40E1E7C8">
      <w:pPr>
        <w:spacing w:line="360" w:lineRule="auto"/>
        <w:rPr>
          <w:rFonts w:ascii="宋体" w:hAnsi="宋体" w:cs="宋体"/>
          <w:sz w:val="24"/>
        </w:rPr>
      </w:pPr>
      <w:r>
        <w:rPr>
          <w:rFonts w:hint="eastAsia" w:ascii="宋体" w:hAnsi="宋体" w:cs="宋体"/>
          <w:sz w:val="24"/>
        </w:rPr>
        <w:t xml:space="preserve">发包人（甲方）：                </w:t>
      </w:r>
    </w:p>
    <w:p w14:paraId="68850DB8">
      <w:pPr>
        <w:spacing w:line="360" w:lineRule="auto"/>
        <w:rPr>
          <w:rFonts w:ascii="宋体" w:hAnsi="宋体" w:cs="宋体"/>
          <w:sz w:val="24"/>
        </w:rPr>
      </w:pPr>
      <w:r>
        <w:rPr>
          <w:rFonts w:hint="eastAsia" w:ascii="宋体" w:hAnsi="宋体" w:cs="宋体"/>
          <w:sz w:val="24"/>
        </w:rPr>
        <w:t xml:space="preserve">承包人（乙方）：                                     </w:t>
      </w:r>
    </w:p>
    <w:p w14:paraId="468D1261">
      <w:pPr>
        <w:spacing w:line="360" w:lineRule="auto"/>
        <w:ind w:firstLine="600"/>
        <w:rPr>
          <w:rFonts w:ascii="宋体" w:hAnsi="宋体" w:cs="宋体"/>
          <w:sz w:val="24"/>
        </w:rPr>
      </w:pPr>
      <w:r>
        <w:rPr>
          <w:rFonts w:hint="eastAsia" w:ascii="宋体" w:hAnsi="宋体" w:cs="宋体"/>
          <w:sz w:val="24"/>
        </w:rPr>
        <w:t>依照《中华人民共和国民法典》、《中华人民共和国建筑法》及其他有关法律、行政法规，遵循平等、自愿、公平和诚实信用的原则，双方就本建设工程施工事项协商一致，订立本合同。</w:t>
      </w:r>
    </w:p>
    <w:p w14:paraId="434EE80B">
      <w:pPr>
        <w:spacing w:line="360" w:lineRule="auto"/>
        <w:ind w:firstLine="480"/>
        <w:rPr>
          <w:rFonts w:ascii="宋体" w:hAnsi="宋体" w:cs="宋体"/>
          <w:sz w:val="24"/>
        </w:rPr>
      </w:pPr>
      <w:r>
        <w:rPr>
          <w:rFonts w:hint="eastAsia" w:ascii="宋体" w:hAnsi="宋体" w:cs="宋体"/>
          <w:sz w:val="24"/>
        </w:rPr>
        <w:t>一、工程概况：搬经镇人民政府市政设施、道路、管网等建筑维修。</w:t>
      </w:r>
    </w:p>
    <w:p w14:paraId="56909ED0">
      <w:pPr>
        <w:spacing w:line="360" w:lineRule="auto"/>
        <w:ind w:firstLine="480"/>
        <w:rPr>
          <w:rFonts w:ascii="宋体" w:hAnsi="宋体" w:cs="宋体"/>
          <w:sz w:val="24"/>
        </w:rPr>
      </w:pPr>
      <w:r>
        <w:rPr>
          <w:rFonts w:hint="eastAsia" w:ascii="宋体" w:hAnsi="宋体" w:cs="宋体"/>
          <w:sz w:val="24"/>
        </w:rPr>
        <w:t>二、工程地点：****及指定地点。</w:t>
      </w:r>
    </w:p>
    <w:p w14:paraId="10E42DF9">
      <w:pPr>
        <w:spacing w:line="360" w:lineRule="auto"/>
        <w:rPr>
          <w:rFonts w:ascii="宋体" w:hAnsi="宋体" w:cs="宋体"/>
          <w:sz w:val="24"/>
        </w:rPr>
      </w:pPr>
      <w:r>
        <w:rPr>
          <w:rFonts w:hint="eastAsia" w:ascii="宋体" w:hAnsi="宋体" w:cs="宋体"/>
          <w:sz w:val="24"/>
        </w:rPr>
        <w:t xml:space="preserve">    工程内容：搬经镇人民政府市政设施、道路、管网等建筑维修。</w:t>
      </w:r>
    </w:p>
    <w:p w14:paraId="300566D5">
      <w:pPr>
        <w:spacing w:line="360" w:lineRule="auto"/>
        <w:ind w:left="300" w:hanging="240"/>
        <w:rPr>
          <w:rFonts w:ascii="宋体" w:hAnsi="宋体" w:cs="宋体"/>
          <w:sz w:val="24"/>
        </w:rPr>
      </w:pPr>
      <w:r>
        <w:rPr>
          <w:rFonts w:hint="eastAsia" w:ascii="宋体" w:hAnsi="宋体" w:cs="宋体"/>
          <w:sz w:val="24"/>
        </w:rPr>
        <w:t xml:space="preserve">    工程承包范围：承包方根据施工现场实际情况和管理方的要求</w:t>
      </w:r>
    </w:p>
    <w:p w14:paraId="3DEA5090">
      <w:pPr>
        <w:spacing w:line="360" w:lineRule="auto"/>
        <w:ind w:left="300" w:hanging="240"/>
        <w:rPr>
          <w:rFonts w:ascii="宋体" w:hAnsi="宋体" w:cs="宋体"/>
          <w:sz w:val="24"/>
        </w:rPr>
      </w:pPr>
      <w:r>
        <w:rPr>
          <w:rFonts w:hint="eastAsia" w:ascii="宋体" w:hAnsi="宋体" w:cs="宋体"/>
          <w:sz w:val="24"/>
        </w:rPr>
        <w:t>进行实施。</w:t>
      </w:r>
    </w:p>
    <w:p w14:paraId="3E7E1A29">
      <w:pPr>
        <w:spacing w:line="360" w:lineRule="auto"/>
        <w:ind w:firstLine="480"/>
        <w:rPr>
          <w:rFonts w:ascii="宋体" w:hAnsi="宋体" w:cs="宋体"/>
          <w:sz w:val="24"/>
        </w:rPr>
      </w:pPr>
      <w:r>
        <w:rPr>
          <w:rFonts w:hint="eastAsia" w:ascii="宋体" w:hAnsi="宋体" w:cs="宋体"/>
          <w:sz w:val="24"/>
        </w:rPr>
        <w:t>承包期：合同签订后至2027年12月31日，具体以采购人通知为准。</w:t>
      </w:r>
    </w:p>
    <w:p w14:paraId="68B1D5A1">
      <w:pPr>
        <w:spacing w:line="360" w:lineRule="auto"/>
        <w:ind w:firstLine="480"/>
        <w:rPr>
          <w:rFonts w:ascii="宋体" w:hAnsi="宋体" w:cs="宋体"/>
          <w:sz w:val="24"/>
        </w:rPr>
      </w:pPr>
      <w:r>
        <w:rPr>
          <w:rFonts w:hint="eastAsia" w:ascii="宋体" w:hAnsi="宋体" w:cs="宋体"/>
          <w:sz w:val="24"/>
        </w:rPr>
        <w:t>双方约定工期顺延的其他情况：1、不可抗力。2、因发包人原因工期顺延必须有发包人和监理共同认可的工期顺延签订单。3、非承包方原因引起的工期延误。4、因承包人原因不能按约定的日期竣工，则工期保证金不予退还，并按1000元/天向甲方支付逾期违约金，延期赔偿的最高限额为合同价的5%，一旦达到最高限额，发包人可主张单方解除本合同，要求承包人赔偿经济损失，并要求承包方支付损失30%的违约金。5、受非本工程第三方人员干扰，使承包方的工期受到影响，其工期经发包人同意后相应顺延，但费用不予增加。</w:t>
      </w:r>
    </w:p>
    <w:p w14:paraId="11FA6F06">
      <w:pPr>
        <w:spacing w:line="360" w:lineRule="auto"/>
        <w:rPr>
          <w:rFonts w:ascii="宋体" w:hAnsi="宋体" w:cs="宋体"/>
          <w:sz w:val="24"/>
        </w:rPr>
      </w:pPr>
      <w:r>
        <w:rPr>
          <w:rFonts w:hint="eastAsia" w:ascii="宋体" w:hAnsi="宋体" w:cs="宋体"/>
          <w:sz w:val="24"/>
        </w:rPr>
        <w:t xml:space="preserve">    三、维修质量标准：合格。</w:t>
      </w:r>
    </w:p>
    <w:p w14:paraId="2103BCAD">
      <w:pPr>
        <w:spacing w:line="360" w:lineRule="auto"/>
        <w:rPr>
          <w:rFonts w:ascii="宋体" w:hAnsi="宋体" w:cs="宋体"/>
          <w:sz w:val="24"/>
        </w:rPr>
      </w:pPr>
      <w:r>
        <w:rPr>
          <w:rFonts w:hint="eastAsia" w:ascii="宋体" w:hAnsi="宋体" w:cs="宋体"/>
          <w:sz w:val="24"/>
        </w:rPr>
        <w:t xml:space="preserve">    四、质保期：按国家规定执行但不低于两年，从竣工验收合格之日起算。保修期内出现施工质量问题无条件免费维修。在维修过程中，必须如实填报工程量清单，后附现场照片及原始工程量数据，由发包方相关人员签字核实确认。在接到维修通知2小时内承包方派人维修，否则由管理方派人维修，维修费用从承包方未付款中双倍扣减，保修金的扣除按国家规定执行。</w:t>
      </w:r>
    </w:p>
    <w:p w14:paraId="39021F11">
      <w:pPr>
        <w:spacing w:line="360" w:lineRule="auto"/>
        <w:rPr>
          <w:rFonts w:ascii="宋体" w:hAnsi="宋体" w:cs="宋体"/>
          <w:sz w:val="24"/>
        </w:rPr>
      </w:pPr>
      <w:r>
        <w:rPr>
          <w:rFonts w:hint="eastAsia" w:ascii="宋体" w:hAnsi="宋体" w:cs="宋体"/>
          <w:sz w:val="24"/>
        </w:rPr>
        <w:t xml:space="preserve">    五、计价方式</w:t>
      </w:r>
    </w:p>
    <w:p w14:paraId="263912B2">
      <w:pPr>
        <w:spacing w:line="360" w:lineRule="auto"/>
        <w:ind w:firstLine="480"/>
        <w:rPr>
          <w:rFonts w:ascii="宋体" w:hAnsi="宋体" w:cs="宋体"/>
          <w:sz w:val="24"/>
        </w:rPr>
      </w:pPr>
      <w:r>
        <w:rPr>
          <w:rFonts w:hint="eastAsia" w:ascii="宋体" w:hAnsi="宋体" w:cs="宋体"/>
          <w:sz w:val="24"/>
        </w:rPr>
        <w:t>1.本合同总价为150万元（不得突破，中标单位须自行测算，在最终结算价达150万元时本合同提前终止。若承包方提出因达合同总价请求终止本合同，而最终结算价低于合同总价的90%，承包方所缴纳的履约保证金不予退还）。</w:t>
      </w:r>
    </w:p>
    <w:p w14:paraId="7826EA6B">
      <w:pPr>
        <w:spacing w:line="360" w:lineRule="auto"/>
        <w:ind w:firstLine="480"/>
        <w:rPr>
          <w:rFonts w:ascii="宋体" w:hAnsi="宋体" w:cs="宋体"/>
          <w:sz w:val="24"/>
        </w:rPr>
      </w:pPr>
      <w:r>
        <w:rPr>
          <w:rFonts w:hint="eastAsia" w:ascii="宋体" w:hAnsi="宋体" w:cs="宋体"/>
          <w:sz w:val="24"/>
        </w:rPr>
        <w:t>2.按实计算，审计价的基础上优惠%结算。执行《建设工程工程量清单计价规范》（GB50500-2013）、《江苏省建设工程费用定额》（2014版）、《江苏省市政工程计价表》（2014版），配套使用《江苏省建筑与装饰工程计价表》（2014版）、《江苏省安装工程计价表》（2014版）等相应定额以及相应省市补充计价定额规定和南通市有关规定。计价办法执行（苏建价（2016）154号文，“省住房建设厅关于建筑业实施营改增后江苏省建设工程计价依据调整的通知”苏建价[2016]154号文及附件、通建价[2016]11号“关于建筑业实施营改增后我市建设工程材料指导价格信息发布工作调整的通知、本工程税金执行苏建函价【2018】298号文“省住房城乡建设厅关于建筑业增值税计价政策调整的通知”、苏建函价【2019】178 号。（浮动费率均按中间值计取）。</w:t>
      </w:r>
    </w:p>
    <w:p w14:paraId="43071FB1">
      <w:pPr>
        <w:spacing w:line="360" w:lineRule="auto"/>
        <w:ind w:firstLine="480"/>
        <w:rPr>
          <w:rFonts w:ascii="宋体" w:hAnsi="宋体" w:cs="宋体"/>
          <w:sz w:val="24"/>
        </w:rPr>
      </w:pPr>
      <w:r>
        <w:rPr>
          <w:rFonts w:hint="eastAsia" w:ascii="宋体" w:hAnsi="宋体" w:cs="宋体"/>
          <w:sz w:val="24"/>
        </w:rPr>
        <w:t>材料价格按工程施工期的如皋市建设工程造价信息，未列入的按施工期的《南通市工程造价信息》中的市区材料指导价。（市场指导价没有的按认质认价，认质认价部分不优惠）；措施项目费用考虑工程所在地常用的施工技术和施工方案计取。</w:t>
      </w:r>
    </w:p>
    <w:p w14:paraId="2B87CEAA">
      <w:pPr>
        <w:spacing w:line="360" w:lineRule="auto"/>
        <w:rPr>
          <w:rFonts w:ascii="宋体" w:hAnsi="宋体" w:cs="宋体"/>
          <w:sz w:val="24"/>
        </w:rPr>
      </w:pPr>
      <w:r>
        <w:rPr>
          <w:rFonts w:hint="eastAsia" w:ascii="宋体" w:hAnsi="宋体" w:cs="宋体"/>
          <w:sz w:val="24"/>
        </w:rPr>
        <w:t xml:space="preserve">    六、付款方式：</w:t>
      </w:r>
    </w:p>
    <w:p w14:paraId="077F87DE">
      <w:pPr>
        <w:pBdr>
          <w:top w:val="none" w:color="000000" w:sz="0" w:space="0"/>
          <w:left w:val="none" w:color="000000" w:sz="0" w:space="0"/>
          <w:bottom w:val="none" w:color="000000" w:sz="0" w:space="0"/>
          <w:right w:val="none" w:color="000000" w:sz="0" w:space="0"/>
        </w:pBdr>
        <w:spacing w:line="360" w:lineRule="auto"/>
        <w:ind w:firstLine="560"/>
        <w:rPr>
          <w:rFonts w:ascii="宋体" w:hAnsi="宋体" w:cs="宋体"/>
          <w:sz w:val="24"/>
        </w:rPr>
      </w:pPr>
      <w:r>
        <w:rPr>
          <w:rFonts w:hint="eastAsia" w:ascii="宋体" w:hAnsi="宋体" w:cs="宋体"/>
          <w:color w:val="000000"/>
          <w:sz w:val="24"/>
        </w:rPr>
        <w:t>按实际维修工程数量结算，全部工程竣工验收合格后当年农历年底前且审计报告出具后付至审计价*（1-成交优惠率）的60%，竣工验收合格后第二年农历年底前付至审计价*（1-成交优惠率）的90%，余款第三年农历年底前（凭复查合格证明）无质量问题一次性付清。每次支付前，成交人应出具正式发票。</w:t>
      </w:r>
    </w:p>
    <w:p w14:paraId="1AD9CC4B">
      <w:pPr>
        <w:pBdr>
          <w:top w:val="none" w:color="000000" w:sz="0" w:space="0"/>
          <w:left w:val="none" w:color="000000" w:sz="0" w:space="0"/>
          <w:bottom w:val="none" w:color="000000" w:sz="0" w:space="0"/>
          <w:right w:val="none" w:color="000000" w:sz="0" w:space="0"/>
        </w:pBdr>
        <w:spacing w:line="360" w:lineRule="auto"/>
        <w:rPr>
          <w:rFonts w:ascii="宋体" w:hAnsi="宋体" w:cs="宋体"/>
          <w:sz w:val="24"/>
        </w:rPr>
      </w:pPr>
      <w:r>
        <w:rPr>
          <w:rFonts w:hint="eastAsia" w:ascii="宋体" w:hAnsi="宋体" w:cs="宋体"/>
          <w:color w:val="000000"/>
          <w:sz w:val="24"/>
        </w:rPr>
        <w:t>维修结束的工程需在30日内及时申请采购人验收，验收合格的工程每季度承包人必须如实编制工程结算并报送发包人审核。合同履行期满后，由建设单位委托社会审计机构对所有工程结算进行审计，最终结算以审计报告为准。审计费用由成交供应商支付。</w:t>
      </w:r>
    </w:p>
    <w:p w14:paraId="14B05CE3">
      <w:pPr>
        <w:spacing w:line="360" w:lineRule="auto"/>
        <w:ind w:firstLine="480"/>
        <w:rPr>
          <w:rFonts w:ascii="宋体" w:hAnsi="宋体" w:cs="宋体"/>
          <w:sz w:val="24"/>
        </w:rPr>
      </w:pPr>
      <w:r>
        <w:rPr>
          <w:rFonts w:hint="eastAsia" w:ascii="宋体" w:hAnsi="宋体" w:cs="宋体"/>
          <w:sz w:val="24"/>
        </w:rPr>
        <w:t>维修结束的工程需在30日内及时申请采购人验收，验收合格后每季度承包人必须送发包人指定审计单位进行审计（每季度一次），及时预决算，若承包人不能及时送审，造成审计报告的滞后，从而影响工程总款的支付或总价超过预算，由此产生的一切责任均由承包人承担。承包人在付款前须提供纳税票据,维修费用由如皋市搬经镇人民政府支付。</w:t>
      </w:r>
    </w:p>
    <w:p w14:paraId="543305C6">
      <w:pPr>
        <w:spacing w:line="360" w:lineRule="auto"/>
        <w:ind w:firstLine="480"/>
        <w:rPr>
          <w:rFonts w:ascii="宋体" w:hAnsi="宋体" w:cs="宋体"/>
          <w:sz w:val="24"/>
        </w:rPr>
      </w:pPr>
      <w:r>
        <w:rPr>
          <w:rFonts w:hint="eastAsia" w:ascii="宋体" w:hAnsi="宋体" w:cs="宋体"/>
          <w:sz w:val="24"/>
        </w:rPr>
        <w:t>七、实施程序</w:t>
      </w:r>
    </w:p>
    <w:p w14:paraId="66FA9175">
      <w:pPr>
        <w:spacing w:line="360" w:lineRule="auto"/>
        <w:ind w:firstLine="480"/>
        <w:rPr>
          <w:rFonts w:ascii="宋体" w:hAnsi="宋体" w:cs="宋体"/>
          <w:sz w:val="24"/>
        </w:rPr>
      </w:pPr>
      <w:r>
        <w:rPr>
          <w:rFonts w:hint="eastAsia" w:ascii="宋体" w:hAnsi="宋体" w:cs="宋体"/>
          <w:sz w:val="24"/>
        </w:rPr>
        <w:t>1、发包人向承包人下达维修任务单。</w:t>
      </w:r>
    </w:p>
    <w:p w14:paraId="60FBC0B1">
      <w:pPr>
        <w:spacing w:line="360" w:lineRule="auto"/>
        <w:rPr>
          <w:rFonts w:ascii="宋体" w:hAnsi="宋体" w:cs="宋体"/>
          <w:sz w:val="24"/>
        </w:rPr>
      </w:pPr>
      <w:r>
        <w:rPr>
          <w:rFonts w:hint="eastAsia" w:ascii="宋体" w:hAnsi="宋体" w:cs="宋体"/>
          <w:sz w:val="24"/>
        </w:rPr>
        <w:t xml:space="preserve">  2、承包人根据发包人、监理要求及实施方案，配备各类专业技术人员和所需机械设备，服从发包人及监理的管理。</w:t>
      </w:r>
    </w:p>
    <w:p w14:paraId="52D618F9">
      <w:pPr>
        <w:spacing w:line="360" w:lineRule="auto"/>
        <w:ind w:firstLine="480"/>
        <w:rPr>
          <w:rFonts w:ascii="宋体" w:hAnsi="宋体" w:cs="宋体"/>
          <w:sz w:val="24"/>
        </w:rPr>
      </w:pPr>
      <w:r>
        <w:rPr>
          <w:rFonts w:hint="eastAsia" w:ascii="宋体" w:hAnsi="宋体" w:cs="宋体"/>
          <w:sz w:val="24"/>
        </w:rPr>
        <w:t>3、承包人做到文明施工、服务态度好，坚持维护集体利益，确保维修无上访。</w:t>
      </w:r>
    </w:p>
    <w:p w14:paraId="2FB74E14">
      <w:pPr>
        <w:spacing w:line="360" w:lineRule="auto"/>
        <w:ind w:firstLine="480"/>
        <w:rPr>
          <w:rFonts w:ascii="宋体" w:hAnsi="宋体" w:cs="宋体"/>
          <w:sz w:val="24"/>
        </w:rPr>
      </w:pPr>
      <w:r>
        <w:rPr>
          <w:rFonts w:hint="eastAsia" w:ascii="宋体" w:hAnsi="宋体" w:cs="宋体"/>
          <w:sz w:val="24"/>
        </w:rPr>
        <w:t>4、承包人根据维修任务单下达的内容，在任务单规定的时间内保质保量完成维修，逾期未完成维修，单项向发包方承担500元/天/处的违约金。</w:t>
      </w:r>
    </w:p>
    <w:p w14:paraId="703E1DEA">
      <w:pPr>
        <w:spacing w:line="360" w:lineRule="auto"/>
        <w:ind w:firstLine="480"/>
        <w:rPr>
          <w:rFonts w:ascii="宋体" w:hAnsi="宋体" w:cs="宋体"/>
          <w:sz w:val="24"/>
        </w:rPr>
      </w:pPr>
      <w:r>
        <w:rPr>
          <w:rFonts w:hint="eastAsia" w:ascii="宋体" w:hAnsi="宋体" w:cs="宋体"/>
          <w:sz w:val="24"/>
        </w:rPr>
        <w:t>5、维修工程量的现场签证，由发包人牵头相关部门按实测量。</w:t>
      </w:r>
    </w:p>
    <w:p w14:paraId="59D070B7">
      <w:pPr>
        <w:spacing w:line="360" w:lineRule="auto"/>
        <w:ind w:firstLine="480"/>
        <w:rPr>
          <w:rFonts w:ascii="宋体" w:hAnsi="宋体" w:cs="宋体"/>
          <w:sz w:val="24"/>
        </w:rPr>
      </w:pPr>
      <w:r>
        <w:rPr>
          <w:rFonts w:hint="eastAsia" w:ascii="宋体" w:hAnsi="宋体" w:cs="宋体"/>
          <w:sz w:val="24"/>
        </w:rPr>
        <w:t>6、验收合格后将维修工程量及预算上报发包人及审价部审计后按审定价结算*成交优惠率。</w:t>
      </w:r>
    </w:p>
    <w:p w14:paraId="03D82C97">
      <w:pPr>
        <w:spacing w:line="360" w:lineRule="auto"/>
        <w:ind w:firstLine="480"/>
        <w:rPr>
          <w:rFonts w:ascii="宋体" w:hAnsi="宋体" w:cs="宋体"/>
          <w:sz w:val="24"/>
        </w:rPr>
      </w:pPr>
      <w:r>
        <w:rPr>
          <w:rFonts w:hint="eastAsia" w:ascii="宋体" w:hAnsi="宋体" w:cs="宋体"/>
          <w:sz w:val="24"/>
        </w:rPr>
        <w:t>八、安全</w:t>
      </w:r>
    </w:p>
    <w:p w14:paraId="0199EC48">
      <w:pPr>
        <w:spacing w:line="360" w:lineRule="auto"/>
        <w:ind w:firstLine="480"/>
        <w:rPr>
          <w:rFonts w:ascii="宋体" w:hAnsi="宋体" w:cs="宋体"/>
          <w:sz w:val="24"/>
        </w:rPr>
      </w:pPr>
      <w:r>
        <w:rPr>
          <w:rFonts w:hint="eastAsia" w:ascii="宋体" w:hAnsi="宋体" w:cs="宋体"/>
          <w:sz w:val="24"/>
        </w:rPr>
        <w:t>承包人应加强安全管理。维修时，必须按规范设置施工标志，施工人员佩戴标志服、标志帽；机械施工时，持证上岗，按规范操作。若因承包人施工给承包人、发包人及第三方人员造成人身伤害、财产损害及因维修造成的次生安全事故，概由承包方负责，与发包人无关。</w:t>
      </w:r>
    </w:p>
    <w:p w14:paraId="0B7357F2">
      <w:pPr>
        <w:spacing w:line="360" w:lineRule="auto"/>
        <w:ind w:firstLine="480"/>
        <w:rPr>
          <w:rFonts w:ascii="宋体" w:hAnsi="宋体" w:cs="宋体"/>
          <w:sz w:val="24"/>
        </w:rPr>
      </w:pPr>
      <w:r>
        <w:rPr>
          <w:rFonts w:hint="eastAsia" w:ascii="宋体" w:hAnsi="宋体" w:cs="宋体"/>
          <w:sz w:val="24"/>
        </w:rPr>
        <w:t>承包人在履行合同过程中造成的安全事故，承包人必须承担一切经济赔偿责任和相应的法律责任。</w:t>
      </w:r>
    </w:p>
    <w:p w14:paraId="0414C2B3">
      <w:pPr>
        <w:spacing w:line="360" w:lineRule="auto"/>
        <w:ind w:firstLine="480"/>
        <w:rPr>
          <w:rFonts w:ascii="宋体" w:hAnsi="宋体" w:cs="宋体"/>
          <w:sz w:val="24"/>
        </w:rPr>
      </w:pPr>
      <w:r>
        <w:rPr>
          <w:rFonts w:hint="eastAsia" w:ascii="宋体" w:hAnsi="宋体" w:cs="宋体"/>
          <w:sz w:val="24"/>
        </w:rPr>
        <w:t>九、维修明细</w:t>
      </w:r>
    </w:p>
    <w:p w14:paraId="0AD4F515">
      <w:pPr>
        <w:spacing w:line="360" w:lineRule="auto"/>
        <w:rPr>
          <w:rFonts w:ascii="宋体" w:hAnsi="宋体" w:cs="宋体"/>
          <w:sz w:val="24"/>
        </w:rPr>
      </w:pPr>
      <w:r>
        <w:rPr>
          <w:rFonts w:hint="eastAsia" w:ascii="宋体" w:hAnsi="宋体" w:cs="宋体"/>
          <w:sz w:val="24"/>
        </w:rPr>
        <w:t>以发包方相关负责人下达的维修任务单为准。</w:t>
      </w:r>
    </w:p>
    <w:p w14:paraId="4AB501DE">
      <w:pPr>
        <w:spacing w:line="360" w:lineRule="auto"/>
        <w:jc w:val="center"/>
        <w:rPr>
          <w:rFonts w:ascii="宋体" w:hAnsi="宋体" w:cs="宋体"/>
          <w:sz w:val="24"/>
        </w:rPr>
      </w:pPr>
      <w:r>
        <w:rPr>
          <w:rFonts w:hint="eastAsia" w:ascii="宋体" w:hAnsi="宋体" w:cs="宋体"/>
          <w:sz w:val="24"/>
        </w:rPr>
        <w:t>搬经镇零星维修工程任务下达清单表</w:t>
      </w:r>
    </w:p>
    <w:tbl>
      <w:tblPr>
        <w:tblStyle w:val="40"/>
        <w:tblW w:w="9297" w:type="dxa"/>
        <w:tblInd w:w="93" w:type="dxa"/>
        <w:tblLayout w:type="fixed"/>
        <w:tblCellMar>
          <w:top w:w="0" w:type="dxa"/>
          <w:left w:w="108" w:type="dxa"/>
          <w:bottom w:w="0" w:type="dxa"/>
          <w:right w:w="108" w:type="dxa"/>
        </w:tblCellMar>
      </w:tblPr>
      <w:tblGrid>
        <w:gridCol w:w="554"/>
        <w:gridCol w:w="950"/>
        <w:gridCol w:w="2071"/>
        <w:gridCol w:w="1092"/>
        <w:gridCol w:w="1043"/>
        <w:gridCol w:w="1292"/>
        <w:gridCol w:w="690"/>
        <w:gridCol w:w="842"/>
        <w:gridCol w:w="763"/>
      </w:tblGrid>
      <w:tr w14:paraId="16AB240D">
        <w:tblPrEx>
          <w:tblCellMar>
            <w:top w:w="0" w:type="dxa"/>
            <w:left w:w="108" w:type="dxa"/>
            <w:bottom w:w="0" w:type="dxa"/>
            <w:right w:w="108" w:type="dxa"/>
          </w:tblCellMar>
        </w:tblPrEx>
        <w:trPr>
          <w:trHeight w:val="1049" w:hRule="atLeast"/>
        </w:trPr>
        <w:tc>
          <w:tcPr>
            <w:tcW w:w="554" w:type="dxa"/>
            <w:vMerge w:val="restart"/>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08563CCC">
            <w:pPr>
              <w:widowControl/>
              <w:spacing w:line="360" w:lineRule="auto"/>
              <w:jc w:val="center"/>
              <w:rPr>
                <w:rFonts w:ascii="宋体" w:hAnsi="宋体" w:cs="宋体"/>
                <w:b/>
                <w:bCs/>
                <w:sz w:val="24"/>
              </w:rPr>
            </w:pPr>
            <w:r>
              <w:rPr>
                <w:rFonts w:hint="eastAsia" w:ascii="宋体" w:hAnsi="宋体" w:cs="宋体"/>
                <w:b/>
                <w:bCs/>
                <w:sz w:val="24"/>
              </w:rPr>
              <w:t>项目编码</w:t>
            </w:r>
          </w:p>
        </w:tc>
        <w:tc>
          <w:tcPr>
            <w:tcW w:w="950" w:type="dxa"/>
            <w:vMerge w:val="restart"/>
            <w:tcBorders>
              <w:top w:val="single" w:color="000000" w:sz="8" w:space="0"/>
              <w:left w:val="nil"/>
              <w:bottom w:val="single" w:color="000000" w:sz="4" w:space="0"/>
              <w:right w:val="single" w:color="000000" w:sz="4" w:space="0"/>
            </w:tcBorders>
            <w:shd w:val="clear" w:color="auto" w:fill="FFFFFF"/>
            <w:noWrap/>
            <w:vAlign w:val="center"/>
          </w:tcPr>
          <w:p w14:paraId="684AE1C9">
            <w:pPr>
              <w:widowControl/>
              <w:spacing w:line="360" w:lineRule="auto"/>
              <w:jc w:val="center"/>
              <w:rPr>
                <w:rFonts w:ascii="宋体" w:hAnsi="宋体" w:cs="宋体"/>
                <w:b/>
                <w:bCs/>
                <w:sz w:val="24"/>
              </w:rPr>
            </w:pPr>
            <w:r>
              <w:rPr>
                <w:rFonts w:hint="eastAsia" w:ascii="宋体" w:hAnsi="宋体" w:cs="宋体"/>
                <w:b/>
                <w:bCs/>
                <w:sz w:val="24"/>
              </w:rPr>
              <w:t>项目名称</w:t>
            </w:r>
          </w:p>
        </w:tc>
        <w:tc>
          <w:tcPr>
            <w:tcW w:w="2071" w:type="dxa"/>
            <w:vMerge w:val="restart"/>
            <w:tcBorders>
              <w:top w:val="single" w:color="000000" w:sz="8" w:space="0"/>
              <w:left w:val="nil"/>
              <w:bottom w:val="single" w:color="000000" w:sz="4" w:space="0"/>
              <w:right w:val="single" w:color="000000" w:sz="4" w:space="0"/>
            </w:tcBorders>
            <w:shd w:val="clear" w:color="auto" w:fill="FFFFFF"/>
            <w:noWrap/>
            <w:vAlign w:val="center"/>
          </w:tcPr>
          <w:p w14:paraId="35F1B310">
            <w:pPr>
              <w:widowControl/>
              <w:spacing w:line="360" w:lineRule="auto"/>
              <w:jc w:val="center"/>
              <w:rPr>
                <w:rFonts w:ascii="宋体" w:hAnsi="宋体" w:cs="宋体"/>
                <w:b/>
                <w:bCs/>
                <w:sz w:val="24"/>
              </w:rPr>
            </w:pPr>
            <w:r>
              <w:rPr>
                <w:rFonts w:hint="eastAsia" w:ascii="宋体" w:hAnsi="宋体" w:cs="宋体"/>
                <w:b/>
                <w:bCs/>
                <w:sz w:val="24"/>
              </w:rPr>
              <w:t>项目特征描述（施工质量要求）</w:t>
            </w:r>
          </w:p>
        </w:tc>
        <w:tc>
          <w:tcPr>
            <w:tcW w:w="1092" w:type="dxa"/>
            <w:vMerge w:val="restart"/>
            <w:tcBorders>
              <w:top w:val="single" w:color="000000" w:sz="8" w:space="0"/>
              <w:left w:val="nil"/>
              <w:bottom w:val="single" w:color="000000" w:sz="4" w:space="0"/>
              <w:right w:val="single" w:color="000000" w:sz="4" w:space="0"/>
            </w:tcBorders>
            <w:shd w:val="clear" w:color="auto" w:fill="FFFFFF"/>
            <w:noWrap/>
            <w:vAlign w:val="center"/>
          </w:tcPr>
          <w:p w14:paraId="736E5917">
            <w:pPr>
              <w:widowControl/>
              <w:spacing w:line="360" w:lineRule="auto"/>
              <w:jc w:val="center"/>
              <w:rPr>
                <w:rFonts w:ascii="宋体" w:hAnsi="宋体" w:cs="宋体"/>
                <w:b/>
                <w:bCs/>
                <w:sz w:val="24"/>
              </w:rPr>
            </w:pPr>
            <w:r>
              <w:rPr>
                <w:rFonts w:hint="eastAsia" w:ascii="宋体" w:hAnsi="宋体" w:cs="宋体"/>
                <w:b/>
                <w:bCs/>
                <w:sz w:val="24"/>
              </w:rPr>
              <w:t>计量</w:t>
            </w:r>
            <w:r>
              <w:rPr>
                <w:rFonts w:hint="eastAsia" w:ascii="宋体" w:hAnsi="宋体" w:cs="宋体"/>
                <w:b/>
                <w:bCs/>
                <w:sz w:val="24"/>
              </w:rPr>
              <w:br w:type="textWrapping"/>
            </w:r>
            <w:r>
              <w:rPr>
                <w:rFonts w:hint="eastAsia" w:ascii="宋体" w:hAnsi="宋体" w:cs="宋体"/>
                <w:b/>
                <w:bCs/>
                <w:sz w:val="24"/>
              </w:rPr>
              <w:t>单位</w:t>
            </w:r>
          </w:p>
        </w:tc>
        <w:tc>
          <w:tcPr>
            <w:tcW w:w="1043" w:type="dxa"/>
            <w:vMerge w:val="restart"/>
            <w:tcBorders>
              <w:top w:val="single" w:color="000000" w:sz="8" w:space="0"/>
              <w:left w:val="nil"/>
              <w:bottom w:val="single" w:color="000000" w:sz="4" w:space="0"/>
              <w:right w:val="single" w:color="000000" w:sz="4" w:space="0"/>
            </w:tcBorders>
            <w:shd w:val="clear" w:color="auto" w:fill="FFFFFF"/>
            <w:noWrap/>
            <w:vAlign w:val="center"/>
          </w:tcPr>
          <w:p w14:paraId="513C85CB">
            <w:pPr>
              <w:widowControl/>
              <w:spacing w:line="360" w:lineRule="auto"/>
              <w:jc w:val="center"/>
              <w:rPr>
                <w:rFonts w:ascii="宋体" w:hAnsi="宋体" w:cs="宋体"/>
                <w:b/>
                <w:bCs/>
                <w:sz w:val="24"/>
              </w:rPr>
            </w:pPr>
            <w:r>
              <w:rPr>
                <w:rFonts w:hint="eastAsia" w:ascii="宋体" w:hAnsi="宋体" w:cs="宋体"/>
                <w:b/>
                <w:bCs/>
                <w:sz w:val="24"/>
              </w:rPr>
              <w:t>工程量</w:t>
            </w:r>
          </w:p>
        </w:tc>
        <w:tc>
          <w:tcPr>
            <w:tcW w:w="1292" w:type="dxa"/>
            <w:vMerge w:val="restart"/>
            <w:tcBorders>
              <w:top w:val="single" w:color="000000" w:sz="8" w:space="0"/>
              <w:left w:val="nil"/>
              <w:bottom w:val="nil"/>
              <w:right w:val="single" w:color="000000" w:sz="8" w:space="0"/>
            </w:tcBorders>
            <w:shd w:val="clear" w:color="auto" w:fill="FFFFFF"/>
            <w:noWrap/>
            <w:vAlign w:val="center"/>
          </w:tcPr>
          <w:p w14:paraId="22B6586B">
            <w:pPr>
              <w:widowControl/>
              <w:spacing w:line="360" w:lineRule="auto"/>
              <w:jc w:val="center"/>
              <w:rPr>
                <w:rFonts w:ascii="宋体" w:hAnsi="宋体" w:cs="宋体"/>
                <w:b/>
                <w:bCs/>
                <w:sz w:val="24"/>
              </w:rPr>
            </w:pPr>
            <w:r>
              <w:rPr>
                <w:rFonts w:hint="eastAsia" w:ascii="宋体" w:hAnsi="宋体" w:cs="宋体"/>
                <w:b/>
                <w:bCs/>
                <w:sz w:val="24"/>
              </w:rPr>
              <w:t>工期要求</w:t>
            </w:r>
          </w:p>
        </w:tc>
        <w:tc>
          <w:tcPr>
            <w:tcW w:w="2295" w:type="dxa"/>
            <w:gridSpan w:val="3"/>
            <w:tcBorders>
              <w:top w:val="single" w:color="000000" w:sz="8" w:space="0"/>
              <w:left w:val="single" w:color="000000" w:sz="4" w:space="0"/>
              <w:bottom w:val="single" w:color="000000" w:sz="4" w:space="0"/>
              <w:right w:val="single" w:color="000000" w:sz="8" w:space="0"/>
            </w:tcBorders>
            <w:shd w:val="clear" w:color="auto" w:fill="FFFFFF"/>
            <w:noWrap/>
            <w:vAlign w:val="center"/>
          </w:tcPr>
          <w:p w14:paraId="263A7461">
            <w:pPr>
              <w:widowControl/>
              <w:spacing w:line="360" w:lineRule="auto"/>
              <w:jc w:val="center"/>
              <w:rPr>
                <w:rFonts w:ascii="宋体" w:hAnsi="宋体" w:cs="宋体"/>
                <w:b/>
                <w:bCs/>
                <w:sz w:val="24"/>
              </w:rPr>
            </w:pPr>
            <w:r>
              <w:rPr>
                <w:rFonts w:hint="eastAsia" w:ascii="宋体" w:hAnsi="宋体" w:cs="宋体"/>
                <w:b/>
                <w:bCs/>
                <w:sz w:val="24"/>
              </w:rPr>
              <w:t>金额（元）暂估价</w:t>
            </w:r>
          </w:p>
        </w:tc>
      </w:tr>
      <w:tr w14:paraId="7106FC68">
        <w:tblPrEx>
          <w:tblCellMar>
            <w:top w:w="0" w:type="dxa"/>
            <w:left w:w="108" w:type="dxa"/>
            <w:bottom w:w="0" w:type="dxa"/>
            <w:right w:w="108" w:type="dxa"/>
          </w:tblCellMar>
        </w:tblPrEx>
        <w:trPr>
          <w:trHeight w:val="2077" w:hRule="atLeast"/>
        </w:trPr>
        <w:tc>
          <w:tcPr>
            <w:tcW w:w="554" w:type="dxa"/>
            <w:vMerge w:val="continue"/>
            <w:tcBorders>
              <w:top w:val="single" w:color="000000" w:sz="8" w:space="0"/>
              <w:left w:val="single" w:color="000000" w:sz="4" w:space="0"/>
              <w:bottom w:val="single" w:color="000000" w:sz="4" w:space="0"/>
              <w:right w:val="single" w:color="000000" w:sz="4" w:space="0"/>
            </w:tcBorders>
            <w:shd w:val="clear" w:color="auto" w:fill="FFFFFF"/>
            <w:noWrap/>
            <w:vAlign w:val="center"/>
          </w:tcPr>
          <w:p w14:paraId="4DDDF98F">
            <w:pPr>
              <w:spacing w:line="360" w:lineRule="auto"/>
              <w:rPr>
                <w:rFonts w:ascii="宋体" w:hAnsi="宋体" w:cs="宋体"/>
                <w:sz w:val="24"/>
              </w:rPr>
            </w:pPr>
          </w:p>
        </w:tc>
        <w:tc>
          <w:tcPr>
            <w:tcW w:w="950" w:type="dxa"/>
            <w:vMerge w:val="continue"/>
            <w:tcBorders>
              <w:top w:val="single" w:color="000000" w:sz="8" w:space="0"/>
              <w:left w:val="nil"/>
              <w:bottom w:val="single" w:color="000000" w:sz="4" w:space="0"/>
              <w:right w:val="single" w:color="000000" w:sz="4" w:space="0"/>
            </w:tcBorders>
            <w:shd w:val="clear" w:color="auto" w:fill="FFFFFF"/>
            <w:noWrap/>
            <w:vAlign w:val="center"/>
          </w:tcPr>
          <w:p w14:paraId="3EFA191D">
            <w:pPr>
              <w:spacing w:line="360" w:lineRule="auto"/>
              <w:rPr>
                <w:rFonts w:ascii="宋体" w:hAnsi="宋体" w:cs="宋体"/>
                <w:sz w:val="24"/>
              </w:rPr>
            </w:pPr>
          </w:p>
        </w:tc>
        <w:tc>
          <w:tcPr>
            <w:tcW w:w="2071" w:type="dxa"/>
            <w:vMerge w:val="continue"/>
            <w:tcBorders>
              <w:top w:val="single" w:color="000000" w:sz="8" w:space="0"/>
              <w:left w:val="nil"/>
              <w:bottom w:val="single" w:color="000000" w:sz="4" w:space="0"/>
              <w:right w:val="single" w:color="000000" w:sz="4" w:space="0"/>
            </w:tcBorders>
            <w:shd w:val="clear" w:color="auto" w:fill="FFFFFF"/>
            <w:noWrap/>
            <w:vAlign w:val="center"/>
          </w:tcPr>
          <w:p w14:paraId="155181D0">
            <w:pPr>
              <w:spacing w:line="360" w:lineRule="auto"/>
              <w:rPr>
                <w:rFonts w:ascii="宋体" w:hAnsi="宋体" w:cs="宋体"/>
                <w:sz w:val="24"/>
              </w:rPr>
            </w:pPr>
          </w:p>
        </w:tc>
        <w:tc>
          <w:tcPr>
            <w:tcW w:w="1092" w:type="dxa"/>
            <w:vMerge w:val="continue"/>
            <w:tcBorders>
              <w:top w:val="single" w:color="000000" w:sz="8" w:space="0"/>
              <w:left w:val="nil"/>
              <w:bottom w:val="single" w:color="000000" w:sz="4" w:space="0"/>
              <w:right w:val="single" w:color="000000" w:sz="4" w:space="0"/>
            </w:tcBorders>
            <w:shd w:val="clear" w:color="auto" w:fill="FFFFFF"/>
            <w:noWrap/>
            <w:vAlign w:val="center"/>
          </w:tcPr>
          <w:p w14:paraId="784AF474">
            <w:pPr>
              <w:spacing w:line="360" w:lineRule="auto"/>
              <w:rPr>
                <w:rFonts w:ascii="宋体" w:hAnsi="宋体" w:cs="宋体"/>
                <w:sz w:val="24"/>
              </w:rPr>
            </w:pPr>
          </w:p>
        </w:tc>
        <w:tc>
          <w:tcPr>
            <w:tcW w:w="1043" w:type="dxa"/>
            <w:vMerge w:val="continue"/>
            <w:tcBorders>
              <w:top w:val="single" w:color="000000" w:sz="8" w:space="0"/>
              <w:left w:val="nil"/>
              <w:bottom w:val="single" w:color="000000" w:sz="4" w:space="0"/>
              <w:right w:val="single" w:color="000000" w:sz="4" w:space="0"/>
            </w:tcBorders>
            <w:shd w:val="clear" w:color="auto" w:fill="FFFFFF"/>
            <w:noWrap/>
            <w:vAlign w:val="center"/>
          </w:tcPr>
          <w:p w14:paraId="466E317D">
            <w:pPr>
              <w:spacing w:line="360" w:lineRule="auto"/>
              <w:rPr>
                <w:rFonts w:ascii="宋体" w:hAnsi="宋体" w:cs="宋体"/>
                <w:sz w:val="24"/>
              </w:rPr>
            </w:pPr>
          </w:p>
        </w:tc>
        <w:tc>
          <w:tcPr>
            <w:tcW w:w="1292" w:type="dxa"/>
            <w:vMerge w:val="continue"/>
            <w:tcBorders>
              <w:top w:val="single" w:color="000000" w:sz="8" w:space="0"/>
              <w:left w:val="nil"/>
              <w:bottom w:val="nil"/>
              <w:right w:val="single" w:color="000000" w:sz="8" w:space="0"/>
            </w:tcBorders>
            <w:shd w:val="clear" w:color="auto" w:fill="FFFFFF"/>
            <w:noWrap/>
            <w:vAlign w:val="center"/>
          </w:tcPr>
          <w:p w14:paraId="15643A7D">
            <w:pPr>
              <w:spacing w:line="360" w:lineRule="auto"/>
              <w:rPr>
                <w:rFonts w:ascii="宋体" w:hAnsi="宋体" w:cs="宋体"/>
                <w:sz w:val="24"/>
              </w:rPr>
            </w:pPr>
          </w:p>
        </w:tc>
        <w:tc>
          <w:tcPr>
            <w:tcW w:w="6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9E6CC">
            <w:pPr>
              <w:spacing w:line="360" w:lineRule="auto"/>
              <w:jc w:val="center"/>
              <w:rPr>
                <w:rFonts w:ascii="宋体" w:hAnsi="宋体" w:cs="宋体"/>
                <w:b/>
                <w:bCs/>
                <w:sz w:val="24"/>
              </w:rPr>
            </w:pPr>
            <w:r>
              <w:rPr>
                <w:rFonts w:hint="eastAsia" w:ascii="宋体" w:hAnsi="宋体" w:cs="宋体"/>
                <w:b/>
                <w:bCs/>
                <w:sz w:val="24"/>
              </w:rPr>
              <w:t>综合单价</w:t>
            </w:r>
          </w:p>
        </w:tc>
        <w:tc>
          <w:tcPr>
            <w:tcW w:w="842" w:type="dxa"/>
            <w:tcBorders>
              <w:top w:val="single" w:color="000000" w:sz="4" w:space="0"/>
              <w:left w:val="nil"/>
              <w:bottom w:val="single" w:color="000000" w:sz="4" w:space="0"/>
              <w:right w:val="single" w:color="000000" w:sz="4" w:space="0"/>
            </w:tcBorders>
            <w:shd w:val="clear" w:color="auto" w:fill="FFFFFF"/>
            <w:noWrap/>
            <w:vAlign w:val="center"/>
          </w:tcPr>
          <w:p w14:paraId="3681D3D1">
            <w:pPr>
              <w:spacing w:line="360" w:lineRule="auto"/>
              <w:jc w:val="center"/>
              <w:rPr>
                <w:rFonts w:ascii="宋体" w:hAnsi="宋体" w:cs="宋体"/>
                <w:b/>
                <w:bCs/>
                <w:sz w:val="24"/>
              </w:rPr>
            </w:pPr>
            <w:r>
              <w:rPr>
                <w:rFonts w:hint="eastAsia" w:ascii="宋体" w:hAnsi="宋体" w:cs="宋体"/>
                <w:b/>
                <w:bCs/>
                <w:sz w:val="24"/>
              </w:rPr>
              <w:t>合价</w:t>
            </w:r>
          </w:p>
        </w:tc>
        <w:tc>
          <w:tcPr>
            <w:tcW w:w="763" w:type="dxa"/>
            <w:tcBorders>
              <w:top w:val="single" w:color="000000" w:sz="4" w:space="0"/>
              <w:left w:val="nil"/>
              <w:bottom w:val="single" w:color="000000" w:sz="4" w:space="0"/>
              <w:right w:val="single" w:color="000000" w:sz="8" w:space="0"/>
            </w:tcBorders>
            <w:shd w:val="clear" w:color="auto" w:fill="FFFFFF"/>
            <w:noWrap/>
            <w:vAlign w:val="center"/>
          </w:tcPr>
          <w:p w14:paraId="57BE76DC">
            <w:pPr>
              <w:widowControl/>
              <w:spacing w:line="360" w:lineRule="auto"/>
              <w:jc w:val="center"/>
              <w:rPr>
                <w:rFonts w:ascii="宋体" w:hAnsi="宋体" w:cs="宋体"/>
                <w:b/>
                <w:bCs/>
                <w:sz w:val="24"/>
              </w:rPr>
            </w:pPr>
          </w:p>
        </w:tc>
      </w:tr>
      <w:tr w14:paraId="380E756E">
        <w:tblPrEx>
          <w:tblCellMar>
            <w:top w:w="0" w:type="dxa"/>
            <w:left w:w="108" w:type="dxa"/>
            <w:bottom w:w="0" w:type="dxa"/>
            <w:right w:w="108" w:type="dxa"/>
          </w:tblCellMar>
        </w:tblPrEx>
        <w:trPr>
          <w:trHeight w:val="524"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F443">
            <w:pPr>
              <w:widowControl/>
              <w:spacing w:line="360" w:lineRule="auto"/>
              <w:jc w:val="center"/>
              <w:rPr>
                <w:rFonts w:ascii="宋体" w:hAnsi="宋体" w:cs="宋体"/>
                <w:sz w:val="24"/>
              </w:rPr>
            </w:pPr>
          </w:p>
        </w:tc>
        <w:tc>
          <w:tcPr>
            <w:tcW w:w="950" w:type="dxa"/>
            <w:tcBorders>
              <w:top w:val="single" w:color="000000" w:sz="4" w:space="0"/>
              <w:left w:val="nil"/>
              <w:bottom w:val="single" w:color="000000" w:sz="4" w:space="0"/>
              <w:right w:val="single" w:color="000000" w:sz="4" w:space="0"/>
            </w:tcBorders>
            <w:shd w:val="clear" w:color="auto" w:fill="auto"/>
            <w:noWrap/>
            <w:vAlign w:val="center"/>
          </w:tcPr>
          <w:p w14:paraId="7E53A751">
            <w:pPr>
              <w:widowControl/>
              <w:spacing w:line="360" w:lineRule="auto"/>
              <w:jc w:val="left"/>
              <w:rPr>
                <w:rFonts w:ascii="宋体" w:hAnsi="宋体" w:cs="宋体"/>
                <w:sz w:val="24"/>
              </w:rPr>
            </w:pPr>
          </w:p>
        </w:tc>
        <w:tc>
          <w:tcPr>
            <w:tcW w:w="2071" w:type="dxa"/>
            <w:tcBorders>
              <w:top w:val="single" w:color="000000" w:sz="4" w:space="0"/>
              <w:left w:val="nil"/>
              <w:bottom w:val="single" w:color="000000" w:sz="4" w:space="0"/>
              <w:right w:val="single" w:color="000000" w:sz="4" w:space="0"/>
            </w:tcBorders>
            <w:shd w:val="clear" w:color="auto" w:fill="auto"/>
            <w:noWrap/>
            <w:vAlign w:val="center"/>
          </w:tcPr>
          <w:p w14:paraId="09A058EA">
            <w:pPr>
              <w:widowControl/>
              <w:spacing w:line="360" w:lineRule="auto"/>
              <w:jc w:val="left"/>
              <w:rPr>
                <w:rFonts w:ascii="宋体" w:hAnsi="宋体" w:cs="宋体"/>
                <w:sz w:val="24"/>
              </w:rPr>
            </w:pPr>
          </w:p>
        </w:tc>
        <w:tc>
          <w:tcPr>
            <w:tcW w:w="1092" w:type="dxa"/>
            <w:tcBorders>
              <w:top w:val="single" w:color="000000" w:sz="4" w:space="0"/>
              <w:left w:val="nil"/>
              <w:bottom w:val="single" w:color="000000" w:sz="4" w:space="0"/>
              <w:right w:val="single" w:color="000000" w:sz="4" w:space="0"/>
            </w:tcBorders>
            <w:shd w:val="clear" w:color="auto" w:fill="auto"/>
            <w:noWrap/>
            <w:vAlign w:val="center"/>
          </w:tcPr>
          <w:p w14:paraId="58391E10">
            <w:pPr>
              <w:widowControl/>
              <w:spacing w:line="360" w:lineRule="auto"/>
              <w:jc w:val="center"/>
              <w:rPr>
                <w:rFonts w:ascii="宋体" w:hAnsi="宋体" w:cs="宋体"/>
                <w:sz w:val="24"/>
              </w:rPr>
            </w:pPr>
          </w:p>
        </w:tc>
        <w:tc>
          <w:tcPr>
            <w:tcW w:w="1043" w:type="dxa"/>
            <w:tcBorders>
              <w:top w:val="single" w:color="000000" w:sz="4" w:space="0"/>
              <w:left w:val="nil"/>
              <w:bottom w:val="single" w:color="000000" w:sz="4" w:space="0"/>
              <w:right w:val="single" w:color="000000" w:sz="4" w:space="0"/>
            </w:tcBorders>
            <w:shd w:val="clear" w:color="auto" w:fill="auto"/>
            <w:noWrap/>
            <w:vAlign w:val="center"/>
          </w:tcPr>
          <w:p w14:paraId="0B653807">
            <w:pPr>
              <w:widowControl/>
              <w:spacing w:line="360" w:lineRule="auto"/>
              <w:jc w:val="right"/>
              <w:rPr>
                <w:rFonts w:ascii="宋体" w:hAnsi="宋体" w:cs="宋体"/>
                <w:sz w:val="24"/>
              </w:rPr>
            </w:pPr>
          </w:p>
        </w:tc>
        <w:tc>
          <w:tcPr>
            <w:tcW w:w="1292" w:type="dxa"/>
            <w:tcBorders>
              <w:top w:val="single" w:color="000000" w:sz="4" w:space="0"/>
              <w:left w:val="nil"/>
              <w:bottom w:val="single" w:color="000000" w:sz="4" w:space="0"/>
              <w:right w:val="single" w:color="000000" w:sz="4" w:space="0"/>
            </w:tcBorders>
            <w:shd w:val="clear" w:color="auto" w:fill="auto"/>
            <w:noWrap/>
            <w:vAlign w:val="center"/>
          </w:tcPr>
          <w:p w14:paraId="05C21102">
            <w:pPr>
              <w:widowControl/>
              <w:spacing w:line="360" w:lineRule="auto"/>
              <w:jc w:val="right"/>
              <w:rPr>
                <w:rFonts w:ascii="宋体" w:hAnsi="宋体" w:cs="宋体"/>
                <w:sz w:val="24"/>
              </w:rPr>
            </w:pPr>
          </w:p>
        </w:tc>
        <w:tc>
          <w:tcPr>
            <w:tcW w:w="690" w:type="dxa"/>
            <w:tcBorders>
              <w:top w:val="single" w:color="000000" w:sz="4" w:space="0"/>
              <w:left w:val="nil"/>
              <w:bottom w:val="single" w:color="000000" w:sz="4" w:space="0"/>
              <w:right w:val="single" w:color="000000" w:sz="4" w:space="0"/>
            </w:tcBorders>
            <w:shd w:val="clear" w:color="auto" w:fill="auto"/>
            <w:noWrap/>
            <w:vAlign w:val="center"/>
          </w:tcPr>
          <w:p w14:paraId="21A3371C">
            <w:pPr>
              <w:spacing w:line="360" w:lineRule="auto"/>
              <w:jc w:val="right"/>
              <w:rPr>
                <w:rFonts w:ascii="宋体" w:hAnsi="宋体" w:cs="宋体"/>
                <w:sz w:val="24"/>
              </w:rPr>
            </w:pPr>
          </w:p>
        </w:tc>
        <w:tc>
          <w:tcPr>
            <w:tcW w:w="842" w:type="dxa"/>
            <w:tcBorders>
              <w:top w:val="single" w:color="000000" w:sz="4" w:space="0"/>
              <w:left w:val="nil"/>
              <w:bottom w:val="single" w:color="000000" w:sz="4" w:space="0"/>
              <w:right w:val="single" w:color="000000" w:sz="4" w:space="0"/>
            </w:tcBorders>
            <w:shd w:val="clear" w:color="auto" w:fill="auto"/>
            <w:noWrap/>
            <w:vAlign w:val="center"/>
          </w:tcPr>
          <w:p w14:paraId="15021A73">
            <w:pPr>
              <w:spacing w:line="360" w:lineRule="auto"/>
              <w:jc w:val="right"/>
              <w:rPr>
                <w:rFonts w:ascii="宋体" w:hAnsi="宋体" w:cs="宋体"/>
                <w:sz w:val="24"/>
              </w:rPr>
            </w:pPr>
          </w:p>
        </w:tc>
        <w:tc>
          <w:tcPr>
            <w:tcW w:w="763" w:type="dxa"/>
            <w:tcBorders>
              <w:top w:val="single" w:color="000000" w:sz="4" w:space="0"/>
              <w:left w:val="nil"/>
              <w:bottom w:val="single" w:color="000000" w:sz="4" w:space="0"/>
              <w:right w:val="single" w:color="000000" w:sz="8" w:space="0"/>
            </w:tcBorders>
            <w:shd w:val="clear" w:color="auto" w:fill="auto"/>
            <w:noWrap/>
            <w:vAlign w:val="center"/>
          </w:tcPr>
          <w:p w14:paraId="57D1843F">
            <w:pPr>
              <w:spacing w:line="360" w:lineRule="auto"/>
              <w:jc w:val="right"/>
              <w:rPr>
                <w:rFonts w:ascii="宋体" w:hAnsi="宋体" w:cs="宋体"/>
                <w:sz w:val="24"/>
              </w:rPr>
            </w:pPr>
          </w:p>
        </w:tc>
      </w:tr>
      <w:tr w14:paraId="4E45C03A">
        <w:tblPrEx>
          <w:tblCellMar>
            <w:top w:w="0" w:type="dxa"/>
            <w:left w:w="108" w:type="dxa"/>
            <w:bottom w:w="0" w:type="dxa"/>
            <w:right w:w="108" w:type="dxa"/>
          </w:tblCellMar>
        </w:tblPrEx>
        <w:trPr>
          <w:trHeight w:val="623"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8B9A">
            <w:pPr>
              <w:widowControl/>
              <w:spacing w:line="360" w:lineRule="auto"/>
              <w:jc w:val="center"/>
              <w:rPr>
                <w:rFonts w:ascii="宋体" w:hAnsi="宋体" w:cs="宋体"/>
                <w:sz w:val="24"/>
              </w:rPr>
            </w:pPr>
          </w:p>
        </w:tc>
        <w:tc>
          <w:tcPr>
            <w:tcW w:w="950" w:type="dxa"/>
            <w:tcBorders>
              <w:top w:val="single" w:color="000000" w:sz="4" w:space="0"/>
              <w:left w:val="nil"/>
              <w:bottom w:val="single" w:color="000000" w:sz="4" w:space="0"/>
              <w:right w:val="single" w:color="000000" w:sz="4" w:space="0"/>
            </w:tcBorders>
            <w:shd w:val="clear" w:color="auto" w:fill="auto"/>
            <w:noWrap/>
            <w:vAlign w:val="center"/>
          </w:tcPr>
          <w:p w14:paraId="65482CB5">
            <w:pPr>
              <w:widowControl/>
              <w:spacing w:line="360" w:lineRule="auto"/>
              <w:jc w:val="left"/>
              <w:rPr>
                <w:rFonts w:ascii="宋体" w:hAnsi="宋体" w:cs="宋体"/>
                <w:sz w:val="24"/>
              </w:rPr>
            </w:pPr>
          </w:p>
        </w:tc>
        <w:tc>
          <w:tcPr>
            <w:tcW w:w="2071" w:type="dxa"/>
            <w:tcBorders>
              <w:top w:val="single" w:color="000000" w:sz="4" w:space="0"/>
              <w:left w:val="nil"/>
              <w:bottom w:val="single" w:color="000000" w:sz="4" w:space="0"/>
              <w:right w:val="single" w:color="000000" w:sz="4" w:space="0"/>
            </w:tcBorders>
            <w:shd w:val="clear" w:color="auto" w:fill="auto"/>
            <w:noWrap/>
            <w:vAlign w:val="center"/>
          </w:tcPr>
          <w:p w14:paraId="417CC31E">
            <w:pPr>
              <w:widowControl/>
              <w:spacing w:line="360" w:lineRule="auto"/>
              <w:jc w:val="left"/>
              <w:rPr>
                <w:rFonts w:ascii="宋体" w:hAnsi="宋体" w:cs="宋体"/>
                <w:sz w:val="24"/>
              </w:rPr>
            </w:pPr>
          </w:p>
        </w:tc>
        <w:tc>
          <w:tcPr>
            <w:tcW w:w="1092" w:type="dxa"/>
            <w:tcBorders>
              <w:top w:val="single" w:color="000000" w:sz="4" w:space="0"/>
              <w:left w:val="nil"/>
              <w:bottom w:val="single" w:color="000000" w:sz="4" w:space="0"/>
              <w:right w:val="single" w:color="000000" w:sz="4" w:space="0"/>
            </w:tcBorders>
            <w:shd w:val="clear" w:color="auto" w:fill="auto"/>
            <w:noWrap/>
            <w:vAlign w:val="center"/>
          </w:tcPr>
          <w:p w14:paraId="587AC400">
            <w:pPr>
              <w:widowControl/>
              <w:spacing w:line="360" w:lineRule="auto"/>
              <w:jc w:val="center"/>
              <w:rPr>
                <w:rFonts w:ascii="宋体" w:hAnsi="宋体" w:cs="宋体"/>
                <w:sz w:val="24"/>
              </w:rPr>
            </w:pPr>
          </w:p>
        </w:tc>
        <w:tc>
          <w:tcPr>
            <w:tcW w:w="1043" w:type="dxa"/>
            <w:tcBorders>
              <w:top w:val="single" w:color="000000" w:sz="4" w:space="0"/>
              <w:left w:val="nil"/>
              <w:bottom w:val="single" w:color="000000" w:sz="4" w:space="0"/>
              <w:right w:val="single" w:color="000000" w:sz="4" w:space="0"/>
            </w:tcBorders>
            <w:shd w:val="clear" w:color="auto" w:fill="auto"/>
            <w:noWrap/>
            <w:vAlign w:val="center"/>
          </w:tcPr>
          <w:p w14:paraId="57BB1DC5">
            <w:pPr>
              <w:widowControl/>
              <w:spacing w:line="360" w:lineRule="auto"/>
              <w:jc w:val="right"/>
              <w:rPr>
                <w:rFonts w:ascii="宋体" w:hAnsi="宋体" w:cs="宋体"/>
                <w:sz w:val="24"/>
              </w:rPr>
            </w:pPr>
          </w:p>
        </w:tc>
        <w:tc>
          <w:tcPr>
            <w:tcW w:w="1292" w:type="dxa"/>
            <w:tcBorders>
              <w:top w:val="single" w:color="000000" w:sz="4" w:space="0"/>
              <w:left w:val="nil"/>
              <w:bottom w:val="single" w:color="000000" w:sz="4" w:space="0"/>
              <w:right w:val="single" w:color="000000" w:sz="4" w:space="0"/>
            </w:tcBorders>
            <w:shd w:val="clear" w:color="auto" w:fill="auto"/>
            <w:noWrap/>
            <w:vAlign w:val="center"/>
          </w:tcPr>
          <w:p w14:paraId="0E29FA1E">
            <w:pPr>
              <w:widowControl/>
              <w:spacing w:line="360" w:lineRule="auto"/>
              <w:jc w:val="right"/>
              <w:rPr>
                <w:rFonts w:ascii="宋体" w:hAnsi="宋体" w:cs="宋体"/>
                <w:sz w:val="24"/>
              </w:rPr>
            </w:pPr>
          </w:p>
        </w:tc>
        <w:tc>
          <w:tcPr>
            <w:tcW w:w="690" w:type="dxa"/>
            <w:tcBorders>
              <w:top w:val="single" w:color="000000" w:sz="4" w:space="0"/>
              <w:left w:val="nil"/>
              <w:bottom w:val="single" w:color="000000" w:sz="4" w:space="0"/>
              <w:right w:val="single" w:color="000000" w:sz="4" w:space="0"/>
            </w:tcBorders>
            <w:shd w:val="clear" w:color="auto" w:fill="auto"/>
            <w:noWrap/>
            <w:vAlign w:val="center"/>
          </w:tcPr>
          <w:p w14:paraId="6E07DE84">
            <w:pPr>
              <w:spacing w:line="360" w:lineRule="auto"/>
              <w:jc w:val="right"/>
              <w:rPr>
                <w:rFonts w:ascii="宋体" w:hAnsi="宋体" w:cs="宋体"/>
                <w:sz w:val="24"/>
              </w:rPr>
            </w:pPr>
          </w:p>
        </w:tc>
        <w:tc>
          <w:tcPr>
            <w:tcW w:w="842" w:type="dxa"/>
            <w:tcBorders>
              <w:top w:val="single" w:color="000000" w:sz="4" w:space="0"/>
              <w:left w:val="nil"/>
              <w:bottom w:val="single" w:color="000000" w:sz="4" w:space="0"/>
              <w:right w:val="single" w:color="000000" w:sz="4" w:space="0"/>
            </w:tcBorders>
            <w:shd w:val="clear" w:color="auto" w:fill="auto"/>
            <w:noWrap/>
            <w:vAlign w:val="center"/>
          </w:tcPr>
          <w:p w14:paraId="0B582BD4">
            <w:pPr>
              <w:spacing w:line="360" w:lineRule="auto"/>
              <w:jc w:val="right"/>
              <w:rPr>
                <w:rFonts w:ascii="宋体" w:hAnsi="宋体" w:cs="宋体"/>
                <w:sz w:val="24"/>
              </w:rPr>
            </w:pPr>
          </w:p>
        </w:tc>
        <w:tc>
          <w:tcPr>
            <w:tcW w:w="763" w:type="dxa"/>
            <w:tcBorders>
              <w:top w:val="single" w:color="000000" w:sz="4" w:space="0"/>
              <w:left w:val="nil"/>
              <w:bottom w:val="single" w:color="000000" w:sz="4" w:space="0"/>
              <w:right w:val="single" w:color="000000" w:sz="8" w:space="0"/>
            </w:tcBorders>
            <w:shd w:val="clear" w:color="auto" w:fill="auto"/>
            <w:noWrap/>
            <w:vAlign w:val="center"/>
          </w:tcPr>
          <w:p w14:paraId="56E3EEC9">
            <w:pPr>
              <w:spacing w:line="360" w:lineRule="auto"/>
              <w:jc w:val="right"/>
              <w:rPr>
                <w:rFonts w:ascii="宋体" w:hAnsi="宋体" w:cs="宋体"/>
                <w:sz w:val="24"/>
              </w:rPr>
            </w:pPr>
          </w:p>
        </w:tc>
      </w:tr>
      <w:tr w14:paraId="3721A037">
        <w:tblPrEx>
          <w:tblCellMar>
            <w:top w:w="0" w:type="dxa"/>
            <w:left w:w="108" w:type="dxa"/>
            <w:bottom w:w="0" w:type="dxa"/>
            <w:right w:w="108" w:type="dxa"/>
          </w:tblCellMar>
        </w:tblPrEx>
        <w:trPr>
          <w:trHeight w:val="634"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AB64">
            <w:pPr>
              <w:widowControl/>
              <w:spacing w:line="360" w:lineRule="auto"/>
              <w:jc w:val="center"/>
              <w:rPr>
                <w:rFonts w:ascii="宋体" w:hAnsi="宋体" w:cs="宋体"/>
                <w:sz w:val="24"/>
              </w:rPr>
            </w:pPr>
          </w:p>
        </w:tc>
        <w:tc>
          <w:tcPr>
            <w:tcW w:w="950" w:type="dxa"/>
            <w:tcBorders>
              <w:top w:val="single" w:color="000000" w:sz="4" w:space="0"/>
              <w:left w:val="nil"/>
              <w:bottom w:val="single" w:color="000000" w:sz="4" w:space="0"/>
              <w:right w:val="single" w:color="000000" w:sz="4" w:space="0"/>
            </w:tcBorders>
            <w:shd w:val="clear" w:color="auto" w:fill="auto"/>
            <w:noWrap/>
            <w:vAlign w:val="center"/>
          </w:tcPr>
          <w:p w14:paraId="4C7653A4">
            <w:pPr>
              <w:widowControl/>
              <w:spacing w:line="360" w:lineRule="auto"/>
              <w:jc w:val="left"/>
              <w:rPr>
                <w:rFonts w:ascii="宋体" w:hAnsi="宋体" w:cs="宋体"/>
                <w:sz w:val="24"/>
              </w:rPr>
            </w:pPr>
          </w:p>
        </w:tc>
        <w:tc>
          <w:tcPr>
            <w:tcW w:w="2071" w:type="dxa"/>
            <w:tcBorders>
              <w:top w:val="single" w:color="000000" w:sz="4" w:space="0"/>
              <w:left w:val="nil"/>
              <w:bottom w:val="single" w:color="000000" w:sz="4" w:space="0"/>
              <w:right w:val="single" w:color="000000" w:sz="4" w:space="0"/>
            </w:tcBorders>
            <w:shd w:val="clear" w:color="auto" w:fill="auto"/>
            <w:noWrap/>
            <w:vAlign w:val="center"/>
          </w:tcPr>
          <w:p w14:paraId="7FFA080F">
            <w:pPr>
              <w:widowControl/>
              <w:spacing w:line="360" w:lineRule="auto"/>
              <w:jc w:val="left"/>
              <w:rPr>
                <w:rFonts w:ascii="宋体" w:hAnsi="宋体" w:cs="宋体"/>
                <w:sz w:val="24"/>
              </w:rPr>
            </w:pPr>
          </w:p>
        </w:tc>
        <w:tc>
          <w:tcPr>
            <w:tcW w:w="1092" w:type="dxa"/>
            <w:tcBorders>
              <w:top w:val="single" w:color="000000" w:sz="4" w:space="0"/>
              <w:left w:val="nil"/>
              <w:bottom w:val="single" w:color="000000" w:sz="4" w:space="0"/>
              <w:right w:val="single" w:color="000000" w:sz="4" w:space="0"/>
            </w:tcBorders>
            <w:shd w:val="clear" w:color="auto" w:fill="auto"/>
            <w:noWrap/>
            <w:vAlign w:val="center"/>
          </w:tcPr>
          <w:p w14:paraId="404B1027">
            <w:pPr>
              <w:widowControl/>
              <w:spacing w:line="360" w:lineRule="auto"/>
              <w:jc w:val="center"/>
              <w:rPr>
                <w:rFonts w:ascii="宋体" w:hAnsi="宋体" w:cs="宋体"/>
                <w:sz w:val="24"/>
              </w:rPr>
            </w:pPr>
          </w:p>
        </w:tc>
        <w:tc>
          <w:tcPr>
            <w:tcW w:w="1043" w:type="dxa"/>
            <w:tcBorders>
              <w:top w:val="single" w:color="000000" w:sz="4" w:space="0"/>
              <w:left w:val="nil"/>
              <w:bottom w:val="single" w:color="000000" w:sz="4" w:space="0"/>
              <w:right w:val="single" w:color="000000" w:sz="4" w:space="0"/>
            </w:tcBorders>
            <w:shd w:val="clear" w:color="auto" w:fill="auto"/>
            <w:noWrap/>
            <w:vAlign w:val="center"/>
          </w:tcPr>
          <w:p w14:paraId="2C08184E">
            <w:pPr>
              <w:widowControl/>
              <w:spacing w:line="360" w:lineRule="auto"/>
              <w:jc w:val="right"/>
              <w:rPr>
                <w:rFonts w:ascii="宋体" w:hAnsi="宋体" w:cs="宋体"/>
                <w:sz w:val="24"/>
              </w:rPr>
            </w:pPr>
          </w:p>
        </w:tc>
        <w:tc>
          <w:tcPr>
            <w:tcW w:w="1292" w:type="dxa"/>
            <w:tcBorders>
              <w:top w:val="single" w:color="000000" w:sz="4" w:space="0"/>
              <w:left w:val="nil"/>
              <w:bottom w:val="single" w:color="000000" w:sz="4" w:space="0"/>
              <w:right w:val="single" w:color="000000" w:sz="4" w:space="0"/>
            </w:tcBorders>
            <w:shd w:val="clear" w:color="auto" w:fill="auto"/>
            <w:noWrap/>
            <w:vAlign w:val="center"/>
          </w:tcPr>
          <w:p w14:paraId="0A868E4C">
            <w:pPr>
              <w:widowControl/>
              <w:spacing w:line="360" w:lineRule="auto"/>
              <w:jc w:val="right"/>
              <w:rPr>
                <w:rFonts w:ascii="宋体" w:hAnsi="宋体" w:cs="宋体"/>
                <w:sz w:val="24"/>
              </w:rPr>
            </w:pPr>
          </w:p>
        </w:tc>
        <w:tc>
          <w:tcPr>
            <w:tcW w:w="690" w:type="dxa"/>
            <w:tcBorders>
              <w:top w:val="single" w:color="000000" w:sz="4" w:space="0"/>
              <w:left w:val="nil"/>
              <w:bottom w:val="single" w:color="000000" w:sz="4" w:space="0"/>
              <w:right w:val="single" w:color="000000" w:sz="4" w:space="0"/>
            </w:tcBorders>
            <w:shd w:val="clear" w:color="auto" w:fill="auto"/>
            <w:noWrap/>
            <w:vAlign w:val="center"/>
          </w:tcPr>
          <w:p w14:paraId="5AB1CB7D">
            <w:pPr>
              <w:spacing w:line="360" w:lineRule="auto"/>
              <w:jc w:val="right"/>
              <w:rPr>
                <w:rFonts w:ascii="宋体" w:hAnsi="宋体" w:cs="宋体"/>
                <w:sz w:val="24"/>
              </w:rPr>
            </w:pPr>
          </w:p>
        </w:tc>
        <w:tc>
          <w:tcPr>
            <w:tcW w:w="842" w:type="dxa"/>
            <w:tcBorders>
              <w:top w:val="single" w:color="000000" w:sz="4" w:space="0"/>
              <w:left w:val="nil"/>
              <w:bottom w:val="single" w:color="000000" w:sz="4" w:space="0"/>
              <w:right w:val="single" w:color="000000" w:sz="4" w:space="0"/>
            </w:tcBorders>
            <w:shd w:val="clear" w:color="auto" w:fill="auto"/>
            <w:noWrap/>
            <w:vAlign w:val="center"/>
          </w:tcPr>
          <w:p w14:paraId="6930B774">
            <w:pPr>
              <w:spacing w:line="360" w:lineRule="auto"/>
              <w:jc w:val="right"/>
              <w:rPr>
                <w:rFonts w:ascii="宋体" w:hAnsi="宋体" w:cs="宋体"/>
                <w:sz w:val="24"/>
              </w:rPr>
            </w:pPr>
          </w:p>
        </w:tc>
        <w:tc>
          <w:tcPr>
            <w:tcW w:w="763" w:type="dxa"/>
            <w:tcBorders>
              <w:top w:val="single" w:color="000000" w:sz="4" w:space="0"/>
              <w:left w:val="nil"/>
              <w:bottom w:val="single" w:color="000000" w:sz="4" w:space="0"/>
              <w:right w:val="single" w:color="000000" w:sz="8" w:space="0"/>
            </w:tcBorders>
            <w:shd w:val="clear" w:color="auto" w:fill="auto"/>
            <w:noWrap/>
            <w:vAlign w:val="center"/>
          </w:tcPr>
          <w:p w14:paraId="163D2B57">
            <w:pPr>
              <w:spacing w:line="360" w:lineRule="auto"/>
              <w:jc w:val="right"/>
              <w:rPr>
                <w:rFonts w:ascii="宋体" w:hAnsi="宋体" w:cs="宋体"/>
                <w:sz w:val="24"/>
              </w:rPr>
            </w:pPr>
          </w:p>
        </w:tc>
      </w:tr>
    </w:tbl>
    <w:p w14:paraId="65AAAA30">
      <w:pPr>
        <w:spacing w:line="360" w:lineRule="auto"/>
        <w:ind w:left="420" w:firstLine="420"/>
        <w:rPr>
          <w:rFonts w:ascii="宋体" w:hAnsi="宋体" w:cs="宋体"/>
          <w:sz w:val="24"/>
        </w:rPr>
      </w:pPr>
      <w:r>
        <w:rPr>
          <w:rFonts w:hint="eastAsia" w:ascii="宋体" w:hAnsi="宋体" w:cs="宋体"/>
          <w:sz w:val="24"/>
        </w:rPr>
        <w:t>下达任务责任人（签字）              日期：  年   月   日</w:t>
      </w:r>
    </w:p>
    <w:p w14:paraId="3DEC766F">
      <w:pPr>
        <w:spacing w:line="360" w:lineRule="auto"/>
        <w:ind w:left="420" w:firstLine="420"/>
        <w:rPr>
          <w:rFonts w:ascii="宋体" w:hAnsi="宋体" w:cs="宋体"/>
          <w:sz w:val="24"/>
        </w:rPr>
      </w:pPr>
      <w:r>
        <w:rPr>
          <w:rFonts w:hint="eastAsia" w:ascii="宋体" w:hAnsi="宋体" w:cs="宋体"/>
          <w:sz w:val="24"/>
        </w:rPr>
        <w:t>分管领导（签字）：</w:t>
      </w:r>
    </w:p>
    <w:p w14:paraId="21B4845B">
      <w:pPr>
        <w:spacing w:line="360" w:lineRule="auto"/>
        <w:ind w:left="420" w:firstLine="420"/>
        <w:rPr>
          <w:rFonts w:ascii="宋体" w:hAnsi="宋体" w:cs="宋体"/>
          <w:sz w:val="24"/>
        </w:rPr>
      </w:pPr>
      <w:r>
        <w:rPr>
          <w:rFonts w:hint="eastAsia" w:ascii="宋体" w:hAnsi="宋体" w:cs="宋体"/>
          <w:sz w:val="24"/>
        </w:rPr>
        <w:t>施工方负责人（签字）：</w:t>
      </w:r>
    </w:p>
    <w:p w14:paraId="79AADE14">
      <w:pPr>
        <w:spacing w:line="360" w:lineRule="auto"/>
        <w:ind w:firstLine="480"/>
        <w:rPr>
          <w:rFonts w:ascii="宋体" w:hAnsi="宋体" w:cs="宋体"/>
          <w:sz w:val="24"/>
        </w:rPr>
      </w:pPr>
      <w:r>
        <w:rPr>
          <w:rFonts w:hint="eastAsia" w:ascii="宋体" w:hAnsi="宋体" w:cs="宋体"/>
          <w:sz w:val="24"/>
        </w:rPr>
        <w:t>十、管理</w:t>
      </w:r>
    </w:p>
    <w:p w14:paraId="5DFE0D07">
      <w:pPr>
        <w:spacing w:line="360" w:lineRule="auto"/>
        <w:ind w:firstLine="480"/>
        <w:rPr>
          <w:rFonts w:ascii="宋体" w:hAnsi="宋体" w:cs="宋体"/>
          <w:sz w:val="24"/>
        </w:rPr>
      </w:pPr>
      <w:r>
        <w:rPr>
          <w:rFonts w:hint="eastAsia" w:ascii="宋体" w:hAnsi="宋体" w:cs="宋体"/>
          <w:sz w:val="24"/>
        </w:rPr>
        <w:t>承包方必须遵守、执行和认可以下条款：</w:t>
      </w:r>
    </w:p>
    <w:p w14:paraId="70990013">
      <w:pPr>
        <w:spacing w:line="360" w:lineRule="auto"/>
        <w:ind w:firstLine="480"/>
        <w:rPr>
          <w:rFonts w:ascii="宋体" w:hAnsi="宋体" w:cs="宋体"/>
          <w:sz w:val="24"/>
        </w:rPr>
      </w:pPr>
      <w:r>
        <w:rPr>
          <w:rFonts w:hint="eastAsia" w:ascii="宋体" w:hAnsi="宋体" w:cs="宋体"/>
          <w:sz w:val="24"/>
        </w:rPr>
        <w:t>（1）承包方项目负责人必须掌握维修和建筑管理技能，服从发包人及维修监管员和监理的领导，随叫随到，全职在岗，通讯24小时畅通，不请假擅自离岗的，承包人向发包人承担200元/次的违约金，手机关机的，增加100元/次的违约金。</w:t>
      </w:r>
    </w:p>
    <w:p w14:paraId="07DBA47F">
      <w:pPr>
        <w:spacing w:line="360" w:lineRule="auto"/>
        <w:ind w:firstLine="480"/>
        <w:rPr>
          <w:rFonts w:ascii="宋体" w:hAnsi="宋体" w:cs="宋体"/>
          <w:sz w:val="24"/>
        </w:rPr>
      </w:pPr>
      <w:r>
        <w:rPr>
          <w:rFonts w:hint="eastAsia" w:ascii="宋体" w:hAnsi="宋体" w:cs="宋体"/>
          <w:sz w:val="24"/>
        </w:rPr>
        <w:t>（2）承包人所管辖范围的维修要配全各类维修技术人员，要懂修，会修，及时维修。本着特事特办，急事急办的原则，小问题处理时间不超过1天，稍大的维修项目不超过5天，特大的维修项目经双方协商后确定维修时间，一切以甲方下达的维修任务单为施工和结账依据，从维修接单日起算，及时解决业主方诉求，拖迟维修超过一天，承包人向发包人承担每天200-500元的违约金。</w:t>
      </w:r>
    </w:p>
    <w:p w14:paraId="480CC9F1">
      <w:pPr>
        <w:spacing w:line="360" w:lineRule="auto"/>
        <w:ind w:firstLine="480"/>
        <w:rPr>
          <w:rFonts w:ascii="宋体" w:hAnsi="宋体" w:cs="宋体"/>
          <w:sz w:val="24"/>
        </w:rPr>
      </w:pPr>
      <w:r>
        <w:rPr>
          <w:rFonts w:hint="eastAsia" w:ascii="宋体" w:hAnsi="宋体" w:cs="宋体"/>
          <w:sz w:val="24"/>
        </w:rPr>
        <w:t>（3）承包人应根据招标方下发的维修任务单，拿出节约实效的维修方案，经相关程序批准后接单实施，承包人事先不经搬经镇维修审核、申报及验收规定的审核程序审定确认同意维修的工程量，事后将不予认可，工程实施过程中不得超批准方案实施，超方案实施的发包人将不予认可，平时对所维修的项目报验时要附有维修前后的现场照片供备查。</w:t>
      </w:r>
    </w:p>
    <w:p w14:paraId="3B2EB775">
      <w:pPr>
        <w:spacing w:line="360" w:lineRule="auto"/>
        <w:ind w:firstLine="480"/>
        <w:rPr>
          <w:rFonts w:ascii="宋体" w:hAnsi="宋体" w:cs="宋体"/>
          <w:sz w:val="24"/>
        </w:rPr>
      </w:pPr>
      <w:r>
        <w:rPr>
          <w:rFonts w:hint="eastAsia" w:ascii="宋体" w:hAnsi="宋体" w:cs="宋体"/>
          <w:sz w:val="24"/>
        </w:rPr>
        <w:t>（4）所有维修工程的项目验收，承包人必须据实填写申请验收单，并按规定要求提供相关资料，经核查发现不按工序施工及工程量弄虚作假的，则按作假工程量3倍倒扣工程款。如有隐蔽工程和动态计量，承包人要主动在第一时间与监管和监理人员联系，现场拍照计量，工程预估超千元的，必须报管理部门、审价办公室、工程管理办公室会商后实施，否则工程量不予认可，平时维修项目完工后要主动及时申请验收，不要久拖积压，超过1个月发包人将不予验收。施工方每季度要对已验收工程量及时预决算，确保合同工程量送审不超过规定限额，否则，责任自负。</w:t>
      </w:r>
    </w:p>
    <w:p w14:paraId="745F399B">
      <w:pPr>
        <w:spacing w:line="360" w:lineRule="auto"/>
        <w:ind w:firstLine="480"/>
        <w:rPr>
          <w:rFonts w:ascii="宋体" w:hAnsi="宋体" w:cs="宋体"/>
          <w:sz w:val="24"/>
        </w:rPr>
      </w:pPr>
      <w:r>
        <w:rPr>
          <w:rFonts w:hint="eastAsia" w:ascii="宋体" w:hAnsi="宋体" w:cs="宋体"/>
          <w:sz w:val="24"/>
        </w:rPr>
        <w:t>（5）承包人要及时做好安全防护，现场要配备安全员，指挥和疏导交通、防范事故，确保安全，维修完毕，要及时将施工区域恢复原状，做到工清场清；对维修2次都达不到预期效果的维修项目，承包人除无条件义务返工，并承担相关损失费用，另见一例承包方向发包人承担2000元的违约金；承包人维修队伍在维修时造成发包方其他财物及财产损失的，由承包人负责赔偿；承包人所有维修材料原则上全部采用普通材料，同时提供相关合格证，并且必须与实际维修使用材料相符，且所有的材料的规格尺寸均须达到国标，维修零星用水泥必须是标号425的袋装水泥，并根据实际需要使用符合标准的黄沙、石子及钢筋，道路维修必须使用专业公司生产的符合规格的标号商砼，否则工程量不予认可。</w:t>
      </w:r>
    </w:p>
    <w:p w14:paraId="5BCB3424">
      <w:pPr>
        <w:spacing w:line="360" w:lineRule="auto"/>
        <w:ind w:firstLine="480"/>
        <w:rPr>
          <w:rFonts w:ascii="宋体" w:hAnsi="宋体" w:cs="宋体"/>
          <w:sz w:val="24"/>
        </w:rPr>
      </w:pPr>
      <w:r>
        <w:rPr>
          <w:rFonts w:hint="eastAsia" w:ascii="宋体" w:hAnsi="宋体" w:cs="宋体"/>
          <w:sz w:val="24"/>
        </w:rPr>
        <w:t>（6）承包人要加强施工人员的管理和教育，维修要尽量保持卫生，语言要礼貌，不大声喧哗，不取不义之财，注意施工不影响学校正常的作息。</w:t>
      </w:r>
    </w:p>
    <w:p w14:paraId="2088D951">
      <w:pPr>
        <w:spacing w:line="360" w:lineRule="auto"/>
        <w:ind w:firstLine="480"/>
        <w:rPr>
          <w:rFonts w:ascii="宋体" w:hAnsi="宋体" w:cs="宋体"/>
          <w:sz w:val="24"/>
        </w:rPr>
      </w:pPr>
      <w:r>
        <w:rPr>
          <w:rFonts w:hint="eastAsia" w:ascii="宋体" w:hAnsi="宋体" w:cs="宋体"/>
          <w:sz w:val="24"/>
        </w:rPr>
        <w:t>（7）如出现以下情形之一，发包人有权终止承包方的合同维修权，重新招标，给发包人造成损失的，应赔偿全部损失。</w:t>
      </w:r>
    </w:p>
    <w:p w14:paraId="422EACD3">
      <w:pPr>
        <w:spacing w:line="360" w:lineRule="auto"/>
        <w:ind w:firstLine="480"/>
        <w:rPr>
          <w:rFonts w:ascii="宋体" w:hAnsi="宋体" w:cs="宋体"/>
          <w:sz w:val="24"/>
        </w:rPr>
      </w:pPr>
      <w:r>
        <w:rPr>
          <w:rFonts w:hint="eastAsia" w:ascii="宋体" w:hAnsi="宋体" w:cs="宋体"/>
          <w:sz w:val="24"/>
        </w:rPr>
        <w:t>①如因承包人的不当行为，造成发包人人员违反“八项规定”或受到纪检部门调查属实的。</w:t>
      </w:r>
    </w:p>
    <w:p w14:paraId="7ACF507F">
      <w:pPr>
        <w:spacing w:line="360" w:lineRule="auto"/>
        <w:ind w:firstLine="480"/>
        <w:rPr>
          <w:rFonts w:ascii="宋体" w:hAnsi="宋体" w:cs="宋体"/>
          <w:sz w:val="24"/>
        </w:rPr>
      </w:pPr>
      <w:r>
        <w:rPr>
          <w:rFonts w:hint="eastAsia" w:ascii="宋体" w:hAnsi="宋体" w:cs="宋体"/>
          <w:sz w:val="24"/>
        </w:rPr>
        <w:t>②承包人维修队人员在维修过程中发生刑事案件的，造成恶劣影响的。</w:t>
      </w:r>
    </w:p>
    <w:p w14:paraId="0420D60E">
      <w:pPr>
        <w:spacing w:line="360" w:lineRule="auto"/>
        <w:rPr>
          <w:rFonts w:ascii="宋体" w:hAnsi="宋体" w:cs="宋体"/>
          <w:sz w:val="24"/>
        </w:rPr>
      </w:pPr>
      <w:r>
        <w:rPr>
          <w:rFonts w:hint="eastAsia" w:ascii="宋体" w:hAnsi="宋体" w:cs="宋体"/>
          <w:sz w:val="24"/>
        </w:rPr>
        <w:t xml:space="preserve">    ③与发包人管理人员串通，欺诈和骗取管理方工程款的。</w:t>
      </w:r>
    </w:p>
    <w:p w14:paraId="441C2C29">
      <w:pPr>
        <w:spacing w:line="360" w:lineRule="auto"/>
        <w:rPr>
          <w:rFonts w:ascii="宋体" w:hAnsi="宋体" w:cs="宋体"/>
          <w:sz w:val="24"/>
        </w:rPr>
      </w:pPr>
      <w:r>
        <w:rPr>
          <w:rFonts w:hint="eastAsia" w:ascii="宋体" w:hAnsi="宋体" w:cs="宋体"/>
          <w:sz w:val="24"/>
        </w:rPr>
        <w:t xml:space="preserve">    ④使用假冒伪劣材料，经调查属实。</w:t>
      </w:r>
    </w:p>
    <w:p w14:paraId="56256AA0">
      <w:pPr>
        <w:spacing w:line="360" w:lineRule="auto"/>
        <w:ind w:firstLine="480"/>
        <w:rPr>
          <w:rFonts w:ascii="宋体" w:hAnsi="宋体" w:cs="宋体"/>
          <w:sz w:val="24"/>
        </w:rPr>
      </w:pPr>
      <w:r>
        <w:rPr>
          <w:rFonts w:hint="eastAsia" w:ascii="宋体" w:hAnsi="宋体" w:cs="宋体"/>
          <w:sz w:val="24"/>
        </w:rPr>
        <w:t>⑤若承包人在接到发包人管理部门通知后，不能在规定时间内到场查勘问题或不能在发包人管理部门规定时间内维修结束的，第一次出现上述情况，承包人向发包人承担2000元/例的违约金，并委托第三人进行维修，维修费用从乙方履约保证金中或已发生的维修费用中扣除；第二次出现上述情况，承包人向发包人承担2000元/例的违约金，扣除承包人全部履约保证金，并委托第三方进行维修，维修费用从乙方履约保证金中扣除，同时甲方有权终止合同。</w:t>
      </w:r>
    </w:p>
    <w:p w14:paraId="1CF31FF4">
      <w:pPr>
        <w:spacing w:line="360" w:lineRule="auto"/>
        <w:ind w:firstLine="600"/>
        <w:rPr>
          <w:rFonts w:ascii="宋体" w:hAnsi="宋体" w:cs="宋体"/>
          <w:sz w:val="24"/>
        </w:rPr>
      </w:pPr>
      <w:r>
        <w:rPr>
          <w:rFonts w:hint="eastAsia" w:ascii="宋体" w:hAnsi="宋体" w:cs="宋体"/>
          <w:sz w:val="24"/>
        </w:rPr>
        <w:t>（8）以上考核由管理方实施，由发包人将相关考核结果报送审价部从工程款中直接扣除，在实施的过程中，承包人如有异议，可与发包人沟通，也可向搬经镇人民政府反映。</w:t>
      </w:r>
    </w:p>
    <w:p w14:paraId="13C29C15">
      <w:pPr>
        <w:spacing w:line="360" w:lineRule="auto"/>
        <w:ind w:firstLine="480"/>
        <w:rPr>
          <w:rFonts w:ascii="宋体" w:hAnsi="宋体" w:cs="宋体"/>
          <w:sz w:val="24"/>
        </w:rPr>
      </w:pPr>
      <w:r>
        <w:rPr>
          <w:rFonts w:hint="eastAsia" w:ascii="宋体" w:hAnsi="宋体" w:cs="宋体"/>
          <w:sz w:val="24"/>
        </w:rPr>
        <w:t xml:space="preserve">十一、承包人必须承诺： </w:t>
      </w:r>
    </w:p>
    <w:p w14:paraId="2FAC6171">
      <w:pPr>
        <w:spacing w:line="360" w:lineRule="auto"/>
        <w:ind w:firstLine="480"/>
        <w:rPr>
          <w:rFonts w:ascii="宋体" w:hAnsi="宋体" w:cs="宋体"/>
          <w:sz w:val="24"/>
        </w:rPr>
      </w:pPr>
      <w:r>
        <w:rPr>
          <w:rFonts w:hint="eastAsia" w:ascii="宋体" w:hAnsi="宋体" w:cs="宋体"/>
          <w:sz w:val="24"/>
        </w:rPr>
        <w:t>(一)承包人必须服从社会质量监督人员的管理和指导。</w:t>
      </w:r>
    </w:p>
    <w:p w14:paraId="4A8193EA">
      <w:pPr>
        <w:spacing w:line="360" w:lineRule="auto"/>
        <w:ind w:firstLine="480"/>
        <w:rPr>
          <w:rFonts w:ascii="宋体" w:hAnsi="宋体" w:cs="宋体"/>
          <w:sz w:val="24"/>
        </w:rPr>
      </w:pPr>
      <w:r>
        <w:rPr>
          <w:rFonts w:hint="eastAsia" w:ascii="宋体" w:hAnsi="宋体" w:cs="宋体"/>
          <w:sz w:val="24"/>
        </w:rPr>
        <w:t xml:space="preserve">(二)承包人拟投入本工程的机械设备、检验设备不得随便调离现场。确实需要调离现场，需报发包单位同意。 </w:t>
      </w:r>
    </w:p>
    <w:p w14:paraId="581ED274">
      <w:pPr>
        <w:spacing w:line="360" w:lineRule="auto"/>
        <w:ind w:firstLine="480"/>
        <w:rPr>
          <w:rFonts w:ascii="宋体" w:hAnsi="宋体" w:cs="宋体"/>
          <w:sz w:val="24"/>
        </w:rPr>
      </w:pPr>
      <w:r>
        <w:rPr>
          <w:rFonts w:hint="eastAsia" w:ascii="宋体" w:hAnsi="宋体" w:cs="宋体"/>
          <w:sz w:val="24"/>
        </w:rPr>
        <w:t xml:space="preserve">(三)承包人在投标书中所安排的项目经理、质检员、施工员、材料员、安全员均须坚守施工现场，建设单位可随时检查。如发现五大员未经批准擅自更换，除责令承包人立即予以纠正外，并给予一定的经济处罚。 </w:t>
      </w:r>
    </w:p>
    <w:p w14:paraId="13A50124">
      <w:pPr>
        <w:spacing w:line="360" w:lineRule="auto"/>
        <w:ind w:firstLine="480"/>
        <w:rPr>
          <w:rFonts w:ascii="宋体" w:hAnsi="宋体" w:cs="宋体"/>
          <w:sz w:val="24"/>
        </w:rPr>
      </w:pPr>
      <w:r>
        <w:rPr>
          <w:rFonts w:hint="eastAsia" w:ascii="宋体" w:hAnsi="宋体" w:cs="宋体"/>
          <w:sz w:val="24"/>
        </w:rPr>
        <w:t xml:space="preserve">(四)本工程不得转包和违法分包。 </w:t>
      </w:r>
    </w:p>
    <w:p w14:paraId="31D97E2B">
      <w:pPr>
        <w:spacing w:line="360" w:lineRule="auto"/>
        <w:ind w:firstLine="480"/>
        <w:rPr>
          <w:rFonts w:ascii="宋体" w:hAnsi="宋体" w:cs="宋体"/>
          <w:sz w:val="24"/>
        </w:rPr>
      </w:pPr>
      <w:r>
        <w:rPr>
          <w:rFonts w:hint="eastAsia" w:ascii="宋体" w:hAnsi="宋体" w:cs="宋体"/>
          <w:sz w:val="24"/>
        </w:rPr>
        <w:t xml:space="preserve">(五)工程实施过程中如遇承包方不服从管理、或质量较差、或进度严重脱节时，管理人有权报如皋搬经镇相关领导同意后有权终止合同，并且已完成的有效工程量只按50％计量结算。 </w:t>
      </w:r>
    </w:p>
    <w:p w14:paraId="3581A521">
      <w:pPr>
        <w:spacing w:line="360" w:lineRule="auto"/>
        <w:ind w:firstLine="480"/>
        <w:rPr>
          <w:rFonts w:ascii="宋体" w:hAnsi="宋体" w:cs="宋体"/>
          <w:sz w:val="24"/>
        </w:rPr>
      </w:pPr>
      <w:r>
        <w:rPr>
          <w:rFonts w:hint="eastAsia" w:ascii="宋体" w:hAnsi="宋体" w:cs="宋体"/>
          <w:sz w:val="24"/>
        </w:rPr>
        <w:t>(六)工程质量履约保证金、工期履约保证金，按招标文件规定执行。</w:t>
      </w:r>
    </w:p>
    <w:p w14:paraId="4036F961">
      <w:pPr>
        <w:spacing w:line="360" w:lineRule="auto"/>
        <w:ind w:firstLine="480"/>
        <w:rPr>
          <w:rFonts w:ascii="宋体" w:hAnsi="宋体" w:cs="宋体"/>
          <w:sz w:val="24"/>
        </w:rPr>
      </w:pPr>
      <w:r>
        <w:rPr>
          <w:rFonts w:hint="eastAsia" w:ascii="宋体" w:hAnsi="宋体" w:cs="宋体"/>
          <w:sz w:val="24"/>
        </w:rPr>
        <w:t>(七)承包人需按规定操作，确保安全，所有安全及相关责任一律由承包人承担。</w:t>
      </w:r>
    </w:p>
    <w:p w14:paraId="565BB124">
      <w:pPr>
        <w:spacing w:line="360" w:lineRule="auto"/>
        <w:ind w:firstLine="480"/>
        <w:rPr>
          <w:rFonts w:ascii="宋体" w:hAnsi="宋体" w:cs="宋体"/>
          <w:sz w:val="24"/>
        </w:rPr>
      </w:pPr>
      <w:r>
        <w:rPr>
          <w:rFonts w:hint="eastAsia" w:ascii="宋体" w:hAnsi="宋体" w:cs="宋体"/>
          <w:sz w:val="24"/>
        </w:rPr>
        <w:t>十二、承包人向发包人承诺按照合同的约定进行施工、竣工并在质量保修期内承担工程质量保修责任。</w:t>
      </w:r>
    </w:p>
    <w:p w14:paraId="344F15BC">
      <w:pPr>
        <w:spacing w:line="360" w:lineRule="auto"/>
        <w:ind w:firstLine="480"/>
        <w:rPr>
          <w:rFonts w:ascii="宋体" w:hAnsi="宋体" w:cs="宋体"/>
          <w:sz w:val="24"/>
        </w:rPr>
      </w:pPr>
      <w:r>
        <w:rPr>
          <w:rFonts w:hint="eastAsia" w:ascii="宋体" w:hAnsi="宋体" w:cs="宋体"/>
          <w:sz w:val="24"/>
        </w:rPr>
        <w:t>十三、发包人向承包人承诺按照合同约定的期限和方式支付合同价款及其他应当支付的款项。</w:t>
      </w:r>
    </w:p>
    <w:p w14:paraId="423A5BDE">
      <w:pPr>
        <w:spacing w:line="360" w:lineRule="auto"/>
        <w:ind w:firstLine="480"/>
        <w:rPr>
          <w:rFonts w:ascii="宋体" w:hAnsi="宋体" w:cs="宋体"/>
          <w:sz w:val="24"/>
        </w:rPr>
      </w:pPr>
      <w:r>
        <w:rPr>
          <w:rFonts w:hint="eastAsia" w:ascii="宋体" w:hAnsi="宋体" w:cs="宋体"/>
          <w:sz w:val="24"/>
        </w:rPr>
        <w:t>十四、本合同中约定的保证金、质保金均不计息。</w:t>
      </w:r>
    </w:p>
    <w:p w14:paraId="315D5B82">
      <w:pPr>
        <w:spacing w:line="360" w:lineRule="auto"/>
        <w:ind w:firstLine="480"/>
        <w:rPr>
          <w:rFonts w:ascii="宋体" w:hAnsi="宋体" w:cs="宋体"/>
          <w:sz w:val="24"/>
        </w:rPr>
      </w:pPr>
      <w:r>
        <w:rPr>
          <w:rFonts w:hint="eastAsia" w:ascii="宋体" w:hAnsi="宋体" w:cs="宋体"/>
          <w:sz w:val="24"/>
        </w:rPr>
        <w:t>十五、本合同双方签字即生效。</w:t>
      </w:r>
    </w:p>
    <w:p w14:paraId="72AD1B40">
      <w:pPr>
        <w:spacing w:line="360" w:lineRule="auto"/>
        <w:ind w:firstLine="480"/>
        <w:rPr>
          <w:rFonts w:ascii="宋体" w:hAnsi="宋体" w:cs="宋体"/>
          <w:sz w:val="24"/>
        </w:rPr>
      </w:pPr>
      <w:r>
        <w:rPr>
          <w:rFonts w:hint="eastAsia" w:ascii="宋体" w:hAnsi="宋体" w:cs="宋体"/>
          <w:sz w:val="24"/>
        </w:rPr>
        <w:t>十六、本合同一式陆份，双方签字盖章后生效。甲方执肆份，乙方执贰份，具有同等法律效力。</w:t>
      </w:r>
    </w:p>
    <w:p w14:paraId="0792D758">
      <w:pPr>
        <w:spacing w:line="360" w:lineRule="auto"/>
        <w:rPr>
          <w:rFonts w:ascii="宋体" w:hAnsi="宋体" w:cs="宋体"/>
          <w:sz w:val="24"/>
        </w:rPr>
      </w:pPr>
      <w:r>
        <w:rPr>
          <w:rFonts w:hint="eastAsia" w:ascii="宋体" w:hAnsi="宋体" w:cs="宋体"/>
          <w:sz w:val="24"/>
        </w:rPr>
        <w:t xml:space="preserve">合同订立时间：  年  月  日   </w:t>
      </w:r>
    </w:p>
    <w:p w14:paraId="38CB0A68">
      <w:pPr>
        <w:spacing w:line="360" w:lineRule="auto"/>
        <w:rPr>
          <w:rFonts w:ascii="宋体" w:hAnsi="宋体" w:cs="宋体"/>
          <w:sz w:val="24"/>
        </w:rPr>
      </w:pPr>
      <w:r>
        <w:rPr>
          <w:rFonts w:hint="eastAsia" w:ascii="宋体" w:hAnsi="宋体" w:cs="宋体"/>
          <w:sz w:val="24"/>
        </w:rPr>
        <w:t>发包人：(公章)                      承包方：(公章)</w:t>
      </w:r>
    </w:p>
    <w:p w14:paraId="061D1C0B">
      <w:pPr>
        <w:spacing w:line="360" w:lineRule="auto"/>
        <w:rPr>
          <w:rFonts w:ascii="宋体" w:hAnsi="宋体" w:cs="宋体"/>
          <w:sz w:val="24"/>
        </w:rPr>
      </w:pPr>
      <w:r>
        <w:rPr>
          <w:rFonts w:hint="eastAsia" w:ascii="宋体" w:hAnsi="宋体" w:cs="宋体"/>
          <w:sz w:val="24"/>
        </w:rPr>
        <w:t>地址：                              地址：</w:t>
      </w:r>
    </w:p>
    <w:p w14:paraId="6553CE7A">
      <w:pPr>
        <w:spacing w:line="360" w:lineRule="auto"/>
        <w:rPr>
          <w:rFonts w:ascii="宋体" w:hAnsi="宋体" w:cs="宋体"/>
          <w:sz w:val="24"/>
        </w:rPr>
      </w:pPr>
      <w:r>
        <w:rPr>
          <w:rFonts w:hint="eastAsia" w:ascii="宋体" w:hAnsi="宋体" w:cs="宋体"/>
          <w:sz w:val="24"/>
        </w:rPr>
        <w:t>法定代表人：（签字）                 法定代表人：（签字）</w:t>
      </w:r>
    </w:p>
    <w:p w14:paraId="7D23A02D">
      <w:pPr>
        <w:spacing w:line="360" w:lineRule="auto"/>
        <w:rPr>
          <w:rFonts w:ascii="宋体" w:hAnsi="宋体" w:cs="宋体"/>
          <w:sz w:val="24"/>
        </w:rPr>
      </w:pPr>
      <w:r>
        <w:rPr>
          <w:rFonts w:hint="eastAsia" w:ascii="宋体" w:hAnsi="宋体" w:cs="宋体"/>
          <w:sz w:val="24"/>
        </w:rPr>
        <w:t xml:space="preserve">委托代表人：                        委托代表人： </w:t>
      </w:r>
    </w:p>
    <w:p w14:paraId="6409556B">
      <w:pPr>
        <w:spacing w:line="360" w:lineRule="auto"/>
        <w:rPr>
          <w:rFonts w:ascii="宋体" w:hAnsi="宋体" w:cs="宋体"/>
          <w:sz w:val="24"/>
        </w:rPr>
      </w:pPr>
      <w:r>
        <w:rPr>
          <w:rFonts w:hint="eastAsia" w:ascii="宋体" w:hAnsi="宋体" w:cs="宋体"/>
          <w:sz w:val="24"/>
        </w:rPr>
        <w:t>电  话：                            电  话：</w:t>
      </w:r>
    </w:p>
    <w:p w14:paraId="1DE78B10">
      <w:pPr>
        <w:spacing w:line="360" w:lineRule="auto"/>
        <w:rPr>
          <w:rFonts w:ascii="宋体" w:hAnsi="宋体" w:cs="宋体"/>
          <w:sz w:val="24"/>
        </w:rPr>
      </w:pPr>
      <w:r>
        <w:rPr>
          <w:rFonts w:hint="eastAsia" w:ascii="宋体" w:hAnsi="宋体" w:cs="宋体"/>
          <w:sz w:val="24"/>
        </w:rPr>
        <w:t>传  真：                            传  真：</w:t>
      </w:r>
    </w:p>
    <w:p w14:paraId="25537FAF">
      <w:pPr>
        <w:spacing w:line="360" w:lineRule="auto"/>
        <w:rPr>
          <w:rFonts w:ascii="宋体" w:hAnsi="宋体" w:cs="宋体"/>
          <w:sz w:val="24"/>
        </w:rPr>
      </w:pPr>
      <w:r>
        <w:rPr>
          <w:rFonts w:hint="eastAsia" w:ascii="宋体" w:hAnsi="宋体" w:cs="宋体"/>
          <w:sz w:val="24"/>
        </w:rPr>
        <w:t>开户银行：                          开户银行：</w:t>
      </w:r>
    </w:p>
    <w:p w14:paraId="77450531">
      <w:pPr>
        <w:spacing w:line="360" w:lineRule="auto"/>
        <w:rPr>
          <w:rFonts w:ascii="宋体" w:hAnsi="宋体" w:cs="宋体"/>
          <w:sz w:val="24"/>
        </w:rPr>
      </w:pPr>
      <w:r>
        <w:rPr>
          <w:rFonts w:hint="eastAsia" w:ascii="宋体" w:hAnsi="宋体" w:cs="宋体"/>
          <w:sz w:val="24"/>
        </w:rPr>
        <w:t>账  号：                            账  号</w:t>
      </w:r>
    </w:p>
    <w:p w14:paraId="5224D238">
      <w:pPr>
        <w:spacing w:line="360" w:lineRule="auto"/>
        <w:rPr>
          <w:rFonts w:ascii="宋体" w:hAnsi="宋体" w:cs="宋体"/>
          <w:sz w:val="24"/>
        </w:rPr>
      </w:pPr>
      <w:r>
        <w:rPr>
          <w:rFonts w:hint="eastAsia" w:ascii="宋体" w:hAnsi="宋体" w:cs="宋体"/>
          <w:sz w:val="24"/>
        </w:rPr>
        <w:t>邮政编码：                          邮政编码：</w:t>
      </w:r>
    </w:p>
    <w:p w14:paraId="5BFD1ED7">
      <w:pPr>
        <w:pStyle w:val="208"/>
        <w:spacing w:before="0" w:after="0"/>
        <w:ind w:firstLine="0"/>
        <w:jc w:val="center"/>
        <w:outlineLvl w:val="0"/>
        <w:rPr>
          <w:rFonts w:ascii="宋体" w:hAnsi="宋体" w:cs="宋体"/>
          <w:b/>
        </w:rPr>
      </w:pPr>
      <w:r>
        <w:rPr>
          <w:rFonts w:hint="eastAsia" w:ascii="宋体" w:hAnsi="宋体" w:cs="宋体"/>
        </w:rPr>
        <w:br w:type="page" w:clear="all"/>
      </w:r>
      <w:r>
        <w:rPr>
          <w:rFonts w:hint="eastAsia" w:ascii="宋体" w:hAnsi="宋体" w:cs="宋体"/>
          <w:b/>
          <w:sz w:val="32"/>
          <w:szCs w:val="32"/>
        </w:rPr>
        <w:t>第五章 评审标准和方法</w:t>
      </w:r>
    </w:p>
    <w:p w14:paraId="7ACF00DF">
      <w:pPr>
        <w:spacing w:line="360" w:lineRule="auto"/>
        <w:ind w:firstLine="560"/>
        <w:rPr>
          <w:rFonts w:ascii="宋体" w:hAnsi="宋体" w:cs="宋体"/>
          <w:sz w:val="24"/>
        </w:rPr>
      </w:pPr>
      <w:r>
        <w:rPr>
          <w:rFonts w:hint="eastAsia" w:ascii="宋体" w:hAnsi="宋体" w:cs="宋体"/>
          <w:sz w:val="24"/>
        </w:rPr>
        <w:t>1. 评审方法为综合评分法，即磋商响应文件能够最大限度地满足磋商文件规定的各项综合评价标准且经评审得分最高的供应商为成交候选人的评标方法。</w:t>
      </w:r>
    </w:p>
    <w:p w14:paraId="32AE4413">
      <w:pPr>
        <w:spacing w:line="360" w:lineRule="auto"/>
        <w:ind w:firstLine="560"/>
        <w:rPr>
          <w:rFonts w:ascii="宋体" w:hAnsi="宋体" w:cs="宋体"/>
          <w:sz w:val="24"/>
        </w:rPr>
      </w:pPr>
      <w:r>
        <w:rPr>
          <w:rFonts w:hint="eastAsia" w:ascii="宋体" w:hAnsi="宋体" w:cs="宋体"/>
          <w:sz w:val="24"/>
        </w:rPr>
        <w:t>磋商小组将对通过资格及符合性检查的各合格磋商人根据磋商响应文件和磋商货物的性能、价格、商务等因素进行评分，总分为100分（不含清单内产品加分）。磋商人的最终得分是所有评委给其的评分（不含报价得分）的算术平均值加价格分和清单内产品加分，分数计算取至小数点后2位。</w:t>
      </w:r>
    </w:p>
    <w:p w14:paraId="2B84681F">
      <w:pPr>
        <w:spacing w:line="360" w:lineRule="auto"/>
        <w:ind w:firstLine="560"/>
        <w:rPr>
          <w:rFonts w:ascii="宋体" w:hAnsi="宋体" w:cs="宋体"/>
          <w:sz w:val="24"/>
        </w:rPr>
      </w:pPr>
      <w:r>
        <w:rPr>
          <w:rFonts w:hint="eastAsia" w:ascii="宋体" w:hAnsi="宋体" w:cs="宋体"/>
          <w:sz w:val="24"/>
        </w:rPr>
        <w:t>2. 评审因素：价格、技术、商务、财务状况、信誉、业绩、服务、对磋商文件的响应程度，以及相应的比重或者权值等。</w:t>
      </w:r>
    </w:p>
    <w:p w14:paraId="1D458FAD">
      <w:pPr>
        <w:spacing w:line="360" w:lineRule="auto"/>
        <w:ind w:firstLine="560"/>
        <w:rPr>
          <w:rFonts w:ascii="宋体" w:hAnsi="宋体" w:cs="宋体"/>
          <w:sz w:val="24"/>
        </w:rPr>
      </w:pPr>
      <w:r>
        <w:rPr>
          <w:rFonts w:hint="eastAsia" w:ascii="宋体" w:hAnsi="宋体" w:cs="宋体"/>
          <w:sz w:val="24"/>
        </w:rPr>
        <w:t>3. 价格分应当采用低价优先法计算，即满足磋商文件要求且最后报价中最低报价为评审基准价，其价格分为满分。其他响应供应商的价格分统一按照下列公式计算：</w:t>
      </w:r>
    </w:p>
    <w:p w14:paraId="485C8558">
      <w:pPr>
        <w:spacing w:line="360" w:lineRule="auto"/>
        <w:ind w:firstLine="560"/>
        <w:rPr>
          <w:rFonts w:ascii="宋体" w:hAnsi="宋体" w:cs="宋体"/>
          <w:sz w:val="24"/>
        </w:rPr>
      </w:pPr>
      <w:r>
        <w:rPr>
          <w:rFonts w:hint="eastAsia" w:ascii="宋体" w:hAnsi="宋体" w:cs="宋体"/>
          <w:sz w:val="24"/>
        </w:rPr>
        <w:t>最后报价得分=(评审基准价／最后报价)×价格分分值</w:t>
      </w:r>
    </w:p>
    <w:p w14:paraId="622B9BF9">
      <w:pPr>
        <w:spacing w:line="360" w:lineRule="auto"/>
        <w:ind w:firstLine="560"/>
        <w:rPr>
          <w:rFonts w:ascii="宋体" w:hAnsi="宋体" w:cs="宋体"/>
          <w:sz w:val="24"/>
        </w:rPr>
      </w:pPr>
      <w:r>
        <w:rPr>
          <w:rFonts w:hint="eastAsia" w:ascii="宋体" w:hAnsi="宋体" w:cs="宋体"/>
          <w:sz w:val="24"/>
        </w:rPr>
        <w:t>磋商过程中，不得去掉报价中的最高报价和最低报价。因落实政府采购政策进行价格调整的，以调整后的价格计算评审基准价和最后报价。</w:t>
      </w:r>
    </w:p>
    <w:p w14:paraId="381160D2">
      <w:pPr>
        <w:spacing w:line="360" w:lineRule="auto"/>
        <w:ind w:firstLine="560"/>
        <w:outlineLvl w:val="1"/>
        <w:rPr>
          <w:rFonts w:ascii="宋体" w:hAnsi="宋体" w:cs="宋体"/>
          <w:sz w:val="24"/>
        </w:rPr>
      </w:pPr>
      <w:r>
        <w:rPr>
          <w:rFonts w:hint="eastAsia" w:ascii="宋体" w:hAnsi="宋体" w:cs="宋体"/>
          <w:sz w:val="24"/>
        </w:rPr>
        <w:t>4. 评分表范本</w:t>
      </w:r>
    </w:p>
    <w:tbl>
      <w:tblPr>
        <w:tblStyle w:val="4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00"/>
        <w:tblLayout w:type="fixed"/>
        <w:tblCellMar>
          <w:top w:w="0" w:type="dxa"/>
          <w:left w:w="108" w:type="dxa"/>
          <w:bottom w:w="0" w:type="dxa"/>
          <w:right w:w="108" w:type="dxa"/>
        </w:tblCellMar>
      </w:tblPr>
      <w:tblGrid>
        <w:gridCol w:w="712"/>
        <w:gridCol w:w="1792"/>
        <w:gridCol w:w="717"/>
        <w:gridCol w:w="5223"/>
        <w:gridCol w:w="933"/>
      </w:tblGrid>
      <w:tr w14:paraId="085B7D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850" w:hRule="atLeast"/>
          <w:jc w:val="center"/>
        </w:trPr>
        <w:tc>
          <w:tcPr>
            <w:tcW w:w="712" w:type="dxa"/>
            <w:tcBorders>
              <w:top w:val="single" w:color="auto" w:sz="8" w:space="0"/>
              <w:left w:val="single" w:color="auto" w:sz="8" w:space="0"/>
              <w:bottom w:val="single" w:color="auto" w:sz="4" w:space="0"/>
              <w:right w:val="single" w:color="auto" w:sz="4" w:space="0"/>
            </w:tcBorders>
            <w:shd w:val="clear" w:color="auto" w:fill="auto"/>
            <w:noWrap/>
            <w:vAlign w:val="center"/>
          </w:tcPr>
          <w:p w14:paraId="705C5ACF">
            <w:pPr>
              <w:widowControl/>
              <w:spacing w:line="360" w:lineRule="auto"/>
              <w:jc w:val="center"/>
              <w:rPr>
                <w:rFonts w:ascii="宋体" w:hAnsi="宋体" w:cs="宋体"/>
                <w:b/>
                <w:bCs/>
                <w:sz w:val="21"/>
                <w:szCs w:val="21"/>
              </w:rPr>
            </w:pPr>
            <w:r>
              <w:rPr>
                <w:rFonts w:hint="eastAsia" w:ascii="宋体" w:hAnsi="宋体" w:cs="宋体"/>
                <w:b/>
                <w:bCs/>
                <w:sz w:val="21"/>
                <w:szCs w:val="21"/>
              </w:rPr>
              <w:t>序号</w:t>
            </w:r>
          </w:p>
        </w:tc>
        <w:tc>
          <w:tcPr>
            <w:tcW w:w="1792" w:type="dxa"/>
            <w:tcBorders>
              <w:top w:val="single" w:color="auto" w:sz="8" w:space="0"/>
              <w:left w:val="single" w:color="auto" w:sz="4" w:space="0"/>
              <w:bottom w:val="single" w:color="auto" w:sz="4" w:space="0"/>
              <w:right w:val="single" w:color="auto" w:sz="4" w:space="0"/>
            </w:tcBorders>
            <w:shd w:val="clear" w:color="auto" w:fill="auto"/>
            <w:noWrap/>
            <w:vAlign w:val="center"/>
          </w:tcPr>
          <w:p w14:paraId="28AF4F63">
            <w:pPr>
              <w:widowControl/>
              <w:spacing w:line="360" w:lineRule="auto"/>
              <w:jc w:val="left"/>
              <w:rPr>
                <w:rFonts w:ascii="宋体" w:hAnsi="宋体" w:cs="宋体"/>
                <w:b/>
                <w:bCs/>
                <w:sz w:val="21"/>
                <w:szCs w:val="21"/>
              </w:rPr>
            </w:pPr>
            <w:r>
              <w:rPr>
                <w:rFonts w:hint="eastAsia" w:ascii="宋体" w:hAnsi="宋体" w:cs="宋体"/>
                <w:b/>
                <w:bCs/>
                <w:sz w:val="21"/>
                <w:szCs w:val="21"/>
              </w:rPr>
              <w:t>评分因素</w:t>
            </w:r>
          </w:p>
        </w:tc>
        <w:tc>
          <w:tcPr>
            <w:tcW w:w="717" w:type="dxa"/>
            <w:tcBorders>
              <w:top w:val="single" w:color="auto" w:sz="8" w:space="0"/>
              <w:left w:val="single" w:color="auto" w:sz="4" w:space="0"/>
              <w:bottom w:val="single" w:color="auto" w:sz="4" w:space="0"/>
              <w:right w:val="single" w:color="auto" w:sz="4" w:space="0"/>
            </w:tcBorders>
            <w:shd w:val="clear" w:color="auto" w:fill="auto"/>
            <w:noWrap/>
            <w:vAlign w:val="center"/>
          </w:tcPr>
          <w:p w14:paraId="21C3CAE6">
            <w:pPr>
              <w:widowControl/>
              <w:spacing w:line="360" w:lineRule="auto"/>
              <w:jc w:val="center"/>
              <w:rPr>
                <w:rFonts w:ascii="宋体" w:hAnsi="宋体" w:cs="宋体"/>
                <w:b/>
                <w:bCs/>
                <w:sz w:val="21"/>
                <w:szCs w:val="21"/>
              </w:rPr>
            </w:pPr>
            <w:r>
              <w:rPr>
                <w:rFonts w:hint="eastAsia" w:ascii="宋体" w:hAnsi="宋体" w:cs="宋体"/>
                <w:b/>
                <w:bCs/>
                <w:sz w:val="21"/>
                <w:szCs w:val="21"/>
              </w:rPr>
              <w:t>分值</w:t>
            </w:r>
          </w:p>
        </w:tc>
        <w:tc>
          <w:tcPr>
            <w:tcW w:w="5223" w:type="dxa"/>
            <w:tcBorders>
              <w:top w:val="single" w:color="auto" w:sz="8" w:space="0"/>
              <w:left w:val="single" w:color="auto" w:sz="4" w:space="0"/>
              <w:bottom w:val="single" w:color="auto" w:sz="4" w:space="0"/>
              <w:right w:val="single" w:color="auto" w:sz="4" w:space="0"/>
            </w:tcBorders>
            <w:shd w:val="clear" w:color="auto" w:fill="auto"/>
            <w:noWrap/>
            <w:vAlign w:val="center"/>
          </w:tcPr>
          <w:p w14:paraId="15EDC70B">
            <w:pPr>
              <w:widowControl/>
              <w:spacing w:line="360" w:lineRule="auto"/>
              <w:ind w:firstLine="1205"/>
              <w:jc w:val="left"/>
              <w:rPr>
                <w:rFonts w:ascii="宋体" w:hAnsi="宋体" w:cs="宋体"/>
                <w:b/>
                <w:bCs/>
                <w:sz w:val="21"/>
                <w:szCs w:val="21"/>
              </w:rPr>
            </w:pPr>
            <w:r>
              <w:rPr>
                <w:rFonts w:hint="eastAsia" w:ascii="宋体" w:hAnsi="宋体" w:cs="宋体"/>
                <w:b/>
                <w:bCs/>
                <w:sz w:val="21"/>
                <w:szCs w:val="21"/>
              </w:rPr>
              <w:t>评分要求或标准</w:t>
            </w:r>
          </w:p>
        </w:tc>
        <w:tc>
          <w:tcPr>
            <w:tcW w:w="933" w:type="dxa"/>
            <w:tcBorders>
              <w:top w:val="single" w:color="auto" w:sz="8" w:space="0"/>
              <w:left w:val="single" w:color="auto" w:sz="4" w:space="0"/>
              <w:bottom w:val="single" w:color="auto" w:sz="4" w:space="0"/>
              <w:right w:val="single" w:color="auto" w:sz="8" w:space="0"/>
            </w:tcBorders>
            <w:shd w:val="clear" w:color="auto" w:fill="auto"/>
            <w:noWrap/>
            <w:vAlign w:val="center"/>
          </w:tcPr>
          <w:p w14:paraId="32F2EBE4">
            <w:pPr>
              <w:widowControl/>
              <w:spacing w:line="360" w:lineRule="auto"/>
              <w:jc w:val="left"/>
              <w:rPr>
                <w:rFonts w:ascii="宋体" w:hAnsi="宋体" w:cs="宋体"/>
                <w:b/>
                <w:bCs/>
                <w:sz w:val="21"/>
                <w:szCs w:val="21"/>
              </w:rPr>
            </w:pPr>
            <w:r>
              <w:rPr>
                <w:rFonts w:hint="eastAsia" w:ascii="宋体" w:hAnsi="宋体" w:cs="宋体"/>
                <w:b/>
                <w:bCs/>
                <w:sz w:val="21"/>
                <w:szCs w:val="21"/>
              </w:rPr>
              <w:t>得分</w:t>
            </w:r>
          </w:p>
        </w:tc>
      </w:tr>
      <w:tr w14:paraId="14A708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850" w:hRule="atLeast"/>
          <w:jc w:val="center"/>
        </w:trPr>
        <w:tc>
          <w:tcPr>
            <w:tcW w:w="712" w:type="dxa"/>
            <w:tcBorders>
              <w:top w:val="single" w:color="auto" w:sz="4" w:space="0"/>
              <w:left w:val="single" w:color="auto" w:sz="8" w:space="0"/>
              <w:bottom w:val="single" w:color="auto" w:sz="4" w:space="0"/>
              <w:right w:val="single" w:color="auto" w:sz="4" w:space="0"/>
            </w:tcBorders>
            <w:shd w:val="clear" w:color="auto" w:fill="auto"/>
            <w:noWrap/>
            <w:vAlign w:val="center"/>
          </w:tcPr>
          <w:p w14:paraId="58624BF1">
            <w:pPr>
              <w:widowControl/>
              <w:spacing w:line="360" w:lineRule="auto"/>
              <w:jc w:val="center"/>
              <w:rPr>
                <w:rFonts w:ascii="宋体" w:hAnsi="宋体" w:cs="宋体"/>
                <w:sz w:val="21"/>
                <w:szCs w:val="21"/>
              </w:rPr>
            </w:pPr>
            <w:r>
              <w:rPr>
                <w:rFonts w:hint="eastAsia" w:ascii="宋体" w:hAnsi="宋体" w:cs="宋体"/>
                <w:sz w:val="21"/>
                <w:szCs w:val="21"/>
              </w:rPr>
              <w:t>一</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508B1">
            <w:pPr>
              <w:widowControl/>
              <w:spacing w:line="360" w:lineRule="auto"/>
              <w:jc w:val="left"/>
              <w:rPr>
                <w:rFonts w:ascii="宋体" w:hAnsi="宋体" w:cs="宋体"/>
                <w:sz w:val="21"/>
                <w:szCs w:val="21"/>
              </w:rPr>
            </w:pPr>
            <w:r>
              <w:rPr>
                <w:rFonts w:hint="eastAsia" w:ascii="宋体" w:hAnsi="宋体" w:cs="宋体"/>
                <w:sz w:val="21"/>
                <w:szCs w:val="21"/>
              </w:rPr>
              <w:t>商务技术部分</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32CA1">
            <w:pPr>
              <w:widowControl/>
              <w:spacing w:line="360" w:lineRule="auto"/>
              <w:jc w:val="center"/>
              <w:rPr>
                <w:rFonts w:ascii="宋体" w:hAnsi="宋体" w:cs="宋体"/>
                <w:sz w:val="21"/>
                <w:szCs w:val="21"/>
              </w:rPr>
            </w:pPr>
            <w:r>
              <w:rPr>
                <w:rFonts w:hint="eastAsia" w:ascii="宋体" w:hAnsi="宋体" w:cs="宋体"/>
                <w:sz w:val="21"/>
                <w:szCs w:val="21"/>
              </w:rPr>
              <w:t>70</w:t>
            </w:r>
          </w:p>
        </w:tc>
        <w:tc>
          <w:tcPr>
            <w:tcW w:w="52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29707">
            <w:pPr>
              <w:widowControl/>
              <w:spacing w:line="360" w:lineRule="auto"/>
              <w:jc w:val="left"/>
              <w:rPr>
                <w:rFonts w:ascii="宋体" w:hAnsi="宋体" w:cs="宋体"/>
                <w:sz w:val="21"/>
                <w:szCs w:val="21"/>
              </w:rPr>
            </w:pPr>
          </w:p>
        </w:tc>
        <w:tc>
          <w:tcPr>
            <w:tcW w:w="933" w:type="dxa"/>
            <w:tcBorders>
              <w:top w:val="single" w:color="auto" w:sz="4" w:space="0"/>
              <w:left w:val="single" w:color="auto" w:sz="4" w:space="0"/>
              <w:bottom w:val="single" w:color="auto" w:sz="4" w:space="0"/>
              <w:right w:val="single" w:color="auto" w:sz="8" w:space="0"/>
            </w:tcBorders>
            <w:shd w:val="clear" w:color="auto" w:fill="auto"/>
            <w:noWrap/>
          </w:tcPr>
          <w:p w14:paraId="6B04A4C6">
            <w:pPr>
              <w:widowControl/>
              <w:spacing w:line="360" w:lineRule="auto"/>
              <w:jc w:val="left"/>
              <w:rPr>
                <w:rFonts w:ascii="宋体" w:hAnsi="宋体" w:cs="宋体"/>
                <w:sz w:val="21"/>
                <w:szCs w:val="21"/>
              </w:rPr>
            </w:pPr>
          </w:p>
        </w:tc>
      </w:tr>
      <w:tr w14:paraId="011D8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tcBorders>
              <w:top w:val="single" w:color="auto" w:sz="4" w:space="0"/>
              <w:left w:val="single" w:color="auto" w:sz="8" w:space="0"/>
              <w:bottom w:val="single" w:color="auto" w:sz="4" w:space="0"/>
              <w:right w:val="single" w:color="auto" w:sz="4" w:space="0"/>
            </w:tcBorders>
            <w:shd w:val="clear" w:color="auto" w:fill="auto"/>
            <w:noWrap/>
            <w:vAlign w:val="center"/>
          </w:tcPr>
          <w:p w14:paraId="52355850">
            <w:pPr>
              <w:widowControl/>
              <w:spacing w:line="360" w:lineRule="auto"/>
              <w:jc w:val="center"/>
              <w:rPr>
                <w:rFonts w:ascii="宋体" w:hAnsi="宋体" w:cs="宋体"/>
                <w:sz w:val="21"/>
                <w:szCs w:val="21"/>
              </w:rPr>
            </w:pPr>
            <w:r>
              <w:rPr>
                <w:rFonts w:hint="eastAsia" w:ascii="宋体" w:hAnsi="宋体" w:cs="宋体"/>
                <w:sz w:val="21"/>
                <w:szCs w:val="21"/>
              </w:rPr>
              <w:t>1</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63F8B">
            <w:pPr>
              <w:widowControl/>
              <w:spacing w:line="360" w:lineRule="auto"/>
              <w:jc w:val="left"/>
              <w:rPr>
                <w:rFonts w:ascii="宋体" w:hAnsi="宋体" w:cs="宋体"/>
                <w:sz w:val="21"/>
                <w:szCs w:val="21"/>
              </w:rPr>
            </w:pPr>
            <w:r>
              <w:rPr>
                <w:rFonts w:hint="eastAsia" w:ascii="宋体" w:hAnsi="宋体" w:cs="宋体"/>
                <w:sz w:val="21"/>
                <w:szCs w:val="21"/>
              </w:rPr>
              <w:t>维修服务方案</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705AB">
            <w:pPr>
              <w:widowControl/>
              <w:spacing w:line="360" w:lineRule="auto"/>
              <w:jc w:val="center"/>
              <w:rPr>
                <w:rFonts w:ascii="宋体" w:hAnsi="宋体" w:cs="宋体"/>
                <w:sz w:val="21"/>
                <w:szCs w:val="21"/>
              </w:rPr>
            </w:pPr>
            <w:r>
              <w:rPr>
                <w:rFonts w:hint="eastAsia" w:ascii="宋体" w:hAnsi="宋体" w:cs="宋体"/>
                <w:sz w:val="21"/>
                <w:szCs w:val="21"/>
              </w:rPr>
              <w:t>35</w:t>
            </w:r>
          </w:p>
        </w:tc>
        <w:tc>
          <w:tcPr>
            <w:tcW w:w="52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2BA34">
            <w:pPr>
              <w:widowControl/>
              <w:spacing w:line="360" w:lineRule="auto"/>
              <w:jc w:val="left"/>
              <w:rPr>
                <w:rFonts w:ascii="宋体" w:hAnsi="宋体" w:cs="宋体"/>
                <w:sz w:val="21"/>
                <w:szCs w:val="21"/>
              </w:rPr>
            </w:pPr>
            <w:r>
              <w:rPr>
                <w:rFonts w:hint="eastAsia" w:ascii="宋体" w:hAnsi="宋体" w:cs="宋体"/>
                <w:sz w:val="21"/>
                <w:szCs w:val="21"/>
              </w:rPr>
              <w:t>1.总体维修施工组织布置及规划；</w:t>
            </w:r>
          </w:p>
          <w:p w14:paraId="006FC7E4">
            <w:pPr>
              <w:widowControl/>
              <w:spacing w:line="360" w:lineRule="auto"/>
              <w:jc w:val="left"/>
              <w:rPr>
                <w:rFonts w:ascii="宋体" w:hAnsi="宋体" w:cs="宋体"/>
                <w:sz w:val="21"/>
                <w:szCs w:val="21"/>
              </w:rPr>
            </w:pPr>
            <w:r>
              <w:rPr>
                <w:rFonts w:hint="eastAsia" w:ascii="宋体" w:hAnsi="宋体" w:cs="宋体"/>
                <w:sz w:val="21"/>
                <w:szCs w:val="21"/>
              </w:rPr>
              <w:t>2.主要维修项目的施工方案、方法与技术措施；</w:t>
            </w:r>
          </w:p>
          <w:p w14:paraId="654C6C50">
            <w:pPr>
              <w:widowControl/>
              <w:spacing w:line="360" w:lineRule="auto"/>
              <w:jc w:val="left"/>
              <w:rPr>
                <w:rFonts w:ascii="宋体" w:hAnsi="宋体" w:cs="宋体"/>
                <w:sz w:val="21"/>
                <w:szCs w:val="21"/>
              </w:rPr>
            </w:pPr>
            <w:r>
              <w:rPr>
                <w:rFonts w:hint="eastAsia" w:ascii="宋体" w:hAnsi="宋体" w:cs="宋体"/>
                <w:sz w:val="21"/>
                <w:szCs w:val="21"/>
              </w:rPr>
              <w:t>3.维修速度保证体系及保证措施；</w:t>
            </w:r>
          </w:p>
          <w:p w14:paraId="1D89EAA9">
            <w:pPr>
              <w:widowControl/>
              <w:spacing w:line="360" w:lineRule="auto"/>
              <w:jc w:val="left"/>
              <w:rPr>
                <w:rFonts w:ascii="宋体" w:hAnsi="宋体" w:cs="宋体"/>
                <w:sz w:val="21"/>
                <w:szCs w:val="21"/>
              </w:rPr>
            </w:pPr>
            <w:r>
              <w:rPr>
                <w:rFonts w:hint="eastAsia" w:ascii="宋体" w:hAnsi="宋体" w:cs="宋体"/>
                <w:sz w:val="21"/>
                <w:szCs w:val="21"/>
              </w:rPr>
              <w:t>4.质量管理体系及保证措施；</w:t>
            </w:r>
          </w:p>
          <w:p w14:paraId="07CBB98F">
            <w:pPr>
              <w:widowControl/>
              <w:spacing w:line="360" w:lineRule="auto"/>
              <w:jc w:val="left"/>
              <w:rPr>
                <w:rFonts w:ascii="宋体" w:hAnsi="宋体" w:cs="宋体"/>
                <w:sz w:val="21"/>
                <w:szCs w:val="21"/>
              </w:rPr>
            </w:pPr>
            <w:r>
              <w:rPr>
                <w:rFonts w:hint="eastAsia" w:ascii="宋体" w:hAnsi="宋体" w:cs="宋体"/>
                <w:sz w:val="21"/>
                <w:szCs w:val="21"/>
              </w:rPr>
              <w:t>5.安全生产管理体系及保证措施；</w:t>
            </w:r>
          </w:p>
          <w:p w14:paraId="7277B763">
            <w:pPr>
              <w:widowControl/>
              <w:spacing w:line="360" w:lineRule="auto"/>
              <w:jc w:val="left"/>
              <w:rPr>
                <w:rFonts w:ascii="宋体" w:hAnsi="宋体" w:cs="宋体"/>
                <w:sz w:val="21"/>
                <w:szCs w:val="21"/>
              </w:rPr>
            </w:pPr>
            <w:r>
              <w:rPr>
                <w:rFonts w:hint="eastAsia" w:ascii="宋体" w:hAnsi="宋体" w:cs="宋体"/>
                <w:sz w:val="21"/>
                <w:szCs w:val="21"/>
              </w:rPr>
              <w:t>6.环境保护、水土保持保证体系及保证措施；</w:t>
            </w:r>
          </w:p>
          <w:p w14:paraId="22E2C8E0">
            <w:pPr>
              <w:widowControl/>
              <w:spacing w:line="360" w:lineRule="auto"/>
              <w:jc w:val="left"/>
              <w:rPr>
                <w:rFonts w:ascii="宋体" w:hAnsi="宋体" w:cs="宋体"/>
                <w:sz w:val="21"/>
                <w:szCs w:val="21"/>
              </w:rPr>
            </w:pPr>
            <w:r>
              <w:rPr>
                <w:rFonts w:hint="eastAsia" w:ascii="宋体" w:hAnsi="宋体" w:cs="宋体"/>
                <w:sz w:val="21"/>
                <w:szCs w:val="21"/>
              </w:rPr>
              <w:t>7.文明维修施工方案；</w:t>
            </w:r>
          </w:p>
          <w:p w14:paraId="5C80B7EF">
            <w:pPr>
              <w:widowControl/>
              <w:spacing w:line="360" w:lineRule="auto"/>
              <w:jc w:val="left"/>
              <w:rPr>
                <w:rFonts w:ascii="宋体" w:hAnsi="宋体" w:cs="宋体"/>
                <w:sz w:val="21"/>
                <w:szCs w:val="21"/>
              </w:rPr>
            </w:pPr>
            <w:r>
              <w:rPr>
                <w:rFonts w:hint="eastAsia" w:ascii="宋体" w:hAnsi="宋体" w:cs="宋体"/>
                <w:sz w:val="21"/>
                <w:szCs w:val="21"/>
              </w:rPr>
              <w:t>8.项目风险预测与防范；</w:t>
            </w:r>
          </w:p>
          <w:p w14:paraId="1B5A690A">
            <w:pPr>
              <w:widowControl/>
              <w:spacing w:line="360" w:lineRule="auto"/>
              <w:jc w:val="left"/>
              <w:rPr>
                <w:rFonts w:ascii="宋体" w:hAnsi="宋体" w:cs="宋体"/>
                <w:sz w:val="21"/>
                <w:szCs w:val="21"/>
              </w:rPr>
            </w:pPr>
            <w:r>
              <w:rPr>
                <w:rFonts w:hint="eastAsia" w:ascii="宋体" w:hAnsi="宋体" w:cs="宋体"/>
                <w:sz w:val="21"/>
                <w:szCs w:val="21"/>
              </w:rPr>
              <w:t>9.事故应急预案；</w:t>
            </w:r>
          </w:p>
          <w:p w14:paraId="713BD848">
            <w:pPr>
              <w:widowControl/>
              <w:spacing w:line="360" w:lineRule="auto"/>
              <w:jc w:val="left"/>
              <w:rPr>
                <w:rFonts w:ascii="宋体" w:hAnsi="宋体" w:cs="宋体"/>
                <w:sz w:val="21"/>
                <w:szCs w:val="21"/>
              </w:rPr>
            </w:pPr>
            <w:r>
              <w:rPr>
                <w:rFonts w:hint="eastAsia" w:ascii="宋体" w:hAnsi="宋体" w:cs="宋体"/>
                <w:sz w:val="21"/>
                <w:szCs w:val="21"/>
              </w:rPr>
              <w:t>10.后续服务方案</w:t>
            </w:r>
          </w:p>
          <w:p w14:paraId="52EC526F">
            <w:pPr>
              <w:widowControl/>
              <w:spacing w:line="360" w:lineRule="auto"/>
              <w:jc w:val="left"/>
              <w:rPr>
                <w:rFonts w:ascii="宋体" w:hAnsi="宋体" w:cs="宋体"/>
                <w:b/>
                <w:bCs/>
                <w:sz w:val="21"/>
                <w:szCs w:val="21"/>
              </w:rPr>
            </w:pPr>
            <w:r>
              <w:rPr>
                <w:rFonts w:hint="eastAsia" w:ascii="宋体" w:hAnsi="宋体" w:cs="宋体"/>
                <w:b/>
                <w:bCs/>
                <w:sz w:val="21"/>
                <w:szCs w:val="21"/>
              </w:rPr>
              <w:t>上述10方面内容中每缺少一项内容扣3.5分，每有一处需求分析内容存在缺陷或不足的扣1.5分，扣完为止。(本项最多得35分)</w:t>
            </w:r>
          </w:p>
          <w:p w14:paraId="173D68B3">
            <w:pPr>
              <w:widowControl/>
              <w:spacing w:line="360" w:lineRule="auto"/>
              <w:jc w:val="left"/>
              <w:rPr>
                <w:rFonts w:ascii="宋体" w:hAnsi="宋体" w:cs="宋体"/>
                <w:b/>
                <w:bCs/>
                <w:sz w:val="21"/>
                <w:szCs w:val="21"/>
              </w:rPr>
            </w:pPr>
            <w:r>
              <w:rPr>
                <w:rFonts w:hint="eastAsia" w:ascii="宋体" w:hAnsi="宋体" w:cs="宋体"/>
                <w:b/>
                <w:bCs/>
                <w:sz w:val="21"/>
                <w:szCs w:val="21"/>
              </w:rPr>
              <w:t>注：实施方案内容存在缺陷或不足是指以下任意一种情形：</w:t>
            </w:r>
          </w:p>
          <w:p w14:paraId="2B15FBE6">
            <w:pPr>
              <w:widowControl/>
              <w:spacing w:line="360" w:lineRule="auto"/>
              <w:jc w:val="left"/>
              <w:rPr>
                <w:rFonts w:ascii="宋体" w:hAnsi="宋体" w:cs="宋体"/>
                <w:sz w:val="21"/>
                <w:szCs w:val="21"/>
              </w:rPr>
            </w:pPr>
            <w:r>
              <w:rPr>
                <w:rFonts w:hint="eastAsia" w:ascii="宋体" w:hAnsi="宋体" w:cs="宋体"/>
                <w:b/>
                <w:bCs/>
                <w:sz w:val="21"/>
                <w:szCs w:val="21"/>
              </w:rPr>
              <w:t>方案内容不切合行业实际、不符合国家法规政策；或方案内容生搬硬造，与实际情况不符，存在偏差；或方案内容过于简略；或存在与项目无关的文字内容；或内容不适用项目实际情况；或内容逻辑漏洞或原理错误。</w:t>
            </w:r>
          </w:p>
        </w:tc>
        <w:tc>
          <w:tcPr>
            <w:tcW w:w="933" w:type="dxa"/>
            <w:tcBorders>
              <w:top w:val="single" w:color="auto" w:sz="4" w:space="0"/>
              <w:left w:val="single" w:color="auto" w:sz="4" w:space="0"/>
              <w:bottom w:val="single" w:color="auto" w:sz="4" w:space="0"/>
              <w:right w:val="single" w:color="auto" w:sz="8" w:space="0"/>
            </w:tcBorders>
            <w:shd w:val="clear" w:color="auto" w:fill="auto"/>
            <w:noWrap/>
          </w:tcPr>
          <w:p w14:paraId="557B4247">
            <w:pPr>
              <w:widowControl/>
              <w:spacing w:line="360" w:lineRule="auto"/>
              <w:jc w:val="left"/>
              <w:rPr>
                <w:rFonts w:ascii="宋体" w:hAnsi="宋体" w:cs="宋体"/>
                <w:sz w:val="21"/>
                <w:szCs w:val="21"/>
              </w:rPr>
            </w:pPr>
          </w:p>
        </w:tc>
      </w:tr>
      <w:tr w14:paraId="37A167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tcBorders>
              <w:top w:val="single" w:color="auto" w:sz="4" w:space="0"/>
              <w:left w:val="single" w:color="auto" w:sz="8" w:space="0"/>
              <w:bottom w:val="single" w:color="auto" w:sz="4" w:space="0"/>
              <w:right w:val="single" w:color="auto" w:sz="4" w:space="0"/>
            </w:tcBorders>
            <w:shd w:val="clear" w:color="auto" w:fill="auto"/>
            <w:noWrap/>
            <w:vAlign w:val="center"/>
          </w:tcPr>
          <w:p w14:paraId="66C4347C">
            <w:pPr>
              <w:spacing w:line="360" w:lineRule="auto"/>
              <w:jc w:val="center"/>
              <w:rPr>
                <w:rFonts w:ascii="宋体" w:hAnsi="宋体" w:cs="宋体"/>
                <w:sz w:val="21"/>
                <w:szCs w:val="21"/>
                <w:highlight w:val="none"/>
              </w:rPr>
            </w:pPr>
            <w:r>
              <w:rPr>
                <w:rFonts w:hint="eastAsia" w:ascii="宋体" w:hAnsi="宋体" w:cs="宋体"/>
                <w:sz w:val="21"/>
                <w:szCs w:val="21"/>
                <w:highlight w:val="none"/>
              </w:rPr>
              <w:t>2</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469D2">
            <w:pPr>
              <w:spacing w:line="360" w:lineRule="auto"/>
              <w:jc w:val="center"/>
              <w:rPr>
                <w:rFonts w:ascii="宋体" w:hAnsi="宋体" w:cs="宋体"/>
                <w:sz w:val="21"/>
                <w:szCs w:val="21"/>
                <w:highlight w:val="none"/>
              </w:rPr>
            </w:pPr>
            <w:r>
              <w:rPr>
                <w:rFonts w:hint="eastAsia" w:ascii="宋体" w:hAnsi="宋体" w:cs="宋体"/>
                <w:sz w:val="21"/>
                <w:szCs w:val="21"/>
                <w:highlight w:val="none"/>
              </w:rPr>
              <w:t>业绩</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2E03E">
            <w:pPr>
              <w:spacing w:line="360" w:lineRule="auto"/>
              <w:jc w:val="center"/>
              <w:rPr>
                <w:rFonts w:ascii="宋体" w:hAnsi="宋体" w:cs="宋体"/>
                <w:sz w:val="21"/>
                <w:szCs w:val="21"/>
                <w:highlight w:val="none"/>
              </w:rPr>
            </w:pPr>
            <w:r>
              <w:rPr>
                <w:rFonts w:hint="eastAsia" w:ascii="宋体" w:hAnsi="宋体" w:cs="宋体"/>
                <w:sz w:val="21"/>
                <w:szCs w:val="21"/>
                <w:highlight w:val="none"/>
              </w:rPr>
              <w:t>9</w:t>
            </w:r>
          </w:p>
        </w:tc>
        <w:tc>
          <w:tcPr>
            <w:tcW w:w="52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B9C54">
            <w:pPr>
              <w:spacing w:line="360" w:lineRule="auto"/>
              <w:ind w:firstLine="420" w:firstLineChars="200"/>
              <w:rPr>
                <w:rFonts w:ascii="宋体" w:hAnsi="宋体" w:cs="宋体"/>
                <w:sz w:val="21"/>
                <w:szCs w:val="21"/>
                <w:highlight w:val="none"/>
              </w:rPr>
            </w:pPr>
            <w:r>
              <w:rPr>
                <w:rFonts w:hint="eastAsia" w:ascii="宋体" w:hAnsi="宋体" w:cs="宋体"/>
                <w:sz w:val="21"/>
                <w:szCs w:val="21"/>
                <w:highlight w:val="none"/>
              </w:rPr>
              <w:t>响应供应商自2023年1月1日以来承接过类似市政工程的施工（含改扩建、维修等）业绩，有一个得3分，最高得9分。</w:t>
            </w:r>
          </w:p>
          <w:p w14:paraId="0D768A94">
            <w:pPr>
              <w:spacing w:line="360" w:lineRule="auto"/>
              <w:ind w:firstLine="420" w:firstLineChars="200"/>
              <w:rPr>
                <w:rFonts w:ascii="宋体" w:hAnsi="宋体" w:cs="宋体"/>
                <w:sz w:val="21"/>
                <w:szCs w:val="21"/>
                <w:highlight w:val="none"/>
              </w:rPr>
            </w:pPr>
            <w:r>
              <w:rPr>
                <w:rFonts w:hint="eastAsia" w:ascii="宋体" w:hAnsi="宋体" w:cs="宋体"/>
                <w:sz w:val="21"/>
                <w:szCs w:val="21"/>
                <w:highlight w:val="none"/>
              </w:rPr>
              <w:t>须提供合同、</w:t>
            </w:r>
            <w:bookmarkStart w:id="39" w:name="_GoBack"/>
            <w:bookmarkEnd w:id="39"/>
            <w:r>
              <w:rPr>
                <w:rFonts w:hint="eastAsia" w:ascii="宋体" w:hAnsi="宋体" w:cs="宋体"/>
                <w:sz w:val="21"/>
                <w:szCs w:val="21"/>
                <w:highlight w:val="none"/>
              </w:rPr>
              <w:t>竣工验收单和不少于60%结算发票扫描件,并加盖响应供应商电子签章。项目时间以合同签订时间为准，项目内容以合同为准，资料不全不予认可。</w:t>
            </w:r>
          </w:p>
        </w:tc>
        <w:tc>
          <w:tcPr>
            <w:tcW w:w="933" w:type="dxa"/>
            <w:tcBorders>
              <w:top w:val="single" w:color="auto" w:sz="4" w:space="0"/>
              <w:left w:val="single" w:color="auto" w:sz="4" w:space="0"/>
              <w:bottom w:val="single" w:color="auto" w:sz="4" w:space="0"/>
              <w:right w:val="single" w:color="auto" w:sz="8" w:space="0"/>
            </w:tcBorders>
            <w:shd w:val="clear" w:color="auto" w:fill="auto"/>
            <w:noWrap/>
          </w:tcPr>
          <w:p w14:paraId="60E328CC">
            <w:pPr>
              <w:widowControl/>
              <w:spacing w:line="360" w:lineRule="auto"/>
              <w:jc w:val="left"/>
              <w:rPr>
                <w:rFonts w:ascii="宋体" w:hAnsi="宋体" w:cs="宋体"/>
                <w:sz w:val="21"/>
                <w:szCs w:val="21"/>
                <w:highlight w:val="none"/>
              </w:rPr>
            </w:pPr>
          </w:p>
        </w:tc>
      </w:tr>
      <w:tr w14:paraId="2A3846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850" w:hRule="atLeast"/>
          <w:jc w:val="center"/>
        </w:trPr>
        <w:tc>
          <w:tcPr>
            <w:tcW w:w="712" w:type="dxa"/>
            <w:tcBorders>
              <w:top w:val="single" w:color="auto" w:sz="4" w:space="0"/>
              <w:left w:val="single" w:color="auto" w:sz="8" w:space="0"/>
              <w:bottom w:val="single" w:color="auto" w:sz="4" w:space="0"/>
              <w:right w:val="single" w:color="auto" w:sz="4" w:space="0"/>
            </w:tcBorders>
            <w:shd w:val="clear" w:color="auto" w:fill="auto"/>
            <w:noWrap/>
            <w:vAlign w:val="center"/>
          </w:tcPr>
          <w:p w14:paraId="064D7529">
            <w:pPr>
              <w:spacing w:line="360" w:lineRule="auto"/>
              <w:jc w:val="center"/>
              <w:rPr>
                <w:rFonts w:ascii="宋体" w:hAnsi="宋体" w:cs="宋体"/>
                <w:sz w:val="21"/>
                <w:szCs w:val="21"/>
              </w:rPr>
            </w:pPr>
            <w:r>
              <w:rPr>
                <w:rFonts w:hint="eastAsia" w:ascii="宋体" w:hAnsi="宋体" w:cs="宋体"/>
                <w:sz w:val="21"/>
                <w:szCs w:val="21"/>
              </w:rPr>
              <w:t>3</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005ED">
            <w:pPr>
              <w:spacing w:line="360" w:lineRule="auto"/>
              <w:jc w:val="center"/>
              <w:rPr>
                <w:rFonts w:ascii="宋体" w:hAnsi="宋体" w:cs="宋体"/>
                <w:sz w:val="21"/>
                <w:szCs w:val="21"/>
              </w:rPr>
            </w:pPr>
            <w:r>
              <w:rPr>
                <w:rFonts w:hint="eastAsia" w:ascii="宋体" w:hAnsi="宋体" w:cs="宋体"/>
                <w:sz w:val="21"/>
                <w:szCs w:val="21"/>
              </w:rPr>
              <w:t>人员配备</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5DFDD">
            <w:pPr>
              <w:pStyle w:val="31"/>
              <w:spacing w:line="360" w:lineRule="auto"/>
              <w:jc w:val="center"/>
              <w:rPr>
                <w:rFonts w:ascii="宋体" w:hAnsi="宋体" w:cs="宋体"/>
                <w:sz w:val="21"/>
                <w:szCs w:val="21"/>
              </w:rPr>
            </w:pPr>
            <w:r>
              <w:rPr>
                <w:rFonts w:hint="eastAsia" w:ascii="宋体" w:hAnsi="宋体" w:cs="宋体"/>
                <w:sz w:val="21"/>
                <w:szCs w:val="21"/>
              </w:rPr>
              <w:t>14</w:t>
            </w:r>
          </w:p>
        </w:tc>
        <w:tc>
          <w:tcPr>
            <w:tcW w:w="52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D097C">
            <w:pPr>
              <w:spacing w:line="360" w:lineRule="auto"/>
              <w:jc w:val="left"/>
              <w:rPr>
                <w:rFonts w:ascii="宋体" w:hAnsi="宋体" w:cs="宋体"/>
                <w:sz w:val="21"/>
                <w:szCs w:val="21"/>
              </w:rPr>
            </w:pPr>
            <w:r>
              <w:rPr>
                <w:rFonts w:hint="eastAsia" w:ascii="宋体" w:hAnsi="宋体" w:cs="宋体"/>
                <w:sz w:val="21"/>
                <w:szCs w:val="21"/>
              </w:rPr>
              <w:t>拟派项目组成员具备：</w:t>
            </w:r>
          </w:p>
          <w:p w14:paraId="2D73A5B9">
            <w:pPr>
              <w:spacing w:line="360" w:lineRule="auto"/>
              <w:ind w:firstLine="420" w:firstLineChars="200"/>
              <w:rPr>
                <w:rFonts w:ascii="宋体" w:hAnsi="宋体" w:cs="宋体"/>
                <w:b/>
                <w:bCs/>
                <w:sz w:val="21"/>
                <w:szCs w:val="21"/>
              </w:rPr>
            </w:pPr>
            <w:r>
              <w:rPr>
                <w:rFonts w:hint="eastAsia" w:ascii="宋体" w:hAnsi="宋体" w:cs="宋体"/>
                <w:sz w:val="21"/>
                <w:szCs w:val="21"/>
              </w:rPr>
              <w:t>1.拟投入本项目项目负责人具有建设行业中级及以上职称的得3分。</w:t>
            </w:r>
            <w:r>
              <w:rPr>
                <w:rFonts w:hint="eastAsia" w:ascii="宋体" w:hAnsi="宋体" w:cs="宋体"/>
                <w:b/>
                <w:bCs/>
                <w:sz w:val="21"/>
                <w:szCs w:val="21"/>
              </w:rPr>
              <w:t>响应文件中须提供相应职称证书扫描件，未提供不得分。</w:t>
            </w:r>
          </w:p>
          <w:p w14:paraId="3DAE4B18">
            <w:pPr>
              <w:spacing w:line="360" w:lineRule="auto"/>
              <w:ind w:firstLine="420" w:firstLineChars="200"/>
              <w:rPr>
                <w:rFonts w:ascii="宋体" w:hAnsi="宋体" w:cs="宋体"/>
                <w:b/>
                <w:bCs/>
                <w:sz w:val="21"/>
                <w:szCs w:val="21"/>
              </w:rPr>
            </w:pPr>
            <w:r>
              <w:rPr>
                <w:rFonts w:hint="eastAsia" w:ascii="宋体" w:hAnsi="宋体" w:cs="宋体"/>
                <w:sz w:val="21"/>
                <w:szCs w:val="21"/>
              </w:rPr>
              <w:t>2.拟投入本项目技术负责人具有建设行业中级及以上职称的得3分，技术负责人同时具备二级造价师的得3分，本项最高得6分。</w:t>
            </w:r>
            <w:r>
              <w:rPr>
                <w:rFonts w:hint="eastAsia" w:ascii="宋体" w:hAnsi="宋体" w:cs="宋体"/>
                <w:b/>
                <w:bCs/>
                <w:sz w:val="21"/>
                <w:szCs w:val="21"/>
              </w:rPr>
              <w:t>响应文件中须提供相应证书扫描件，未提供不得分。</w:t>
            </w:r>
          </w:p>
          <w:p w14:paraId="32D0D012">
            <w:pPr>
              <w:spacing w:line="360" w:lineRule="auto"/>
              <w:ind w:firstLine="420" w:firstLineChars="200"/>
              <w:rPr>
                <w:rFonts w:ascii="宋体" w:hAnsi="宋体" w:cs="宋体"/>
                <w:sz w:val="21"/>
                <w:szCs w:val="21"/>
              </w:rPr>
            </w:pPr>
            <w:r>
              <w:rPr>
                <w:rFonts w:hint="eastAsia" w:ascii="宋体" w:hAnsi="宋体" w:cs="宋体"/>
                <w:sz w:val="21"/>
                <w:szCs w:val="21"/>
              </w:rPr>
              <w:t>3.拟投入本项目安全员、施工员、资料员、质检员、材料员，每具备一项得1分，最高得5分。同一个人不得兼任。响应文件中提供有效期内的证书扫描件，未提供不得分。</w:t>
            </w:r>
          </w:p>
          <w:p w14:paraId="555A18A8">
            <w:pPr>
              <w:spacing w:line="360" w:lineRule="auto"/>
              <w:jc w:val="left"/>
              <w:rPr>
                <w:rFonts w:ascii="宋体" w:hAnsi="宋体" w:cs="宋体"/>
                <w:sz w:val="21"/>
                <w:szCs w:val="21"/>
              </w:rPr>
            </w:pPr>
            <w:r>
              <w:rPr>
                <w:rFonts w:hint="eastAsia" w:ascii="宋体" w:hAnsi="宋体" w:cs="宋体"/>
                <w:sz w:val="21"/>
                <w:szCs w:val="21"/>
              </w:rPr>
              <w:t>注：上述人员须同时提供响应文件提交截止日前近三个月内任一个月响应供应商为其缴纳社保的证明；新成立企业距响应文件提交截止日期不足30日的，可不提供缴纳社保的证明（以新办企业营业执照发放日期为准）。未提供、提供不全或提供不清晰的不得分。</w:t>
            </w:r>
          </w:p>
        </w:tc>
        <w:tc>
          <w:tcPr>
            <w:tcW w:w="933" w:type="dxa"/>
            <w:tcBorders>
              <w:top w:val="single" w:color="auto" w:sz="4" w:space="0"/>
              <w:left w:val="single" w:color="auto" w:sz="4" w:space="0"/>
              <w:bottom w:val="single" w:color="auto" w:sz="4" w:space="0"/>
              <w:right w:val="single" w:color="auto" w:sz="8" w:space="0"/>
            </w:tcBorders>
            <w:shd w:val="clear" w:color="auto" w:fill="auto"/>
            <w:noWrap/>
          </w:tcPr>
          <w:p w14:paraId="54861A00">
            <w:pPr>
              <w:widowControl/>
              <w:spacing w:line="360" w:lineRule="auto"/>
              <w:jc w:val="left"/>
              <w:rPr>
                <w:rFonts w:ascii="宋体" w:hAnsi="宋体" w:cs="宋体"/>
                <w:sz w:val="21"/>
                <w:szCs w:val="21"/>
              </w:rPr>
            </w:pPr>
          </w:p>
        </w:tc>
      </w:tr>
      <w:tr w14:paraId="31156E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850" w:hRule="atLeast"/>
          <w:jc w:val="center"/>
        </w:trPr>
        <w:tc>
          <w:tcPr>
            <w:tcW w:w="712" w:type="dxa"/>
            <w:tcBorders>
              <w:top w:val="single" w:color="auto" w:sz="4" w:space="0"/>
              <w:left w:val="single" w:color="auto" w:sz="8" w:space="0"/>
              <w:bottom w:val="single" w:color="auto" w:sz="4" w:space="0"/>
              <w:right w:val="single" w:color="auto" w:sz="4" w:space="0"/>
            </w:tcBorders>
            <w:shd w:val="clear" w:color="auto" w:fill="auto"/>
            <w:noWrap/>
            <w:vAlign w:val="center"/>
          </w:tcPr>
          <w:p w14:paraId="17468C45">
            <w:pPr>
              <w:spacing w:line="360" w:lineRule="auto"/>
              <w:jc w:val="center"/>
              <w:rPr>
                <w:rFonts w:ascii="宋体" w:hAnsi="宋体" w:cs="宋体"/>
                <w:sz w:val="21"/>
                <w:szCs w:val="21"/>
              </w:rPr>
            </w:pPr>
            <w:r>
              <w:rPr>
                <w:rFonts w:hint="eastAsia" w:ascii="宋体" w:hAnsi="宋体" w:cs="宋体"/>
                <w:sz w:val="21"/>
                <w:szCs w:val="21"/>
              </w:rPr>
              <w:t>4</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AB7D9">
            <w:pPr>
              <w:spacing w:line="360" w:lineRule="auto"/>
              <w:jc w:val="center"/>
              <w:rPr>
                <w:rFonts w:ascii="宋体" w:hAnsi="宋体" w:cs="宋体"/>
                <w:sz w:val="21"/>
                <w:szCs w:val="21"/>
              </w:rPr>
            </w:pPr>
            <w:r>
              <w:rPr>
                <w:rFonts w:hint="eastAsia" w:ascii="宋体" w:hAnsi="宋体" w:cs="宋体"/>
                <w:sz w:val="21"/>
                <w:szCs w:val="21"/>
              </w:rPr>
              <w:t>机械设备</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3CBEE">
            <w:pPr>
              <w:spacing w:line="360" w:lineRule="auto"/>
              <w:jc w:val="center"/>
              <w:rPr>
                <w:rFonts w:ascii="宋体" w:hAnsi="宋体" w:cs="宋体"/>
                <w:sz w:val="21"/>
                <w:szCs w:val="21"/>
              </w:rPr>
            </w:pPr>
            <w:r>
              <w:rPr>
                <w:rFonts w:hint="eastAsia" w:ascii="宋体" w:hAnsi="宋体" w:cs="宋体"/>
                <w:sz w:val="21"/>
                <w:szCs w:val="21"/>
              </w:rPr>
              <w:t>6</w:t>
            </w:r>
          </w:p>
        </w:tc>
        <w:tc>
          <w:tcPr>
            <w:tcW w:w="52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1709E">
            <w:pPr>
              <w:pStyle w:val="17"/>
              <w:spacing w:line="360" w:lineRule="auto"/>
              <w:ind w:left="0" w:leftChars="0" w:firstLine="210" w:firstLineChars="100"/>
              <w:jc w:val="left"/>
              <w:rPr>
                <w:rFonts w:ascii="宋体" w:hAnsi="宋体" w:cs="宋体"/>
                <w:sz w:val="21"/>
                <w:szCs w:val="21"/>
              </w:rPr>
            </w:pPr>
            <w:r>
              <w:rPr>
                <w:rFonts w:hint="eastAsia" w:ascii="宋体" w:hAnsi="宋体" w:cs="宋体"/>
                <w:sz w:val="21"/>
                <w:szCs w:val="21"/>
              </w:rPr>
              <w:t>响应供应商拥有吊车、挖掘机、压路机等机械设备，上述机械设备，有一项得2分，最高得6分。</w:t>
            </w:r>
          </w:p>
          <w:p w14:paraId="6EE66DA2">
            <w:pPr>
              <w:spacing w:line="360" w:lineRule="auto"/>
              <w:ind w:firstLine="420" w:firstLineChars="200"/>
              <w:jc w:val="left"/>
              <w:rPr>
                <w:rFonts w:ascii="宋体" w:hAnsi="宋体" w:cs="宋体"/>
                <w:sz w:val="21"/>
                <w:szCs w:val="21"/>
              </w:rPr>
            </w:pPr>
            <w:r>
              <w:rPr>
                <w:rFonts w:hint="eastAsia" w:ascii="宋体" w:hAnsi="宋体" w:cs="宋体"/>
                <w:sz w:val="21"/>
                <w:szCs w:val="21"/>
              </w:rPr>
              <w:t>注：以上设备如为自有设备，须提供车辆照片、购置发票。以上设备如为租赁，须提供车辆照片、租赁协议（租赁期必须覆盖服务期）、以上证明材料提供复印件加盖响应供应商公章。</w:t>
            </w:r>
          </w:p>
        </w:tc>
        <w:tc>
          <w:tcPr>
            <w:tcW w:w="933" w:type="dxa"/>
            <w:tcBorders>
              <w:top w:val="single" w:color="auto" w:sz="4" w:space="0"/>
              <w:left w:val="single" w:color="auto" w:sz="4" w:space="0"/>
              <w:bottom w:val="single" w:color="auto" w:sz="4" w:space="0"/>
              <w:right w:val="single" w:color="auto" w:sz="8" w:space="0"/>
            </w:tcBorders>
            <w:shd w:val="clear" w:color="auto" w:fill="auto"/>
            <w:noWrap/>
          </w:tcPr>
          <w:p w14:paraId="3B59DD42">
            <w:pPr>
              <w:widowControl/>
              <w:spacing w:line="360" w:lineRule="auto"/>
              <w:jc w:val="left"/>
              <w:rPr>
                <w:rFonts w:ascii="宋体" w:hAnsi="宋体" w:cs="宋体"/>
                <w:sz w:val="21"/>
                <w:szCs w:val="21"/>
              </w:rPr>
            </w:pPr>
          </w:p>
        </w:tc>
      </w:tr>
      <w:tr w14:paraId="5D39F2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tcBorders>
              <w:top w:val="single" w:color="auto" w:sz="4" w:space="0"/>
              <w:left w:val="single" w:color="auto" w:sz="8" w:space="0"/>
              <w:bottom w:val="single" w:color="auto" w:sz="4" w:space="0"/>
              <w:right w:val="single" w:color="auto" w:sz="4" w:space="0"/>
            </w:tcBorders>
            <w:shd w:val="clear" w:color="auto" w:fill="auto"/>
            <w:noWrap/>
            <w:vAlign w:val="center"/>
          </w:tcPr>
          <w:p w14:paraId="35B2D046">
            <w:pPr>
              <w:spacing w:line="360" w:lineRule="auto"/>
              <w:jc w:val="center"/>
              <w:rPr>
                <w:rFonts w:ascii="宋体" w:hAnsi="宋体" w:cs="宋体"/>
                <w:sz w:val="21"/>
                <w:szCs w:val="21"/>
              </w:rPr>
            </w:pPr>
            <w:r>
              <w:rPr>
                <w:rFonts w:hint="eastAsia" w:ascii="宋体" w:hAnsi="宋体" w:cs="宋体"/>
                <w:sz w:val="21"/>
                <w:szCs w:val="21"/>
              </w:rPr>
              <w:t>5</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16133">
            <w:pPr>
              <w:spacing w:line="360" w:lineRule="auto"/>
              <w:jc w:val="center"/>
              <w:rPr>
                <w:rFonts w:ascii="宋体" w:hAnsi="宋体" w:cs="宋体"/>
                <w:sz w:val="21"/>
                <w:szCs w:val="21"/>
              </w:rPr>
            </w:pPr>
            <w:r>
              <w:rPr>
                <w:rFonts w:hint="eastAsia" w:ascii="宋体" w:hAnsi="宋体" w:cs="宋体"/>
                <w:sz w:val="21"/>
                <w:szCs w:val="21"/>
              </w:rPr>
              <w:t>企业实力</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BEC57">
            <w:pPr>
              <w:spacing w:line="360" w:lineRule="auto"/>
              <w:jc w:val="center"/>
              <w:rPr>
                <w:rFonts w:ascii="宋体" w:hAnsi="宋体" w:cs="宋体"/>
                <w:sz w:val="21"/>
                <w:szCs w:val="21"/>
              </w:rPr>
            </w:pPr>
            <w:r>
              <w:rPr>
                <w:rFonts w:hint="eastAsia" w:ascii="宋体" w:hAnsi="宋体" w:cs="宋体"/>
                <w:sz w:val="21"/>
                <w:szCs w:val="21"/>
              </w:rPr>
              <w:t>6</w:t>
            </w:r>
          </w:p>
        </w:tc>
        <w:tc>
          <w:tcPr>
            <w:tcW w:w="52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EE028">
            <w:pPr>
              <w:spacing w:line="360" w:lineRule="auto"/>
              <w:jc w:val="left"/>
              <w:rPr>
                <w:rFonts w:ascii="宋体" w:hAnsi="宋体" w:cs="宋体"/>
                <w:sz w:val="21"/>
                <w:szCs w:val="21"/>
              </w:rPr>
            </w:pPr>
            <w:r>
              <w:rPr>
                <w:rFonts w:hint="eastAsia" w:ascii="宋体" w:hAnsi="宋体" w:cs="宋体"/>
                <w:sz w:val="21"/>
                <w:szCs w:val="21"/>
              </w:rPr>
              <w:t>响应供应商具有有效期内的质量管理体系（ISO9001）认证、环境管理体系（ISO45001）认证、职业健康安全管理体系（ISO14001）认证证书，每有一个得2分，最高得6分。</w:t>
            </w:r>
            <w:r>
              <w:rPr>
                <w:rFonts w:hint="eastAsia" w:ascii="宋体" w:hAnsi="宋体" w:cs="宋体"/>
                <w:b/>
                <w:bCs/>
                <w:sz w:val="21"/>
                <w:szCs w:val="21"/>
              </w:rPr>
              <w:t>响应文件中须提供证书扫描件及国家市场监督管理总局http://cx.cnca.cn/证书</w:t>
            </w:r>
            <w:r>
              <w:rPr>
                <w:rFonts w:hint="eastAsia" w:ascii="宋体" w:hAnsi="宋体" w:cs="宋体"/>
                <w:b/>
                <w:bCs/>
                <w:kern w:val="2"/>
                <w:sz w:val="21"/>
                <w:szCs w:val="21"/>
              </w:rPr>
              <w:t>查询截图</w:t>
            </w:r>
            <w:r>
              <w:rPr>
                <w:rFonts w:hint="eastAsia" w:ascii="宋体" w:hAnsi="宋体" w:cs="宋体"/>
                <w:b/>
                <w:bCs/>
                <w:sz w:val="21"/>
                <w:szCs w:val="21"/>
              </w:rPr>
              <w:t>并加盖供应商公章，未按要求提供或不提供不得分。</w:t>
            </w:r>
          </w:p>
        </w:tc>
        <w:tc>
          <w:tcPr>
            <w:tcW w:w="933" w:type="dxa"/>
            <w:tcBorders>
              <w:top w:val="single" w:color="auto" w:sz="4" w:space="0"/>
              <w:left w:val="single" w:color="auto" w:sz="4" w:space="0"/>
              <w:bottom w:val="single" w:color="auto" w:sz="4" w:space="0"/>
              <w:right w:val="single" w:color="auto" w:sz="8" w:space="0"/>
            </w:tcBorders>
            <w:shd w:val="clear" w:color="auto" w:fill="auto"/>
            <w:noWrap/>
          </w:tcPr>
          <w:p w14:paraId="5CE4732A">
            <w:pPr>
              <w:widowControl/>
              <w:spacing w:line="360" w:lineRule="auto"/>
              <w:jc w:val="left"/>
              <w:rPr>
                <w:rFonts w:ascii="宋体" w:hAnsi="宋体" w:cs="宋体"/>
                <w:sz w:val="21"/>
                <w:szCs w:val="21"/>
              </w:rPr>
            </w:pPr>
          </w:p>
        </w:tc>
      </w:tr>
      <w:tr w14:paraId="7F62B2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850" w:hRule="atLeast"/>
          <w:jc w:val="center"/>
        </w:trPr>
        <w:tc>
          <w:tcPr>
            <w:tcW w:w="712" w:type="dxa"/>
            <w:tcBorders>
              <w:top w:val="single" w:color="auto" w:sz="4" w:space="0"/>
              <w:left w:val="single" w:color="auto" w:sz="8" w:space="0"/>
              <w:bottom w:val="single" w:color="auto" w:sz="4" w:space="0"/>
              <w:right w:val="single" w:color="auto" w:sz="4" w:space="0"/>
            </w:tcBorders>
            <w:shd w:val="clear" w:color="auto" w:fill="auto"/>
            <w:noWrap/>
            <w:vAlign w:val="center"/>
          </w:tcPr>
          <w:p w14:paraId="7D11ACB0">
            <w:pPr>
              <w:widowControl/>
              <w:spacing w:line="360" w:lineRule="auto"/>
              <w:jc w:val="center"/>
              <w:rPr>
                <w:rFonts w:ascii="宋体" w:hAnsi="宋体" w:cs="宋体"/>
                <w:sz w:val="21"/>
                <w:szCs w:val="21"/>
              </w:rPr>
            </w:pPr>
            <w:r>
              <w:rPr>
                <w:rFonts w:hint="eastAsia" w:ascii="宋体" w:hAnsi="宋体" w:cs="宋体"/>
                <w:sz w:val="21"/>
                <w:szCs w:val="21"/>
              </w:rPr>
              <w:t>二</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0D864">
            <w:pPr>
              <w:widowControl/>
              <w:spacing w:line="360" w:lineRule="auto"/>
              <w:jc w:val="center"/>
              <w:rPr>
                <w:rFonts w:ascii="宋体" w:hAnsi="宋体" w:cs="宋体"/>
                <w:sz w:val="21"/>
                <w:szCs w:val="21"/>
              </w:rPr>
            </w:pPr>
            <w:r>
              <w:rPr>
                <w:rFonts w:hint="eastAsia" w:ascii="宋体" w:hAnsi="宋体" w:cs="宋体"/>
                <w:sz w:val="21"/>
                <w:szCs w:val="21"/>
              </w:rPr>
              <w:t>价格部分</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82158">
            <w:pPr>
              <w:widowControl/>
              <w:spacing w:line="360" w:lineRule="auto"/>
              <w:jc w:val="center"/>
              <w:rPr>
                <w:rFonts w:ascii="宋体" w:hAnsi="宋体" w:cs="宋体"/>
                <w:sz w:val="21"/>
                <w:szCs w:val="21"/>
              </w:rPr>
            </w:pPr>
            <w:r>
              <w:rPr>
                <w:rFonts w:hint="eastAsia" w:ascii="宋体" w:hAnsi="宋体" w:cs="宋体"/>
                <w:sz w:val="21"/>
                <w:szCs w:val="21"/>
              </w:rPr>
              <w:t>30</w:t>
            </w:r>
          </w:p>
        </w:tc>
        <w:tc>
          <w:tcPr>
            <w:tcW w:w="52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8F9CC">
            <w:pPr>
              <w:widowControl/>
              <w:spacing w:line="360" w:lineRule="auto"/>
              <w:jc w:val="left"/>
              <w:rPr>
                <w:rFonts w:ascii="宋体" w:hAnsi="宋体" w:cs="宋体"/>
                <w:bCs/>
                <w:sz w:val="21"/>
                <w:szCs w:val="21"/>
              </w:rPr>
            </w:pPr>
          </w:p>
        </w:tc>
        <w:tc>
          <w:tcPr>
            <w:tcW w:w="933" w:type="dxa"/>
            <w:tcBorders>
              <w:top w:val="single" w:color="auto" w:sz="4" w:space="0"/>
              <w:left w:val="single" w:color="auto" w:sz="4" w:space="0"/>
              <w:bottom w:val="single" w:color="auto" w:sz="4" w:space="0"/>
              <w:right w:val="single" w:color="auto" w:sz="8" w:space="0"/>
            </w:tcBorders>
            <w:shd w:val="clear" w:color="auto" w:fill="auto"/>
            <w:noWrap/>
          </w:tcPr>
          <w:p w14:paraId="702C0C19">
            <w:pPr>
              <w:widowControl/>
              <w:spacing w:line="360" w:lineRule="auto"/>
              <w:jc w:val="left"/>
              <w:rPr>
                <w:rFonts w:ascii="宋体" w:hAnsi="宋体" w:cs="宋体"/>
                <w:sz w:val="21"/>
                <w:szCs w:val="21"/>
              </w:rPr>
            </w:pPr>
          </w:p>
        </w:tc>
      </w:tr>
      <w:tr w14:paraId="06670F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850" w:hRule="atLeast"/>
          <w:jc w:val="center"/>
        </w:trPr>
        <w:tc>
          <w:tcPr>
            <w:tcW w:w="712" w:type="dxa"/>
            <w:tcBorders>
              <w:top w:val="single" w:color="auto" w:sz="4" w:space="0"/>
              <w:left w:val="single" w:color="auto" w:sz="8" w:space="0"/>
              <w:bottom w:val="single" w:color="auto" w:sz="4" w:space="0"/>
              <w:right w:val="single" w:color="auto" w:sz="4" w:space="0"/>
            </w:tcBorders>
            <w:shd w:val="clear" w:color="auto" w:fill="auto"/>
            <w:noWrap/>
            <w:vAlign w:val="center"/>
          </w:tcPr>
          <w:p w14:paraId="67A35C8A">
            <w:pPr>
              <w:widowControl/>
              <w:spacing w:line="360" w:lineRule="auto"/>
              <w:jc w:val="center"/>
              <w:rPr>
                <w:rFonts w:ascii="宋体" w:hAnsi="宋体" w:cs="宋体"/>
                <w:sz w:val="21"/>
                <w:szCs w:val="21"/>
              </w:rPr>
            </w:pPr>
            <w:r>
              <w:rPr>
                <w:rFonts w:hint="eastAsia" w:ascii="宋体" w:hAnsi="宋体" w:cs="宋体"/>
                <w:sz w:val="21"/>
                <w:szCs w:val="21"/>
              </w:rPr>
              <w:t>7</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F76AE">
            <w:pPr>
              <w:widowControl/>
              <w:spacing w:line="360" w:lineRule="auto"/>
              <w:jc w:val="center"/>
              <w:rPr>
                <w:rFonts w:ascii="宋体" w:hAnsi="宋体" w:cs="宋体"/>
                <w:sz w:val="21"/>
                <w:szCs w:val="21"/>
              </w:rPr>
            </w:pPr>
            <w:r>
              <w:rPr>
                <w:rFonts w:hint="eastAsia" w:ascii="宋体" w:hAnsi="宋体" w:cs="宋体"/>
                <w:sz w:val="21"/>
                <w:szCs w:val="21"/>
              </w:rPr>
              <w:t>响应报价</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EEC4D">
            <w:pPr>
              <w:widowControl/>
              <w:spacing w:line="360" w:lineRule="auto"/>
              <w:jc w:val="center"/>
              <w:rPr>
                <w:rFonts w:ascii="宋体" w:hAnsi="宋体" w:cs="宋体"/>
                <w:sz w:val="21"/>
                <w:szCs w:val="21"/>
              </w:rPr>
            </w:pPr>
            <w:r>
              <w:rPr>
                <w:rFonts w:hint="eastAsia" w:ascii="宋体" w:hAnsi="宋体" w:cs="宋体"/>
                <w:sz w:val="21"/>
                <w:szCs w:val="21"/>
              </w:rPr>
              <w:t>30</w:t>
            </w:r>
          </w:p>
        </w:tc>
        <w:tc>
          <w:tcPr>
            <w:tcW w:w="52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ACF60">
            <w:pPr>
              <w:widowControl/>
              <w:spacing w:line="360" w:lineRule="auto"/>
              <w:jc w:val="left"/>
              <w:rPr>
                <w:rFonts w:ascii="宋体" w:hAnsi="宋体" w:cs="宋体"/>
                <w:sz w:val="21"/>
                <w:szCs w:val="21"/>
              </w:rPr>
            </w:pPr>
            <w:r>
              <w:rPr>
                <w:rFonts w:hint="eastAsia" w:ascii="宋体" w:hAnsi="宋体" w:cs="宋体"/>
                <w:sz w:val="21"/>
                <w:szCs w:val="21"/>
              </w:rPr>
              <w:t>价格分应当采用低价优先法计算，即满足磋商文件要求且响应价格最低的响应报价为评标基准价，其价格分为满分。其他响应供应商的价格分统一按照下列公式计算：</w:t>
            </w:r>
          </w:p>
          <w:p w14:paraId="4F22EE24">
            <w:pPr>
              <w:widowControl/>
              <w:spacing w:line="360" w:lineRule="auto"/>
              <w:jc w:val="left"/>
              <w:rPr>
                <w:rFonts w:ascii="宋体" w:hAnsi="宋体" w:cs="宋体"/>
                <w:sz w:val="21"/>
                <w:szCs w:val="21"/>
              </w:rPr>
            </w:pPr>
            <w:r>
              <w:rPr>
                <w:rFonts w:hint="eastAsia" w:ascii="宋体" w:hAnsi="宋体" w:cs="宋体"/>
                <w:sz w:val="21"/>
                <w:szCs w:val="21"/>
              </w:rPr>
              <w:t>响应报价得分=(评标基准价／响应报价)×价格分分值</w:t>
            </w:r>
          </w:p>
          <w:p w14:paraId="2117DAE1">
            <w:pPr>
              <w:pBdr>
                <w:top w:val="none" w:color="000000" w:sz="0" w:space="0"/>
                <w:left w:val="none" w:color="000000" w:sz="0" w:space="0"/>
                <w:bottom w:val="none" w:color="000000" w:sz="0" w:space="0"/>
                <w:right w:val="none" w:color="000000" w:sz="0" w:space="0"/>
              </w:pBdr>
              <w:spacing w:line="360" w:lineRule="auto"/>
              <w:rPr>
                <w:rFonts w:ascii="宋体" w:hAnsi="宋体" w:cs="宋体"/>
                <w:sz w:val="21"/>
                <w:szCs w:val="21"/>
              </w:rPr>
            </w:pPr>
            <w:r>
              <w:rPr>
                <w:rFonts w:hint="eastAsia" w:ascii="宋体" w:hAnsi="宋体" w:cs="宋体"/>
                <w:b/>
                <w:color w:val="000000" w:themeColor="text1"/>
                <w:sz w:val="21"/>
                <w:szCs w:val="21"/>
              </w:rPr>
              <w:t>说明：本项目采用优惠率报价，例如：A的最后报价优惠率为10%，B的最后报价优惠率为15%，A最后报价则按1-10%=90%计算，B的最后报价按1-15%=85%计算。其余类推</w:t>
            </w:r>
          </w:p>
        </w:tc>
        <w:tc>
          <w:tcPr>
            <w:tcW w:w="933" w:type="dxa"/>
            <w:tcBorders>
              <w:top w:val="single" w:color="auto" w:sz="4" w:space="0"/>
              <w:left w:val="single" w:color="auto" w:sz="4" w:space="0"/>
              <w:bottom w:val="single" w:color="auto" w:sz="4" w:space="0"/>
              <w:right w:val="single" w:color="auto" w:sz="8" w:space="0"/>
            </w:tcBorders>
            <w:shd w:val="clear" w:color="auto" w:fill="auto"/>
            <w:noWrap/>
          </w:tcPr>
          <w:p w14:paraId="26DCAD9F">
            <w:pPr>
              <w:widowControl/>
              <w:spacing w:line="360" w:lineRule="auto"/>
              <w:jc w:val="left"/>
              <w:rPr>
                <w:rFonts w:ascii="宋体" w:hAnsi="宋体" w:cs="宋体"/>
                <w:sz w:val="21"/>
                <w:szCs w:val="21"/>
              </w:rPr>
            </w:pPr>
          </w:p>
        </w:tc>
      </w:tr>
      <w:tr w14:paraId="07A3F5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FFFF00"/>
          <w:tblCellMar>
            <w:top w:w="0" w:type="dxa"/>
            <w:left w:w="108" w:type="dxa"/>
            <w:bottom w:w="0" w:type="dxa"/>
            <w:right w:w="108" w:type="dxa"/>
          </w:tblCellMar>
        </w:tblPrEx>
        <w:trPr>
          <w:trHeight w:val="850" w:hRule="atLeast"/>
          <w:jc w:val="center"/>
        </w:trPr>
        <w:tc>
          <w:tcPr>
            <w:tcW w:w="712" w:type="dxa"/>
            <w:tcBorders>
              <w:top w:val="single" w:color="auto" w:sz="4" w:space="0"/>
              <w:left w:val="single" w:color="auto" w:sz="8" w:space="0"/>
              <w:bottom w:val="single" w:color="auto" w:sz="8" w:space="0"/>
              <w:right w:val="single" w:color="auto" w:sz="4" w:space="0"/>
            </w:tcBorders>
            <w:shd w:val="clear" w:color="auto" w:fill="auto"/>
            <w:noWrap/>
            <w:vAlign w:val="center"/>
          </w:tcPr>
          <w:p w14:paraId="2EC8951B">
            <w:pPr>
              <w:widowControl/>
              <w:spacing w:line="360" w:lineRule="auto"/>
              <w:jc w:val="center"/>
              <w:rPr>
                <w:rFonts w:ascii="宋体" w:hAnsi="宋体" w:cs="宋体"/>
                <w:sz w:val="21"/>
                <w:szCs w:val="21"/>
              </w:rPr>
            </w:pPr>
          </w:p>
        </w:tc>
        <w:tc>
          <w:tcPr>
            <w:tcW w:w="1792" w:type="dxa"/>
            <w:tcBorders>
              <w:top w:val="single" w:color="auto" w:sz="4" w:space="0"/>
              <w:left w:val="single" w:color="auto" w:sz="4" w:space="0"/>
              <w:bottom w:val="single" w:color="auto" w:sz="8" w:space="0"/>
              <w:right w:val="single" w:color="auto" w:sz="4" w:space="0"/>
            </w:tcBorders>
            <w:shd w:val="clear" w:color="auto" w:fill="auto"/>
            <w:noWrap/>
            <w:vAlign w:val="center"/>
          </w:tcPr>
          <w:p w14:paraId="09329380">
            <w:pPr>
              <w:widowControl/>
              <w:spacing w:line="360" w:lineRule="auto"/>
              <w:jc w:val="center"/>
              <w:rPr>
                <w:rFonts w:ascii="宋体" w:hAnsi="宋体" w:cs="宋体"/>
                <w:sz w:val="21"/>
                <w:szCs w:val="21"/>
              </w:rPr>
            </w:pPr>
            <w:r>
              <w:rPr>
                <w:rFonts w:hint="eastAsia" w:ascii="宋体" w:hAnsi="宋体" w:cs="宋体"/>
                <w:sz w:val="21"/>
                <w:szCs w:val="21"/>
              </w:rPr>
              <w:t>合计</w:t>
            </w:r>
          </w:p>
        </w:tc>
        <w:tc>
          <w:tcPr>
            <w:tcW w:w="717" w:type="dxa"/>
            <w:tcBorders>
              <w:top w:val="single" w:color="auto" w:sz="4" w:space="0"/>
              <w:left w:val="single" w:color="auto" w:sz="4" w:space="0"/>
              <w:bottom w:val="single" w:color="auto" w:sz="8" w:space="0"/>
              <w:right w:val="single" w:color="auto" w:sz="4" w:space="0"/>
            </w:tcBorders>
            <w:shd w:val="clear" w:color="auto" w:fill="auto"/>
            <w:noWrap/>
            <w:vAlign w:val="center"/>
          </w:tcPr>
          <w:p w14:paraId="68E36DF8">
            <w:pPr>
              <w:widowControl/>
              <w:spacing w:line="360" w:lineRule="auto"/>
              <w:jc w:val="center"/>
              <w:rPr>
                <w:rFonts w:ascii="宋体" w:hAnsi="宋体" w:cs="宋体"/>
                <w:sz w:val="21"/>
                <w:szCs w:val="21"/>
              </w:rPr>
            </w:pPr>
            <w:r>
              <w:rPr>
                <w:rFonts w:hint="eastAsia" w:ascii="宋体" w:hAnsi="宋体" w:cs="宋体"/>
                <w:sz w:val="21"/>
                <w:szCs w:val="21"/>
              </w:rPr>
              <w:t>100</w:t>
            </w:r>
          </w:p>
        </w:tc>
        <w:tc>
          <w:tcPr>
            <w:tcW w:w="5223" w:type="dxa"/>
            <w:tcBorders>
              <w:top w:val="single" w:color="auto" w:sz="4" w:space="0"/>
              <w:left w:val="single" w:color="auto" w:sz="4" w:space="0"/>
              <w:bottom w:val="single" w:color="auto" w:sz="8" w:space="0"/>
              <w:right w:val="single" w:color="auto" w:sz="4" w:space="0"/>
            </w:tcBorders>
            <w:shd w:val="clear" w:color="auto" w:fill="auto"/>
            <w:noWrap/>
            <w:vAlign w:val="center"/>
          </w:tcPr>
          <w:p w14:paraId="3C41D03D">
            <w:pPr>
              <w:widowControl/>
              <w:spacing w:line="360" w:lineRule="auto"/>
              <w:jc w:val="left"/>
              <w:rPr>
                <w:rFonts w:ascii="宋体" w:hAnsi="宋体" w:cs="宋体"/>
                <w:color w:val="000000" w:themeColor="text1"/>
                <w:sz w:val="21"/>
                <w:szCs w:val="21"/>
              </w:rPr>
            </w:pPr>
          </w:p>
        </w:tc>
        <w:tc>
          <w:tcPr>
            <w:tcW w:w="933" w:type="dxa"/>
            <w:tcBorders>
              <w:top w:val="single" w:color="auto" w:sz="4" w:space="0"/>
              <w:left w:val="single" w:color="auto" w:sz="4" w:space="0"/>
              <w:bottom w:val="single" w:color="auto" w:sz="8" w:space="0"/>
              <w:right w:val="single" w:color="auto" w:sz="8" w:space="0"/>
            </w:tcBorders>
            <w:shd w:val="clear" w:color="auto" w:fill="auto"/>
            <w:noWrap/>
          </w:tcPr>
          <w:p w14:paraId="1DAEDD16">
            <w:pPr>
              <w:widowControl/>
              <w:spacing w:line="360" w:lineRule="auto"/>
              <w:jc w:val="left"/>
              <w:rPr>
                <w:rFonts w:ascii="宋体" w:hAnsi="宋体" w:cs="宋体"/>
                <w:sz w:val="21"/>
                <w:szCs w:val="21"/>
              </w:rPr>
            </w:pPr>
          </w:p>
        </w:tc>
      </w:tr>
    </w:tbl>
    <w:p w14:paraId="375BB1DA">
      <w:pPr>
        <w:spacing w:line="360" w:lineRule="auto"/>
      </w:pPr>
    </w:p>
    <w:p w14:paraId="0094E48C">
      <w:pPr>
        <w:spacing w:line="360" w:lineRule="auto"/>
      </w:pPr>
    </w:p>
    <w:p w14:paraId="3F514853">
      <w:pPr>
        <w:spacing w:line="360" w:lineRule="auto"/>
        <w:ind w:firstLine="560"/>
        <w:rPr>
          <w:rFonts w:ascii="宋体" w:hAnsi="宋体" w:cs="宋体"/>
          <w:sz w:val="24"/>
          <w:highlight w:val="none"/>
        </w:rPr>
      </w:pPr>
      <w:r>
        <w:rPr>
          <w:rFonts w:hint="eastAsia" w:ascii="宋体" w:hAnsi="宋体" w:cs="宋体"/>
          <w:sz w:val="24"/>
          <w:highlight w:val="none"/>
        </w:rPr>
        <w:t>备注：</w:t>
      </w:r>
    </w:p>
    <w:p w14:paraId="3A637165">
      <w:pPr>
        <w:spacing w:line="360" w:lineRule="auto"/>
        <w:ind w:firstLine="560"/>
        <w:rPr>
          <w:rFonts w:ascii="宋体" w:hAnsi="宋体" w:cs="宋体"/>
          <w:sz w:val="24"/>
          <w:highlight w:val="none"/>
        </w:rPr>
      </w:pPr>
      <w:r>
        <w:rPr>
          <w:rFonts w:hint="eastAsia" w:ascii="宋体" w:hAnsi="宋体" w:cs="宋体"/>
          <w:sz w:val="24"/>
          <w:highlight w:val="none"/>
        </w:rPr>
        <w:t>1.上述响应文件中所提供的相关证书等证明材料如有有效期的均须在有效期内。</w:t>
      </w:r>
    </w:p>
    <w:p w14:paraId="345AAE50">
      <w:pPr>
        <w:spacing w:line="360" w:lineRule="auto"/>
        <w:ind w:firstLine="560"/>
        <w:rPr>
          <w:rFonts w:ascii="宋体" w:hAnsi="宋体" w:cs="宋体"/>
          <w:sz w:val="24"/>
          <w:highlight w:val="none"/>
        </w:rPr>
      </w:pPr>
      <w:r>
        <w:rPr>
          <w:rFonts w:hint="eastAsia" w:ascii="宋体" w:hAnsi="宋体" w:cs="宋体"/>
          <w:sz w:val="24"/>
          <w:highlight w:val="none"/>
        </w:rPr>
        <w:t>2.在确认采购结果之前，采购人将对</w:t>
      </w:r>
      <w:r>
        <w:rPr>
          <w:rFonts w:hint="eastAsia" w:ascii="宋体" w:hAnsi="宋体" w:cs="宋体"/>
          <w:sz w:val="24"/>
          <w:highlight w:val="none"/>
          <w:lang w:val="en-US" w:eastAsia="zh-CN"/>
        </w:rPr>
        <w:t>供应商响应</w:t>
      </w:r>
      <w:r>
        <w:rPr>
          <w:rFonts w:hint="eastAsia" w:ascii="宋体" w:hAnsi="宋体" w:cs="宋体"/>
          <w:sz w:val="24"/>
          <w:highlight w:val="none"/>
        </w:rPr>
        <w:t>文件中所提供的证明文件进行核实，如发现不一致，则另行确定中标结果。</w:t>
      </w:r>
    </w:p>
    <w:p w14:paraId="018F5F1A">
      <w:pPr>
        <w:spacing w:line="360" w:lineRule="auto"/>
        <w:ind w:firstLine="560"/>
        <w:rPr>
          <w:rFonts w:ascii="宋体" w:hAnsi="宋体" w:cs="宋体"/>
          <w:sz w:val="28"/>
          <w:szCs w:val="28"/>
        </w:rPr>
      </w:pPr>
    </w:p>
    <w:p w14:paraId="58BCBF3C">
      <w:pPr>
        <w:pStyle w:val="208"/>
        <w:spacing w:before="0" w:after="0"/>
        <w:ind w:firstLine="0"/>
        <w:jc w:val="center"/>
        <w:outlineLvl w:val="0"/>
        <w:rPr>
          <w:rFonts w:ascii="宋体" w:hAnsi="宋体" w:cs="宋体"/>
          <w:b/>
          <w:sz w:val="32"/>
          <w:szCs w:val="32"/>
        </w:rPr>
      </w:pPr>
      <w:r>
        <w:rPr>
          <w:rFonts w:hint="eastAsia" w:ascii="宋体" w:hAnsi="宋体" w:cs="宋体"/>
          <w:bCs/>
          <w:sz w:val="44"/>
          <w:szCs w:val="28"/>
        </w:rPr>
        <w:br w:type="page" w:clear="all"/>
      </w:r>
      <w:r>
        <w:rPr>
          <w:rFonts w:hint="eastAsia" w:ascii="宋体" w:hAnsi="宋体" w:cs="宋体"/>
          <w:b/>
          <w:sz w:val="32"/>
          <w:szCs w:val="32"/>
        </w:rPr>
        <w:t>第六章 竞争性磋商响应文件组成</w:t>
      </w:r>
    </w:p>
    <w:p w14:paraId="23AA0019">
      <w:pPr>
        <w:pStyle w:val="208"/>
        <w:spacing w:before="0" w:after="0"/>
        <w:ind w:firstLine="0"/>
        <w:jc w:val="center"/>
        <w:rPr>
          <w:rFonts w:ascii="宋体" w:hAnsi="宋体" w:cs="宋体"/>
          <w:bCs/>
          <w:sz w:val="32"/>
          <w:szCs w:val="32"/>
        </w:rPr>
      </w:pPr>
    </w:p>
    <w:p w14:paraId="4D293257">
      <w:pPr>
        <w:spacing w:line="360" w:lineRule="auto"/>
        <w:ind w:firstLine="880"/>
        <w:jc w:val="center"/>
        <w:rPr>
          <w:rFonts w:ascii="宋体" w:hAnsi="宋体" w:cs="宋体"/>
          <w:sz w:val="44"/>
          <w:szCs w:val="44"/>
        </w:rPr>
      </w:pPr>
      <w:r>
        <w:rPr>
          <w:rFonts w:hint="eastAsia" w:ascii="宋体" w:hAnsi="宋体" w:cs="宋体"/>
          <w:sz w:val="44"/>
          <w:szCs w:val="44"/>
        </w:rPr>
        <w:t>如皋市政府采购竞争性磋商响应文件</w:t>
      </w:r>
    </w:p>
    <w:p w14:paraId="7236EEA2">
      <w:pPr>
        <w:spacing w:line="360" w:lineRule="auto"/>
        <w:ind w:firstLine="1434"/>
        <w:rPr>
          <w:rFonts w:ascii="宋体" w:hAnsi="宋体" w:cs="宋体"/>
          <w:b/>
          <w:sz w:val="24"/>
        </w:rPr>
      </w:pPr>
    </w:p>
    <w:p w14:paraId="12B350B7">
      <w:pPr>
        <w:spacing w:line="360" w:lineRule="auto"/>
        <w:ind w:firstLine="1434"/>
        <w:rPr>
          <w:rFonts w:ascii="宋体" w:hAnsi="宋体" w:cs="宋体"/>
          <w:b/>
          <w:sz w:val="24"/>
        </w:rPr>
      </w:pPr>
    </w:p>
    <w:p w14:paraId="746359B2">
      <w:pPr>
        <w:spacing w:line="360" w:lineRule="auto"/>
        <w:ind w:firstLine="2072"/>
        <w:rPr>
          <w:rFonts w:ascii="宋体" w:hAnsi="宋体" w:cs="宋体"/>
          <w:b/>
          <w:sz w:val="32"/>
          <w:szCs w:val="32"/>
        </w:rPr>
      </w:pPr>
    </w:p>
    <w:p w14:paraId="2CD9D3FE">
      <w:pPr>
        <w:spacing w:line="360" w:lineRule="auto"/>
        <w:jc w:val="center"/>
        <w:rPr>
          <w:rFonts w:ascii="宋体" w:hAnsi="宋体" w:cs="宋体"/>
          <w:b/>
          <w:sz w:val="32"/>
          <w:szCs w:val="32"/>
        </w:rPr>
      </w:pPr>
      <w:r>
        <w:rPr>
          <w:rFonts w:hint="eastAsia" w:ascii="宋体" w:hAnsi="宋体" w:cs="宋体"/>
          <w:b/>
          <w:sz w:val="32"/>
          <w:szCs w:val="32"/>
        </w:rPr>
        <w:t>项目名称： 搬经镇2026-2027年度道路、桥梁、市政、建筑等公共基础设施维修工程</w:t>
      </w:r>
    </w:p>
    <w:p w14:paraId="640CE35A">
      <w:pPr>
        <w:spacing w:line="360" w:lineRule="auto"/>
        <w:jc w:val="center"/>
        <w:rPr>
          <w:rFonts w:ascii="宋体" w:hAnsi="宋体" w:cs="宋体"/>
          <w:b/>
          <w:sz w:val="32"/>
          <w:szCs w:val="32"/>
          <w:u w:val="single"/>
        </w:rPr>
      </w:pPr>
      <w:r>
        <w:rPr>
          <w:rFonts w:hint="eastAsia" w:ascii="宋体" w:hAnsi="宋体" w:cs="宋体"/>
          <w:b/>
          <w:sz w:val="32"/>
          <w:szCs w:val="32"/>
        </w:rPr>
        <w:t>项目编号：</w:t>
      </w:r>
    </w:p>
    <w:p w14:paraId="51AECE58">
      <w:pPr>
        <w:spacing w:line="360" w:lineRule="auto"/>
        <w:jc w:val="center"/>
        <w:rPr>
          <w:rFonts w:ascii="宋体" w:hAnsi="宋体" w:cs="宋体"/>
          <w:b/>
          <w:sz w:val="32"/>
          <w:szCs w:val="32"/>
          <w:u w:val="single"/>
        </w:rPr>
      </w:pPr>
    </w:p>
    <w:p w14:paraId="59F17D3A">
      <w:pPr>
        <w:spacing w:line="360" w:lineRule="auto"/>
        <w:jc w:val="center"/>
        <w:rPr>
          <w:rFonts w:ascii="宋体" w:hAnsi="宋体" w:cs="宋体"/>
          <w:b/>
          <w:sz w:val="32"/>
          <w:szCs w:val="32"/>
          <w:u w:val="single"/>
        </w:rPr>
      </w:pPr>
    </w:p>
    <w:p w14:paraId="6B34702C">
      <w:pPr>
        <w:spacing w:line="360" w:lineRule="auto"/>
        <w:jc w:val="center"/>
        <w:rPr>
          <w:rFonts w:ascii="宋体" w:hAnsi="宋体" w:cs="宋体"/>
          <w:b/>
          <w:sz w:val="32"/>
          <w:szCs w:val="32"/>
          <w:u w:val="single"/>
        </w:rPr>
      </w:pPr>
    </w:p>
    <w:p w14:paraId="75228F53">
      <w:pPr>
        <w:spacing w:line="360" w:lineRule="auto"/>
        <w:jc w:val="center"/>
        <w:rPr>
          <w:rFonts w:ascii="宋体" w:hAnsi="宋体" w:cs="宋体"/>
          <w:b/>
          <w:sz w:val="32"/>
          <w:szCs w:val="32"/>
          <w:u w:val="single"/>
        </w:rPr>
      </w:pPr>
    </w:p>
    <w:p w14:paraId="32F0245F">
      <w:pPr>
        <w:spacing w:line="360" w:lineRule="auto"/>
        <w:jc w:val="center"/>
        <w:rPr>
          <w:rFonts w:ascii="宋体" w:hAnsi="宋体" w:cs="宋体"/>
          <w:b/>
          <w:sz w:val="32"/>
          <w:szCs w:val="32"/>
          <w:u w:val="single"/>
        </w:rPr>
      </w:pPr>
    </w:p>
    <w:p w14:paraId="6013BF36">
      <w:pPr>
        <w:spacing w:line="360" w:lineRule="auto"/>
        <w:jc w:val="center"/>
        <w:rPr>
          <w:rFonts w:ascii="宋体" w:hAnsi="宋体" w:cs="宋体"/>
          <w:b/>
          <w:sz w:val="32"/>
          <w:szCs w:val="32"/>
          <w:u w:val="single"/>
        </w:rPr>
      </w:pPr>
    </w:p>
    <w:p w14:paraId="3ECE5373">
      <w:pPr>
        <w:spacing w:line="360" w:lineRule="auto"/>
        <w:jc w:val="center"/>
        <w:rPr>
          <w:rFonts w:ascii="宋体" w:hAnsi="宋体" w:cs="宋体"/>
          <w:b/>
          <w:sz w:val="32"/>
          <w:szCs w:val="32"/>
          <w:u w:val="single"/>
        </w:rPr>
      </w:pPr>
    </w:p>
    <w:p w14:paraId="24BE12BB">
      <w:pPr>
        <w:pStyle w:val="20"/>
        <w:spacing w:after="0" w:line="360" w:lineRule="auto"/>
        <w:rPr>
          <w:rFonts w:hAnsi="宋体" w:cs="宋体"/>
          <w:b/>
          <w:bCs/>
          <w:sz w:val="32"/>
          <w:szCs w:val="32"/>
        </w:rPr>
      </w:pPr>
    </w:p>
    <w:p w14:paraId="07ACA696">
      <w:pPr>
        <w:spacing w:line="360" w:lineRule="auto"/>
        <w:rPr>
          <w:rFonts w:ascii="宋体" w:hAnsi="宋体" w:cs="宋体"/>
          <w:sz w:val="32"/>
          <w:szCs w:val="32"/>
          <w:u w:val="single"/>
        </w:rPr>
      </w:pPr>
      <w:r>
        <w:rPr>
          <w:rFonts w:hint="eastAsia" w:ascii="宋体" w:hAnsi="宋体" w:cs="宋体"/>
          <w:b/>
          <w:sz w:val="32"/>
          <w:szCs w:val="32"/>
        </w:rPr>
        <w:t>供应商名称：</w:t>
      </w:r>
    </w:p>
    <w:p w14:paraId="5885D51A">
      <w:pPr>
        <w:spacing w:line="360" w:lineRule="auto"/>
        <w:rPr>
          <w:rFonts w:ascii="宋体" w:hAnsi="宋体" w:cs="宋体"/>
          <w:b/>
          <w:sz w:val="32"/>
          <w:szCs w:val="32"/>
        </w:rPr>
      </w:pPr>
      <w:r>
        <w:rPr>
          <w:rFonts w:hint="eastAsia" w:ascii="宋体" w:hAnsi="宋体" w:cs="宋体"/>
          <w:b/>
          <w:sz w:val="32"/>
          <w:szCs w:val="32"/>
        </w:rPr>
        <w:t xml:space="preserve">地址： </w:t>
      </w:r>
    </w:p>
    <w:p w14:paraId="3689D29C">
      <w:pPr>
        <w:spacing w:line="360" w:lineRule="auto"/>
        <w:rPr>
          <w:rFonts w:ascii="宋体" w:hAnsi="宋体" w:cs="宋体"/>
          <w:b/>
          <w:sz w:val="32"/>
          <w:szCs w:val="32"/>
        </w:rPr>
      </w:pPr>
      <w:r>
        <w:rPr>
          <w:rFonts w:hint="eastAsia" w:ascii="宋体" w:hAnsi="宋体" w:cs="宋体"/>
          <w:b/>
          <w:sz w:val="32"/>
          <w:szCs w:val="32"/>
        </w:rPr>
        <w:t xml:space="preserve">联系电话： </w:t>
      </w:r>
    </w:p>
    <w:p w14:paraId="5F4EFBA8">
      <w:pPr>
        <w:spacing w:line="360" w:lineRule="auto"/>
        <w:jc w:val="center"/>
        <w:rPr>
          <w:rFonts w:ascii="宋体" w:hAnsi="宋体" w:cs="宋体"/>
          <w:b/>
          <w:sz w:val="32"/>
          <w:szCs w:val="32"/>
        </w:rPr>
      </w:pPr>
      <w:r>
        <w:rPr>
          <w:rFonts w:hint="eastAsia" w:ascii="宋体" w:hAnsi="宋体" w:cs="宋体"/>
          <w:b/>
          <w:sz w:val="32"/>
          <w:szCs w:val="32"/>
        </w:rPr>
        <w:t>年月日</w:t>
      </w:r>
    </w:p>
    <w:p w14:paraId="010F14DC">
      <w:pPr>
        <w:spacing w:line="360" w:lineRule="auto"/>
        <w:ind w:firstLine="954"/>
        <w:rPr>
          <w:rFonts w:ascii="宋体" w:hAnsi="宋体" w:cs="宋体"/>
          <w:b/>
          <w:sz w:val="24"/>
        </w:rPr>
      </w:pPr>
    </w:p>
    <w:p w14:paraId="38910B51">
      <w:pPr>
        <w:spacing w:line="360" w:lineRule="auto"/>
        <w:rPr>
          <w:rFonts w:ascii="宋体" w:hAnsi="宋体" w:cs="宋体"/>
          <w:sz w:val="28"/>
          <w:szCs w:val="28"/>
        </w:rPr>
      </w:pPr>
      <w:r>
        <w:rPr>
          <w:rFonts w:hint="eastAsia" w:ascii="宋体" w:hAnsi="宋体" w:cs="宋体"/>
          <w:sz w:val="28"/>
          <w:szCs w:val="28"/>
        </w:rPr>
        <w:br w:type="page"/>
      </w:r>
    </w:p>
    <w:p w14:paraId="0C5E178E">
      <w:pPr>
        <w:spacing w:line="360" w:lineRule="auto"/>
        <w:ind w:firstLine="560"/>
        <w:outlineLvl w:val="1"/>
        <w:rPr>
          <w:rFonts w:ascii="宋体" w:hAnsi="宋体" w:cs="宋体"/>
          <w:sz w:val="28"/>
          <w:szCs w:val="28"/>
        </w:rPr>
      </w:pPr>
      <w:r>
        <w:rPr>
          <w:rFonts w:hint="eastAsia" w:ascii="宋体" w:hAnsi="宋体" w:cs="宋体"/>
          <w:sz w:val="28"/>
          <w:szCs w:val="28"/>
        </w:rPr>
        <w:t>一、资格证明文件</w:t>
      </w:r>
    </w:p>
    <w:p w14:paraId="63645FB4">
      <w:pPr>
        <w:spacing w:line="360" w:lineRule="auto"/>
        <w:ind w:firstLine="560"/>
        <w:rPr>
          <w:rFonts w:ascii="宋体" w:hAnsi="宋体" w:cs="宋体"/>
          <w:sz w:val="28"/>
          <w:szCs w:val="28"/>
        </w:rPr>
      </w:pPr>
      <w:r>
        <w:rPr>
          <w:rFonts w:hint="eastAsia" w:ascii="宋体" w:hAnsi="宋体" w:cs="宋体"/>
          <w:sz w:val="28"/>
          <w:szCs w:val="28"/>
        </w:rPr>
        <w:t>（一）法人或者其他组织的营业执照，自然人的身份证（复印件）。</w:t>
      </w:r>
    </w:p>
    <w:p w14:paraId="7F01D2A9">
      <w:pPr>
        <w:spacing w:line="360" w:lineRule="auto"/>
        <w:ind w:firstLine="560"/>
        <w:jc w:val="left"/>
        <w:rPr>
          <w:rFonts w:ascii="宋体" w:hAnsi="宋体" w:cs="宋体"/>
          <w:sz w:val="28"/>
          <w:szCs w:val="28"/>
        </w:rPr>
      </w:pPr>
      <w:r>
        <w:rPr>
          <w:rFonts w:hint="eastAsia" w:ascii="宋体" w:hAnsi="宋体" w:cs="宋体"/>
          <w:sz w:val="28"/>
          <w:szCs w:val="28"/>
        </w:rPr>
        <w:t>（二）参加本次政府采购活动前的会计报表（复印件，成立不满一年不需提供）。</w:t>
      </w:r>
    </w:p>
    <w:p w14:paraId="094D7AC9">
      <w:pPr>
        <w:spacing w:line="360" w:lineRule="auto"/>
        <w:ind w:firstLine="560"/>
        <w:rPr>
          <w:rFonts w:ascii="宋体" w:hAnsi="宋体" w:cs="宋体"/>
          <w:sz w:val="28"/>
          <w:szCs w:val="28"/>
        </w:rPr>
      </w:pPr>
      <w:r>
        <w:rPr>
          <w:rFonts w:hint="eastAsia" w:ascii="宋体" w:hAnsi="宋体" w:cs="宋体"/>
          <w:sz w:val="28"/>
          <w:szCs w:val="28"/>
        </w:rPr>
        <w:t>（三）参加本次政府采购活动前一年内至少一个月缴纳增值税、营业税或者企业所得税的凭据，以及缴纳社会保险的凭据（专用收据或者社会保险缴纳清单）（复印件）。</w:t>
      </w:r>
    </w:p>
    <w:p w14:paraId="463E4B23">
      <w:pPr>
        <w:spacing w:line="360" w:lineRule="auto"/>
        <w:ind w:firstLine="560"/>
        <w:jc w:val="left"/>
        <w:rPr>
          <w:rFonts w:ascii="宋体" w:hAnsi="宋体" w:cs="宋体"/>
          <w:sz w:val="28"/>
          <w:szCs w:val="28"/>
        </w:rPr>
      </w:pPr>
      <w:r>
        <w:rPr>
          <w:rFonts w:hint="eastAsia" w:ascii="宋体" w:hAnsi="宋体" w:cs="宋体"/>
          <w:sz w:val="28"/>
          <w:szCs w:val="28"/>
        </w:rPr>
        <w:br w:type="page" w:clear="all"/>
      </w:r>
      <w:r>
        <w:rPr>
          <w:rFonts w:hint="eastAsia" w:ascii="宋体" w:hAnsi="宋体" w:cs="宋体"/>
          <w:sz w:val="28"/>
          <w:szCs w:val="28"/>
        </w:rPr>
        <w:t>（四）根据项目需求提供履行合同必需的设备和专业技术能力的声明及证明材料。</w:t>
      </w:r>
    </w:p>
    <w:p w14:paraId="6F589F4C">
      <w:pPr>
        <w:spacing w:line="360" w:lineRule="auto"/>
        <w:jc w:val="center"/>
        <w:rPr>
          <w:rFonts w:ascii="宋体" w:hAnsi="宋体" w:cs="宋体"/>
          <w:sz w:val="36"/>
          <w:szCs w:val="36"/>
        </w:rPr>
      </w:pPr>
      <w:r>
        <w:rPr>
          <w:rFonts w:hint="eastAsia" w:ascii="宋体" w:hAnsi="宋体" w:cs="宋体"/>
          <w:sz w:val="36"/>
          <w:szCs w:val="36"/>
        </w:rPr>
        <w:t>声  明</w:t>
      </w:r>
    </w:p>
    <w:p w14:paraId="07FD7AB9">
      <w:pPr>
        <w:spacing w:line="360" w:lineRule="auto"/>
        <w:ind w:firstLine="560"/>
        <w:rPr>
          <w:rFonts w:ascii="宋体" w:hAnsi="宋体" w:cs="宋体"/>
          <w:sz w:val="28"/>
          <w:szCs w:val="28"/>
        </w:rPr>
      </w:pPr>
      <w:r>
        <w:rPr>
          <w:rFonts w:hint="eastAsia" w:ascii="宋体" w:hAnsi="宋体" w:cs="宋体"/>
          <w:sz w:val="28"/>
          <w:szCs w:val="28"/>
        </w:rPr>
        <w:t>我公司郑重声明：我公司具备履行本项采购合同所必需的设备和专业技术能力，为履行本项采购合同我公司具备如下主要设备和主要专业技术能力：</w:t>
      </w:r>
    </w:p>
    <w:p w14:paraId="1AB4FF0F">
      <w:pPr>
        <w:spacing w:line="360" w:lineRule="auto"/>
        <w:ind w:firstLine="560"/>
        <w:rPr>
          <w:rFonts w:ascii="宋体" w:hAnsi="宋体" w:cs="宋体"/>
          <w:sz w:val="28"/>
          <w:szCs w:val="28"/>
        </w:rPr>
      </w:pPr>
      <w:r>
        <w:rPr>
          <w:rFonts w:hint="eastAsia" w:ascii="宋体" w:hAnsi="宋体" w:cs="宋体"/>
          <w:sz w:val="28"/>
          <w:szCs w:val="28"/>
        </w:rPr>
        <w:t>主要设备有：________。</w:t>
      </w:r>
    </w:p>
    <w:p w14:paraId="7321C2B5">
      <w:pPr>
        <w:spacing w:line="360" w:lineRule="auto"/>
        <w:ind w:firstLine="560"/>
        <w:rPr>
          <w:rFonts w:ascii="宋体" w:hAnsi="宋体" w:cs="宋体"/>
          <w:sz w:val="28"/>
          <w:szCs w:val="28"/>
        </w:rPr>
      </w:pPr>
      <w:r>
        <w:rPr>
          <w:rFonts w:hint="eastAsia" w:ascii="宋体" w:hAnsi="宋体" w:cs="宋体"/>
          <w:sz w:val="28"/>
          <w:szCs w:val="28"/>
        </w:rPr>
        <w:t>主要专业技术能力有：________。</w:t>
      </w:r>
    </w:p>
    <w:p w14:paraId="6805368F">
      <w:pPr>
        <w:spacing w:line="360" w:lineRule="auto"/>
        <w:ind w:firstLine="560"/>
        <w:rPr>
          <w:rFonts w:ascii="宋体" w:hAnsi="宋体" w:cs="宋体"/>
          <w:sz w:val="28"/>
          <w:szCs w:val="28"/>
        </w:rPr>
      </w:pPr>
    </w:p>
    <w:p w14:paraId="6782B5FE">
      <w:pPr>
        <w:spacing w:line="360" w:lineRule="auto"/>
        <w:ind w:firstLine="2520"/>
        <w:rPr>
          <w:rFonts w:ascii="宋体" w:hAnsi="宋体" w:cs="宋体"/>
          <w:sz w:val="28"/>
          <w:szCs w:val="28"/>
        </w:rPr>
      </w:pPr>
      <w:r>
        <w:rPr>
          <w:rFonts w:hint="eastAsia" w:ascii="宋体" w:hAnsi="宋体" w:cs="宋体"/>
          <w:sz w:val="28"/>
          <w:szCs w:val="28"/>
        </w:rPr>
        <w:t>供应商名称（公章）：</w:t>
      </w:r>
    </w:p>
    <w:p w14:paraId="23303BEF">
      <w:pPr>
        <w:spacing w:line="360" w:lineRule="auto"/>
        <w:rPr>
          <w:rFonts w:ascii="宋体" w:hAnsi="宋体" w:cs="宋体"/>
          <w:sz w:val="28"/>
          <w:szCs w:val="28"/>
        </w:rPr>
      </w:pPr>
      <w:r>
        <w:rPr>
          <w:rFonts w:hint="eastAsia" w:ascii="宋体" w:hAnsi="宋体" w:cs="宋体"/>
          <w:sz w:val="28"/>
          <w:szCs w:val="28"/>
        </w:rPr>
        <w:t xml:space="preserve">                       授权代表签字：_________________</w:t>
      </w:r>
    </w:p>
    <w:p w14:paraId="3763A275">
      <w:pPr>
        <w:spacing w:line="360" w:lineRule="auto"/>
        <w:ind w:firstLine="560"/>
        <w:jc w:val="left"/>
        <w:rPr>
          <w:rFonts w:ascii="宋体" w:hAnsi="宋体" w:cs="宋体"/>
          <w:b/>
          <w:sz w:val="28"/>
          <w:szCs w:val="28"/>
        </w:rPr>
      </w:pPr>
      <w:r>
        <w:rPr>
          <w:rFonts w:hint="eastAsia" w:ascii="宋体" w:hAnsi="宋体" w:cs="宋体"/>
          <w:sz w:val="28"/>
          <w:szCs w:val="28"/>
        </w:rPr>
        <w:t xml:space="preserve">                           日期：______年 月日</w:t>
      </w:r>
    </w:p>
    <w:p w14:paraId="28C6652A">
      <w:pPr>
        <w:spacing w:line="360" w:lineRule="auto"/>
        <w:ind w:firstLine="560"/>
        <w:rPr>
          <w:rFonts w:ascii="宋体" w:hAnsi="宋体" w:cs="宋体"/>
          <w:sz w:val="28"/>
          <w:szCs w:val="28"/>
        </w:rPr>
      </w:pPr>
      <w:r>
        <w:rPr>
          <w:rFonts w:hint="eastAsia" w:ascii="宋体" w:hAnsi="宋体" w:cs="宋体"/>
          <w:sz w:val="28"/>
          <w:szCs w:val="28"/>
        </w:rPr>
        <w:br w:type="page" w:clear="all"/>
      </w:r>
      <w:r>
        <w:rPr>
          <w:rFonts w:hint="eastAsia" w:ascii="宋体" w:hAnsi="宋体" w:cs="宋体"/>
          <w:sz w:val="28"/>
          <w:szCs w:val="28"/>
        </w:rPr>
        <w:t>（五）参加本次政府采购活动前 3 年内在经营活动中没有重大违法记录的书面声明。</w:t>
      </w:r>
    </w:p>
    <w:p w14:paraId="33833CFF">
      <w:pPr>
        <w:spacing w:line="360" w:lineRule="auto"/>
        <w:jc w:val="center"/>
        <w:rPr>
          <w:rFonts w:ascii="宋体" w:hAnsi="宋体" w:cs="宋体"/>
          <w:b/>
          <w:bCs/>
          <w:sz w:val="32"/>
          <w:szCs w:val="32"/>
        </w:rPr>
      </w:pPr>
      <w:r>
        <w:rPr>
          <w:rFonts w:hint="eastAsia" w:ascii="宋体" w:hAnsi="宋体" w:cs="宋体"/>
          <w:b/>
          <w:bCs/>
          <w:sz w:val="32"/>
          <w:szCs w:val="32"/>
        </w:rPr>
        <w:t>声  明</w:t>
      </w:r>
    </w:p>
    <w:p w14:paraId="447CA714">
      <w:pPr>
        <w:spacing w:line="360" w:lineRule="auto"/>
        <w:ind w:firstLine="482"/>
        <w:rPr>
          <w:rFonts w:ascii="宋体" w:hAnsi="宋体" w:cs="宋体"/>
          <w:sz w:val="28"/>
          <w:szCs w:val="28"/>
        </w:rPr>
      </w:pPr>
      <w:r>
        <w:rPr>
          <w:rFonts w:hint="eastAsia" w:ascii="宋体" w:hAnsi="宋体" w:cs="宋体"/>
          <w:sz w:val="28"/>
          <w:szCs w:val="28"/>
        </w:rPr>
        <w:t>我公司郑重声明：参加本次政府采购活动前 3 年内，我公司在经营活动中没有因违法经营受到刑事处罚或者责令停产停业、吊销许可证或者执照、较大数额罚款等行政处罚。</w:t>
      </w:r>
    </w:p>
    <w:p w14:paraId="761F0DD7">
      <w:pPr>
        <w:spacing w:line="360" w:lineRule="auto"/>
        <w:ind w:firstLine="482"/>
        <w:rPr>
          <w:rFonts w:ascii="宋体" w:hAnsi="宋体" w:cs="宋体"/>
          <w:sz w:val="28"/>
          <w:szCs w:val="28"/>
        </w:rPr>
      </w:pPr>
      <w:r>
        <w:rPr>
          <w:rFonts w:hint="eastAsia" w:ascii="宋体" w:hAnsi="宋体" w:cs="宋体"/>
          <w:sz w:val="28"/>
          <w:szCs w:val="28"/>
        </w:rPr>
        <w:t>在响应文件提交截止时间前，没有被“信用中国”（www.creditchina.gov.cn）、“中国政府采购网”（www.ccgp.gov.cn）、“信用江苏”（www.jscredit.cn/index.htm）网站列入失信被执行人、重大税收违法案件当事人名单、政府采购严重违法失信行为记录名单。</w:t>
      </w:r>
    </w:p>
    <w:p w14:paraId="0E1D4D5F">
      <w:pPr>
        <w:spacing w:line="360" w:lineRule="auto"/>
        <w:rPr>
          <w:rFonts w:ascii="宋体" w:hAnsi="宋体" w:cs="宋体"/>
          <w:sz w:val="28"/>
          <w:szCs w:val="28"/>
        </w:rPr>
      </w:pPr>
      <w:r>
        <w:rPr>
          <w:rFonts w:hint="eastAsia" w:ascii="宋体" w:hAnsi="宋体" w:cs="宋体"/>
          <w:sz w:val="28"/>
          <w:szCs w:val="28"/>
        </w:rPr>
        <w:t xml:space="preserve">                       供应商名称（公章）：</w:t>
      </w:r>
    </w:p>
    <w:p w14:paraId="7CBFFCFA">
      <w:pPr>
        <w:spacing w:line="360" w:lineRule="auto"/>
        <w:rPr>
          <w:rFonts w:ascii="宋体" w:hAnsi="宋体" w:cs="宋体"/>
          <w:sz w:val="28"/>
          <w:szCs w:val="28"/>
        </w:rPr>
      </w:pPr>
      <w:r>
        <w:rPr>
          <w:rFonts w:hint="eastAsia" w:ascii="宋体" w:hAnsi="宋体" w:cs="宋体"/>
          <w:sz w:val="28"/>
          <w:szCs w:val="28"/>
        </w:rPr>
        <w:t xml:space="preserve">                       授权代表签字：_________________</w:t>
      </w:r>
    </w:p>
    <w:p w14:paraId="2F712548">
      <w:pPr>
        <w:spacing w:line="360" w:lineRule="auto"/>
        <w:ind w:firstLine="560"/>
        <w:rPr>
          <w:rFonts w:ascii="宋体" w:hAnsi="宋体" w:cs="宋体"/>
          <w:sz w:val="28"/>
          <w:szCs w:val="28"/>
        </w:rPr>
      </w:pPr>
      <w:r>
        <w:rPr>
          <w:rFonts w:hint="eastAsia" w:ascii="宋体" w:hAnsi="宋体" w:cs="宋体"/>
          <w:sz w:val="28"/>
          <w:szCs w:val="28"/>
        </w:rPr>
        <w:t xml:space="preserve">                           日期：______年 月日</w:t>
      </w:r>
    </w:p>
    <w:p w14:paraId="2E21AE76">
      <w:r>
        <w:rPr>
          <w:rFonts w:hint="eastAsia"/>
        </w:rPr>
        <w:br w:type="page"/>
      </w:r>
    </w:p>
    <w:p w14:paraId="2E9BFD22"/>
    <w:p w14:paraId="705A7B51">
      <w:pPr>
        <w:spacing w:line="360" w:lineRule="auto"/>
        <w:ind w:firstLine="560"/>
        <w:jc w:val="left"/>
        <w:rPr>
          <w:rFonts w:ascii="宋体" w:hAnsi="宋体" w:cs="宋体"/>
          <w:sz w:val="28"/>
          <w:szCs w:val="28"/>
        </w:rPr>
      </w:pPr>
      <w:r>
        <w:rPr>
          <w:rFonts w:hint="eastAsia" w:ascii="宋体" w:hAnsi="宋体" w:cs="宋体"/>
          <w:sz w:val="28"/>
          <w:szCs w:val="28"/>
        </w:rPr>
        <w:t>（六）项目实施所必须的许可资质证明材料</w:t>
      </w:r>
    </w:p>
    <w:p w14:paraId="6742CF00">
      <w:pPr>
        <w:pBdr>
          <w:top w:val="none" w:color="000000" w:sz="0" w:space="0"/>
          <w:left w:val="none" w:color="000000" w:sz="0" w:space="0"/>
          <w:bottom w:val="none" w:color="000000" w:sz="0" w:space="0"/>
          <w:right w:val="none" w:color="000000" w:sz="0" w:space="0"/>
        </w:pBdr>
        <w:shd w:val="clear" w:color="FFFFFF" w:fill="FFFFFF"/>
        <w:spacing w:line="360" w:lineRule="auto"/>
        <w:ind w:firstLine="567"/>
        <w:rPr>
          <w:rFonts w:ascii="宋体" w:hAnsi="宋体" w:cs="宋体"/>
          <w:sz w:val="28"/>
          <w:szCs w:val="28"/>
        </w:rPr>
      </w:pPr>
      <w:r>
        <w:rPr>
          <w:rFonts w:hint="eastAsia" w:ascii="宋体" w:hAnsi="宋体" w:cs="宋体"/>
          <w:b/>
          <w:color w:val="000000"/>
          <w:sz w:val="28"/>
          <w:szCs w:val="28"/>
        </w:rPr>
        <w:t>（1）企业资质：响应供应商须具备市政公用工程施工总承包三级及以上资质，且具备有效的安全生产许可证；</w:t>
      </w:r>
    </w:p>
    <w:p w14:paraId="77CE1867">
      <w:r>
        <w:rPr>
          <w:rFonts w:hint="eastAsia"/>
        </w:rPr>
        <w:br w:type="page"/>
      </w:r>
    </w:p>
    <w:p w14:paraId="77D00FAB"/>
    <w:p w14:paraId="256C626B">
      <w:pPr>
        <w:spacing w:line="360" w:lineRule="auto"/>
        <w:ind w:firstLine="560"/>
        <w:jc w:val="left"/>
        <w:rPr>
          <w:rFonts w:ascii="宋体" w:hAnsi="宋体" w:cs="宋体"/>
          <w:sz w:val="28"/>
          <w:szCs w:val="28"/>
        </w:rPr>
      </w:pPr>
      <w:r>
        <w:rPr>
          <w:rFonts w:hint="eastAsia" w:ascii="宋体" w:hAnsi="宋体" w:cs="宋体"/>
          <w:sz w:val="28"/>
          <w:szCs w:val="28"/>
        </w:rPr>
        <w:t>（七）法定代表人身份证明及身份证复印件</w:t>
      </w:r>
    </w:p>
    <w:p w14:paraId="48F5D222">
      <w:pPr>
        <w:spacing w:line="360" w:lineRule="auto"/>
        <w:jc w:val="center"/>
        <w:rPr>
          <w:rFonts w:ascii="宋体" w:hAnsi="宋体" w:cs="黑体"/>
          <w:b/>
          <w:bCs/>
          <w:sz w:val="32"/>
          <w:szCs w:val="32"/>
        </w:rPr>
      </w:pPr>
      <w:r>
        <w:rPr>
          <w:rFonts w:hint="eastAsia" w:ascii="宋体" w:hAnsi="宋体" w:cs="黑体"/>
          <w:b/>
          <w:bCs/>
          <w:sz w:val="32"/>
          <w:szCs w:val="32"/>
        </w:rPr>
        <w:t>法定代表人身份证明</w:t>
      </w:r>
    </w:p>
    <w:p w14:paraId="1E6E0668">
      <w:pPr>
        <w:spacing w:line="360" w:lineRule="auto"/>
        <w:rPr>
          <w:rFonts w:ascii="宋体" w:hAnsi="宋体" w:cs="黑体"/>
          <w:sz w:val="24"/>
        </w:rPr>
      </w:pPr>
    </w:p>
    <w:p w14:paraId="62488946">
      <w:pPr>
        <w:spacing w:line="360" w:lineRule="auto"/>
        <w:ind w:firstLine="480" w:firstLineChars="200"/>
        <w:rPr>
          <w:rFonts w:ascii="宋体" w:hAnsi="宋体" w:cs="黑体"/>
          <w:sz w:val="24"/>
        </w:rPr>
      </w:pPr>
      <w:r>
        <w:rPr>
          <w:rFonts w:hint="eastAsia" w:ascii="宋体" w:hAnsi="宋体" w:cs="黑体"/>
          <w:sz w:val="24"/>
        </w:rPr>
        <w:t>先生/女士： 现任我单位职务，为法定代表人，特此证明。</w:t>
      </w:r>
    </w:p>
    <w:p w14:paraId="48535C46">
      <w:pPr>
        <w:spacing w:line="360" w:lineRule="auto"/>
        <w:rPr>
          <w:rFonts w:ascii="宋体" w:hAnsi="宋体" w:cs="黑体"/>
          <w:sz w:val="24"/>
          <w:u w:val="single"/>
        </w:rPr>
      </w:pPr>
      <w:r>
        <w:rPr>
          <w:rFonts w:hint="eastAsia" w:ascii="宋体" w:hAnsi="宋体" w:cs="黑体"/>
          <w:sz w:val="24"/>
        </w:rPr>
        <w:t>身份证号码：</w:t>
      </w:r>
    </w:p>
    <w:p w14:paraId="25827425">
      <w:pPr>
        <w:spacing w:line="360" w:lineRule="auto"/>
        <w:ind w:firstLine="480"/>
        <w:rPr>
          <w:rFonts w:ascii="宋体" w:hAnsi="宋体" w:cs="黑体"/>
          <w:sz w:val="24"/>
        </w:rPr>
      </w:pPr>
    </w:p>
    <w:p w14:paraId="59BE1118">
      <w:pPr>
        <w:spacing w:line="360" w:lineRule="auto"/>
        <w:rPr>
          <w:rFonts w:ascii="宋体" w:hAnsi="宋体" w:cs="黑体"/>
          <w:b/>
          <w:sz w:val="24"/>
        </w:rPr>
      </w:pPr>
      <w:r>
        <w:rPr>
          <w:rFonts w:hint="eastAsia" w:ascii="宋体" w:hAnsi="宋体" w:cs="黑体"/>
          <w:b/>
          <w:sz w:val="24"/>
        </w:rPr>
        <w:t>注：提供法定代表人的身份证原件扫描件盖公章</w:t>
      </w:r>
    </w:p>
    <w:p w14:paraId="50086158">
      <w:pPr>
        <w:spacing w:line="360" w:lineRule="auto"/>
        <w:ind w:firstLine="480"/>
        <w:rPr>
          <w:rFonts w:ascii="宋体" w:hAnsi="宋体" w:cs="黑体"/>
          <w:sz w:val="24"/>
        </w:rPr>
      </w:pPr>
    </w:p>
    <w:p w14:paraId="041264F0">
      <w:pPr>
        <w:spacing w:line="360" w:lineRule="auto"/>
        <w:rPr>
          <w:rFonts w:ascii="宋体" w:hAnsi="宋体" w:cs="黑体"/>
        </w:rPr>
      </w:pPr>
    </w:p>
    <w:p w14:paraId="0A67CC9C">
      <w:pPr>
        <w:spacing w:line="360" w:lineRule="auto"/>
        <w:ind w:firstLine="540"/>
        <w:contextualSpacing/>
        <w:rPr>
          <w:rFonts w:ascii="宋体" w:hAnsi="宋体" w:cs="黑体"/>
          <w:b/>
          <w:sz w:val="28"/>
          <w:szCs w:val="28"/>
        </w:rPr>
      </w:pPr>
    </w:p>
    <w:p w14:paraId="5B8A25DA">
      <w:pPr>
        <w:spacing w:line="360" w:lineRule="auto"/>
        <w:contextualSpacing/>
        <w:rPr>
          <w:rFonts w:ascii="宋体" w:hAnsi="宋体" w:cs="黑体"/>
          <w:b/>
          <w:sz w:val="28"/>
          <w:szCs w:val="28"/>
          <w:lang w:val="zh-CN"/>
        </w:rPr>
      </w:pPr>
    </w:p>
    <w:p w14:paraId="64C19D0C">
      <w:pPr>
        <w:spacing w:line="360" w:lineRule="auto"/>
        <w:contextualSpacing/>
        <w:rPr>
          <w:rFonts w:ascii="宋体" w:hAnsi="宋体" w:cs="黑体"/>
          <w:b/>
          <w:sz w:val="28"/>
          <w:szCs w:val="28"/>
          <w:lang w:val="zh-CN"/>
        </w:rPr>
      </w:pPr>
    </w:p>
    <w:p w14:paraId="1AE3ABCF">
      <w:pPr>
        <w:spacing w:line="360" w:lineRule="auto"/>
        <w:ind w:firstLine="540"/>
        <w:contextualSpacing/>
        <w:rPr>
          <w:rFonts w:ascii="宋体" w:hAnsi="宋体" w:cs="黑体"/>
          <w:b/>
          <w:sz w:val="28"/>
          <w:szCs w:val="28"/>
          <w:lang w:val="zh-CN"/>
        </w:rPr>
      </w:pPr>
    </w:p>
    <w:p w14:paraId="3529DE05">
      <w:pPr>
        <w:spacing w:line="360" w:lineRule="auto"/>
        <w:ind w:firstLine="3120" w:firstLineChars="1300"/>
        <w:rPr>
          <w:rFonts w:ascii="宋体" w:hAnsi="宋体" w:cs="黑体"/>
          <w:sz w:val="24"/>
        </w:rPr>
      </w:pPr>
      <w:r>
        <w:rPr>
          <w:rFonts w:hint="eastAsia" w:ascii="宋体" w:hAnsi="宋体" w:cs="黑体"/>
          <w:sz w:val="24"/>
        </w:rPr>
        <w:t>供应商：（盖单位章）</w:t>
      </w:r>
    </w:p>
    <w:p w14:paraId="7F992111"/>
    <w:p w14:paraId="61A13FD5">
      <w:pPr>
        <w:spacing w:line="360" w:lineRule="auto"/>
        <w:ind w:firstLine="3120"/>
        <w:contextualSpacing/>
        <w:rPr>
          <w:rFonts w:ascii="宋体" w:hAnsi="宋体" w:cs="黑体"/>
          <w:bCs/>
          <w:sz w:val="24"/>
        </w:rPr>
      </w:pPr>
      <w:r>
        <w:rPr>
          <w:rFonts w:hint="eastAsia" w:ascii="宋体" w:hAnsi="宋体" w:cs="黑体"/>
          <w:bCs/>
          <w:sz w:val="24"/>
        </w:rPr>
        <w:t>日期：</w:t>
      </w:r>
    </w:p>
    <w:p w14:paraId="5BCE6EBC">
      <w:r>
        <w:rPr>
          <w:rFonts w:hint="eastAsia"/>
        </w:rPr>
        <w:br w:type="page"/>
      </w:r>
    </w:p>
    <w:p w14:paraId="25B2B2CC">
      <w:pPr>
        <w:spacing w:line="360" w:lineRule="auto"/>
        <w:ind w:firstLine="560"/>
        <w:jc w:val="left"/>
        <w:rPr>
          <w:rFonts w:ascii="宋体" w:hAnsi="宋体" w:cs="宋体"/>
          <w:sz w:val="28"/>
          <w:szCs w:val="28"/>
        </w:rPr>
      </w:pPr>
      <w:r>
        <w:rPr>
          <w:rFonts w:hint="eastAsia" w:ascii="宋体" w:hAnsi="宋体" w:cs="宋体"/>
          <w:sz w:val="28"/>
          <w:szCs w:val="28"/>
          <w:highlight w:val="lightGray"/>
        </w:rPr>
        <w:t>（八）法定代表人授权委托书。</w:t>
      </w:r>
      <w:r>
        <w:rPr>
          <w:rFonts w:hint="eastAsia" w:ascii="宋体" w:hAnsi="宋体" w:cs="宋体"/>
          <w:sz w:val="28"/>
          <w:szCs w:val="28"/>
        </w:rPr>
        <w:t>（法定代表人参加磋商采购活动的，无需提供）</w:t>
      </w:r>
    </w:p>
    <w:p w14:paraId="68DA87A9">
      <w:pPr>
        <w:spacing w:line="360" w:lineRule="auto"/>
        <w:jc w:val="center"/>
        <w:rPr>
          <w:rFonts w:ascii="宋体" w:hAnsi="宋体" w:cs="宋体"/>
          <w:i/>
          <w:sz w:val="24"/>
        </w:rPr>
      </w:pPr>
      <w:r>
        <w:rPr>
          <w:rFonts w:hint="eastAsia" w:ascii="宋体" w:hAnsi="宋体" w:cs="宋体"/>
          <w:sz w:val="24"/>
        </w:rPr>
        <w:t>法定代表人授权委托书</w:t>
      </w:r>
    </w:p>
    <w:p w14:paraId="7D7E1443">
      <w:pPr>
        <w:pStyle w:val="210"/>
        <w:spacing w:line="360" w:lineRule="auto"/>
        <w:ind w:firstLine="480"/>
        <w:rPr>
          <w:rFonts w:ascii="宋体" w:hAnsi="宋体" w:cs="宋体"/>
          <w:color w:val="auto"/>
        </w:rPr>
      </w:pPr>
      <w:r>
        <w:rPr>
          <w:rFonts w:hint="eastAsia" w:ascii="宋体" w:hAnsi="宋体" w:cs="宋体"/>
          <w:color w:val="auto"/>
        </w:rPr>
        <w:t>本授权书声明：（供应商名称）授权（代理人的姓名）为我方就项目名称：</w:t>
      </w:r>
      <w:r>
        <w:rPr>
          <w:rFonts w:hint="eastAsia" w:ascii="宋体" w:hAnsi="宋体" w:cs="宋体"/>
          <w:color w:val="auto"/>
          <w:u w:val="single"/>
        </w:rPr>
        <w:t xml:space="preserve"> 搬经镇2026-2027年度道路、桥梁、市政、建筑等公共基础设施维修工程  </w:t>
      </w:r>
      <w:r>
        <w:rPr>
          <w:rFonts w:hint="eastAsia" w:ascii="宋体" w:hAnsi="宋体" w:cs="宋体"/>
          <w:color w:val="auto"/>
        </w:rPr>
        <w:t>项目编号：</w:t>
      </w:r>
      <w:r>
        <w:rPr>
          <w:rFonts w:hint="eastAsia" w:ascii="宋体" w:hAnsi="宋体" w:cs="宋体"/>
          <w:color w:val="auto"/>
          <w:u w:val="single"/>
        </w:rPr>
        <w:t xml:space="preserve"> JSZC-320682-JGGC-C2026-0007 </w:t>
      </w:r>
      <w:r>
        <w:rPr>
          <w:rFonts w:hint="eastAsia" w:ascii="宋体" w:hAnsi="宋体" w:cs="宋体"/>
          <w:color w:val="auto"/>
        </w:rPr>
        <w:t>采购活动的合法代理人，以本公司名义全权处理一切与该项目采购有关的事务。</w:t>
      </w:r>
    </w:p>
    <w:p w14:paraId="7785E17D">
      <w:pPr>
        <w:pStyle w:val="210"/>
        <w:spacing w:line="360" w:lineRule="auto"/>
        <w:ind w:firstLine="480"/>
        <w:rPr>
          <w:rFonts w:ascii="宋体" w:hAnsi="宋体" w:cs="宋体"/>
          <w:color w:val="auto"/>
        </w:rPr>
      </w:pPr>
      <w:r>
        <w:rPr>
          <w:rFonts w:hint="eastAsia" w:ascii="宋体" w:hAnsi="宋体" w:cs="宋体"/>
          <w:color w:val="auto"/>
        </w:rPr>
        <w:t>本授权书于______年____月____日起生效，特此声明。</w:t>
      </w:r>
    </w:p>
    <w:p w14:paraId="0B203E4F">
      <w:pPr>
        <w:pStyle w:val="210"/>
        <w:spacing w:line="360" w:lineRule="auto"/>
        <w:ind w:firstLine="480"/>
        <w:rPr>
          <w:rFonts w:ascii="宋体" w:hAnsi="宋体" w:cs="宋体"/>
          <w:color w:val="auto"/>
        </w:rPr>
      </w:pPr>
    </w:p>
    <w:p w14:paraId="736C5968">
      <w:pPr>
        <w:pStyle w:val="210"/>
        <w:spacing w:line="360" w:lineRule="auto"/>
        <w:ind w:firstLine="480"/>
        <w:rPr>
          <w:rFonts w:ascii="宋体" w:hAnsi="宋体" w:cs="宋体"/>
          <w:color w:val="auto"/>
          <w:u w:val="single"/>
        </w:rPr>
      </w:pPr>
      <w:r>
        <w:rPr>
          <w:rFonts w:hint="eastAsia" w:ascii="宋体" w:hAnsi="宋体" w:cs="宋体"/>
          <w:color w:val="auto"/>
        </w:rPr>
        <w:t xml:space="preserve">法定代表人（签字）： </w:t>
      </w:r>
    </w:p>
    <w:p w14:paraId="3489048A">
      <w:pPr>
        <w:pStyle w:val="210"/>
        <w:spacing w:line="360" w:lineRule="auto"/>
        <w:ind w:firstLine="480"/>
        <w:rPr>
          <w:rFonts w:ascii="宋体" w:hAnsi="宋体" w:cs="宋体"/>
          <w:color w:val="auto"/>
        </w:rPr>
      </w:pPr>
      <w:r>
        <w:rPr>
          <w:rFonts w:hint="eastAsia" w:ascii="宋体" w:hAnsi="宋体" w:cs="宋体"/>
          <w:color w:val="auto"/>
        </w:rPr>
        <w:t>身份证号码：</w:t>
      </w:r>
    </w:p>
    <w:p w14:paraId="0CEC7D13">
      <w:pPr>
        <w:pStyle w:val="210"/>
        <w:spacing w:line="360" w:lineRule="auto"/>
        <w:ind w:firstLine="232"/>
        <w:rPr>
          <w:rFonts w:ascii="宋体" w:hAnsi="宋体" w:cs="宋体"/>
          <w:color w:val="auto"/>
        </w:rPr>
      </w:pPr>
      <w:r>
        <w:rPr>
          <w:rFonts w:hint="eastAsia" w:ascii="宋体" w:hAnsi="宋体" w:cs="宋体"/>
          <w:color w:val="auto"/>
        </w:rPr>
        <w:t xml:space="preserve">  联系电话（手机）：</w:t>
      </w:r>
    </w:p>
    <w:p w14:paraId="5372D7E6">
      <w:pPr>
        <w:pStyle w:val="210"/>
        <w:spacing w:line="360" w:lineRule="auto"/>
        <w:ind w:firstLine="480"/>
        <w:rPr>
          <w:rFonts w:ascii="宋体" w:hAnsi="宋体" w:cs="宋体"/>
          <w:color w:val="auto"/>
        </w:rPr>
      </w:pPr>
    </w:p>
    <w:p w14:paraId="59AA98D6">
      <w:pPr>
        <w:pStyle w:val="210"/>
        <w:spacing w:line="360" w:lineRule="auto"/>
        <w:ind w:firstLine="480"/>
        <w:rPr>
          <w:rFonts w:ascii="宋体" w:hAnsi="宋体" w:cs="宋体"/>
          <w:color w:val="auto"/>
        </w:rPr>
      </w:pPr>
      <w:r>
        <w:rPr>
          <w:rFonts w:hint="eastAsia" w:ascii="宋体" w:hAnsi="宋体" w:cs="宋体"/>
          <w:color w:val="auto"/>
        </w:rPr>
        <w:t>代理人姓名：</w:t>
      </w:r>
    </w:p>
    <w:p w14:paraId="57C49B46">
      <w:pPr>
        <w:pStyle w:val="210"/>
        <w:spacing w:line="360" w:lineRule="auto"/>
        <w:ind w:firstLine="480"/>
        <w:rPr>
          <w:rFonts w:ascii="宋体" w:hAnsi="宋体" w:cs="宋体"/>
          <w:color w:val="auto"/>
        </w:rPr>
      </w:pPr>
      <w:r>
        <w:rPr>
          <w:rFonts w:hint="eastAsia" w:ascii="宋体" w:hAnsi="宋体" w:cs="宋体"/>
          <w:color w:val="auto"/>
        </w:rPr>
        <w:t xml:space="preserve">身份证号码：                         </w:t>
      </w:r>
    </w:p>
    <w:p w14:paraId="05956F78">
      <w:pPr>
        <w:pStyle w:val="210"/>
        <w:spacing w:line="360" w:lineRule="auto"/>
        <w:ind w:firstLine="480"/>
        <w:rPr>
          <w:rFonts w:ascii="宋体" w:hAnsi="宋体" w:cs="宋体"/>
          <w:color w:val="auto"/>
        </w:rPr>
      </w:pPr>
      <w:r>
        <w:rPr>
          <w:rFonts w:hint="eastAsia" w:ascii="宋体" w:hAnsi="宋体" w:cs="宋体"/>
          <w:color w:val="auto"/>
        </w:rPr>
        <w:t xml:space="preserve">联系电话（手机）：                    </w:t>
      </w:r>
    </w:p>
    <w:p w14:paraId="341736FB">
      <w:pPr>
        <w:pStyle w:val="210"/>
        <w:spacing w:line="360" w:lineRule="auto"/>
        <w:ind w:firstLine="480"/>
        <w:rPr>
          <w:rFonts w:ascii="宋体" w:hAnsi="宋体" w:cs="宋体"/>
          <w:color w:val="auto"/>
        </w:rPr>
      </w:pPr>
    </w:p>
    <w:p w14:paraId="5B8D177E">
      <w:pPr>
        <w:pStyle w:val="210"/>
        <w:spacing w:line="360" w:lineRule="auto"/>
        <w:ind w:firstLine="1260"/>
        <w:rPr>
          <w:rFonts w:ascii="宋体" w:hAnsi="宋体" w:cs="宋体"/>
          <w:color w:val="auto"/>
        </w:rPr>
      </w:pPr>
      <w:r>
        <w:rPr>
          <w:rFonts w:hint="eastAsia" w:ascii="宋体" w:hAnsi="宋体" w:cs="宋体"/>
          <w:color w:val="auto"/>
        </w:rPr>
        <w:t>供应商名称（加盖公章）：</w:t>
      </w:r>
    </w:p>
    <w:p w14:paraId="384274EB">
      <w:pPr>
        <w:pStyle w:val="210"/>
        <w:spacing w:line="360" w:lineRule="auto"/>
        <w:ind w:firstLine="6020"/>
        <w:rPr>
          <w:rFonts w:ascii="宋体" w:hAnsi="宋体" w:cs="宋体"/>
          <w:color w:val="auto"/>
        </w:rPr>
      </w:pPr>
      <w:r>
        <w:rPr>
          <w:rFonts w:hint="eastAsia" w:ascii="宋体" w:hAnsi="宋体" w:cs="宋体"/>
          <w:color w:val="auto"/>
        </w:rPr>
        <w:t xml:space="preserve">    年   月   日</w:t>
      </w:r>
    </w:p>
    <w:p w14:paraId="4D7FA9E6">
      <w:pPr>
        <w:pStyle w:val="210"/>
        <w:spacing w:line="360" w:lineRule="auto"/>
        <w:ind w:firstLine="480"/>
        <w:rPr>
          <w:rFonts w:ascii="宋体" w:hAnsi="宋体" w:cs="宋体"/>
          <w:color w:val="auto"/>
        </w:rPr>
      </w:pPr>
      <w:bookmarkStart w:id="36" w:name="_Hlt26671380"/>
      <w:bookmarkEnd w:id="36"/>
      <w:bookmarkStart w:id="37" w:name="_格式3__银行出具的资信证明"/>
      <w:bookmarkEnd w:id="37"/>
      <w:bookmarkStart w:id="38" w:name="_Hlt26955070"/>
      <w:bookmarkEnd w:id="38"/>
    </w:p>
    <w:p w14:paraId="509D22B2">
      <w:pPr>
        <w:pStyle w:val="5"/>
        <w:spacing w:line="360" w:lineRule="auto"/>
        <w:ind w:firstLine="560"/>
        <w:rPr>
          <w:rFonts w:ascii="宋体" w:hAnsi="宋体" w:cs="宋体"/>
          <w:sz w:val="24"/>
        </w:rPr>
      </w:pPr>
      <w:r>
        <w:rPr>
          <w:rFonts w:hint="eastAsia" w:ascii="宋体" w:hAnsi="宋体" w:cs="宋体"/>
          <w:sz w:val="24"/>
        </w:rPr>
        <w:t>法定代表人身份证复印件</w:t>
      </w:r>
    </w:p>
    <w:p w14:paraId="00F2F968">
      <w:pPr>
        <w:pStyle w:val="5"/>
        <w:spacing w:line="360" w:lineRule="auto"/>
        <w:ind w:firstLine="1400"/>
        <w:rPr>
          <w:rFonts w:ascii="宋体" w:hAnsi="宋体" w:cs="宋体"/>
          <w:sz w:val="24"/>
        </w:rPr>
      </w:pPr>
    </w:p>
    <w:p w14:paraId="31D0079D">
      <w:pPr>
        <w:pStyle w:val="5"/>
        <w:spacing w:line="360" w:lineRule="auto"/>
        <w:ind w:firstLine="560"/>
        <w:rPr>
          <w:rFonts w:ascii="宋体" w:hAnsi="宋体" w:cs="宋体"/>
          <w:sz w:val="24"/>
        </w:rPr>
      </w:pPr>
    </w:p>
    <w:p w14:paraId="032C5572">
      <w:pPr>
        <w:pStyle w:val="5"/>
        <w:spacing w:line="360" w:lineRule="auto"/>
        <w:ind w:firstLine="490"/>
        <w:rPr>
          <w:rFonts w:ascii="宋体" w:hAnsi="宋体" w:cs="宋体"/>
          <w:sz w:val="24"/>
        </w:rPr>
      </w:pPr>
      <w:r>
        <w:rPr>
          <w:rFonts w:hint="eastAsia" w:ascii="宋体" w:hAnsi="宋体" w:cs="宋体"/>
          <w:sz w:val="24"/>
        </w:rPr>
        <w:t>代理人身份证复印件</w:t>
      </w:r>
    </w:p>
    <w:p w14:paraId="7EB2B7FC">
      <w:pPr>
        <w:pStyle w:val="5"/>
        <w:spacing w:line="360" w:lineRule="auto"/>
        <w:rPr>
          <w:rFonts w:ascii="宋体" w:hAnsi="宋体" w:cs="宋体"/>
          <w:sz w:val="24"/>
        </w:rPr>
      </w:pPr>
    </w:p>
    <w:p w14:paraId="41ECCBB0">
      <w:pPr>
        <w:pBdr>
          <w:top w:val="none" w:color="000000" w:sz="0" w:space="0"/>
          <w:left w:val="none" w:color="000000" w:sz="0" w:space="0"/>
          <w:bottom w:val="none" w:color="000000" w:sz="0" w:space="0"/>
          <w:right w:val="none" w:color="000000" w:sz="0" w:space="0"/>
        </w:pBdr>
        <w:spacing w:line="360" w:lineRule="auto"/>
        <w:rPr>
          <w:rFonts w:ascii="宋体" w:hAnsi="宋体" w:cs="宋体"/>
          <w:sz w:val="24"/>
        </w:rPr>
      </w:pPr>
      <w:r>
        <w:rPr>
          <w:rFonts w:hint="eastAsia" w:ascii="宋体" w:hAnsi="宋体" w:cs="宋体"/>
          <w:color w:val="000000"/>
          <w:sz w:val="24"/>
        </w:rPr>
        <w:t>注：代理人须为响应供应商的正式员工，须提供响应文件提交截止日前最近1个月响应供应商为其缴纳社保的证明；新成立企业距响应文件提交截止日期不足30日的，可不提供缴纳社保的证明（以新办企业营业执照发放日期为准）。</w:t>
      </w:r>
    </w:p>
    <w:p w14:paraId="08CE52A3">
      <w:pPr>
        <w:spacing w:line="360" w:lineRule="auto"/>
        <w:ind w:firstLine="480"/>
        <w:jc w:val="left"/>
        <w:rPr>
          <w:rFonts w:ascii="宋体" w:hAnsi="宋体" w:cs="宋体"/>
          <w:sz w:val="24"/>
        </w:rPr>
      </w:pPr>
    </w:p>
    <w:p w14:paraId="61D97F8B">
      <w:pPr>
        <w:spacing w:line="360" w:lineRule="auto"/>
        <w:ind w:firstLine="480"/>
        <w:jc w:val="left"/>
        <w:rPr>
          <w:rFonts w:ascii="宋体" w:hAnsi="宋体" w:cs="宋体"/>
          <w:sz w:val="28"/>
          <w:szCs w:val="28"/>
        </w:rPr>
      </w:pPr>
      <w:r>
        <w:rPr>
          <w:rFonts w:hint="eastAsia" w:ascii="宋体" w:hAnsi="宋体" w:cs="宋体"/>
          <w:bCs/>
          <w:sz w:val="28"/>
          <w:szCs w:val="28"/>
        </w:rPr>
        <w:br w:type="page" w:clear="all"/>
      </w:r>
      <w:r>
        <w:rPr>
          <w:rFonts w:hint="eastAsia" w:ascii="宋体" w:hAnsi="宋体" w:cs="宋体"/>
          <w:bCs/>
          <w:sz w:val="28"/>
          <w:szCs w:val="28"/>
        </w:rPr>
        <w:t>（九）</w:t>
      </w:r>
      <w:r>
        <w:rPr>
          <w:rFonts w:hint="eastAsia" w:ascii="宋体" w:hAnsi="宋体" w:cs="宋体"/>
          <w:sz w:val="28"/>
          <w:szCs w:val="28"/>
        </w:rPr>
        <w:t>磋商响应函</w:t>
      </w:r>
    </w:p>
    <w:p w14:paraId="7E91A7DE">
      <w:pPr>
        <w:spacing w:line="360" w:lineRule="auto"/>
        <w:jc w:val="center"/>
        <w:rPr>
          <w:rFonts w:ascii="宋体" w:hAnsi="宋体" w:cs="宋体"/>
          <w:sz w:val="36"/>
          <w:szCs w:val="36"/>
        </w:rPr>
      </w:pPr>
      <w:r>
        <w:rPr>
          <w:rFonts w:hint="eastAsia" w:ascii="宋体" w:hAnsi="宋体" w:cs="宋体"/>
          <w:sz w:val="36"/>
          <w:szCs w:val="36"/>
        </w:rPr>
        <w:t>竞争性磋商响应函</w:t>
      </w:r>
    </w:p>
    <w:p w14:paraId="57F6B523">
      <w:pPr>
        <w:pStyle w:val="210"/>
        <w:spacing w:line="360" w:lineRule="auto"/>
        <w:rPr>
          <w:rFonts w:ascii="宋体" w:hAnsi="宋体" w:cs="宋体"/>
          <w:color w:val="auto"/>
        </w:rPr>
      </w:pPr>
      <w:r>
        <w:rPr>
          <w:rFonts w:hint="eastAsia" w:ascii="宋体" w:hAnsi="宋体" w:cs="宋体"/>
          <w:color w:val="auto"/>
        </w:rPr>
        <w:t>致：如皋市搬经镇人民政府</w:t>
      </w:r>
    </w:p>
    <w:p w14:paraId="0355950D">
      <w:pPr>
        <w:pStyle w:val="210"/>
        <w:spacing w:line="360" w:lineRule="auto"/>
        <w:ind w:firstLine="560"/>
        <w:rPr>
          <w:rFonts w:ascii="宋体" w:hAnsi="宋体" w:cs="宋体"/>
          <w:color w:val="auto"/>
        </w:rPr>
      </w:pPr>
      <w:r>
        <w:rPr>
          <w:rFonts w:hint="eastAsia" w:ascii="宋体" w:hAnsi="宋体" w:cs="宋体"/>
          <w:color w:val="auto"/>
        </w:rPr>
        <w:t>根据贵方的</w:t>
      </w:r>
      <w:r>
        <w:rPr>
          <w:rFonts w:hint="eastAsia" w:ascii="宋体" w:hAnsi="宋体" w:cs="宋体"/>
          <w:color w:val="auto"/>
          <w:u w:val="single"/>
        </w:rPr>
        <w:t xml:space="preserve"> 搬经镇2026-2027年度道路、桥梁、市政、建筑等公共基础设施维修工程</w:t>
      </w:r>
      <w:r>
        <w:rPr>
          <w:rFonts w:hint="eastAsia" w:ascii="宋体" w:hAnsi="宋体" w:cs="宋体"/>
          <w:color w:val="auto"/>
        </w:rPr>
        <w:t>（项目编号：JSZC-320682-JGGC-C2026-0007）竞争性磋商文件，正式授权下述签字人_________ （姓名和职务）代表我方______________（供应商的名称），全权处理本次项目磋商采购的有关事宜。</w:t>
      </w:r>
    </w:p>
    <w:p w14:paraId="26EB2B1F">
      <w:pPr>
        <w:pStyle w:val="210"/>
        <w:spacing w:line="360" w:lineRule="auto"/>
        <w:ind w:firstLine="560"/>
        <w:rPr>
          <w:rFonts w:ascii="宋体" w:hAnsi="宋体" w:cs="宋体"/>
          <w:color w:val="auto"/>
        </w:rPr>
      </w:pPr>
      <w:r>
        <w:rPr>
          <w:rFonts w:hint="eastAsia" w:ascii="宋体" w:hAnsi="宋体" w:cs="宋体"/>
          <w:color w:val="auto"/>
        </w:rPr>
        <w:t>据此函，__________（签字人）兹宣布同意如下：</w:t>
      </w:r>
    </w:p>
    <w:p w14:paraId="02E98A21">
      <w:pPr>
        <w:pStyle w:val="210"/>
        <w:spacing w:line="360" w:lineRule="auto"/>
        <w:ind w:firstLine="560"/>
        <w:rPr>
          <w:rFonts w:ascii="宋体" w:hAnsi="宋体" w:cs="宋体"/>
          <w:color w:val="auto"/>
        </w:rPr>
      </w:pPr>
      <w:r>
        <w:rPr>
          <w:rFonts w:hint="eastAsia" w:ascii="宋体" w:hAnsi="宋体" w:cs="宋体"/>
          <w:color w:val="auto"/>
        </w:rPr>
        <w:t>1.按磋商文件规定的各项要求，向买方提供所需货物、服务。</w:t>
      </w:r>
    </w:p>
    <w:p w14:paraId="7EEA9DC3">
      <w:pPr>
        <w:pStyle w:val="210"/>
        <w:spacing w:line="360" w:lineRule="auto"/>
        <w:ind w:firstLine="560"/>
        <w:rPr>
          <w:rFonts w:ascii="宋体" w:hAnsi="宋体" w:cs="宋体"/>
          <w:color w:val="auto"/>
        </w:rPr>
      </w:pPr>
      <w:r>
        <w:rPr>
          <w:rFonts w:hint="eastAsia" w:ascii="宋体" w:hAnsi="宋体" w:cs="宋体"/>
          <w:color w:val="auto"/>
        </w:rPr>
        <w:t>2.我们已详细审核全部磋商文件及其有效补充文件，我们知道必须放弃提出含糊不清或误解问题的权利。</w:t>
      </w:r>
    </w:p>
    <w:p w14:paraId="5108EA48">
      <w:pPr>
        <w:pStyle w:val="210"/>
        <w:spacing w:line="360" w:lineRule="auto"/>
        <w:ind w:firstLine="560"/>
        <w:rPr>
          <w:rFonts w:ascii="宋体" w:hAnsi="宋体" w:cs="宋体"/>
          <w:color w:val="auto"/>
        </w:rPr>
      </w:pPr>
      <w:r>
        <w:rPr>
          <w:rFonts w:hint="eastAsia" w:ascii="宋体" w:hAnsi="宋体" w:cs="宋体"/>
          <w:color w:val="auto"/>
        </w:rPr>
        <w:t>3.我们同意从规定的响应文件接收截止时间起遵循本响应文件，并在规定的磋商有效期期满之前均具有约束力。</w:t>
      </w:r>
    </w:p>
    <w:p w14:paraId="4BAB6AE4">
      <w:pPr>
        <w:pStyle w:val="210"/>
        <w:spacing w:line="360" w:lineRule="auto"/>
        <w:ind w:firstLine="560"/>
        <w:rPr>
          <w:rFonts w:ascii="宋体" w:hAnsi="宋体" w:cs="宋体"/>
          <w:color w:val="auto"/>
        </w:rPr>
      </w:pPr>
      <w:r>
        <w:rPr>
          <w:rFonts w:hint="eastAsia" w:ascii="宋体" w:hAnsi="宋体" w:cs="宋体"/>
          <w:color w:val="auto"/>
        </w:rPr>
        <w:t>4.同意向贵方提供贵方可能另外要求的与竞争性磋商活动有关的任何证据或资料，并保证我方已提供和将要提供的文件是真实的、准确的。</w:t>
      </w:r>
    </w:p>
    <w:p w14:paraId="188F429C">
      <w:pPr>
        <w:pStyle w:val="210"/>
        <w:spacing w:line="360" w:lineRule="auto"/>
        <w:ind w:firstLine="560"/>
        <w:rPr>
          <w:rFonts w:ascii="宋体" w:hAnsi="宋体" w:cs="宋体"/>
          <w:color w:val="auto"/>
        </w:rPr>
      </w:pPr>
      <w:r>
        <w:rPr>
          <w:rFonts w:hint="eastAsia" w:ascii="宋体" w:hAnsi="宋体" w:cs="宋体"/>
          <w:color w:val="auto"/>
        </w:rPr>
        <w:t>5.如果我方成交，我方将在法定期限内签订合同，否则将承担相应法律责任。</w:t>
      </w:r>
    </w:p>
    <w:p w14:paraId="3B7329B1">
      <w:pPr>
        <w:pStyle w:val="210"/>
        <w:spacing w:line="360" w:lineRule="auto"/>
        <w:ind w:firstLine="560"/>
        <w:rPr>
          <w:rFonts w:ascii="宋体" w:hAnsi="宋体" w:cs="宋体"/>
          <w:color w:val="auto"/>
        </w:rPr>
      </w:pPr>
      <w:r>
        <w:rPr>
          <w:rFonts w:hint="eastAsia" w:ascii="宋体" w:hAnsi="宋体" w:cs="宋体"/>
          <w:color w:val="auto"/>
        </w:rPr>
        <w:t>6.我方将根据竞争性磋商文件的规定，严格履行合同的责任和义务，并保证在磋商文件规定的时间内完成项目。</w:t>
      </w:r>
    </w:p>
    <w:p w14:paraId="6A283167">
      <w:pPr>
        <w:pStyle w:val="210"/>
        <w:spacing w:line="360" w:lineRule="auto"/>
        <w:ind w:firstLine="560"/>
        <w:rPr>
          <w:rFonts w:ascii="宋体" w:hAnsi="宋体" w:cs="宋体"/>
          <w:color w:val="auto"/>
        </w:rPr>
      </w:pPr>
      <w:r>
        <w:rPr>
          <w:rFonts w:hint="eastAsia" w:ascii="宋体" w:hAnsi="宋体" w:cs="宋体"/>
          <w:color w:val="auto"/>
        </w:rPr>
        <w:t>7.遵守竞争性磋商文件中要求的收费项目和标准。</w:t>
      </w:r>
    </w:p>
    <w:p w14:paraId="47081EF2">
      <w:pPr>
        <w:pStyle w:val="210"/>
        <w:spacing w:line="360" w:lineRule="auto"/>
        <w:ind w:firstLine="560"/>
        <w:rPr>
          <w:rFonts w:ascii="宋体" w:hAnsi="宋体" w:cs="宋体"/>
          <w:color w:val="auto"/>
        </w:rPr>
      </w:pPr>
      <w:r>
        <w:rPr>
          <w:rFonts w:hint="eastAsia" w:ascii="宋体" w:hAnsi="宋体" w:cs="宋体"/>
          <w:color w:val="auto"/>
        </w:rPr>
        <w:t>8.与本次竞争性磋商活动有关的正式通讯地址为：</w:t>
      </w:r>
    </w:p>
    <w:p w14:paraId="1CF5E90C">
      <w:pPr>
        <w:pStyle w:val="210"/>
        <w:spacing w:line="360" w:lineRule="auto"/>
        <w:rPr>
          <w:rFonts w:ascii="宋体" w:hAnsi="宋体" w:cs="宋体"/>
          <w:color w:val="auto"/>
        </w:rPr>
      </w:pPr>
      <w:r>
        <w:rPr>
          <w:rFonts w:hint="eastAsia" w:ascii="宋体" w:hAnsi="宋体" w:cs="宋体"/>
          <w:color w:val="auto"/>
        </w:rPr>
        <w:t>地 址：                         邮 编：</w:t>
      </w:r>
    </w:p>
    <w:p w14:paraId="5BE88DCE">
      <w:pPr>
        <w:pStyle w:val="210"/>
        <w:spacing w:line="360" w:lineRule="auto"/>
        <w:rPr>
          <w:rFonts w:ascii="宋体" w:hAnsi="宋体" w:cs="宋体"/>
          <w:color w:val="auto"/>
        </w:rPr>
      </w:pPr>
      <w:r>
        <w:rPr>
          <w:rFonts w:hint="eastAsia" w:ascii="宋体" w:hAnsi="宋体" w:cs="宋体"/>
          <w:color w:val="auto"/>
        </w:rPr>
        <w:t>电 话：                         传 真：</w:t>
      </w:r>
    </w:p>
    <w:p w14:paraId="445D15A3">
      <w:pPr>
        <w:pStyle w:val="210"/>
        <w:spacing w:line="360" w:lineRule="auto"/>
        <w:rPr>
          <w:rFonts w:ascii="宋体" w:hAnsi="宋体" w:cs="宋体"/>
          <w:color w:val="auto"/>
        </w:rPr>
      </w:pPr>
      <w:r>
        <w:rPr>
          <w:rFonts w:hint="eastAsia" w:ascii="宋体" w:hAnsi="宋体" w:cs="宋体"/>
          <w:color w:val="auto"/>
        </w:rPr>
        <w:t xml:space="preserve">供应商开户行：                  账 户： </w:t>
      </w:r>
    </w:p>
    <w:p w14:paraId="2E03F7FD">
      <w:pPr>
        <w:pStyle w:val="210"/>
        <w:spacing w:line="360" w:lineRule="auto"/>
        <w:rPr>
          <w:rFonts w:ascii="宋体" w:hAnsi="宋体" w:cs="宋体"/>
          <w:color w:val="auto"/>
        </w:rPr>
      </w:pPr>
      <w:r>
        <w:rPr>
          <w:rFonts w:hint="eastAsia" w:ascii="宋体" w:hAnsi="宋体" w:cs="宋体"/>
          <w:color w:val="auto"/>
        </w:rPr>
        <w:t xml:space="preserve">供应商名称（公章）：            </w:t>
      </w:r>
    </w:p>
    <w:p w14:paraId="7EEF1120">
      <w:pPr>
        <w:pStyle w:val="210"/>
        <w:spacing w:line="360" w:lineRule="auto"/>
        <w:rPr>
          <w:rFonts w:ascii="宋体" w:hAnsi="宋体" w:cs="宋体"/>
          <w:color w:val="auto"/>
        </w:rPr>
      </w:pPr>
      <w:r>
        <w:rPr>
          <w:rFonts w:hint="eastAsia" w:ascii="宋体" w:hAnsi="宋体" w:cs="宋体"/>
          <w:color w:val="auto"/>
        </w:rPr>
        <w:t>日 期：________年____月____日</w:t>
      </w:r>
    </w:p>
    <w:p w14:paraId="03BE7A7A">
      <w:pPr>
        <w:spacing w:line="360" w:lineRule="auto"/>
        <w:ind w:firstLine="480"/>
        <w:jc w:val="left"/>
        <w:rPr>
          <w:rFonts w:ascii="宋体" w:hAnsi="宋体" w:cs="宋体"/>
          <w:b/>
          <w:bCs/>
          <w:sz w:val="28"/>
          <w:szCs w:val="28"/>
        </w:rPr>
      </w:pPr>
      <w:r>
        <w:rPr>
          <w:rFonts w:hint="eastAsia" w:ascii="宋体" w:hAnsi="宋体" w:cs="宋体"/>
          <w:bCs/>
          <w:sz w:val="28"/>
          <w:szCs w:val="28"/>
        </w:rPr>
        <w:br w:type="page" w:clear="all"/>
      </w:r>
      <w:r>
        <w:rPr>
          <w:rFonts w:hint="eastAsia" w:ascii="宋体" w:hAnsi="宋体" w:cs="宋体"/>
          <w:bCs/>
          <w:sz w:val="28"/>
          <w:szCs w:val="28"/>
          <w:highlight w:val="lightGray"/>
        </w:rPr>
        <w:t>（十）</w:t>
      </w:r>
      <w:r>
        <w:rPr>
          <w:rFonts w:hint="eastAsia" w:ascii="宋体" w:hAnsi="宋体" w:cs="宋体"/>
          <w:sz w:val="28"/>
          <w:szCs w:val="28"/>
          <w:highlight w:val="lightGray"/>
        </w:rPr>
        <w:t>其他资格证明材料</w:t>
      </w:r>
    </w:p>
    <w:p w14:paraId="35A53F46">
      <w:pPr>
        <w:spacing w:line="360" w:lineRule="auto"/>
        <w:ind w:firstLine="562"/>
        <w:rPr>
          <w:rFonts w:ascii="宋体" w:hAnsi="宋体" w:cs="宋体"/>
          <w:b/>
          <w:sz w:val="28"/>
          <w:szCs w:val="28"/>
        </w:rPr>
      </w:pPr>
      <w:r>
        <w:rPr>
          <w:rFonts w:hint="eastAsia" w:ascii="宋体" w:hAnsi="宋体" w:cs="宋体"/>
          <w:b/>
          <w:sz w:val="28"/>
          <w:szCs w:val="28"/>
        </w:rPr>
        <w:t>注意：以上资格证明文件中要求加盖公章的，必须加盖公章；如供应商组成联合体参加磋商，则联合体各方均须加盖公章，否则视为无效磋商响应文件。</w:t>
      </w:r>
    </w:p>
    <w:p w14:paraId="580E47BB">
      <w:pPr>
        <w:spacing w:line="360" w:lineRule="auto"/>
        <w:ind w:firstLine="560"/>
        <w:outlineLvl w:val="1"/>
        <w:rPr>
          <w:rFonts w:ascii="宋体" w:hAnsi="宋体" w:cs="宋体"/>
          <w:bCs/>
          <w:sz w:val="28"/>
          <w:szCs w:val="28"/>
        </w:rPr>
      </w:pPr>
      <w:r>
        <w:rPr>
          <w:rFonts w:hint="eastAsia" w:ascii="宋体" w:hAnsi="宋体" w:cs="宋体"/>
          <w:sz w:val="28"/>
          <w:szCs w:val="28"/>
        </w:rPr>
        <w:br w:type="page" w:clear="all"/>
      </w:r>
      <w:r>
        <w:rPr>
          <w:rFonts w:hint="eastAsia" w:ascii="宋体" w:hAnsi="宋体" w:cs="宋体"/>
          <w:sz w:val="28"/>
          <w:szCs w:val="28"/>
        </w:rPr>
        <w:t>二、商务技术文件</w:t>
      </w:r>
    </w:p>
    <w:p w14:paraId="64590706">
      <w:pPr>
        <w:spacing w:line="360" w:lineRule="auto"/>
        <w:ind w:firstLine="560"/>
        <w:rPr>
          <w:rFonts w:ascii="宋体" w:hAnsi="宋体" w:cs="宋体"/>
          <w:bCs/>
          <w:sz w:val="28"/>
          <w:szCs w:val="28"/>
        </w:rPr>
      </w:pPr>
      <w:r>
        <w:rPr>
          <w:rFonts w:hint="eastAsia" w:ascii="宋体" w:hAnsi="宋体" w:cs="宋体"/>
          <w:bCs/>
          <w:sz w:val="28"/>
          <w:szCs w:val="28"/>
        </w:rPr>
        <w:t>（</w:t>
      </w:r>
      <w:r>
        <w:rPr>
          <w:rFonts w:hint="eastAsia" w:ascii="宋体" w:hAnsi="宋体" w:cs="宋体"/>
          <w:bCs/>
          <w:sz w:val="28"/>
          <w:szCs w:val="28"/>
          <w:lang w:val="en-US" w:eastAsia="zh-CN"/>
        </w:rPr>
        <w:t>一</w:t>
      </w:r>
      <w:r>
        <w:rPr>
          <w:rFonts w:hint="eastAsia" w:ascii="宋体" w:hAnsi="宋体" w:cs="宋体"/>
          <w:bCs/>
          <w:sz w:val="28"/>
          <w:szCs w:val="28"/>
        </w:rPr>
        <w:t>）符合技术要求或者服务要求的相关证明材料：无</w:t>
      </w:r>
    </w:p>
    <w:p w14:paraId="1ECAF401">
      <w:pPr>
        <w:spacing w:line="360" w:lineRule="auto"/>
        <w:ind w:firstLine="560"/>
        <w:outlineLvl w:val="2"/>
        <w:rPr>
          <w:rFonts w:ascii="宋体" w:hAnsi="宋体" w:cs="宋体"/>
          <w:bCs/>
          <w:sz w:val="28"/>
          <w:szCs w:val="28"/>
        </w:rPr>
      </w:pPr>
      <w:r>
        <w:rPr>
          <w:rFonts w:hint="eastAsia" w:ascii="宋体" w:hAnsi="宋体" w:cs="宋体"/>
          <w:bCs/>
          <w:sz w:val="28"/>
          <w:szCs w:val="28"/>
        </w:rPr>
        <w:t>（</w:t>
      </w:r>
      <w:r>
        <w:rPr>
          <w:rFonts w:hint="eastAsia" w:ascii="宋体" w:hAnsi="宋体" w:cs="宋体"/>
          <w:bCs/>
          <w:sz w:val="28"/>
          <w:szCs w:val="28"/>
          <w:lang w:val="en-US" w:eastAsia="zh-CN"/>
        </w:rPr>
        <w:t>二</w:t>
      </w:r>
      <w:r>
        <w:rPr>
          <w:rFonts w:hint="eastAsia" w:ascii="宋体" w:hAnsi="宋体" w:cs="宋体"/>
          <w:bCs/>
          <w:sz w:val="28"/>
          <w:szCs w:val="28"/>
        </w:rPr>
        <w:t>）商务部分正负偏离表</w:t>
      </w:r>
    </w:p>
    <w:p w14:paraId="01D26DEE">
      <w:pPr>
        <w:spacing w:line="360" w:lineRule="auto"/>
        <w:jc w:val="center"/>
        <w:rPr>
          <w:rFonts w:ascii="宋体" w:hAnsi="宋体" w:cs="宋体"/>
          <w:sz w:val="32"/>
          <w:szCs w:val="32"/>
        </w:rPr>
      </w:pPr>
      <w:r>
        <w:rPr>
          <w:rFonts w:hint="eastAsia" w:ascii="宋体" w:hAnsi="宋体" w:cs="宋体"/>
          <w:sz w:val="32"/>
          <w:szCs w:val="32"/>
        </w:rPr>
        <w:t>商务部分正负偏离表</w:t>
      </w:r>
    </w:p>
    <w:tbl>
      <w:tblPr>
        <w:tblStyle w:val="4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4"/>
        <w:gridCol w:w="1223"/>
        <w:gridCol w:w="3697"/>
        <w:gridCol w:w="1554"/>
        <w:gridCol w:w="1442"/>
        <w:gridCol w:w="1018"/>
      </w:tblGrid>
      <w:tr w14:paraId="6390E3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D0BF5">
            <w:pPr>
              <w:spacing w:line="360" w:lineRule="auto"/>
              <w:jc w:val="center"/>
              <w:rPr>
                <w:rFonts w:ascii="宋体" w:hAnsi="宋体" w:cs="宋体"/>
                <w:szCs w:val="21"/>
              </w:rPr>
            </w:pPr>
            <w:r>
              <w:rPr>
                <w:rFonts w:hint="eastAsia" w:ascii="宋体" w:hAnsi="宋体" w:cs="宋体"/>
                <w:szCs w:val="21"/>
              </w:rPr>
              <w:t>序号</w:t>
            </w:r>
          </w:p>
        </w:tc>
        <w:tc>
          <w:tcPr>
            <w:tcW w:w="1216" w:type="dxa"/>
            <w:tcBorders>
              <w:top w:val="single" w:color="auto" w:sz="4" w:space="0"/>
              <w:left w:val="nil"/>
              <w:bottom w:val="single" w:color="auto" w:sz="4" w:space="0"/>
              <w:right w:val="single" w:color="auto" w:sz="4" w:space="0"/>
            </w:tcBorders>
            <w:shd w:val="clear" w:color="auto" w:fill="auto"/>
            <w:noWrap/>
            <w:vAlign w:val="center"/>
          </w:tcPr>
          <w:p w14:paraId="01268E5F">
            <w:pPr>
              <w:spacing w:line="360" w:lineRule="auto"/>
              <w:jc w:val="center"/>
              <w:rPr>
                <w:rFonts w:ascii="宋体" w:hAnsi="宋体" w:cs="宋体"/>
                <w:szCs w:val="21"/>
              </w:rPr>
            </w:pPr>
            <w:r>
              <w:rPr>
                <w:rFonts w:hint="eastAsia" w:ascii="宋体" w:hAnsi="宋体" w:cs="宋体"/>
                <w:szCs w:val="21"/>
              </w:rPr>
              <w:t>商务条款</w:t>
            </w:r>
          </w:p>
        </w:tc>
        <w:tc>
          <w:tcPr>
            <w:tcW w:w="3675" w:type="dxa"/>
            <w:tcBorders>
              <w:top w:val="single" w:color="auto" w:sz="4" w:space="0"/>
              <w:left w:val="nil"/>
              <w:bottom w:val="single" w:color="auto" w:sz="4" w:space="0"/>
              <w:right w:val="single" w:color="auto" w:sz="4" w:space="0"/>
            </w:tcBorders>
            <w:shd w:val="clear" w:color="auto" w:fill="auto"/>
            <w:noWrap/>
            <w:vAlign w:val="center"/>
          </w:tcPr>
          <w:p w14:paraId="6311C284">
            <w:pPr>
              <w:spacing w:line="360" w:lineRule="auto"/>
              <w:jc w:val="center"/>
              <w:rPr>
                <w:rFonts w:ascii="宋体" w:hAnsi="宋体" w:cs="宋体"/>
                <w:szCs w:val="21"/>
              </w:rPr>
            </w:pPr>
            <w:r>
              <w:rPr>
                <w:rFonts w:hint="eastAsia" w:ascii="宋体" w:hAnsi="宋体" w:cs="宋体"/>
                <w:szCs w:val="21"/>
              </w:rPr>
              <w:t>竞争性磋商文件要求</w:t>
            </w:r>
          </w:p>
        </w:tc>
        <w:tc>
          <w:tcPr>
            <w:tcW w:w="1545" w:type="dxa"/>
            <w:tcBorders>
              <w:top w:val="single" w:color="auto" w:sz="4" w:space="0"/>
              <w:left w:val="nil"/>
              <w:bottom w:val="single" w:color="auto" w:sz="4" w:space="0"/>
              <w:right w:val="single" w:color="auto" w:sz="4" w:space="0"/>
            </w:tcBorders>
            <w:shd w:val="clear" w:color="auto" w:fill="auto"/>
            <w:noWrap/>
            <w:vAlign w:val="center"/>
          </w:tcPr>
          <w:p w14:paraId="02993AFF">
            <w:pPr>
              <w:spacing w:line="360" w:lineRule="auto"/>
              <w:jc w:val="center"/>
              <w:rPr>
                <w:rFonts w:ascii="宋体" w:hAnsi="宋体" w:cs="宋体"/>
                <w:szCs w:val="21"/>
              </w:rPr>
            </w:pPr>
            <w:r>
              <w:rPr>
                <w:rFonts w:hint="eastAsia" w:ascii="宋体" w:hAnsi="宋体" w:cs="宋体"/>
                <w:szCs w:val="21"/>
              </w:rPr>
              <w:t>供应商响应具体情况</w:t>
            </w:r>
          </w:p>
        </w:tc>
        <w:tc>
          <w:tcPr>
            <w:tcW w:w="1433" w:type="dxa"/>
            <w:tcBorders>
              <w:top w:val="single" w:color="auto" w:sz="4" w:space="0"/>
              <w:left w:val="nil"/>
              <w:bottom w:val="single" w:color="auto" w:sz="4" w:space="0"/>
              <w:right w:val="single" w:color="auto" w:sz="4" w:space="0"/>
            </w:tcBorders>
            <w:shd w:val="clear" w:color="auto" w:fill="auto"/>
            <w:noWrap/>
            <w:vAlign w:val="center"/>
          </w:tcPr>
          <w:p w14:paraId="187755C3">
            <w:pPr>
              <w:spacing w:line="360" w:lineRule="auto"/>
              <w:jc w:val="center"/>
              <w:rPr>
                <w:rFonts w:ascii="宋体" w:hAnsi="宋体" w:cs="宋体"/>
                <w:szCs w:val="21"/>
              </w:rPr>
            </w:pPr>
            <w:r>
              <w:rPr>
                <w:rFonts w:hint="eastAsia" w:ascii="宋体" w:hAnsi="宋体" w:cs="宋体"/>
                <w:szCs w:val="21"/>
              </w:rPr>
              <w:t>结论（正偏离、符合或负偏离）</w:t>
            </w:r>
          </w:p>
        </w:tc>
        <w:tc>
          <w:tcPr>
            <w:tcW w:w="1012" w:type="dxa"/>
            <w:tcBorders>
              <w:top w:val="single" w:color="auto" w:sz="4" w:space="0"/>
              <w:left w:val="nil"/>
              <w:bottom w:val="single" w:color="auto" w:sz="4" w:space="0"/>
              <w:right w:val="single" w:color="auto" w:sz="4" w:space="0"/>
            </w:tcBorders>
            <w:shd w:val="clear" w:color="auto" w:fill="auto"/>
            <w:noWrap/>
            <w:vAlign w:val="center"/>
          </w:tcPr>
          <w:p w14:paraId="4B418C93">
            <w:pPr>
              <w:spacing w:line="360" w:lineRule="auto"/>
              <w:jc w:val="center"/>
              <w:rPr>
                <w:rFonts w:ascii="宋体" w:hAnsi="宋体" w:cs="宋体"/>
                <w:szCs w:val="21"/>
              </w:rPr>
            </w:pPr>
            <w:r>
              <w:rPr>
                <w:rFonts w:hint="eastAsia" w:ascii="宋体" w:hAnsi="宋体" w:cs="宋体"/>
                <w:szCs w:val="21"/>
              </w:rPr>
              <w:t>备注</w:t>
            </w:r>
          </w:p>
        </w:tc>
      </w:tr>
      <w:tr w14:paraId="6C5C17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B9EBB">
            <w:pPr>
              <w:spacing w:line="360" w:lineRule="auto"/>
              <w:jc w:val="center"/>
              <w:rPr>
                <w:rFonts w:ascii="宋体" w:hAnsi="宋体" w:cs="宋体"/>
                <w:szCs w:val="21"/>
              </w:rPr>
            </w:pPr>
          </w:p>
        </w:tc>
        <w:tc>
          <w:tcPr>
            <w:tcW w:w="1216" w:type="dxa"/>
            <w:tcBorders>
              <w:top w:val="single" w:color="auto" w:sz="4" w:space="0"/>
              <w:left w:val="nil"/>
              <w:bottom w:val="single" w:color="auto" w:sz="4" w:space="0"/>
              <w:right w:val="single" w:color="auto" w:sz="4" w:space="0"/>
            </w:tcBorders>
            <w:shd w:val="clear" w:color="auto" w:fill="auto"/>
            <w:noWrap/>
            <w:vAlign w:val="center"/>
          </w:tcPr>
          <w:p w14:paraId="7A4C9313">
            <w:pPr>
              <w:spacing w:line="360" w:lineRule="auto"/>
              <w:jc w:val="center"/>
              <w:rPr>
                <w:rFonts w:ascii="宋体" w:hAnsi="宋体" w:cs="宋体"/>
                <w:szCs w:val="21"/>
              </w:rPr>
            </w:pPr>
            <w:r>
              <w:rPr>
                <w:rFonts w:hint="eastAsia" w:ascii="宋体" w:hAnsi="宋体" w:cs="宋体"/>
                <w:szCs w:val="21"/>
              </w:rPr>
              <w:t>保修期</w:t>
            </w:r>
          </w:p>
        </w:tc>
        <w:tc>
          <w:tcPr>
            <w:tcW w:w="3675" w:type="dxa"/>
            <w:tcBorders>
              <w:top w:val="single" w:color="auto" w:sz="4" w:space="0"/>
              <w:left w:val="nil"/>
              <w:bottom w:val="single" w:color="auto" w:sz="4" w:space="0"/>
              <w:right w:val="single" w:color="auto" w:sz="4" w:space="0"/>
            </w:tcBorders>
            <w:shd w:val="clear" w:color="auto" w:fill="auto"/>
            <w:noWrap/>
          </w:tcPr>
          <w:p w14:paraId="738F683A">
            <w:pPr>
              <w:spacing w:line="360" w:lineRule="auto"/>
              <w:rPr>
                <w:rFonts w:ascii="宋体" w:hAnsi="宋体" w:cs="宋体"/>
                <w:szCs w:val="21"/>
              </w:rPr>
            </w:pPr>
            <w:r>
              <w:rPr>
                <w:rFonts w:hint="eastAsia" w:ascii="宋体" w:hAnsi="宋体" w:cs="宋体"/>
                <w:szCs w:val="21"/>
              </w:rPr>
              <w:t>1、成交供应商按国家有关规定的保修项目、内容、范围、期限（不低于二年，从竣工验收合格之日起算。）进行保修。保修期从采购人代表在最终验收记录上签字之日算起。</w:t>
            </w:r>
          </w:p>
          <w:p w14:paraId="5638FBD4">
            <w:pPr>
              <w:spacing w:line="360" w:lineRule="auto"/>
              <w:rPr>
                <w:rFonts w:ascii="宋体" w:hAnsi="宋体" w:cs="宋体"/>
                <w:szCs w:val="21"/>
              </w:rPr>
            </w:pPr>
            <w:r>
              <w:rPr>
                <w:rFonts w:hint="eastAsia" w:ascii="宋体" w:hAnsi="宋体" w:cs="宋体"/>
                <w:szCs w:val="21"/>
              </w:rPr>
              <w:t>2、保修期内出现施工质量问题无条件免费维修。在维修过程中，必须如实填报工程量清单，后附现场照片及原始工程量数据，由采购人联系人、使用单位联系人签字核实确认。在接到维修通知2小时内承包方派人维修，否则由采购人派人维修，维修费用从承包方未付款中双倍扣减，保修金的扣除按国家规定执行。</w:t>
            </w:r>
          </w:p>
        </w:tc>
        <w:tc>
          <w:tcPr>
            <w:tcW w:w="1545" w:type="dxa"/>
            <w:tcBorders>
              <w:top w:val="single" w:color="auto" w:sz="4" w:space="0"/>
              <w:left w:val="nil"/>
              <w:bottom w:val="single" w:color="auto" w:sz="4" w:space="0"/>
              <w:right w:val="single" w:color="auto" w:sz="4" w:space="0"/>
            </w:tcBorders>
            <w:shd w:val="clear" w:color="auto" w:fill="auto"/>
            <w:noWrap/>
          </w:tcPr>
          <w:p w14:paraId="7C4EAC2A">
            <w:pPr>
              <w:spacing w:line="360" w:lineRule="auto"/>
              <w:rPr>
                <w:rFonts w:ascii="宋体" w:hAnsi="宋体" w:cs="宋体"/>
                <w:szCs w:val="21"/>
              </w:rPr>
            </w:pPr>
          </w:p>
        </w:tc>
        <w:tc>
          <w:tcPr>
            <w:tcW w:w="1433" w:type="dxa"/>
            <w:tcBorders>
              <w:top w:val="single" w:color="auto" w:sz="4" w:space="0"/>
              <w:left w:val="nil"/>
              <w:bottom w:val="single" w:color="auto" w:sz="4" w:space="0"/>
              <w:right w:val="single" w:color="auto" w:sz="4" w:space="0"/>
            </w:tcBorders>
            <w:shd w:val="clear" w:color="auto" w:fill="auto"/>
            <w:noWrap/>
          </w:tcPr>
          <w:p w14:paraId="3763374F">
            <w:pPr>
              <w:spacing w:line="360" w:lineRule="auto"/>
              <w:rPr>
                <w:rFonts w:ascii="宋体" w:hAnsi="宋体" w:cs="宋体"/>
                <w:szCs w:val="21"/>
              </w:rPr>
            </w:pPr>
          </w:p>
        </w:tc>
        <w:tc>
          <w:tcPr>
            <w:tcW w:w="1012" w:type="dxa"/>
            <w:tcBorders>
              <w:top w:val="single" w:color="auto" w:sz="4" w:space="0"/>
              <w:left w:val="nil"/>
              <w:bottom w:val="single" w:color="auto" w:sz="4" w:space="0"/>
              <w:right w:val="single" w:color="auto" w:sz="4" w:space="0"/>
            </w:tcBorders>
            <w:shd w:val="clear" w:color="auto" w:fill="auto"/>
            <w:noWrap/>
          </w:tcPr>
          <w:p w14:paraId="68ADC5C7">
            <w:pPr>
              <w:spacing w:line="360" w:lineRule="auto"/>
              <w:rPr>
                <w:rFonts w:ascii="宋体" w:hAnsi="宋体" w:cs="宋体"/>
                <w:szCs w:val="21"/>
              </w:rPr>
            </w:pPr>
          </w:p>
        </w:tc>
      </w:tr>
      <w:tr w14:paraId="53E6BD1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98" w:hRule="atLeast"/>
        </w:trPr>
        <w:tc>
          <w:tcPr>
            <w:tcW w:w="6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C386B">
            <w:pPr>
              <w:spacing w:line="360" w:lineRule="auto"/>
              <w:jc w:val="center"/>
              <w:rPr>
                <w:rFonts w:ascii="宋体" w:hAnsi="宋体" w:cs="宋体"/>
                <w:szCs w:val="21"/>
              </w:rPr>
            </w:pPr>
          </w:p>
        </w:tc>
        <w:tc>
          <w:tcPr>
            <w:tcW w:w="1216" w:type="dxa"/>
            <w:tcBorders>
              <w:top w:val="single" w:color="auto" w:sz="4" w:space="0"/>
              <w:left w:val="nil"/>
              <w:bottom w:val="single" w:color="auto" w:sz="4" w:space="0"/>
              <w:right w:val="single" w:color="auto" w:sz="4" w:space="0"/>
            </w:tcBorders>
            <w:shd w:val="clear" w:color="auto" w:fill="auto"/>
            <w:noWrap/>
            <w:vAlign w:val="center"/>
          </w:tcPr>
          <w:p w14:paraId="12A30FB0">
            <w:pPr>
              <w:spacing w:line="360" w:lineRule="auto"/>
              <w:jc w:val="center"/>
              <w:rPr>
                <w:rFonts w:ascii="宋体" w:hAnsi="宋体" w:cs="宋体"/>
                <w:szCs w:val="21"/>
              </w:rPr>
            </w:pPr>
            <w:r>
              <w:rPr>
                <w:rFonts w:hint="eastAsia" w:ascii="宋体" w:hAnsi="宋体" w:cs="宋体"/>
                <w:szCs w:val="21"/>
              </w:rPr>
              <w:t>服务期限</w:t>
            </w:r>
          </w:p>
        </w:tc>
        <w:tc>
          <w:tcPr>
            <w:tcW w:w="3675" w:type="dxa"/>
            <w:tcBorders>
              <w:top w:val="single" w:color="auto" w:sz="4" w:space="0"/>
              <w:left w:val="nil"/>
              <w:bottom w:val="single" w:color="auto" w:sz="4" w:space="0"/>
              <w:right w:val="single" w:color="auto" w:sz="4" w:space="0"/>
            </w:tcBorders>
            <w:shd w:val="clear" w:color="auto" w:fill="auto"/>
            <w:noWrap/>
          </w:tcPr>
          <w:p w14:paraId="6D2E71BC">
            <w:pPr>
              <w:spacing w:line="360" w:lineRule="auto"/>
              <w:rPr>
                <w:rFonts w:ascii="宋体" w:hAnsi="宋体" w:cs="宋体"/>
                <w:szCs w:val="21"/>
              </w:rPr>
            </w:pPr>
            <w:r>
              <w:rPr>
                <w:rFonts w:hint="eastAsia" w:ascii="宋体" w:hAnsi="宋体" w:cs="宋体"/>
                <w:szCs w:val="21"/>
              </w:rPr>
              <w:t>合同签订后至2027年12月31日，具体以采购人通知为准。</w:t>
            </w:r>
          </w:p>
        </w:tc>
        <w:tc>
          <w:tcPr>
            <w:tcW w:w="1545" w:type="dxa"/>
            <w:tcBorders>
              <w:top w:val="single" w:color="auto" w:sz="4" w:space="0"/>
              <w:left w:val="nil"/>
              <w:bottom w:val="single" w:color="auto" w:sz="4" w:space="0"/>
              <w:right w:val="single" w:color="auto" w:sz="4" w:space="0"/>
            </w:tcBorders>
            <w:shd w:val="clear" w:color="auto" w:fill="auto"/>
            <w:noWrap/>
          </w:tcPr>
          <w:p w14:paraId="254E0FE0">
            <w:pPr>
              <w:spacing w:line="360" w:lineRule="auto"/>
              <w:ind w:left="43"/>
              <w:rPr>
                <w:rFonts w:ascii="宋体" w:hAnsi="宋体" w:cs="宋体"/>
                <w:szCs w:val="21"/>
              </w:rPr>
            </w:pPr>
          </w:p>
        </w:tc>
        <w:tc>
          <w:tcPr>
            <w:tcW w:w="1433" w:type="dxa"/>
            <w:tcBorders>
              <w:top w:val="single" w:color="auto" w:sz="4" w:space="0"/>
              <w:left w:val="nil"/>
              <w:bottom w:val="single" w:color="auto" w:sz="4" w:space="0"/>
              <w:right w:val="single" w:color="auto" w:sz="4" w:space="0"/>
            </w:tcBorders>
            <w:shd w:val="clear" w:color="auto" w:fill="auto"/>
            <w:noWrap/>
          </w:tcPr>
          <w:p w14:paraId="394718A0">
            <w:pPr>
              <w:spacing w:line="360" w:lineRule="auto"/>
              <w:ind w:left="43"/>
              <w:rPr>
                <w:rFonts w:ascii="宋体" w:hAnsi="宋体" w:cs="宋体"/>
                <w:szCs w:val="21"/>
              </w:rPr>
            </w:pPr>
          </w:p>
        </w:tc>
        <w:tc>
          <w:tcPr>
            <w:tcW w:w="1012" w:type="dxa"/>
            <w:tcBorders>
              <w:top w:val="single" w:color="auto" w:sz="4" w:space="0"/>
              <w:left w:val="nil"/>
              <w:bottom w:val="single" w:color="auto" w:sz="4" w:space="0"/>
              <w:right w:val="single" w:color="auto" w:sz="4" w:space="0"/>
            </w:tcBorders>
            <w:shd w:val="clear" w:color="auto" w:fill="auto"/>
            <w:noWrap/>
          </w:tcPr>
          <w:p w14:paraId="563998A8">
            <w:pPr>
              <w:spacing w:line="360" w:lineRule="auto"/>
              <w:ind w:left="43"/>
              <w:rPr>
                <w:rFonts w:ascii="宋体" w:hAnsi="宋体" w:cs="宋体"/>
                <w:szCs w:val="21"/>
              </w:rPr>
            </w:pPr>
          </w:p>
        </w:tc>
      </w:tr>
      <w:tr w14:paraId="089460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A1A10">
            <w:pPr>
              <w:spacing w:line="360" w:lineRule="auto"/>
              <w:jc w:val="center"/>
              <w:rPr>
                <w:rFonts w:ascii="宋体" w:hAnsi="宋体" w:cs="宋体"/>
                <w:szCs w:val="21"/>
              </w:rPr>
            </w:pPr>
          </w:p>
        </w:tc>
        <w:tc>
          <w:tcPr>
            <w:tcW w:w="1216" w:type="dxa"/>
            <w:tcBorders>
              <w:top w:val="single" w:color="auto" w:sz="4" w:space="0"/>
              <w:left w:val="nil"/>
              <w:bottom w:val="single" w:color="auto" w:sz="4" w:space="0"/>
              <w:right w:val="single" w:color="auto" w:sz="4" w:space="0"/>
            </w:tcBorders>
            <w:shd w:val="clear" w:color="auto" w:fill="auto"/>
            <w:noWrap/>
            <w:vAlign w:val="center"/>
          </w:tcPr>
          <w:p w14:paraId="59E8ED96">
            <w:pPr>
              <w:spacing w:line="360" w:lineRule="auto"/>
              <w:jc w:val="center"/>
              <w:rPr>
                <w:rFonts w:ascii="宋体" w:hAnsi="宋体" w:cs="宋体"/>
                <w:szCs w:val="21"/>
              </w:rPr>
            </w:pPr>
            <w:r>
              <w:rPr>
                <w:rFonts w:hint="eastAsia" w:ascii="宋体" w:hAnsi="宋体" w:cs="宋体"/>
                <w:szCs w:val="21"/>
              </w:rPr>
              <w:t>地点</w:t>
            </w:r>
          </w:p>
        </w:tc>
        <w:tc>
          <w:tcPr>
            <w:tcW w:w="3675" w:type="dxa"/>
            <w:tcBorders>
              <w:top w:val="single" w:color="auto" w:sz="4" w:space="0"/>
              <w:left w:val="nil"/>
              <w:bottom w:val="single" w:color="auto" w:sz="4" w:space="0"/>
              <w:right w:val="single" w:color="auto" w:sz="4" w:space="0"/>
            </w:tcBorders>
            <w:shd w:val="clear" w:color="auto" w:fill="auto"/>
            <w:noWrap/>
          </w:tcPr>
          <w:p w14:paraId="07330337">
            <w:pPr>
              <w:spacing w:line="360" w:lineRule="auto"/>
              <w:rPr>
                <w:rFonts w:ascii="宋体" w:hAnsi="宋体" w:cs="宋体"/>
                <w:szCs w:val="21"/>
              </w:rPr>
            </w:pPr>
            <w:r>
              <w:rPr>
                <w:rFonts w:hint="eastAsia" w:ascii="宋体" w:hAnsi="宋体" w:cs="宋体"/>
                <w:szCs w:val="21"/>
              </w:rPr>
              <w:t>如皋市搬经镇辖区</w:t>
            </w:r>
          </w:p>
        </w:tc>
        <w:tc>
          <w:tcPr>
            <w:tcW w:w="1545" w:type="dxa"/>
            <w:tcBorders>
              <w:top w:val="single" w:color="auto" w:sz="4" w:space="0"/>
              <w:left w:val="nil"/>
              <w:bottom w:val="single" w:color="auto" w:sz="4" w:space="0"/>
              <w:right w:val="single" w:color="auto" w:sz="4" w:space="0"/>
            </w:tcBorders>
            <w:shd w:val="clear" w:color="auto" w:fill="auto"/>
            <w:noWrap/>
          </w:tcPr>
          <w:p w14:paraId="464E4322">
            <w:pPr>
              <w:spacing w:line="360" w:lineRule="auto"/>
              <w:ind w:left="43"/>
              <w:rPr>
                <w:rFonts w:ascii="宋体" w:hAnsi="宋体" w:cs="宋体"/>
                <w:szCs w:val="21"/>
              </w:rPr>
            </w:pPr>
          </w:p>
        </w:tc>
        <w:tc>
          <w:tcPr>
            <w:tcW w:w="1433" w:type="dxa"/>
            <w:tcBorders>
              <w:top w:val="single" w:color="auto" w:sz="4" w:space="0"/>
              <w:left w:val="nil"/>
              <w:bottom w:val="single" w:color="auto" w:sz="4" w:space="0"/>
              <w:right w:val="single" w:color="auto" w:sz="4" w:space="0"/>
            </w:tcBorders>
            <w:shd w:val="clear" w:color="auto" w:fill="auto"/>
            <w:noWrap/>
          </w:tcPr>
          <w:p w14:paraId="2628592B">
            <w:pPr>
              <w:spacing w:line="360" w:lineRule="auto"/>
              <w:ind w:left="43"/>
              <w:rPr>
                <w:rFonts w:ascii="宋体" w:hAnsi="宋体" w:cs="宋体"/>
                <w:szCs w:val="21"/>
              </w:rPr>
            </w:pPr>
          </w:p>
        </w:tc>
        <w:tc>
          <w:tcPr>
            <w:tcW w:w="1012" w:type="dxa"/>
            <w:tcBorders>
              <w:top w:val="single" w:color="auto" w:sz="4" w:space="0"/>
              <w:left w:val="nil"/>
              <w:bottom w:val="single" w:color="auto" w:sz="4" w:space="0"/>
              <w:right w:val="single" w:color="auto" w:sz="4" w:space="0"/>
            </w:tcBorders>
            <w:shd w:val="clear" w:color="auto" w:fill="auto"/>
            <w:noWrap/>
          </w:tcPr>
          <w:p w14:paraId="7E1ABDF9">
            <w:pPr>
              <w:spacing w:line="360" w:lineRule="auto"/>
              <w:ind w:left="43"/>
              <w:rPr>
                <w:rFonts w:ascii="宋体" w:hAnsi="宋体" w:cs="宋体"/>
                <w:szCs w:val="21"/>
              </w:rPr>
            </w:pPr>
          </w:p>
        </w:tc>
      </w:tr>
      <w:tr w14:paraId="2253C3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132FF">
            <w:pPr>
              <w:spacing w:line="360" w:lineRule="auto"/>
              <w:jc w:val="center"/>
              <w:rPr>
                <w:rFonts w:ascii="宋体" w:hAnsi="宋体" w:cs="宋体"/>
                <w:szCs w:val="21"/>
              </w:rPr>
            </w:pPr>
          </w:p>
        </w:tc>
        <w:tc>
          <w:tcPr>
            <w:tcW w:w="1216" w:type="dxa"/>
            <w:tcBorders>
              <w:top w:val="single" w:color="auto" w:sz="4" w:space="0"/>
              <w:left w:val="nil"/>
              <w:bottom w:val="single" w:color="auto" w:sz="4" w:space="0"/>
              <w:right w:val="single" w:color="auto" w:sz="4" w:space="0"/>
            </w:tcBorders>
            <w:shd w:val="clear" w:color="auto" w:fill="auto"/>
            <w:noWrap/>
            <w:vAlign w:val="center"/>
          </w:tcPr>
          <w:p w14:paraId="1E66FF0E">
            <w:pPr>
              <w:spacing w:line="360" w:lineRule="auto"/>
              <w:jc w:val="center"/>
              <w:rPr>
                <w:rFonts w:ascii="宋体" w:hAnsi="宋体" w:cs="宋体"/>
                <w:szCs w:val="21"/>
              </w:rPr>
            </w:pPr>
            <w:r>
              <w:rPr>
                <w:rFonts w:hint="eastAsia" w:ascii="宋体" w:hAnsi="宋体" w:cs="宋体"/>
                <w:szCs w:val="21"/>
              </w:rPr>
              <w:t>付款方式</w:t>
            </w:r>
          </w:p>
        </w:tc>
        <w:tc>
          <w:tcPr>
            <w:tcW w:w="3675" w:type="dxa"/>
            <w:tcBorders>
              <w:top w:val="single" w:color="auto" w:sz="4" w:space="0"/>
              <w:left w:val="nil"/>
              <w:bottom w:val="single" w:color="auto" w:sz="4" w:space="0"/>
              <w:right w:val="single" w:color="auto" w:sz="4" w:space="0"/>
            </w:tcBorders>
            <w:shd w:val="clear" w:color="auto" w:fill="auto"/>
            <w:noWrap/>
          </w:tcPr>
          <w:p w14:paraId="67D96019">
            <w:pPr>
              <w:spacing w:line="360" w:lineRule="auto"/>
              <w:rPr>
                <w:rFonts w:ascii="宋体" w:hAnsi="宋体" w:cs="宋体"/>
                <w:szCs w:val="21"/>
              </w:rPr>
            </w:pPr>
            <w:r>
              <w:rPr>
                <w:rFonts w:hint="eastAsia" w:ascii="宋体" w:hAnsi="宋体" w:cs="宋体"/>
                <w:szCs w:val="21"/>
              </w:rPr>
              <w:t>按实际维修工程数量结算，全部工程竣工验收合格后当年农历年底前且审计报告出具后付至审计价*（1-成交优惠率）的60%，竣工验收合格后第二年农历年底前付至审计价*（1-成交优惠率）的90%，余款第三年农历年底前（凭复查合格证明）无质量问题一次性付清。每次支付前，成交人应出具正式发票。</w:t>
            </w:r>
          </w:p>
          <w:p w14:paraId="0E0F1456">
            <w:pPr>
              <w:spacing w:line="360" w:lineRule="auto"/>
              <w:rPr>
                <w:rFonts w:ascii="宋体" w:hAnsi="宋体" w:cs="宋体"/>
                <w:szCs w:val="21"/>
              </w:rPr>
            </w:pPr>
            <w:r>
              <w:rPr>
                <w:rFonts w:hint="eastAsia" w:ascii="宋体" w:hAnsi="宋体" w:cs="宋体"/>
                <w:szCs w:val="21"/>
              </w:rPr>
              <w:t>维修结束的工程需在30日内及时申请采购人验收，验收合格的工程每季度承包人必须如实编制工程结算并报送发包人审核。合同履行期满后，由建设单位委托社会审计机构对所有工程结算进行审计，最终结算以审计报告为准。审计费用由成交供应商支付。</w:t>
            </w:r>
          </w:p>
        </w:tc>
        <w:tc>
          <w:tcPr>
            <w:tcW w:w="1545" w:type="dxa"/>
            <w:tcBorders>
              <w:top w:val="single" w:color="auto" w:sz="4" w:space="0"/>
              <w:left w:val="nil"/>
              <w:bottom w:val="single" w:color="auto" w:sz="4" w:space="0"/>
              <w:right w:val="single" w:color="auto" w:sz="4" w:space="0"/>
            </w:tcBorders>
            <w:shd w:val="clear" w:color="auto" w:fill="auto"/>
            <w:noWrap/>
          </w:tcPr>
          <w:p w14:paraId="47B9BD1D">
            <w:pPr>
              <w:spacing w:line="360" w:lineRule="auto"/>
              <w:rPr>
                <w:rFonts w:ascii="宋体" w:hAnsi="宋体" w:cs="宋体"/>
                <w:szCs w:val="21"/>
              </w:rPr>
            </w:pPr>
          </w:p>
        </w:tc>
        <w:tc>
          <w:tcPr>
            <w:tcW w:w="1433" w:type="dxa"/>
            <w:tcBorders>
              <w:top w:val="single" w:color="auto" w:sz="4" w:space="0"/>
              <w:left w:val="nil"/>
              <w:bottom w:val="single" w:color="auto" w:sz="4" w:space="0"/>
              <w:right w:val="single" w:color="auto" w:sz="4" w:space="0"/>
            </w:tcBorders>
            <w:shd w:val="clear" w:color="auto" w:fill="auto"/>
            <w:noWrap/>
          </w:tcPr>
          <w:p w14:paraId="60C6D13F">
            <w:pPr>
              <w:spacing w:line="360" w:lineRule="auto"/>
              <w:rPr>
                <w:rFonts w:ascii="宋体" w:hAnsi="宋体" w:cs="宋体"/>
                <w:szCs w:val="21"/>
              </w:rPr>
            </w:pPr>
          </w:p>
        </w:tc>
        <w:tc>
          <w:tcPr>
            <w:tcW w:w="1012" w:type="dxa"/>
            <w:tcBorders>
              <w:top w:val="single" w:color="auto" w:sz="4" w:space="0"/>
              <w:left w:val="nil"/>
              <w:bottom w:val="single" w:color="auto" w:sz="4" w:space="0"/>
              <w:right w:val="single" w:color="auto" w:sz="4" w:space="0"/>
            </w:tcBorders>
            <w:shd w:val="clear" w:color="auto" w:fill="auto"/>
            <w:noWrap/>
          </w:tcPr>
          <w:p w14:paraId="3D580072">
            <w:pPr>
              <w:spacing w:line="360" w:lineRule="auto"/>
              <w:rPr>
                <w:rFonts w:ascii="宋体" w:hAnsi="宋体" w:cs="宋体"/>
                <w:szCs w:val="21"/>
              </w:rPr>
            </w:pPr>
          </w:p>
        </w:tc>
      </w:tr>
      <w:tr w14:paraId="7D4D30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EACD0">
            <w:pPr>
              <w:spacing w:line="360" w:lineRule="auto"/>
              <w:jc w:val="center"/>
              <w:rPr>
                <w:rFonts w:ascii="宋体" w:hAnsi="宋体" w:cs="宋体"/>
                <w:szCs w:val="21"/>
              </w:rPr>
            </w:pPr>
          </w:p>
        </w:tc>
        <w:tc>
          <w:tcPr>
            <w:tcW w:w="1216" w:type="dxa"/>
            <w:tcBorders>
              <w:top w:val="single" w:color="auto" w:sz="4" w:space="0"/>
              <w:left w:val="nil"/>
              <w:bottom w:val="single" w:color="auto" w:sz="4" w:space="0"/>
              <w:right w:val="single" w:color="auto" w:sz="4" w:space="0"/>
            </w:tcBorders>
            <w:shd w:val="clear" w:color="auto" w:fill="auto"/>
            <w:noWrap/>
            <w:vAlign w:val="center"/>
          </w:tcPr>
          <w:p w14:paraId="38CDF6AD">
            <w:pPr>
              <w:spacing w:line="360" w:lineRule="auto"/>
              <w:jc w:val="center"/>
              <w:rPr>
                <w:rFonts w:ascii="宋体" w:hAnsi="宋体" w:cs="宋体"/>
                <w:szCs w:val="21"/>
              </w:rPr>
            </w:pPr>
            <w:r>
              <w:rPr>
                <w:rFonts w:hint="eastAsia" w:ascii="宋体" w:hAnsi="宋体" w:cs="宋体"/>
                <w:szCs w:val="21"/>
              </w:rPr>
              <w:t>报价方式</w:t>
            </w:r>
          </w:p>
        </w:tc>
        <w:tc>
          <w:tcPr>
            <w:tcW w:w="3675" w:type="dxa"/>
            <w:tcBorders>
              <w:top w:val="single" w:color="auto" w:sz="4" w:space="0"/>
              <w:left w:val="nil"/>
              <w:bottom w:val="single" w:color="auto" w:sz="4" w:space="0"/>
              <w:right w:val="single" w:color="auto" w:sz="4" w:space="0"/>
            </w:tcBorders>
            <w:shd w:val="clear" w:color="auto" w:fill="auto"/>
            <w:noWrap/>
          </w:tcPr>
          <w:p w14:paraId="3C8CD9C8">
            <w:pPr>
              <w:spacing w:line="360" w:lineRule="auto"/>
              <w:rPr>
                <w:rFonts w:ascii="宋体" w:hAnsi="宋体" w:cs="宋体"/>
                <w:szCs w:val="21"/>
              </w:rPr>
            </w:pPr>
            <w:r>
              <w:rPr>
                <w:rFonts w:hint="eastAsia" w:ascii="宋体" w:hAnsi="宋体" w:cs="宋体"/>
                <w:szCs w:val="21"/>
              </w:rPr>
              <w:t>按优惠率报价</w:t>
            </w:r>
          </w:p>
        </w:tc>
        <w:tc>
          <w:tcPr>
            <w:tcW w:w="1545" w:type="dxa"/>
            <w:tcBorders>
              <w:top w:val="single" w:color="auto" w:sz="4" w:space="0"/>
              <w:left w:val="nil"/>
              <w:bottom w:val="single" w:color="auto" w:sz="4" w:space="0"/>
              <w:right w:val="single" w:color="auto" w:sz="4" w:space="0"/>
            </w:tcBorders>
            <w:shd w:val="clear" w:color="auto" w:fill="auto"/>
            <w:noWrap/>
          </w:tcPr>
          <w:p w14:paraId="111E2788">
            <w:pPr>
              <w:spacing w:line="360" w:lineRule="auto"/>
              <w:rPr>
                <w:rFonts w:ascii="宋体" w:hAnsi="宋体" w:cs="宋体"/>
                <w:szCs w:val="21"/>
              </w:rPr>
            </w:pPr>
          </w:p>
        </w:tc>
        <w:tc>
          <w:tcPr>
            <w:tcW w:w="1433" w:type="dxa"/>
            <w:tcBorders>
              <w:top w:val="single" w:color="auto" w:sz="4" w:space="0"/>
              <w:left w:val="nil"/>
              <w:bottom w:val="single" w:color="auto" w:sz="4" w:space="0"/>
              <w:right w:val="single" w:color="auto" w:sz="4" w:space="0"/>
            </w:tcBorders>
            <w:shd w:val="clear" w:color="auto" w:fill="auto"/>
            <w:noWrap/>
          </w:tcPr>
          <w:p w14:paraId="58E8B243">
            <w:pPr>
              <w:spacing w:line="360" w:lineRule="auto"/>
              <w:rPr>
                <w:rFonts w:ascii="宋体" w:hAnsi="宋体" w:cs="宋体"/>
                <w:szCs w:val="21"/>
              </w:rPr>
            </w:pPr>
          </w:p>
        </w:tc>
        <w:tc>
          <w:tcPr>
            <w:tcW w:w="1012" w:type="dxa"/>
            <w:tcBorders>
              <w:top w:val="single" w:color="auto" w:sz="4" w:space="0"/>
              <w:left w:val="nil"/>
              <w:bottom w:val="single" w:color="auto" w:sz="4" w:space="0"/>
              <w:right w:val="single" w:color="auto" w:sz="4" w:space="0"/>
            </w:tcBorders>
            <w:shd w:val="clear" w:color="auto" w:fill="auto"/>
            <w:noWrap/>
          </w:tcPr>
          <w:p w14:paraId="22E61C2E">
            <w:pPr>
              <w:spacing w:line="360" w:lineRule="auto"/>
              <w:rPr>
                <w:rFonts w:ascii="宋体" w:hAnsi="宋体" w:cs="宋体"/>
                <w:szCs w:val="21"/>
              </w:rPr>
            </w:pPr>
          </w:p>
        </w:tc>
      </w:tr>
      <w:tr w14:paraId="7DA705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6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8D327">
            <w:pPr>
              <w:spacing w:line="360" w:lineRule="auto"/>
              <w:jc w:val="center"/>
              <w:rPr>
                <w:rFonts w:ascii="宋体" w:hAnsi="宋体" w:cs="宋体"/>
                <w:szCs w:val="21"/>
              </w:rPr>
            </w:pPr>
          </w:p>
        </w:tc>
        <w:tc>
          <w:tcPr>
            <w:tcW w:w="1216" w:type="dxa"/>
            <w:tcBorders>
              <w:top w:val="single" w:color="auto" w:sz="4" w:space="0"/>
              <w:left w:val="nil"/>
              <w:bottom w:val="single" w:color="auto" w:sz="4" w:space="0"/>
              <w:right w:val="single" w:color="auto" w:sz="4" w:space="0"/>
            </w:tcBorders>
            <w:shd w:val="clear" w:color="auto" w:fill="auto"/>
            <w:noWrap/>
            <w:vAlign w:val="center"/>
          </w:tcPr>
          <w:p w14:paraId="06C94830">
            <w:pPr>
              <w:spacing w:line="360" w:lineRule="auto"/>
              <w:jc w:val="center"/>
              <w:rPr>
                <w:rFonts w:ascii="宋体" w:hAnsi="宋体" w:cs="宋体"/>
                <w:szCs w:val="21"/>
              </w:rPr>
            </w:pPr>
            <w:r>
              <w:rPr>
                <w:rFonts w:hint="eastAsia" w:ascii="宋体" w:hAnsi="宋体" w:cs="宋体"/>
                <w:szCs w:val="21"/>
              </w:rPr>
              <w:t>其他</w:t>
            </w:r>
          </w:p>
        </w:tc>
        <w:tc>
          <w:tcPr>
            <w:tcW w:w="3675" w:type="dxa"/>
            <w:tcBorders>
              <w:top w:val="single" w:color="auto" w:sz="4" w:space="0"/>
              <w:left w:val="nil"/>
              <w:bottom w:val="single" w:color="auto" w:sz="4" w:space="0"/>
              <w:right w:val="single" w:color="auto" w:sz="4" w:space="0"/>
            </w:tcBorders>
            <w:shd w:val="clear" w:color="auto" w:fill="auto"/>
            <w:noWrap/>
          </w:tcPr>
          <w:p w14:paraId="34989C41">
            <w:pPr>
              <w:spacing w:line="360" w:lineRule="auto"/>
              <w:rPr>
                <w:rFonts w:ascii="宋体" w:hAnsi="宋体" w:cs="宋体"/>
                <w:szCs w:val="21"/>
              </w:rPr>
            </w:pPr>
            <w:r>
              <w:rPr>
                <w:rFonts w:hint="eastAsia" w:ascii="宋体" w:hAnsi="宋体" w:cs="宋体"/>
                <w:szCs w:val="21"/>
              </w:rPr>
              <w:t>无</w:t>
            </w:r>
          </w:p>
        </w:tc>
        <w:tc>
          <w:tcPr>
            <w:tcW w:w="1545" w:type="dxa"/>
            <w:tcBorders>
              <w:top w:val="single" w:color="auto" w:sz="4" w:space="0"/>
              <w:left w:val="nil"/>
              <w:bottom w:val="single" w:color="auto" w:sz="4" w:space="0"/>
              <w:right w:val="single" w:color="auto" w:sz="4" w:space="0"/>
            </w:tcBorders>
            <w:shd w:val="clear" w:color="auto" w:fill="auto"/>
            <w:noWrap/>
          </w:tcPr>
          <w:p w14:paraId="7BAB49BB">
            <w:pPr>
              <w:spacing w:line="360" w:lineRule="auto"/>
              <w:rPr>
                <w:rFonts w:ascii="宋体" w:hAnsi="宋体" w:cs="宋体"/>
                <w:szCs w:val="21"/>
              </w:rPr>
            </w:pPr>
          </w:p>
        </w:tc>
        <w:tc>
          <w:tcPr>
            <w:tcW w:w="1433" w:type="dxa"/>
            <w:tcBorders>
              <w:top w:val="single" w:color="auto" w:sz="4" w:space="0"/>
              <w:left w:val="nil"/>
              <w:bottom w:val="single" w:color="auto" w:sz="4" w:space="0"/>
              <w:right w:val="single" w:color="auto" w:sz="4" w:space="0"/>
            </w:tcBorders>
            <w:shd w:val="clear" w:color="auto" w:fill="auto"/>
            <w:noWrap/>
          </w:tcPr>
          <w:p w14:paraId="283C9919">
            <w:pPr>
              <w:spacing w:line="360" w:lineRule="auto"/>
              <w:rPr>
                <w:rFonts w:ascii="宋体" w:hAnsi="宋体" w:cs="宋体"/>
                <w:szCs w:val="21"/>
              </w:rPr>
            </w:pPr>
          </w:p>
        </w:tc>
        <w:tc>
          <w:tcPr>
            <w:tcW w:w="1012" w:type="dxa"/>
            <w:tcBorders>
              <w:top w:val="single" w:color="auto" w:sz="4" w:space="0"/>
              <w:left w:val="nil"/>
              <w:bottom w:val="single" w:color="auto" w:sz="4" w:space="0"/>
              <w:right w:val="single" w:color="auto" w:sz="4" w:space="0"/>
            </w:tcBorders>
            <w:shd w:val="clear" w:color="auto" w:fill="auto"/>
            <w:noWrap/>
          </w:tcPr>
          <w:p w14:paraId="3B432983">
            <w:pPr>
              <w:spacing w:line="360" w:lineRule="auto"/>
              <w:rPr>
                <w:rFonts w:ascii="宋体" w:hAnsi="宋体" w:cs="宋体"/>
                <w:szCs w:val="21"/>
              </w:rPr>
            </w:pPr>
          </w:p>
        </w:tc>
      </w:tr>
    </w:tbl>
    <w:p w14:paraId="2066CF3F">
      <w:pPr>
        <w:spacing w:line="360" w:lineRule="auto"/>
        <w:rPr>
          <w:rFonts w:ascii="宋体" w:hAnsi="宋体" w:cs="宋体"/>
          <w:sz w:val="24"/>
        </w:rPr>
      </w:pPr>
    </w:p>
    <w:p w14:paraId="0DDEC397">
      <w:pPr>
        <w:spacing w:line="360" w:lineRule="auto"/>
        <w:ind w:firstLine="560"/>
        <w:rPr>
          <w:rFonts w:ascii="宋体" w:hAnsi="宋体" w:cs="宋体"/>
          <w:bCs/>
          <w:sz w:val="28"/>
          <w:szCs w:val="28"/>
        </w:rPr>
      </w:pPr>
    </w:p>
    <w:p w14:paraId="5964CB73">
      <w:pPr>
        <w:widowControl/>
        <w:spacing w:line="360" w:lineRule="auto"/>
        <w:jc w:val="left"/>
        <w:rPr>
          <w:rFonts w:ascii="宋体" w:hAnsi="宋体" w:cs="宋体"/>
          <w:sz w:val="28"/>
          <w:szCs w:val="28"/>
        </w:rPr>
      </w:pPr>
      <w:r>
        <w:rPr>
          <w:rFonts w:hint="eastAsia" w:ascii="宋体" w:hAnsi="宋体" w:cs="宋体"/>
          <w:sz w:val="28"/>
          <w:szCs w:val="28"/>
        </w:rPr>
        <w:br w:type="page" w:clear="all"/>
      </w:r>
    </w:p>
    <w:p w14:paraId="1797E4F5">
      <w:pPr>
        <w:spacing w:line="360" w:lineRule="auto"/>
        <w:ind w:firstLine="560"/>
        <w:outlineLvl w:val="1"/>
        <w:rPr>
          <w:rFonts w:ascii="宋体" w:hAnsi="宋体" w:cs="宋体"/>
          <w:bCs/>
          <w:sz w:val="28"/>
          <w:szCs w:val="28"/>
        </w:rPr>
      </w:pPr>
      <w:r>
        <w:rPr>
          <w:rFonts w:hint="eastAsia" w:ascii="宋体" w:hAnsi="宋体" w:cs="宋体"/>
          <w:sz w:val="28"/>
          <w:szCs w:val="28"/>
        </w:rPr>
        <w:t>三、报价文件</w:t>
      </w:r>
    </w:p>
    <w:p w14:paraId="087D36E8">
      <w:pPr>
        <w:spacing w:line="360" w:lineRule="auto"/>
        <w:ind w:firstLine="560"/>
        <w:rPr>
          <w:rFonts w:ascii="宋体" w:hAnsi="宋体" w:cs="宋体"/>
          <w:bCs/>
          <w:sz w:val="28"/>
          <w:szCs w:val="28"/>
        </w:rPr>
      </w:pPr>
      <w:r>
        <w:rPr>
          <w:rFonts w:hint="eastAsia" w:ascii="宋体" w:hAnsi="宋体" w:cs="宋体"/>
          <w:bCs/>
          <w:sz w:val="28"/>
          <w:szCs w:val="28"/>
        </w:rPr>
        <w:t>（一）竞争性磋商响应报价表</w:t>
      </w:r>
    </w:p>
    <w:p w14:paraId="44075C3C">
      <w:pPr>
        <w:spacing w:line="360" w:lineRule="auto"/>
        <w:ind w:firstLine="3040"/>
        <w:rPr>
          <w:rFonts w:ascii="宋体" w:hAnsi="宋体" w:cs="宋体"/>
          <w:sz w:val="32"/>
          <w:szCs w:val="32"/>
        </w:rPr>
      </w:pPr>
      <w:r>
        <w:rPr>
          <w:rFonts w:hint="eastAsia" w:ascii="宋体" w:hAnsi="宋体" w:cs="宋体"/>
          <w:sz w:val="32"/>
          <w:szCs w:val="32"/>
        </w:rPr>
        <w:t>竞争性磋商响应报价表</w:t>
      </w:r>
    </w:p>
    <w:tbl>
      <w:tblPr>
        <w:tblStyle w:val="40"/>
        <w:tblW w:w="9355" w:type="dxa"/>
        <w:jc w:val="center"/>
        <w:tblLayout w:type="fixed"/>
        <w:tblCellMar>
          <w:top w:w="0" w:type="dxa"/>
          <w:left w:w="108" w:type="dxa"/>
          <w:bottom w:w="0" w:type="dxa"/>
          <w:right w:w="108" w:type="dxa"/>
        </w:tblCellMar>
      </w:tblPr>
      <w:tblGrid>
        <w:gridCol w:w="3812"/>
        <w:gridCol w:w="2690"/>
        <w:gridCol w:w="2853"/>
      </w:tblGrid>
      <w:tr w14:paraId="42DF9536">
        <w:tblPrEx>
          <w:tblCellMar>
            <w:top w:w="0" w:type="dxa"/>
            <w:left w:w="108" w:type="dxa"/>
            <w:bottom w:w="0" w:type="dxa"/>
            <w:right w:w="108" w:type="dxa"/>
          </w:tblCellMar>
        </w:tblPrEx>
        <w:trPr>
          <w:trHeight w:val="532" w:hRule="atLeast"/>
          <w:jc w:val="center"/>
        </w:trPr>
        <w:tc>
          <w:tcPr>
            <w:tcW w:w="9355" w:type="dxa"/>
            <w:gridSpan w:val="3"/>
            <w:tcBorders>
              <w:top w:val="nil"/>
              <w:left w:val="nil"/>
              <w:bottom w:val="nil"/>
              <w:right w:val="nil"/>
            </w:tcBorders>
            <w:shd w:val="clear" w:color="auto" w:fill="auto"/>
            <w:noWrap/>
            <w:vAlign w:val="center"/>
          </w:tcPr>
          <w:p w14:paraId="2C42E724">
            <w:pPr>
              <w:widowControl/>
              <w:spacing w:line="360" w:lineRule="auto"/>
              <w:jc w:val="left"/>
              <w:rPr>
                <w:rFonts w:ascii="宋体" w:hAnsi="宋体" w:cs="宋体"/>
                <w:sz w:val="24"/>
              </w:rPr>
            </w:pPr>
            <w:r>
              <w:rPr>
                <w:rFonts w:hint="eastAsia" w:ascii="宋体" w:hAnsi="宋体" w:cs="宋体"/>
                <w:sz w:val="24"/>
              </w:rPr>
              <w:t>供应商名称（加盖公章）：</w:t>
            </w:r>
          </w:p>
        </w:tc>
      </w:tr>
      <w:tr w14:paraId="2F4863CE">
        <w:tblPrEx>
          <w:tblCellMar>
            <w:top w:w="0" w:type="dxa"/>
            <w:left w:w="108" w:type="dxa"/>
            <w:bottom w:w="0" w:type="dxa"/>
            <w:right w:w="108" w:type="dxa"/>
          </w:tblCellMar>
        </w:tblPrEx>
        <w:trPr>
          <w:trHeight w:val="1065" w:hRule="atLeast"/>
          <w:jc w:val="center"/>
        </w:trPr>
        <w:tc>
          <w:tcPr>
            <w:tcW w:w="9355" w:type="dxa"/>
            <w:gridSpan w:val="3"/>
            <w:tcBorders>
              <w:top w:val="nil"/>
              <w:left w:val="nil"/>
              <w:bottom w:val="nil"/>
              <w:right w:val="nil"/>
            </w:tcBorders>
            <w:shd w:val="clear" w:color="auto" w:fill="auto"/>
            <w:noWrap/>
            <w:vAlign w:val="center"/>
          </w:tcPr>
          <w:p w14:paraId="3DBCE188">
            <w:pPr>
              <w:widowControl/>
              <w:spacing w:line="360" w:lineRule="auto"/>
              <w:jc w:val="left"/>
              <w:rPr>
                <w:rFonts w:ascii="宋体" w:hAnsi="宋体" w:cs="宋体"/>
                <w:sz w:val="24"/>
              </w:rPr>
            </w:pPr>
            <w:r>
              <w:rPr>
                <w:rFonts w:hint="eastAsia" w:ascii="宋体" w:hAnsi="宋体" w:cs="宋体"/>
                <w:sz w:val="24"/>
              </w:rPr>
              <w:t xml:space="preserve">项目名称：搬经镇2026-2027年度道路、桥梁、市政、建筑等公共基础设施维修工程  </w:t>
            </w:r>
          </w:p>
        </w:tc>
      </w:tr>
      <w:tr w14:paraId="26C54B49">
        <w:tblPrEx>
          <w:tblCellMar>
            <w:top w:w="0" w:type="dxa"/>
            <w:left w:w="108" w:type="dxa"/>
            <w:bottom w:w="0" w:type="dxa"/>
            <w:right w:w="108" w:type="dxa"/>
          </w:tblCellMar>
        </w:tblPrEx>
        <w:trPr>
          <w:trHeight w:val="532" w:hRule="atLeast"/>
          <w:jc w:val="center"/>
        </w:trPr>
        <w:tc>
          <w:tcPr>
            <w:tcW w:w="6502" w:type="dxa"/>
            <w:gridSpan w:val="2"/>
            <w:tcBorders>
              <w:top w:val="nil"/>
              <w:left w:val="nil"/>
              <w:bottom w:val="nil"/>
              <w:right w:val="nil"/>
            </w:tcBorders>
            <w:shd w:val="clear" w:color="auto" w:fill="auto"/>
            <w:noWrap/>
            <w:vAlign w:val="center"/>
          </w:tcPr>
          <w:p w14:paraId="52E0084E">
            <w:pPr>
              <w:widowControl/>
              <w:spacing w:line="360" w:lineRule="auto"/>
              <w:jc w:val="left"/>
              <w:rPr>
                <w:rFonts w:ascii="宋体" w:hAnsi="宋体" w:cs="宋体"/>
                <w:sz w:val="24"/>
              </w:rPr>
            </w:pPr>
            <w:r>
              <w:rPr>
                <w:rFonts w:hint="eastAsia" w:ascii="宋体" w:hAnsi="宋体" w:cs="宋体"/>
                <w:sz w:val="24"/>
              </w:rPr>
              <w:t>项目编号：JSZC-320682-JGGC-C2026-0007</w:t>
            </w:r>
          </w:p>
        </w:tc>
        <w:tc>
          <w:tcPr>
            <w:tcW w:w="2853" w:type="dxa"/>
            <w:tcBorders>
              <w:top w:val="nil"/>
              <w:left w:val="nil"/>
              <w:bottom w:val="nil"/>
              <w:right w:val="nil"/>
            </w:tcBorders>
            <w:shd w:val="clear" w:color="auto" w:fill="auto"/>
            <w:noWrap/>
            <w:vAlign w:val="center"/>
          </w:tcPr>
          <w:p w14:paraId="1C1A86F9">
            <w:pPr>
              <w:widowControl/>
              <w:spacing w:line="360" w:lineRule="auto"/>
              <w:jc w:val="left"/>
              <w:rPr>
                <w:rFonts w:ascii="宋体" w:hAnsi="宋体" w:cs="宋体"/>
                <w:sz w:val="24"/>
              </w:rPr>
            </w:pPr>
          </w:p>
        </w:tc>
      </w:tr>
      <w:tr w14:paraId="266CDB72">
        <w:tblPrEx>
          <w:tblCellMar>
            <w:top w:w="0" w:type="dxa"/>
            <w:left w:w="108" w:type="dxa"/>
            <w:bottom w:w="0" w:type="dxa"/>
            <w:right w:w="108" w:type="dxa"/>
          </w:tblCellMar>
        </w:tblPrEx>
        <w:trPr>
          <w:trHeight w:val="742" w:hRule="atLeast"/>
          <w:jc w:val="center"/>
        </w:trPr>
        <w:tc>
          <w:tcPr>
            <w:tcW w:w="381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598DD80">
            <w:pPr>
              <w:widowControl/>
              <w:spacing w:line="360" w:lineRule="auto"/>
              <w:jc w:val="center"/>
              <w:rPr>
                <w:rFonts w:ascii="宋体" w:hAnsi="宋体" w:cs="宋体"/>
                <w:sz w:val="24"/>
              </w:rPr>
            </w:pPr>
            <w:r>
              <w:rPr>
                <w:rFonts w:hint="eastAsia" w:ascii="宋体" w:hAnsi="宋体" w:cs="宋体"/>
                <w:sz w:val="24"/>
              </w:rPr>
              <w:t>竞争性磋商响应报价（优惠率）</w:t>
            </w:r>
          </w:p>
        </w:tc>
        <w:tc>
          <w:tcPr>
            <w:tcW w:w="5543" w:type="dxa"/>
            <w:gridSpan w:val="2"/>
            <w:tcBorders>
              <w:top w:val="single" w:color="auto" w:sz="4" w:space="0"/>
              <w:left w:val="nil"/>
              <w:bottom w:val="single" w:color="auto" w:sz="4" w:space="0"/>
              <w:right w:val="single" w:color="auto" w:sz="4" w:space="0"/>
            </w:tcBorders>
            <w:shd w:val="clear" w:color="auto" w:fill="auto"/>
            <w:noWrap/>
            <w:vAlign w:val="center"/>
          </w:tcPr>
          <w:p w14:paraId="2DB9F011">
            <w:pPr>
              <w:widowControl/>
              <w:spacing w:line="360" w:lineRule="auto"/>
              <w:jc w:val="left"/>
              <w:rPr>
                <w:rFonts w:ascii="宋体" w:hAnsi="宋体" w:cs="宋体"/>
                <w:sz w:val="24"/>
              </w:rPr>
            </w:pPr>
            <w:r>
              <w:rPr>
                <w:rFonts w:hint="eastAsia" w:ascii="宋体" w:hAnsi="宋体" w:cs="宋体"/>
                <w:sz w:val="24"/>
              </w:rPr>
              <w:t>小写：%</w:t>
            </w:r>
          </w:p>
        </w:tc>
      </w:tr>
      <w:tr w14:paraId="04969449">
        <w:tblPrEx>
          <w:tblCellMar>
            <w:top w:w="0" w:type="dxa"/>
            <w:left w:w="108" w:type="dxa"/>
            <w:bottom w:w="0" w:type="dxa"/>
            <w:right w:w="108" w:type="dxa"/>
          </w:tblCellMar>
        </w:tblPrEx>
        <w:trPr>
          <w:trHeight w:val="784" w:hRule="atLeast"/>
          <w:jc w:val="center"/>
        </w:trPr>
        <w:tc>
          <w:tcPr>
            <w:tcW w:w="381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EE028F4">
            <w:pPr>
              <w:spacing w:line="360" w:lineRule="auto"/>
              <w:rPr>
                <w:rFonts w:ascii="宋体" w:hAnsi="宋体" w:cs="宋体"/>
                <w:sz w:val="20"/>
                <w:szCs w:val="20"/>
              </w:rPr>
            </w:pPr>
          </w:p>
        </w:tc>
        <w:tc>
          <w:tcPr>
            <w:tcW w:w="5543" w:type="dxa"/>
            <w:gridSpan w:val="2"/>
            <w:tcBorders>
              <w:top w:val="single" w:color="auto" w:sz="4" w:space="0"/>
              <w:left w:val="nil"/>
              <w:bottom w:val="single" w:color="auto" w:sz="4" w:space="0"/>
              <w:right w:val="single" w:color="auto" w:sz="4" w:space="0"/>
            </w:tcBorders>
            <w:shd w:val="clear" w:color="auto" w:fill="auto"/>
            <w:noWrap/>
            <w:vAlign w:val="center"/>
          </w:tcPr>
          <w:p w14:paraId="555D0F07">
            <w:pPr>
              <w:widowControl/>
              <w:spacing w:line="360" w:lineRule="auto"/>
              <w:jc w:val="left"/>
              <w:rPr>
                <w:rFonts w:ascii="宋体" w:hAnsi="宋体" w:cs="宋体"/>
                <w:sz w:val="24"/>
              </w:rPr>
            </w:pPr>
            <w:r>
              <w:rPr>
                <w:rFonts w:hint="eastAsia" w:ascii="宋体" w:hAnsi="宋体" w:cs="宋体"/>
                <w:sz w:val="24"/>
              </w:rPr>
              <w:t>大写：优惠率百分之</w:t>
            </w:r>
          </w:p>
        </w:tc>
      </w:tr>
      <w:tr w14:paraId="68CA1A7B">
        <w:tblPrEx>
          <w:tblCellMar>
            <w:top w:w="0" w:type="dxa"/>
            <w:left w:w="108" w:type="dxa"/>
            <w:bottom w:w="0" w:type="dxa"/>
            <w:right w:w="108" w:type="dxa"/>
          </w:tblCellMar>
        </w:tblPrEx>
        <w:trPr>
          <w:trHeight w:val="509" w:hRule="atLeast"/>
          <w:jc w:val="center"/>
        </w:trPr>
        <w:tc>
          <w:tcPr>
            <w:tcW w:w="9355" w:type="dxa"/>
            <w:gridSpan w:val="3"/>
            <w:tcBorders>
              <w:top w:val="nil"/>
              <w:left w:val="nil"/>
              <w:bottom w:val="nil"/>
              <w:right w:val="nil"/>
            </w:tcBorders>
            <w:shd w:val="clear" w:color="auto" w:fill="auto"/>
            <w:noWrap/>
            <w:vAlign w:val="center"/>
          </w:tcPr>
          <w:p w14:paraId="6F8E1C0A">
            <w:pPr>
              <w:widowControl/>
              <w:spacing w:line="360" w:lineRule="auto"/>
              <w:ind w:firstLine="420"/>
              <w:jc w:val="left"/>
              <w:rPr>
                <w:rFonts w:ascii="宋体" w:hAnsi="宋体" w:cs="宋体"/>
                <w:szCs w:val="21"/>
              </w:rPr>
            </w:pPr>
          </w:p>
        </w:tc>
      </w:tr>
    </w:tbl>
    <w:p w14:paraId="2B1D9038">
      <w:pPr>
        <w:spacing w:line="360" w:lineRule="auto"/>
        <w:ind w:firstLine="560"/>
        <w:rPr>
          <w:rFonts w:ascii="宋体" w:hAnsi="宋体" w:cs="宋体"/>
          <w:bCs/>
          <w:sz w:val="28"/>
          <w:szCs w:val="28"/>
        </w:rPr>
      </w:pPr>
    </w:p>
    <w:p w14:paraId="31553D82">
      <w:pPr>
        <w:spacing w:line="360" w:lineRule="auto"/>
        <w:ind w:firstLine="560"/>
        <w:rPr>
          <w:rFonts w:ascii="宋体" w:hAnsi="宋体" w:cs="宋体"/>
          <w:bCs/>
          <w:sz w:val="28"/>
          <w:szCs w:val="28"/>
        </w:rPr>
      </w:pPr>
      <w:r>
        <w:rPr>
          <w:rFonts w:hint="eastAsia" w:ascii="宋体" w:hAnsi="宋体" w:cs="宋体"/>
          <w:bCs/>
          <w:sz w:val="28"/>
          <w:szCs w:val="28"/>
        </w:rPr>
        <w:br w:type="page" w:clear="all"/>
      </w:r>
      <w:r>
        <w:rPr>
          <w:rFonts w:hint="eastAsia" w:ascii="宋体" w:hAnsi="宋体" w:cs="宋体"/>
          <w:bCs/>
          <w:sz w:val="28"/>
          <w:szCs w:val="28"/>
        </w:rPr>
        <w:t>（二）竞争性磋商响应报价明细表</w:t>
      </w:r>
    </w:p>
    <w:p w14:paraId="29AD2DED">
      <w:pPr>
        <w:spacing w:line="360" w:lineRule="auto"/>
        <w:ind w:firstLine="1995"/>
        <w:rPr>
          <w:rFonts w:ascii="宋体" w:hAnsi="宋体" w:cs="宋体"/>
          <w:b/>
          <w:bCs/>
          <w:sz w:val="24"/>
        </w:rPr>
      </w:pPr>
      <w:r>
        <w:rPr>
          <w:rFonts w:hint="eastAsia" w:ascii="宋体" w:hAnsi="宋体" w:cs="宋体"/>
          <w:b/>
          <w:bCs/>
          <w:sz w:val="32"/>
          <w:szCs w:val="32"/>
        </w:rPr>
        <w:t>竞争性磋商响应报价明细表</w:t>
      </w:r>
    </w:p>
    <w:p w14:paraId="26A808D3">
      <w:pPr>
        <w:spacing w:line="360" w:lineRule="auto"/>
        <w:rPr>
          <w:rFonts w:ascii="宋体" w:hAnsi="宋体" w:cs="宋体"/>
          <w:szCs w:val="21"/>
        </w:rPr>
      </w:pPr>
    </w:p>
    <w:p w14:paraId="4E52C273">
      <w:pPr>
        <w:pStyle w:val="37"/>
        <w:widowControl w:val="0"/>
        <w:spacing w:before="0" w:beforeAutospacing="0" w:after="0" w:afterAutospacing="0" w:line="360" w:lineRule="auto"/>
        <w:jc w:val="both"/>
      </w:pPr>
      <w:r>
        <w:rPr>
          <w:rFonts w:hint="eastAsia"/>
        </w:rPr>
        <w:t xml:space="preserve">项目名称：搬经镇2026-2027年度道路、桥梁、市政、建筑等公共基础设施维修工程   </w:t>
      </w:r>
    </w:p>
    <w:p w14:paraId="20F55F47">
      <w:pPr>
        <w:spacing w:line="360" w:lineRule="auto"/>
        <w:rPr>
          <w:rFonts w:ascii="宋体" w:hAnsi="宋体" w:cs="宋体"/>
          <w:sz w:val="24"/>
        </w:rPr>
      </w:pPr>
      <w:r>
        <w:rPr>
          <w:rFonts w:hint="eastAsia" w:ascii="宋体" w:hAnsi="宋体" w:cs="宋体"/>
          <w:sz w:val="24"/>
        </w:rPr>
        <w:t xml:space="preserve">项目编号：JSZC-320682-JGGC-C2026-0007  </w:t>
      </w:r>
    </w:p>
    <w:tbl>
      <w:tblPr>
        <w:tblStyle w:val="40"/>
        <w:tblW w:w="4891" w:type="pct"/>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5"/>
        <w:gridCol w:w="3936"/>
        <w:gridCol w:w="2119"/>
      </w:tblGrid>
      <w:tr w14:paraId="7989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10C13">
            <w:pPr>
              <w:spacing w:line="360" w:lineRule="auto"/>
              <w:jc w:val="center"/>
              <w:rPr>
                <w:rFonts w:ascii="宋体" w:hAnsi="宋体" w:cs="宋体"/>
                <w:sz w:val="24"/>
              </w:rPr>
            </w:pPr>
            <w:r>
              <w:rPr>
                <w:rFonts w:hint="eastAsia" w:ascii="宋体" w:hAnsi="宋体" w:cs="宋体"/>
                <w:sz w:val="24"/>
              </w:rPr>
              <w:t>项目名称</w:t>
            </w:r>
          </w:p>
        </w:tc>
        <w:tc>
          <w:tcPr>
            <w:tcW w:w="39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636831">
            <w:pPr>
              <w:spacing w:line="360" w:lineRule="auto"/>
              <w:jc w:val="center"/>
              <w:rPr>
                <w:rFonts w:ascii="宋体" w:hAnsi="宋体" w:cs="宋体"/>
                <w:sz w:val="24"/>
              </w:rPr>
            </w:pPr>
            <w:r>
              <w:rPr>
                <w:rFonts w:hint="eastAsia" w:ascii="宋体" w:hAnsi="宋体" w:cs="宋体"/>
                <w:sz w:val="24"/>
              </w:rPr>
              <w:t>报价（优惠率）</w:t>
            </w:r>
          </w:p>
        </w:tc>
        <w:tc>
          <w:tcPr>
            <w:tcW w:w="211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AC9A2">
            <w:pPr>
              <w:spacing w:line="360" w:lineRule="auto"/>
              <w:jc w:val="center"/>
              <w:rPr>
                <w:rFonts w:ascii="宋体" w:hAnsi="宋体" w:cs="宋体"/>
                <w:sz w:val="24"/>
              </w:rPr>
            </w:pPr>
            <w:r>
              <w:rPr>
                <w:rFonts w:hint="eastAsia" w:ascii="宋体" w:hAnsi="宋体" w:cs="宋体"/>
                <w:sz w:val="24"/>
              </w:rPr>
              <w:t>项目负责人姓名及联系方式</w:t>
            </w:r>
          </w:p>
        </w:tc>
      </w:tr>
      <w:tr w14:paraId="7801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9" w:hRule="atLeast"/>
        </w:trPr>
        <w:tc>
          <w:tcPr>
            <w:tcW w:w="33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C254B0">
            <w:pPr>
              <w:spacing w:line="360" w:lineRule="auto"/>
              <w:jc w:val="center"/>
              <w:rPr>
                <w:rFonts w:ascii="宋体" w:hAnsi="宋体" w:cs="宋体"/>
                <w:sz w:val="24"/>
              </w:rPr>
            </w:pPr>
            <w:r>
              <w:rPr>
                <w:rFonts w:hint="eastAsia" w:ascii="宋体" w:hAnsi="宋体" w:cs="宋体"/>
                <w:sz w:val="24"/>
              </w:rPr>
              <w:t>搬经镇2026-2027年度道路、桥梁、市政、建筑等公共基础设施维修工程</w:t>
            </w:r>
          </w:p>
        </w:tc>
        <w:tc>
          <w:tcPr>
            <w:tcW w:w="39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D7FDF4">
            <w:pPr>
              <w:spacing w:line="360" w:lineRule="auto"/>
              <w:jc w:val="center"/>
              <w:rPr>
                <w:rFonts w:ascii="宋体" w:hAnsi="宋体" w:cs="宋体"/>
                <w:sz w:val="24"/>
              </w:rPr>
            </w:pPr>
            <w:r>
              <w:rPr>
                <w:rFonts w:hint="eastAsia" w:ascii="宋体" w:hAnsi="宋体" w:cs="宋体"/>
                <w:sz w:val="24"/>
              </w:rPr>
              <w:t>工程审计价优惠%</w:t>
            </w:r>
          </w:p>
        </w:tc>
        <w:tc>
          <w:tcPr>
            <w:tcW w:w="211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856F2">
            <w:pPr>
              <w:spacing w:line="360" w:lineRule="auto"/>
              <w:jc w:val="center"/>
              <w:rPr>
                <w:rFonts w:ascii="宋体" w:hAnsi="宋体" w:cs="宋体"/>
                <w:sz w:val="24"/>
              </w:rPr>
            </w:pPr>
          </w:p>
        </w:tc>
      </w:tr>
    </w:tbl>
    <w:p w14:paraId="19CF05D4">
      <w:pPr>
        <w:spacing w:line="360" w:lineRule="auto"/>
        <w:rPr>
          <w:rFonts w:ascii="宋体" w:hAnsi="宋体" w:cs="宋体"/>
          <w:sz w:val="24"/>
        </w:rPr>
      </w:pPr>
    </w:p>
    <w:p w14:paraId="07E49AC1">
      <w:pPr>
        <w:spacing w:line="360" w:lineRule="auto"/>
        <w:rPr>
          <w:rFonts w:ascii="宋体" w:hAnsi="宋体" w:cs="宋体"/>
          <w:b/>
          <w:sz w:val="24"/>
        </w:rPr>
      </w:pPr>
      <w:r>
        <w:rPr>
          <w:rFonts w:hint="eastAsia" w:ascii="宋体" w:hAnsi="宋体" w:cs="宋体"/>
          <w:sz w:val="24"/>
        </w:rPr>
        <w:t>注：</w:t>
      </w:r>
    </w:p>
    <w:p w14:paraId="182BD2F9">
      <w:pPr>
        <w:spacing w:line="360" w:lineRule="auto"/>
        <w:rPr>
          <w:rFonts w:ascii="宋体" w:hAnsi="宋体" w:cs="宋体"/>
          <w:sz w:val="24"/>
        </w:rPr>
      </w:pPr>
      <w:r>
        <w:rPr>
          <w:rFonts w:hint="eastAsia" w:ascii="宋体" w:hAnsi="宋体" w:cs="宋体"/>
          <w:sz w:val="24"/>
        </w:rPr>
        <w:t>1、此表可以根据需要自行增减行数。</w:t>
      </w:r>
    </w:p>
    <w:p w14:paraId="2CDF659C">
      <w:pPr>
        <w:spacing w:line="360" w:lineRule="auto"/>
        <w:rPr>
          <w:rFonts w:ascii="宋体" w:hAnsi="宋体" w:cs="宋体"/>
          <w:sz w:val="24"/>
        </w:rPr>
      </w:pPr>
      <w:r>
        <w:rPr>
          <w:rFonts w:hint="eastAsia" w:ascii="宋体" w:hAnsi="宋体" w:cs="宋体"/>
          <w:sz w:val="24"/>
        </w:rPr>
        <w:t>2、以工程审计价为基准报优惠率，优惠率最高者为基准价。</w:t>
      </w:r>
    </w:p>
    <w:p w14:paraId="163639AC">
      <w:pPr>
        <w:spacing w:line="360" w:lineRule="auto"/>
        <w:ind w:firstLine="560"/>
        <w:rPr>
          <w:rFonts w:ascii="宋体" w:hAnsi="宋体" w:cs="宋体"/>
          <w:szCs w:val="22"/>
        </w:rPr>
      </w:pPr>
      <w:r>
        <w:rPr>
          <w:rFonts w:hint="eastAsia" w:ascii="宋体" w:hAnsi="宋体" w:cs="宋体"/>
          <w:bCs/>
          <w:sz w:val="28"/>
          <w:szCs w:val="28"/>
        </w:rPr>
        <w:br w:type="page" w:clear="all"/>
      </w:r>
      <w:r>
        <w:rPr>
          <w:rFonts w:hint="eastAsia" w:ascii="宋体" w:hAnsi="宋体" w:cs="宋体"/>
          <w:bCs/>
          <w:sz w:val="28"/>
          <w:szCs w:val="28"/>
        </w:rPr>
        <w:t>（三）中小企业声明函</w:t>
      </w:r>
    </w:p>
    <w:p w14:paraId="66F0BF9A">
      <w:pPr>
        <w:spacing w:line="360" w:lineRule="auto"/>
        <w:jc w:val="center"/>
        <w:rPr>
          <w:rFonts w:ascii="宋体" w:hAnsi="宋体" w:cs="宋体"/>
          <w:sz w:val="28"/>
          <w:szCs w:val="28"/>
        </w:rPr>
      </w:pPr>
      <w:r>
        <w:rPr>
          <w:rFonts w:hint="eastAsia" w:ascii="宋体" w:hAnsi="宋体" w:cs="宋体"/>
          <w:sz w:val="28"/>
          <w:szCs w:val="28"/>
        </w:rPr>
        <w:t>中小企业声明函（工程、服务）</w:t>
      </w:r>
    </w:p>
    <w:p w14:paraId="536B4A62">
      <w:pPr>
        <w:spacing w:line="360" w:lineRule="auto"/>
        <w:ind w:firstLine="560" w:firstLineChars="200"/>
        <w:rPr>
          <w:rFonts w:ascii="宋体" w:hAnsi="宋体" w:cs="宋体"/>
          <w:sz w:val="28"/>
          <w:szCs w:val="28"/>
        </w:rPr>
      </w:pPr>
      <w:r>
        <w:rPr>
          <w:rFonts w:hint="eastAsia" w:ascii="宋体" w:hAnsi="宋体" w:cs="宋体"/>
          <w:sz w:val="28"/>
          <w:szCs w:val="28"/>
        </w:rPr>
        <w:t>本公司（联合体）郑重声明，根据《政府采购促进中小企业发展管理办法》（财库﹝2020﹞46 号）的规定，本公司（联合体）参加</w:t>
      </w:r>
      <w:r>
        <w:rPr>
          <w:rFonts w:hint="eastAsia" w:ascii="宋体" w:hAnsi="宋体" w:cs="宋体"/>
          <w:sz w:val="28"/>
          <w:szCs w:val="28"/>
          <w:u w:val="single"/>
        </w:rPr>
        <w:t>（如皋市搬经镇人民政府）</w:t>
      </w:r>
      <w:r>
        <w:rPr>
          <w:rFonts w:hint="eastAsia" w:ascii="宋体" w:hAnsi="宋体" w:cs="宋体"/>
          <w:sz w:val="28"/>
          <w:szCs w:val="28"/>
        </w:rPr>
        <w:t xml:space="preserve"> 的</w:t>
      </w:r>
      <w:r>
        <w:rPr>
          <w:rFonts w:hint="eastAsia" w:ascii="宋体" w:hAnsi="宋体" w:cs="宋体"/>
          <w:sz w:val="28"/>
          <w:szCs w:val="28"/>
          <w:u w:val="single"/>
        </w:rPr>
        <w:t>（搬经镇2026-2027年度道路、桥梁、市政、建筑等公共基础设施维修工程）</w:t>
      </w:r>
      <w:r>
        <w:rPr>
          <w:rFonts w:hint="eastAsia" w:ascii="宋体" w:hAnsi="宋体" w:cs="宋体"/>
          <w:sz w:val="28"/>
          <w:szCs w:val="28"/>
        </w:rPr>
        <w:t>采购活动，工程的施工单位全部为符合政策要求的中小企业（或者：服务全部由符合政策要求的中小企业承接）。相关企业（含联合体中的中小企业、签订分包意向协议的中小企业）的具体情况如下：</w:t>
      </w:r>
    </w:p>
    <w:p w14:paraId="70821783">
      <w:pPr>
        <w:spacing w:line="360" w:lineRule="auto"/>
        <w:ind w:firstLine="640"/>
        <w:rPr>
          <w:rFonts w:ascii="宋体" w:hAnsi="宋体" w:cs="宋体"/>
          <w:sz w:val="28"/>
          <w:szCs w:val="28"/>
        </w:rPr>
      </w:pPr>
      <w:r>
        <w:rPr>
          <w:rFonts w:hint="eastAsia" w:ascii="宋体" w:hAnsi="宋体" w:cs="宋体"/>
          <w:sz w:val="28"/>
          <w:szCs w:val="28"/>
        </w:rPr>
        <w:t>1.</w:t>
      </w:r>
      <w:r>
        <w:rPr>
          <w:rFonts w:hint="eastAsia" w:ascii="宋体" w:hAnsi="宋体" w:cs="宋体"/>
          <w:sz w:val="28"/>
          <w:szCs w:val="28"/>
          <w:u w:val="single"/>
        </w:rPr>
        <w:t>（标的名称）</w:t>
      </w:r>
      <w:r>
        <w:rPr>
          <w:rFonts w:hint="eastAsia" w:ascii="宋体" w:hAnsi="宋体" w:cs="宋体"/>
          <w:sz w:val="28"/>
          <w:szCs w:val="28"/>
        </w:rPr>
        <w:t>，属于</w:t>
      </w:r>
      <w:r>
        <w:rPr>
          <w:rFonts w:hint="eastAsia" w:ascii="宋体" w:hAnsi="宋体" w:cs="宋体"/>
          <w:sz w:val="28"/>
          <w:szCs w:val="28"/>
          <w:u w:val="single"/>
        </w:rPr>
        <w:t>（采购文件中明确的所属行业）</w:t>
      </w:r>
      <w:r>
        <w:rPr>
          <w:rFonts w:hint="eastAsia" w:ascii="宋体" w:hAnsi="宋体" w:cs="宋体"/>
          <w:sz w:val="28"/>
          <w:szCs w:val="28"/>
        </w:rPr>
        <w:t xml:space="preserve"> ；承建（承接）企业为 </w:t>
      </w:r>
      <w:r>
        <w:rPr>
          <w:rFonts w:hint="eastAsia" w:ascii="宋体" w:hAnsi="宋体" w:cs="宋体"/>
          <w:sz w:val="28"/>
          <w:szCs w:val="28"/>
          <w:u w:val="single"/>
        </w:rPr>
        <w:t>（企业名称）</w:t>
      </w:r>
      <w:r>
        <w:rPr>
          <w:rFonts w:hint="eastAsia" w:ascii="宋体" w:hAnsi="宋体" w:cs="宋体"/>
          <w:sz w:val="28"/>
          <w:szCs w:val="28"/>
        </w:rPr>
        <w:t xml:space="preserve"> ，从业人员人，营业收入为万元，资产总额为万元</w:t>
      </w:r>
      <w:r>
        <w:rPr>
          <w:rFonts w:hint="eastAsia" w:ascii="宋体" w:hAnsi="宋体" w:cs="宋体"/>
          <w:sz w:val="28"/>
          <w:szCs w:val="28"/>
          <w:vertAlign w:val="superscript"/>
        </w:rPr>
        <w:t>1</w:t>
      </w:r>
      <w:r>
        <w:rPr>
          <w:rFonts w:hint="eastAsia" w:ascii="宋体" w:hAnsi="宋体" w:cs="宋体"/>
          <w:sz w:val="28"/>
          <w:szCs w:val="28"/>
        </w:rPr>
        <w:t xml:space="preserve"> ，属于</w:t>
      </w:r>
      <w:r>
        <w:rPr>
          <w:rFonts w:hint="eastAsia" w:ascii="宋体" w:hAnsi="宋体" w:cs="宋体"/>
          <w:sz w:val="28"/>
          <w:szCs w:val="28"/>
          <w:u w:val="single"/>
        </w:rPr>
        <w:t xml:space="preserve"> （中型企业、小型企业、微型企业） </w:t>
      </w:r>
      <w:r>
        <w:rPr>
          <w:rFonts w:hint="eastAsia" w:ascii="宋体" w:hAnsi="宋体" w:cs="宋体"/>
          <w:sz w:val="28"/>
          <w:szCs w:val="28"/>
        </w:rPr>
        <w:t>；</w:t>
      </w:r>
    </w:p>
    <w:p w14:paraId="5EE67DC0">
      <w:pPr>
        <w:spacing w:line="360" w:lineRule="auto"/>
        <w:ind w:firstLine="640"/>
        <w:rPr>
          <w:rFonts w:ascii="宋体" w:hAnsi="宋体" w:cs="宋体"/>
          <w:sz w:val="28"/>
          <w:szCs w:val="28"/>
        </w:rPr>
      </w:pPr>
      <w:r>
        <w:rPr>
          <w:rFonts w:hint="eastAsia" w:ascii="宋体" w:hAnsi="宋体" w:cs="宋体"/>
          <w:sz w:val="28"/>
          <w:szCs w:val="28"/>
        </w:rPr>
        <w:t>2.</w:t>
      </w:r>
      <w:r>
        <w:rPr>
          <w:rFonts w:hint="eastAsia" w:ascii="宋体" w:hAnsi="宋体" w:cs="宋体"/>
          <w:sz w:val="28"/>
          <w:szCs w:val="28"/>
          <w:u w:val="single"/>
        </w:rPr>
        <w:t>（标的名称）</w:t>
      </w:r>
      <w:r>
        <w:rPr>
          <w:rFonts w:hint="eastAsia" w:ascii="宋体" w:hAnsi="宋体" w:cs="宋体"/>
          <w:sz w:val="28"/>
          <w:szCs w:val="28"/>
        </w:rPr>
        <w:t xml:space="preserve"> ，属于 </w:t>
      </w:r>
      <w:r>
        <w:rPr>
          <w:rFonts w:hint="eastAsia" w:ascii="宋体" w:hAnsi="宋体" w:cs="宋体"/>
          <w:sz w:val="28"/>
          <w:szCs w:val="28"/>
          <w:u w:val="single"/>
        </w:rPr>
        <w:t>（采购文件中明确的所属行业）</w:t>
      </w:r>
      <w:r>
        <w:rPr>
          <w:rFonts w:hint="eastAsia" w:ascii="宋体" w:hAnsi="宋体" w:cs="宋体"/>
          <w:sz w:val="28"/>
          <w:szCs w:val="28"/>
        </w:rPr>
        <w:t>；承建（承接）企业为</w:t>
      </w:r>
      <w:r>
        <w:rPr>
          <w:rFonts w:hint="eastAsia" w:ascii="宋体" w:hAnsi="宋体" w:cs="宋体"/>
          <w:sz w:val="28"/>
          <w:szCs w:val="28"/>
          <w:u w:val="single"/>
        </w:rPr>
        <w:t xml:space="preserve"> （企业名称）</w:t>
      </w:r>
      <w:r>
        <w:rPr>
          <w:rFonts w:hint="eastAsia" w:ascii="宋体" w:hAnsi="宋体" w:cs="宋体"/>
          <w:sz w:val="28"/>
          <w:szCs w:val="28"/>
        </w:rPr>
        <w:t xml:space="preserve"> ，从业人员人，营业收入为万元，资产总额为万元，属于</w:t>
      </w:r>
      <w:r>
        <w:rPr>
          <w:rFonts w:hint="eastAsia" w:ascii="宋体" w:hAnsi="宋体" w:cs="宋体"/>
          <w:sz w:val="28"/>
          <w:szCs w:val="28"/>
          <w:u w:val="single"/>
        </w:rPr>
        <w:t xml:space="preserve"> （中型企业、小型企业、微型企业） </w:t>
      </w:r>
      <w:r>
        <w:rPr>
          <w:rFonts w:hint="eastAsia" w:ascii="宋体" w:hAnsi="宋体" w:cs="宋体"/>
          <w:sz w:val="28"/>
          <w:szCs w:val="28"/>
        </w:rPr>
        <w:t>；</w:t>
      </w:r>
    </w:p>
    <w:p w14:paraId="3B77630D">
      <w:pPr>
        <w:spacing w:line="360" w:lineRule="auto"/>
        <w:ind w:firstLine="640"/>
        <w:rPr>
          <w:rFonts w:ascii="宋体" w:hAnsi="宋体" w:cs="宋体"/>
          <w:sz w:val="28"/>
          <w:szCs w:val="28"/>
        </w:rPr>
      </w:pPr>
      <w:r>
        <w:rPr>
          <w:rFonts w:hint="eastAsia" w:ascii="宋体" w:hAnsi="宋体" w:cs="宋体"/>
          <w:sz w:val="28"/>
          <w:szCs w:val="28"/>
        </w:rPr>
        <w:t>……</w:t>
      </w:r>
    </w:p>
    <w:p w14:paraId="7AF85F0D">
      <w:pPr>
        <w:spacing w:line="360" w:lineRule="auto"/>
        <w:ind w:firstLine="640"/>
        <w:rPr>
          <w:rFonts w:ascii="宋体" w:hAnsi="宋体" w:cs="宋体"/>
          <w:sz w:val="28"/>
          <w:szCs w:val="28"/>
        </w:rPr>
      </w:pPr>
      <w:r>
        <w:rPr>
          <w:rFonts w:hint="eastAsia" w:ascii="宋体" w:hAnsi="宋体" w:cs="宋体"/>
          <w:sz w:val="28"/>
          <w:szCs w:val="28"/>
        </w:rPr>
        <w:t>以上企业，不属于大企业的分支机构，不存在控股股东为大企业的情形，也不存在与大企业的负责人为同一人的情形。</w:t>
      </w:r>
    </w:p>
    <w:p w14:paraId="6F6E7600">
      <w:pPr>
        <w:spacing w:line="360" w:lineRule="auto"/>
        <w:ind w:firstLine="640"/>
        <w:rPr>
          <w:rFonts w:ascii="宋体" w:hAnsi="宋体" w:cs="宋体"/>
          <w:sz w:val="28"/>
          <w:szCs w:val="28"/>
        </w:rPr>
      </w:pPr>
      <w:r>
        <w:rPr>
          <w:rFonts w:hint="eastAsia" w:ascii="宋体" w:hAnsi="宋体" w:cs="宋体"/>
          <w:sz w:val="28"/>
          <w:szCs w:val="28"/>
        </w:rPr>
        <w:t>本企业对上述声明内容的真实性负责。如有虚假，将依法承担相应责任。</w:t>
      </w:r>
    </w:p>
    <w:p w14:paraId="41F5E2C9">
      <w:pPr>
        <w:spacing w:line="360" w:lineRule="auto"/>
        <w:ind w:firstLine="640"/>
        <w:jc w:val="right"/>
        <w:rPr>
          <w:rFonts w:ascii="宋体" w:hAnsi="宋体" w:cs="宋体"/>
          <w:sz w:val="28"/>
          <w:szCs w:val="28"/>
        </w:rPr>
      </w:pPr>
      <w:r>
        <w:rPr>
          <w:rFonts w:hint="eastAsia" w:ascii="宋体" w:hAnsi="宋体" w:cs="宋体"/>
          <w:sz w:val="28"/>
          <w:szCs w:val="28"/>
        </w:rPr>
        <w:t xml:space="preserve">企业名称（盖章）：          </w:t>
      </w:r>
    </w:p>
    <w:p w14:paraId="5B4F4121">
      <w:pPr>
        <w:spacing w:line="360" w:lineRule="auto"/>
        <w:ind w:firstLine="640"/>
        <w:jc w:val="right"/>
        <w:rPr>
          <w:rFonts w:ascii="宋体" w:hAnsi="宋体" w:cs="宋体"/>
          <w:sz w:val="28"/>
          <w:szCs w:val="28"/>
        </w:rPr>
      </w:pPr>
      <w:r>
        <w:rPr>
          <w:rFonts w:hint="eastAsia" w:ascii="宋体" w:hAnsi="宋体" w:cs="宋体"/>
          <w:sz w:val="28"/>
          <w:szCs w:val="28"/>
        </w:rPr>
        <w:t xml:space="preserve">日 期：             </w:t>
      </w:r>
    </w:p>
    <w:p w14:paraId="7579FF5C">
      <w:pPr>
        <w:spacing w:line="360" w:lineRule="auto"/>
        <w:ind w:right="560"/>
        <w:rPr>
          <w:rFonts w:ascii="宋体" w:hAnsi="宋体" w:cs="宋体"/>
          <w:sz w:val="28"/>
          <w:szCs w:val="28"/>
        </w:rPr>
      </w:pPr>
      <w:r>
        <w:rPr>
          <w:rFonts w:hint="eastAsia" w:ascii="宋体" w:hAnsi="宋体" w:cs="宋体"/>
          <w:sz w:val="28"/>
          <w:szCs w:val="28"/>
        </w:rPr>
        <w:t>注1：从业人员、营业收入、资产总额填报上一年度数据，无上一年度数据的新成立企业可不填报。</w:t>
      </w:r>
    </w:p>
    <w:p w14:paraId="36C2D27F">
      <w:pPr>
        <w:spacing w:line="360" w:lineRule="auto"/>
        <w:rPr>
          <w:rFonts w:ascii="宋体" w:hAnsi="宋体" w:cs="宋体"/>
          <w:sz w:val="28"/>
          <w:szCs w:val="28"/>
        </w:rPr>
      </w:pPr>
      <w:r>
        <w:rPr>
          <w:rFonts w:hint="eastAsia" w:ascii="宋体" w:hAnsi="宋体" w:cs="宋体"/>
          <w:bCs/>
          <w:sz w:val="28"/>
          <w:szCs w:val="28"/>
        </w:rPr>
        <w:br w:type="page" w:clear="all"/>
      </w:r>
      <w:r>
        <w:rPr>
          <w:rFonts w:hint="eastAsia" w:ascii="宋体" w:hAnsi="宋体" w:cs="宋体"/>
          <w:bCs/>
          <w:sz w:val="28"/>
          <w:szCs w:val="28"/>
          <w:highlight w:val="lightGray"/>
        </w:rPr>
        <w:t>（四）</w:t>
      </w:r>
      <w:r>
        <w:rPr>
          <w:rFonts w:hint="eastAsia" w:ascii="宋体" w:hAnsi="宋体" w:cs="宋体"/>
          <w:sz w:val="28"/>
          <w:szCs w:val="28"/>
          <w:highlight w:val="lightGray"/>
        </w:rPr>
        <w:t>残疾人福利性单位声明函</w:t>
      </w:r>
    </w:p>
    <w:p w14:paraId="63DE3AF2">
      <w:pPr>
        <w:spacing w:line="360" w:lineRule="auto"/>
        <w:jc w:val="center"/>
        <w:rPr>
          <w:rFonts w:ascii="宋体" w:hAnsi="宋体" w:cs="宋体"/>
          <w:i/>
          <w:sz w:val="36"/>
          <w:szCs w:val="36"/>
        </w:rPr>
      </w:pPr>
      <w:r>
        <w:rPr>
          <w:rFonts w:hint="eastAsia" w:ascii="宋体" w:hAnsi="宋体" w:cs="宋体"/>
          <w:sz w:val="36"/>
          <w:szCs w:val="36"/>
        </w:rPr>
        <w:t>残疾人福利性单位声明函</w:t>
      </w:r>
    </w:p>
    <w:p w14:paraId="7081EBCE"/>
    <w:p w14:paraId="2C0C46F6">
      <w:pPr>
        <w:spacing w:line="360" w:lineRule="auto"/>
        <w:ind w:firstLine="560"/>
        <w:rPr>
          <w:rFonts w:ascii="宋体" w:hAnsi="宋体" w:cs="宋体"/>
          <w:sz w:val="28"/>
          <w:szCs w:val="28"/>
        </w:rPr>
      </w:pPr>
      <w:r>
        <w:rPr>
          <w:rFonts w:hint="eastAsia" w:ascii="宋体" w:hAnsi="宋体" w:cs="宋体"/>
          <w:sz w:val="28"/>
          <w:szCs w:val="28"/>
        </w:rPr>
        <w:t>本单位郑重声明，根据《财政部 民政部 中国残疾人联合会关于促进残疾人就业政府采购政策的通知》（财库〔2017〕 141号）的规定，本单位为符合条件的残疾人福利性单位，且本单位参加单位的项目编号为的项目采购活动提供本单位制造的货物（由本单位承担工程/提供服务），或者提供其他残疾人福利性单位制造的货物（不包括使用非残疾人福利性单位注册商标的货物）。</w:t>
      </w:r>
    </w:p>
    <w:p w14:paraId="4DC22837">
      <w:pPr>
        <w:spacing w:line="360" w:lineRule="auto"/>
        <w:ind w:firstLine="560"/>
        <w:rPr>
          <w:rFonts w:ascii="宋体" w:hAnsi="宋体" w:cs="宋体"/>
          <w:sz w:val="28"/>
          <w:szCs w:val="28"/>
        </w:rPr>
      </w:pPr>
      <w:r>
        <w:rPr>
          <w:rFonts w:hint="eastAsia" w:ascii="宋体" w:hAnsi="宋体" w:cs="宋体"/>
          <w:sz w:val="28"/>
          <w:szCs w:val="28"/>
        </w:rPr>
        <w:t>本单位在本次政府采购活动中提供的残疾人福利单位产品报价合计为人民币（大写）元整（￥：）。</w:t>
      </w:r>
    </w:p>
    <w:p w14:paraId="4D45134F">
      <w:pPr>
        <w:spacing w:line="360" w:lineRule="auto"/>
        <w:ind w:firstLine="560"/>
        <w:rPr>
          <w:rFonts w:ascii="宋体" w:hAnsi="宋体" w:cs="宋体"/>
          <w:sz w:val="28"/>
          <w:szCs w:val="28"/>
        </w:rPr>
      </w:pPr>
      <w:r>
        <w:rPr>
          <w:rFonts w:hint="eastAsia" w:ascii="宋体" w:hAnsi="宋体" w:cs="宋体"/>
          <w:sz w:val="28"/>
          <w:szCs w:val="28"/>
        </w:rPr>
        <w:t>本单位对上述声明的真实性负责。如有虚假，将依法承担相应责任。</w:t>
      </w:r>
    </w:p>
    <w:p w14:paraId="5125D59F">
      <w:pPr>
        <w:spacing w:line="360" w:lineRule="auto"/>
        <w:ind w:firstLine="560"/>
        <w:rPr>
          <w:rFonts w:ascii="宋体" w:hAnsi="宋体" w:cs="宋体"/>
          <w:sz w:val="28"/>
          <w:szCs w:val="28"/>
        </w:rPr>
      </w:pPr>
    </w:p>
    <w:p w14:paraId="5BADB568">
      <w:pPr>
        <w:tabs>
          <w:tab w:val="left" w:pos="4860"/>
        </w:tabs>
        <w:spacing w:line="360" w:lineRule="auto"/>
        <w:ind w:right="1560" w:firstLine="560"/>
        <w:jc w:val="center"/>
        <w:rPr>
          <w:rFonts w:ascii="宋体" w:hAnsi="宋体" w:cs="宋体"/>
          <w:sz w:val="28"/>
          <w:szCs w:val="28"/>
        </w:rPr>
      </w:pPr>
      <w:r>
        <w:rPr>
          <w:rFonts w:hint="eastAsia" w:ascii="宋体" w:hAnsi="宋体" w:cs="宋体"/>
          <w:sz w:val="28"/>
          <w:szCs w:val="28"/>
        </w:rPr>
        <w:t xml:space="preserve">                 供应商全称（盖章）：</w:t>
      </w:r>
    </w:p>
    <w:p w14:paraId="1DC4DCE7">
      <w:pPr>
        <w:tabs>
          <w:tab w:val="left" w:pos="4860"/>
        </w:tabs>
        <w:spacing w:line="360" w:lineRule="auto"/>
        <w:ind w:right="1560" w:firstLine="560"/>
        <w:jc w:val="center"/>
        <w:rPr>
          <w:rFonts w:ascii="宋体" w:hAnsi="宋体" w:cs="宋体"/>
          <w:sz w:val="28"/>
          <w:szCs w:val="28"/>
        </w:rPr>
      </w:pPr>
      <w:r>
        <w:rPr>
          <w:rFonts w:hint="eastAsia" w:ascii="宋体" w:hAnsi="宋体" w:cs="宋体"/>
          <w:sz w:val="28"/>
          <w:szCs w:val="28"/>
        </w:rPr>
        <w:t xml:space="preserve">                              日  期：</w:t>
      </w:r>
    </w:p>
    <w:p w14:paraId="07D98727">
      <w:pPr>
        <w:spacing w:line="360" w:lineRule="auto"/>
        <w:ind w:firstLine="560"/>
        <w:rPr>
          <w:rFonts w:ascii="宋体" w:hAnsi="宋体" w:cs="宋体"/>
          <w:sz w:val="28"/>
          <w:szCs w:val="28"/>
        </w:rPr>
      </w:pPr>
    </w:p>
    <w:p w14:paraId="36F0112D">
      <w:pPr>
        <w:spacing w:line="360" w:lineRule="auto"/>
        <w:ind w:firstLine="560"/>
        <w:rPr>
          <w:rFonts w:ascii="宋体" w:hAnsi="宋体" w:cs="宋体"/>
          <w:sz w:val="28"/>
          <w:szCs w:val="28"/>
        </w:rPr>
      </w:pPr>
    </w:p>
    <w:p w14:paraId="4ADCC8CD">
      <w:pPr>
        <w:spacing w:line="360" w:lineRule="auto"/>
        <w:ind w:firstLine="562"/>
        <w:rPr>
          <w:rFonts w:ascii="宋体" w:hAnsi="宋体" w:cs="宋体"/>
          <w:sz w:val="28"/>
          <w:szCs w:val="28"/>
        </w:rPr>
      </w:pPr>
      <w:r>
        <w:rPr>
          <w:rFonts w:hint="eastAsia" w:ascii="宋体" w:hAnsi="宋体" w:cs="宋体"/>
          <w:b/>
          <w:sz w:val="28"/>
          <w:szCs w:val="28"/>
        </w:rPr>
        <w:t>注意：成交供应商提供的《中小企业声明函》《残疾人福利性单位声明函》将随成交结果同时公告，接受社会监督。</w:t>
      </w:r>
    </w:p>
    <w:sectPr>
      <w:headerReference r:id="rId3" w:type="default"/>
      <w:footerReference r:id="rId4" w:type="default"/>
      <w:footerReference r:id="rId5" w:type="even"/>
      <w:pgSz w:w="11906" w:h="16838"/>
      <w:pgMar w:top="1247" w:right="1247" w:bottom="1247" w:left="1247"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77644">
    <w:pPr>
      <w:pStyle w:val="25"/>
      <w:framePr w:wrap="around" w:vAnchor="text" w:hAnchor="margin" w:xAlign="center" w:y="1"/>
      <w:rPr>
        <w:rStyle w:val="44"/>
      </w:rPr>
    </w:pPr>
    <w:r>
      <w:fldChar w:fldCharType="begin"/>
    </w:r>
    <w:r>
      <w:rPr>
        <w:rStyle w:val="44"/>
      </w:rPr>
      <w:instrText xml:space="preserve">PAGE  </w:instrText>
    </w:r>
    <w:r>
      <w:fldChar w:fldCharType="separate"/>
    </w:r>
    <w:r>
      <w:rPr>
        <w:rStyle w:val="44"/>
      </w:rPr>
      <w:t>52</w:t>
    </w:r>
    <w:r>
      <w:fldChar w:fldCharType="end"/>
    </w:r>
  </w:p>
  <w:p w14:paraId="52BB2C43">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F7CD5">
    <w:pPr>
      <w:pStyle w:val="25"/>
      <w:framePr w:wrap="around" w:vAnchor="text" w:hAnchor="margin" w:xAlign="center" w:y="1"/>
      <w:rPr>
        <w:rStyle w:val="44"/>
      </w:rPr>
    </w:pPr>
    <w:r>
      <w:fldChar w:fldCharType="begin"/>
    </w:r>
    <w:r>
      <w:rPr>
        <w:rStyle w:val="44"/>
      </w:rPr>
      <w:instrText xml:space="preserve">PAGE  </w:instrText>
    </w:r>
    <w:r>
      <w:fldChar w:fldCharType="end"/>
    </w:r>
  </w:p>
  <w:p w14:paraId="2B879458">
    <w:pPr>
      <w:pStyle w:val="2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F0BF0">
    <w:pPr>
      <w:pStyle w:val="27"/>
    </w:pPr>
    <w:r>
      <w:rPr>
        <w:rFonts w:hint="eastAsia"/>
      </w:rPr>
      <w:t>如</w:t>
    </w:r>
    <w:r>
      <w:t>皋市政府采购</w:t>
    </w:r>
    <w:r>
      <w:rPr>
        <w:rFonts w:hint="eastAsia"/>
      </w:rPr>
      <w:t>竞争性磋商</w:t>
    </w:r>
    <w:r>
      <w:t>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balanceSingleByteDoubleByteWidth/>
    <w:ulTrailSpace/>
    <w:useFELayout/>
    <w:compatSetting w:name="compatibilityMode" w:uri="http://schemas.microsoft.com/office/word" w:val="12"/>
  </w:compat>
  <w:rsids>
    <w:rsidRoot w:val="00FA2279"/>
    <w:rsid w:val="002856E3"/>
    <w:rsid w:val="002F7C75"/>
    <w:rsid w:val="00637DFA"/>
    <w:rsid w:val="00A871F0"/>
    <w:rsid w:val="00C70ED0"/>
    <w:rsid w:val="00FA2279"/>
    <w:rsid w:val="04AA7E77"/>
    <w:rsid w:val="07747ECF"/>
    <w:rsid w:val="0C82292C"/>
    <w:rsid w:val="0CB01CA0"/>
    <w:rsid w:val="103F5AB4"/>
    <w:rsid w:val="1BE657BF"/>
    <w:rsid w:val="2110063F"/>
    <w:rsid w:val="27B7734A"/>
    <w:rsid w:val="2FE55E13"/>
    <w:rsid w:val="34056F6D"/>
    <w:rsid w:val="38742D99"/>
    <w:rsid w:val="4A4D364D"/>
    <w:rsid w:val="54C702FE"/>
    <w:rsid w:val="62531EBE"/>
    <w:rsid w:val="64C05093"/>
    <w:rsid w:val="64E102D9"/>
    <w:rsid w:val="676A5253"/>
    <w:rsid w:val="6832233A"/>
    <w:rsid w:val="78C657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99"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sz w:val="44"/>
      <w:szCs w:val="44"/>
    </w:rPr>
  </w:style>
  <w:style w:type="paragraph" w:styleId="3">
    <w:name w:val="heading 2"/>
    <w:basedOn w:val="1"/>
    <w:next w:val="1"/>
    <w:link w:val="214"/>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link w:val="199"/>
    <w:qFormat/>
    <w:uiPriority w:val="0"/>
    <w:pPr>
      <w:keepNext/>
      <w:keepLines/>
      <w:spacing w:before="260" w:after="260" w:line="416" w:lineRule="auto"/>
      <w:outlineLvl w:val="2"/>
    </w:pPr>
    <w:rPr>
      <w:b/>
      <w:sz w:val="32"/>
      <w:szCs w:val="20"/>
    </w:rPr>
  </w:style>
  <w:style w:type="paragraph" w:styleId="6">
    <w:name w:val="heading 4"/>
    <w:basedOn w:val="1"/>
    <w:next w:val="1"/>
    <w:link w:val="200"/>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51"/>
    <w:unhideWhenUsed/>
    <w:qFormat/>
    <w:uiPriority w:val="9"/>
    <w:pPr>
      <w:keepNext/>
      <w:keepLines/>
      <w:spacing w:before="320" w:after="200"/>
      <w:outlineLvl w:val="4"/>
    </w:pPr>
    <w:rPr>
      <w:rFonts w:ascii="Arial" w:hAnsi="Arial" w:eastAsia="Arial" w:cs="Arial"/>
      <w:b/>
      <w:bCs/>
      <w:sz w:val="24"/>
    </w:rPr>
  </w:style>
  <w:style w:type="paragraph" w:styleId="8">
    <w:name w:val="heading 6"/>
    <w:basedOn w:val="1"/>
    <w:next w:val="1"/>
    <w:link w:val="52"/>
    <w:unhideWhenUsed/>
    <w:qFormat/>
    <w:uiPriority w:val="9"/>
    <w:pPr>
      <w:keepNext/>
      <w:keepLines/>
      <w:spacing w:before="320" w:after="200"/>
      <w:outlineLvl w:val="5"/>
    </w:pPr>
    <w:rPr>
      <w:rFonts w:ascii="Arial" w:hAnsi="Arial" w:eastAsia="Arial" w:cs="Arial"/>
      <w:b/>
      <w:bCs/>
      <w:sz w:val="22"/>
      <w:szCs w:val="22"/>
    </w:rPr>
  </w:style>
  <w:style w:type="paragraph" w:styleId="9">
    <w:name w:val="heading 7"/>
    <w:basedOn w:val="1"/>
    <w:next w:val="1"/>
    <w:link w:val="53"/>
    <w:unhideWhenUsed/>
    <w:qFormat/>
    <w:uiPriority w:val="9"/>
    <w:pPr>
      <w:keepNext/>
      <w:keepLines/>
      <w:spacing w:before="320" w:after="200"/>
      <w:outlineLvl w:val="6"/>
    </w:pPr>
    <w:rPr>
      <w:rFonts w:ascii="Arial" w:hAnsi="Arial" w:eastAsia="Arial" w:cs="Arial"/>
      <w:b/>
      <w:bCs/>
      <w:i/>
      <w:iCs/>
      <w:sz w:val="22"/>
      <w:szCs w:val="22"/>
    </w:rPr>
  </w:style>
  <w:style w:type="paragraph" w:styleId="10">
    <w:name w:val="heading 8"/>
    <w:basedOn w:val="1"/>
    <w:next w:val="1"/>
    <w:link w:val="54"/>
    <w:unhideWhenUsed/>
    <w:qFormat/>
    <w:uiPriority w:val="9"/>
    <w:pPr>
      <w:keepNext/>
      <w:keepLines/>
      <w:spacing w:before="320" w:after="200"/>
      <w:outlineLvl w:val="7"/>
    </w:pPr>
    <w:rPr>
      <w:rFonts w:ascii="Arial" w:hAnsi="Arial" w:eastAsia="Arial" w:cs="Arial"/>
      <w:i/>
      <w:iCs/>
      <w:sz w:val="22"/>
      <w:szCs w:val="22"/>
    </w:rPr>
  </w:style>
  <w:style w:type="paragraph" w:styleId="11">
    <w:name w:val="heading 9"/>
    <w:basedOn w:val="1"/>
    <w:next w:val="1"/>
    <w:link w:val="55"/>
    <w:unhideWhenUsed/>
    <w:qFormat/>
    <w:uiPriority w:val="9"/>
    <w:pPr>
      <w:keepNext/>
      <w:keepLines/>
      <w:spacing w:before="320" w:after="200"/>
      <w:outlineLvl w:val="8"/>
    </w:pPr>
    <w:rPr>
      <w:rFonts w:ascii="Arial" w:hAnsi="Arial" w:eastAsia="Arial" w:cs="Arial"/>
      <w:i/>
      <w:iCs/>
      <w:szCs w:val="21"/>
    </w:rPr>
  </w:style>
  <w:style w:type="character" w:default="1" w:styleId="42">
    <w:name w:val="Default Paragraph Font"/>
    <w:semiHidden/>
    <w:unhideWhenUsed/>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205"/>
    <w:qFormat/>
    <w:uiPriority w:val="0"/>
    <w:pPr>
      <w:ind w:firstLine="420"/>
    </w:pPr>
  </w:style>
  <w:style w:type="paragraph" w:styleId="12">
    <w:name w:val="toc 7"/>
    <w:basedOn w:val="1"/>
    <w:next w:val="1"/>
    <w:unhideWhenUsed/>
    <w:qFormat/>
    <w:uiPriority w:val="39"/>
    <w:pPr>
      <w:spacing w:after="57"/>
      <w:ind w:left="1701"/>
    </w:pPr>
  </w:style>
  <w:style w:type="paragraph" w:styleId="13">
    <w:name w:val="caption"/>
    <w:basedOn w:val="1"/>
    <w:next w:val="1"/>
    <w:semiHidden/>
    <w:unhideWhenUsed/>
    <w:qFormat/>
    <w:uiPriority w:val="35"/>
    <w:pPr>
      <w:spacing w:line="276" w:lineRule="auto"/>
    </w:pPr>
    <w:rPr>
      <w:b/>
      <w:bCs/>
      <w:color w:val="4F81BD" w:themeColor="accent1"/>
      <w:sz w:val="18"/>
      <w:szCs w:val="18"/>
    </w:rPr>
  </w:style>
  <w:style w:type="paragraph" w:styleId="14">
    <w:name w:val="index 5"/>
    <w:basedOn w:val="1"/>
    <w:next w:val="1"/>
    <w:qFormat/>
    <w:uiPriority w:val="0"/>
    <w:pPr>
      <w:ind w:left="800"/>
    </w:pPr>
    <w:rPr>
      <w:szCs w:val="21"/>
    </w:rPr>
  </w:style>
  <w:style w:type="paragraph" w:styleId="15">
    <w:name w:val="Document Map"/>
    <w:basedOn w:val="1"/>
    <w:semiHidden/>
    <w:qFormat/>
    <w:uiPriority w:val="0"/>
    <w:pPr>
      <w:shd w:val="clear" w:color="auto" w:fill="000080"/>
    </w:pPr>
  </w:style>
  <w:style w:type="paragraph" w:styleId="16">
    <w:name w:val="Body Text Indent"/>
    <w:basedOn w:val="1"/>
    <w:next w:val="1"/>
    <w:qFormat/>
    <w:uiPriority w:val="0"/>
    <w:pPr>
      <w:spacing w:after="120"/>
      <w:ind w:left="420"/>
    </w:pPr>
  </w:style>
  <w:style w:type="paragraph" w:styleId="17">
    <w:name w:val="index 4"/>
    <w:next w:val="1"/>
    <w:unhideWhenUsed/>
    <w:qFormat/>
    <w:uiPriority w:val="99"/>
    <w:pPr>
      <w:widowControl w:val="0"/>
      <w:ind w:left="600" w:leftChars="600"/>
      <w:jc w:val="both"/>
    </w:pPr>
    <w:rPr>
      <w:rFonts w:ascii="Times New Roman" w:hAnsi="Times New Roman" w:eastAsia="宋体" w:cs="Times New Roman"/>
      <w:kern w:val="2"/>
      <w:sz w:val="21"/>
      <w:szCs w:val="24"/>
      <w:lang w:val="en-US" w:eastAsia="zh-CN" w:bidi="ar-SA"/>
    </w:rPr>
  </w:style>
  <w:style w:type="paragraph" w:styleId="18">
    <w:name w:val="toc 5"/>
    <w:basedOn w:val="1"/>
    <w:next w:val="1"/>
    <w:unhideWhenUsed/>
    <w:qFormat/>
    <w:uiPriority w:val="39"/>
    <w:pPr>
      <w:spacing w:after="57"/>
      <w:ind w:left="1134"/>
    </w:pPr>
  </w:style>
  <w:style w:type="paragraph" w:styleId="19">
    <w:name w:val="toc 3"/>
    <w:basedOn w:val="1"/>
    <w:next w:val="1"/>
    <w:unhideWhenUsed/>
    <w:qFormat/>
    <w:uiPriority w:val="39"/>
    <w:pPr>
      <w:spacing w:after="57"/>
      <w:ind w:left="567"/>
    </w:pPr>
  </w:style>
  <w:style w:type="paragraph" w:styleId="20">
    <w:name w:val="Plain Text"/>
    <w:basedOn w:val="1"/>
    <w:link w:val="204"/>
    <w:qFormat/>
    <w:uiPriority w:val="0"/>
    <w:pPr>
      <w:widowControl/>
      <w:spacing w:after="200" w:line="252" w:lineRule="auto"/>
      <w:jc w:val="left"/>
    </w:pPr>
    <w:rPr>
      <w:rFonts w:ascii="宋体" w:hAnsi="Courier New"/>
      <w:szCs w:val="20"/>
    </w:rPr>
  </w:style>
  <w:style w:type="paragraph" w:styleId="21">
    <w:name w:val="toc 8"/>
    <w:basedOn w:val="1"/>
    <w:next w:val="1"/>
    <w:unhideWhenUsed/>
    <w:qFormat/>
    <w:uiPriority w:val="39"/>
    <w:pPr>
      <w:spacing w:after="57"/>
      <w:ind w:left="1984"/>
    </w:pPr>
  </w:style>
  <w:style w:type="paragraph" w:styleId="22">
    <w:name w:val="Date"/>
    <w:basedOn w:val="1"/>
    <w:next w:val="1"/>
    <w:link w:val="195"/>
    <w:qFormat/>
    <w:uiPriority w:val="0"/>
    <w:rPr>
      <w:sz w:val="24"/>
      <w:szCs w:val="20"/>
    </w:rPr>
  </w:style>
  <w:style w:type="paragraph" w:styleId="23">
    <w:name w:val="endnote text"/>
    <w:basedOn w:val="1"/>
    <w:link w:val="193"/>
    <w:semiHidden/>
    <w:unhideWhenUsed/>
    <w:qFormat/>
    <w:uiPriority w:val="99"/>
    <w:rPr>
      <w:sz w:val="20"/>
    </w:rPr>
  </w:style>
  <w:style w:type="paragraph" w:styleId="24">
    <w:name w:val="Balloon Text"/>
    <w:basedOn w:val="1"/>
    <w:link w:val="197"/>
    <w:qFormat/>
    <w:uiPriority w:val="0"/>
    <w:rPr>
      <w:sz w:val="18"/>
      <w:szCs w:val="18"/>
    </w:rPr>
  </w:style>
  <w:style w:type="paragraph" w:styleId="25">
    <w:name w:val="footer"/>
    <w:basedOn w:val="1"/>
    <w:qFormat/>
    <w:uiPriority w:val="0"/>
    <w:pPr>
      <w:tabs>
        <w:tab w:val="center" w:pos="4153"/>
        <w:tab w:val="right" w:pos="8306"/>
      </w:tabs>
      <w:jc w:val="left"/>
    </w:pPr>
    <w:rPr>
      <w:sz w:val="18"/>
      <w:szCs w:val="18"/>
    </w:rPr>
  </w:style>
  <w:style w:type="paragraph" w:styleId="26">
    <w:name w:val="envelope return"/>
    <w:basedOn w:val="1"/>
    <w:unhideWhenUsed/>
    <w:qFormat/>
    <w:uiPriority w:val="99"/>
    <w:rPr>
      <w:rFonts w:ascii="Arial" w:hAnsi="Arial"/>
    </w:rPr>
  </w:style>
  <w:style w:type="paragraph" w:styleId="27">
    <w:name w:val="header"/>
    <w:basedOn w:val="1"/>
    <w:link w:val="206"/>
    <w:qFormat/>
    <w:uiPriority w:val="99"/>
    <w:pPr>
      <w:pBdr>
        <w:bottom w:val="single" w:color="auto" w:sz="6" w:space="1"/>
      </w:pBdr>
      <w:tabs>
        <w:tab w:val="center" w:pos="4153"/>
        <w:tab w:val="right" w:pos="8306"/>
      </w:tabs>
      <w:jc w:val="center"/>
    </w:pPr>
    <w:rPr>
      <w:sz w:val="18"/>
      <w:szCs w:val="18"/>
    </w:rPr>
  </w:style>
  <w:style w:type="paragraph" w:styleId="28">
    <w:name w:val="toc 1"/>
    <w:basedOn w:val="1"/>
    <w:next w:val="1"/>
    <w:unhideWhenUsed/>
    <w:qFormat/>
    <w:uiPriority w:val="39"/>
    <w:pPr>
      <w:spacing w:after="57"/>
    </w:pPr>
  </w:style>
  <w:style w:type="paragraph" w:styleId="29">
    <w:name w:val="toc 4"/>
    <w:basedOn w:val="1"/>
    <w:next w:val="1"/>
    <w:unhideWhenUsed/>
    <w:qFormat/>
    <w:uiPriority w:val="39"/>
    <w:pPr>
      <w:spacing w:after="57"/>
      <w:ind w:left="850"/>
    </w:pPr>
  </w:style>
  <w:style w:type="paragraph" w:styleId="30">
    <w:name w:val="Subtitle"/>
    <w:basedOn w:val="1"/>
    <w:next w:val="1"/>
    <w:link w:val="59"/>
    <w:qFormat/>
    <w:uiPriority w:val="11"/>
    <w:pPr>
      <w:spacing w:before="200" w:after="200"/>
    </w:pPr>
    <w:rPr>
      <w:sz w:val="24"/>
    </w:rPr>
  </w:style>
  <w:style w:type="paragraph" w:styleId="31">
    <w:name w:val="footnote text"/>
    <w:basedOn w:val="1"/>
    <w:next w:val="14"/>
    <w:qFormat/>
    <w:uiPriority w:val="0"/>
    <w:pPr>
      <w:spacing w:line="312" w:lineRule="atLeast"/>
      <w:jc w:val="left"/>
    </w:pPr>
    <w:rPr>
      <w:sz w:val="18"/>
    </w:rPr>
  </w:style>
  <w:style w:type="paragraph" w:styleId="32">
    <w:name w:val="toc 6"/>
    <w:basedOn w:val="1"/>
    <w:next w:val="1"/>
    <w:unhideWhenUsed/>
    <w:qFormat/>
    <w:uiPriority w:val="39"/>
    <w:pPr>
      <w:spacing w:after="57"/>
      <w:ind w:left="1417"/>
    </w:pPr>
  </w:style>
  <w:style w:type="paragraph" w:styleId="33">
    <w:name w:val="Body Text Indent 3"/>
    <w:basedOn w:val="1"/>
    <w:link w:val="196"/>
    <w:qFormat/>
    <w:uiPriority w:val="0"/>
    <w:pPr>
      <w:spacing w:after="120"/>
      <w:ind w:left="420"/>
    </w:pPr>
    <w:rPr>
      <w:sz w:val="16"/>
      <w:szCs w:val="16"/>
    </w:rPr>
  </w:style>
  <w:style w:type="paragraph" w:styleId="34">
    <w:name w:val="table of figures"/>
    <w:basedOn w:val="1"/>
    <w:next w:val="1"/>
    <w:unhideWhenUsed/>
    <w:qFormat/>
    <w:uiPriority w:val="99"/>
  </w:style>
  <w:style w:type="paragraph" w:styleId="35">
    <w:name w:val="toc 2"/>
    <w:basedOn w:val="1"/>
    <w:next w:val="1"/>
    <w:unhideWhenUsed/>
    <w:qFormat/>
    <w:uiPriority w:val="39"/>
    <w:pPr>
      <w:spacing w:after="57"/>
      <w:ind w:left="283"/>
    </w:pPr>
  </w:style>
  <w:style w:type="paragraph" w:styleId="36">
    <w:name w:val="toc 9"/>
    <w:basedOn w:val="1"/>
    <w:next w:val="1"/>
    <w:unhideWhenUsed/>
    <w:qFormat/>
    <w:uiPriority w:val="39"/>
    <w:pPr>
      <w:spacing w:after="57"/>
      <w:ind w:left="2268"/>
    </w:pPr>
  </w:style>
  <w:style w:type="paragraph" w:styleId="37">
    <w:name w:val="Normal (Web)"/>
    <w:basedOn w:val="1"/>
    <w:unhideWhenUsed/>
    <w:qFormat/>
    <w:uiPriority w:val="99"/>
    <w:pPr>
      <w:widowControl/>
      <w:spacing w:before="100" w:beforeAutospacing="1" w:after="100" w:afterAutospacing="1"/>
      <w:jc w:val="left"/>
    </w:pPr>
    <w:rPr>
      <w:rFonts w:ascii="宋体" w:hAnsi="宋体" w:cs="宋体"/>
      <w:sz w:val="24"/>
    </w:rPr>
  </w:style>
  <w:style w:type="paragraph" w:styleId="38">
    <w:name w:val="Title"/>
    <w:basedOn w:val="1"/>
    <w:next w:val="1"/>
    <w:link w:val="58"/>
    <w:qFormat/>
    <w:uiPriority w:val="10"/>
    <w:pPr>
      <w:spacing w:before="300" w:after="200"/>
      <w:contextualSpacing/>
    </w:pPr>
    <w:rPr>
      <w:sz w:val="48"/>
      <w:szCs w:val="48"/>
    </w:rPr>
  </w:style>
  <w:style w:type="paragraph" w:styleId="39">
    <w:name w:val="Body Text First Indent 2"/>
    <w:basedOn w:val="16"/>
    <w:unhideWhenUsed/>
    <w:qFormat/>
    <w:uiPriority w:val="99"/>
    <w:pPr>
      <w:ind w:firstLine="420"/>
    </w:pPr>
    <w:rPr>
      <w:szCs w:val="21"/>
    </w:rPr>
  </w:style>
  <w:style w:type="table" w:styleId="41">
    <w:name w:val="Table Grid"/>
    <w:basedOn w:val="40"/>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3">
    <w:name w:val="endnote reference"/>
    <w:basedOn w:val="42"/>
    <w:semiHidden/>
    <w:unhideWhenUsed/>
    <w:qFormat/>
    <w:uiPriority w:val="99"/>
    <w:rPr>
      <w:vertAlign w:val="superscript"/>
    </w:rPr>
  </w:style>
  <w:style w:type="character" w:styleId="44">
    <w:name w:val="page number"/>
    <w:basedOn w:val="42"/>
    <w:qFormat/>
    <w:uiPriority w:val="0"/>
  </w:style>
  <w:style w:type="character" w:styleId="45">
    <w:name w:val="Hyperlink"/>
    <w:unhideWhenUsed/>
    <w:qFormat/>
    <w:uiPriority w:val="99"/>
    <w:rPr>
      <w:color w:val="0000FF" w:themeColor="hyperlink"/>
      <w:u w:val="single"/>
    </w:rPr>
  </w:style>
  <w:style w:type="character" w:styleId="46">
    <w:name w:val="footnote reference"/>
    <w:basedOn w:val="42"/>
    <w:unhideWhenUsed/>
    <w:qFormat/>
    <w:uiPriority w:val="99"/>
    <w:rPr>
      <w:vertAlign w:val="superscript"/>
    </w:rPr>
  </w:style>
  <w:style w:type="character" w:customStyle="1" w:styleId="47">
    <w:name w:val="Heading 1 Char"/>
    <w:basedOn w:val="42"/>
    <w:qFormat/>
    <w:uiPriority w:val="9"/>
    <w:rPr>
      <w:rFonts w:ascii="Arial" w:hAnsi="Arial" w:eastAsia="Arial" w:cs="Arial"/>
      <w:sz w:val="40"/>
      <w:szCs w:val="40"/>
    </w:rPr>
  </w:style>
  <w:style w:type="character" w:customStyle="1" w:styleId="48">
    <w:name w:val="Heading 2 Char"/>
    <w:basedOn w:val="42"/>
    <w:qFormat/>
    <w:uiPriority w:val="9"/>
    <w:rPr>
      <w:rFonts w:ascii="Arial" w:hAnsi="Arial" w:eastAsia="Arial" w:cs="Arial"/>
      <w:sz w:val="34"/>
    </w:rPr>
  </w:style>
  <w:style w:type="character" w:customStyle="1" w:styleId="49">
    <w:name w:val="Heading 3 Char"/>
    <w:basedOn w:val="42"/>
    <w:qFormat/>
    <w:uiPriority w:val="9"/>
    <w:rPr>
      <w:rFonts w:ascii="Arial" w:hAnsi="Arial" w:eastAsia="Arial" w:cs="Arial"/>
      <w:sz w:val="30"/>
      <w:szCs w:val="30"/>
    </w:rPr>
  </w:style>
  <w:style w:type="character" w:customStyle="1" w:styleId="50">
    <w:name w:val="Heading 4 Char"/>
    <w:basedOn w:val="42"/>
    <w:qFormat/>
    <w:uiPriority w:val="9"/>
    <w:rPr>
      <w:rFonts w:ascii="Arial" w:hAnsi="Arial" w:eastAsia="Arial" w:cs="Arial"/>
      <w:b/>
      <w:bCs/>
      <w:sz w:val="26"/>
      <w:szCs w:val="26"/>
    </w:rPr>
  </w:style>
  <w:style w:type="character" w:customStyle="1" w:styleId="51">
    <w:name w:val="标题 5 Char"/>
    <w:basedOn w:val="42"/>
    <w:link w:val="7"/>
    <w:qFormat/>
    <w:uiPriority w:val="9"/>
    <w:rPr>
      <w:rFonts w:ascii="Arial" w:hAnsi="Arial" w:eastAsia="Arial" w:cs="Arial"/>
      <w:b/>
      <w:bCs/>
      <w:sz w:val="24"/>
      <w:szCs w:val="24"/>
    </w:rPr>
  </w:style>
  <w:style w:type="character" w:customStyle="1" w:styleId="52">
    <w:name w:val="标题 6 Char"/>
    <w:basedOn w:val="42"/>
    <w:link w:val="8"/>
    <w:qFormat/>
    <w:uiPriority w:val="9"/>
    <w:rPr>
      <w:rFonts w:ascii="Arial" w:hAnsi="Arial" w:eastAsia="Arial" w:cs="Arial"/>
      <w:b/>
      <w:bCs/>
      <w:sz w:val="22"/>
      <w:szCs w:val="22"/>
    </w:rPr>
  </w:style>
  <w:style w:type="character" w:customStyle="1" w:styleId="53">
    <w:name w:val="标题 7 Char"/>
    <w:basedOn w:val="42"/>
    <w:link w:val="9"/>
    <w:qFormat/>
    <w:uiPriority w:val="9"/>
    <w:rPr>
      <w:rFonts w:ascii="Arial" w:hAnsi="Arial" w:eastAsia="Arial" w:cs="Arial"/>
      <w:b/>
      <w:bCs/>
      <w:i/>
      <w:iCs/>
      <w:sz w:val="22"/>
      <w:szCs w:val="22"/>
    </w:rPr>
  </w:style>
  <w:style w:type="character" w:customStyle="1" w:styleId="54">
    <w:name w:val="标题 8 Char"/>
    <w:basedOn w:val="42"/>
    <w:link w:val="10"/>
    <w:qFormat/>
    <w:uiPriority w:val="9"/>
    <w:rPr>
      <w:rFonts w:ascii="Arial" w:hAnsi="Arial" w:eastAsia="Arial" w:cs="Arial"/>
      <w:i/>
      <w:iCs/>
      <w:sz w:val="22"/>
      <w:szCs w:val="22"/>
    </w:rPr>
  </w:style>
  <w:style w:type="character" w:customStyle="1" w:styleId="55">
    <w:name w:val="标题 9 Char"/>
    <w:basedOn w:val="42"/>
    <w:link w:val="11"/>
    <w:qFormat/>
    <w:uiPriority w:val="9"/>
    <w:rPr>
      <w:rFonts w:ascii="Arial" w:hAnsi="Arial" w:eastAsia="Arial" w:cs="Arial"/>
      <w:i/>
      <w:iCs/>
      <w:sz w:val="21"/>
      <w:szCs w:val="21"/>
    </w:rPr>
  </w:style>
  <w:style w:type="paragraph" w:styleId="56">
    <w:name w:val="List Paragraph"/>
    <w:basedOn w:val="1"/>
    <w:qFormat/>
    <w:uiPriority w:val="34"/>
    <w:pPr>
      <w:ind w:left="720"/>
      <w:contextualSpacing/>
    </w:pPr>
  </w:style>
  <w:style w:type="paragraph" w:styleId="57">
    <w:name w:val="No Spacing"/>
    <w:qFormat/>
    <w:uiPriority w:val="1"/>
    <w:rPr>
      <w:rFonts w:ascii="Times New Roman" w:hAnsi="Times New Roman" w:eastAsia="宋体" w:cs="Times New Roman"/>
      <w:lang w:val="en-US" w:eastAsia="zh-CN" w:bidi="ar-SA"/>
    </w:rPr>
  </w:style>
  <w:style w:type="character" w:customStyle="1" w:styleId="58">
    <w:name w:val="标题 Char"/>
    <w:basedOn w:val="42"/>
    <w:link w:val="38"/>
    <w:qFormat/>
    <w:uiPriority w:val="10"/>
    <w:rPr>
      <w:sz w:val="48"/>
      <w:szCs w:val="48"/>
    </w:rPr>
  </w:style>
  <w:style w:type="character" w:customStyle="1" w:styleId="59">
    <w:name w:val="副标题 Char"/>
    <w:basedOn w:val="42"/>
    <w:link w:val="30"/>
    <w:qFormat/>
    <w:uiPriority w:val="11"/>
    <w:rPr>
      <w:sz w:val="24"/>
      <w:szCs w:val="24"/>
    </w:rPr>
  </w:style>
  <w:style w:type="paragraph" w:styleId="60">
    <w:name w:val="Quote"/>
    <w:basedOn w:val="1"/>
    <w:next w:val="1"/>
    <w:link w:val="61"/>
    <w:qFormat/>
    <w:uiPriority w:val="29"/>
    <w:pPr>
      <w:ind w:left="720" w:right="720"/>
    </w:pPr>
    <w:rPr>
      <w:i/>
    </w:rPr>
  </w:style>
  <w:style w:type="character" w:customStyle="1" w:styleId="61">
    <w:name w:val="引用 Char"/>
    <w:link w:val="60"/>
    <w:qFormat/>
    <w:uiPriority w:val="29"/>
    <w:rPr>
      <w:i/>
    </w:rPr>
  </w:style>
  <w:style w:type="paragraph" w:styleId="62">
    <w:name w:val="Intense Quote"/>
    <w:basedOn w:val="1"/>
    <w:next w:val="1"/>
    <w:link w:val="63"/>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63">
    <w:name w:val="明显引用 Char"/>
    <w:link w:val="62"/>
    <w:qFormat/>
    <w:uiPriority w:val="30"/>
    <w:rPr>
      <w:i/>
    </w:rPr>
  </w:style>
  <w:style w:type="character" w:customStyle="1" w:styleId="64">
    <w:name w:val="Header Char"/>
    <w:basedOn w:val="42"/>
    <w:qFormat/>
    <w:uiPriority w:val="99"/>
  </w:style>
  <w:style w:type="character" w:customStyle="1" w:styleId="65">
    <w:name w:val="Footer Char"/>
    <w:basedOn w:val="42"/>
    <w:qFormat/>
    <w:uiPriority w:val="99"/>
  </w:style>
  <w:style w:type="character" w:customStyle="1" w:styleId="66">
    <w:name w:val="Caption Char"/>
    <w:qFormat/>
    <w:uiPriority w:val="99"/>
  </w:style>
  <w:style w:type="table" w:customStyle="1" w:styleId="67">
    <w:name w:val="Table Grid Light"/>
    <w:basedOn w:val="4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8">
    <w:name w:val="Plain Table 1"/>
    <w:basedOn w:val="4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9">
    <w:name w:val="Plain Table 2"/>
    <w:basedOn w:val="40"/>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70">
    <w:name w:val="Plain Table 3"/>
    <w:basedOn w:val="40"/>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1">
    <w:name w:val="Plain Table 4"/>
    <w:basedOn w:val="40"/>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2">
    <w:name w:val="Plain Table 5"/>
    <w:basedOn w:val="40"/>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3">
    <w:name w:val="Grid Table 1 Light"/>
    <w:basedOn w:val="40"/>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4">
    <w:name w:val="Grid Table 1 Light - Accent 1"/>
    <w:basedOn w:val="4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5">
    <w:name w:val="Grid Table 1 Light - Accent 2"/>
    <w:basedOn w:val="4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6">
    <w:name w:val="Grid Table 1 Light - Accent 3"/>
    <w:basedOn w:val="4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7">
    <w:name w:val="Grid Table 1 Light - Accent 4"/>
    <w:basedOn w:val="4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8">
    <w:name w:val="Grid Table 1 Light - Accent 5"/>
    <w:basedOn w:val="4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9">
    <w:name w:val="Grid Table 1 Light - Accent 6"/>
    <w:basedOn w:val="4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80">
    <w:name w:val="Grid Table 2"/>
    <w:basedOn w:val="4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1">
    <w:name w:val="Grid Table 2 - Accent 1"/>
    <w:basedOn w:val="4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2">
    <w:name w:val="Grid Table 2 - Accent 2"/>
    <w:basedOn w:val="4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3">
    <w:name w:val="Grid Table 2 - Accent 3"/>
    <w:basedOn w:val="4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4">
    <w:name w:val="Grid Table 2 - Accent 4"/>
    <w:basedOn w:val="4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5">
    <w:name w:val="Grid Table 2 - Accent 5"/>
    <w:basedOn w:val="40"/>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6">
    <w:name w:val="Grid Table 2 - Accent 6"/>
    <w:basedOn w:val="40"/>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7">
    <w:name w:val="Grid Table 3"/>
    <w:basedOn w:val="4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8">
    <w:name w:val="Grid Table 3 - Accent 1"/>
    <w:basedOn w:val="4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9">
    <w:name w:val="Grid Table 3 - Accent 2"/>
    <w:basedOn w:val="4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0">
    <w:name w:val="Grid Table 3 - Accent 3"/>
    <w:basedOn w:val="4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1">
    <w:name w:val="Grid Table 3 - Accent 4"/>
    <w:basedOn w:val="4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2">
    <w:name w:val="Grid Table 3 - Accent 5"/>
    <w:basedOn w:val="40"/>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3">
    <w:name w:val="Grid Table 3 - Accent 6"/>
    <w:basedOn w:val="40"/>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4">
    <w:name w:val="Grid Table 4"/>
    <w:basedOn w:val="40"/>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5">
    <w:name w:val="Grid Table 4 - Accent 1"/>
    <w:basedOn w:val="40"/>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6">
    <w:name w:val="Grid Table 4 - Accent 2"/>
    <w:basedOn w:val="40"/>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7">
    <w:name w:val="Grid Table 4 - Accent 3"/>
    <w:basedOn w:val="40"/>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8">
    <w:name w:val="Grid Table 4 - Accent 4"/>
    <w:basedOn w:val="40"/>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9">
    <w:name w:val="Grid Table 4 - Accent 5"/>
    <w:basedOn w:val="40"/>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0">
    <w:name w:val="Grid Table 4 - Accent 6"/>
    <w:basedOn w:val="40"/>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1">
    <w:name w:val="Grid Table 5 Dark"/>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02">
    <w:name w:val="Grid Table 5 Dark- Accent 1"/>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03">
    <w:name w:val="Grid Table 5 Dark - Accent 2"/>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04">
    <w:name w:val="Grid Table 5 Dark - Accent 3"/>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5">
    <w:name w:val="Grid Table 5 Dark- Accent 4"/>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6">
    <w:name w:val="Grid Table 5 Dark - Accent 5"/>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7">
    <w:name w:val="Grid Table 5 Dark - Accent 6"/>
    <w:basedOn w:val="4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8">
    <w:name w:val="Grid Table 6 Colorful"/>
    <w:basedOn w:val="40"/>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7E7E7E" w:themeColor="text1" w:themeTint="80"/>
      </w:rPr>
      <w:tcPr>
        <w:tcBorders>
          <w:bottom w:val="single" w:color="7E7E7E" w:themeColor="text1" w:themeTint="80" w:sz="12" w:space="0"/>
        </w:tcBorders>
      </w:tcPr>
    </w:tblStylePr>
    <w:tblStylePr w:type="lastRow">
      <w:rPr>
        <w:b/>
        <w:color w:val="7E7E7E" w:themeColor="text1" w:themeTint="80"/>
      </w:rPr>
    </w:tblStylePr>
    <w:tblStylePr w:type="firstCol">
      <w:rPr>
        <w:b/>
        <w:color w:val="7E7E7E" w:themeColor="text1" w:themeTint="80"/>
      </w:rPr>
    </w:tblStylePr>
    <w:tblStylePr w:type="lastCol">
      <w:rPr>
        <w:b/>
        <w:color w:val="7E7E7E" w:themeColor="text1" w:themeTint="80"/>
      </w:rPr>
    </w:tblStylePr>
    <w:tblStylePr w:type="band1Vert">
      <w:tcPr>
        <w:shd w:val="clear" w:color="CACACA" w:themeColor="text1" w:themeTint="34" w:fill="CACACA" w:themeFill="text1" w:themeFillTint="34"/>
      </w:tcPr>
    </w:tblStylePr>
    <w:tblStylePr w:type="band1Horz">
      <w:rPr>
        <w:rFonts w:ascii="Arial" w:hAnsi="Arial"/>
        <w:color w:val="7E7E7E" w:themeColor="text1" w:themeTint="80"/>
        <w:sz w:val="22"/>
      </w:rPr>
      <w:tcPr>
        <w:shd w:val="clear" w:color="CACACA" w:themeColor="text1" w:themeTint="34" w:fill="CACACA" w:themeFill="text1" w:themeFillTint="34"/>
      </w:tcPr>
    </w:tblStylePr>
    <w:tblStylePr w:type="band2Horz">
      <w:rPr>
        <w:rFonts w:ascii="Arial" w:hAnsi="Arial"/>
        <w:color w:val="7E7E7E" w:themeColor="text1" w:themeTint="80"/>
        <w:sz w:val="22"/>
      </w:rPr>
    </w:tblStylePr>
  </w:style>
  <w:style w:type="table" w:customStyle="1" w:styleId="109">
    <w:name w:val="Grid Table 6 Colorful - Accent 1"/>
    <w:basedOn w:val="40"/>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6BFDD" w:themeColor="accent1" w:themeTint="80"/>
      </w:rPr>
      <w:tcPr>
        <w:tcBorders>
          <w:bottom w:val="single" w:color="A6BFDD" w:themeColor="accent1" w:themeTint="80" w:sz="12" w:space="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cPr>
        <w:shd w:val="clear" w:color="DBE5F1" w:themeColor="accent1" w:themeTint="34" w:fill="DBE5F1" w:themeFill="accent1" w:themeFillTint="34"/>
      </w:tcPr>
    </w:tblStylePr>
    <w:tblStylePr w:type="band1Horz">
      <w:rPr>
        <w:rFonts w:ascii="Arial" w:hAnsi="Arial"/>
        <w:color w:val="A6BFDD" w:themeColor="accent1" w:themeTint="80"/>
        <w:sz w:val="22"/>
      </w:rPr>
      <w:tcPr>
        <w:shd w:val="clear" w:color="DBE5F1" w:themeColor="accent1" w:themeTint="34" w:fill="DBE5F1" w:themeFill="accent1" w:themeFillTint="34"/>
      </w:tcPr>
    </w:tblStylePr>
    <w:tblStylePr w:type="band2Horz">
      <w:rPr>
        <w:rFonts w:ascii="Arial" w:hAnsi="Arial"/>
        <w:color w:val="A6BFDD" w:themeColor="accent1" w:themeTint="80"/>
        <w:sz w:val="22"/>
      </w:rPr>
    </w:tblStylePr>
  </w:style>
  <w:style w:type="table" w:customStyle="1" w:styleId="110">
    <w:name w:val="Grid Table 6 Colorful - Accent 2"/>
    <w:basedOn w:val="4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D99896" w:themeColor="accent2" w:themeTint="96"/>
      </w:rPr>
      <w:tcPr>
        <w:tcBorders>
          <w:bottom w:val="single" w:color="D99795" w:themeColor="accent2" w:themeTint="97" w:sz="12" w:space="0"/>
        </w:tcBorders>
      </w:tcPr>
    </w:tblStylePr>
    <w:tblStylePr w:type="lastRow">
      <w:rPr>
        <w:b/>
        <w:color w:val="D99896" w:themeColor="accent2" w:themeTint="96"/>
      </w:rPr>
    </w:tblStylePr>
    <w:tblStylePr w:type="firstCol">
      <w:rPr>
        <w:b/>
        <w:color w:val="D99896" w:themeColor="accent2" w:themeTint="96"/>
      </w:rPr>
    </w:tblStylePr>
    <w:tblStylePr w:type="lastCol">
      <w:rPr>
        <w:b/>
        <w:color w:val="D99896" w:themeColor="accent2" w:themeTint="96"/>
      </w:rPr>
    </w:tblStylePr>
    <w:tblStylePr w:type="band1Vert">
      <w:tcPr>
        <w:shd w:val="clear" w:color="F2DCDC" w:themeColor="accent2" w:themeTint="32" w:fill="F2DCDC" w:themeFill="accent2" w:themeFillTint="32"/>
      </w:tcPr>
    </w:tblStylePr>
    <w:tblStylePr w:type="band1Horz">
      <w:rPr>
        <w:rFonts w:ascii="Arial" w:hAnsi="Arial"/>
        <w:color w:val="D99896" w:themeColor="accent2" w:themeTint="96"/>
        <w:sz w:val="22"/>
      </w:rPr>
      <w:tcPr>
        <w:shd w:val="clear" w:color="F2DCDC" w:themeColor="accent2" w:themeTint="32" w:fill="F2DCDC" w:themeFill="accent2" w:themeFillTint="32"/>
      </w:tcPr>
    </w:tblStylePr>
    <w:tblStylePr w:type="band2Horz">
      <w:rPr>
        <w:rFonts w:ascii="Arial" w:hAnsi="Arial"/>
        <w:color w:val="D99896" w:themeColor="accent2" w:themeTint="96"/>
        <w:sz w:val="22"/>
      </w:rPr>
    </w:tblStylePr>
  </w:style>
  <w:style w:type="table" w:customStyle="1" w:styleId="111">
    <w:name w:val="Grid Table 6 Colorful - Accent 3"/>
    <w:basedOn w:val="40"/>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9BBB59" w:themeColor="accent3"/>
      </w:rPr>
      <w:tcPr>
        <w:tcBorders>
          <w:bottom w:val="single" w:color="9BBB59" w:themeColor="accent3" w:themeTint="FE" w:sz="12" w:space="0"/>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rPr>
      <w:tcPr>
        <w:shd w:val="clear" w:color="EAF1DD" w:themeColor="accent3" w:themeTint="34" w:fill="EAF1DD" w:themeFill="accent3" w:themeFillTint="34"/>
      </w:tcPr>
    </w:tblStylePr>
    <w:tblStylePr w:type="band2Horz">
      <w:rPr>
        <w:rFonts w:ascii="Arial" w:hAnsi="Arial"/>
        <w:color w:val="9BBB59" w:themeColor="accent3"/>
        <w:sz w:val="22"/>
      </w:rPr>
    </w:tblStylePr>
  </w:style>
  <w:style w:type="table" w:customStyle="1" w:styleId="112">
    <w:name w:val="Grid Table 6 Colorful - Accent 4"/>
    <w:basedOn w:val="4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2A1C7" w:themeColor="accent4" w:themeTint="99"/>
      </w:rPr>
      <w:tcPr>
        <w:tcBorders>
          <w:bottom w:val="single" w:color="B2A1C6" w:themeColor="accent4" w:themeTint="9A" w:sz="12" w:space="0"/>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cPr>
        <w:shd w:val="clear" w:color="E5DFEC" w:themeColor="accent4" w:themeTint="34" w:fill="E5DFEC" w:themeFill="accent4" w:themeFillTint="34"/>
      </w:tcPr>
    </w:tblStylePr>
    <w:tblStylePr w:type="band1Horz">
      <w:rPr>
        <w:rFonts w:ascii="Arial" w:hAnsi="Arial"/>
        <w:color w:val="B2A1C7" w:themeColor="accent4" w:themeTint="99"/>
        <w:sz w:val="22"/>
      </w:r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113">
    <w:name w:val="Grid Table 6 Colorful - Accent 5"/>
    <w:basedOn w:val="40"/>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678" w:themeColor="accent5" w:themeShade="94"/>
      </w:rPr>
      <w:tcPr>
        <w:tcBorders>
          <w:bottom w:val="single" w:color="4BACC6" w:themeColor="accent5" w:sz="12" w:space="0"/>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678" w:themeColor="accent5" w:themeShade="94"/>
        <w:sz w:val="22"/>
      </w:r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114">
    <w:name w:val="Grid Table 6 Colorful - Accent 6"/>
    <w:basedOn w:val="40"/>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678" w:themeColor="accent5" w:themeShade="94"/>
      </w:rPr>
      <w:tcPr>
        <w:tcBorders>
          <w:bottom w:val="single" w:color="F79646" w:themeColor="accent6" w:sz="12" w:space="0"/>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678" w:themeColor="accent5" w:themeShade="94"/>
        <w:sz w:val="22"/>
      </w:rPr>
      <w:tcPr>
        <w:shd w:val="clear" w:color="FDE9D9" w:themeColor="accent6" w:themeTint="34" w:fill="FDE9D9" w:themeFill="accent6" w:themeFillTint="34"/>
      </w:tcPr>
    </w:tblStylePr>
    <w:tblStylePr w:type="band2Horz">
      <w:rPr>
        <w:rFonts w:ascii="Arial" w:hAnsi="Arial"/>
        <w:color w:val="266678" w:themeColor="accent5" w:themeShade="94"/>
        <w:sz w:val="22"/>
      </w:rPr>
    </w:tblStylePr>
  </w:style>
  <w:style w:type="table" w:customStyle="1" w:styleId="115">
    <w:name w:val="Grid Table 7 Colorful"/>
    <w:basedOn w:val="40"/>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7E7E7E" w:themeColor="text1"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7E7E7E" w:themeColor="text1"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7E7E7E" w:themeColor="text1" w:themeTint="80"/>
        <w:sz w:val="22"/>
      </w:rPr>
      <w:tcPr>
        <w:shd w:val="clear" w:color="F1F1F1" w:themeColor="text1" w:themeTint="0D" w:fill="F1F1F1" w:themeFill="text1" w:themeFillTint="0D"/>
      </w:tcPr>
    </w:tblStylePr>
    <w:tblStylePr w:type="band2Horz">
      <w:rPr>
        <w:rFonts w:ascii="Arial" w:hAnsi="Arial"/>
        <w:color w:val="7E7E7E" w:themeColor="text1" w:themeTint="80"/>
        <w:sz w:val="22"/>
      </w:rPr>
    </w:tblStylePr>
  </w:style>
  <w:style w:type="table" w:customStyle="1" w:styleId="116">
    <w:name w:val="Grid Table 7 Colorful - Accent 1"/>
    <w:basedOn w:val="40"/>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rFonts w:ascii="Arial" w:hAnsi="Arial"/>
        <w:b/>
        <w:color w:val="A6BFDD" w:themeColor="accent1" w:themeTint="80"/>
        <w:sz w:val="22"/>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6BFDD" w:themeColor="accent1" w:themeTint="80"/>
        <w:sz w:val="22"/>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6BFDD" w:themeColor="accent1" w:themeTint="80"/>
        <w:sz w:val="22"/>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6BFDD" w:themeColor="accent1" w:themeTint="80"/>
        <w:sz w:val="22"/>
      </w:rPr>
      <w:tcPr>
        <w:shd w:val="clear" w:color="DBE5F1" w:themeColor="accent1" w:themeTint="34" w:fill="DBE5F1" w:themeFill="accent1" w:themeFillTint="34"/>
      </w:tcPr>
    </w:tblStylePr>
    <w:tblStylePr w:type="band2Horz">
      <w:rPr>
        <w:rFonts w:ascii="Arial" w:hAnsi="Arial"/>
        <w:color w:val="A6BFDD" w:themeColor="accent1" w:themeTint="80"/>
        <w:sz w:val="22"/>
      </w:rPr>
    </w:tblStylePr>
  </w:style>
  <w:style w:type="table" w:customStyle="1" w:styleId="117">
    <w:name w:val="Grid Table 7 Colorful - Accent 2"/>
    <w:basedOn w:val="40"/>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rFonts w:ascii="Arial" w:hAnsi="Arial"/>
        <w:b/>
        <w:color w:val="D99896" w:themeColor="accent2" w:themeTint="96"/>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99896" w:themeColor="accent2" w:themeTint="96"/>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896" w:themeColor="accent2" w:themeTint="96"/>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896" w:themeColor="accent2" w:themeTint="96"/>
        <w:sz w:val="22"/>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99896" w:themeColor="accent2" w:themeTint="96"/>
        <w:sz w:val="22"/>
      </w:rPr>
      <w:tcPr>
        <w:shd w:val="clear" w:color="F2DCDC" w:themeColor="accent2" w:themeTint="32" w:fill="F2DCDC" w:themeFill="accent2" w:themeFillTint="32"/>
      </w:tcPr>
    </w:tblStylePr>
    <w:tblStylePr w:type="band2Horz">
      <w:rPr>
        <w:rFonts w:ascii="Arial" w:hAnsi="Arial"/>
        <w:color w:val="D99896" w:themeColor="accent2" w:themeTint="96"/>
        <w:sz w:val="22"/>
      </w:rPr>
    </w:tblStylePr>
  </w:style>
  <w:style w:type="table" w:customStyle="1" w:styleId="118">
    <w:name w:val="Grid Table 7 Colorful - Accent 3"/>
    <w:basedOn w:val="40"/>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rFonts w:ascii="Arial" w:hAnsi="Arial"/>
        <w:b/>
        <w:color w:val="9BBB59" w:themeColor="accent3"/>
        <w:sz w:val="22"/>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rPr>
      <w:tcPr>
        <w:shd w:val="clear" w:color="EAF1DD" w:themeColor="accent3" w:themeTint="34" w:fill="EAF1DD" w:themeFill="accent3" w:themeFillTint="34"/>
      </w:tcPr>
    </w:tblStylePr>
    <w:tblStylePr w:type="band2Horz">
      <w:rPr>
        <w:rFonts w:ascii="Arial" w:hAnsi="Arial"/>
        <w:color w:val="9BBB59" w:themeColor="accent3"/>
        <w:sz w:val="22"/>
      </w:rPr>
    </w:tblStylePr>
  </w:style>
  <w:style w:type="table" w:customStyle="1" w:styleId="119">
    <w:name w:val="Grid Table 7 Colorful - Accent 4"/>
    <w:basedOn w:val="40"/>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rFonts w:ascii="Arial" w:hAnsi="Arial"/>
        <w:b/>
        <w:color w:val="B2A1C7" w:themeColor="accent4" w:themeTint="99"/>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2A1C7" w:themeColor="accent4" w:themeTint="99"/>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7" w:themeColor="accent4" w:themeTint="99"/>
        <w:sz w:val="22"/>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2A1C7" w:themeColor="accent4" w:themeTint="99"/>
        <w:sz w:val="22"/>
      </w:r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120">
    <w:name w:val="Grid Table 7 Colorful - Accent 5"/>
    <w:basedOn w:val="40"/>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2666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6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6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678" w:themeColor="accent5" w:themeShade="94"/>
        <w:sz w:val="22"/>
      </w:r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121">
    <w:name w:val="Grid Table 7 Colorful - Accent 6"/>
    <w:basedOn w:val="40"/>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B05307"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307"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307"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307" w:themeColor="accent6" w:themeShade="94"/>
        <w:sz w:val="22"/>
      </w:rPr>
      <w:tcPr>
        <w:shd w:val="clear" w:color="FDE9D9" w:themeColor="accent6" w:themeTint="34" w:fill="FDE9D9" w:themeFill="accent6" w:themeFillTint="34"/>
      </w:tcPr>
    </w:tblStylePr>
    <w:tblStylePr w:type="band2Horz">
      <w:rPr>
        <w:rFonts w:ascii="Arial" w:hAnsi="Arial"/>
        <w:color w:val="B05307" w:themeColor="accent6" w:themeShade="94"/>
        <w:sz w:val="22"/>
      </w:rPr>
    </w:tblStylePr>
  </w:style>
  <w:style w:type="table" w:customStyle="1" w:styleId="122">
    <w:name w:val="List Table 1 Light"/>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23">
    <w:name w:val="List Table 1 Light - Accent 1"/>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24">
    <w:name w:val="List Table 1 Light - Accent 2"/>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5">
    <w:name w:val="List Table 1 Light - Accent 3"/>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6">
    <w:name w:val="List Table 1 Light - Accent 4"/>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7">
    <w:name w:val="List Table 1 Light - Accent 5"/>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8">
    <w:name w:val="List Table 1 Light - Accent 6"/>
    <w:basedOn w:val="40"/>
    <w:qFormat/>
    <w:uiPriority w:val="99"/>
    <w:tblPr>
      <w:tblCellMar>
        <w:top w:w="0" w:type="dxa"/>
        <w:left w:w="108" w:type="dxa"/>
        <w:bottom w:w="0" w:type="dxa"/>
        <w:right w:w="108"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9">
    <w:name w:val="List Table 2"/>
    <w:basedOn w:val="40"/>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0">
    <w:name w:val="List Table 2 - Accent 1"/>
    <w:basedOn w:val="40"/>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1">
    <w:name w:val="List Table 2 - Accent 2"/>
    <w:basedOn w:val="40"/>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2">
    <w:name w:val="List Table 2 - Accent 3"/>
    <w:basedOn w:val="40"/>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3">
    <w:name w:val="List Table 2 - Accent 4"/>
    <w:basedOn w:val="40"/>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4">
    <w:name w:val="List Table 2 - Accent 5"/>
    <w:basedOn w:val="40"/>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5">
    <w:name w:val="List Table 2 - Accent 6"/>
    <w:basedOn w:val="40"/>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6">
    <w:name w:val="List Table 3"/>
    <w:basedOn w:val="4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7">
    <w:name w:val="List Table 3 - Accent 1"/>
    <w:basedOn w:val="40"/>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8">
    <w:name w:val="List Table 3 - Accent 2"/>
    <w:basedOn w:val="4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9">
    <w:name w:val="List Table 3 - Accent 3"/>
    <w:basedOn w:val="40"/>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40">
    <w:name w:val="List Table 3 - Accent 4"/>
    <w:basedOn w:val="4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41">
    <w:name w:val="List Table 3 - Accent 5"/>
    <w:basedOn w:val="40"/>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42">
    <w:name w:val="List Table 3 - Accent 6"/>
    <w:basedOn w:val="40"/>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43">
    <w:name w:val="List Table 4"/>
    <w:basedOn w:val="4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4">
    <w:name w:val="List Table 4 - Accent 1"/>
    <w:basedOn w:val="40"/>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5">
    <w:name w:val="List Table 4 - Accent 2"/>
    <w:basedOn w:val="40"/>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6">
    <w:name w:val="List Table 4 - Accent 3"/>
    <w:basedOn w:val="40"/>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7">
    <w:name w:val="List Table 4 - Accent 4"/>
    <w:basedOn w:val="40"/>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8">
    <w:name w:val="List Table 4 - Accent 5"/>
    <w:basedOn w:val="40"/>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9">
    <w:name w:val="List Table 4 - Accent 6"/>
    <w:basedOn w:val="40"/>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0">
    <w:name w:val="List Table 5 Dark"/>
    <w:basedOn w:val="40"/>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51">
    <w:name w:val="List Table 5 Dark - Accent 1"/>
    <w:basedOn w:val="40"/>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52">
    <w:name w:val="List Table 5 Dark - Accent 2"/>
    <w:basedOn w:val="40"/>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53">
    <w:name w:val="List Table 5 Dark - Accent 3"/>
    <w:basedOn w:val="40"/>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54">
    <w:name w:val="List Table 5 Dark - Accent 4"/>
    <w:basedOn w:val="40"/>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5">
    <w:name w:val="List Table 5 Dark - Accent 5"/>
    <w:basedOn w:val="40"/>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6">
    <w:name w:val="List Table 5 Dark - Accent 6"/>
    <w:basedOn w:val="40"/>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7">
    <w:name w:val="List Table 6 Colorful"/>
    <w:basedOn w:val="40"/>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rPr>
      <w:tcPr>
        <w:tcBorders>
          <w:bottom w:val="single" w:color="7E7E7E" w:themeColor="text1" w:themeTint="80" w:sz="4" w:space="0"/>
        </w:tcBorders>
      </w:tcPr>
    </w:tblStylePr>
    <w:tblStylePr w:type="lastRow">
      <w:rPr>
        <w:b/>
        <w:color w:val="000000" w:themeColor="text1"/>
      </w:rPr>
      <w:tcPr>
        <w:tcBorders>
          <w:top w:val="single" w:color="7E7E7E"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rPr>
      <w:tcPr>
        <w:shd w:val="clear" w:color="BEBEBE" w:themeColor="text1" w:themeTint="40" w:fill="BEBEBE" w:themeFill="text1" w:themeFillTint="40"/>
      </w:tcPr>
    </w:tblStylePr>
    <w:tblStylePr w:type="band2Horz">
      <w:rPr>
        <w:rFonts w:ascii="Arial" w:hAnsi="Arial"/>
        <w:color w:val="000000" w:themeColor="text1"/>
        <w:sz w:val="22"/>
      </w:rPr>
    </w:tblStylePr>
  </w:style>
  <w:style w:type="table" w:customStyle="1" w:styleId="158">
    <w:name w:val="List Table 6 Colorful - Accent 1"/>
    <w:basedOn w:val="40"/>
    <w:qFormat/>
    <w:uiPriority w:val="99"/>
    <w:tblPr>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A71" w:themeColor="accent1" w:themeShade="94"/>
      </w:rPr>
      <w:tcPr>
        <w:tcBorders>
          <w:bottom w:val="single" w:color="4F81BD" w:themeColor="accent1" w:sz="4" w:space="0"/>
        </w:tcBorders>
      </w:tcPr>
    </w:tblStylePr>
    <w:tblStylePr w:type="lastRow">
      <w:rPr>
        <w:b/>
        <w:color w:val="2A4A71" w:themeColor="accent1" w:themeShade="94"/>
      </w:rPr>
      <w:tcPr>
        <w:tcBorders>
          <w:top w:val="single" w:color="4F81BD" w:themeColor="accent1" w:sz="4" w:space="0"/>
        </w:tcBorders>
      </w:tcPr>
    </w:tblStylePr>
    <w:tblStylePr w:type="firstCol">
      <w:rPr>
        <w:b/>
        <w:color w:val="2A4A71" w:themeColor="accent1" w:themeShade="94"/>
      </w:rPr>
    </w:tblStylePr>
    <w:tblStylePr w:type="lastCol">
      <w:rPr>
        <w:b/>
        <w:color w:val="2A4A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A71" w:themeColor="accent1" w:themeShade="94"/>
        <w:sz w:val="22"/>
      </w:rPr>
      <w:tcPr>
        <w:shd w:val="clear" w:color="D2DFEE" w:themeColor="accent1" w:themeTint="40" w:fill="D2DFEE" w:themeFill="accent1" w:themeFillTint="40"/>
      </w:tcPr>
    </w:tblStylePr>
    <w:tblStylePr w:type="band2Horz">
      <w:rPr>
        <w:rFonts w:ascii="Arial" w:hAnsi="Arial"/>
        <w:color w:val="2A4A71" w:themeColor="accent1" w:themeShade="94"/>
        <w:sz w:val="22"/>
      </w:rPr>
    </w:tblStylePr>
  </w:style>
  <w:style w:type="table" w:customStyle="1" w:styleId="159">
    <w:name w:val="List Table 6 Colorful - Accent 2"/>
    <w:basedOn w:val="40"/>
    <w:qFormat/>
    <w:uiPriority w:val="99"/>
    <w:tblPr>
      <w:tblBorders>
        <w:top w:val="single" w:color="D99795" w:themeColor="accent2" w:themeTint="97" w:sz="4" w:space="0"/>
        <w:bottom w:val="single" w:color="D99795" w:themeColor="accent2" w:themeTint="97" w:sz="4" w:space="0"/>
      </w:tblBorders>
      <w:tblCellMar>
        <w:top w:w="0" w:type="dxa"/>
        <w:left w:w="108" w:type="dxa"/>
        <w:bottom w:w="0" w:type="dxa"/>
        <w:right w:w="108" w:type="dxa"/>
      </w:tblCellMar>
    </w:tblPr>
    <w:tblStylePr w:type="firstRow">
      <w:rPr>
        <w:b/>
        <w:color w:val="D99896" w:themeColor="accent2" w:themeTint="96"/>
      </w:rPr>
      <w:tcPr>
        <w:tcBorders>
          <w:bottom w:val="single" w:color="D99795" w:themeColor="accent2" w:themeTint="97" w:sz="4" w:space="0"/>
        </w:tcBorders>
      </w:tcPr>
    </w:tblStylePr>
    <w:tblStylePr w:type="lastRow">
      <w:rPr>
        <w:b/>
        <w:color w:val="D99896" w:themeColor="accent2" w:themeTint="96"/>
      </w:rPr>
      <w:tcPr>
        <w:tcBorders>
          <w:top w:val="single" w:color="D99795" w:themeColor="accent2" w:themeTint="97" w:sz="4" w:space="0"/>
        </w:tcBorders>
      </w:tcPr>
    </w:tblStylePr>
    <w:tblStylePr w:type="firstCol">
      <w:rPr>
        <w:b/>
        <w:color w:val="D99896" w:themeColor="accent2" w:themeTint="96"/>
      </w:rPr>
    </w:tblStylePr>
    <w:tblStylePr w:type="lastCol">
      <w:rPr>
        <w:b/>
        <w:color w:val="D99896" w:themeColor="accent2" w:themeTint="96"/>
      </w:rPr>
    </w:tblStylePr>
    <w:tblStylePr w:type="band1Vert">
      <w:tcPr>
        <w:shd w:val="clear" w:color="EFD3D2" w:themeColor="accent2" w:themeTint="40" w:fill="EFD3D2" w:themeFill="accent2" w:themeFillTint="40"/>
      </w:tcPr>
    </w:tblStylePr>
    <w:tblStylePr w:type="band1Horz">
      <w:rPr>
        <w:rFonts w:ascii="Arial" w:hAnsi="Arial"/>
        <w:color w:val="D99896" w:themeColor="accent2" w:themeTint="96"/>
        <w:sz w:val="22"/>
      </w:rPr>
      <w:tcPr>
        <w:shd w:val="clear" w:color="EFD3D2" w:themeColor="accent2" w:themeTint="40" w:fill="EFD3D2" w:themeFill="accent2" w:themeFillTint="40"/>
      </w:tcPr>
    </w:tblStylePr>
    <w:tblStylePr w:type="band2Horz">
      <w:rPr>
        <w:rFonts w:ascii="Arial" w:hAnsi="Arial"/>
        <w:color w:val="D99896" w:themeColor="accent2" w:themeTint="96"/>
        <w:sz w:val="22"/>
      </w:rPr>
    </w:tblStylePr>
  </w:style>
  <w:style w:type="table" w:customStyle="1" w:styleId="160">
    <w:name w:val="List Table 6 Colorful - Accent 3"/>
    <w:basedOn w:val="40"/>
    <w:qFormat/>
    <w:uiPriority w:val="99"/>
    <w:tblPr>
      <w:tblBorders>
        <w:top w:val="single" w:color="C3D69C" w:themeColor="accent3" w:themeTint="98" w:sz="4" w:space="0"/>
        <w:bottom w:val="single" w:color="C3D69C" w:themeColor="accent3" w:themeTint="98" w:sz="4" w:space="0"/>
      </w:tblBorders>
      <w:tblCellMar>
        <w:top w:w="0" w:type="dxa"/>
        <w:left w:w="108" w:type="dxa"/>
        <w:bottom w:w="0" w:type="dxa"/>
        <w:right w:w="108" w:type="dxa"/>
      </w:tblCellMar>
    </w:tblPr>
    <w:tblStylePr w:type="firstRow">
      <w:rPr>
        <w:b/>
        <w:color w:val="C2D69B" w:themeColor="accent3" w:themeTint="99"/>
      </w:rPr>
      <w:tcPr>
        <w:tcBorders>
          <w:bottom w:val="single" w:color="C3D69C" w:themeColor="accent3" w:themeTint="98" w:sz="4" w:space="0"/>
        </w:tcBorders>
      </w:tcPr>
    </w:tblStylePr>
    <w:tblStylePr w:type="lastRow">
      <w:rPr>
        <w:b/>
        <w:color w:val="C2D69B" w:themeColor="accent3" w:themeTint="99"/>
      </w:rPr>
      <w:tcPr>
        <w:tcBorders>
          <w:top w:val="single" w:color="C3D69C" w:themeColor="accent3" w:themeTint="98" w:sz="4" w:space="0"/>
        </w:tcBorders>
      </w:tcPr>
    </w:tblStylePr>
    <w:tblStylePr w:type="firstCol">
      <w:rPr>
        <w:b/>
        <w:color w:val="C2D69B" w:themeColor="accent3" w:themeTint="99"/>
      </w:rPr>
    </w:tblStylePr>
    <w:tblStylePr w:type="lastCol">
      <w:rPr>
        <w:b/>
        <w:color w:val="C2D69B" w:themeColor="accent3" w:themeTint="99"/>
      </w:rPr>
    </w:tblStylePr>
    <w:tblStylePr w:type="band1Vert">
      <w:tcPr>
        <w:shd w:val="clear" w:color="E5EDD5" w:themeColor="accent3" w:themeTint="40" w:fill="E5EDD5" w:themeFill="accent3" w:themeFillTint="40"/>
      </w:tcPr>
    </w:tblStylePr>
    <w:tblStylePr w:type="band1Horz">
      <w:rPr>
        <w:rFonts w:ascii="Arial" w:hAnsi="Arial"/>
        <w:color w:val="C2D69B" w:themeColor="accent3" w:themeTint="99"/>
        <w:sz w:val="22"/>
      </w:rPr>
      <w:tcPr>
        <w:shd w:val="clear" w:color="E5EDD5" w:themeColor="accent3" w:themeTint="40" w:fill="E5EDD5" w:themeFill="accent3" w:themeFillTint="40"/>
      </w:tcPr>
    </w:tblStylePr>
    <w:tblStylePr w:type="band2Horz">
      <w:rPr>
        <w:rFonts w:ascii="Arial" w:hAnsi="Arial"/>
        <w:color w:val="C2D69B" w:themeColor="accent3" w:themeTint="99"/>
        <w:sz w:val="22"/>
      </w:rPr>
    </w:tblStylePr>
  </w:style>
  <w:style w:type="table" w:customStyle="1" w:styleId="161">
    <w:name w:val="List Table 6 Colorful - Accent 4"/>
    <w:basedOn w:val="40"/>
    <w:qFormat/>
    <w:uiPriority w:val="99"/>
    <w:tblPr>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2A1C7" w:themeColor="accent4" w:themeTint="99"/>
      </w:rPr>
      <w:tcPr>
        <w:tcBorders>
          <w:bottom w:val="single" w:color="B2A1C6" w:themeColor="accent4" w:themeTint="9A" w:sz="4" w:space="0"/>
        </w:tcBorders>
      </w:tcPr>
    </w:tblStylePr>
    <w:tblStylePr w:type="lastRow">
      <w:rPr>
        <w:b/>
        <w:color w:val="B2A1C7" w:themeColor="accent4" w:themeTint="99"/>
      </w:rPr>
      <w:tcPr>
        <w:tcBorders>
          <w:top w:val="single" w:color="B2A1C6" w:themeColor="accent4" w:themeTint="9A" w:sz="4" w:space="0"/>
        </w:tcBorders>
      </w:tcPr>
    </w:tblStylePr>
    <w:tblStylePr w:type="firstCol">
      <w:rPr>
        <w:b/>
        <w:color w:val="B2A1C7" w:themeColor="accent4" w:themeTint="99"/>
      </w:rPr>
    </w:tblStylePr>
    <w:tblStylePr w:type="lastCol">
      <w:rPr>
        <w:b/>
        <w:color w:val="B2A1C7" w:themeColor="accent4" w:themeTint="99"/>
      </w:rPr>
    </w:tblStylePr>
    <w:tblStylePr w:type="band1Vert">
      <w:tcPr>
        <w:shd w:val="clear" w:color="DFD8E7" w:themeColor="accent4" w:themeTint="40" w:fill="DFD8E7" w:themeFill="accent4" w:themeFillTint="40"/>
      </w:tcPr>
    </w:tblStylePr>
    <w:tblStylePr w:type="band1Horz">
      <w:rPr>
        <w:rFonts w:ascii="Arial" w:hAnsi="Arial"/>
        <w:color w:val="B2A1C7" w:themeColor="accent4" w:themeTint="99"/>
        <w:sz w:val="22"/>
      </w:r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162">
    <w:name w:val="List Table 6 Colorful - Accent 5"/>
    <w:basedOn w:val="40"/>
    <w:qFormat/>
    <w:uiPriority w:val="99"/>
    <w:tblPr>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2CDDC" w:themeColor="accent5" w:themeTint="99"/>
      </w:rPr>
      <w:tcPr>
        <w:tcBorders>
          <w:bottom w:val="single" w:color="92CCDC" w:themeColor="accent5" w:themeTint="9A" w:sz="4" w:space="0"/>
        </w:tcBorders>
      </w:tcPr>
    </w:tblStylePr>
    <w:tblStylePr w:type="lastRow">
      <w:rPr>
        <w:b/>
        <w:color w:val="92CDDC" w:themeColor="accent5" w:themeTint="99"/>
      </w:rPr>
      <w:tcPr>
        <w:tcBorders>
          <w:top w:val="single" w:color="92CCDC" w:themeColor="accent5" w:themeTint="9A" w:sz="4" w:space="0"/>
        </w:tcBorders>
      </w:tcPr>
    </w:tblStylePr>
    <w:tblStylePr w:type="firstCol">
      <w:rPr>
        <w:b/>
        <w:color w:val="92CDDC" w:themeColor="accent5" w:themeTint="99"/>
      </w:rPr>
    </w:tblStylePr>
    <w:tblStylePr w:type="lastCol">
      <w:rPr>
        <w:b/>
        <w:color w:val="92CDDC" w:themeColor="accent5" w:themeTint="99"/>
      </w:rPr>
    </w:tblStylePr>
    <w:tblStylePr w:type="band1Vert">
      <w:tcPr>
        <w:shd w:val="clear" w:color="D1EAF0" w:themeColor="accent5" w:themeTint="40" w:fill="D1EAF0" w:themeFill="accent5" w:themeFillTint="40"/>
      </w:tcPr>
    </w:tblStylePr>
    <w:tblStylePr w:type="band1Horz">
      <w:rPr>
        <w:rFonts w:ascii="Arial" w:hAnsi="Arial"/>
        <w:color w:val="92CDDC" w:themeColor="accent5" w:themeTint="99"/>
        <w:sz w:val="22"/>
      </w:r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163">
    <w:name w:val="List Table 6 Colorful - Accent 6"/>
    <w:basedOn w:val="40"/>
    <w:qFormat/>
    <w:uiPriority w:val="99"/>
    <w:tblPr>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BF8F" w:themeColor="accent6" w:themeTint="99"/>
      </w:rPr>
      <w:tcPr>
        <w:tcBorders>
          <w:bottom w:val="single" w:color="FAC090" w:themeColor="accent6" w:themeTint="98" w:sz="4" w:space="0"/>
        </w:tcBorders>
      </w:tcPr>
    </w:tblStylePr>
    <w:tblStylePr w:type="lastRow">
      <w:rPr>
        <w:b/>
        <w:color w:val="FABF8F" w:themeColor="accent6" w:themeTint="99"/>
      </w:rPr>
      <w:tcPr>
        <w:tcBorders>
          <w:top w:val="single" w:color="FAC090" w:themeColor="accent6" w:themeTint="98" w:sz="4" w:space="0"/>
        </w:tcBorders>
      </w:tcPr>
    </w:tblStylePr>
    <w:tblStylePr w:type="firstCol">
      <w:rPr>
        <w:b/>
        <w:color w:val="FABF8F" w:themeColor="accent6" w:themeTint="99"/>
      </w:rPr>
    </w:tblStylePr>
    <w:tblStylePr w:type="lastCol">
      <w:rPr>
        <w:b/>
        <w:color w:val="FABF8F" w:themeColor="accent6" w:themeTint="99"/>
      </w:rPr>
    </w:tblStylePr>
    <w:tblStylePr w:type="band1Vert">
      <w:tcPr>
        <w:shd w:val="clear" w:color="FCE4D0" w:themeColor="accent6" w:themeTint="40" w:fill="FCE4D0" w:themeFill="accent6" w:themeFillTint="40"/>
      </w:tcPr>
    </w:tblStylePr>
    <w:tblStylePr w:type="band1Horz">
      <w:rPr>
        <w:rFonts w:ascii="Arial" w:hAnsi="Arial"/>
        <w:color w:val="FABF8F" w:themeColor="accent6" w:themeTint="99"/>
        <w:sz w:val="22"/>
      </w:rPr>
      <w:tcPr>
        <w:shd w:val="clear" w:color="FCE4D0" w:themeColor="accent6" w:themeTint="40" w:fill="FCE4D0" w:themeFill="accent6" w:themeFillTint="40"/>
      </w:tcPr>
    </w:tblStylePr>
    <w:tblStylePr w:type="band2Horz">
      <w:rPr>
        <w:rFonts w:ascii="Arial" w:hAnsi="Arial"/>
        <w:color w:val="FABF8F" w:themeColor="accent6" w:themeTint="99"/>
        <w:sz w:val="22"/>
      </w:rPr>
    </w:tblStylePr>
  </w:style>
  <w:style w:type="table" w:customStyle="1" w:styleId="164">
    <w:name w:val="List Table 7 Colorful"/>
    <w:basedOn w:val="40"/>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7E7E7E" w:themeColor="text1"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7E7E7E" w:themeColor="text1"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7E7E7E" w:themeColor="text1" w:themeTint="80"/>
        <w:sz w:val="22"/>
      </w:rPr>
      <w:tcPr>
        <w:shd w:val="clear" w:color="BEBEBE" w:themeColor="text1" w:themeTint="40" w:fill="BEBEBE" w:themeFill="text1" w:themeFillTint="40"/>
      </w:tcPr>
    </w:tblStylePr>
    <w:tblStylePr w:type="band2Horz">
      <w:rPr>
        <w:rFonts w:ascii="Arial" w:hAnsi="Arial"/>
        <w:color w:val="7E7E7E" w:themeColor="text1" w:themeTint="80"/>
        <w:sz w:val="22"/>
      </w:rPr>
    </w:tblStylePr>
  </w:style>
  <w:style w:type="table" w:customStyle="1" w:styleId="165">
    <w:name w:val="List Table 7 Colorful - Accent 1"/>
    <w:basedOn w:val="40"/>
    <w:qFormat/>
    <w:uiPriority w:val="99"/>
    <w:tblPr>
      <w:tblBorders>
        <w:right w:val="single" w:color="4F81BD" w:themeColor="accent1" w:sz="4" w:space="0"/>
      </w:tblBorders>
      <w:tblCellMar>
        <w:top w:w="0" w:type="dxa"/>
        <w:left w:w="108" w:type="dxa"/>
        <w:bottom w:w="0" w:type="dxa"/>
        <w:right w:w="108" w:type="dxa"/>
      </w:tblCellMar>
    </w:tblPr>
    <w:tblStylePr w:type="firstRow">
      <w:rPr>
        <w:rFonts w:ascii="Arial" w:hAnsi="Arial"/>
        <w:i/>
        <w:color w:val="2A4A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A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A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A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A71" w:themeColor="accent1" w:themeShade="94"/>
        <w:sz w:val="22"/>
      </w:rPr>
      <w:tcPr>
        <w:shd w:val="clear" w:color="D2DFEE" w:themeColor="accent1" w:themeTint="40" w:fill="D2DFEE" w:themeFill="accent1" w:themeFillTint="40"/>
      </w:tcPr>
    </w:tblStylePr>
    <w:tblStylePr w:type="band2Horz">
      <w:rPr>
        <w:rFonts w:ascii="Arial" w:hAnsi="Arial"/>
        <w:color w:val="2A4A71" w:themeColor="accent1" w:themeShade="94"/>
        <w:sz w:val="22"/>
      </w:rPr>
    </w:tblStylePr>
  </w:style>
  <w:style w:type="table" w:customStyle="1" w:styleId="166">
    <w:name w:val="List Table 7 Colorful - Accent 2"/>
    <w:basedOn w:val="40"/>
    <w:qFormat/>
    <w:uiPriority w:val="99"/>
    <w:tblPr>
      <w:tblBorders>
        <w:right w:val="single" w:color="D99795" w:themeColor="accent2" w:themeTint="97" w:sz="4" w:space="0"/>
      </w:tblBorders>
      <w:tblCellMar>
        <w:top w:w="0" w:type="dxa"/>
        <w:left w:w="108" w:type="dxa"/>
        <w:bottom w:w="0" w:type="dxa"/>
        <w:right w:w="108" w:type="dxa"/>
      </w:tblCellMar>
    </w:tblPr>
    <w:tblStylePr w:type="firstRow">
      <w:rPr>
        <w:rFonts w:ascii="Arial" w:hAnsi="Arial"/>
        <w:i/>
        <w:color w:val="D99896" w:themeColor="accent2" w:themeTint="96"/>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99896" w:themeColor="accent2" w:themeTint="96"/>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896" w:themeColor="accent2" w:themeTint="96"/>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896" w:themeColor="accent2" w:themeTint="96"/>
        <w:sz w:val="22"/>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99896" w:themeColor="accent2" w:themeTint="96"/>
        <w:sz w:val="22"/>
      </w:rPr>
      <w:tcPr>
        <w:shd w:val="clear" w:color="EFD3D2" w:themeColor="accent2" w:themeTint="40" w:fill="EFD3D2" w:themeFill="accent2" w:themeFillTint="40"/>
      </w:tcPr>
    </w:tblStylePr>
    <w:tblStylePr w:type="band2Horz">
      <w:rPr>
        <w:rFonts w:ascii="Arial" w:hAnsi="Arial"/>
        <w:color w:val="D99896" w:themeColor="accent2" w:themeTint="96"/>
        <w:sz w:val="22"/>
      </w:rPr>
    </w:tblStylePr>
  </w:style>
  <w:style w:type="table" w:customStyle="1" w:styleId="167">
    <w:name w:val="List Table 7 Colorful - Accent 3"/>
    <w:basedOn w:val="40"/>
    <w:qFormat/>
    <w:uiPriority w:val="99"/>
    <w:tblPr>
      <w:tblBorders>
        <w:right w:val="single" w:color="C3D69C" w:themeColor="accent3" w:themeTint="98" w:sz="4" w:space="0"/>
      </w:tblBorders>
      <w:tblCellMar>
        <w:top w:w="0" w:type="dxa"/>
        <w:left w:w="108" w:type="dxa"/>
        <w:bottom w:w="0" w:type="dxa"/>
        <w:right w:w="108" w:type="dxa"/>
      </w:tblCellMar>
    </w:tblPr>
    <w:tblStylePr w:type="firstRow">
      <w:rPr>
        <w:rFonts w:ascii="Arial" w:hAnsi="Arial"/>
        <w:i/>
        <w:color w:val="C2D69B" w:themeColor="accent3" w:themeTint="99"/>
        <w:sz w:val="22"/>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2D69B" w:themeColor="accent3" w:themeTint="99"/>
        <w:sz w:val="22"/>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2D69B" w:themeColor="accent3" w:themeTint="99"/>
        <w:sz w:val="22"/>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2D69B" w:themeColor="accent3" w:themeTint="99"/>
        <w:sz w:val="22"/>
      </w:rPr>
      <w:tcPr>
        <w:shd w:val="clear" w:color="E5EDD5" w:themeColor="accent3" w:themeTint="40" w:fill="E5EDD5" w:themeFill="accent3" w:themeFillTint="40"/>
      </w:tcPr>
    </w:tblStylePr>
    <w:tblStylePr w:type="band2Horz">
      <w:rPr>
        <w:rFonts w:ascii="Arial" w:hAnsi="Arial"/>
        <w:color w:val="C2D69B" w:themeColor="accent3" w:themeTint="99"/>
        <w:sz w:val="22"/>
      </w:rPr>
    </w:tblStylePr>
  </w:style>
  <w:style w:type="table" w:customStyle="1" w:styleId="168">
    <w:name w:val="List Table 7 Colorful - Accent 4"/>
    <w:basedOn w:val="40"/>
    <w:qFormat/>
    <w:uiPriority w:val="99"/>
    <w:tblPr>
      <w:tblBorders>
        <w:right w:val="single" w:color="B2A1C6" w:themeColor="accent4" w:themeTint="9A" w:sz="4" w:space="0"/>
      </w:tblBorders>
      <w:tblCellMar>
        <w:top w:w="0" w:type="dxa"/>
        <w:left w:w="108" w:type="dxa"/>
        <w:bottom w:w="0" w:type="dxa"/>
        <w:right w:w="108" w:type="dxa"/>
      </w:tblCellMar>
    </w:tblPr>
    <w:tblStylePr w:type="firstRow">
      <w:rPr>
        <w:rFonts w:ascii="Arial" w:hAnsi="Arial"/>
        <w:i/>
        <w:color w:val="B2A1C7" w:themeColor="accent4" w:themeTint="99"/>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2A1C7" w:themeColor="accent4" w:themeTint="99"/>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7" w:themeColor="accent4" w:themeTint="99"/>
        <w:sz w:val="22"/>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2A1C7" w:themeColor="accent4" w:themeTint="99"/>
        <w:sz w:val="22"/>
      </w:r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169">
    <w:name w:val="List Table 7 Colorful - Accent 5"/>
    <w:basedOn w:val="40"/>
    <w:qFormat/>
    <w:uiPriority w:val="99"/>
    <w:tblPr>
      <w:tblBorders>
        <w:right w:val="single" w:color="92CCDC" w:themeColor="accent5" w:themeTint="9A" w:sz="4" w:space="0"/>
      </w:tblBorders>
      <w:tblCellMar>
        <w:top w:w="0" w:type="dxa"/>
        <w:left w:w="108" w:type="dxa"/>
        <w:bottom w:w="0" w:type="dxa"/>
        <w:right w:w="108" w:type="dxa"/>
      </w:tblCellMar>
    </w:tblPr>
    <w:tblStylePr w:type="firstRow">
      <w:rPr>
        <w:rFonts w:ascii="Arial" w:hAnsi="Arial"/>
        <w:i/>
        <w:color w:val="92CDDC" w:themeColor="accent5" w:themeTint="99"/>
        <w:sz w:val="22"/>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2CDDC" w:themeColor="accent5" w:themeTint="99"/>
        <w:sz w:val="22"/>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2CDDC" w:themeColor="accent5" w:themeTint="99"/>
        <w:sz w:val="22"/>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2CDDC" w:themeColor="accent5" w:themeTint="99"/>
        <w:sz w:val="22"/>
      </w:r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170">
    <w:name w:val="List Table 7 Colorful - Accent 6"/>
    <w:basedOn w:val="40"/>
    <w:qFormat/>
    <w:uiPriority w:val="99"/>
    <w:tblPr>
      <w:tblBorders>
        <w:right w:val="single" w:color="FAC090" w:themeColor="accent6" w:themeTint="98" w:sz="4" w:space="0"/>
      </w:tblBorders>
      <w:tblCellMar>
        <w:top w:w="0" w:type="dxa"/>
        <w:left w:w="108" w:type="dxa"/>
        <w:bottom w:w="0" w:type="dxa"/>
        <w:right w:w="108" w:type="dxa"/>
      </w:tblCellMar>
    </w:tblPr>
    <w:tblStylePr w:type="firstRow">
      <w:rPr>
        <w:rFonts w:ascii="Arial" w:hAnsi="Arial"/>
        <w:i/>
        <w:color w:val="FABF8F" w:themeColor="accent6" w:themeTint="99"/>
        <w:sz w:val="22"/>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BF8F" w:themeColor="accent6" w:themeTint="99"/>
        <w:sz w:val="22"/>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BF8F" w:themeColor="accent6" w:themeTint="99"/>
        <w:sz w:val="22"/>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BF8F" w:themeColor="accent6" w:themeTint="99"/>
        <w:sz w:val="22"/>
      </w:rPr>
      <w:tcPr>
        <w:shd w:val="clear" w:color="FCE4D0" w:themeColor="accent6" w:themeTint="40" w:fill="FCE4D0" w:themeFill="accent6" w:themeFillTint="40"/>
      </w:tcPr>
    </w:tblStylePr>
    <w:tblStylePr w:type="band2Horz">
      <w:rPr>
        <w:rFonts w:ascii="Arial" w:hAnsi="Arial"/>
        <w:color w:val="FABF8F" w:themeColor="accent6" w:themeTint="99"/>
        <w:sz w:val="22"/>
      </w:rPr>
    </w:tblStylePr>
  </w:style>
  <w:style w:type="table" w:customStyle="1" w:styleId="171">
    <w:name w:val="Lined - Accent"/>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2">
    <w:name w:val="Lined - Accent 1"/>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3">
    <w:name w:val="Lined - Accent 2"/>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4">
    <w:name w:val="Lined - Accent 3"/>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5">
    <w:name w:val="Lined - Accent 4"/>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6">
    <w:name w:val="Lined - Accent 5"/>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7">
    <w:name w:val="Lined - Accent 6"/>
    <w:basedOn w:val="4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8">
    <w:name w:val="Bordered &amp; Lined - Accent"/>
    <w:basedOn w:val="40"/>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9">
    <w:name w:val="Bordered &amp; Lined - Accent 1"/>
    <w:basedOn w:val="40"/>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0">
    <w:name w:val="Bordered &amp; Lined - Accent 2"/>
    <w:basedOn w:val="40"/>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1">
    <w:name w:val="Bordered &amp; Lined - Accent 3"/>
    <w:basedOn w:val="40"/>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2">
    <w:name w:val="Bordered &amp; Lined - Accent 4"/>
    <w:basedOn w:val="40"/>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3">
    <w:name w:val="Bordered &amp; Lined - Accent 5"/>
    <w:basedOn w:val="40"/>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4">
    <w:name w:val="Bordered &amp; Lined - Accent 6"/>
    <w:basedOn w:val="40"/>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5">
    <w:name w:val="Bordered"/>
    <w:basedOn w:val="40"/>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6">
    <w:name w:val="Bordered - Accent 1"/>
    <w:basedOn w:val="4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7">
    <w:name w:val="Bordered - Accent 2"/>
    <w:basedOn w:val="4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8">
    <w:name w:val="Bordered - Accent 3"/>
    <w:basedOn w:val="4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9">
    <w:name w:val="Bordered - Accent 4"/>
    <w:basedOn w:val="4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90">
    <w:name w:val="Bordered - Accent 5"/>
    <w:basedOn w:val="4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91">
    <w:name w:val="Bordered - Accent 6"/>
    <w:basedOn w:val="4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92">
    <w:name w:val="Footnote Text Char"/>
    <w:qFormat/>
    <w:uiPriority w:val="99"/>
    <w:rPr>
      <w:sz w:val="18"/>
    </w:rPr>
  </w:style>
  <w:style w:type="character" w:customStyle="1" w:styleId="193">
    <w:name w:val="尾注文本 Char"/>
    <w:link w:val="23"/>
    <w:qFormat/>
    <w:uiPriority w:val="99"/>
    <w:rPr>
      <w:sz w:val="20"/>
    </w:rPr>
  </w:style>
  <w:style w:type="paragraph" w:customStyle="1" w:styleId="194">
    <w:name w:val="TOC 标题1"/>
    <w:unhideWhenUsed/>
    <w:qFormat/>
    <w:uiPriority w:val="39"/>
    <w:rPr>
      <w:rFonts w:ascii="Times New Roman" w:hAnsi="Times New Roman" w:eastAsia="宋体" w:cs="Times New Roman"/>
      <w:lang w:val="en-US" w:eastAsia="zh-CN" w:bidi="ar-SA"/>
    </w:rPr>
  </w:style>
  <w:style w:type="character" w:customStyle="1" w:styleId="195">
    <w:name w:val="日期 Char"/>
    <w:basedOn w:val="42"/>
    <w:link w:val="22"/>
    <w:qFormat/>
    <w:uiPriority w:val="0"/>
    <w:rPr>
      <w:sz w:val="24"/>
    </w:rPr>
  </w:style>
  <w:style w:type="character" w:customStyle="1" w:styleId="196">
    <w:name w:val="正文文本缩进 3 Char"/>
    <w:basedOn w:val="42"/>
    <w:link w:val="33"/>
    <w:qFormat/>
    <w:uiPriority w:val="0"/>
    <w:rPr>
      <w:sz w:val="16"/>
      <w:szCs w:val="16"/>
    </w:rPr>
  </w:style>
  <w:style w:type="character" w:customStyle="1" w:styleId="197">
    <w:name w:val="批注框文本 Char"/>
    <w:basedOn w:val="42"/>
    <w:link w:val="24"/>
    <w:qFormat/>
    <w:uiPriority w:val="0"/>
    <w:rPr>
      <w:sz w:val="18"/>
      <w:szCs w:val="18"/>
    </w:rPr>
  </w:style>
  <w:style w:type="character" w:customStyle="1" w:styleId="198">
    <w:name w:val="纯文本 Char"/>
    <w:qFormat/>
    <w:uiPriority w:val="99"/>
    <w:rPr>
      <w:rFonts w:ascii="宋体" w:hAnsi="Courier New"/>
      <w:sz w:val="21"/>
    </w:rPr>
  </w:style>
  <w:style w:type="character" w:customStyle="1" w:styleId="199">
    <w:name w:val="标题 3 Char"/>
    <w:basedOn w:val="42"/>
    <w:link w:val="4"/>
    <w:qFormat/>
    <w:uiPriority w:val="0"/>
    <w:rPr>
      <w:b/>
      <w:sz w:val="32"/>
    </w:rPr>
  </w:style>
  <w:style w:type="character" w:customStyle="1" w:styleId="200">
    <w:name w:val="标题 4 Char"/>
    <w:basedOn w:val="42"/>
    <w:link w:val="6"/>
    <w:qFormat/>
    <w:uiPriority w:val="0"/>
    <w:rPr>
      <w:rFonts w:ascii="Arial" w:hAnsi="Arial" w:eastAsia="黑体"/>
      <w:b/>
      <w:bCs/>
      <w:sz w:val="28"/>
      <w:szCs w:val="28"/>
    </w:rPr>
  </w:style>
  <w:style w:type="character" w:customStyle="1" w:styleId="201">
    <w:name w:val="正文缩进2格 Char"/>
    <w:link w:val="202"/>
    <w:qFormat/>
    <w:uiPriority w:val="0"/>
    <w:rPr>
      <w:rFonts w:ascii="仿宋_GB2312" w:hAnsi="宋体" w:eastAsia="仿宋_GB2312"/>
      <w:sz w:val="31"/>
      <w:szCs w:val="28"/>
      <w:lang w:bidi="ar-SA"/>
    </w:rPr>
  </w:style>
  <w:style w:type="paragraph" w:customStyle="1" w:styleId="202">
    <w:name w:val="正文缩进2格"/>
    <w:basedOn w:val="1"/>
    <w:link w:val="201"/>
    <w:qFormat/>
    <w:uiPriority w:val="0"/>
    <w:pPr>
      <w:spacing w:line="600" w:lineRule="exact"/>
      <w:ind w:firstLine="639"/>
    </w:pPr>
    <w:rPr>
      <w:rFonts w:ascii="仿宋_GB2312" w:hAnsi="宋体" w:eastAsia="仿宋_GB2312"/>
      <w:sz w:val="31"/>
      <w:szCs w:val="28"/>
    </w:rPr>
  </w:style>
  <w:style w:type="character" w:customStyle="1" w:styleId="203">
    <w:name w:val="纯文本 Char2"/>
    <w:basedOn w:val="42"/>
    <w:qFormat/>
    <w:uiPriority w:val="0"/>
    <w:rPr>
      <w:rFonts w:ascii="宋体" w:hAnsi="Courier New" w:eastAsia="宋体"/>
      <w:sz w:val="24"/>
      <w:lang w:val="en-US" w:eastAsia="zh-CN" w:bidi="ar-SA"/>
    </w:rPr>
  </w:style>
  <w:style w:type="character" w:customStyle="1" w:styleId="204">
    <w:name w:val="纯文本 Char1"/>
    <w:basedOn w:val="42"/>
    <w:link w:val="20"/>
    <w:qFormat/>
    <w:uiPriority w:val="0"/>
    <w:rPr>
      <w:rFonts w:ascii="宋体" w:hAnsi="Courier New" w:cs="Courier New"/>
      <w:sz w:val="21"/>
      <w:szCs w:val="21"/>
    </w:rPr>
  </w:style>
  <w:style w:type="character" w:customStyle="1" w:styleId="205">
    <w:name w:val="正文缩进 Char"/>
    <w:link w:val="5"/>
    <w:qFormat/>
    <w:uiPriority w:val="0"/>
    <w:rPr>
      <w:rFonts w:eastAsia="宋体"/>
      <w:sz w:val="21"/>
      <w:szCs w:val="24"/>
      <w:lang w:val="en-US" w:eastAsia="zh-CN" w:bidi="ar-SA"/>
    </w:rPr>
  </w:style>
  <w:style w:type="character" w:customStyle="1" w:styleId="206">
    <w:name w:val="页眉 Char"/>
    <w:link w:val="27"/>
    <w:qFormat/>
    <w:uiPriority w:val="99"/>
    <w:rPr>
      <w:sz w:val="18"/>
      <w:szCs w:val="18"/>
    </w:rPr>
  </w:style>
  <w:style w:type="paragraph" w:customStyle="1" w:styleId="207">
    <w:name w:val="Char"/>
    <w:basedOn w:val="15"/>
    <w:qFormat/>
    <w:uiPriority w:val="0"/>
    <w:rPr>
      <w:rFonts w:ascii="Tahoma" w:hAnsi="Tahoma"/>
      <w:sz w:val="24"/>
    </w:rPr>
  </w:style>
  <w:style w:type="paragraph" w:customStyle="1" w:styleId="208">
    <w:name w:val="普通正文"/>
    <w:basedOn w:val="1"/>
    <w:qFormat/>
    <w:uiPriority w:val="0"/>
    <w:pPr>
      <w:spacing w:before="120" w:after="120" w:line="360" w:lineRule="auto"/>
      <w:ind w:firstLine="480"/>
      <w:jc w:val="left"/>
    </w:pPr>
    <w:rPr>
      <w:rFonts w:ascii="Arial" w:hAnsi="Arial"/>
      <w:sz w:val="24"/>
    </w:rPr>
  </w:style>
  <w:style w:type="paragraph" w:customStyle="1" w:styleId="209">
    <w:name w:val="msonormalcxspmiddle"/>
    <w:basedOn w:val="1"/>
    <w:qFormat/>
    <w:uiPriority w:val="0"/>
    <w:pPr>
      <w:widowControl/>
      <w:spacing w:before="100" w:beforeAutospacing="1" w:after="100" w:afterAutospacing="1"/>
      <w:jc w:val="left"/>
    </w:pPr>
    <w:rPr>
      <w:rFonts w:ascii="宋体" w:hAnsi="宋体" w:cs="宋体"/>
      <w:sz w:val="24"/>
    </w:rPr>
  </w:style>
  <w:style w:type="paragraph" w:customStyle="1" w:styleId="210">
    <w:name w:val="Char1"/>
    <w:basedOn w:val="1"/>
    <w:qFormat/>
    <w:uiPriority w:val="0"/>
    <w:pPr>
      <w:tabs>
        <w:tab w:val="left" w:pos="360"/>
      </w:tabs>
    </w:pPr>
    <w:rPr>
      <w:color w:val="000000"/>
      <w:sz w:val="24"/>
    </w:rPr>
  </w:style>
  <w:style w:type="paragraph" w:customStyle="1" w:styleId="211">
    <w:name w:val="Char Char Char Char"/>
    <w:basedOn w:val="15"/>
    <w:qFormat/>
    <w:uiPriority w:val="0"/>
    <w:pPr>
      <w:spacing w:line="360" w:lineRule="auto"/>
    </w:pPr>
    <w:rPr>
      <w:szCs w:val="20"/>
    </w:rPr>
  </w:style>
  <w:style w:type="character" w:customStyle="1" w:styleId="212">
    <w:name w:val="p0 Char"/>
    <w:link w:val="213"/>
    <w:qFormat/>
    <w:uiPriority w:val="0"/>
    <w:rPr>
      <w:sz w:val="21"/>
      <w:szCs w:val="21"/>
    </w:rPr>
  </w:style>
  <w:style w:type="paragraph" w:customStyle="1" w:styleId="213">
    <w:name w:val="p0"/>
    <w:basedOn w:val="1"/>
    <w:link w:val="212"/>
    <w:qFormat/>
    <w:uiPriority w:val="0"/>
    <w:pPr>
      <w:widowControl/>
    </w:pPr>
    <w:rPr>
      <w:szCs w:val="21"/>
    </w:rPr>
  </w:style>
  <w:style w:type="character" w:customStyle="1" w:styleId="214">
    <w:name w:val="标题 2 Char"/>
    <w:link w:val="3"/>
    <w:qFormat/>
    <w:uiPriority w:val="0"/>
    <w:rPr>
      <w:rFonts w:ascii="Arial" w:hAnsi="Arial" w:eastAsia="黑体"/>
      <w:b/>
      <w:bCs/>
      <w:sz w:val="32"/>
      <w:szCs w:val="32"/>
    </w:rPr>
  </w:style>
  <w:style w:type="character" w:customStyle="1" w:styleId="215">
    <w:name w:val="10"/>
    <w:basedOn w:val="42"/>
    <w:qFormat/>
    <w:uiPriority w:val="0"/>
    <w:rPr>
      <w:rFonts w:hint="default" w:ascii="Times New Roman" w:hAnsi="Times New Roman" w:cs="Times New Roman"/>
    </w:rPr>
  </w:style>
  <w:style w:type="character" w:customStyle="1" w:styleId="216">
    <w:name w:val="15"/>
    <w:basedOn w:val="42"/>
    <w:qFormat/>
    <w:uiPriority w:val="0"/>
    <w:rPr>
      <w:rFonts w:hint="default" w:ascii="Times New Roman" w:hAnsi="Times New Roman" w:cs="Times New Roman"/>
    </w:rPr>
  </w:style>
  <w:style w:type="paragraph" w:customStyle="1" w:styleId="217">
    <w:name w:val="正文缩进1"/>
    <w:basedOn w:val="1"/>
    <w:qFormat/>
    <w:uiPriority w:val="0"/>
    <w:pPr>
      <w:ind w:firstLine="420"/>
    </w:pPr>
    <w:rPr>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6b70bd9b-83fa-43e7-9951-eb7b391b2c4f</errorID>
      <errorWord>（</errorWord>
      <group>L1_Punc</group>
      <groupName>标点问题</groupName>
      <ability>L2_Punc_CN</ability>
      <abilityName>标点符号问题</abilityName>
      <candidateList/>
      <explain>同一形式括号套用。</explain>
      <paraID>59AC24CC</paraID>
      <start>65</start>
      <end>66</end>
      <status>unmodified</status>
      <modifiedWord/>
      <trackRevisions>false</trackRevisions>
    </reviewItem>
    <reviewItem>
      <errorID>975401ea-e87b-40c4-b3c4-03e29ca72314</errorID>
      <errorWord>1-10%</errorWord>
      <group>L1_Knowledge</group>
      <groupName>知识性问题</groupName>
      <ability>L2_Knowledge</ability>
      <abilityName>其他知识</abilityName>
      <candidateList>
        <item>1%—10%</item>
      </candidateList>
      <explain>1. “1-10%”中的单位“%”仅出现在后一个数字上，容易引起歧义；根据《现代汉语标点符号数字用法规范手册》，数字表示范围两边需要使用统一的格式。2. 根据标点国标 4.13 中的规则，数字、时间或地域连接符应使用（视觉上更长的）“—”或“～”。</explain>
      <paraID>59AC24CC</paraID>
      <start>66</start>
      <end>71</end>
      <status>unmodified</status>
      <modifiedWord/>
      <trackRevisions>false</trackRevisions>
    </reviewItem>
    <reviewItem>
      <errorID>c650f177-5d64-423f-b195-7f872a9462a5</errorID>
      <errorWord>）</errorWord>
      <group>L1_Punc</group>
      <groupName>标点问题</groupName>
      <ability>L2_Punc_CN</ability>
      <abilityName>标点符号问题</abilityName>
      <candidateList/>
      <explain>同一形式括号套用。</explain>
      <paraID>59AC24CC</paraID>
      <start>71</start>
      <end>72</end>
      <status>unmodified</status>
      <modifiedWord/>
      <trackRevisions>false</trackRevisions>
    </reviewItem>
    <reviewItem>
      <errorID>3964b155-72b2-4276-86c2-540d6336bdf3</errorID>
      <errorWord>国家发改委</errorWord>
      <group>L1_Knowledge</group>
      <groupName>知识性问题</groupName>
      <ability>L2_Knowledge</ability>
      <abilityName>其他知识</abilityName>
      <candidateList>
        <item>国家发展改革委</item>
      </candidateList>
      <explain/>
      <paraID>24FFDFEE</paraID>
      <start>13</start>
      <end>18</end>
      <status>unmodified</status>
      <modifiedWord/>
      <trackRevisions>false</trackRevisions>
    </reviewItem>
    <reviewItem>
      <errorID>693dcf6a-9761-4c57-84da-575115657ccd</errorID>
      <errorWord>.</errorWord>
      <group>L1_Format</group>
      <groupName>格式问题</groupName>
      <ability>L2_HalfPunc_CN</ability>
      <abilityName>全半角问题</abilityName>
      <candidateList>
        <item>。</item>
      </candidateList>
      <explain>文本全半角错误。</explain>
      <paraID> 4CE30B7</paraID>
      <start>13</start>
      <end>14</end>
      <status>unmodified</status>
      <modifiedWord/>
      <trackRevisions>false</trackRevisions>
    </reviewItem>
    <reviewItem>
      <errorID>26ab0bb5-27af-4086-aa1a-8ab925e23e0f</errorID>
      <errorWord>“.</errorWord>
      <group>L1_Punc</group>
      <groupName>标点问题</groupName>
      <ability>L2_Punc_CN</ability>
      <abilityName>标点符号问题</abilityName>
      <candidateList>
        <item>“</item>
      </candidateList>
      <explain/>
      <paraID>21F6FBFB</paraID>
      <start>175</start>
      <end>177</end>
      <status>unmodified</status>
      <modifiedWord/>
      <trackRevisions>false</trackRevisions>
    </reviewItem>
    <reviewItem>
      <errorID>61120070-c86d-491c-891b-d417e61ef14b</errorID>
      <errorWord>&lt;</errorWord>
      <group>L1_Format</group>
      <groupName>格式问题</groupName>
      <ability>L2_HalfPunc_CN</ability>
      <abilityName>全半角问题</abilityName>
      <candidateList>
        <item>〈</item>
      </candidateList>
      <explain>文本全半角错误。</explain>
      <paraID>7D4D3C88</paraID>
      <start>42</start>
      <end>43</end>
      <status>unmodified</status>
      <modifiedWord/>
      <trackRevisions>false</trackRevisions>
    </reviewItem>
    <reviewItem>
      <errorID>8ac1455f-5b78-43e5-a913-4424dfe1be6a</errorID>
      <errorWord>&lt;</errorWord>
      <group>L1_Format</group>
      <groupName>格式问题</groupName>
      <ability>L2_HalfPunc_CN</ability>
      <abilityName>全半角问题</abilityName>
      <candidateList>
        <item>〈</item>
      </candidateList>
      <explain>文本全半角错误。</explain>
      <paraID>318AA749</paraID>
      <start>42</start>
      <end>43</end>
      <status>unmodified</status>
      <modifiedWord/>
      <trackRevisions>false</trackRevisions>
    </reviewItem>
    <reviewItem>
      <errorID>d3ea3228-045e-4198-8225-60ee4b655b1c</errorID>
      <errorWord>&lt;</errorWord>
      <group>L1_Format</group>
      <groupName>格式问题</groupName>
      <ability>L2_HalfPunc_CN</ability>
      <abilityName>全半角问题</abilityName>
      <candidateList>
        <item>〈</item>
      </candidateList>
      <explain>文本全半角错误。</explain>
      <paraID>31ED04E0</paraID>
      <start>31</start>
      <end>32</end>
      <status>unmodified</status>
      <modifiedWord/>
      <trackRevisions>false</trackRevisions>
    </reviewItem>
    <reviewItem>
      <errorID>2af38351-0e6c-47b2-9021-d97c1fe6b403</errorID>
      <errorWord>（</errorWord>
      <group>L1_Punc</group>
      <groupName>标点问题</groupName>
      <ability>L2_Punc_CN</ability>
      <abilityName>标点符号问题</abilityName>
      <candidateList/>
      <explain>同一形式括号套用。</explain>
      <paraID>797465D2</paraID>
      <start>54</start>
      <end>55</end>
      <status>unmodified</status>
      <modifiedWord/>
      <trackRevisions>false</trackRevisions>
    </reviewItem>
    <reviewItem>
      <errorID>feb8b9fe-01d9-428e-8c26-79babf483c4f</errorID>
      <errorWord>）</errorWord>
      <group>L1_Punc</group>
      <groupName>标点问题</groupName>
      <ability>L2_Punc_CN</ability>
      <abilityName>标点符号问题</abilityName>
      <candidateList/>
      <explain>同一形式括号套用。</explain>
      <paraID>797465D2</paraID>
      <start>59</start>
      <end>60</end>
      <status>unmodified</status>
      <modifiedWord/>
      <trackRevisions>false</trackRevisions>
    </reviewItem>
    <reviewItem>
      <errorID>a536ee5e-4621-4b28-950f-3c11096a0acd</errorID>
      <errorWord>国家发改委</errorWord>
      <group>L1_Knowledge</group>
      <groupName>知识性问题</groupName>
      <ability>L2_Knowledge</ability>
      <abilityName>其他知识</abilityName>
      <candidateList>
        <item>国家发展改革委</item>
      </candidateList>
      <explain/>
      <paraID>5BBB74A0</paraID>
      <start>18</start>
      <end>23</end>
      <status>unmodified</status>
      <modifiedWord/>
      <trackRevisions>false</trackRevisions>
    </reviewItem>
    <reviewItem>
      <errorID>b9afb819-3791-42f0-8be5-24a6b998c905</errorID>
      <errorWord>,</errorWord>
      <group>L1_Format</group>
      <groupName>格式问题</groupName>
      <ability>L2_HalfPunc_CN</ability>
      <abilityName>全半角问题</abilityName>
      <candidateList>
        <item>，</item>
      </candidateList>
      <explain>文本全半角错误。</explain>
      <paraID>79AA160A</paraID>
      <start>7</start>
      <end>8</end>
      <status>unmodified</status>
      <modifiedWord/>
      <trackRevisions>false</trackRevisions>
    </reviewItem>
    <reviewItem>
      <errorID>36cb52f7-7388-4046-9a01-b41a7b37983c</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79AA160A</paraID>
      <start>13</start>
      <end>17</end>
      <status>unmodified</status>
      <modifiedWord/>
      <trackRevisions>false</trackRevisions>
    </reviewItem>
    <reviewItem>
      <errorID>4a8ca58c-6d2e-43fd-946b-1c5a95ae6489</errorID>
      <errorWord>【2022】002号</errorWord>
      <group>L1_Knowledge</group>
      <groupName>知识性问题</groupName>
      <ability>L2_Knowledge</ability>
      <abilityName>其他知识</abilityName>
      <candidateList>
        <item>〔2022〕2号</item>
      </candidateList>
      <explain>发文字号格式错误。</explain>
      <paraID>3208211F</paraID>
      <start>31</start>
      <end>41</end>
      <status>unmodified</status>
      <modifiedWord/>
      <trackRevisions>false</trackRevisions>
    </reviewItem>
    <reviewItem>
      <errorID>8e0d5807-7b9d-4701-b633-ebd1430b8bd4</errorID>
      <errorWord>1-10亿</errorWord>
      <group>L1_Knowledge</group>
      <groupName>知识性问题</groupName>
      <ability>L2_Knowledge</ability>
      <abilityName>其他知识</abilityName>
      <candidateList>
        <item>1亿—10亿</item>
      </candidateList>
      <explain>1. “1-10亿”中的单位“亿”仅出现在后一个数字上，容易引起歧义；根据《现代汉语标点符号数字用法规范手册》，数字表示范围两边需要使用统一的格式。2.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55A93618</paraID>
      <start>0</start>
      <end>5</end>
      <status>unmodified</status>
      <modifiedWord/>
      <trackRevisions>false</trackRevisions>
    </reviewItem>
    <reviewItem>
      <errorID>7e51e2f9-7bc0-448e-93e1-4472d9c7006a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1D8927D8</paraID>
      <start>11</start>
      <end>12</end>
      <status>unmodified</status>
      <modifiedWord/>
      <trackRevisions>false</trackRevisions>
    </reviewItem>
    <reviewItem>
      <errorID>e39177b8-e8dc-4bb3-a4eb-f23eb4330a33</errorID>
      <errorWord>反应</errorWord>
      <group>L1_Word</group>
      <groupName>字词问题</groupName>
      <ability>L2_Typo</ability>
      <abilityName>字词错误</abilityName>
      <candidateList>
        <item>反映</item>
      </candidateList>
      <explain/>
      <paraID>6ACBF197</paraID>
      <start>58</start>
      <end>60</end>
      <status>unmodified</status>
      <modifiedWord/>
      <trackRevisions>false</trackRevisions>
    </reviewItem>
    <reviewItem>
      <errorID>8920fad1-f8f5-41fd-a1e8-23d4b8df11c9</errorID>
      <errorWord>,</errorWord>
      <group>L1_Format</group>
      <groupName>格式问题</groupName>
      <ability>L2_HalfPunc_CN</ability>
      <abilityName>全半角问题</abilityName>
      <candidateList>
        <item>，</item>
      </candidateList>
      <explain>文本全半角错误。</explain>
      <paraID> 34DBA6A</paraID>
      <start>21</start>
      <end>22</end>
      <status>unmodified</status>
      <modifiedWord/>
      <trackRevisions>false</trackRevisions>
    </reviewItem>
    <reviewItem>
      <errorID>cccc9532-b1bb-41c7-a856-af82bed62bd9</errorID>
      <errorWord>(</errorWord>
      <group>L1_Format</group>
      <groupName>格式问题</groupName>
      <ability>L2_HalfPunc_CN</ability>
      <abilityName>全半角问题</abilityName>
      <candidateList>
        <item>（</item>
      </candidateList>
      <explain>文本全半角错误。</explain>
      <paraID>1AC7CE68</paraID>
      <start>122</start>
      <end>123</end>
      <status>unmodified</status>
      <modifiedWord/>
      <trackRevisions>false</trackRevisions>
    </reviewItem>
    <reviewItem>
      <errorID>10b32a2d-8fb8-42f9-a90e-3562e1f20edf</errorID>
      <errorWord>)</errorWord>
      <group>L1_Format</group>
      <groupName>格式问题</groupName>
      <ability>L2_HalfPunc_CN</ability>
      <abilityName>全半角问题</abilityName>
      <candidateList>
        <item>）</item>
      </candidateList>
      <explain>文本全半角错误。</explain>
      <paraID>1AC7CE68</paraID>
      <start>132</start>
      <end>133</end>
      <status>unmodified</status>
      <modifiedWord/>
      <trackRevisions>false</trackRevisions>
    </reviewItem>
    <reviewItem>
      <errorID>29308848-cdab-4c6c-b600-d57e7c140419</errorID>
      <errorWord>法律、法规</errorWord>
      <group>L1_Word</group>
      <groupName>字词问题</groupName>
      <ability>L2_Typo</ability>
      <abilityName>字词错误</abilityName>
      <candidateList>
        <item>法律法规</item>
      </candidateList>
      <explain/>
      <paraID>5B411C30</paraID>
      <start>89</start>
      <end>94</end>
      <status>unmodified</status>
      <modifiedWord/>
      <trackRevisions>false</trackRevisions>
    </reviewItem>
    <reviewItem>
      <errorID>602c3c90-f9fa-4113-8194-0bafd05ea32e</errorID>
      <errorWord>-</errorWord>
      <group>L1_Format</group>
      <groupName>格式问题</groupName>
      <ability>L2_HalfPunc_CN</ability>
      <abilityName>全半角问题</abilityName>
      <candidateList>
        <item>－</item>
      </candidateList>
      <explain>文本全半角错误。</explain>
      <paraID> 2403936</paraID>
      <start>46</start>
      <end>47</end>
      <status>unmodified</status>
      <modifiedWord/>
      <trackRevisions>false</trackRevisions>
    </reviewItem>
    <reviewItem>
      <errorID>73a31836-95a8-4436-b1d5-10de3438ed50</errorID>
      <errorWord>-</errorWord>
      <group>L1_Format</group>
      <groupName>格式问题</groupName>
      <ability>L2_HalfPunc_CN</ability>
      <abilityName>全半角问题</abilityName>
      <candidateList>
        <item>－</item>
      </candidateList>
      <explain>文本全半角错误。</explain>
      <paraID> 2403936</paraID>
      <start>81</start>
      <end>82</end>
      <status>unmodified</status>
      <modifiedWord/>
      <trackRevisions>false</trackRevisions>
    </reviewItem>
    <reviewItem>
      <errorID>9ccf8c73-9016-4e40-a68a-8ff4be5ed45e</errorID>
      <errorWord>（</errorWord>
      <group>L1_Punc</group>
      <groupName>标点问题</groupName>
      <ability>L2_Punc_CN</ability>
      <abilityName>标点符号问题</abilityName>
      <candidateList/>
      <explain>同一形式括号套用。</explain>
      <paraID>4CC2DEEB</paraID>
      <start>24</start>
      <end>25</end>
      <status>unmodified</status>
      <modifiedWord/>
      <trackRevisions>false</trackRevisions>
    </reviewItem>
    <reviewItem>
      <errorID>1b707b48-8b81-4e4d-b413-a756f0f7e06d</errorID>
      <errorWord>1-10%</errorWord>
      <group>L1_Knowledge</group>
      <groupName>知识性问题</groupName>
      <ability>L2_Knowledge</ability>
      <abilityName>其他知识</abilityName>
      <candidateList>
        <item>1%—10%</item>
      </candidateList>
      <explain>1. “1-10%”中的单位“%”仅出现在后一个数字上，容易引起歧义；根据《现代汉语标点符号数字用法规范手册》，数字表示范围两边需要使用统一的格式。2. 根据标点国标 4.13 中的规则，数字、时间或地域连接符应使用（视觉上更长的）“—”或“～”。</explain>
      <paraID>4CC2DEEB</paraID>
      <start>25</start>
      <end>30</end>
      <status>unmodified</status>
      <modifiedWord/>
      <trackRevisions>false</trackRevisions>
    </reviewItem>
    <reviewItem>
      <errorID>d0952c88-fb61-4510-8bea-7c63a686ff51</errorID>
      <errorWord>）</errorWord>
      <group>L1_Punc</group>
      <groupName>标点问题</groupName>
      <ability>L2_Punc_CN</ability>
      <abilityName>标点符号问题</abilityName>
      <candidateList/>
      <explain>同一形式括号套用。</explain>
      <paraID>4CC2DEEB</paraID>
      <start>30</start>
      <end>31</end>
      <status>unmodified</status>
      <modifiedWord/>
      <trackRevisions>false</trackRevisions>
    </reviewItem>
    <reviewItem>
      <errorID>0dfb9978-3473-42e4-ae67-bf9a14e6d96f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412C84B7</paraID>
      <start>7</start>
      <end>8</end>
      <status>unmodified</status>
      <modifiedWord/>
      <trackRevisions>false</trackRevisions>
    </reviewItem>
    <reviewItem>
      <errorID>366970f7-60dc-483c-b5b0-bd59429738b9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339EA730</paraID>
      <start>13</start>
      <end>16</end>
      <status>unmodified</status>
      <modifiedWord/>
      <trackRevisions>false</trackRevisions>
    </reviewItem>
    <reviewItem>
      <errorID>79d3f86d-6e6c-4e3b-8f46-e8a8f1258c3f</errorID>
      <errorWord>进行实施</errorWord>
      <group>L1_Word</group>
      <groupName>字词问题</groupName>
      <ability>L2_Typo</ability>
      <abilityName>字词错误</abilityName>
      <candidateList>
        <item>实施</item>
      </candidateList>
      <explain/>
      <paraID>156EE166</paraID>
      <start>0</start>
      <end>4</end>
      <status>unmodified</status>
      <modifiedWord/>
      <trackRevisions>false</trackRevisions>
    </reviewItem>
    <reviewItem>
      <errorID>31bf2c8e-6a13-4880-a136-807382d1211c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5B5614D1</paraID>
      <start>177</start>
      <end>178</end>
      <status>unmodified</status>
      <modifiedWord/>
      <trackRevisions>false</trackRevisions>
    </reviewItem>
    <reviewItem>
      <errorID>f86bbe3c-82b0-4586-8a54-d34d1f613d62</errorID>
      <errorWord>（2016）154号</errorWord>
      <group>L1_Knowledge</group>
      <groupName>知识性问题</groupName>
      <ability>L2_Knowledge</ability>
      <abilityName>其他知识</abilityName>
      <candidateList>
        <item>〔2016〕154号</item>
      </candidateList>
      <explain>发文字号格式错误。</explain>
      <paraID>5B5614D1</paraID>
      <start>181</start>
      <end>191</end>
      <status>unmodified</status>
      <modifiedWord/>
      <trackRevisions>false</trackRevisions>
    </reviewItem>
    <reviewItem>
      <errorID>b331a374-67ce-4262-ae21-fa498c0c54ce</errorID>
      <errorWord>省住房建设厅</errorWord>
      <group>L1_Knowledge</group>
      <groupName>知识性问题</groupName>
      <ability>L2_Organization</ability>
      <abilityName>机构检查</abilityName>
      <candidateList>
        <item>省住房城乡建设厅</item>
      </candidateList>
      <explain>机关单位全简称表述错误</explain>
      <paraID>5B5614D1</paraID>
      <start>194</start>
      <end>200</end>
      <status>unmodified</status>
      <modifiedWord/>
      <trackRevisions>false</trackRevisions>
    </reviewItem>
    <reviewItem>
      <errorID>d88204d4-e2c8-4711-b5af-465597b2e8c0</errorID>
      <errorWord>[2016]154号</errorWord>
      <group>L1_Knowledge</group>
      <groupName>知识性问题</groupName>
      <ability>L2_Knowledge</ability>
      <abilityName>其他知识</abilityName>
      <candidateList>
        <item>〔2016〕154号</item>
      </candidateList>
      <explain>发文字号格式错误。</explain>
      <paraID>5B5614D1</paraID>
      <start>231</start>
      <end>241</end>
      <status>unmodified</status>
      <modifiedWord/>
      <trackRevisions>false</trackRevisions>
    </reviewItem>
    <reviewItem>
      <errorID>61a00017-d400-4547-b104-2db1bcf0770f</errorID>
      <errorWord>[2016]11号</errorWord>
      <group>L1_Knowledge</group>
      <groupName>知识性问题</groupName>
      <ability>L2_Knowledge</ability>
      <abilityName>其他知识</abilityName>
      <candidateList>
        <item>〔2016〕11号</item>
      </candidateList>
      <explain>发文字号格式错误。</explain>
      <paraID>5B5614D1</paraID>
      <start>249</start>
      <end>258</end>
      <status>unmodified</status>
      <modifiedWord/>
      <trackRevisions>false</trackRevisions>
    </reviewItem>
    <reviewItem>
      <errorID>639713b2-331b-42ad-b8f7-63d6924c2c4d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5B5614D1</paraID>
      <start>258</start>
      <end>259</end>
      <status>unmodified</status>
      <modifiedWord/>
      <trackRevisions>false</trackRevisions>
    </reviewItem>
    <reviewItem>
      <errorID>ec307301-c05f-4d11-abaa-f105c49ab39d</errorID>
      <errorWord>【2018】298号</errorWord>
      <group>L1_Knowledge</group>
      <groupName>知识性问题</groupName>
      <ability>L2_Knowledge</ability>
      <abilityName>其他知识</abilityName>
      <candidateList>
        <item>〔2018〕298号</item>
      </candidateList>
      <explain>发文字号格式错误。</explain>
      <paraID>5B5614D1</paraID>
      <start>305</start>
      <end>315</end>
      <status>unmodified</status>
      <modifiedWord/>
      <trackRevisions>false</trackRevisions>
    </reviewItem>
    <reviewItem>
      <errorID>c3cfc474-07f3-4672-8d2c-dcb8c71e7595</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5B5614D1</paraID>
      <start>318</start>
      <end>325</end>
      <status>unmodified</status>
      <modifiedWord/>
      <trackRevisions>false</trackRevisions>
    </reviewItem>
    <reviewItem>
      <errorID>d764fa20-979b-4908-bca6-49b34a1e3ccf</errorID>
      <errorWord>-</errorWord>
      <group>L1_Format</group>
      <groupName>格式问题</groupName>
      <ability>L2_HalfPunc_CN</ability>
      <abilityName>全半角问题</abilityName>
      <candidateList>
        <item>－</item>
      </candidateList>
      <explain>文本全半角错误。</explain>
      <paraID>5CDF567C</paraID>
      <start>46</start>
      <end>47</end>
      <status>unmodified</status>
      <modifiedWord/>
      <trackRevisions>false</trackRevisions>
    </reviewItem>
    <reviewItem>
      <errorID>c6c33c06-18e7-4eb4-8a5d-afaef8f76e82</errorID>
      <errorWord>-</errorWord>
      <group>L1_Format</group>
      <groupName>格式问题</groupName>
      <ability>L2_HalfPunc_CN</ability>
      <abilityName>全半角问题</abilityName>
      <candidateList>
        <item>－</item>
      </candidateList>
      <explain>文本全半角错误。</explain>
      <paraID>5CDF567C</paraID>
      <start>81</start>
      <end>82</end>
      <status>unmodified</status>
      <modifiedWord/>
      <trackRevisions>false</trackRevisions>
    </reviewItem>
    <reviewItem>
      <errorID>8076b580-3f5f-47c4-9dbf-869da5be0784</errorID>
      <errorWord>,</errorWord>
      <group>L1_Format</group>
      <groupName>格式问题</groupName>
      <ability>L2_HalfPunc_CN</ability>
      <abilityName>全半角问题</abilityName>
      <candidateList>
        <item>，</item>
      </candidateList>
      <explain>文本全半角错误。</explain>
      <paraID>6106338E</paraID>
      <start>135</start>
      <end>136</end>
      <status>unmodified</status>
      <modifiedWord/>
      <trackRevisions>false</trackRevisions>
    </reviewItem>
    <reviewItem>
      <errorID>5773acb1-5c74-444e-a0cd-c18515299f49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241B8D08</paraID>
      <start>0</start>
      <end>2</end>
      <status>unmodified</status>
      <modifiedWord/>
      <trackRevisions>false</trackRevisions>
    </reviewItem>
    <reviewItem>
      <errorID>ac0bd063-5aad-4a69-af3e-8026c4873078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E0F72A</paraID>
      <start>2</start>
      <end>4</end>
      <status>unmodified</status>
      <modifiedWord/>
      <trackRevisions>false</trackRevisions>
    </reviewItem>
    <reviewItem>
      <errorID>e97d026b-d020-42db-8f92-91b588921a00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4AA5203D</paraID>
      <start>0</start>
      <end>2</end>
      <status>unmodified</status>
      <modifiedWord/>
      <trackRevisions>false</trackRevisions>
    </reviewItem>
    <reviewItem>
      <errorID>ee186da0-d5af-4ae6-b41e-8f246b0368d4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70A74596</paraID>
      <start>0</start>
      <end>2</end>
      <status>unmodified</status>
      <modifiedWord/>
      <trackRevisions>false</trackRevisions>
    </reviewItem>
    <reviewItem>
      <errorID>649b38d9-6a32-4859-aee2-fc5716f34cff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FE17B9E</paraID>
      <start>0</start>
      <end>2</end>
      <status>unmodified</status>
      <modifiedWord/>
      <trackRevisions>false</trackRevisions>
    </reviewItem>
    <reviewItem>
      <errorID>932c1fab-43b1-4b91-b9bd-b9ae14ccea90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3CD7CEC6</paraID>
      <start>0</start>
      <end>2</end>
      <status>unmodified</status>
      <modifiedWord/>
      <trackRevisions>false</trackRevisions>
    </reviewItem>
    <reviewItem>
      <errorID>530f1b2a-224c-44fc-9ab6-75f400e41d3a</errorID>
      <errorWord>“八项规定”</errorWord>
      <group>L1_Political</group>
      <groupName>政治性问题</groupName>
      <ability>L2_Unpolitical</ability>
      <abilityName>政治敏感错误</abilityName>
      <candidateList>
        <item>中央八项规定</item>
      </candidateList>
      <explain/>
      <paraID>73EF6C0F</paraID>
      <start>21</start>
      <end>27</end>
      <status>unmodified</status>
      <modifiedWord/>
      <trackRevisions>false</trackRevisions>
    </reviewItem>
    <reviewItem>
      <errorID>13d014ed-f37b-432e-b1a8-872672775e30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4813EA6A</paraID>
      <start>0</start>
      <end>3</end>
      <status>unmodified</status>
      <modifiedWord/>
      <trackRevisions>false</trackRevisions>
    </reviewItem>
    <reviewItem>
      <errorID>0b8dcc39-ac96-4b61-bef8-f7f957a7d27a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7ED060EF</paraID>
      <start>0</start>
      <end>3</end>
      <status>unmodified</status>
      <modifiedWord/>
      <trackRevisions>false</trackRevisions>
    </reviewItem>
    <reviewItem>
      <errorID>9b79feaf-6d7f-441f-901a-43dded0b29e0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7A309847</paraID>
      <start>0</start>
      <end>3</end>
      <status>unmodified</status>
      <modifiedWord/>
      <trackRevisions>false</trackRevisions>
    </reviewItem>
    <reviewItem>
      <errorID>db498da3-1952-4d68-beb1-23bdfb729a4c</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6FB3D56A</paraID>
      <start>0</start>
      <end>3</end>
      <status>unmodified</status>
      <modifiedWord/>
      <trackRevisions>false</trackRevisions>
    </reviewItem>
    <reviewItem>
      <errorID>764fda46-4186-4f5e-898f-dca1cc50435c</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4DE89A5E</paraID>
      <start>0</start>
      <end>3</end>
      <status>unmodified</status>
      <modifiedWord/>
      <trackRevisions>false</trackRevisions>
    </reviewItem>
    <reviewItem>
      <errorID>c3703fab-fc8f-493c-91da-4953eb394051</errorID>
      <errorWord>、或</errorWord>
      <group>L1_Word</group>
      <groupName>字词问题</groupName>
      <ability>L2_Typo</ability>
      <abilityName>字词错误</abilityName>
      <candidateList>
        <item>或</item>
      </candidateList>
      <explain/>
      <paraID>4DE89A5E</paraID>
      <start>20</start>
      <end>22</end>
      <status>unmodified</status>
      <modifiedWord/>
      <trackRevisions>false</trackRevisions>
    </reviewItem>
    <reviewItem>
      <errorID>fead7ec8-23b9-4722-a7b1-933ab71c82bc</errorID>
      <errorWord>、或</errorWord>
      <group>L1_Word</group>
      <groupName>字词问题</groupName>
      <ability>L2_Typo</ability>
      <abilityName>字词错误</abilityName>
      <candidateList>
        <item>或</item>
      </candidateList>
      <explain/>
      <paraID>4DE89A5E</paraID>
      <start>26</start>
      <end>28</end>
      <status>unmodified</status>
      <modifiedWord/>
      <trackRevisions>false</trackRevisions>
    </reviewItem>
    <reviewItem>
      <errorID>e36f3a6d-f0d2-46fe-8d4c-d045b338493e</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3F2AEB13</paraID>
      <start>0</start>
      <end>3</end>
      <status>unmodified</status>
      <modifiedWord/>
      <trackRevisions>false</trackRevisions>
    </reviewItem>
    <reviewItem>
      <errorID>8944a9d2-bc45-4ca1-a1ce-f9652d585f64</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3CFCEC6F</paraID>
      <start>0</start>
      <end>3</end>
      <status>unmodified</status>
      <modifiedWord/>
      <trackRevisions>false</trackRevisions>
    </reviewItem>
    <reviewItem>
      <errorID>37cfc84d-7260-4350-bd6e-b6f7b412be3c</errorID>
      <errorWord>(</errorWord>
      <group>L1_Format</group>
      <groupName>格式问题</groupName>
      <ability>L2_HalfPunc_CN</ability>
      <abilityName>全半角问题</abilityName>
      <candidateList>
        <item>（</item>
      </candidateList>
      <explain>文本全半角错误。</explain>
      <paraID>3FB3FE8C</paraID>
      <start>4</start>
      <end>5</end>
      <status>unmodified</status>
      <modifiedWord/>
      <trackRevisions>false</trackRevisions>
    </reviewItem>
    <reviewItem>
      <errorID>5bc1873e-86dc-4e30-aef8-207bd7c9c8d4</errorID>
      <errorWord>)</errorWord>
      <group>L1_Format</group>
      <groupName>格式问题</groupName>
      <ability>L2_HalfPunc_CN</ability>
      <abilityName>全半角问题</abilityName>
      <candidateList>
        <item>）</item>
      </candidateList>
      <explain>文本全半角错误。</explain>
      <paraID>3FB3FE8C</paraID>
      <start>7</start>
      <end>8</end>
      <status>unmodified</status>
      <modifiedWord/>
      <trackRevisions>false</trackRevisions>
    </reviewItem>
    <reviewItem>
      <errorID>73797507-72b8-42b8-9421-5b9f5357e471</errorID>
      <errorWord>(</errorWord>
      <group>L1_Format</group>
      <groupName>格式问题</groupName>
      <ability>L2_HalfPunc_CN</ability>
      <abilityName>全半角问题</abilityName>
      <candidateList>
        <item>（</item>
      </candidateList>
      <explain>文本全半角错误。</explain>
      <paraID>3FB3FE8C</paraID>
      <start>34</start>
      <end>35</end>
      <status>unmodified</status>
      <modifiedWord/>
      <trackRevisions>false</trackRevisions>
    </reviewItem>
    <reviewItem>
      <errorID>b5fd3954-c4a7-4f5b-8e4f-da0dd64d3b5b</errorID>
      <errorWord>)</errorWord>
      <group>L1_Format</group>
      <groupName>格式问题</groupName>
      <ability>L2_HalfPunc_CN</ability>
      <abilityName>全半角问题</abilityName>
      <candidateList>
        <item>）</item>
      </candidateList>
      <explain>文本全半角错误。</explain>
      <paraID>3FB3FE8C</paraID>
      <start>37</start>
      <end>38</end>
      <status>unmodified</status>
      <modifiedWord/>
      <trackRevisions>false</trackRevisions>
    </reviewItem>
    <reviewItem>
      <errorID>6df1255a-50e8-47d0-be99-10b4f56818a9</errorID>
      <errorWord>(</errorWord>
      <group>L1_Format</group>
      <groupName>格式问题</groupName>
      <ability>L2_HalfPunc_CN</ability>
      <abilityName>全半角问题</abilityName>
      <candidateList>
        <item>（</item>
      </candidateList>
      <explain>文本全半角错误。</explain>
      <paraID>4FCFD29C</paraID>
      <start>7</start>
      <end>8</end>
      <status>unmodified</status>
      <modifiedWord/>
      <trackRevisions>false</trackRevisions>
    </reviewItem>
    <reviewItem>
      <errorID>ae275a3e-2aa8-4849-ae91-961b89065d74</errorID>
      <errorWord>)</errorWord>
      <group>L1_Format</group>
      <groupName>格式问题</groupName>
      <ability>L2_HalfPunc_CN</ability>
      <abilityName>全半角问题</abilityName>
      <candidateList>
        <item>）</item>
      </candidateList>
      <explain>文本全半角错误。</explain>
      <paraID>4FCFD29C</paraID>
      <start>18</start>
      <end>19</end>
      <status>unmodified</status>
      <modifiedWord/>
      <trackRevisions>false</trackRevisions>
    </reviewItem>
    <reviewItem>
      <errorID>a60bf5ba-39a0-41f4-9f79-2f7160c2e8e3</errorID>
      <errorWord>(</errorWord>
      <group>L1_Format</group>
      <groupName>格式问题</groupName>
      <ability>L2_HalfPunc_CN</ability>
      <abilityName>全半角问题</abilityName>
      <candidateList>
        <item>（</item>
      </candidateList>
      <explain>文本全半角错误。</explain>
      <paraID>38922936</paraID>
      <start>51</start>
      <end>52</end>
      <status>unmodified</status>
      <modifiedWord/>
      <trackRevisions>false</trackRevisions>
    </reviewItem>
    <reviewItem>
      <errorID>f3307219-cb17-4085-965f-6357a80f1fc4</errorID>
      <errorWord>)</errorWord>
      <group>L1_Format</group>
      <groupName>格式问题</groupName>
      <ability>L2_HalfPunc_CN</ability>
      <abilityName>全半角问题</abilityName>
      <candidateList>
        <item>）</item>
      </candidateList>
      <explain>文本全半角错误。</explain>
      <paraID>38922936</paraID>
      <start>60</start>
      <end>61</end>
      <status>unmodified</status>
      <modifiedWord/>
      <trackRevisions>false</trackRevisions>
    </reviewItem>
    <reviewItem>
      <errorID>879ff5d5-713e-4903-8151-29daaf6f6bec</errorID>
      <errorWord>,</errorWord>
      <group>L1_Format</group>
      <groupName>格式问题</groupName>
      <ability>L2_HalfPunc_CN</ability>
      <abilityName>全半角问题</abilityName>
      <candidateList>
        <item>，</item>
      </candidateList>
      <explain>文本全半角错误。</explain>
      <paraID> 29150CB</paraID>
      <start>31</start>
      <end>32</end>
      <status>unmodified</status>
      <modifiedWord/>
      <trackRevisions>false</trackRevisions>
    </reviewItem>
    <reviewItem>
      <errorID>94434226-b8ba-4fe5-ab36-1b36ec8d6452</errorID>
      <errorWord>复印件加盖</errorWord>
      <group>L1_Word</group>
      <groupName>字词问题</groupName>
      <ability>L2_Typo</ability>
      <abilityName>字词错误</abilityName>
      <candidateList>
        <item>复印件并加盖</item>
      </candidateList>
      <explain/>
      <paraID> 4F69BC2</paraID>
      <start>68</start>
      <end>73</end>
      <status>unmodified</status>
      <modifiedWord/>
      <trackRevisions>false</trackRevisions>
    </reviewItem>
    <reviewItem>
      <errorID>4a486576-0c21-4b29-b8d4-56bf34e2bfda</errorID>
      <errorWord>(</errorWord>
      <group>L1_Format</group>
      <groupName>格式问题</groupName>
      <ability>L2_HalfPunc_CN</ability>
      <abilityName>全半角问题</abilityName>
      <candidateList>
        <item>（</item>
      </candidateList>
      <explain>文本全半角错误。</explain>
      <paraID>1391227B</paraID>
      <start>7</start>
      <end>8</end>
      <status>unmodified</status>
      <modifiedWord/>
      <trackRevisions>false</trackRevisions>
    </reviewItem>
    <reviewItem>
      <errorID>607a6533-47c2-462b-9520-8ff44273c2c4</errorID>
      <errorWord>)</errorWord>
      <group>L1_Format</group>
      <groupName>格式问题</groupName>
      <ability>L2_HalfPunc_CN</ability>
      <abilityName>全半角问题</abilityName>
      <candidateList>
        <item>）</item>
      </candidateList>
      <explain>文本全半角错误。</explain>
      <paraID>1391227B</paraID>
      <start>18</start>
      <end>19</end>
      <status>unmodified</status>
      <modifiedWord/>
      <trackRevisions>false</trackRevisions>
    </reviewItem>
    <reviewItem>
      <errorID>3e434a61-c6f1-42ed-8ea9-e3c4e254b712</errorID>
      <errorWord>间</errorWord>
      <group>L1_Word</group>
      <groupName>字词问题</groupName>
      <ability>L2_Typo</ability>
      <abilityName>字词错误</abilityName>
      <candidateList>
        <item>间之</item>
      </candidateList>
      <explain/>
      <paraID>7FBF2F66</paraID>
      <start>10</start>
      <end>11</end>
      <status>unmodified</status>
      <modifiedWord/>
      <trackRevisions>false</trackRevisions>
    </reviewItem>
    <reviewItem>
      <errorID>8df7efc1-77d6-47ae-ac94-8ff8a478df15</errorID>
      <errorWord>,</errorWord>
      <group>L1_Format</group>
      <groupName>格式问题</groupName>
      <ability>L2_HalfPunc_CN</ability>
      <abilityName>全半角问题</abilityName>
      <candidateList>
        <item>，</item>
      </candidateList>
      <explain>文本全半角错误。</explain>
      <paraID>656AA238</paraID>
      <start>18</start>
      <end>19</end>
      <status>unmodified</status>
      <modifiedWord/>
      <trackRevisions>false</trackRevisions>
    </reviewItem>
    <reviewItem>
      <errorID>4091035c-df37-4d06-b2db-6b4557a8fa9f</errorID>
      <errorWord>(</errorWord>
      <group>L1_Format</group>
      <groupName>格式问题</groupName>
      <ability>L2_HalfPunc_CN</ability>
      <abilityName>全半角问题</abilityName>
      <candidateList>
        <item>（</item>
      </candidateList>
      <explain>文本全半角错误。</explain>
      <paraID>475A8383</paraID>
      <start>119</start>
      <end>120</end>
      <status>unmodified</status>
      <modifiedWord/>
      <trackRevisions>false</trackRevisions>
    </reviewItem>
    <reviewItem>
      <errorID>f7a29860-53c7-40ea-ab1e-396aebfbc7e7</errorID>
      <errorWord>)</errorWord>
      <group>L1_Format</group>
      <groupName>格式问题</groupName>
      <ability>L2_HalfPunc_CN</ability>
      <abilityName>全半角问题</abilityName>
      <candidateList>
        <item>）</item>
      </candidateList>
      <explain>文本全半角错误。</explain>
      <paraID>475A8383</paraID>
      <start>129</start>
      <end>130</end>
      <status>unmodified</status>
      <modifiedWord/>
      <trackRevisions>false</trackRevisions>
    </reviewItem>
    <reviewItem>
      <errorID>07133bbc-bec9-4660-a24a-226e26fe4e40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727D4872</paraID>
      <start>0</start>
      <end>2</end>
      <status>unmodified</status>
      <modifiedWord/>
      <trackRevisions>false</trackRevisions>
    </reviewItem>
    <reviewItem>
      <errorID>8b74fffa-84e5-46e3-a49c-894745963ef0</errorID>
      <errorWord>二年</errorWord>
      <group>L1_Word</group>
      <groupName>字词问题</groupName>
      <ability>L2_Typo</ability>
      <abilityName>字词错误</abilityName>
      <candidateList>
        <item>两年</item>
      </candidateList>
      <explain/>
      <paraID>727D4872</paraID>
      <start>32</start>
      <end>34</end>
      <status>unmodified</status>
      <modifiedWord/>
      <trackRevisions>false</trackRevisions>
    </reviewItem>
    <reviewItem>
      <errorID>86ec5b54-446c-475b-81a3-bdc489545a84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6F12C453</paraID>
      <start>0</start>
      <end>2</end>
      <status>unmodified</status>
      <modifiedWord/>
      <trackRevisions>false</trackRevisions>
    </reviewItem>
    <reviewItem>
      <errorID>e943f28f-fdc2-4a94-a961-b7349489f005</errorID>
      <errorWord>-</errorWord>
      <group>L1_Format</group>
      <groupName>格式问题</groupName>
      <ability>L2_HalfPunc_CN</ability>
      <abilityName>全半角问题</abilityName>
      <candidateList>
        <item>－</item>
      </candidateList>
      <explain>文本全半角错误。</explain>
      <paraID>7B6D20F0</paraID>
      <start>46</start>
      <end>47</end>
      <status>unmodified</status>
      <modifiedWord/>
      <trackRevisions>false</trackRevisions>
    </reviewItem>
    <reviewItem>
      <errorID>c51cd3b0-7742-4e0b-8c19-656b31925a7b</errorID>
      <errorWord>-</errorWord>
      <group>L1_Format</group>
      <groupName>格式问题</groupName>
      <ability>L2_HalfPunc_CN</ability>
      <abilityName>全半角问题</abilityName>
      <candidateList>
        <item>－</item>
      </candidateList>
      <explain>文本全半角错误。</explain>
      <paraID>7B6D20F0</paraID>
      <start>81</start>
      <end>82</end>
      <status>unmodified</status>
      <modifiedWord/>
      <trackRevisions>false</trackRevisions>
    </reviewItem>
    <reviewItem>
      <errorID>709bdf80-2a50-4417-8adf-a238ec1a7671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6D95E62C</paraID>
      <start>0</start>
      <end>2</end>
      <status>unmodified</status>
      <modifiedWord/>
      <trackRevisions>false</trackRevisions>
    </reviewItem>
    <reviewItem>
      <errorID>c0910443-64a3-4178-a6c6-1cb23af5b5ec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3B70C8E1</paraID>
      <start>0</start>
      <end>2</end>
      <status>unmodified</status>
      <modifiedWord/>
      <trackRevisions>false</trackRevisions>
    </reviewItem>
    <reviewItem>
      <errorID>8fd0dbd5-d564-4f4d-92ad-ba79733671c2</errorID>
      <errorWord>〔2017〕 141号</errorWord>
      <group>L1_Knowledge</group>
      <groupName>知识性问题</groupName>
      <ability>L2_Knowledge</ability>
      <abilityName>其他知识</abilityName>
      <candidateList>
        <item>〔2017〕141号</item>
      </candidateList>
      <explain>发文字号格式错误。</explain>
      <paraID>316B2E5D</paraID>
      <start>49</start>
      <end>60</end>
      <status>unmodified</status>
      <modifiedWord/>
      <trackRevisions>false</trackRevisions>
    </reviewItem>
    <reviewItem>
      <errorID>f8b48080-4fa2-4eb6-8836-1d9c886a457d</errorID>
      <errorWord>：）</errorWord>
      <group>L1_Punc</group>
      <groupName>标点问题</groupName>
      <ability>L2_Punc_CN</ability>
      <abilityName>标点符号问题</abilityName>
      <candidateList>
        <item>）</item>
      </candidateList>
      <explain/>
      <paraID>547E7F4A</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A5F2C94E-98D2-42DF-BE89-DE9A2F3471C4}">
  <ds:schemaRefs/>
</ds:datastoreItem>
</file>

<file path=docProps/app.xml><?xml version="1.0" encoding="utf-8"?>
<Properties xmlns="http://schemas.openxmlformats.org/officeDocument/2006/extended-properties" xmlns:vt="http://schemas.openxmlformats.org/officeDocument/2006/docPropsVTypes">
  <Template>Normal</Template>
  <Company>kdc</Company>
  <Pages>47</Pages>
  <Words>24013</Words>
  <Characters>25987</Characters>
  <Lines>219</Lines>
  <Paragraphs>61</Paragraphs>
  <TotalTime>20</TotalTime>
  <ScaleCrop>false</ScaleCrop>
  <LinksUpToDate>false</LinksUpToDate>
  <CharactersWithSpaces>26908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2026-10-08T08:40:00Z</dcterms:created>
  <dc:creator>chencd</dc:creator>
  <cp:lastModifiedBy>亦木</cp:lastModifiedBy>
  <dcterms:modified xsi:type="dcterms:W3CDTF">2026-10-19T06:09:13Z</dcterms:modified>
  <dc:title>招标技术规格及要求</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56CA13D4F2E341B2BE0AAED9646DE74A_13</vt:lpwstr>
  </property>
  <property fmtid="{D5CDD505-2E9C-101B-9397-08002B2CF9AE}" pid="4" name="KSOTemplateDocerSaveRecord">
    <vt:lpwstr>eyJoZGlkIjoiMzEwNTM5NzYwMDRjMzkwZTVkZjY2ODkwMGIxNGU0OTUiLCJ1c2VySWQiOiI3NTgyNzkwMjgifQ==</vt:lpwstr>
  </property>
</Properties>
</file>