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1"/>
        <w:spacing w:before="120" w:beforeAutospacing="0" w:after="120" w:afterAutospacing="0" w:line="360" w:lineRule="auto"/>
      </w:pPr>
      <w:r>
        <w:t xml:space="preserve"> </w:t>
      </w:r>
      <w:r/>
    </w:p>
    <w:p>
      <w:pPr>
        <w:pStyle w:val="721"/>
        <w:jc w:val="center"/>
        <w:spacing w:before="120" w:beforeAutospacing="0" w:after="120" w:afterAutospacing="0" w:line="360" w:lineRule="auto"/>
        <w:rPr>
          <w:rFonts w:ascii="方正小标宋_GBK" w:hAnsi="方正小标宋_GBK" w:eastAsia="方正小标宋_GBK" w:cs="方正小标宋_GBK"/>
          <w:bCs/>
          <w:color w:val="000000"/>
          <w:sz w:val="84"/>
          <w:szCs w:val="84"/>
        </w:rPr>
      </w:pPr>
      <w:r>
        <w:rPr>
          <w:rFonts w:ascii="方正小标宋_GBK" w:hAnsi="方正小标宋_GBK" w:eastAsia="方正小标宋_GBK" w:cs="方正小标宋_GBK"/>
          <w:bCs/>
          <w:color w:val="000000"/>
          <w:sz w:val="84"/>
          <w:szCs w:val="84"/>
        </w:rPr>
      </w:r>
      <w:r/>
    </w:p>
    <w:p>
      <w:pPr>
        <w:pStyle w:val="721"/>
        <w:jc w:val="center"/>
        <w:spacing w:before="120" w:beforeAutospacing="0" w:after="120" w:afterAutospacing="0" w:line="360" w:lineRule="auto"/>
        <w:rPr>
          <w:rFonts w:ascii="方正小标宋_GBK" w:hAnsi="方正小标宋_GBK" w:eastAsia="方正小标宋_GBK" w:cs="方正小标宋_GBK"/>
          <w:bCs/>
          <w:sz w:val="84"/>
          <w:szCs w:val="84"/>
        </w:rPr>
      </w:pPr>
      <w:r>
        <w:rPr>
          <w:rFonts w:hint="eastAsia" w:ascii="Arial" w:hAnsi="Arial" w:eastAsia="宋体" w:cs="Arial"/>
          <w:b/>
          <w:bCs/>
          <w:color w:val="000000"/>
          <w:sz w:val="96"/>
          <w:szCs w:val="96"/>
        </w:rPr>
        <w:t xml:space="preserve">招 标 文 件</w:t>
      </w:r>
      <w:r/>
    </w:p>
    <w:p>
      <w:pPr>
        <w:pStyle w:val="721"/>
        <w:ind w:firstLine="2249"/>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721"/>
        <w:ind w:firstLine="2249"/>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721"/>
        <w:jc w:val="center"/>
        <w:spacing w:before="120" w:beforeAutospacing="0" w:after="120" w:afterAutospacing="0" w:line="360" w:lineRule="auto"/>
        <w:rPr>
          <w:rFonts w:eastAsia="宋体"/>
        </w:rPr>
      </w:pPr>
      <w:r>
        <w:rPr>
          <w:rFonts w:ascii="Arial" w:hAnsi="Arial" w:cs="Arial"/>
          <w:b/>
          <w:color w:val="000000"/>
          <w:sz w:val="32"/>
          <w:szCs w:val="32"/>
        </w:rPr>
        <w:t xml:space="preserve">项目名称：</w:t>
      </w:r>
      <w:r>
        <w:rPr>
          <w:rFonts w:hint="eastAsia" w:ascii="Arial" w:hAnsi="Arial" w:cs="Arial"/>
          <w:b/>
          <w:color w:val="000000"/>
          <w:sz w:val="32"/>
          <w:szCs w:val="32"/>
        </w:rPr>
        <w:t xml:space="preserve">盐城市</w:t>
      </w:r>
      <w:r>
        <w:rPr>
          <w:rFonts w:hint="eastAsia" w:ascii="Arial" w:hAnsi="Arial" w:eastAsia="宋体" w:cs="Arial"/>
          <w:b/>
          <w:color w:val="000000"/>
          <w:sz w:val="32"/>
          <w:szCs w:val="32"/>
        </w:rPr>
        <w:t xml:space="preserve">第四人民医院智慧处方点评系统项目</w:t>
      </w:r>
      <w:r/>
    </w:p>
    <w:p>
      <w:pPr>
        <w:pStyle w:val="721"/>
        <w:jc w:val="both"/>
        <w:spacing w:beforeAutospacing="0" w:afterAutospacing="0"/>
        <w:rPr>
          <w:rFonts w:ascii="Times New Roman" w:hAnsi="Times New Roman"/>
          <w:b/>
          <w:color w:val="000000"/>
          <w:sz w:val="32"/>
          <w:szCs w:val="32"/>
        </w:rPr>
      </w:pPr>
      <w:r>
        <w:rPr>
          <w:rFonts w:ascii="Times New Roman" w:hAnsi="Times New Roman"/>
          <w:b/>
          <w:color w:val="000000"/>
          <w:sz w:val="32"/>
          <w:szCs w:val="32"/>
        </w:rPr>
      </w:r>
      <w:r/>
    </w:p>
    <w:p>
      <w:pPr>
        <w:pStyle w:val="721"/>
        <w:jc w:val="center"/>
        <w:spacing w:beforeAutospacing="0" w:afterAutospacing="0"/>
        <w:rPr>
          <w:rFonts w:hint="eastAsia" w:eastAsiaTheme="minorEastAsia"/>
          <w:lang w:eastAsia="zh-CN"/>
        </w:rPr>
      </w:pPr>
      <w:r>
        <w:rPr>
          <w:rFonts w:ascii="Times New Roman" w:hAnsi="Times New Roman"/>
          <w:b/>
          <w:color w:val="000000"/>
          <w:sz w:val="32"/>
          <w:szCs w:val="32"/>
        </w:rPr>
        <w:t xml:space="preserve">项目编号：</w:t>
      </w:r>
      <w:r>
        <w:rPr>
          <w:rFonts w:hint="eastAsia" w:ascii="Times New Roman" w:hAnsi="Times New Roman"/>
          <w:b/>
          <w:color w:val="000000"/>
          <w:sz w:val="32"/>
          <w:szCs w:val="32"/>
          <w:lang w:eastAsia="zh-CN"/>
        </w:rPr>
        <w:t xml:space="preserve">JSZC-320900-JZCG-G2026-0063</w:t>
      </w:r>
      <w:r/>
    </w:p>
    <w:p>
      <w:pPr>
        <w:pStyle w:val="721"/>
        <w:spacing w:beforeAutospacing="0" w:afterAutospacing="0" w:line="360" w:lineRule="auto"/>
      </w:pPr>
      <w:r>
        <w:t xml:space="preserve"> </w:t>
      </w:r>
      <w:r/>
    </w:p>
    <w:p>
      <w:pPr>
        <w:pStyle w:val="721"/>
        <w:spacing w:beforeAutospacing="0" w:afterAutospacing="0" w:line="360" w:lineRule="auto"/>
      </w:pPr>
      <w:r>
        <w:t xml:space="preserve"> </w:t>
      </w:r>
      <w:r/>
    </w:p>
    <w:p>
      <w:pPr>
        <w:pStyle w:val="721"/>
        <w:spacing w:beforeAutospacing="0" w:afterAutospacing="0" w:line="360" w:lineRule="auto"/>
      </w:pPr>
      <w:r>
        <w:t xml:space="preserve"> </w:t>
      </w:r>
      <w:r/>
    </w:p>
    <w:p>
      <w:pPr>
        <w:pStyle w:val="721"/>
        <w:spacing w:beforeAutospacing="0" w:afterAutospacing="0" w:line="360" w:lineRule="auto"/>
      </w:pPr>
      <w:r>
        <w:t xml:space="preserve"> </w:t>
      </w:r>
      <w:r/>
    </w:p>
    <w:p>
      <w:pPr>
        <w:pStyle w:val="721"/>
        <w:spacing w:beforeAutospacing="0" w:afterAutospacing="0" w:line="360" w:lineRule="auto"/>
      </w:pPr>
      <w:r>
        <w:t xml:space="preserve"> </w:t>
      </w:r>
      <w:r/>
    </w:p>
    <w:p>
      <w:pPr>
        <w:pStyle w:val="721"/>
        <w:jc w:val="center"/>
        <w:spacing w:before="120" w:beforeAutospacing="0" w:after="120" w:afterAutospacing="0" w:line="360" w:lineRule="auto"/>
        <w:rPr>
          <w:rFonts w:ascii="Times New Roman" w:hAnsi="Times New Roman"/>
        </w:rPr>
      </w:pPr>
      <w:r>
        <w:t xml:space="preserve"> </w:t>
      </w:r>
      <w:r>
        <w:rPr>
          <w:rFonts w:hint="eastAsia" w:eastAsia="宋体"/>
        </w:rPr>
        <w:t xml:space="preserve">   </w:t>
      </w:r>
      <w:r>
        <w:rPr>
          <w:rFonts w:hint="eastAsia" w:ascii="黑体" w:hAnsi="Times New Roman" w:eastAsia="黑体" w:cs="黑体"/>
          <w:bCs/>
          <w:color w:val="000000"/>
          <w:sz w:val="32"/>
          <w:szCs w:val="32"/>
        </w:rPr>
        <w:t xml:space="preserve">盐城市第四人民医院                                                    2026年9月</w:t>
      </w:r>
      <w:r/>
    </w:p>
    <w:p>
      <w:pPr>
        <w:pStyle w:val="721"/>
        <w:spacing w:before="120" w:beforeAutospacing="0" w:after="120" w:afterAutospacing="0" w:line="360" w:lineRule="auto"/>
      </w:pPr>
      <w:r>
        <w:rPr>
          <w:rFonts w:ascii="Arial" w:hAnsi="Arial" w:cs="Arial"/>
          <w:color w:val="000000"/>
        </w:rPr>
        <w:t xml:space="preserve"> </w:t>
      </w:r>
      <w:r>
        <w:t xml:space="preserve"> </w:t>
      </w:r>
      <w:r/>
    </w:p>
    <w:p>
      <w:pPr>
        <w:pStyle w:val="721"/>
        <w:jc w:val="center"/>
        <w:spacing w:beforeAutospacing="0" w:afterAutospacing="0" w:line="480" w:lineRule="auto"/>
      </w:pPr>
      <w:r>
        <w:rPr>
          <w:rFonts w:ascii="Times New Roman" w:hAnsi="Times New Roman"/>
          <w:color w:val="000000"/>
          <w:sz w:val="21"/>
          <w:szCs w:val="21"/>
        </w:rPr>
        <w:br w:type="page" w:clear="all"/>
      </w:r>
      <w:r/>
    </w:p>
    <w:p>
      <w:pPr>
        <w:jc w:val="center"/>
        <w:rPr>
          <w:rFonts w:ascii="黑体" w:hAnsi="Times New Roman" w:eastAsia="黑体" w:cs="黑体"/>
          <w:bCs/>
          <w:color w:val="000000"/>
          <w:sz w:val="44"/>
        </w:rPr>
      </w:pPr>
      <w:r>
        <w:rPr>
          <w:rFonts w:ascii="黑体" w:hAnsi="Times New Roman" w:eastAsia="黑体" w:cs="黑体"/>
          <w:bCs/>
          <w:color w:val="000000"/>
          <w:sz w:val="44"/>
        </w:rPr>
      </w:r>
      <w:r/>
    </w:p>
    <w:p>
      <w:pPr>
        <w:jc w:val="center"/>
        <w:rPr>
          <w:rFonts w:ascii="黑体" w:hAnsi="Times New Roman" w:eastAsia="黑体" w:cs="黑体"/>
          <w:bCs/>
          <w:color w:val="000000"/>
          <w:sz w:val="44"/>
        </w:rPr>
      </w:pPr>
      <w:r>
        <w:rPr>
          <w:rFonts w:hint="eastAsia" w:ascii="黑体" w:hAnsi="Times New Roman" w:eastAsia="黑体" w:cs="黑体"/>
          <w:bCs/>
          <w:color w:val="000000"/>
          <w:sz w:val="44"/>
        </w:rPr>
        <w:t xml:space="preserve">总  目  录</w:t>
      </w:r>
      <w:r/>
    </w:p>
    <w:p>
      <w:pPr>
        <w:jc w:val="center"/>
        <w:rPr>
          <w:rFonts w:ascii="黑体" w:hAnsi="Times New Roman" w:eastAsia="黑体" w:cs="黑体"/>
          <w:bCs/>
          <w:color w:val="000000"/>
          <w:sz w:val="44"/>
        </w:rPr>
      </w:pPr>
      <w:r>
        <w:rPr>
          <w:rFonts w:ascii="黑体" w:hAnsi="Times New Roman" w:eastAsia="黑体" w:cs="黑体"/>
          <w:bCs/>
          <w:color w:val="000000"/>
          <w:sz w:val="44"/>
        </w:rPr>
      </w:r>
      <w:r/>
    </w:p>
    <w:p>
      <w:pPr>
        <w:numPr>
          <w:ilvl w:val="0"/>
          <w:numId w:val="1"/>
        </w:numPr>
        <w:ind w:left="1856" w:hanging="1018"/>
        <w:spacing w:line="560" w:lineRule="exact"/>
        <w:rPr>
          <w:rFonts w:ascii="黑体" w:hAnsi="Times New Roman" w:eastAsia="黑体" w:cs="Times New Roman"/>
          <w:color w:val="000000"/>
          <w:sz w:val="36"/>
        </w:rPr>
        <w:outlineLvl w:val="0"/>
      </w:pPr>
      <w:r>
        <w:rPr>
          <w:rFonts w:hint="eastAsia" w:ascii="黑体" w:hAnsi="Times New Roman" w:eastAsia="黑体" w:cs="Times New Roman"/>
          <w:color w:val="000000"/>
          <w:sz w:val="36"/>
        </w:rPr>
        <w:t xml:space="preserve"> 招标公告……………………………3</w:t>
      </w:r>
      <w:r/>
    </w:p>
    <w:p>
      <w:pPr>
        <w:numPr>
          <w:ilvl w:val="0"/>
          <w:numId w:val="1"/>
        </w:numPr>
        <w:ind w:left="1856" w:hanging="1018"/>
        <w:spacing w:line="560" w:lineRule="exact"/>
        <w:rPr>
          <w:rFonts w:ascii="黑体" w:hAnsi="Times New Roman" w:eastAsia="黑体" w:cs="Times New Roman"/>
          <w:color w:val="000000"/>
          <w:sz w:val="36"/>
        </w:rPr>
        <w:outlineLvl w:val="0"/>
      </w:pPr>
      <w:r>
        <w:rPr>
          <w:rFonts w:hint="eastAsia" w:ascii="黑体" w:hAnsi="Times New Roman" w:eastAsia="黑体" w:cs="Times New Roman"/>
          <w:color w:val="000000"/>
          <w:sz w:val="36"/>
        </w:rPr>
        <w:t xml:space="preserve"> 投标人须知…………………………7</w:t>
      </w:r>
      <w:r/>
    </w:p>
    <w:p>
      <w:pPr>
        <w:numPr>
          <w:ilvl w:val="0"/>
          <w:numId w:val="1"/>
        </w:numPr>
        <w:ind w:left="1856" w:hanging="1018"/>
        <w:spacing w:line="560" w:lineRule="exact"/>
        <w:rPr>
          <w:rFonts w:ascii="黑体" w:hAnsi="Times New Roman" w:eastAsia="黑体" w:cs="Times New Roman"/>
          <w:color w:val="000000"/>
          <w:sz w:val="36"/>
        </w:rPr>
        <w:outlineLvl w:val="0"/>
      </w:pPr>
      <w:r>
        <w:rPr>
          <w:rFonts w:hint="eastAsia" w:ascii="黑体" w:hAnsi="Times New Roman" w:eastAsia="黑体" w:cs="Times New Roman"/>
          <w:color w:val="000000"/>
          <w:sz w:val="36"/>
        </w:rPr>
        <w:t xml:space="preserve"> 合同文本……………………………25</w:t>
      </w:r>
      <w:r/>
    </w:p>
    <w:p>
      <w:pPr>
        <w:numPr>
          <w:ilvl w:val="0"/>
          <w:numId w:val="1"/>
        </w:numPr>
        <w:ind w:left="1856" w:hanging="1018"/>
        <w:spacing w:line="560" w:lineRule="exact"/>
        <w:rPr>
          <w:rFonts w:ascii="黑体" w:hAnsi="Times New Roman" w:eastAsia="黑体" w:cs="Times New Roman"/>
          <w:color w:val="000000"/>
          <w:sz w:val="36"/>
        </w:rPr>
        <w:outlineLvl w:val="0"/>
      </w:pPr>
      <w:r>
        <w:rPr>
          <w:rFonts w:hint="eastAsia" w:ascii="黑体" w:hAnsi="Times New Roman" w:eastAsia="黑体" w:cs="Times New Roman"/>
          <w:color w:val="000000"/>
          <w:sz w:val="36"/>
        </w:rPr>
        <w:t xml:space="preserve"> 采购需求……………………………30</w:t>
      </w:r>
      <w:r/>
    </w:p>
    <w:p>
      <w:pPr>
        <w:numPr>
          <w:ilvl w:val="0"/>
          <w:numId w:val="1"/>
        </w:numPr>
        <w:ind w:left="1856" w:hanging="1018"/>
        <w:spacing w:line="560" w:lineRule="exact"/>
        <w:rPr>
          <w:rFonts w:ascii="黑体" w:hAnsi="Times New Roman" w:eastAsia="黑体" w:cs="Times New Roman"/>
          <w:color w:val="000000"/>
          <w:sz w:val="36"/>
        </w:rPr>
        <w:outlineLvl w:val="0"/>
      </w:pPr>
      <w:r>
        <w:rPr>
          <w:rFonts w:hint="eastAsia" w:ascii="黑体" w:hAnsi="Times New Roman" w:eastAsia="黑体" w:cs="Times New Roman"/>
          <w:color w:val="000000"/>
          <w:sz w:val="36"/>
        </w:rPr>
        <w:t xml:space="preserve"> 评标方法与评标标准………………48</w:t>
      </w:r>
      <w:r/>
    </w:p>
    <w:p>
      <w:pPr>
        <w:ind w:left="1856" w:hanging="1018"/>
        <w:spacing w:line="560" w:lineRule="exact"/>
        <w:rPr>
          <w:rFonts w:ascii="黑体" w:hAnsi="Times New Roman" w:eastAsia="黑体" w:cs="Times New Roman"/>
          <w:color w:val="000000"/>
          <w:sz w:val="36"/>
        </w:rPr>
        <w:outlineLvl w:val="0"/>
      </w:pPr>
      <w:r>
        <w:rPr>
          <w:rFonts w:hint="eastAsia" w:ascii="黑体" w:hAnsi="Times New Roman" w:eastAsia="黑体" w:cs="Times New Roman"/>
          <w:color w:val="000000"/>
          <w:sz w:val="36"/>
        </w:rPr>
        <w:t xml:space="preserve">第六章  投标文件格式………………………54</w:t>
      </w:r>
      <w:r/>
    </w:p>
    <w:p>
      <w:pPr>
        <w:pStyle w:val="721"/>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721"/>
        <w:jc w:val="center"/>
        <w:keepLines/>
        <w:keepNext/>
        <w:spacing w:before="260" w:beforeAutospacing="0" w:after="260" w:afterAutospacing="0" w:line="560" w:lineRule="exact"/>
        <w:rPr>
          <w:rFonts w:hint="eastAsia" w:ascii="黑体" w:hAnsi="宋体" w:eastAsia="黑体" w:cs="黑体"/>
          <w:color w:val="000000"/>
          <w:sz w:val="44"/>
          <w:szCs w:val="44"/>
        </w:rPr>
      </w:pPr>
      <w:r>
        <w:rPr>
          <w:rFonts w:hint="eastAsia" w:ascii="黑体" w:hAnsi="宋体" w:eastAsia="黑体" w:cs="黑体"/>
          <w:bCs/>
          <w:color w:val="000000"/>
          <w:sz w:val="44"/>
          <w:szCs w:val="44"/>
        </w:rPr>
        <w:t xml:space="preserve">第一章 招标公告</w:t>
      </w:r>
      <w:r/>
    </w:p>
    <w:p>
      <w:pPr>
        <w:ind w:firstLine="482"/>
        <w:jc w:val="left"/>
        <w:spacing w:line="560" w:lineRule="exact"/>
        <w:widowControl/>
        <w:rPr>
          <w:rFonts w:hint="eastAsia" w:ascii="宋体" w:hAnsi="宋体" w:eastAsia="宋体" w:cs="宋体"/>
          <w:color w:val="000000"/>
          <w:sz w:val="24"/>
          <w:szCs w:val="20"/>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000000"/>
          <w:sz w:val="24"/>
          <w:szCs w:val="20"/>
        </w:rPr>
        <w:t xml:space="preserve">项目概况</w:t>
      </w:r>
      <w:r/>
    </w:p>
    <w:p>
      <w:pPr>
        <w:ind w:firstLine="482"/>
        <w:jc w:val="left"/>
        <w:spacing w:line="560" w:lineRule="exact"/>
        <w:widowControl/>
        <w:rPr>
          <w:rFonts w:hint="eastAsia" w:ascii="宋体" w:hAnsi="宋体" w:eastAsia="宋体" w:cs="宋体"/>
          <w:color w:val="000000"/>
          <w:sz w:val="24"/>
          <w:szCs w:val="20"/>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000000"/>
          <w:sz w:val="24"/>
          <w:szCs w:val="20"/>
        </w:rPr>
        <w:t xml:space="preserve">盐城市第四人民医院智慧处方点评系统项目</w:t>
      </w:r>
      <w:r>
        <w:rPr>
          <w:rFonts w:hint="eastAsia" w:ascii="宋体" w:hAnsi="宋体" w:eastAsia="宋体" w:cs="宋体"/>
          <w:color w:val="000000"/>
          <w:sz w:val="24"/>
          <w:szCs w:val="20"/>
          <w:lang w:eastAsia="zh-CN"/>
        </w:rPr>
        <w:t xml:space="preserve">JSZC-320900-JZCG-G2026-0063</w:t>
      </w:r>
      <w:r>
        <w:rPr>
          <w:rFonts w:hint="eastAsia" w:ascii="宋体" w:hAnsi="宋体" w:eastAsia="宋体" w:cs="宋体"/>
          <w:color w:val="000000"/>
          <w:sz w:val="24"/>
          <w:szCs w:val="20"/>
        </w:rPr>
        <w:t xml:space="preserve">的潜在投标人应在“苏采云”系统内免费下载（投标人必须在苏采云系统中获取采购文件，方能参与政府采购项目），并于2026年</w:t>
      </w:r>
      <w:r>
        <w:rPr>
          <w:rFonts w:hint="eastAsia" w:ascii="宋体" w:hAnsi="宋体" w:eastAsia="宋体" w:cs="宋体"/>
          <w:color w:val="000000"/>
          <w:sz w:val="24"/>
          <w:szCs w:val="20"/>
          <w:lang w:val="en-US" w:eastAsia="zh-CN"/>
        </w:rPr>
        <w:t xml:space="preserve">10</w:t>
      </w:r>
      <w:r>
        <w:rPr>
          <w:rFonts w:hint="eastAsia" w:ascii="宋体" w:hAnsi="宋体" w:eastAsia="宋体" w:cs="宋体"/>
          <w:color w:val="000000"/>
          <w:sz w:val="24"/>
          <w:szCs w:val="20"/>
        </w:rPr>
        <w:t xml:space="preserve">月1</w:t>
      </w:r>
      <w:r>
        <w:rPr>
          <w:rFonts w:hint="eastAsia" w:ascii="宋体" w:hAnsi="宋体" w:eastAsia="宋体" w:cs="宋体"/>
          <w:color w:val="000000"/>
          <w:sz w:val="24"/>
          <w:szCs w:val="20"/>
          <w:lang w:val="en-US" w:eastAsia="zh-CN"/>
        </w:rPr>
        <w:t xml:space="preserve">3</w:t>
      </w:r>
      <w:r>
        <w:rPr>
          <w:rFonts w:hint="eastAsia" w:ascii="宋体" w:hAnsi="宋体" w:eastAsia="宋体" w:cs="宋体"/>
          <w:color w:val="000000"/>
          <w:sz w:val="24"/>
          <w:szCs w:val="20"/>
        </w:rPr>
        <w:t xml:space="preserve">日9点30分（北京时间）前递交投标文件。</w:t>
      </w:r>
      <w:r/>
    </w:p>
    <w:p>
      <w:pPr>
        <w:ind w:firstLine="482"/>
        <w:jc w:val="left"/>
        <w:spacing w:line="560" w:lineRule="exact"/>
        <w:widowControl/>
        <w:rPr>
          <w:rFonts w:hint="eastAsia" w:ascii="宋体" w:hAnsi="宋体" w:eastAsia="宋体" w:cs="宋体"/>
          <w:b/>
          <w:bCs/>
          <w:color w:val="000000"/>
          <w:sz w:val="24"/>
          <w:szCs w:val="20"/>
        </w:rPr>
      </w:pPr>
      <w:r/>
      <w:bookmarkStart w:id="0" w:name="_Toc28359002"/>
      <w:r/>
      <w:bookmarkStart w:id="1" w:name="_Toc38985263"/>
      <w:r/>
      <w:bookmarkStart w:id="2" w:name="_Toc28359079"/>
      <w:r/>
      <w:bookmarkStart w:id="3" w:name="_Toc35393621"/>
      <w:r/>
      <w:bookmarkStart w:id="4" w:name="_Hlk24379207"/>
      <w:r/>
      <w:bookmarkStart w:id="5" w:name="_Toc35393790"/>
      <w:r>
        <w:rPr>
          <w:rFonts w:hint="eastAsia" w:ascii="宋体" w:hAnsi="宋体" w:eastAsia="宋体" w:cs="宋体"/>
          <w:b/>
          <w:bCs/>
          <w:color w:val="000000"/>
          <w:sz w:val="24"/>
          <w:szCs w:val="20"/>
        </w:rPr>
        <w:t xml:space="preserve">一、项目基本情况</w:t>
      </w:r>
      <w:bookmarkEnd w:id="0"/>
      <w:r/>
      <w:bookmarkEnd w:id="1"/>
      <w:r/>
      <w:bookmarkEnd w:id="2"/>
      <w:r/>
      <w:bookmarkEnd w:id="3"/>
      <w:r/>
      <w:bookmarkEnd w:id="4"/>
      <w:r/>
      <w:bookmarkEnd w:id="5"/>
      <w:r/>
      <w:r/>
    </w:p>
    <w:p>
      <w:pPr>
        <w:ind w:firstLine="482"/>
        <w:jc w:val="left"/>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1.项目编号：</w:t>
      </w:r>
      <w:r>
        <w:rPr>
          <w:rFonts w:hint="eastAsia" w:ascii="宋体" w:hAnsi="宋体" w:eastAsia="宋体" w:cs="宋体"/>
          <w:color w:val="000000"/>
          <w:sz w:val="24"/>
          <w:szCs w:val="20"/>
          <w:lang w:eastAsia="zh-CN"/>
        </w:rPr>
        <w:t xml:space="preserve">JSZC-320900-JZCG-G2026-0063</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2.项目名称：盐城市第四人民医院智慧处方点评系统项目</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3.采购方式：公开招标</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4.预算金额：20万元</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5.最高限价：20万元</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6.采购需求：处方点评系统的开发、部署、运维及相关技术服务。系统面向门急诊与住院处方（医嘱）的回顾性点评，采用规则校验与人工智能辅助相结合的方式，在药师主导下提升点评质量与效率。（详细内容见本招标文件第四章采购需求）</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7.合同履行期限：二年。</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8.本项目（是/否）接受联合体投标：否。</w:t>
      </w:r>
      <w:r/>
    </w:p>
    <w:p>
      <w:pPr>
        <w:ind w:firstLine="482"/>
        <w:jc w:val="left"/>
        <w:spacing w:line="560" w:lineRule="exact"/>
        <w:widowControl/>
        <w:rPr>
          <w:rFonts w:hint="eastAsia" w:ascii="宋体" w:hAnsi="宋体" w:eastAsia="宋体" w:cs="宋体"/>
          <w:b/>
          <w:bCs/>
          <w:color w:val="000000"/>
          <w:sz w:val="24"/>
          <w:szCs w:val="20"/>
        </w:rPr>
      </w:pPr>
      <w:r/>
      <w:bookmarkStart w:id="6" w:name="_Toc35393622"/>
      <w:r/>
      <w:bookmarkStart w:id="7" w:name="_Toc38985264"/>
      <w:r/>
      <w:bookmarkStart w:id="8" w:name="_Toc28359080"/>
      <w:r/>
      <w:bookmarkStart w:id="9" w:name="_Toc28359003"/>
      <w:r/>
      <w:bookmarkStart w:id="10" w:name="_Toc35393791"/>
      <w:r>
        <w:rPr>
          <w:rFonts w:hint="eastAsia" w:ascii="宋体" w:hAnsi="宋体" w:eastAsia="宋体" w:cs="宋体"/>
          <w:b/>
          <w:bCs/>
          <w:color w:val="000000"/>
          <w:sz w:val="24"/>
          <w:szCs w:val="20"/>
        </w:rPr>
        <w:t xml:space="preserve">二、申请人的资格要求：</w:t>
      </w:r>
      <w:bookmarkEnd w:id="6"/>
      <w:r/>
      <w:bookmarkEnd w:id="7"/>
      <w:r/>
      <w:bookmarkEnd w:id="8"/>
      <w:r/>
      <w:bookmarkEnd w:id="9"/>
      <w:r/>
      <w:bookmarkEnd w:id="10"/>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1.满足《中华人民共和国政府采购法》第二十二条规定，并提供下列材料：</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1.1法人或者其他组织的营业执照等证明文件，自然人的身份证明；</w:t>
      </w:r>
      <w:r/>
    </w:p>
    <w:p>
      <w:pPr>
        <w:ind w:firstLine="482"/>
        <w:jc w:val="left"/>
        <w:spacing w:line="560" w:lineRule="exact"/>
        <w:widowControl/>
        <w:rPr>
          <w:rFonts w:hint="eastAsia" w:ascii="宋体" w:hAnsi="宋体" w:eastAsia="宋体" w:cs="宋体"/>
          <w:color w:val="000000"/>
          <w:sz w:val="24"/>
        </w:rPr>
      </w:pPr>
      <w:r>
        <w:rPr>
          <w:rFonts w:hint="eastAsia" w:ascii="宋体" w:hAnsi="宋体" w:eastAsia="宋体" w:cs="宋体"/>
          <w:color w:val="000000"/>
          <w:sz w:val="24"/>
          <w:szCs w:val="20"/>
        </w:rPr>
        <w:t xml:space="preserve">1.2上一</w:t>
      </w:r>
      <w:r>
        <w:rPr>
          <w:rFonts w:hint="eastAsia" w:ascii="宋体" w:hAnsi="宋体" w:eastAsia="宋体" w:cs="宋体"/>
          <w:color w:val="000000"/>
          <w:sz w:val="24"/>
        </w:rPr>
        <w:t xml:space="preserve">年度的财务状况报告（成立不满一年无需提供）；</w:t>
      </w:r>
      <w:r/>
    </w:p>
    <w:p>
      <w:pPr>
        <w:ind w:firstLine="482"/>
        <w:jc w:val="left"/>
        <w:spacing w:line="5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1.3具备履行合同所必需的设备和专业技术能力的书面声明；               </w:t>
      </w:r>
      <w:r/>
    </w:p>
    <w:p>
      <w:pPr>
        <w:ind w:firstLine="482"/>
        <w:jc w:val="left"/>
        <w:spacing w:line="5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2"/>
        <w:jc w:val="left"/>
        <w:spacing w:line="5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1.5参加政府采购活动前3年内在经营活动中没有重大违法记录的书面声明。</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rPr>
        <w:t xml:space="preserve">1.6法律、行政法规规定的其他条件。</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1.8单位负责人为同一人或者存在直接控股、管理关系的不同供应商，不得参加同一合同项下的政府采购活动。</w:t>
      </w:r>
      <w:r/>
    </w:p>
    <w:p>
      <w:pPr>
        <w:ind w:firstLine="482"/>
        <w:jc w:val="left"/>
        <w:spacing w:line="560" w:lineRule="exact"/>
        <w:widowControl/>
        <w:rPr>
          <w:rFonts w:hint="eastAsia" w:ascii="宋体" w:hAnsi="宋体" w:eastAsia="宋体" w:cs="宋体"/>
          <w:b/>
          <w:bCs/>
          <w:color w:val="000000"/>
          <w:sz w:val="24"/>
          <w:szCs w:val="20"/>
        </w:rPr>
      </w:pPr>
      <w:r>
        <w:rPr>
          <w:rFonts w:hint="eastAsia" w:ascii="宋体" w:hAnsi="宋体" w:eastAsia="宋体" w:cs="宋体"/>
          <w:color w:val="000000"/>
          <w:sz w:val="24"/>
          <w:szCs w:val="20"/>
        </w:rPr>
        <w:t xml:space="preserve">2.落实政府采购政策需满足的资格要求：</w:t>
      </w:r>
      <w:r>
        <w:rPr>
          <w:rFonts w:hint="eastAsia" w:ascii="宋体" w:hAnsi="宋体" w:eastAsia="宋体" w:cs="宋体"/>
          <w:b/>
          <w:bCs/>
          <w:color w:val="000000"/>
          <w:sz w:val="24"/>
        </w:rPr>
        <w:t xml:space="preserve">本项目专门面向中小企业采购。采购标的所属行业为软件和信息技术服务业，投标人需按照采购文件的要求提供相应的《中小企业声明函》，企业标准请参照《关于印发中小企业划分标准规定的通知》（工信部联企业【2011】300号）文件规定自行填写。</w:t>
      </w:r>
      <w:r/>
    </w:p>
    <w:p>
      <w:pPr>
        <w:ind w:firstLine="482"/>
        <w:jc w:val="left"/>
        <w:spacing w:line="5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3.本项目的特定资格要求：无</w:t>
      </w:r>
      <w:r/>
    </w:p>
    <w:p>
      <w:pPr>
        <w:ind w:firstLine="482"/>
        <w:jc w:val="left"/>
        <w:spacing w:line="560" w:lineRule="exact"/>
        <w:widowControl/>
        <w:rPr>
          <w:rFonts w:hint="eastAsia" w:ascii="宋体" w:hAnsi="宋体" w:eastAsia="宋体" w:cs="宋体"/>
          <w:b/>
          <w:bCs/>
          <w:color w:val="000000"/>
          <w:sz w:val="24"/>
        </w:rPr>
      </w:pPr>
      <w:r>
        <w:rPr>
          <w:rFonts w:hint="eastAsia" w:ascii="宋体" w:hAnsi="宋体" w:eastAsia="宋体" w:cs="宋体"/>
          <w:b/>
          <w:bCs/>
          <w:color w:val="000000"/>
          <w:sz w:val="24"/>
        </w:rPr>
        <w:t xml:space="preserve">三、获取招标文件</w:t>
      </w:r>
      <w:r/>
    </w:p>
    <w:p>
      <w:pPr>
        <w:ind w:firstLine="482"/>
        <w:jc w:val="left"/>
        <w:spacing w:line="560" w:lineRule="exact"/>
        <w:widowControl/>
        <w:rPr>
          <w:rFonts w:hint="eastAsia" w:ascii="宋体" w:hAnsi="宋体" w:eastAsia="宋体" w:cs="宋体"/>
          <w:color w:val="000000"/>
          <w:sz w:val="24"/>
        </w:rPr>
      </w:pPr>
      <w:r/>
      <w:bookmarkStart w:id="11" w:name="_Toc35393793"/>
      <w:r/>
      <w:bookmarkStart w:id="12" w:name="_Toc28359082"/>
      <w:r/>
      <w:bookmarkStart w:id="13" w:name="_Toc28359005"/>
      <w:r/>
      <w:bookmarkStart w:id="14" w:name="_Toc35393624"/>
      <w:r/>
      <w:bookmarkStart w:id="15" w:name="_Toc38985266"/>
      <w:r>
        <w:rPr>
          <w:rFonts w:hint="eastAsia" w:ascii="宋体" w:hAnsi="宋体" w:eastAsia="宋体" w:cs="宋体"/>
          <w:color w:val="000000"/>
          <w:sz w:val="24"/>
        </w:rPr>
        <w:t xml:space="preserve">1.时间：</w:t>
      </w:r>
      <w:bookmarkEnd w:id="11"/>
      <w:r/>
      <w:bookmarkEnd w:id="12"/>
      <w:r/>
      <w:bookmarkEnd w:id="13"/>
      <w:r/>
      <w:bookmarkEnd w:id="14"/>
      <w:r/>
      <w:bookmarkEnd w:id="15"/>
      <w:r>
        <w:rPr>
          <w:rFonts w:hint="eastAsia" w:ascii="宋体" w:hAnsi="宋体" w:eastAsia="宋体" w:cs="宋体"/>
          <w:color w:val="000000"/>
          <w:sz w:val="24"/>
        </w:rPr>
        <w:t xml:space="preserve">自招标文件公告发布之日起5个工作日。</w:t>
      </w:r>
      <w:r/>
    </w:p>
    <w:p>
      <w:pPr>
        <w:ind w:firstLine="482"/>
        <w:jc w:val="left"/>
        <w:spacing w:line="5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2.地点：“苏采云”系统内免费下载（投标人必须在苏采云系统中获取采购文件，方能参与政府采购项目）；</w:t>
      </w:r>
      <w:r/>
    </w:p>
    <w:p>
      <w:pPr>
        <w:ind w:firstLine="482"/>
        <w:jc w:val="left"/>
        <w:spacing w:line="5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3.方式：本项目采用网上注册登记方式。 </w:t>
      </w:r>
      <w:r/>
    </w:p>
    <w:p>
      <w:pPr>
        <w:ind w:firstLine="482"/>
        <w:jc w:val="left"/>
        <w:spacing w:line="5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4.售价：0元</w:t>
      </w:r>
      <w:r/>
    </w:p>
    <w:p>
      <w:pPr>
        <w:ind w:firstLine="480"/>
        <w:jc w:val="left"/>
        <w:spacing w:line="560" w:lineRule="exact"/>
        <w:widowControl/>
        <w:rPr>
          <w:rFonts w:ascii="宋体" w:hAnsi="Times New Roman" w:eastAsia="宋体" w:cs="宋体"/>
          <w:b/>
          <w:bCs/>
          <w:color w:val="000000"/>
          <w:sz w:val="24"/>
          <w:szCs w:val="20"/>
        </w:rPr>
      </w:pPr>
      <w:r>
        <w:rPr>
          <w:rFonts w:hint="eastAsia" w:ascii="宋体" w:hAnsi="Times New Roman" w:eastAsia="宋体" w:cs="宋体"/>
          <w:b/>
          <w:bCs/>
          <w:color w:val="000000"/>
          <w:sz w:val="24"/>
          <w:szCs w:val="20"/>
        </w:rPr>
        <w:t xml:space="preserve">四、提交投标文件截止时间、开标时间和地点</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1.时间：2026年</w:t>
      </w:r>
      <w:r>
        <w:rPr>
          <w:rFonts w:hint="eastAsia" w:ascii="宋体" w:hAnsi="宋体" w:eastAsia="宋体" w:cs="宋体"/>
          <w:color w:val="000000"/>
          <w:sz w:val="24"/>
          <w:szCs w:val="20"/>
          <w:lang w:val="en-US" w:eastAsia="zh-CN"/>
        </w:rPr>
        <w:t xml:space="preserve">10</w:t>
      </w:r>
      <w:r>
        <w:rPr>
          <w:rFonts w:hint="eastAsia" w:ascii="宋体" w:hAnsi="宋体" w:eastAsia="宋体" w:cs="宋体"/>
          <w:color w:val="000000"/>
          <w:sz w:val="24"/>
          <w:szCs w:val="20"/>
        </w:rPr>
        <w:t xml:space="preserve">月</w:t>
      </w:r>
      <w:r>
        <w:rPr>
          <w:rFonts w:hint="eastAsia" w:ascii="宋体" w:hAnsi="宋体" w:eastAsia="宋体" w:cs="宋体"/>
          <w:color w:val="000000"/>
          <w:sz w:val="24"/>
          <w:szCs w:val="20"/>
          <w:lang w:val="en-US" w:eastAsia="zh-CN"/>
        </w:rPr>
        <w:t xml:space="preserve">13</w:t>
      </w:r>
      <w:r>
        <w:rPr>
          <w:rFonts w:hint="eastAsia" w:ascii="宋体" w:hAnsi="宋体" w:eastAsia="宋体" w:cs="宋体"/>
          <w:color w:val="000000"/>
          <w:sz w:val="24"/>
          <w:szCs w:val="20"/>
        </w:rPr>
        <w:t xml:space="preserve">日9点30分（北京时间）</w:t>
      </w:r>
      <w:r/>
    </w:p>
    <w:p>
      <w:pPr>
        <w:ind w:firstLine="482"/>
        <w:jc w:val="left"/>
        <w:spacing w:line="560" w:lineRule="exact"/>
        <w:widowControl/>
        <w:rPr>
          <w:rFonts w:hint="eastAsia" w:ascii="宋体" w:hAnsi="宋体" w:eastAsia="宋体" w:cs="宋体"/>
          <w:color w:val="000000"/>
          <w:sz w:val="24"/>
        </w:rPr>
      </w:pPr>
      <w:r>
        <w:rPr>
          <w:rFonts w:hint="eastAsia" w:ascii="宋体" w:hAnsi="宋体" w:eastAsia="宋体" w:cs="宋体"/>
          <w:color w:val="000000"/>
          <w:sz w:val="24"/>
          <w:szCs w:val="20"/>
        </w:rPr>
        <w:t xml:space="preserve">2.地点：苏采云“不见面”开标大厅。</w:t>
      </w:r>
      <w:r/>
    </w:p>
    <w:p>
      <w:pPr>
        <w:jc w:val="left"/>
        <w:spacing w:line="560" w:lineRule="exact"/>
        <w:widowControl/>
        <w:rPr>
          <w:rFonts w:hint="eastAsia" w:ascii="宋体" w:hAnsi="宋体" w:eastAsia="宋体" w:cs="宋体"/>
          <w:color w:val="000000"/>
          <w:sz w:val="24"/>
        </w:rPr>
      </w:pPr>
      <w:r>
        <w:rPr>
          <w:rFonts w:hint="eastAsia" w:ascii="宋体" w:hAnsi="宋体" w:eastAsia="宋体" w:cs="宋体"/>
          <w:color w:val="000000"/>
          <w:sz w:val="24"/>
          <w:szCs w:val="20"/>
        </w:rPr>
        <w:t xml:space="preserve">    </w:t>
      </w:r>
      <w:bookmarkStart w:id="16" w:name="_Toc28359084"/>
      <w:r/>
      <w:bookmarkStart w:id="17" w:name="_Toc38985267"/>
      <w:r/>
      <w:bookmarkStart w:id="18" w:name="_Toc35393794"/>
      <w:r/>
      <w:bookmarkStart w:id="19" w:name="_Toc35393625"/>
      <w:r/>
      <w:bookmarkStart w:id="20" w:name="_Toc28359007"/>
      <w:r>
        <w:rPr>
          <w:rFonts w:hint="eastAsia" w:ascii="宋体" w:hAnsi="Times New Roman" w:eastAsia="宋体" w:cs="宋体"/>
          <w:b/>
          <w:bCs/>
          <w:color w:val="000000"/>
          <w:sz w:val="24"/>
          <w:szCs w:val="20"/>
        </w:rPr>
        <w:t xml:space="preserve">五、公告期限</w:t>
      </w:r>
      <w:bookmarkEnd w:id="16"/>
      <w:r/>
      <w:bookmarkEnd w:id="17"/>
      <w:r/>
      <w:bookmarkEnd w:id="18"/>
      <w:r/>
      <w:bookmarkEnd w:id="19"/>
      <w:r/>
      <w:bookmarkEnd w:id="20"/>
      <w:r/>
      <w:r/>
    </w:p>
    <w:p>
      <w:pPr>
        <w:ind w:firstLine="482"/>
        <w:jc w:val="left"/>
        <w:spacing w:line="560" w:lineRule="exact"/>
        <w:widowControl/>
        <w:rPr>
          <w:rFonts w:hint="eastAsia" w:ascii="宋体" w:hAnsi="宋体" w:eastAsia="宋体" w:cs="宋体"/>
          <w:color w:val="000000"/>
          <w:sz w:val="24"/>
          <w:shd w:val="clear" w:color="auto" w:fill="ffffff"/>
        </w:rPr>
      </w:pPr>
      <w:r/>
      <w:bookmarkStart w:id="21" w:name="_Toc35393795"/>
      <w:r/>
      <w:bookmarkStart w:id="22" w:name="_Toc35393626"/>
      <w:r/>
      <w:bookmarkStart w:id="23" w:name="_Toc38985268"/>
      <w:r>
        <w:rPr>
          <w:rFonts w:hint="eastAsia" w:ascii="宋体" w:hAnsi="宋体" w:eastAsia="宋体" w:cs="宋体"/>
          <w:color w:val="000000"/>
          <w:sz w:val="24"/>
        </w:rPr>
        <w:t xml:space="preserve">自本公告发布之日起5个工作日</w:t>
      </w:r>
      <w:bookmarkEnd w:id="21"/>
      <w:r/>
      <w:bookmarkEnd w:id="22"/>
      <w:r/>
      <w:bookmarkEnd w:id="23"/>
      <w:r/>
      <w:r/>
    </w:p>
    <w:p>
      <w:pPr>
        <w:ind w:firstLine="480"/>
        <w:jc w:val="left"/>
        <w:spacing w:line="560" w:lineRule="exact"/>
        <w:widowControl/>
        <w:rPr>
          <w:rFonts w:ascii="宋体" w:hAnsi="Times New Roman" w:eastAsia="宋体" w:cs="宋体"/>
          <w:b/>
          <w:bCs/>
          <w:color w:val="000000"/>
          <w:sz w:val="24"/>
          <w:szCs w:val="20"/>
        </w:rPr>
      </w:pPr>
      <w:r>
        <w:rPr>
          <w:rFonts w:hint="eastAsia" w:ascii="宋体" w:hAnsi="Times New Roman" w:eastAsia="宋体" w:cs="宋体"/>
          <w:b/>
          <w:bCs/>
          <w:color w:val="000000"/>
          <w:sz w:val="24"/>
          <w:szCs w:val="20"/>
        </w:rPr>
        <w:t xml:space="preserve">六、其他补充事宜</w:t>
      </w:r>
      <w:r/>
    </w:p>
    <w:p>
      <w:pPr>
        <w:ind w:firstLine="482"/>
        <w:jc w:val="left"/>
        <w:spacing w:line="560" w:lineRule="exact"/>
        <w:widowControl/>
        <w:rPr>
          <w:rFonts w:hint="eastAsia" w:ascii="宋体" w:hAnsi="宋体" w:eastAsia="宋体" w:cs="宋体"/>
          <w:color w:val="000000"/>
          <w:sz w:val="24"/>
          <w:szCs w:val="20"/>
        </w:rPr>
      </w:pPr>
      <w:r/>
      <w:bookmarkStart w:id="24" w:name="_Toc28359018"/>
      <w:r>
        <w:rPr>
          <w:rFonts w:hint="eastAsia" w:ascii="宋体" w:hAnsi="宋体" w:eastAsia="宋体" w:cs="宋体"/>
          <w:color w:val="000000"/>
          <w:sz w:val="24"/>
          <w:szCs w:val="20"/>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2"/>
        <w:jc w:val="left"/>
        <w:spacing w:line="560" w:lineRule="exact"/>
        <w:rPr>
          <w:rFonts w:hint="eastAsia" w:ascii="宋体" w:hAnsi="宋体" w:eastAsia="宋体" w:cs="宋体"/>
          <w:color w:val="000000"/>
          <w:sz w:val="24"/>
        </w:rPr>
      </w:pPr>
      <w:r>
        <w:rPr>
          <w:rFonts w:hint="eastAsia" w:ascii="宋体" w:hAnsi="宋体" w:eastAsia="宋体" w:cs="宋体"/>
          <w:color w:val="000000"/>
          <w:sz w:val="24"/>
          <w:szCs w:val="20"/>
        </w:rPr>
        <w:t xml:space="preserve">领取CA和办理电子签章（</w:t>
      </w:r>
      <w:r>
        <w:rPr>
          <w:rFonts w:hint="eastAsia" w:ascii="宋体" w:hAnsi="宋体" w:eastAsia="宋体" w:cs="宋体"/>
          <w:b/>
          <w:bCs/>
          <w:color w:val="000000"/>
          <w:sz w:val="24"/>
          <w:szCs w:val="20"/>
        </w:rPr>
        <w:t xml:space="preserve">请至盐城市府西路1号盐城市公共资源交易中心四楼大厅10号，11号窗口办理</w:t>
      </w:r>
      <w:r>
        <w:rPr>
          <w:rFonts w:hint="eastAsia" w:ascii="宋体" w:hAnsi="宋体" w:eastAsia="宋体" w:cs="宋体"/>
          <w:color w:val="000000"/>
          <w:sz w:val="24"/>
          <w:szCs w:val="20"/>
        </w:rPr>
        <w:t xml:space="preserve">，</w:t>
      </w:r>
      <w:r>
        <w:rPr>
          <w:rFonts w:hint="eastAsia" w:ascii="宋体" w:hAnsi="宋体" w:eastAsia="宋体" w:cs="宋体"/>
          <w:color w:val="000000"/>
          <w:sz w:val="24"/>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 潜在供应商访问电子招标响应交易平台的网络地址和方法： </w:t>
      </w:r>
      <w:r/>
    </w:p>
    <w:p>
      <w:pPr>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    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2"/>
        <w:jc w:val="left"/>
        <w:spacing w:line="560" w:lineRule="exact"/>
        <w:widowControl/>
        <w:rPr>
          <w:rFonts w:hint="eastAsia" w:ascii="宋体" w:hAnsi="宋体" w:eastAsia="宋体" w:cs="宋体"/>
          <w:color w:val="000000"/>
          <w:sz w:val="24"/>
        </w:rPr>
      </w:pPr>
      <w:r>
        <w:rPr>
          <w:rFonts w:hint="eastAsia" w:ascii="宋体" w:hAnsi="宋体" w:eastAsia="宋体" w:cs="宋体"/>
          <w:color w:val="000000"/>
          <w:sz w:val="24"/>
          <w:szCs w:val="20"/>
        </w:rPr>
        <w:t xml:space="preserve">2.2 潜在投标人访问“苏采云”系统方法：江苏省政府采购网首页-“苏采云”链接。                                                               </w:t>
      </w:r>
      <w:r/>
    </w:p>
    <w:p>
      <w:pPr>
        <w:ind w:firstLine="482"/>
        <w:jc w:val="left"/>
        <w:spacing w:line="560" w:lineRule="exact"/>
        <w:widowControl/>
        <w:rPr>
          <w:rFonts w:hint="eastAsia" w:ascii="宋体" w:hAnsi="宋体" w:eastAsia="宋体" w:cs="宋体"/>
          <w:color w:val="000000"/>
          <w:sz w:val="24"/>
        </w:rPr>
      </w:pPr>
      <w:r>
        <w:rPr>
          <w:rFonts w:hint="eastAsia" w:ascii="宋体" w:hAnsi="宋体" w:eastAsia="宋体" w:cs="宋体"/>
          <w:color w:val="000000"/>
          <w:sz w:val="24"/>
          <w:szCs w:val="20"/>
        </w:rPr>
        <w:t xml:space="preserve">2.3 采购文件（后缀名为“.kedt”）、供应商操作手册及政府采购客户端 工具可通过“苏采云”系统相应链接进行下载。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2.4 采购代理机构将数据电文形式的采购文件加载至“苏采云”系统，供潜在供应商下载或者查阅。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2.5 请潜在投标单位提前安装相应的控件（详见《“苏采云”系统供应商操作手册》）并使用谷歌浏览器登录“苏采云”系统参与不见面开评标。 </w:t>
      </w:r>
      <w:r/>
    </w:p>
    <w:p>
      <w:pPr>
        <w:ind w:firstLine="482"/>
        <w:jc w:val="left"/>
        <w:spacing w:line="560" w:lineRule="exact"/>
        <w:widowControl/>
        <w:rPr>
          <w:rFonts w:hint="eastAsia" w:ascii="宋体" w:hAnsi="宋体" w:eastAsia="宋体" w:cs="宋体"/>
          <w:color w:val="000000"/>
          <w:sz w:val="24"/>
        </w:rPr>
      </w:pPr>
      <w:r>
        <w:rPr>
          <w:rFonts w:hint="eastAsia" w:ascii="宋体" w:hAnsi="宋体" w:eastAsia="宋体" w:cs="宋体"/>
          <w:color w:val="000000"/>
          <w:sz w:val="24"/>
          <w:szCs w:val="20"/>
        </w:rPr>
        <w:t xml:space="preserve">如潜在投标人未按上述要求操作，将自行承担所产生的风险。</w:t>
      </w:r>
      <w:r/>
    </w:p>
    <w:p>
      <w:pPr>
        <w:ind w:firstLine="482"/>
        <w:jc w:val="left"/>
        <w:spacing w:line="560" w:lineRule="exact"/>
        <w:widowControl/>
        <w:rPr>
          <w:rFonts w:hint="eastAsia" w:ascii="宋体" w:hAnsi="宋体" w:eastAsia="宋体" w:cs="宋体"/>
          <w:color w:val="000000"/>
          <w:sz w:val="24"/>
        </w:rPr>
      </w:pPr>
      <w:r>
        <w:rPr>
          <w:rFonts w:hint="eastAsia" w:ascii="宋体" w:hAnsi="宋体" w:eastAsia="宋体" w:cs="宋体"/>
          <w:color w:val="000000"/>
          <w:sz w:val="24"/>
          <w:szCs w:val="20"/>
        </w:rPr>
        <w:t xml:space="preserve">3.有关本次招标的事项若存在变动或修改，敬请及时关注盐城市政府采购中心在“中国政府采购网”、“江苏政府采购网”、“盐城市政府采购网”发布的更正公告。</w:t>
      </w:r>
      <w:r/>
    </w:p>
    <w:p>
      <w:pPr>
        <w:ind w:firstLine="482"/>
        <w:jc w:val="left"/>
        <w:spacing w:line="560" w:lineRule="exact"/>
        <w:widowControl/>
        <w:rPr>
          <w:rFonts w:hint="eastAsia" w:ascii="宋体" w:hAnsi="宋体" w:cs="宋体"/>
          <w:sz w:val="24"/>
          <w:szCs w:val="20"/>
        </w:rPr>
        <w:outlineLvl w:val="2"/>
      </w:pPr>
      <w:r>
        <w:rPr>
          <w:rFonts w:hint="eastAsia" w:ascii="宋体" w:hAnsi="宋体" w:cs="宋体"/>
          <w:sz w:val="24"/>
          <w:szCs w:val="20"/>
        </w:rPr>
        <w:t xml:space="preserve">4.本次招标不收取投标保证金，不收取质量保证金。</w:t>
      </w:r>
      <w:r/>
    </w:p>
    <w:p>
      <w:pPr>
        <w:ind w:firstLine="480"/>
        <w:jc w:val="left"/>
        <w:spacing w:line="560" w:lineRule="exact"/>
        <w:widowControl/>
        <w:rPr>
          <w:rFonts w:ascii="宋体" w:hAnsi="Times New Roman" w:eastAsia="宋体" w:cs="宋体"/>
          <w:b/>
          <w:bCs/>
          <w:color w:val="000000"/>
          <w:sz w:val="24"/>
          <w:szCs w:val="20"/>
        </w:rPr>
      </w:pPr>
      <w:r>
        <w:rPr>
          <w:rFonts w:hint="eastAsia" w:ascii="宋体" w:hAnsi="Times New Roman" w:eastAsia="宋体" w:cs="宋体"/>
          <w:b/>
          <w:bCs/>
          <w:color w:val="000000"/>
          <w:sz w:val="24"/>
          <w:szCs w:val="20"/>
        </w:rPr>
        <w:t xml:space="preserve">七、对本次招标提出询问，请按以下方式联系。</w:t>
      </w:r>
      <w:bookmarkEnd w:id="24"/>
      <w:r/>
      <w:r/>
    </w:p>
    <w:p>
      <w:pPr>
        <w:pStyle w:val="721"/>
        <w:ind w:firstLine="560"/>
        <w:jc w:val="both"/>
        <w:spacing w:beforeAutospacing="0" w:afterAutospacing="0" w:line="560" w:lineRule="exact"/>
        <w:shd w:val="clear" w:color="auto" w:fill="ffffff"/>
        <w:widowControl/>
        <w:rPr>
          <w:rFonts w:hint="eastAsia" w:ascii="宋体" w:hAnsi="宋体" w:eastAsia="宋体" w:cs="宋体"/>
          <w:b/>
          <w:bCs/>
          <w:color w:val="333333"/>
          <w:shd w:val="clear" w:color="auto" w:fill="ffffff"/>
        </w:rPr>
      </w:pPr>
      <w:r/>
      <w:bookmarkStart w:id="25" w:name="_Toc28359009"/>
      <w:r>
        <w:rPr>
          <w:rFonts w:hint="eastAsia" w:ascii="宋体" w:hAnsi="宋体" w:eastAsia="宋体" w:cs="宋体"/>
          <w:b/>
          <w:bCs/>
          <w:color w:val="333333"/>
          <w:shd w:val="clear" w:color="auto" w:fill="ffffff"/>
        </w:rPr>
        <w:t xml:space="preserve">1.采购人信息</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名    称：盐城市第四人民医院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地    址：盐城市开放大道北路112号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联 系 人：万先生      </w:t>
      </w:r>
      <w:r/>
    </w:p>
    <w:p>
      <w:pPr>
        <w:ind w:firstLine="482"/>
        <w:jc w:val="left"/>
        <w:spacing w:line="560" w:lineRule="exact"/>
        <w:widowControl/>
        <w:rPr>
          <w:rFonts w:hint="eastAsia" w:ascii="宋体" w:hAnsi="宋体" w:eastAsia="宋体" w:cs="宋体"/>
          <w:color w:val="333333"/>
          <w:sz w:val="24"/>
          <w:shd w:val="clear" w:color="auto" w:fill="ffffff"/>
        </w:rPr>
      </w:pPr>
      <w:r>
        <w:rPr>
          <w:rFonts w:hint="eastAsia" w:ascii="宋体" w:hAnsi="宋体" w:eastAsia="宋体" w:cs="宋体"/>
          <w:color w:val="000000"/>
          <w:sz w:val="24"/>
          <w:szCs w:val="20"/>
        </w:rPr>
        <w:t xml:space="preserve">联系方式：0515-68668917  </w:t>
      </w:r>
      <w:r>
        <w:rPr>
          <w:rFonts w:hint="eastAsia" w:ascii="宋体" w:hAnsi="宋体" w:eastAsia="宋体" w:cs="宋体"/>
          <w:color w:val="333333"/>
          <w:sz w:val="24"/>
          <w:shd w:val="clear" w:color="auto" w:fill="ffffff"/>
        </w:rPr>
        <w:t xml:space="preserve">    </w:t>
      </w:r>
      <w:r/>
    </w:p>
    <w:p>
      <w:pPr>
        <w:pStyle w:val="721"/>
        <w:ind w:firstLine="560"/>
        <w:jc w:val="both"/>
        <w:spacing w:beforeAutospacing="0" w:afterAutospacing="0" w:line="560" w:lineRule="exact"/>
        <w:shd w:val="clear" w:color="auto" w:fill="ffffff"/>
        <w:widowControl/>
        <w:rPr>
          <w:rFonts w:hint="eastAsia" w:ascii="宋体" w:hAnsi="宋体" w:eastAsia="宋体" w:cs="宋体"/>
          <w:b/>
          <w:bCs/>
          <w:color w:val="333333"/>
          <w:shd w:val="clear" w:color="auto" w:fill="ffffff"/>
        </w:rPr>
      </w:pPr>
      <w:r>
        <w:rPr>
          <w:rFonts w:hint="eastAsia" w:ascii="宋体" w:hAnsi="宋体" w:eastAsia="宋体" w:cs="宋体"/>
          <w:b/>
          <w:bCs/>
          <w:color w:val="333333"/>
          <w:shd w:val="clear" w:color="auto" w:fill="ffffff"/>
        </w:rPr>
        <w:t xml:space="preserve">2.采购代理机构信息</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名    称：盐城市政府采购中心</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地    址：盐城市府西路1号市公共资源交易中心5楼</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联 系 人：顾女士</w:t>
      </w:r>
      <w:r>
        <w:rPr>
          <w:rFonts w:hint="eastAsia" w:ascii="宋体" w:hAnsi="宋体" w:eastAsia="宋体" w:cs="宋体"/>
          <w:color w:val="000000"/>
          <w:sz w:val="24"/>
          <w:szCs w:val="20"/>
        </w:rPr>
        <w:tab/>
      </w:r>
      <w:r>
        <w:rPr>
          <w:rFonts w:hint="eastAsia" w:ascii="宋体" w:hAnsi="宋体" w:eastAsia="宋体" w:cs="宋体"/>
          <w:color w:val="000000"/>
          <w:sz w:val="24"/>
          <w:szCs w:val="20"/>
        </w:rPr>
        <w:t xml:space="preserve">                    </w:t>
      </w:r>
      <w:r/>
    </w:p>
    <w:p>
      <w:pPr>
        <w:ind w:firstLine="482"/>
        <w:jc w:val="left"/>
        <w:spacing w:line="560" w:lineRule="exact"/>
        <w:widowControl/>
        <w:rPr>
          <w:rFonts w:hint="eastAsia" w:ascii="宋体" w:hAnsi="宋体" w:eastAsia="宋体" w:cs="宋体"/>
          <w:color w:val="333333"/>
          <w:sz w:val="24"/>
          <w:shd w:val="clear" w:color="auto" w:fill="ffffff"/>
        </w:rPr>
      </w:pPr>
      <w:r>
        <w:rPr>
          <w:rFonts w:hint="eastAsia" w:ascii="宋体" w:hAnsi="宋体" w:eastAsia="宋体" w:cs="宋体"/>
          <w:color w:val="000000"/>
          <w:sz w:val="24"/>
          <w:szCs w:val="20"/>
        </w:rPr>
        <w:t xml:space="preserve">联系方式：</w:t>
      </w:r>
      <w:bookmarkStart w:id="26" w:name="_Toc28359010"/>
      <w:r/>
      <w:bookmarkStart w:id="27" w:name="_Toc28359087"/>
      <w:r>
        <w:rPr>
          <w:rFonts w:hint="eastAsia" w:ascii="宋体" w:hAnsi="宋体" w:eastAsia="宋体" w:cs="宋体"/>
          <w:color w:val="000000"/>
          <w:sz w:val="24"/>
          <w:szCs w:val="20"/>
        </w:rPr>
        <w:t xml:space="preserve">0515-86665092 </w:t>
      </w:r>
      <w:r>
        <w:rPr>
          <w:rFonts w:hint="eastAsia" w:ascii="宋体" w:hAnsi="宋体" w:eastAsia="宋体" w:cs="宋体"/>
          <w:color w:val="333333"/>
          <w:sz w:val="24"/>
          <w:shd w:val="clear" w:color="auto" w:fill="ffffff"/>
        </w:rPr>
        <w:t xml:space="preserve">    </w:t>
      </w:r>
      <w:bookmarkEnd w:id="26"/>
      <w:r/>
      <w:bookmarkEnd w:id="27"/>
      <w:r>
        <w:rPr>
          <w:rFonts w:hint="eastAsia" w:ascii="宋体" w:hAnsi="宋体" w:eastAsia="宋体" w:cs="宋体"/>
          <w:color w:val="333333"/>
          <w:sz w:val="24"/>
          <w:shd w:val="clear" w:color="auto" w:fill="ffffff"/>
        </w:rPr>
        <w:t xml:space="preserve">            </w:t>
      </w:r>
      <w:r/>
    </w:p>
    <w:p>
      <w:pPr>
        <w:pStyle w:val="721"/>
        <w:ind w:firstLine="560"/>
        <w:jc w:val="both"/>
        <w:spacing w:beforeAutospacing="0" w:afterAutospacing="0" w:line="560" w:lineRule="exact"/>
        <w:shd w:val="clear" w:color="auto" w:fill="ffffff"/>
        <w:widowControl/>
        <w:rPr>
          <w:rFonts w:hint="eastAsia" w:ascii="宋体" w:hAnsi="宋体" w:eastAsia="宋体" w:cs="宋体"/>
          <w:b/>
          <w:bCs/>
          <w:color w:val="333333"/>
          <w:shd w:val="clear" w:color="auto" w:fill="ffffff"/>
        </w:rPr>
      </w:pPr>
      <w:r/>
      <w:bookmarkStart w:id="28" w:name="_Toc28359021"/>
      <w:r>
        <w:rPr>
          <w:rFonts w:hint="eastAsia" w:ascii="宋体" w:hAnsi="宋体" w:eastAsia="宋体" w:cs="宋体"/>
          <w:b/>
          <w:bCs/>
          <w:color w:val="333333"/>
          <w:shd w:val="clear" w:color="auto" w:fill="ffffff"/>
        </w:rPr>
        <w:t xml:space="preserve">3.</w:t>
      </w:r>
      <w:bookmarkEnd w:id="28"/>
      <w:r>
        <w:rPr>
          <w:rFonts w:hint="eastAsia" w:ascii="宋体" w:hAnsi="宋体" w:eastAsia="宋体" w:cs="宋体"/>
          <w:b/>
          <w:bCs/>
          <w:color w:val="333333"/>
          <w:shd w:val="clear" w:color="auto" w:fill="ffffff"/>
        </w:rPr>
        <w:t xml:space="preserve">项目联系方式</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联 系 人：顾女士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联系方式：0515-86665092 </w:t>
      </w:r>
      <w:r>
        <w:rPr>
          <w:rFonts w:hint="eastAsia" w:ascii="宋体" w:hAnsi="宋体" w:eastAsia="宋体" w:cs="宋体"/>
          <w:color w:val="333333"/>
          <w:sz w:val="24"/>
          <w:shd w:val="clear" w:color="auto" w:fill="ffffff"/>
        </w:rPr>
        <w:t xml:space="preserve">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br w:type="page" w:clear="all"/>
      </w:r>
      <w:r/>
    </w:p>
    <w:p>
      <w:pPr>
        <w:pStyle w:val="721"/>
        <w:jc w:val="center"/>
        <w:keepLines/>
        <w:keepNext/>
        <w:spacing w:before="260" w:beforeAutospacing="0" w:after="260" w:afterAutospacing="0" w:line="560" w:lineRule="exact"/>
        <w:rPr>
          <w:bCs/>
        </w:rPr>
      </w:pPr>
      <w:r/>
      <w:bookmarkStart w:id="29" w:name="_Toc120614211"/>
      <w:r>
        <w:rPr>
          <w:rFonts w:hint="eastAsia" w:ascii="黑体" w:hAnsi="宋体" w:eastAsia="黑体" w:cs="黑体"/>
          <w:bCs/>
          <w:color w:val="000000"/>
          <w:sz w:val="44"/>
          <w:szCs w:val="44"/>
        </w:rPr>
        <w:t xml:space="preserve">第二章 </w:t>
      </w:r>
      <w:bookmarkEnd w:id="29"/>
      <w:r/>
      <w:bookmarkStart w:id="30" w:name="_Toc120614213"/>
      <w:r/>
      <w:bookmarkStart w:id="31" w:name="_Toc513029202"/>
      <w:r/>
      <w:bookmarkStart w:id="32" w:name="_Toc16938518"/>
      <w:r/>
      <w:bookmarkStart w:id="33" w:name="_Toc20823274"/>
      <w:r>
        <w:rPr>
          <w:rFonts w:hint="eastAsia" w:ascii="黑体" w:hAnsi="宋体" w:eastAsia="黑体" w:cs="黑体"/>
          <w:bCs/>
          <w:color w:val="000000"/>
          <w:sz w:val="44"/>
          <w:szCs w:val="44"/>
        </w:rPr>
        <w:t xml:space="preserve">投标人须知</w:t>
      </w:r>
      <w:bookmarkEnd w:id="30"/>
      <w:r/>
      <w:bookmarkEnd w:id="31"/>
      <w:r/>
      <w:bookmarkEnd w:id="32"/>
      <w:r/>
      <w:bookmarkEnd w:id="33"/>
      <w:r/>
      <w:r/>
    </w:p>
    <w:p>
      <w:pPr>
        <w:ind w:firstLine="480"/>
        <w:jc w:val="left"/>
        <w:spacing w:line="560" w:lineRule="exact"/>
        <w:widowControl/>
        <w:rPr>
          <w:rFonts w:ascii="宋体" w:hAnsi="Times New Roman" w:eastAsia="Arial" w:cs="宋体"/>
          <w:b/>
          <w:bCs/>
          <w:color w:val="000000"/>
          <w:sz w:val="24"/>
          <w:szCs w:val="20"/>
          <w:lang w:val="zh-CN"/>
        </w:rPr>
      </w:pPr>
      <w:r/>
      <w:bookmarkStart w:id="34" w:name="_Toc120614214"/>
      <w:r/>
      <w:bookmarkStart w:id="35" w:name="_Toc20823275"/>
      <w:r/>
      <w:bookmarkStart w:id="36" w:name="_Toc513029203"/>
      <w:r/>
      <w:bookmarkStart w:id="37" w:name="_Toc16938519"/>
      <w:r>
        <w:rPr>
          <w:rFonts w:hint="eastAsia" w:ascii="宋体" w:hAnsi="Times New Roman" w:eastAsia="Arial" w:cs="宋体"/>
          <w:b/>
          <w:bCs/>
          <w:color w:val="000000"/>
          <w:sz w:val="24"/>
          <w:szCs w:val="20"/>
          <w:lang w:val="zh-CN"/>
        </w:rPr>
        <w:t xml:space="preserve">一、总则</w:t>
      </w:r>
      <w:bookmarkEnd w:id="34"/>
      <w:r/>
      <w:bookmarkEnd w:id="35"/>
      <w:r/>
      <w:bookmarkEnd w:id="36"/>
      <w:r/>
      <w:bookmarkEnd w:id="37"/>
      <w:r/>
      <w:r/>
    </w:p>
    <w:p>
      <w:pPr>
        <w:ind w:firstLine="480"/>
        <w:jc w:val="left"/>
        <w:spacing w:line="560" w:lineRule="exact"/>
        <w:widowControl/>
        <w:rPr>
          <w:rFonts w:ascii="宋体" w:hAnsi="Times New Roman" w:eastAsia="宋体" w:cs="宋体"/>
          <w:b/>
          <w:bCs/>
          <w:color w:val="000000"/>
          <w:sz w:val="24"/>
          <w:szCs w:val="20"/>
        </w:rPr>
      </w:pPr>
      <w:r/>
      <w:bookmarkStart w:id="38" w:name="_Toc16938520"/>
      <w:r/>
      <w:bookmarkStart w:id="39" w:name="_Toc20823276"/>
      <w:r/>
      <w:bookmarkStart w:id="40" w:name="_Toc458694821"/>
      <w:r/>
      <w:bookmarkStart w:id="41" w:name="_Toc513029204"/>
      <w:r/>
      <w:bookmarkStart w:id="42" w:name="_Hlt16619475"/>
      <w:r>
        <w:rPr>
          <w:rFonts w:hint="eastAsia" w:ascii="宋体" w:hAnsi="Times New Roman" w:eastAsia="宋体" w:cs="宋体"/>
          <w:b/>
          <w:bCs/>
          <w:color w:val="000000"/>
          <w:sz w:val="24"/>
          <w:szCs w:val="20"/>
        </w:rPr>
        <w:t xml:space="preserve">1</w:t>
      </w:r>
      <w:bookmarkEnd w:id="38"/>
      <w:r>
        <w:rPr>
          <w:rFonts w:hint="eastAsia" w:ascii="宋体" w:hAnsi="Times New Roman" w:eastAsia="宋体" w:cs="宋体"/>
          <w:b/>
          <w:bCs/>
          <w:color w:val="000000"/>
          <w:sz w:val="24"/>
          <w:szCs w:val="20"/>
        </w:rPr>
        <w:t xml:space="preserve">、招标方式</w:t>
      </w:r>
      <w:bookmarkEnd w:id="39"/>
      <w:r/>
      <w:bookmarkEnd w:id="40"/>
      <w:r/>
      <w:bookmarkEnd w:id="41"/>
      <w:r/>
      <w:r/>
    </w:p>
    <w:p>
      <w:pPr>
        <w:ind w:firstLine="482"/>
        <w:jc w:val="left"/>
        <w:spacing w:line="560" w:lineRule="exact"/>
        <w:widowControl/>
        <w:rPr>
          <w:rFonts w:ascii="宋体" w:hAnsi="Times New Roman" w:eastAsia="Arial" w:cs="宋体"/>
          <w:color w:val="000000"/>
          <w:sz w:val="24"/>
          <w:szCs w:val="20"/>
        </w:rPr>
      </w:pPr>
      <w:r>
        <w:rPr>
          <w:rFonts w:hint="eastAsia" w:ascii="宋体" w:hAnsi="Times New Roman" w:eastAsia="Arial" w:cs="宋体"/>
          <w:color w:val="000000"/>
          <w:sz w:val="24"/>
          <w:szCs w:val="20"/>
        </w:rPr>
        <w:t xml:space="preserve">1.1本次招标采取公开招标方式，本招标文件仅适用于招标公告中所述项目。</w:t>
      </w:r>
      <w:r/>
    </w:p>
    <w:p>
      <w:pPr>
        <w:ind w:firstLine="480"/>
        <w:jc w:val="left"/>
        <w:spacing w:line="560" w:lineRule="exact"/>
        <w:widowControl/>
        <w:rPr>
          <w:rFonts w:ascii="宋体" w:hAnsi="Times New Roman" w:eastAsia="宋体" w:cs="宋体"/>
          <w:b/>
          <w:bCs/>
          <w:color w:val="000000"/>
          <w:sz w:val="24"/>
          <w:szCs w:val="20"/>
        </w:rPr>
      </w:pPr>
      <w:r/>
      <w:bookmarkStart w:id="43" w:name="_Toc20823277"/>
      <w:r/>
      <w:bookmarkStart w:id="44" w:name="_Toc513029205"/>
      <w:r/>
      <w:bookmarkStart w:id="45" w:name="_Toc16938521"/>
      <w:r>
        <w:rPr>
          <w:rFonts w:hint="eastAsia" w:ascii="宋体" w:hAnsi="Times New Roman" w:eastAsia="宋体" w:cs="宋体"/>
          <w:b/>
          <w:bCs/>
          <w:color w:val="000000"/>
          <w:sz w:val="24"/>
          <w:szCs w:val="20"/>
        </w:rPr>
        <w:t xml:space="preserve">2、合格的投标人</w:t>
      </w:r>
      <w:bookmarkEnd w:id="43"/>
      <w:r/>
      <w:bookmarkEnd w:id="44"/>
      <w:r/>
      <w:bookmarkEnd w:id="45"/>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2.1满足招标公告中供应商的资格要求的规定。</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2.2满足本文件实质性要求和条件的规定。</w:t>
      </w:r>
      <w:r/>
    </w:p>
    <w:p>
      <w:pPr>
        <w:ind w:firstLine="480"/>
        <w:jc w:val="left"/>
        <w:spacing w:line="560" w:lineRule="exact"/>
        <w:widowControl/>
        <w:rPr>
          <w:rFonts w:ascii="宋体" w:hAnsi="Times New Roman" w:eastAsia="宋体" w:cs="宋体"/>
          <w:b/>
          <w:bCs/>
          <w:color w:val="000000"/>
          <w:sz w:val="24"/>
          <w:szCs w:val="20"/>
        </w:rPr>
      </w:pPr>
      <w:r/>
      <w:bookmarkStart w:id="46" w:name="_Toc20823278"/>
      <w:r/>
      <w:bookmarkStart w:id="47" w:name="_Toc513029206"/>
      <w:r/>
      <w:bookmarkStart w:id="48" w:name="_Toc16938522"/>
      <w:r/>
      <w:bookmarkStart w:id="49" w:name="_Toc462564067"/>
      <w:r/>
      <w:bookmarkStart w:id="50" w:name="_Toc16938523"/>
      <w:r/>
      <w:bookmarkStart w:id="51" w:name="_Toc513029207"/>
      <w:r/>
      <w:bookmarkStart w:id="52" w:name="_Toc20823279"/>
      <w:r>
        <w:rPr>
          <w:rFonts w:hint="eastAsia" w:ascii="宋体" w:hAnsi="Times New Roman" w:eastAsia="宋体" w:cs="宋体"/>
          <w:b/>
          <w:bCs/>
          <w:color w:val="000000"/>
          <w:sz w:val="24"/>
          <w:szCs w:val="20"/>
        </w:rPr>
        <w:t xml:space="preserve">3、适用法律</w:t>
      </w:r>
      <w:bookmarkEnd w:id="46"/>
      <w:r/>
      <w:bookmarkEnd w:id="47"/>
      <w:r/>
      <w:bookmarkEnd w:id="48"/>
      <w:r>
        <w:rPr>
          <w:rFonts w:hint="eastAsia" w:ascii="宋体" w:hAnsi="Times New Roman" w:eastAsia="宋体" w:cs="宋体"/>
          <w:b/>
          <w:bCs/>
          <w:color w:val="000000"/>
          <w:sz w:val="24"/>
          <w:szCs w:val="20"/>
        </w:rPr>
        <w:t xml:space="preserve">和标准</w:t>
      </w:r>
      <w:r/>
    </w:p>
    <w:p>
      <w:pPr>
        <w:pStyle w:val="721"/>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3.1本次招标及由此产生的合同受中华人民共和国有关的法律法规制约和保护。</w:t>
      </w:r>
      <w:r/>
    </w:p>
    <w:p>
      <w:pPr>
        <w:pStyle w:val="721"/>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3.2 在本项目政府采购活动过程中，如果所执行的标准有更新的，按照最新标准执行。</w:t>
      </w:r>
      <w:r/>
    </w:p>
    <w:p>
      <w:pPr>
        <w:ind w:firstLine="480"/>
        <w:jc w:val="left"/>
        <w:spacing w:line="560" w:lineRule="exact"/>
        <w:widowControl/>
        <w:rPr>
          <w:rFonts w:ascii="宋体" w:hAnsi="Times New Roman" w:eastAsia="宋体" w:cs="宋体"/>
          <w:b/>
          <w:bCs/>
          <w:color w:val="000000"/>
          <w:sz w:val="24"/>
          <w:szCs w:val="20"/>
        </w:rPr>
      </w:pPr>
      <w:r>
        <w:rPr>
          <w:rFonts w:hint="eastAsia" w:ascii="宋体" w:hAnsi="Times New Roman" w:eastAsia="宋体" w:cs="宋体"/>
          <w:b/>
          <w:bCs/>
          <w:color w:val="000000"/>
          <w:sz w:val="24"/>
          <w:szCs w:val="20"/>
        </w:rPr>
        <w:t xml:space="preserve">4、投标费用</w:t>
      </w:r>
      <w:bookmarkEnd w:id="49"/>
      <w:r/>
      <w:bookmarkEnd w:id="50"/>
      <w:r/>
      <w:bookmarkEnd w:id="51"/>
      <w:r/>
      <w:bookmarkEnd w:id="52"/>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4.1投标人应自行承担所有与参加投标有关的费用，无论投标过程中的做法和结果如何，盐城市政府采购中心（以下简称采购中心）在任何情况下均无义务和责任承担这些费用。</w:t>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4.2本次招标采购中心和采购人不收取标书工本费与中标服务费。</w:t>
      </w:r>
      <w:r/>
    </w:p>
    <w:p>
      <w:pPr>
        <w:ind w:firstLine="480"/>
        <w:jc w:val="left"/>
        <w:spacing w:line="560" w:lineRule="exact"/>
        <w:widowControl/>
        <w:rPr>
          <w:rFonts w:ascii="宋体" w:hAnsi="Times New Roman" w:eastAsia="宋体" w:cs="宋体"/>
          <w:b/>
          <w:bCs/>
          <w:color w:val="000000"/>
          <w:sz w:val="24"/>
          <w:szCs w:val="20"/>
        </w:rPr>
      </w:pPr>
      <w:r>
        <w:rPr>
          <w:rFonts w:hint="eastAsia" w:ascii="宋体" w:hAnsi="Times New Roman" w:eastAsia="宋体" w:cs="宋体"/>
          <w:b/>
          <w:bCs/>
          <w:color w:val="000000"/>
          <w:sz w:val="24"/>
          <w:szCs w:val="20"/>
        </w:rPr>
        <w:t xml:space="preserve">5、招标文件的约束力</w:t>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5.1投标人一旦参加本项目采购活动，即被认为接受了本招标文件的规定和约束。</w:t>
      </w:r>
      <w:r/>
    </w:p>
    <w:p>
      <w:pPr>
        <w:ind w:firstLine="480"/>
        <w:jc w:val="left"/>
        <w:spacing w:line="560" w:lineRule="exact"/>
        <w:widowControl/>
        <w:rPr>
          <w:rFonts w:ascii="宋体" w:hAnsi="Times New Roman" w:eastAsia="Arial" w:cs="宋体"/>
          <w:b/>
          <w:bCs/>
          <w:color w:val="000000"/>
          <w:sz w:val="24"/>
          <w:szCs w:val="20"/>
          <w:lang w:val="zh-CN"/>
        </w:rPr>
      </w:pPr>
      <w:r/>
      <w:bookmarkStart w:id="53" w:name="_Toc20823281"/>
      <w:r/>
      <w:bookmarkStart w:id="54" w:name="_Toc120614215"/>
      <w:r/>
      <w:bookmarkStart w:id="55" w:name="_Toc16938525"/>
      <w:r/>
      <w:bookmarkStart w:id="56" w:name="_Toc513029209"/>
      <w:r>
        <w:rPr>
          <w:rFonts w:hint="eastAsia" w:ascii="宋体" w:hAnsi="Times New Roman" w:eastAsia="Arial" w:cs="宋体"/>
          <w:b/>
          <w:bCs/>
          <w:color w:val="000000"/>
          <w:sz w:val="24"/>
          <w:szCs w:val="20"/>
          <w:lang w:val="zh-CN"/>
        </w:rPr>
        <w:t xml:space="preserve">二、招标文件</w:t>
      </w:r>
      <w:bookmarkEnd w:id="53"/>
      <w:r/>
      <w:bookmarkEnd w:id="54"/>
      <w:r/>
      <w:bookmarkEnd w:id="55"/>
      <w:r/>
      <w:bookmarkEnd w:id="56"/>
      <w:r/>
      <w:r/>
    </w:p>
    <w:p>
      <w:pPr>
        <w:ind w:firstLine="480"/>
        <w:jc w:val="left"/>
        <w:spacing w:line="560" w:lineRule="exact"/>
        <w:widowControl/>
        <w:rPr>
          <w:rFonts w:ascii="宋体" w:hAnsi="Times New Roman" w:eastAsia="宋体" w:cs="宋体"/>
          <w:b/>
          <w:bCs/>
          <w:color w:val="000000"/>
          <w:sz w:val="24"/>
          <w:szCs w:val="20"/>
        </w:rPr>
      </w:pPr>
      <w:r/>
      <w:bookmarkStart w:id="57" w:name="_Toc20823282"/>
      <w:r/>
      <w:bookmarkStart w:id="58" w:name="_Toc513029210"/>
      <w:r/>
      <w:bookmarkStart w:id="59" w:name="_Toc16938526"/>
      <w:r>
        <w:rPr>
          <w:rFonts w:hint="eastAsia" w:ascii="宋体" w:hAnsi="Times New Roman" w:eastAsia="宋体" w:cs="宋体"/>
          <w:b/>
          <w:bCs/>
          <w:color w:val="000000"/>
          <w:sz w:val="24"/>
          <w:szCs w:val="20"/>
        </w:rPr>
        <w:t xml:space="preserve">6、招标文件构成</w:t>
      </w:r>
      <w:bookmarkEnd w:id="57"/>
      <w:r/>
      <w:bookmarkEnd w:id="58"/>
      <w:r/>
      <w:bookmarkEnd w:id="59"/>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6.1 招标文件由以下部分组成：</w:t>
      </w:r>
      <w:r/>
    </w:p>
    <w:p>
      <w:pPr>
        <w:pStyle w:val="721"/>
        <w:ind w:firstLine="36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（1）招标公告</w:t>
      </w:r>
      <w:r/>
    </w:p>
    <w:p>
      <w:pPr>
        <w:pStyle w:val="721"/>
        <w:ind w:firstLine="36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（2）投标人须知</w:t>
      </w:r>
      <w:r/>
    </w:p>
    <w:p>
      <w:pPr>
        <w:pStyle w:val="721"/>
        <w:ind w:firstLine="36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（3）合同文本</w:t>
      </w:r>
      <w:r/>
    </w:p>
    <w:p>
      <w:pPr>
        <w:pStyle w:val="721"/>
        <w:ind w:firstLine="36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（4）采购需求</w:t>
      </w:r>
      <w:r/>
    </w:p>
    <w:p>
      <w:pPr>
        <w:pStyle w:val="721"/>
        <w:ind w:firstLine="36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（5）评标方法与评标标准</w:t>
      </w:r>
      <w:r/>
    </w:p>
    <w:p>
      <w:pPr>
        <w:pStyle w:val="721"/>
        <w:ind w:firstLine="36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（6）投标文件格式</w:t>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请仔细检查招标文件是否齐全，如有缺漏请立即与采购中心联系解决。</w:t>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spacing w:line="560" w:lineRule="exact"/>
        <w:widowControl/>
        <w:rPr>
          <w:rFonts w:ascii="宋体" w:hAnsi="Times New Roman" w:eastAsia="宋体" w:cs="宋体"/>
          <w:b/>
          <w:bCs/>
          <w:color w:val="000000"/>
          <w:sz w:val="24"/>
          <w:szCs w:val="20"/>
        </w:rPr>
      </w:pPr>
      <w:r/>
      <w:bookmarkStart w:id="60" w:name="_Toc20823283"/>
      <w:r/>
      <w:bookmarkStart w:id="61" w:name="_Toc513029211"/>
      <w:r/>
      <w:bookmarkStart w:id="62" w:name="_Toc16938527"/>
      <w:r/>
      <w:bookmarkStart w:id="63" w:name="_Toc462564070"/>
      <w:r>
        <w:rPr>
          <w:rFonts w:hint="eastAsia" w:ascii="宋体" w:hAnsi="Times New Roman" w:eastAsia="宋体" w:cs="宋体"/>
          <w:b/>
          <w:bCs/>
          <w:color w:val="000000"/>
          <w:sz w:val="24"/>
          <w:szCs w:val="20"/>
        </w:rPr>
        <w:t xml:space="preserve">7、招标文件的澄清</w:t>
      </w:r>
      <w:bookmarkEnd w:id="60"/>
      <w:r/>
      <w:bookmarkEnd w:id="61"/>
      <w:r/>
      <w:bookmarkEnd w:id="62"/>
      <w:r/>
      <w:bookmarkEnd w:id="63"/>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7.1任何要求对招标文件进行澄清的投标人，应在投标截止期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前按招标公告中的通讯地址，以书面形式通知采购中心。</w:t>
      </w:r>
      <w:r/>
    </w:p>
    <w:p>
      <w:pPr>
        <w:ind w:firstLine="480"/>
        <w:jc w:val="left"/>
        <w:spacing w:line="560" w:lineRule="exact"/>
        <w:widowControl/>
        <w:rPr>
          <w:rFonts w:ascii="宋体" w:hAnsi="Times New Roman" w:eastAsia="宋体" w:cs="宋体"/>
          <w:b/>
          <w:bCs/>
          <w:color w:val="000000"/>
          <w:sz w:val="24"/>
          <w:szCs w:val="20"/>
        </w:rPr>
      </w:pPr>
      <w:r/>
      <w:bookmarkStart w:id="64" w:name="_Toc20823284"/>
      <w:r/>
      <w:bookmarkStart w:id="65" w:name="_Toc16938528"/>
      <w:r/>
      <w:bookmarkStart w:id="66" w:name="_Toc462564071"/>
      <w:r/>
      <w:bookmarkStart w:id="67" w:name="_Toc513029212"/>
      <w:r>
        <w:rPr>
          <w:rFonts w:hint="eastAsia" w:ascii="宋体" w:hAnsi="Times New Roman" w:eastAsia="宋体" w:cs="宋体"/>
          <w:b/>
          <w:bCs/>
          <w:color w:val="000000"/>
          <w:sz w:val="24"/>
          <w:szCs w:val="20"/>
        </w:rPr>
        <w:t xml:space="preserve">8、招标文件的修改</w:t>
      </w:r>
      <w:bookmarkEnd w:id="64"/>
      <w:r/>
      <w:bookmarkEnd w:id="65"/>
      <w:r/>
      <w:bookmarkEnd w:id="66"/>
      <w:r/>
      <w:bookmarkEnd w:id="67"/>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8.1在投标截止时间前，采购中心可以对招标文件进行修改。</w:t>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8.2采购中心有权按照法定的要求推迟投标截止日期和开标日期。</w:t>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8.3招标文件的修改将在“中国政府采购网”、“江苏政府采购网”、“盐城市政府采购网”公布，补充文件将作为招标文件的组成部分，并对投标人具有约束力。</w:t>
      </w:r>
      <w:r/>
    </w:p>
    <w:p>
      <w:pPr>
        <w:ind w:firstLine="480"/>
        <w:jc w:val="left"/>
        <w:spacing w:line="560" w:lineRule="exact"/>
        <w:widowControl/>
        <w:rPr>
          <w:rFonts w:ascii="宋体" w:hAnsi="Times New Roman" w:eastAsia="Arial" w:cs="宋体"/>
          <w:b/>
          <w:bCs/>
          <w:color w:val="000000"/>
          <w:sz w:val="24"/>
          <w:szCs w:val="20"/>
          <w:lang w:val="zh-CN"/>
        </w:rPr>
      </w:pPr>
      <w:r/>
      <w:bookmarkStart w:id="68" w:name="_Toc16938529"/>
      <w:r/>
      <w:bookmarkStart w:id="69" w:name="_Toc513029213"/>
      <w:r/>
      <w:bookmarkStart w:id="70" w:name="_Toc120614216"/>
      <w:r/>
      <w:bookmarkStart w:id="71" w:name="_Toc20823285"/>
      <w:r/>
      <w:bookmarkStart w:id="72" w:name="_Toc462564072"/>
      <w:r>
        <w:rPr>
          <w:rFonts w:hint="eastAsia" w:ascii="宋体" w:hAnsi="Times New Roman" w:eastAsia="Arial" w:cs="宋体"/>
          <w:b/>
          <w:bCs/>
          <w:color w:val="000000"/>
          <w:sz w:val="24"/>
          <w:szCs w:val="20"/>
          <w:lang w:val="zh-CN"/>
        </w:rPr>
        <w:t xml:space="preserve">三、投标文件的编制</w:t>
      </w:r>
      <w:bookmarkEnd w:id="68"/>
      <w:r/>
      <w:bookmarkEnd w:id="69"/>
      <w:r/>
      <w:bookmarkEnd w:id="70"/>
      <w:r/>
      <w:bookmarkEnd w:id="71"/>
      <w:r/>
      <w:bookmarkEnd w:id="72"/>
      <w:r/>
      <w:r/>
    </w:p>
    <w:p>
      <w:pPr>
        <w:ind w:firstLine="480"/>
        <w:jc w:val="left"/>
        <w:spacing w:line="560" w:lineRule="exact"/>
        <w:widowControl/>
        <w:rPr>
          <w:rFonts w:ascii="宋体" w:hAnsi="Times New Roman" w:eastAsia="宋体" w:cs="宋体"/>
          <w:b/>
          <w:bCs/>
          <w:color w:val="000000"/>
          <w:sz w:val="24"/>
          <w:szCs w:val="20"/>
        </w:rPr>
      </w:pPr>
      <w:r/>
      <w:bookmarkStart w:id="73" w:name="_Toc513029214"/>
      <w:r/>
      <w:bookmarkStart w:id="74" w:name="_Toc462564073"/>
      <w:r/>
      <w:bookmarkStart w:id="75" w:name="_Toc16938530"/>
      <w:r/>
      <w:bookmarkStart w:id="76" w:name="_Toc20823286"/>
      <w:r>
        <w:rPr>
          <w:rFonts w:hint="eastAsia" w:ascii="宋体" w:hAnsi="Times New Roman" w:eastAsia="宋体" w:cs="宋体"/>
          <w:b/>
          <w:bCs/>
          <w:color w:val="000000"/>
          <w:sz w:val="24"/>
          <w:szCs w:val="20"/>
        </w:rPr>
        <w:t xml:space="preserve">9、投标文件的语言及度量衡单位</w:t>
      </w:r>
      <w:bookmarkEnd w:id="73"/>
      <w:r/>
      <w:bookmarkEnd w:id="74"/>
      <w:r/>
      <w:bookmarkEnd w:id="75"/>
      <w:r/>
      <w:bookmarkEnd w:id="76"/>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9.1投标人提交的投标文件以及投标人与采购中心就有关投标的所有来往通知、函件和文件均应使用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9.2除技术性能另有规定外，投标文件所使用的度量衡单位，均须采用国家法定计量单位。</w:t>
      </w:r>
      <w:r/>
    </w:p>
    <w:p>
      <w:pPr>
        <w:ind w:firstLine="480"/>
        <w:jc w:val="left"/>
        <w:spacing w:line="560" w:lineRule="exact"/>
        <w:widowControl/>
        <w:rPr>
          <w:rFonts w:ascii="宋体" w:hAnsi="Times New Roman" w:eastAsia="宋体" w:cs="宋体"/>
          <w:b/>
          <w:bCs/>
          <w:color w:val="000000"/>
          <w:sz w:val="24"/>
          <w:szCs w:val="20"/>
        </w:rPr>
      </w:pPr>
      <w:r/>
      <w:bookmarkStart w:id="77" w:name="_Toc20823287"/>
      <w:r/>
      <w:bookmarkStart w:id="78" w:name="_Toc513029215"/>
      <w:r/>
      <w:bookmarkStart w:id="79" w:name="_Toc16938531"/>
      <w:r/>
      <w:bookmarkStart w:id="80" w:name="_Toc462564074"/>
      <w:r>
        <w:rPr>
          <w:rFonts w:hint="eastAsia" w:ascii="宋体" w:hAnsi="Times New Roman" w:eastAsia="宋体" w:cs="宋体"/>
          <w:b/>
          <w:bCs/>
          <w:color w:val="000000"/>
          <w:sz w:val="24"/>
          <w:szCs w:val="20"/>
        </w:rPr>
        <w:t xml:space="preserve">10、投标文件构成</w:t>
      </w:r>
      <w:bookmarkEnd w:id="77"/>
      <w:r/>
      <w:bookmarkEnd w:id="78"/>
      <w:r/>
      <w:bookmarkEnd w:id="79"/>
      <w:r/>
      <w:bookmarkEnd w:id="80"/>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10.1投标人编写的投标文件应包括资格证明文件、符合性证明文件、投标分项报价表、技术要求响应及偏离表、商务要求响应及偏离表、其他证明文件、投标函、开标一览表等部分。</w:t>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jc w:val="left"/>
        <w:spacing w:line="560" w:lineRule="exact"/>
        <w:widowControl/>
        <w:rPr>
          <w:rFonts w:ascii="宋体" w:hAnsi="Times New Roman" w:eastAsia="宋体" w:cs="宋体"/>
          <w:b/>
          <w:bCs/>
          <w:color w:val="000000"/>
          <w:sz w:val="24"/>
          <w:szCs w:val="20"/>
        </w:rPr>
      </w:pPr>
      <w:r/>
      <w:bookmarkStart w:id="81" w:name="_Toc513029219"/>
      <w:r/>
      <w:bookmarkStart w:id="82" w:name="_Toc49090509"/>
      <w:r/>
      <w:bookmarkStart w:id="83" w:name="_Toc14577357"/>
      <w:r/>
      <w:bookmarkStart w:id="84" w:name="_Toc513029216"/>
      <w:r/>
      <w:bookmarkStart w:id="85" w:name="_Toc14577354"/>
      <w:r/>
      <w:bookmarkStart w:id="86" w:name="_Toc49090507"/>
      <w:r/>
      <w:bookmarkStart w:id="87" w:name="_Hlt26954838"/>
      <w:r/>
      <w:bookmarkStart w:id="88" w:name="_Hlt26668975"/>
      <w:r/>
      <w:bookmarkStart w:id="89" w:name="_Hlt26670360"/>
      <w:r>
        <w:rPr>
          <w:rFonts w:hint="eastAsia" w:ascii="宋体" w:hAnsi="Times New Roman" w:eastAsia="宋体" w:cs="宋体"/>
          <w:b/>
          <w:bCs/>
          <w:color w:val="000000"/>
          <w:sz w:val="24"/>
          <w:szCs w:val="20"/>
        </w:rPr>
        <w:t xml:space="preserve">11、证明投标人及投标标的符合招标文件规定的文件</w:t>
      </w:r>
      <w:bookmarkEnd w:id="81"/>
      <w:r/>
      <w:bookmarkEnd w:id="82"/>
      <w:r/>
      <w:bookmarkEnd w:id="83"/>
      <w:r/>
      <w:bookmarkEnd w:id="84"/>
      <w:r/>
      <w:bookmarkEnd w:id="85"/>
      <w:r/>
      <w:bookmarkEnd w:id="86"/>
      <w:r/>
      <w:bookmarkStart w:id="90" w:name="_Toc14577355"/>
      <w:r/>
      <w:bookmarkStart w:id="91" w:name="_Toc49090508"/>
      <w:r/>
      <w:r/>
    </w:p>
    <w:p>
      <w:pPr>
        <w:ind w:firstLine="480"/>
        <w:jc w:val="left"/>
        <w:spacing w:line="560" w:lineRule="exact"/>
        <w:widowControl/>
        <w:rPr>
          <w:rFonts w:hint="eastAsia" w:ascii="宋体" w:hAnsi="宋体" w:eastAsia="宋体" w:cs="宋体"/>
          <w:sz w:val="24"/>
        </w:rPr>
      </w:pPr>
      <w:r>
        <w:rPr>
          <w:rFonts w:hint="eastAsia" w:ascii="宋体" w:hAnsi="宋体" w:eastAsia="宋体" w:cs="宋体"/>
          <w:color w:val="000000"/>
          <w:sz w:val="24"/>
        </w:rPr>
        <w:t xml:space="preserve">11.1投标人应按照法律、法规、规章和规范性文件以及招标文件要求提交证明文件，证明其及投标标的符合招标文件规定。</w:t>
      </w:r>
      <w:bookmarkEnd w:id="90"/>
      <w:r/>
      <w:bookmarkEnd w:id="91"/>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11.2招标文件对证明文件无明确形式要求的，证明文件可以以文字资料、图纸和数据等形式提交。</w:t>
      </w:r>
      <w:r/>
    </w:p>
    <w:p>
      <w:pPr>
        <w:ind w:firstLine="480"/>
        <w:jc w:val="left"/>
        <w:spacing w:line="560" w:lineRule="exact"/>
        <w:widowControl/>
        <w:rPr>
          <w:rFonts w:ascii="宋体" w:hAnsi="Times New Roman" w:eastAsia="宋体" w:cs="宋体"/>
          <w:b/>
          <w:bCs/>
          <w:color w:val="000000"/>
          <w:sz w:val="24"/>
          <w:szCs w:val="20"/>
        </w:rPr>
      </w:pPr>
      <w:r>
        <w:rPr>
          <w:rFonts w:hint="eastAsia" w:ascii="宋体" w:hAnsi="Times New Roman" w:eastAsia="宋体" w:cs="宋体"/>
          <w:b/>
          <w:bCs/>
          <w:color w:val="000000"/>
          <w:sz w:val="24"/>
          <w:szCs w:val="20"/>
        </w:rPr>
        <w:t xml:space="preserve">12、投标分项报价</w:t>
      </w:r>
      <w:bookmarkStart w:id="92" w:name="_Hlt26670373"/>
      <w:r>
        <w:rPr>
          <w:rFonts w:hint="eastAsia" w:ascii="宋体" w:hAnsi="Times New Roman" w:eastAsia="宋体" w:cs="宋体"/>
          <w:b/>
          <w:bCs/>
          <w:color w:val="000000"/>
          <w:sz w:val="24"/>
          <w:szCs w:val="20"/>
        </w:rPr>
        <w:t xml:space="preserve">表</w:t>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12.1投</w:t>
      </w:r>
      <w:bookmarkStart w:id="93" w:name="_Hlt26954840"/>
      <w:r>
        <w:rPr>
          <w:rFonts w:hint="eastAsia" w:ascii="宋体" w:hAnsi="宋体" w:eastAsia="宋体" w:cs="宋体"/>
          <w:color w:val="000000"/>
        </w:rPr>
        <w:t xml:space="preserve">标人应按照招标文件规定格式填报投标分项报价表</w:t>
      </w:r>
      <w:bookmarkStart w:id="94" w:name="_Hlt26670399"/>
      <w:r>
        <w:rPr>
          <w:rFonts w:hint="eastAsia" w:ascii="宋体" w:hAnsi="宋体" w:eastAsia="宋体" w:cs="宋体"/>
          <w:color w:val="000000"/>
        </w:rPr>
        <w:t xml:space="preserve">。</w:t>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ind w:firstLine="480"/>
        <w:jc w:val="left"/>
        <w:spacing w:line="560" w:lineRule="exact"/>
        <w:widowControl/>
        <w:rPr>
          <w:rFonts w:ascii="宋体" w:hAnsi="Times New Roman" w:eastAsia="宋体" w:cs="宋体"/>
          <w:b/>
          <w:bCs/>
          <w:color w:val="000000"/>
          <w:sz w:val="24"/>
          <w:szCs w:val="20"/>
        </w:rPr>
      </w:pPr>
      <w:r/>
      <w:bookmarkStart w:id="95" w:name="_Hlt26954846"/>
      <w:r/>
      <w:bookmarkStart w:id="96" w:name="_Hlt26954731"/>
      <w:r/>
      <w:bookmarkStart w:id="97" w:name="_Hlt26954842"/>
      <w:r/>
      <w:bookmarkStart w:id="98" w:name="_Hlt26668983"/>
      <w:r/>
      <w:bookmarkStart w:id="99" w:name="_Hlt26670482"/>
      <w:r/>
      <w:bookmarkStart w:id="100" w:name="_Hlt26670425"/>
      <w:r/>
      <w:bookmarkStart w:id="101" w:name="_Hlt26670403"/>
      <w:r/>
      <w:bookmarkStart w:id="102" w:name="_Hlt26670486"/>
      <w:r/>
      <w:bookmarkStart w:id="103" w:name="_Hlt26954848"/>
      <w:r/>
      <w:bookmarkStart w:id="104" w:name="_Hlt26954844"/>
      <w:r>
        <w:rPr>
          <w:rFonts w:hint="eastAsia" w:ascii="宋体" w:hAnsi="Times New Roman" w:eastAsia="宋体" w:cs="宋体"/>
          <w:b/>
          <w:bCs/>
          <w:color w:val="000000"/>
          <w:sz w:val="24"/>
          <w:szCs w:val="20"/>
        </w:rPr>
        <w:t xml:space="preserve">13、技术要求响应及偏离表、商务要求响应及偏离表</w:t>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13.1投标人需对招标文件中的技术要求与商务要求逐项作出响应或偏离，并说明原因。</w:t>
      </w:r>
      <w:r/>
    </w:p>
    <w:p>
      <w:pPr>
        <w:pStyle w:val="721"/>
        <w:ind w:firstLine="480"/>
        <w:jc w:val="both"/>
        <w:spacing w:beforeAutospacing="0" w:afterAutospacing="0" w:line="560" w:lineRule="exact"/>
        <w:tabs>
          <w:tab w:val="left" w:pos="1036" w:leader="none"/>
        </w:tabs>
        <w:rPr>
          <w:rFonts w:hint="eastAsia" w:ascii="宋体" w:hAnsi="宋体" w:eastAsia="宋体" w:cs="宋体"/>
        </w:rPr>
      </w:pPr>
      <w:r>
        <w:rPr>
          <w:rFonts w:hint="eastAsia" w:ascii="宋体" w:hAnsi="宋体" w:eastAsia="宋体" w:cs="宋体"/>
          <w:color w:val="000000"/>
        </w:rPr>
        <w:t xml:space="preserve">13.2投标人可在投标文件中提供认为需要的其他技术文件或说明。</w:t>
      </w:r>
      <w:r/>
    </w:p>
    <w:p>
      <w:pPr>
        <w:ind w:firstLine="480"/>
        <w:jc w:val="left"/>
        <w:spacing w:line="560" w:lineRule="exact"/>
        <w:widowControl/>
        <w:rPr>
          <w:rFonts w:ascii="宋体" w:hAnsi="Times New Roman" w:eastAsia="宋体" w:cs="宋体"/>
          <w:b/>
          <w:bCs/>
          <w:color w:val="000000"/>
          <w:sz w:val="24"/>
          <w:szCs w:val="20"/>
        </w:rPr>
      </w:pPr>
      <w:r/>
      <w:bookmarkStart w:id="105" w:name="_Toc49090510"/>
      <w:r/>
      <w:bookmarkStart w:id="106" w:name="_Toc14577359"/>
      <w:r>
        <w:rPr>
          <w:rFonts w:hint="eastAsia" w:ascii="宋体" w:hAnsi="Times New Roman" w:eastAsia="宋体" w:cs="宋体"/>
          <w:b/>
          <w:bCs/>
          <w:color w:val="000000"/>
          <w:sz w:val="24"/>
          <w:szCs w:val="20"/>
        </w:rPr>
        <w:t xml:space="preserve">14、投标函和开标一览表</w:t>
      </w:r>
      <w:bookmarkEnd w:id="105"/>
      <w:r/>
      <w:bookmarkEnd w:id="106"/>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14.1投标人应按照招标文件中提供的格式完整、正确填写投标函、开标一览表。</w:t>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rPr>
        <w:t xml:space="preserve">。</w:t>
      </w:r>
      <w:r/>
    </w:p>
    <w:p>
      <w:pPr>
        <w:ind w:firstLine="480"/>
        <w:jc w:val="left"/>
        <w:spacing w:line="560" w:lineRule="exact"/>
        <w:widowControl/>
        <w:rPr>
          <w:rFonts w:ascii="宋体" w:hAnsi="Times New Roman" w:eastAsia="宋体" w:cs="宋体"/>
          <w:b/>
          <w:bCs/>
          <w:color w:val="000000"/>
          <w:sz w:val="24"/>
          <w:szCs w:val="20"/>
        </w:rPr>
      </w:pPr>
      <w:r/>
      <w:bookmarkStart w:id="107" w:name="_Toc14577360"/>
      <w:r/>
      <w:bookmarkStart w:id="108" w:name="_Toc49090511"/>
      <w:r/>
      <w:bookmarkStart w:id="109" w:name="_Hlt26954734"/>
      <w:r/>
      <w:bookmarkStart w:id="110" w:name="_Hlt26954850"/>
      <w:r/>
      <w:bookmarkStart w:id="111" w:name="_Hlt26670489"/>
      <w:r>
        <w:rPr>
          <w:rFonts w:hint="eastAsia" w:ascii="宋体" w:hAnsi="Times New Roman" w:eastAsia="宋体" w:cs="宋体"/>
          <w:b/>
          <w:bCs/>
          <w:color w:val="000000"/>
          <w:sz w:val="24"/>
          <w:szCs w:val="20"/>
        </w:rPr>
        <w:t xml:space="preserve">15、投标有效期</w:t>
      </w:r>
      <w:bookmarkEnd w:id="107"/>
      <w:r/>
      <w:bookmarkEnd w:id="108"/>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15.1投标有效期为采购中心规定的开标之日后</w:t>
      </w:r>
      <w:r>
        <w:rPr>
          <w:rFonts w:hint="eastAsia" w:ascii="宋体" w:hAnsi="宋体" w:eastAsia="宋体" w:cs="宋体"/>
          <w:b/>
          <w:u w:val="single"/>
        </w:rPr>
        <w:t xml:space="preserve">九十（90）天</w:t>
      </w:r>
      <w:r>
        <w:rPr>
          <w:rFonts w:hint="eastAsia" w:ascii="宋体" w:hAnsi="宋体" w:eastAsia="宋体" w:cs="宋体"/>
          <w:color w:val="000000"/>
        </w:rPr>
        <w:t xml:space="preserve">。投标有效期比规定短的将被视为未实质性响应招标文件而予以拒绝。</w:t>
      </w:r>
      <w:r/>
    </w:p>
    <w:p>
      <w:pPr>
        <w:ind w:firstLine="480"/>
        <w:jc w:val="left"/>
        <w:spacing w:line="560" w:lineRule="exact"/>
        <w:widowControl/>
        <w:rPr>
          <w:rFonts w:ascii="宋体" w:hAnsi="Times New Roman" w:eastAsia="宋体" w:cs="宋体"/>
          <w:b/>
          <w:bCs/>
          <w:color w:val="000000"/>
          <w:sz w:val="24"/>
          <w:szCs w:val="20"/>
        </w:rPr>
      </w:pPr>
      <w:r>
        <w:rPr>
          <w:rFonts w:hint="eastAsia" w:ascii="宋体" w:hAnsi="Times New Roman" w:eastAsia="宋体" w:cs="宋体"/>
          <w:b/>
          <w:bCs/>
          <w:color w:val="000000"/>
          <w:sz w:val="24"/>
          <w:szCs w:val="20"/>
        </w:rPr>
        <w:t xml:space="preserve">16、投标有效期的延长</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80"/>
        <w:jc w:val="left"/>
        <w:spacing w:line="560" w:lineRule="exact"/>
        <w:widowControl/>
        <w:rPr>
          <w:rFonts w:ascii="宋体" w:hAnsi="Times New Roman" w:eastAsia="Arial" w:cs="宋体"/>
          <w:b/>
          <w:bCs/>
          <w:color w:val="000000"/>
          <w:sz w:val="24"/>
          <w:szCs w:val="20"/>
          <w:lang w:val="zh-CN"/>
        </w:rPr>
      </w:pPr>
      <w:r/>
      <w:bookmarkStart w:id="112" w:name="_Toc16938540"/>
      <w:r/>
      <w:bookmarkStart w:id="113" w:name="_Toc20823296"/>
      <w:r/>
      <w:bookmarkStart w:id="114" w:name="_Toc513029224"/>
      <w:r/>
      <w:bookmarkStart w:id="115" w:name="_Toc120614217"/>
      <w:r/>
      <w:bookmarkStart w:id="116" w:name="_Hlt26954852"/>
      <w:r/>
      <w:bookmarkStart w:id="117" w:name="_Hlt26954739"/>
      <w:r>
        <w:rPr>
          <w:rFonts w:hint="eastAsia" w:ascii="宋体" w:hAnsi="Times New Roman" w:eastAsia="Arial" w:cs="宋体"/>
          <w:b/>
          <w:bCs/>
          <w:color w:val="000000"/>
          <w:sz w:val="24"/>
          <w:szCs w:val="20"/>
          <w:lang w:val="zh-CN"/>
        </w:rPr>
        <w:t xml:space="preserve">四、投标文件的递交</w:t>
      </w:r>
      <w:bookmarkEnd w:id="112"/>
      <w:r/>
      <w:bookmarkEnd w:id="113"/>
      <w:r/>
      <w:bookmarkEnd w:id="114"/>
      <w:r/>
      <w:bookmarkEnd w:id="115"/>
      <w:r/>
      <w:r/>
    </w:p>
    <w:p>
      <w:pPr>
        <w:ind w:firstLine="480"/>
        <w:jc w:val="left"/>
        <w:spacing w:line="560" w:lineRule="exact"/>
        <w:widowControl/>
        <w:rPr>
          <w:rFonts w:ascii="宋体" w:hAnsi="Times New Roman" w:eastAsia="宋体" w:cs="宋体"/>
          <w:b/>
          <w:bCs/>
          <w:color w:val="000000"/>
          <w:sz w:val="24"/>
          <w:szCs w:val="20"/>
        </w:rPr>
      </w:pPr>
      <w:r/>
      <w:bookmarkStart w:id="118" w:name="_Toc16938541"/>
      <w:r/>
      <w:bookmarkStart w:id="119" w:name="_Toc513029225"/>
      <w:r/>
      <w:bookmarkStart w:id="120" w:name="_Toc20823297"/>
      <w:r/>
      <w:bookmarkStart w:id="121" w:name="_Toc462564084"/>
      <w:r>
        <w:rPr>
          <w:rFonts w:hint="eastAsia" w:ascii="宋体" w:hAnsi="Times New Roman" w:eastAsia="宋体" w:cs="宋体"/>
          <w:b/>
          <w:bCs/>
          <w:color w:val="000000"/>
          <w:sz w:val="24"/>
          <w:szCs w:val="20"/>
        </w:rPr>
        <w:t xml:space="preserve">17、投标文件</w:t>
      </w:r>
      <w:bookmarkEnd w:id="118"/>
      <w:r/>
      <w:bookmarkEnd w:id="119"/>
      <w:r/>
      <w:bookmarkEnd w:id="120"/>
      <w:r/>
      <w:bookmarkEnd w:id="121"/>
      <w:r>
        <w:rPr>
          <w:rFonts w:hint="eastAsia" w:ascii="宋体" w:hAnsi="Times New Roman" w:eastAsia="宋体" w:cs="宋体"/>
          <w:b/>
          <w:bCs/>
          <w:color w:val="000000"/>
          <w:sz w:val="24"/>
          <w:szCs w:val="20"/>
        </w:rPr>
        <w:t xml:space="preserve">的递交</w:t>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17.1 电子投标文件的递交</w:t>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投标人应当按照《操作手册》规定，在投标截止时间前制作并上传电子投标文件。</w:t>
      </w:r>
      <w:bookmarkStart w:id="122" w:name="_Toc16938542"/>
      <w:r/>
      <w:bookmarkEnd w:id="122"/>
      <w:r/>
      <w:bookmarkStart w:id="123" w:name="_Toc20823298"/>
      <w:r/>
      <w:bookmarkEnd w:id="123"/>
      <w:r/>
      <w:bookmarkStart w:id="124" w:name="_Toc513029226"/>
      <w:r/>
      <w:r/>
    </w:p>
    <w:p>
      <w:pPr>
        <w:ind w:firstLine="480"/>
        <w:jc w:val="left"/>
        <w:spacing w:line="560" w:lineRule="exact"/>
        <w:widowControl/>
        <w:rPr>
          <w:rFonts w:ascii="宋体" w:hAnsi="Times New Roman" w:eastAsia="宋体" w:cs="宋体"/>
          <w:b/>
          <w:bCs/>
          <w:color w:val="000000"/>
          <w:sz w:val="24"/>
          <w:szCs w:val="20"/>
        </w:rPr>
      </w:pPr>
      <w:r>
        <w:rPr>
          <w:rFonts w:hint="eastAsia" w:ascii="宋体" w:hAnsi="Times New Roman" w:eastAsia="宋体" w:cs="宋体"/>
          <w:b/>
          <w:bCs/>
          <w:color w:val="000000"/>
          <w:sz w:val="24"/>
          <w:szCs w:val="20"/>
        </w:rPr>
        <w:t xml:space="preserve">18、投标截止时间</w:t>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i/>
          <w:color w:val="000000"/>
          <w:u w:val="single"/>
        </w:rPr>
        <w:t xml:space="preserve">18.1投标人上传电子投标文件的时间不得迟于招标公告中规定的投标截止时间。</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投标人应充分考虑到网络环境、网络带宽等风险因素，如因投标人自身原因造成的电子投标文件上传不成功的按照本招标文件第二章第26.1.2条 规定做无效投标处理。</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18.2采购中心可以按照规定，通过修改招标文件酌情延长投标截止时间，在此情况下，投标人的所有权利和义务以及投标人受制的截止时间均应以延长后新的截止时间为准。</w:t>
      </w:r>
      <w:r/>
    </w:p>
    <w:p>
      <w:pPr>
        <w:ind w:firstLine="480"/>
        <w:jc w:val="left"/>
        <w:spacing w:line="560" w:lineRule="exact"/>
        <w:widowControl/>
        <w:rPr>
          <w:rFonts w:ascii="宋体" w:hAnsi="Times New Roman" w:eastAsia="宋体" w:cs="宋体"/>
          <w:b/>
          <w:bCs/>
          <w:color w:val="000000"/>
          <w:sz w:val="24"/>
          <w:szCs w:val="20"/>
        </w:rPr>
      </w:pPr>
      <w:r/>
      <w:bookmarkStart w:id="125" w:name="_Toc20823299"/>
      <w:r/>
      <w:bookmarkStart w:id="126" w:name="_Toc513029227"/>
      <w:r/>
      <w:bookmarkStart w:id="127" w:name="_Toc16938543"/>
      <w:r>
        <w:rPr>
          <w:rFonts w:hint="eastAsia" w:ascii="宋体" w:hAnsi="Times New Roman" w:eastAsia="宋体" w:cs="宋体"/>
          <w:b/>
          <w:bCs/>
          <w:color w:val="000000"/>
          <w:sz w:val="24"/>
          <w:szCs w:val="20"/>
        </w:rPr>
        <w:t xml:space="preserve">19、投标文件</w:t>
      </w:r>
      <w:bookmarkEnd w:id="125"/>
      <w:r/>
      <w:bookmarkEnd w:id="126"/>
      <w:r/>
      <w:bookmarkEnd w:id="127"/>
      <w:r>
        <w:rPr>
          <w:rFonts w:hint="eastAsia" w:ascii="宋体" w:hAnsi="Times New Roman" w:eastAsia="宋体" w:cs="宋体"/>
          <w:b/>
          <w:bCs/>
          <w:color w:val="000000"/>
          <w:sz w:val="24"/>
          <w:szCs w:val="20"/>
        </w:rPr>
        <w:t xml:space="preserve">的拒收</w:t>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19.1采购中心拒绝接收在其规定的投标截止时间后上传的任何投标文件。</w:t>
      </w:r>
      <w:r/>
    </w:p>
    <w:p>
      <w:pPr>
        <w:ind w:firstLine="480"/>
        <w:jc w:val="left"/>
        <w:spacing w:line="560" w:lineRule="exact"/>
        <w:widowControl/>
        <w:rPr>
          <w:rFonts w:ascii="宋体" w:hAnsi="Times New Roman" w:eastAsia="宋体" w:cs="宋体"/>
          <w:b/>
          <w:bCs/>
          <w:color w:val="000000"/>
          <w:sz w:val="24"/>
          <w:szCs w:val="20"/>
        </w:rPr>
      </w:pPr>
      <w:r/>
      <w:bookmarkStart w:id="128" w:name="_Toc513029228"/>
      <w:r/>
      <w:bookmarkStart w:id="129" w:name="_Toc20823300"/>
      <w:r/>
      <w:bookmarkStart w:id="130" w:name="_Toc16938544"/>
      <w:r>
        <w:rPr>
          <w:rFonts w:hint="eastAsia" w:ascii="宋体" w:hAnsi="Times New Roman" w:eastAsia="宋体" w:cs="宋体"/>
          <w:b/>
          <w:bCs/>
          <w:color w:val="000000"/>
          <w:sz w:val="24"/>
          <w:szCs w:val="20"/>
        </w:rPr>
        <w:t xml:space="preserve">20、投标文件的撤回和修改</w:t>
      </w:r>
      <w:bookmarkEnd w:id="128"/>
      <w:r/>
      <w:bookmarkEnd w:id="129"/>
      <w:r/>
      <w:bookmarkEnd w:id="130"/>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20.1投标文件的撤回</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20.1.1电子投标文件的撤回</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投标人可在投标截止时间前，撤回其电子投标文件，具体操作方法见《操作手册》。</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20.1.2投标人撤回电子投标文件，则认为其不再参与本项目投标活动。</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20.2 投标文件的修改</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20.2.1投标人可在投标截止时间前，对其电子投标文件进行修改，具体操作方法见《操作手册》。</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20.2.2在投标截止时间之后，投标人不得对其电子投标文件作任何修改。</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20.3在投标截止时间至招标文件中规定的投标有效期满之间的这段时间内，投标人不得撤回其投标。</w:t>
      </w:r>
      <w:r/>
    </w:p>
    <w:p>
      <w:pPr>
        <w:ind w:firstLine="480"/>
        <w:jc w:val="left"/>
        <w:spacing w:line="560" w:lineRule="exact"/>
        <w:widowControl/>
        <w:rPr>
          <w:rFonts w:ascii="宋体" w:hAnsi="Times New Roman" w:eastAsia="Arial" w:cs="宋体"/>
          <w:b/>
          <w:bCs/>
          <w:color w:val="000000"/>
          <w:sz w:val="24"/>
          <w:szCs w:val="20"/>
          <w:lang w:val="zh-CN"/>
        </w:rPr>
      </w:pPr>
      <w:r/>
      <w:bookmarkStart w:id="131" w:name="_Toc120614218"/>
      <w:r/>
      <w:bookmarkStart w:id="132" w:name="_Toc20823301"/>
      <w:r/>
      <w:bookmarkStart w:id="133" w:name="_Toc513029229"/>
      <w:r/>
      <w:bookmarkStart w:id="134" w:name="_Toc16938545"/>
      <w:r>
        <w:rPr>
          <w:rFonts w:hint="eastAsia" w:ascii="宋体" w:hAnsi="Times New Roman" w:eastAsia="Arial" w:cs="宋体"/>
          <w:b/>
          <w:bCs/>
          <w:color w:val="000000"/>
          <w:sz w:val="24"/>
          <w:szCs w:val="20"/>
          <w:lang w:val="zh-CN"/>
        </w:rPr>
        <w:t xml:space="preserve">五、开标与评标</w:t>
      </w:r>
      <w:bookmarkEnd w:id="131"/>
      <w:r/>
      <w:bookmarkEnd w:id="132"/>
      <w:r/>
      <w:bookmarkEnd w:id="133"/>
      <w:r/>
      <w:bookmarkEnd w:id="134"/>
      <w:r/>
      <w:r/>
    </w:p>
    <w:p>
      <w:pPr>
        <w:pStyle w:val="721"/>
        <w:ind w:firstLine="480"/>
        <w:jc w:val="both"/>
        <w:spacing w:beforeAutospacing="0" w:afterAutospacing="0" w:line="560" w:lineRule="exact"/>
        <w:rPr>
          <w:rFonts w:hint="eastAsia" w:ascii="宋体" w:hAnsi="宋体" w:eastAsia="宋体" w:cs="宋体"/>
          <w:b/>
          <w:bCs/>
          <w:color w:val="000000"/>
        </w:rPr>
      </w:pPr>
      <w:r/>
      <w:bookmarkStart w:id="135" w:name="_Toc513029230"/>
      <w:r/>
      <w:bookmarkStart w:id="136" w:name="_Toc16938546"/>
      <w:r/>
      <w:bookmarkStart w:id="137" w:name="_Toc20823302"/>
      <w:r>
        <w:rPr>
          <w:rFonts w:hint="eastAsia" w:ascii="宋体" w:hAnsi="宋体" w:eastAsia="宋体" w:cs="宋体"/>
          <w:b/>
          <w:bCs/>
          <w:color w:val="000000"/>
        </w:rPr>
        <w:t xml:space="preserve">21、开标</w:t>
      </w:r>
      <w:bookmarkEnd w:id="135"/>
      <w:r/>
      <w:bookmarkEnd w:id="136"/>
      <w:r/>
      <w:bookmarkEnd w:id="137"/>
      <w:r/>
      <w:r/>
    </w:p>
    <w:p>
      <w:pPr>
        <w:pStyle w:val="721"/>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21.1采购中心将在招标公告中规定的时间和地点组织公开开标。投标人应当按照《操作手册》规定，参加开标活动和在苏采云系统规定的时间内对投标文件进行解密。</w:t>
      </w:r>
      <w:r/>
    </w:p>
    <w:p>
      <w:pPr>
        <w:pStyle w:val="721"/>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21.2开标仪式由采购中心组织。苏采云系统将自动对项目进行开标，并宣布各投标人名称和投标价格。</w:t>
      </w:r>
      <w:r/>
    </w:p>
    <w:p>
      <w:pPr>
        <w:pStyle w:val="721"/>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21.3投标人在开标过程中涉及到的投标文件解密、开标结果确认等工作，应按照《操作手册》规定执行。</w:t>
      </w:r>
      <w:r/>
    </w:p>
    <w:p>
      <w:pPr>
        <w:pStyle w:val="721"/>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21.4投标人如果对开标过程和开标记录有疑义，应当根据《操作手册》规定提出，如苏采云系统中《开标记录表》宣布后5分钟内未提出的，视同认可开标结果。</w:t>
      </w:r>
      <w:r/>
    </w:p>
    <w:p>
      <w:pPr>
        <w:pStyle w:val="721"/>
        <w:ind w:firstLine="480"/>
        <w:jc w:val="both"/>
        <w:spacing w:beforeAutospacing="0" w:afterAutospacing="0" w:line="560" w:lineRule="exact"/>
        <w:rPr>
          <w:rFonts w:hint="eastAsia" w:ascii="宋体" w:hAnsi="宋体" w:eastAsia="宋体" w:cs="宋体"/>
          <w:b/>
          <w:bCs/>
          <w:color w:val="000000"/>
        </w:rPr>
      </w:pPr>
      <w:r/>
      <w:bookmarkStart w:id="138" w:name="_Toc513029231"/>
      <w:r/>
      <w:bookmarkStart w:id="139" w:name="_Toc20823303"/>
      <w:r/>
      <w:bookmarkStart w:id="140" w:name="_Toc16938547"/>
      <w:r>
        <w:rPr>
          <w:rFonts w:hint="eastAsia" w:ascii="宋体" w:hAnsi="宋体" w:eastAsia="宋体" w:cs="宋体"/>
          <w:b/>
          <w:bCs/>
          <w:color w:val="000000"/>
        </w:rPr>
        <w:t xml:space="preserve">22、评标委员会</w:t>
      </w:r>
      <w:bookmarkEnd w:id="138"/>
      <w:r/>
      <w:bookmarkEnd w:id="139"/>
      <w:r/>
      <w:bookmarkEnd w:id="140"/>
      <w:r/>
      <w:r/>
    </w:p>
    <w:p>
      <w:pPr>
        <w:pStyle w:val="721"/>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22.1开标后，采购中心将立即组织评标委员会（以下简称评委会）进行评标。</w:t>
      </w:r>
      <w:r/>
    </w:p>
    <w:p>
      <w:pPr>
        <w:pStyle w:val="721"/>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22.2评委会由采购人代表和有关技术、经济等方面的专家组成，且人员构成符合政府采购有关规定。</w:t>
      </w:r>
      <w:r/>
    </w:p>
    <w:p>
      <w:pPr>
        <w:pStyle w:val="721"/>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22.3评委会独立工作，负责评审所有投标文件并确定中标候选人。</w:t>
      </w:r>
      <w:r/>
    </w:p>
    <w:p>
      <w:pPr>
        <w:pStyle w:val="721"/>
        <w:ind w:firstLine="480"/>
        <w:jc w:val="both"/>
        <w:spacing w:beforeAutospacing="0" w:afterAutospacing="0" w:line="560" w:lineRule="exact"/>
        <w:rPr>
          <w:rFonts w:hint="eastAsia" w:ascii="宋体" w:hAnsi="宋体" w:eastAsia="宋体" w:cs="宋体"/>
          <w:b/>
          <w:bCs/>
          <w:color w:val="000000"/>
        </w:rPr>
      </w:pPr>
      <w:r>
        <w:rPr>
          <w:rFonts w:hint="eastAsia" w:ascii="宋体" w:hAnsi="宋体" w:eastAsia="宋体" w:cs="宋体"/>
          <w:b/>
          <w:bCs/>
          <w:color w:val="000000"/>
        </w:rPr>
        <w:t xml:space="preserve">23、评标过程的保密与公正</w:t>
      </w:r>
      <w:r/>
    </w:p>
    <w:p>
      <w:pPr>
        <w:pStyle w:val="721"/>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23.1凡是与审查、澄清、评价和比较投标的有关资料以及授标建议等，采购人、评委、采购中心均不得向投标人或与评标无关的其他人员透露。</w:t>
      </w:r>
      <w:r/>
    </w:p>
    <w:p>
      <w:pPr>
        <w:pStyle w:val="721"/>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23.2在评标过程中，投标人不得以任何行为影响评标过程，否则其投标文件将被作为无效投标文件。</w:t>
      </w:r>
      <w:r/>
    </w:p>
    <w:p>
      <w:pPr>
        <w:pStyle w:val="721"/>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23.3采购中心和评标委员会不向未中标的投标人解释未中标原因，也不公布评标过程中的相关细节。</w:t>
      </w:r>
      <w:r/>
    </w:p>
    <w:p>
      <w:pPr>
        <w:pStyle w:val="721"/>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23.4采用综合评分法的项目，未中标的投标人可于中标结果公告期限届满之日起通过苏采云系统查看自己的评审得分及排序情况。</w:t>
      </w:r>
      <w:r/>
    </w:p>
    <w:p>
      <w:pPr>
        <w:pStyle w:val="721"/>
        <w:ind w:firstLine="480"/>
        <w:jc w:val="both"/>
        <w:spacing w:beforeAutospacing="0" w:afterAutospacing="0" w:line="560" w:lineRule="exact"/>
        <w:rPr>
          <w:rFonts w:hint="eastAsia" w:ascii="宋体" w:hAnsi="宋体" w:eastAsia="宋体" w:cs="宋体"/>
          <w:b/>
          <w:bCs/>
          <w:color w:val="000000"/>
        </w:rPr>
      </w:pPr>
      <w:r/>
      <w:bookmarkStart w:id="141" w:name="_Toc20823304"/>
      <w:r/>
      <w:bookmarkStart w:id="142" w:name="_Toc16938548"/>
      <w:r/>
      <w:bookmarkStart w:id="143" w:name="_Toc513029232"/>
      <w:r>
        <w:rPr>
          <w:rFonts w:hint="eastAsia" w:ascii="宋体" w:hAnsi="宋体" w:eastAsia="宋体" w:cs="宋体"/>
          <w:b/>
          <w:bCs/>
          <w:color w:val="000000"/>
        </w:rPr>
        <w:t xml:space="preserve">24、投标文件的澄清</w:t>
      </w:r>
      <w:bookmarkEnd w:id="141"/>
      <w:r/>
      <w:bookmarkEnd w:id="142"/>
      <w:r/>
      <w:bookmarkEnd w:id="143"/>
      <w:r/>
      <w:r/>
    </w:p>
    <w:p>
      <w:pPr>
        <w:pStyle w:val="721"/>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24.1评标期间，评委会对投标文件中含义不明确、同类问题表述不一致或者有明显文字和计算错误的内容，有权要求投标人作出必要的澄清、说明或者补正。</w:t>
      </w:r>
      <w:r/>
    </w:p>
    <w:p>
      <w:pPr>
        <w:pStyle w:val="721"/>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投标人的澄清、说明或者补正不得超出投标文件的范围或者改变投标文件的实质性内容。</w:t>
      </w:r>
      <w:r/>
    </w:p>
    <w:p>
      <w:pPr>
        <w:pStyle w:val="721"/>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评标委员会并非对每个投标人都做澄清要求。</w:t>
      </w:r>
      <w:r/>
    </w:p>
    <w:p>
      <w:pPr>
        <w:pStyle w:val="721"/>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24.3接到评委会澄清、说明和补正要求的投标人如未按规定作出澄清、说明和补正，其风险由投标人自行承担。</w:t>
      </w:r>
      <w:r/>
    </w:p>
    <w:p>
      <w:pPr>
        <w:ind w:firstLine="480"/>
        <w:jc w:val="left"/>
        <w:spacing w:line="560" w:lineRule="exact"/>
        <w:widowControl/>
        <w:rPr>
          <w:rFonts w:ascii="宋体" w:hAnsi="Times New Roman" w:eastAsia="宋体" w:cs="宋体"/>
          <w:b/>
          <w:bCs/>
          <w:color w:val="000000"/>
          <w:sz w:val="24"/>
          <w:szCs w:val="20"/>
        </w:rPr>
      </w:pPr>
      <w:r/>
      <w:bookmarkStart w:id="144" w:name="_Toc20823305"/>
      <w:r/>
      <w:bookmarkStart w:id="145" w:name="_Toc16938549"/>
      <w:r/>
      <w:bookmarkStart w:id="146" w:name="_Toc513029233"/>
      <w:r>
        <w:rPr>
          <w:rFonts w:hint="eastAsia" w:ascii="宋体" w:hAnsi="Times New Roman" w:eastAsia="宋体" w:cs="宋体"/>
          <w:b/>
          <w:bCs/>
          <w:color w:val="000000"/>
          <w:sz w:val="24"/>
          <w:szCs w:val="20"/>
        </w:rPr>
        <w:t xml:space="preserve">25、对投标文件的初审</w:t>
      </w:r>
      <w:bookmarkEnd w:id="144"/>
      <w:r/>
      <w:bookmarkEnd w:id="145"/>
      <w:r/>
      <w:bookmarkEnd w:id="146"/>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25.1投标文件初审分为资格审查和符合性审查。</w:t>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25.1.1资格审查：依据法律法规和招标文件的规定，由采购人对投标文件中的资格证明文件进行审查。资格审查的结论，采购人以书面形式向评委会进行反馈。</w:t>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25.1.2符合性审查：依据招标文件的规定，由评委会从投标文件的有效性、完整性和对招标文件的响应程度进行审查，以确定是否对招标文件的实质性要求作出响应。</w:t>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rPr>
        <w:t xml:space="preserve">25.1.3未通过资格审查或符合性审查的投标人，采购中心将在苏采云系统中告知未通过资格审查或符合性审查的原因，评标结束后，采购中心将不再告知</w:t>
      </w:r>
      <w:r>
        <w:rPr>
          <w:rFonts w:hint="eastAsia" w:ascii="宋体" w:hAnsi="宋体" w:eastAsia="宋体" w:cs="宋体"/>
          <w:color w:val="000000"/>
        </w:rPr>
        <w:t xml:space="preserve">未通过资格审查和符合性审查的原因。</w:t>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21"/>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25.3如果投标文件实质上没有响应招标文件的要求，评委会将予以拒绝，投标人不得通过修改或撤销不合要求的偏离或保留而使其投标成为实质性响应的投标。</w:t>
      </w:r>
      <w:r/>
    </w:p>
    <w:p>
      <w:pPr>
        <w:pStyle w:val="721"/>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25.4评委会将对确定为实质性响应的投标进行进一步审核，确定其是否有计算上或累加上的算术错误，修正错误的原则如下：</w:t>
      </w:r>
      <w:r/>
    </w:p>
    <w:p>
      <w:pPr>
        <w:pStyle w:val="721"/>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（1）投标文件中开标一览表内容与投标文件中相应内容不一致的，以开标一览表为准。</w:t>
      </w:r>
      <w:r/>
    </w:p>
    <w:p>
      <w:pPr>
        <w:pStyle w:val="721"/>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（2）大写金额和小写金额不一致的，以大写金额为准。</w:t>
      </w:r>
      <w:r/>
    </w:p>
    <w:p>
      <w:pPr>
        <w:pStyle w:val="721"/>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（3）单价金额小数点或者百分比有明显错位的，以开标一览表的总价为准，并修改单价。</w:t>
      </w:r>
      <w:r/>
    </w:p>
    <w:p>
      <w:pPr>
        <w:pStyle w:val="721"/>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（4）总价金额与按单价汇总金额不一致的，以单价金额计算结果为准。</w:t>
      </w:r>
      <w:r/>
    </w:p>
    <w:p>
      <w:pPr>
        <w:pStyle w:val="721"/>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同时出现两种以上错误的，按照前款规定的顺序修正。</w:t>
      </w:r>
      <w:r/>
    </w:p>
    <w:p>
      <w:pPr>
        <w:pStyle w:val="721"/>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721"/>
        <w:ind w:firstLine="480"/>
        <w:jc w:val="both"/>
        <w:spacing w:beforeAutospacing="0" w:afterAutospacing="0" w:line="560" w:lineRule="exact"/>
        <w:rPr>
          <w:rFonts w:hint="eastAsia" w:ascii="宋体" w:hAnsi="宋体" w:eastAsia="宋体" w:cs="宋体"/>
          <w:color w:val="000000"/>
        </w:rPr>
      </w:pPr>
      <w:r/>
      <w:bookmarkStart w:id="147" w:name="_Toc513029234"/>
      <w:r/>
      <w:bookmarkStart w:id="148" w:name="_Toc16938550"/>
      <w:r/>
      <w:bookmarkStart w:id="149" w:name="_Toc20823306"/>
      <w:r>
        <w:rPr>
          <w:rFonts w:hint="eastAsia" w:ascii="宋体" w:hAnsi="宋体" w:eastAsia="宋体" w:cs="宋体"/>
          <w:color w:val="000000"/>
        </w:rPr>
        <w:t xml:space="preserve">25.6投标人在开、评标全过程中应保持通信畅通，及时登录苏采云系统查阅、答复相关信息，并安排专人与采购中心及评标委员会联系。</w:t>
      </w:r>
      <w:bookmarkEnd w:id="147"/>
      <w:r/>
      <w:bookmarkEnd w:id="148"/>
      <w:r/>
      <w:bookmarkEnd w:id="149"/>
      <w:r/>
      <w:r/>
    </w:p>
    <w:p>
      <w:pPr>
        <w:ind w:firstLine="480"/>
        <w:jc w:val="left"/>
        <w:spacing w:line="560" w:lineRule="exact"/>
        <w:widowControl/>
        <w:rPr>
          <w:rFonts w:ascii="宋体" w:hAnsi="Times New Roman" w:eastAsia="宋体" w:cs="宋体"/>
          <w:b/>
          <w:bCs/>
          <w:color w:val="000000"/>
          <w:sz w:val="24"/>
          <w:szCs w:val="20"/>
        </w:rPr>
      </w:pPr>
      <w:r>
        <w:rPr>
          <w:rFonts w:hint="eastAsia" w:ascii="宋体" w:hAnsi="Times New Roman" w:eastAsia="宋体" w:cs="宋体"/>
          <w:b/>
          <w:bCs/>
          <w:color w:val="000000"/>
          <w:sz w:val="24"/>
          <w:szCs w:val="20"/>
        </w:rPr>
        <w:t xml:space="preserve">26、无效投标条款和废标条款</w:t>
      </w:r>
      <w:r/>
    </w:p>
    <w:p>
      <w:pPr>
        <w:pStyle w:val="721"/>
        <w:ind w:left="479"/>
        <w:jc w:val="both"/>
        <w:spacing w:beforeAutospacing="0" w:afterAutospacing="0" w:line="560" w:lineRule="exact"/>
        <w:rPr>
          <w:rFonts w:hint="eastAsia" w:ascii="宋体" w:hAnsi="宋体" w:eastAsia="宋体" w:cs="宋体"/>
        </w:rPr>
      </w:pPr>
      <w:r/>
      <w:bookmarkStart w:id="150" w:name="_Toc20823307"/>
      <w:r/>
      <w:bookmarkStart w:id="151" w:name="_Toc16938551"/>
      <w:r/>
      <w:bookmarkStart w:id="152" w:name="_Toc513029235"/>
      <w:r>
        <w:rPr>
          <w:rFonts w:hint="eastAsia" w:ascii="宋体" w:hAnsi="宋体" w:eastAsia="宋体" w:cs="宋体"/>
        </w:rPr>
        <w:t xml:space="preserve">26.1无效投标条款</w:t>
      </w:r>
      <w:bookmarkEnd w:id="150"/>
      <w:r/>
      <w:bookmarkEnd w:id="151"/>
      <w:r/>
      <w:bookmarkEnd w:id="152"/>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rPr>
        <w:t xml:space="preserve">26.1.1投标人在苏采云系统规定的时间内未成功解密电子投标文件的。</w:t>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rPr>
        <w:t xml:space="preserve">26.1.2投标人未按照招标文件要求上传电子投标文件的。</w:t>
      </w:r>
      <w:r/>
    </w:p>
    <w:p>
      <w:pPr>
        <w:pStyle w:val="721"/>
        <w:ind w:left="479"/>
        <w:jc w:val="both"/>
        <w:spacing w:beforeAutospacing="0" w:afterAutospacing="0" w:line="560" w:lineRule="exact"/>
        <w:rPr>
          <w:rFonts w:hint="eastAsia" w:ascii="宋体" w:hAnsi="宋体" w:eastAsia="宋体" w:cs="宋体"/>
        </w:rPr>
      </w:pPr>
      <w:r>
        <w:rPr>
          <w:rFonts w:hint="eastAsia" w:ascii="宋体" w:hAnsi="宋体" w:eastAsia="宋体" w:cs="宋体"/>
        </w:rPr>
        <w:t xml:space="preserve">26.1.3同一投标人提交两个（含两个）以上不同的投标报价的。</w:t>
      </w:r>
      <w:r/>
    </w:p>
    <w:p>
      <w:pPr>
        <w:pStyle w:val="721"/>
        <w:ind w:left="479"/>
        <w:jc w:val="both"/>
        <w:spacing w:beforeAutospacing="0" w:afterAutospacing="0" w:line="560" w:lineRule="exact"/>
        <w:rPr>
          <w:rFonts w:hint="eastAsia" w:ascii="宋体" w:hAnsi="宋体" w:eastAsia="宋体" w:cs="宋体"/>
        </w:rPr>
      </w:pPr>
      <w:r>
        <w:rPr>
          <w:rFonts w:hint="eastAsia" w:ascii="宋体" w:hAnsi="宋体" w:eastAsia="宋体" w:cs="宋体"/>
        </w:rPr>
        <w:t xml:space="preserve">26.1.4投标人不具备招标文件中规定资格要求的。</w:t>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26.1.5投标人的报价超过了采购预算或最高限价的。</w:t>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26.1.6未通过符合性审查的。</w:t>
      </w:r>
      <w:r/>
    </w:p>
    <w:p>
      <w:pPr>
        <w:pStyle w:val="721"/>
        <w:ind w:firstLine="36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26.1.7不符合招标文件中规定的实质性要求和条件的（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26.1.9投标文件含有采购人不能接受的附加条件的。</w:t>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26.1.10</w:t>
      </w:r>
      <w:r>
        <w:rPr>
          <w:rFonts w:hint="eastAsia" w:ascii="宋体" w:hAnsi="宋体" w:eastAsia="宋体" w:cs="宋体"/>
        </w:rPr>
        <w:t xml:space="preserve">投标人不能证明其报价合理性的，评标委员会应当将其作为无效投标处理。</w:t>
      </w:r>
      <w:r/>
    </w:p>
    <w:p>
      <w:pPr>
        <w:pStyle w:val="721"/>
        <w:ind w:firstLine="480"/>
        <w:jc w:val="both"/>
        <w:spacing w:beforeAutospacing="0" w:afterAutospacing="0" w:line="560" w:lineRule="exact"/>
        <w:rPr>
          <w:rFonts w:hint="eastAsia" w:ascii="宋体" w:hAnsi="宋体" w:eastAsia="宋体" w:cs="宋体"/>
          <w:b/>
          <w:bCs/>
          <w:color w:val="000000"/>
        </w:rPr>
      </w:pPr>
      <w:r>
        <w:rPr>
          <w:rFonts w:hint="eastAsia" w:ascii="宋体" w:hAnsi="宋体" w:eastAsia="宋体" w:cs="宋体"/>
          <w:b/>
          <w:bCs/>
          <w:color w:val="000000"/>
        </w:rPr>
        <w:t xml:space="preserve">（一）评审过程中出现下列情形之一的，评标委员会应当启动异常低价投标审查程序：</w:t>
      </w:r>
      <w:r/>
    </w:p>
    <w:p>
      <w:pPr>
        <w:pStyle w:val="721"/>
        <w:ind w:firstLine="480"/>
        <w:jc w:val="both"/>
        <w:spacing w:beforeAutospacing="0" w:afterAutospacing="0" w:line="560" w:lineRule="exact"/>
        <w:rPr>
          <w:rFonts w:hint="eastAsia" w:ascii="宋体" w:hAnsi="宋体" w:eastAsia="宋体" w:cs="宋体"/>
          <w:b/>
          <w:bCs/>
          <w:color w:val="000000"/>
        </w:rPr>
      </w:pPr>
      <w:r>
        <w:rPr>
          <w:rFonts w:hint="eastAsia" w:ascii="宋体" w:hAnsi="宋体" w:eastAsia="宋体" w:cs="宋体"/>
          <w:b/>
          <w:bCs/>
          <w:color w:val="000000"/>
        </w:rPr>
        <w:t xml:space="preserve">1.投标（响应）报价低于全部通过符合性审查供应商投标（响应）报价平均值50%的，即投标（响应）报价&lt;全部通过符合性审查供应商投标（响应）报价平均值×50%；</w:t>
      </w:r>
      <w:r/>
    </w:p>
    <w:p>
      <w:pPr>
        <w:pStyle w:val="721"/>
        <w:ind w:firstLine="480"/>
        <w:jc w:val="both"/>
        <w:spacing w:beforeAutospacing="0" w:afterAutospacing="0" w:line="560" w:lineRule="exact"/>
        <w:rPr>
          <w:rFonts w:hint="eastAsia" w:ascii="宋体" w:hAnsi="宋体" w:eastAsia="宋体" w:cs="宋体"/>
          <w:b/>
          <w:bCs/>
          <w:color w:val="000000"/>
        </w:rPr>
      </w:pPr>
      <w:r>
        <w:rPr>
          <w:rFonts w:hint="eastAsia" w:ascii="宋体" w:hAnsi="宋体" w:eastAsia="宋体" w:cs="宋体"/>
          <w:b/>
          <w:bCs/>
          <w:color w:val="000000"/>
        </w:rPr>
        <w:t xml:space="preserve">2.投标（响应）报价低于通过符合性审查的次低报价供应商投标（响应）报价50%的，即投标（响应）报价&lt;通过符合性审查的次低报价供应商投标（响应）报价×50%；</w:t>
      </w:r>
      <w:r/>
    </w:p>
    <w:p>
      <w:pPr>
        <w:pStyle w:val="721"/>
        <w:ind w:firstLine="480"/>
        <w:jc w:val="both"/>
        <w:spacing w:beforeAutospacing="0" w:afterAutospacing="0" w:line="560" w:lineRule="exact"/>
        <w:rPr>
          <w:rFonts w:hint="eastAsia" w:ascii="宋体" w:hAnsi="宋体" w:eastAsia="宋体" w:cs="宋体"/>
          <w:b/>
          <w:bCs/>
          <w:color w:val="000000"/>
        </w:rPr>
      </w:pPr>
      <w:r>
        <w:rPr>
          <w:rFonts w:hint="eastAsia" w:ascii="宋体" w:hAnsi="宋体" w:eastAsia="宋体" w:cs="宋体"/>
          <w:b/>
          <w:bCs/>
          <w:color w:val="000000"/>
        </w:rPr>
        <w:t xml:space="preserve">3.投标（响应）报价低于采购项目最高限价45%的，即投标（响应）报价&lt;采购项目最高限价×45%；</w:t>
      </w:r>
      <w:r/>
    </w:p>
    <w:p>
      <w:pPr>
        <w:pStyle w:val="721"/>
        <w:ind w:firstLine="480"/>
        <w:jc w:val="both"/>
        <w:spacing w:beforeAutospacing="0" w:afterAutospacing="0" w:line="560" w:lineRule="exact"/>
        <w:rPr>
          <w:rFonts w:hint="eastAsia" w:ascii="宋体" w:hAnsi="宋体" w:eastAsia="宋体" w:cs="宋体"/>
          <w:b/>
          <w:bCs/>
          <w:color w:val="000000"/>
        </w:rPr>
      </w:pPr>
      <w:r>
        <w:rPr>
          <w:rFonts w:hint="eastAsia" w:ascii="宋体" w:hAnsi="宋体" w:eastAsia="宋体" w:cs="宋体"/>
          <w:b/>
          <w:bCs/>
          <w:color w:val="000000"/>
        </w:rPr>
        <w:t xml:space="preserve">4.评审委员会基于专业判断，认为供应商报价过低，有可能影响产品质量或者不能诚信履约的其他情形。</w:t>
      </w:r>
      <w:r/>
    </w:p>
    <w:p>
      <w:pPr>
        <w:pStyle w:val="721"/>
        <w:ind w:firstLine="480"/>
        <w:jc w:val="both"/>
        <w:spacing w:beforeAutospacing="0" w:afterAutospacing="0" w:line="560" w:lineRule="exact"/>
        <w:rPr>
          <w:rFonts w:hint="eastAsia" w:ascii="宋体" w:hAnsi="宋体" w:eastAsia="宋体" w:cs="宋体"/>
          <w:b/>
          <w:bCs/>
          <w:color w:val="000000"/>
        </w:rPr>
      </w:pPr>
      <w:r>
        <w:rPr>
          <w:rFonts w:hint="eastAsia" w:ascii="宋体" w:hAnsi="宋体" w:eastAsia="宋体" w:cs="宋体"/>
          <w:b/>
          <w:bCs/>
          <w:color w:val="000000"/>
        </w:rPr>
        <w:t xml:space="preserve">相关法律法规对供应商报价有规定的，从其规定。</w:t>
      </w:r>
      <w:r/>
    </w:p>
    <w:p>
      <w:pPr>
        <w:pStyle w:val="721"/>
        <w:ind w:firstLine="480"/>
        <w:jc w:val="both"/>
        <w:spacing w:beforeAutospacing="0" w:afterAutospacing="0" w:line="560" w:lineRule="exact"/>
        <w:rPr>
          <w:rFonts w:hint="eastAsia" w:ascii="宋体" w:hAnsi="宋体" w:eastAsia="宋体" w:cs="宋体"/>
          <w:b/>
          <w:bCs/>
          <w:color w:val="000000"/>
        </w:rPr>
      </w:pPr>
      <w:r>
        <w:rPr>
          <w:rFonts w:hint="eastAsia" w:ascii="宋体" w:hAnsi="宋体" w:eastAsia="宋体" w:cs="宋体"/>
          <w:b/>
          <w:bCs/>
          <w:color w:val="000000"/>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21"/>
        <w:ind w:firstLine="480"/>
        <w:jc w:val="both"/>
        <w:spacing w:beforeAutospacing="0" w:afterAutospacing="0" w:line="560" w:lineRule="exact"/>
        <w:rPr>
          <w:rFonts w:hint="eastAsia" w:ascii="宋体" w:hAnsi="宋体" w:eastAsia="宋体" w:cs="宋体"/>
          <w:b/>
          <w:bCs/>
          <w:color w:val="000000"/>
        </w:rPr>
      </w:pPr>
      <w:r>
        <w:rPr>
          <w:rFonts w:hint="eastAsia" w:ascii="宋体" w:hAnsi="宋体" w:eastAsia="宋体" w:cs="宋体"/>
          <w:b/>
          <w:bCs/>
          <w:color w:val="00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21"/>
        <w:ind w:firstLine="480"/>
        <w:jc w:val="both"/>
        <w:spacing w:beforeAutospacing="0" w:afterAutospacing="0" w:line="560" w:lineRule="exact"/>
        <w:rPr>
          <w:rFonts w:hint="eastAsia" w:ascii="宋体" w:hAnsi="宋体" w:eastAsia="宋体" w:cs="宋体"/>
          <w:b/>
          <w:bCs/>
          <w:color w:val="000000"/>
        </w:rPr>
      </w:pPr>
      <w:r>
        <w:rPr>
          <w:rFonts w:hint="eastAsia" w:ascii="宋体" w:hAnsi="宋体" w:eastAsia="宋体" w:cs="宋体"/>
          <w:b/>
          <w:bCs/>
          <w:color w:val="000000"/>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21"/>
        <w:ind w:firstLine="480"/>
        <w:jc w:val="both"/>
        <w:spacing w:beforeAutospacing="0" w:afterAutospacing="0" w:line="560" w:lineRule="exact"/>
        <w:rPr>
          <w:rFonts w:hint="eastAsia" w:ascii="宋体" w:hAnsi="宋体" w:eastAsia="宋体" w:cs="宋体"/>
          <w:b/>
          <w:bCs/>
          <w:color w:val="000000"/>
        </w:rPr>
      </w:pPr>
      <w:r>
        <w:rPr>
          <w:rFonts w:hint="eastAsia" w:ascii="宋体" w:hAnsi="宋体" w:eastAsia="宋体" w:cs="宋体"/>
          <w:b/>
          <w:bCs/>
          <w:color w:val="000000"/>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rPr>
        <w:t xml:space="preserve">26.1.11投标文件未按照招标文件要求加盖CA电子公章的。</w:t>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rPr>
        <w:t xml:space="preserve">26.1.12其他法律、法规及本招标文件规定的属无效投标的情形。</w:t>
      </w:r>
      <w:r/>
    </w:p>
    <w:p>
      <w:pPr>
        <w:pStyle w:val="721"/>
        <w:ind w:left="479"/>
        <w:jc w:val="both"/>
        <w:spacing w:beforeAutospacing="0" w:afterAutospacing="0" w:line="560" w:lineRule="exact"/>
        <w:rPr>
          <w:rFonts w:hint="eastAsia" w:ascii="宋体" w:hAnsi="宋体" w:eastAsia="宋体" w:cs="宋体"/>
        </w:rPr>
      </w:pPr>
      <w:r>
        <w:rPr>
          <w:rFonts w:hint="eastAsia" w:ascii="宋体" w:hAnsi="宋体" w:eastAsia="宋体" w:cs="宋体"/>
        </w:rPr>
        <w:t xml:space="preserve">26.2废标条款</w:t>
      </w:r>
      <w:r/>
    </w:p>
    <w:p>
      <w:pPr>
        <w:pStyle w:val="721"/>
        <w:ind w:left="479"/>
        <w:jc w:val="both"/>
        <w:spacing w:beforeAutospacing="0" w:afterAutospacing="0" w:line="560" w:lineRule="exact"/>
        <w:rPr>
          <w:rFonts w:hint="eastAsia" w:ascii="宋体" w:hAnsi="宋体" w:eastAsia="宋体" w:cs="宋体"/>
        </w:rPr>
      </w:pPr>
      <w:r>
        <w:rPr>
          <w:rFonts w:hint="eastAsia" w:ascii="宋体" w:hAnsi="宋体" w:eastAsia="宋体" w:cs="宋体"/>
        </w:rPr>
        <w:t xml:space="preserve">26.2.1符合专业条件的供应商或者对招标文件作实质响应的供应商不足三家的。</w:t>
      </w:r>
      <w:r/>
    </w:p>
    <w:p>
      <w:pPr>
        <w:pStyle w:val="721"/>
        <w:ind w:left="479"/>
        <w:jc w:val="both"/>
        <w:spacing w:beforeAutospacing="0" w:afterAutospacing="0" w:line="560" w:lineRule="exact"/>
        <w:rPr>
          <w:rFonts w:hint="eastAsia" w:ascii="宋体" w:hAnsi="宋体" w:eastAsia="宋体" w:cs="宋体"/>
        </w:rPr>
      </w:pPr>
      <w:r>
        <w:rPr>
          <w:rFonts w:hint="eastAsia" w:ascii="宋体" w:hAnsi="宋体" w:eastAsia="宋体" w:cs="宋体"/>
        </w:rPr>
        <w:t xml:space="preserve">26.2.2出现影响采购公正的违法、违规行为的。</w:t>
      </w:r>
      <w:r/>
    </w:p>
    <w:p>
      <w:pPr>
        <w:pStyle w:val="721"/>
        <w:ind w:left="479"/>
        <w:jc w:val="both"/>
        <w:spacing w:beforeAutospacing="0" w:afterAutospacing="0" w:line="560" w:lineRule="exact"/>
        <w:rPr>
          <w:rFonts w:hint="eastAsia" w:ascii="宋体" w:hAnsi="宋体" w:eastAsia="宋体" w:cs="宋体"/>
        </w:rPr>
      </w:pPr>
      <w:r>
        <w:rPr>
          <w:rFonts w:hint="eastAsia" w:ascii="宋体" w:hAnsi="宋体" w:eastAsia="宋体" w:cs="宋体"/>
        </w:rPr>
        <w:t xml:space="preserve">26.2.3因重大变故，采购任务取消的。</w:t>
      </w:r>
      <w:r/>
    </w:p>
    <w:p>
      <w:pPr>
        <w:pStyle w:val="721"/>
        <w:ind w:left="479"/>
        <w:jc w:val="both"/>
        <w:spacing w:beforeAutospacing="0" w:afterAutospacing="0" w:line="560" w:lineRule="exact"/>
        <w:rPr>
          <w:rFonts w:hint="eastAsia" w:ascii="宋体" w:hAnsi="宋体" w:eastAsia="宋体" w:cs="宋体"/>
        </w:rPr>
      </w:pPr>
      <w:r>
        <w:rPr>
          <w:rFonts w:hint="eastAsia" w:ascii="宋体" w:hAnsi="宋体" w:eastAsia="宋体" w:cs="宋体"/>
        </w:rPr>
        <w:t xml:space="preserve">26.2.4评标委员会认定招标文件存在歧义、重大缺陷导致评审工作无法进行。</w:t>
      </w:r>
      <w:r/>
    </w:p>
    <w:p>
      <w:pPr>
        <w:pStyle w:val="721"/>
        <w:ind w:left="479"/>
        <w:jc w:val="both"/>
        <w:spacing w:beforeAutospacing="0" w:afterAutospacing="0" w:line="560" w:lineRule="exact"/>
        <w:rPr>
          <w:rFonts w:hint="eastAsia" w:ascii="宋体" w:hAnsi="宋体" w:eastAsia="宋体" w:cs="宋体"/>
        </w:rPr>
      </w:pPr>
      <w:r>
        <w:rPr>
          <w:rFonts w:hint="eastAsia" w:ascii="宋体" w:hAnsi="宋体" w:eastAsia="宋体" w:cs="宋体"/>
        </w:rPr>
        <w:t xml:space="preserve">26.2.5因苏采云系统系统故障原因造成开标不成功的。</w:t>
      </w:r>
      <w:r/>
    </w:p>
    <w:p>
      <w:pPr>
        <w:pStyle w:val="721"/>
        <w:ind w:left="479"/>
        <w:jc w:val="both"/>
        <w:spacing w:beforeAutospacing="0" w:afterAutospacing="0" w:line="560" w:lineRule="exact"/>
        <w:rPr>
          <w:rFonts w:hint="eastAsia" w:ascii="宋体" w:hAnsi="宋体" w:eastAsia="宋体" w:cs="宋体"/>
        </w:rPr>
      </w:pPr>
      <w:r>
        <w:rPr>
          <w:rFonts w:hint="eastAsia" w:ascii="宋体" w:hAnsi="宋体" w:eastAsia="宋体" w:cs="宋体"/>
        </w:rPr>
        <w:t xml:space="preserve">26.3 投标截止时间结束后参加投标的供应商不足三家的处理：</w:t>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26.3.1如出现投标截止时间结束后参加投标的供应商或者在评标期间对招标文件做出实质响应的供应商不足三家情况，按政府采购相关规定执行。</w:t>
      </w:r>
      <w:r/>
    </w:p>
    <w:p>
      <w:pPr>
        <w:ind w:firstLine="480"/>
        <w:jc w:val="left"/>
        <w:spacing w:line="560" w:lineRule="exact"/>
        <w:widowControl/>
        <w:rPr>
          <w:rFonts w:ascii="宋体" w:hAnsi="Times New Roman" w:eastAsia="Arial" w:cs="宋体"/>
          <w:b/>
          <w:bCs/>
          <w:color w:val="000000"/>
          <w:sz w:val="24"/>
          <w:szCs w:val="20"/>
          <w:lang w:val="zh-CN"/>
        </w:rPr>
      </w:pPr>
      <w:r/>
      <w:bookmarkStart w:id="153" w:name="_Toc120614219"/>
      <w:r>
        <w:rPr>
          <w:rFonts w:hint="eastAsia" w:ascii="宋体" w:hAnsi="Times New Roman" w:eastAsia="Arial" w:cs="宋体"/>
          <w:b/>
          <w:bCs/>
          <w:color w:val="000000"/>
          <w:sz w:val="24"/>
          <w:szCs w:val="20"/>
          <w:lang w:val="zh-CN"/>
        </w:rPr>
        <w:t xml:space="preserve">六、定标</w:t>
      </w:r>
      <w:bookmarkEnd w:id="153"/>
      <w:r/>
      <w:r/>
    </w:p>
    <w:p>
      <w:pPr>
        <w:ind w:firstLine="480"/>
        <w:jc w:val="left"/>
        <w:spacing w:line="560" w:lineRule="exact"/>
        <w:widowControl/>
        <w:rPr>
          <w:rFonts w:ascii="宋体" w:hAnsi="Times New Roman" w:eastAsia="宋体" w:cs="宋体"/>
          <w:b/>
          <w:bCs/>
          <w:color w:val="000000"/>
          <w:sz w:val="24"/>
          <w:szCs w:val="20"/>
        </w:rPr>
      </w:pPr>
      <w:r/>
      <w:bookmarkStart w:id="154" w:name="_Toc20823310"/>
      <w:r/>
      <w:bookmarkStart w:id="155" w:name="_Toc513029238"/>
      <w:r/>
      <w:bookmarkStart w:id="156" w:name="_Toc16938554"/>
      <w:r>
        <w:rPr>
          <w:rFonts w:hint="eastAsia" w:ascii="宋体" w:hAnsi="Times New Roman" w:eastAsia="宋体" w:cs="宋体"/>
          <w:b/>
          <w:bCs/>
          <w:color w:val="000000"/>
          <w:sz w:val="24"/>
          <w:szCs w:val="20"/>
        </w:rPr>
        <w:t xml:space="preserve">27、</w:t>
      </w:r>
      <w:bookmarkEnd w:id="154"/>
      <w:r>
        <w:rPr>
          <w:rFonts w:hint="eastAsia" w:ascii="宋体" w:hAnsi="Times New Roman" w:eastAsia="宋体" w:cs="宋体"/>
          <w:b/>
          <w:bCs/>
          <w:color w:val="000000"/>
          <w:sz w:val="24"/>
          <w:szCs w:val="20"/>
        </w:rPr>
        <w:t xml:space="preserve">确定</w:t>
      </w:r>
      <w:bookmarkEnd w:id="155"/>
      <w:r/>
      <w:bookmarkEnd w:id="156"/>
      <w:r>
        <w:rPr>
          <w:rFonts w:hint="eastAsia" w:ascii="宋体" w:hAnsi="Times New Roman" w:eastAsia="宋体" w:cs="宋体"/>
          <w:b/>
          <w:bCs/>
          <w:color w:val="000000"/>
          <w:sz w:val="24"/>
          <w:szCs w:val="20"/>
        </w:rPr>
        <w:t xml:space="preserve">中标单位</w:t>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27.1中标候选人的选取原则和数量见招标文件第五章规定。 </w:t>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27.2采购人应根据评委会推荐的中标候选人确定中标人。</w:t>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27.3采购中心将在“中国政府采购网”、“江苏政府采购网”、“盐城市政府采购网”发布中标公告，公告期限为1个工作日。</w:t>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27.4若有充分证据证明，中标人出现下列情况之一的，一经查实，将被取消中标资格：</w:t>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27.4.1提供虚假材料谋取中标的。</w:t>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27.4.2向采购人、采购中心行贿或者提供其他不正当利益的。</w:t>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27.4.3属于本文件规定的无效条件，但在评标过程中又未被评委会发现的。</w:t>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27.4.4与采购人或者其他供应商恶意串通的。</w:t>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27.4.5采取不正当手段诋毁、排挤其他供应商的。</w:t>
      </w:r>
      <w:r/>
    </w:p>
    <w:p>
      <w:pPr>
        <w:pStyle w:val="721"/>
        <w:ind w:firstLine="480"/>
        <w:jc w:val="both"/>
        <w:spacing w:beforeAutospacing="0" w:afterAutospacing="0" w:line="560" w:lineRule="exact"/>
        <w:rPr>
          <w:rFonts w:hint="eastAsia" w:ascii="宋体" w:hAnsi="宋体" w:eastAsia="宋体" w:cs="宋体"/>
        </w:rPr>
      </w:pPr>
      <w:r/>
      <w:bookmarkStart w:id="157" w:name="_Toc200451960"/>
      <w:r>
        <w:rPr>
          <w:rFonts w:hint="eastAsia" w:ascii="宋体" w:hAnsi="宋体" w:eastAsia="宋体" w:cs="宋体"/>
          <w:color w:val="000000"/>
        </w:rPr>
        <w:t xml:space="preserve">27.5 有下列情形之一的，视为投标人串通投标，投标无效：</w:t>
      </w:r>
      <w:bookmarkEnd w:id="157"/>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27.5.1不同投标人的投标文件由同一单位或者个人编制。</w:t>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27.5.2不同投标人委托同一单位或者个人办理投标事宜。</w:t>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27.5.3不同投标人的投标文件载明的项目管理成员或者联系人员为同一人。</w:t>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27.5.4不同投标人的投标文件异常一致或者投标报价呈规律性差异。</w:t>
      </w:r>
      <w:r/>
    </w:p>
    <w:p>
      <w:pPr>
        <w:ind w:firstLine="480"/>
        <w:jc w:val="left"/>
        <w:spacing w:line="560" w:lineRule="exact"/>
        <w:widowControl/>
        <w:rPr>
          <w:rFonts w:ascii="宋体" w:hAnsi="Times New Roman" w:eastAsia="宋体" w:cs="宋体"/>
          <w:b/>
          <w:bCs/>
          <w:color w:val="000000"/>
          <w:sz w:val="24"/>
          <w:szCs w:val="20"/>
        </w:rPr>
      </w:pPr>
      <w:r>
        <w:rPr>
          <w:rFonts w:hint="eastAsia" w:ascii="宋体" w:hAnsi="Times New Roman" w:eastAsia="宋体" w:cs="宋体"/>
          <w:b/>
          <w:bCs/>
          <w:color w:val="000000"/>
          <w:sz w:val="24"/>
          <w:szCs w:val="20"/>
        </w:rPr>
        <w:t xml:space="preserve">28、质疑处理</w:t>
      </w:r>
      <w:r/>
    </w:p>
    <w:p>
      <w:pPr>
        <w:pStyle w:val="721"/>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28.1提出质疑的供应商应当是参与所质疑项目采购活动的供应商。潜在供应商依法获取其可质疑的采购文件的，可以对采购文件提出质疑。</w:t>
      </w:r>
      <w:r/>
    </w:p>
    <w:p>
      <w:pPr>
        <w:pStyle w:val="721"/>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721"/>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28.2.1对可以质疑的采购文件提出质疑的，为收到采购文件之日或者采购文件公告期限届满之日；</w:t>
      </w:r>
      <w:r/>
    </w:p>
    <w:p>
      <w:pPr>
        <w:pStyle w:val="721"/>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28.2.2对采购过程提出质疑的，为各采购程序环节结束之日；</w:t>
      </w:r>
      <w:r/>
    </w:p>
    <w:p>
      <w:pPr>
        <w:pStyle w:val="721"/>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28.2.3对中标或者成交结果提出质疑的，为中标或者成交结果公告期限届满之日。</w:t>
      </w:r>
      <w:r/>
    </w:p>
    <w:p>
      <w:pPr>
        <w:pStyle w:val="721"/>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21"/>
        <w:ind w:firstLine="482"/>
        <w:jc w:val="both"/>
        <w:spacing w:beforeAutospacing="0" w:afterAutospacing="0" w:line="560" w:lineRule="exact"/>
        <w:rPr>
          <w:rFonts w:hint="eastAsia" w:ascii="宋体" w:hAnsi="宋体" w:eastAsia="宋体" w:cs="宋体"/>
          <w:b/>
          <w:bCs/>
          <w:color w:val="000000"/>
        </w:rPr>
      </w:pPr>
      <w:r>
        <w:rPr>
          <w:rFonts w:hint="eastAsia" w:ascii="宋体" w:hAnsi="宋体" w:eastAsia="宋体" w:cs="宋体"/>
          <w:b/>
          <w:bCs/>
          <w:color w:val="000000"/>
        </w:rPr>
        <w:t xml:space="preserve">28.4</w:t>
      </w:r>
      <w:r>
        <w:rPr>
          <w:rFonts w:hint="eastAsia" w:ascii="宋体" w:hAnsi="宋体" w:eastAsia="宋体" w:cs="宋体"/>
          <w:b/>
          <w:bCs/>
          <w:color w:val="000000" w:themeColor="text1"/>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b/>
          <w:bCs/>
          <w:color w:val="000000"/>
        </w:rPr>
        <w:t xml:space="preserve">供应商对除上述事项以外其他事项的询问、质疑请向采购中心提出，由采购中心负责答复。</w:t>
      </w:r>
      <w:r/>
    </w:p>
    <w:p>
      <w:pPr>
        <w:pStyle w:val="721"/>
        <w:ind w:firstLine="482"/>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采购中心及采购人只接收以纸质原件形式送达的质疑,采购人和采购中心不接受未填写快递运单的快件。质疑接收部门为公共资源交易中心业务受理处，联系地址：盐城市府西路1号市公共资源交易中心412室，联系电话：0515-86665052。</w:t>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28.5 以下情形的质疑不予受理</w:t>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28.5.1内容不符合《政府采购质疑和投诉办法》第十二条规定的质疑。</w:t>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28.5.2超出政府采购法定期限的质疑。</w:t>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28.5.3以传真、电子邮件等方式递交的非原件形式的质疑。</w:t>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28.5.4未参加投标活动的供应商或在投标活动中自身权益未受到损害的供应商所提出的质疑。</w:t>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28.5.5供应商组成联合体参加投标，联合体中任何一方或多方未按要求签字、盖章、加盖公章的质疑。</w:t>
      </w:r>
      <w:r/>
    </w:p>
    <w:p>
      <w:pPr>
        <w:pStyle w:val="721"/>
        <w:ind w:firstLine="468"/>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jc w:val="left"/>
        <w:spacing w:line="560" w:lineRule="exact"/>
        <w:widowControl/>
        <w:rPr>
          <w:rFonts w:ascii="宋体" w:hAnsi="Times New Roman" w:eastAsia="宋体" w:cs="宋体"/>
          <w:b/>
          <w:bCs/>
          <w:color w:val="000000"/>
          <w:sz w:val="24"/>
          <w:szCs w:val="20"/>
        </w:rPr>
      </w:pPr>
      <w:r>
        <w:rPr>
          <w:rFonts w:hint="eastAsia" w:ascii="宋体" w:hAnsi="Times New Roman" w:eastAsia="宋体" w:cs="宋体"/>
          <w:b/>
          <w:bCs/>
          <w:color w:val="000000"/>
          <w:sz w:val="24"/>
          <w:szCs w:val="20"/>
        </w:rPr>
        <w:t xml:space="preserve">29、中标通知书</w:t>
      </w:r>
      <w:r/>
    </w:p>
    <w:p>
      <w:pPr>
        <w:ind w:firstLine="480"/>
        <w:jc w:val="left"/>
        <w:spacing w:line="560" w:lineRule="exact"/>
        <w:widowControl/>
        <w:rPr>
          <w:rFonts w:hint="eastAsia" w:ascii="宋体" w:hAnsi="宋体" w:eastAsia="宋体" w:cs="宋体"/>
          <w:sz w:val="24"/>
        </w:rPr>
      </w:pPr>
      <w:r>
        <w:rPr>
          <w:rFonts w:hint="eastAsia" w:ascii="宋体" w:hAnsi="宋体" w:eastAsia="宋体" w:cs="宋体"/>
          <w:sz w:val="24"/>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560" w:lineRule="exact"/>
        <w:widowControl/>
        <w:rPr>
          <w:rFonts w:hint="eastAsia" w:ascii="宋体" w:hAnsi="宋体" w:eastAsia="宋体" w:cs="宋体"/>
          <w:sz w:val="24"/>
        </w:rPr>
      </w:pPr>
      <w:r>
        <w:rPr>
          <w:rFonts w:hint="eastAsia" w:ascii="宋体" w:hAnsi="宋体" w:eastAsia="宋体" w:cs="宋体"/>
          <w:sz w:val="24"/>
        </w:rPr>
        <w:t xml:space="preserve">29.2中标通知书将是合同的一个组成部分。对采购人和中标人均具有法律</w:t>
      </w:r>
      <w:r>
        <w:rPr>
          <w:rFonts w:hint="eastAsia" w:ascii="宋体" w:hAnsi="宋体" w:eastAsia="宋体" w:cs="宋体"/>
          <w:color w:val="000000"/>
          <w:sz w:val="24"/>
        </w:rPr>
        <w:t xml:space="preserve">效力。中标通知书发出后，采购人改变中标结果的，或者中标人放弃中标项目的，应当依法承担法律责任。</w:t>
      </w:r>
      <w:r/>
    </w:p>
    <w:p>
      <w:pPr>
        <w:ind w:firstLine="480"/>
        <w:jc w:val="left"/>
        <w:spacing w:line="560" w:lineRule="exact"/>
        <w:widowControl/>
        <w:rPr>
          <w:rFonts w:ascii="宋体" w:hAnsi="Times New Roman" w:eastAsia="Arial" w:cs="宋体"/>
          <w:b/>
          <w:bCs/>
          <w:color w:val="000000"/>
          <w:sz w:val="24"/>
          <w:szCs w:val="20"/>
          <w:lang w:val="zh-CN"/>
        </w:rPr>
      </w:pPr>
      <w:r/>
      <w:bookmarkStart w:id="158" w:name="_Toc513029236"/>
      <w:r/>
      <w:bookmarkStart w:id="159" w:name="_Toc16938552"/>
      <w:r/>
      <w:bookmarkStart w:id="160" w:name="_Toc20823308"/>
      <w:r/>
      <w:bookmarkStart w:id="161" w:name="_Toc120614220"/>
      <w:r>
        <w:rPr>
          <w:rFonts w:hint="eastAsia" w:ascii="宋体" w:hAnsi="Times New Roman" w:eastAsia="Arial" w:cs="宋体"/>
          <w:b/>
          <w:bCs/>
          <w:color w:val="000000"/>
          <w:sz w:val="24"/>
          <w:szCs w:val="20"/>
          <w:lang w:val="zh-CN"/>
        </w:rPr>
        <w:t xml:space="preserve">七、授予合同</w:t>
      </w:r>
      <w:bookmarkEnd w:id="158"/>
      <w:r/>
      <w:bookmarkEnd w:id="159"/>
      <w:r/>
      <w:bookmarkEnd w:id="160"/>
      <w:r/>
      <w:bookmarkEnd w:id="161"/>
      <w:r/>
      <w:r/>
    </w:p>
    <w:p>
      <w:pPr>
        <w:ind w:firstLine="480"/>
        <w:jc w:val="left"/>
        <w:spacing w:line="560" w:lineRule="exact"/>
        <w:widowControl/>
        <w:rPr>
          <w:rFonts w:ascii="宋体" w:hAnsi="Times New Roman" w:eastAsia="宋体" w:cs="宋体"/>
          <w:b/>
          <w:bCs/>
          <w:color w:val="000000"/>
          <w:sz w:val="24"/>
          <w:szCs w:val="20"/>
        </w:rPr>
      </w:pPr>
      <w:r/>
      <w:bookmarkStart w:id="162" w:name="_Toc513029237"/>
      <w:r/>
      <w:bookmarkStart w:id="163" w:name="_Toc16938553"/>
      <w:r/>
      <w:bookmarkStart w:id="164" w:name="_Toc20823309"/>
      <w:r>
        <w:rPr>
          <w:rFonts w:hint="eastAsia" w:ascii="宋体" w:hAnsi="Times New Roman" w:eastAsia="宋体" w:cs="宋体"/>
          <w:b/>
          <w:bCs/>
          <w:color w:val="000000"/>
          <w:sz w:val="24"/>
          <w:szCs w:val="20"/>
        </w:rPr>
        <w:t xml:space="preserve">30、签订合同</w:t>
      </w:r>
      <w:bookmarkEnd w:id="162"/>
      <w:r/>
      <w:bookmarkEnd w:id="163"/>
      <w:r/>
      <w:bookmarkEnd w:id="164"/>
      <w:r/>
      <w:r/>
    </w:p>
    <w:p>
      <w:pPr>
        <w:ind w:firstLine="480"/>
        <w:jc w:val="left"/>
        <w:spacing w:line="560" w:lineRule="exact"/>
        <w:widowControl/>
        <w:rPr>
          <w:rFonts w:hint="eastAsia" w:ascii="宋体" w:hAnsi="宋体" w:eastAsia="宋体" w:cs="宋体"/>
          <w:sz w:val="24"/>
        </w:rPr>
      </w:pPr>
      <w:r>
        <w:rPr>
          <w:rFonts w:hint="eastAsia" w:ascii="宋体" w:hAnsi="宋体" w:eastAsia="宋体" w:cs="宋体"/>
          <w:color w:val="000000"/>
          <w:sz w:val="24"/>
        </w:rPr>
        <w:t xml:space="preserve">30.l中标人应当在中标通知书发出之日起三十日内，按照招标文件确定的事项与采购人签订政府采购合同。</w:t>
      </w:r>
      <w:r/>
    </w:p>
    <w:p>
      <w:pPr>
        <w:pStyle w:val="721"/>
        <w:ind w:firstLine="60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30.2招标文件、中标人的投标文件及招标过程中有关澄清、承诺文件均应作为合同附件。</w:t>
      </w:r>
      <w:r/>
    </w:p>
    <w:p>
      <w:pPr>
        <w:pStyle w:val="721"/>
        <w:ind w:firstLine="60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30.3签订合同后，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ind w:firstLine="480"/>
        <w:jc w:val="left"/>
        <w:spacing w:line="560" w:lineRule="exact"/>
        <w:widowControl/>
        <w:rPr>
          <w:rFonts w:ascii="宋体" w:hAnsi="Times New Roman" w:eastAsia="宋体" w:cs="宋体"/>
          <w:b/>
          <w:bCs/>
          <w:color w:val="000000"/>
          <w:sz w:val="24"/>
          <w:szCs w:val="20"/>
        </w:rPr>
      </w:pPr>
      <w:r>
        <w:rPr>
          <w:rFonts w:hint="eastAsia" w:ascii="宋体" w:hAnsi="Times New Roman" w:eastAsia="宋体" w:cs="宋体"/>
          <w:b/>
          <w:bCs/>
          <w:color w:val="000000"/>
          <w:sz w:val="24"/>
          <w:szCs w:val="20"/>
        </w:rPr>
        <w:t xml:space="preserve">31、服务（包含与服务相关的货物）的追加</w:t>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spacing w:line="560" w:lineRule="exact"/>
        <w:widowControl/>
        <w:rPr>
          <w:rFonts w:ascii="宋体" w:hAnsi="Times New Roman" w:eastAsia="宋体" w:cs="宋体"/>
          <w:b/>
          <w:bCs/>
          <w:color w:val="000000"/>
          <w:sz w:val="24"/>
          <w:szCs w:val="20"/>
        </w:rPr>
      </w:pPr>
      <w:r>
        <w:rPr>
          <w:rFonts w:hint="eastAsia" w:ascii="宋体" w:hAnsi="Times New Roman" w:eastAsia="宋体" w:cs="宋体"/>
          <w:b/>
          <w:bCs/>
          <w:color w:val="000000"/>
          <w:sz w:val="24"/>
          <w:szCs w:val="20"/>
        </w:rPr>
        <w:t xml:space="preserve">32、政府采购政策功能落实</w:t>
      </w:r>
      <w:r/>
    </w:p>
    <w:p>
      <w:pPr>
        <w:pStyle w:val="721"/>
        <w:ind w:firstLine="600"/>
        <w:jc w:val="both"/>
        <w:keepLines/>
        <w:keepNext/>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32.1政府采购线上合同信用融资政策</w:t>
      </w:r>
      <w:r/>
    </w:p>
    <w:p>
      <w:pPr>
        <w:pStyle w:val="721"/>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560" w:lineRule="exact"/>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32.2进口产品</w:t>
      </w:r>
      <w:r/>
    </w:p>
    <w:p>
      <w:pPr>
        <w:pStyle w:val="721"/>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560" w:lineRule="exact"/>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32.3中小企业、监狱企业及残疾人福利性单位</w:t>
      </w:r>
      <w:r/>
    </w:p>
    <w:p>
      <w:pPr>
        <w:pStyle w:val="721"/>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32.3.1中小企业定义：</w:t>
      </w:r>
      <w:r/>
    </w:p>
    <w:p>
      <w:pPr>
        <w:pStyle w:val="721"/>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中小企业是</w:t>
      </w:r>
      <w:r>
        <w:rPr>
          <w:rFonts w:hint="eastAsia" w:ascii="宋体" w:hAnsi="宋体" w:eastAsia="宋体" w:cs="宋体"/>
          <w:color w:val="000000"/>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21"/>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32.3.2供应商提供的货物、工程或者服务符合下列情形的，享受中小企业扶持政策：</w:t>
      </w:r>
      <w:r/>
    </w:p>
    <w:p>
      <w:pPr>
        <w:pStyle w:val="721"/>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32.3.2.1在货物采购项目中，货物由中小企业制造，即货物由中小企业生产且使用该中小企业商号或者注册商标；</w:t>
      </w:r>
      <w:r/>
    </w:p>
    <w:p>
      <w:pPr>
        <w:pStyle w:val="721"/>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32.3.2.2在工程采购项目中，工程由中小企业承建，即工程施工单位为中小企业；</w:t>
      </w:r>
      <w:r/>
    </w:p>
    <w:p>
      <w:pPr>
        <w:pStyle w:val="721"/>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32.3.2.3在服务采购项目中，服务由中小企业承接，即提供服务的人员为中小企业依照《中华人民共和国劳动合同法》订立劳动合同的从业人员。</w:t>
      </w:r>
      <w:r/>
    </w:p>
    <w:p>
      <w:pPr>
        <w:pStyle w:val="721"/>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32.3.3在货物采购项目中，供应商提供的货物既有中小企业制造货物，也有大型企业制造货物的，不享受中小企业扶持政策。</w:t>
      </w:r>
      <w:r/>
    </w:p>
    <w:p>
      <w:pPr>
        <w:pStyle w:val="721"/>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32.3.4以联合体形式参加政府采购活动，联合体各方均为中小企业的，联合体视同中小企业。其中，联合体各方均为小微企业的，联合体视同小微企业。</w:t>
      </w:r>
      <w:r/>
    </w:p>
    <w:p>
      <w:pPr>
        <w:pStyle w:val="721"/>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21"/>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32.3.6残疾人福利单位定义：享受政府采购支持政策的残疾人福利性单位应当同时满足以下条件：</w:t>
      </w:r>
      <w:r/>
    </w:p>
    <w:p>
      <w:pPr>
        <w:pStyle w:val="721"/>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32.3.6.1安置的残疾人占本单位在职职工人数的比例不低于25%（含25%），并且安置的残疾人人数不少于10人（含10人）；</w:t>
      </w:r>
      <w:r/>
    </w:p>
    <w:p>
      <w:pPr>
        <w:pStyle w:val="721"/>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32.3.6.2依法与安置的每位残疾人签订了一年以上（含一年）的劳动合同或服务协议；</w:t>
      </w:r>
      <w:r/>
    </w:p>
    <w:p>
      <w:pPr>
        <w:pStyle w:val="721"/>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32.3.6.3为安置的每位残疾人按月足额缴纳了基本养老保险、基本医疗保险、失业保险、工伤保险和生育保险等社会保险费；</w:t>
      </w:r>
      <w:r/>
    </w:p>
    <w:p>
      <w:pPr>
        <w:pStyle w:val="721"/>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32.3.6.4通过银行等金融机构向安置的每位残疾人，按月支付了不低于单位所在区县适用的经省级人民政府批准的月最低工资标准的工资；</w:t>
      </w:r>
      <w:r/>
    </w:p>
    <w:p>
      <w:pPr>
        <w:pStyle w:val="721"/>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32.3.6.5提供本单位制造的货物、承担的工程或者服务（以下简称产品），或者提供其他残疾人福利性单位制造的货物（不包括使用非残疾人福利性单位注册商标的货物）；</w:t>
      </w:r>
      <w:r/>
    </w:p>
    <w:p>
      <w:pPr>
        <w:pStyle w:val="721"/>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721"/>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32.3.7本项目是否专门面向中小企业预留采购份额见第一章《</w:t>
      </w:r>
      <w:r>
        <w:rPr>
          <w:rFonts w:hint="eastAsia" w:ascii="宋体" w:hAnsi="宋体" w:eastAsia="宋体" w:cs="宋体"/>
        </w:rPr>
        <w:t xml:space="preserve">招标公告</w:t>
      </w:r>
      <w:r>
        <w:rPr>
          <w:rFonts w:hint="eastAsia" w:ascii="宋体" w:hAnsi="宋体" w:eastAsia="宋体" w:cs="宋体"/>
          <w:color w:val="000000"/>
        </w:rPr>
        <w:t xml:space="preserve">》。</w:t>
      </w:r>
      <w:r/>
    </w:p>
    <w:p>
      <w:pPr>
        <w:pStyle w:val="721"/>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32.3.8采购标的对应的中小企业划分标准所属行业见第四章《采购需求》。</w:t>
      </w:r>
      <w:r/>
    </w:p>
    <w:p>
      <w:pPr>
        <w:pStyle w:val="721"/>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32.3.9小微企业价格评审优惠的政策：见第五章《评标方法和评标标准》。</w:t>
      </w:r>
      <w:r/>
    </w:p>
    <w:p>
      <w:pPr>
        <w:pStyle w:val="721"/>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32.4政府采购节能产品、环境标志产品</w:t>
      </w:r>
      <w:r/>
    </w:p>
    <w:p>
      <w:pPr>
        <w:pStyle w:val="721"/>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32.4.1严格执行政府采购关于支持</w:t>
      </w:r>
      <w:r>
        <w:rPr>
          <w:rFonts w:hint="eastAsia" w:ascii="宋体" w:hAnsi="宋体" w:eastAsia="宋体" w:cs="宋体"/>
          <w:color w:val="000000"/>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21"/>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721"/>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32.5绿色包装</w:t>
      </w:r>
      <w:r/>
    </w:p>
    <w:p>
      <w:pPr>
        <w:pStyle w:val="721"/>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560" w:lineRule="exact"/>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32.6政府采购创新产品</w:t>
      </w:r>
      <w:r/>
    </w:p>
    <w:p>
      <w:pPr>
        <w:pStyle w:val="721"/>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采购人优先采购各级政府部门公开发布的有效期内的创新产品、创新服务、首台套、首购首用等《目录》的创新产品。</w:t>
      </w:r>
      <w:r/>
    </w:p>
    <w:p>
      <w:pPr>
        <w:ind w:firstLine="482"/>
        <w:spacing w:line="560" w:lineRule="exact"/>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32.7绿色数据中心政策 </w:t>
      </w:r>
      <w:r/>
    </w:p>
    <w:p>
      <w:pPr>
        <w:pStyle w:val="721"/>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w:t>
      </w:r>
      <w:r>
        <w:rPr>
          <w:rFonts w:hint="eastAsia" w:ascii="宋体" w:hAnsi="宋体" w:eastAsia="宋体" w:cs="宋体"/>
        </w:rPr>
        <w:t xml:space="preserve">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560" w:lineRule="exact"/>
        <w:rPr>
          <w:rFonts w:hint="eastAsia" w:ascii="宋体" w:hAnsi="宋体" w:eastAsia="宋体" w:cs="宋体"/>
          <w:b/>
          <w:bCs/>
          <w:sz w:val="24"/>
        </w:rPr>
      </w:pPr>
      <w:r>
        <w:rPr>
          <w:rFonts w:hint="eastAsia" w:ascii="宋体" w:hAnsi="宋体" w:eastAsia="宋体" w:cs="宋体"/>
          <w:b/>
          <w:bCs/>
          <w:sz w:val="24"/>
        </w:rPr>
        <w:t xml:space="preserve">32.8实施本国产品标准及相关政策</w:t>
      </w:r>
      <w:r/>
    </w:p>
    <w:p>
      <w:pPr>
        <w:ind w:firstLine="482"/>
        <w:spacing w:line="560" w:lineRule="exact"/>
        <w:rPr>
          <w:rFonts w:hint="eastAsia" w:ascii="宋体" w:hAnsi="宋体" w:eastAsia="宋体" w:cs="宋体"/>
          <w:b/>
          <w:bCs/>
          <w:sz w:val="24"/>
        </w:rPr>
      </w:pPr>
      <w:r>
        <w:rPr>
          <w:rFonts w:hint="eastAsia" w:ascii="宋体" w:hAnsi="宋体" w:eastAsia="宋体" w:cs="宋体"/>
          <w:b/>
          <w:bCs/>
          <w:sz w:val="24"/>
        </w:rPr>
        <w:t xml:space="preserve">1.本项目对采购本国产品给予政策支持。</w:t>
      </w:r>
      <w:r/>
    </w:p>
    <w:p>
      <w:pPr>
        <w:ind w:firstLine="482"/>
        <w:spacing w:line="560" w:lineRule="exact"/>
        <w:rPr>
          <w:rFonts w:hint="eastAsia" w:ascii="宋体" w:hAnsi="宋体" w:eastAsia="宋体" w:cs="宋体"/>
          <w:b/>
          <w:bCs/>
          <w:sz w:val="24"/>
        </w:rPr>
      </w:pPr>
      <w:r>
        <w:rPr>
          <w:rFonts w:hint="eastAsia" w:ascii="宋体" w:hAnsi="宋体" w:eastAsia="宋体" w:cs="宋体"/>
          <w:b/>
          <w:bCs/>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560" w:lineRule="exact"/>
        <w:rPr>
          <w:rFonts w:hint="eastAsia" w:ascii="宋体" w:hAnsi="宋体" w:eastAsia="宋体" w:cs="宋体"/>
          <w:sz w:val="24"/>
        </w:rPr>
      </w:pPr>
      <w:r>
        <w:rPr>
          <w:rFonts w:hint="eastAsia" w:ascii="宋体" w:hAnsi="宋体" w:eastAsia="宋体" w:cs="宋体"/>
          <w:b/>
          <w:bCs/>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560" w:lineRule="exact"/>
        <w:rPr>
          <w:rFonts w:hint="eastAsia" w:ascii="宋体" w:hAnsi="宋体" w:eastAsia="宋体" w:cs="宋体"/>
          <w:b/>
          <w:bCs/>
          <w:sz w:val="24"/>
        </w:rPr>
      </w:pPr>
      <w:r>
        <w:rPr>
          <w:rFonts w:hint="eastAsia" w:ascii="宋体" w:hAnsi="宋体" w:eastAsia="宋体" w:cs="宋体"/>
          <w:b/>
          <w:bCs/>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spacing w:line="56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32.9履约保证金政策</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确需收取履约保证金的，履约保证金的缴纳形式：</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 如以履约保函（保险）形式缴纳履约保证金，供应商可通过政府采购电子履约保函（保险）平台（www.jsdzbh.com）在线申请履约保函（保险）。</w:t>
      </w:r>
      <w:r/>
    </w:p>
    <w:p>
      <w:pPr>
        <w:ind w:firstLine="482"/>
        <w:jc w:val="left"/>
        <w:spacing w:line="560" w:lineRule="exact"/>
        <w:widowControl/>
        <w:rPr>
          <w:rFonts w:ascii="宋体" w:hAnsi="宋体" w:eastAsia="Arial" w:cs="宋体"/>
          <w:sz w:val="24"/>
          <w:szCs w:val="20"/>
          <w:highlight w:val="cyan"/>
        </w:rPr>
      </w:pPr>
      <w:r>
        <w:rPr>
          <w:rFonts w:hint="eastAsia" w:ascii="宋体" w:hAnsi="宋体" w:eastAsia="Arial" w:cs="宋体"/>
          <w:sz w:val="24"/>
          <w:szCs w:val="20"/>
        </w:rPr>
        <w:t xml:space="preserve">履约保证金金额为合同金额的</w:t>
      </w:r>
      <w:r>
        <w:rPr>
          <w:rFonts w:hint="eastAsia" w:ascii="宋体" w:hAnsi="宋体" w:cs="宋体"/>
          <w:sz w:val="24"/>
          <w:szCs w:val="20"/>
        </w:rPr>
        <w:t xml:space="preserve">5</w:t>
      </w:r>
      <w:r>
        <w:rPr>
          <w:rFonts w:hint="eastAsia" w:ascii="宋体" w:hAnsi="宋体" w:eastAsia="Arial" w:cs="宋体"/>
          <w:sz w:val="24"/>
          <w:szCs w:val="20"/>
        </w:rPr>
        <w:t xml:space="preserve">%，采购人对第三方信用服务机构依据标准规范评定为 AA 级及以上的政府采购供应商（需在签订采购合同前提供信用管理 部门备案的第三方信用报告，且信用报告通过“信用盐城网”可查实），免收履约保证金。</w:t>
      </w:r>
      <w:r/>
    </w:p>
    <w:p>
      <w:pPr>
        <w:ind w:firstLine="480"/>
        <w:jc w:val="left"/>
        <w:spacing w:line="560" w:lineRule="exact"/>
        <w:widowControl/>
        <w:rPr>
          <w:rFonts w:ascii="宋体" w:hAnsi="Times New Roman" w:eastAsia="宋体" w:cs="宋体"/>
          <w:b/>
          <w:bCs/>
          <w:color w:val="000000"/>
          <w:sz w:val="24"/>
          <w:szCs w:val="20"/>
        </w:rPr>
      </w:pPr>
      <w:r>
        <w:rPr>
          <w:rFonts w:hint="eastAsia" w:ascii="宋体" w:hAnsi="Times New Roman" w:eastAsia="宋体" w:cs="宋体"/>
          <w:b/>
          <w:bCs/>
          <w:color w:val="000000"/>
          <w:sz w:val="24"/>
          <w:szCs w:val="20"/>
        </w:rPr>
        <w:t xml:space="preserve">33.预付款制度</w:t>
      </w:r>
      <w:r/>
    </w:p>
    <w:p>
      <w:pPr>
        <w:pStyle w:val="721"/>
        <w:ind w:firstLine="480"/>
        <w:spacing w:beforeAutospacing="0" w:afterAutospacing="0" w:line="560" w:lineRule="exact"/>
        <w:rPr>
          <w:rFonts w:hint="eastAsia" w:ascii="黑体" w:hAnsi="宋体" w:eastAsia="黑体" w:cs="黑体"/>
          <w:b/>
          <w:color w:val="000000"/>
          <w:sz w:val="44"/>
          <w:szCs w:val="44"/>
        </w:rPr>
      </w:pPr>
      <w:r>
        <w:rPr>
          <w:rFonts w:hint="eastAsia" w:ascii="宋体" w:hAnsi="宋体" w:eastAsia="宋体" w:cs="宋体"/>
          <w:color w:val="000000"/>
        </w:rPr>
        <w:t xml:space="preserve">本项目落实预付款制度，预付款比例为</w:t>
      </w:r>
      <w:r>
        <w:rPr>
          <w:rFonts w:hint="eastAsia" w:ascii="宋体" w:hAnsi="宋体" w:eastAsia="宋体" w:cs="宋体"/>
          <w:color w:val="000000"/>
          <w:lang w:val="en-US" w:eastAsia="zh-CN"/>
        </w:rPr>
        <w:t xml:space="preserve">5</w:t>
      </w:r>
      <w:r>
        <w:rPr>
          <w:rFonts w:hint="eastAsia" w:ascii="宋体" w:hAnsi="宋体" w:eastAsia="宋体" w:cs="宋体"/>
          <w:color w:val="000000"/>
        </w:rPr>
        <w:t xml:space="preserve">0%（</w:t>
      </w:r>
      <w:r>
        <w:rPr>
          <w:rFonts w:hint="eastAsia" w:ascii="宋体" w:hAnsi="宋体" w:eastAsia="宋体" w:cs="宋体"/>
        </w:rPr>
        <w:t xml:space="preserve">原则上不低于合同金额的30%）</w:t>
      </w:r>
      <w:r>
        <w:rPr>
          <w:rFonts w:hint="eastAsia" w:ascii="宋体" w:hAnsi="宋体" w:eastAsia="宋体" w:cs="宋体"/>
          <w:color w:val="000000"/>
        </w:rPr>
        <w:t xml:space="preserve">。在签订合同时，中标、成交供应商明确书面表示无需预付款或者主动要求降低预付款比例的，采购人可就预付款比例作相应调整。</w:t>
      </w:r>
      <w:r/>
    </w:p>
    <w:p>
      <w:pPr>
        <w:pStyle w:val="721"/>
        <w:ind w:firstLine="2209"/>
        <w:keepLines/>
        <w:keepNext/>
        <w:spacing w:before="260" w:beforeAutospacing="0" w:after="260" w:afterAutospacing="0" w:line="560" w:lineRule="exact"/>
        <w:rPr>
          <w:rFonts w:hint="eastAsia" w:ascii="黑体" w:hAnsi="宋体" w:eastAsia="黑体" w:cs="黑体"/>
          <w:b/>
          <w:color w:val="000000"/>
          <w:sz w:val="44"/>
          <w:szCs w:val="44"/>
        </w:rPr>
      </w:pPr>
      <w:r>
        <w:rPr>
          <w:rFonts w:hint="eastAsia" w:ascii="黑体" w:hAnsi="宋体" w:eastAsia="黑体" w:cs="黑体"/>
          <w:b/>
          <w:color w:val="000000"/>
          <w:sz w:val="44"/>
          <w:szCs w:val="44"/>
        </w:rPr>
      </w:r>
      <w:r/>
    </w:p>
    <w:p>
      <w:pPr>
        <w:spacing w:line="560" w:lineRule="exact"/>
        <w:rPr>
          <w:rFonts w:hint="eastAsia" w:ascii="黑体" w:hAnsi="宋体" w:eastAsia="黑体" w:cs="黑体"/>
          <w:b/>
          <w:color w:val="000000"/>
          <w:sz w:val="44"/>
          <w:szCs w:val="44"/>
        </w:rPr>
      </w:pPr>
      <w:r>
        <w:rPr>
          <w:rFonts w:hint="eastAsia" w:ascii="黑体" w:hAnsi="宋体" w:eastAsia="黑体" w:cs="黑体"/>
          <w:b/>
          <w:color w:val="000000"/>
          <w:sz w:val="44"/>
          <w:szCs w:val="44"/>
        </w:rPr>
      </w:r>
      <w:r/>
    </w:p>
    <w:p>
      <w:pPr>
        <w:shd w:val="nil" w:color="auto"/>
        <w:rPr>
          <w:rFonts w:hint="eastAsia" w:ascii="黑体" w:hAnsi="宋体" w:eastAsia="黑体" w:cs="黑体"/>
          <w:color w:val="000000"/>
          <w:sz w:val="44"/>
          <w:szCs w:val="44"/>
          <w:highlight w:val="none"/>
        </w:rPr>
      </w:pPr>
      <w:r>
        <w:rPr>
          <w:rFonts w:hint="eastAsia" w:ascii="黑体" w:hAnsi="宋体" w:eastAsia="黑体" w:cs="黑体"/>
          <w:bCs/>
          <w:color w:val="000000"/>
          <w:sz w:val="44"/>
          <w:szCs w:val="44"/>
          <w:highlight w:val="none"/>
        </w:rPr>
        <w:br w:type="page" w:clear="all"/>
      </w:r>
      <w:r>
        <w:rPr>
          <w:rFonts w:hint="eastAsia" w:ascii="黑体" w:hAnsi="宋体" w:eastAsia="黑体" w:cs="黑体"/>
          <w:bCs/>
          <w:color w:val="000000"/>
          <w:sz w:val="44"/>
          <w:szCs w:val="44"/>
          <w:highlight w:val="none"/>
        </w:rPr>
      </w:r>
      <w:r/>
    </w:p>
    <w:p>
      <w:pPr>
        <w:pStyle w:val="721"/>
        <w:jc w:val="center"/>
        <w:keepLines/>
        <w:keepNext/>
        <w:spacing w:before="260" w:beforeAutospacing="0" w:after="260" w:afterAutospacing="0" w:line="560" w:lineRule="exact"/>
        <w:rPr>
          <w:rFonts w:hint="eastAsia" w:ascii="黑体" w:hAnsi="宋体" w:eastAsia="黑体" w:cs="黑体"/>
          <w:color w:val="000000"/>
          <w:sz w:val="44"/>
          <w:szCs w:val="44"/>
          <w:highlight w:val="none"/>
        </w:rPr>
      </w:pPr>
      <w:r>
        <w:rPr>
          <w:rFonts w:hint="eastAsia" w:ascii="黑体" w:hAnsi="宋体" w:eastAsia="黑体" w:cs="黑体"/>
          <w:bCs/>
          <w:color w:val="000000"/>
          <w:sz w:val="44"/>
          <w:szCs w:val="44"/>
        </w:rPr>
        <w:t xml:space="preserve">第三章 合同文本</w:t>
      </w:r>
      <w:r/>
    </w:p>
    <w:p>
      <w:pPr>
        <w:ind w:firstLine="480"/>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项目名称：盐城市第四人民医院智慧处方点评系统项目</w:t>
      </w:r>
      <w:r/>
    </w:p>
    <w:p>
      <w:pPr>
        <w:ind w:firstLine="480"/>
        <w:spacing w:line="560" w:lineRule="exact"/>
        <w:rPr>
          <w:rFonts w:hint="eastAsia" w:ascii="宋体" w:hAnsi="宋体" w:eastAsia="宋体" w:cs="Times New Roman"/>
          <w:color w:val="000000"/>
          <w:sz w:val="24"/>
          <w:lang w:eastAsia="zh-CN"/>
        </w:rPr>
      </w:pPr>
      <w:r>
        <w:rPr>
          <w:rFonts w:hint="eastAsia" w:ascii="宋体" w:hAnsi="宋体" w:eastAsia="宋体" w:cs="Times New Roman"/>
          <w:color w:val="000000"/>
          <w:sz w:val="24"/>
        </w:rPr>
        <w:t xml:space="preserve">项目编号：</w:t>
      </w:r>
      <w:r>
        <w:rPr>
          <w:rFonts w:hint="eastAsia" w:ascii="宋体" w:hAnsi="宋体" w:eastAsia="宋体" w:cs="Times New Roman"/>
          <w:color w:val="000000"/>
          <w:sz w:val="24"/>
          <w:lang w:eastAsia="zh-CN"/>
        </w:rPr>
        <w:t xml:space="preserve">JSZC-320900-JZCG-G2026-0063</w:t>
      </w:r>
      <w:r/>
    </w:p>
    <w:p>
      <w:pPr>
        <w:ind w:firstLine="480"/>
        <w:spacing w:line="560" w:lineRule="exact"/>
        <w:rPr>
          <w:rFonts w:hint="eastAsia" w:ascii="宋体" w:hAnsi="宋体" w:eastAsia="宋体" w:cs="Times New Roman"/>
          <w:color w:val="000000"/>
          <w:sz w:val="24"/>
          <w:u w:val="single"/>
        </w:rPr>
      </w:pPr>
      <w:r>
        <w:rPr>
          <w:rFonts w:hint="eastAsia" w:ascii="宋体" w:hAnsi="宋体" w:eastAsia="宋体" w:cs="Times New Roman"/>
          <w:color w:val="000000"/>
          <w:sz w:val="24"/>
        </w:rPr>
        <w:t xml:space="preserve">甲方：（买方）</w:t>
      </w:r>
      <w:r>
        <w:rPr>
          <w:rFonts w:hint="eastAsia" w:ascii="宋体" w:hAnsi="宋体" w:eastAsia="宋体" w:cs="Times New Roman"/>
          <w:color w:val="000000"/>
          <w:sz w:val="24"/>
          <w:u w:val="single"/>
        </w:rPr>
        <w:t xml:space="preserve">                       </w:t>
      </w:r>
      <w:r/>
    </w:p>
    <w:p>
      <w:pPr>
        <w:ind w:firstLine="480"/>
        <w:spacing w:line="560" w:lineRule="exact"/>
        <w:rPr>
          <w:rFonts w:hint="eastAsia" w:ascii="宋体" w:hAnsi="宋体" w:eastAsia="宋体" w:cs="Times New Roman"/>
          <w:color w:val="000000"/>
          <w:sz w:val="24"/>
          <w:u w:val="single"/>
        </w:rPr>
      </w:pPr>
      <w:r>
        <w:rPr>
          <w:rFonts w:hint="eastAsia" w:ascii="宋体" w:hAnsi="宋体" w:eastAsia="宋体" w:cs="Times New Roman"/>
          <w:color w:val="000000"/>
          <w:sz w:val="24"/>
        </w:rPr>
        <w:t xml:space="preserve">乙方：（卖方）</w:t>
      </w:r>
      <w:r>
        <w:rPr>
          <w:rFonts w:hint="eastAsia" w:ascii="宋体" w:hAnsi="宋体" w:eastAsia="宋体" w:cs="Times New Roman"/>
          <w:color w:val="000000"/>
          <w:sz w:val="24"/>
          <w:u w:val="single"/>
        </w:rPr>
        <w:t xml:space="preserve">                       </w:t>
      </w:r>
      <w:r/>
    </w:p>
    <w:p>
      <w:pPr>
        <w:ind w:firstLine="480"/>
        <w:spacing w:line="560" w:lineRule="exact"/>
        <w:rPr>
          <w:rFonts w:hint="eastAsia" w:ascii="宋体" w:hAnsi="宋体" w:eastAsia="宋体" w:cs="Times New Roman"/>
          <w:b/>
          <w:color w:val="000000"/>
          <w:sz w:val="24"/>
        </w:rPr>
      </w:pPr>
      <w:r>
        <w:rPr>
          <w:rFonts w:hint="eastAsia" w:ascii="宋体" w:hAnsi="宋体" w:eastAsia="宋体" w:cs="Times New Roman"/>
          <w:color w:val="000000"/>
          <w:sz w:val="24"/>
        </w:rPr>
        <w:t xml:space="preserve">甲、乙双方根据盐城市政府采购中心</w:t>
      </w:r>
      <w:r>
        <w:rPr>
          <w:rFonts w:hint="eastAsia" w:ascii="宋体" w:hAnsi="宋体" w:eastAsia="宋体" w:cs="Times New Roman"/>
          <w:color w:val="000000"/>
          <w:sz w:val="24"/>
          <w:u w:val="single"/>
        </w:rPr>
        <w:t xml:space="preserve">盐城市第四人民医院智慧处方点评系统项目</w:t>
      </w:r>
      <w:r>
        <w:rPr>
          <w:rFonts w:hint="eastAsia" w:ascii="宋体" w:hAnsi="宋体" w:eastAsia="宋体" w:cs="Times New Roman"/>
          <w:color w:val="000000"/>
          <w:sz w:val="24"/>
        </w:rPr>
        <w:t xml:space="preserve">公开招标的结果，签署本合同。</w:t>
      </w:r>
      <w:r/>
    </w:p>
    <w:p>
      <w:pPr>
        <w:ind w:firstLine="482"/>
        <w:spacing w:line="560" w:lineRule="exact"/>
        <w:rPr>
          <w:rFonts w:hint="eastAsia" w:ascii="宋体" w:hAnsi="宋体" w:eastAsia="宋体" w:cs="Times New Roman"/>
          <w:b/>
          <w:color w:val="000000"/>
          <w:sz w:val="24"/>
        </w:rPr>
      </w:pPr>
      <w:r>
        <w:rPr>
          <w:rFonts w:hint="eastAsia" w:ascii="宋体" w:hAnsi="宋体" w:eastAsia="宋体" w:cs="Times New Roman"/>
          <w:b/>
          <w:color w:val="000000"/>
          <w:sz w:val="24"/>
        </w:rPr>
        <w:t xml:space="preserve">一、采购标的</w:t>
      </w:r>
      <w:r/>
    </w:p>
    <w:p>
      <w:pPr>
        <w:ind w:firstLine="480"/>
        <w:spacing w:line="560" w:lineRule="exact"/>
        <w:rPr>
          <w:rFonts w:hint="eastAsia" w:ascii="宋体" w:hAnsi="宋体" w:eastAsia="宋体" w:cs="Times New Roman"/>
          <w:color w:val="000000"/>
          <w:sz w:val="24"/>
          <w:u w:val="single"/>
        </w:rPr>
      </w:pPr>
      <w:r>
        <w:rPr>
          <w:rFonts w:hint="eastAsia" w:ascii="宋体" w:hAnsi="宋体" w:eastAsia="宋体" w:cs="Times New Roman"/>
          <w:color w:val="000000"/>
          <w:sz w:val="24"/>
        </w:rPr>
        <w:t xml:space="preserve">1.1 产品/服务内容：</w:t>
      </w:r>
      <w:r>
        <w:rPr>
          <w:rFonts w:hint="eastAsia" w:ascii="宋体" w:hAnsi="宋体" w:eastAsia="宋体" w:cs="Times New Roman"/>
          <w:color w:val="000000"/>
          <w:sz w:val="24"/>
          <w:u w:val="single"/>
        </w:rPr>
        <w:t xml:space="preserve">盐城市第四人民医院智慧处方点评系统项目</w:t>
      </w:r>
      <w:r>
        <w:rPr>
          <w:rFonts w:hint="eastAsia" w:ascii="宋体" w:hAnsi="宋体" w:eastAsia="宋体" w:cs="Times New Roman"/>
          <w:color w:val="000000"/>
          <w:sz w:val="24"/>
        </w:rPr>
        <w:t xml:space="preserve">。</w:t>
      </w:r>
      <w:r/>
    </w:p>
    <w:p>
      <w:pPr>
        <w:ind w:firstLine="480"/>
        <w:spacing w:line="560" w:lineRule="exact"/>
        <w:rPr>
          <w:rFonts w:hint="eastAsia" w:ascii="宋体" w:hAnsi="宋体" w:eastAsia="宋体" w:cs="Times New Roman"/>
          <w:color w:val="000000"/>
          <w:sz w:val="24"/>
          <w:u w:val="single"/>
        </w:rPr>
      </w:pPr>
      <w:r>
        <w:rPr>
          <w:rFonts w:hint="eastAsia" w:ascii="宋体" w:hAnsi="宋体" w:eastAsia="宋体" w:cs="Times New Roman"/>
          <w:color w:val="000000"/>
          <w:sz w:val="24"/>
        </w:rPr>
        <w:t xml:space="preserve">1.2 服务期限：</w:t>
      </w:r>
      <w:r>
        <w:rPr>
          <w:rFonts w:hint="eastAsia" w:ascii="宋体" w:hAnsi="宋体" w:eastAsia="宋体" w:cs="Times New Roman"/>
          <w:color w:val="000000"/>
          <w:sz w:val="24"/>
          <w:u w:val="single"/>
        </w:rPr>
        <w:t xml:space="preserve">  二年    </w:t>
      </w:r>
      <w:r>
        <w:rPr>
          <w:rFonts w:hint="eastAsia" w:ascii="宋体" w:hAnsi="宋体" w:eastAsia="宋体" w:cs="Times New Roman"/>
          <w:color w:val="000000"/>
          <w:sz w:val="24"/>
        </w:rPr>
        <w:t xml:space="preserve">。</w:t>
      </w:r>
      <w:r/>
    </w:p>
    <w:p>
      <w:pPr>
        <w:ind w:firstLine="482"/>
        <w:spacing w:line="560" w:lineRule="exact"/>
        <w:rPr>
          <w:rFonts w:hint="eastAsia" w:ascii="宋体" w:hAnsi="宋体" w:eastAsia="宋体" w:cs="Times New Roman"/>
          <w:b/>
          <w:color w:val="000000"/>
          <w:sz w:val="24"/>
        </w:rPr>
      </w:pPr>
      <w:r>
        <w:rPr>
          <w:rFonts w:hint="eastAsia" w:ascii="宋体" w:hAnsi="宋体" w:eastAsia="宋体" w:cs="Times New Roman"/>
          <w:b/>
          <w:color w:val="000000"/>
          <w:sz w:val="24"/>
        </w:rPr>
        <w:t xml:space="preserve">二、合同金额</w:t>
      </w:r>
      <w:r/>
    </w:p>
    <w:p>
      <w:pPr>
        <w:ind w:firstLine="480"/>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2.1 本合同金额为（大写）：____________圆整（￥__________元）人民币。</w:t>
      </w:r>
      <w:r/>
    </w:p>
    <w:p>
      <w:pPr>
        <w:ind w:firstLine="480"/>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本合同价款包含所有乙方提供合同约定产品和服务的报酬及乙方提供合同中产品和服务所支出的必要费用，甲方在上述合同价款之外不再向乙方支付其他任何费用。</w:t>
      </w:r>
      <w:r/>
    </w:p>
    <w:p>
      <w:pPr>
        <w:ind w:firstLine="482"/>
        <w:spacing w:line="560" w:lineRule="exact"/>
        <w:rPr>
          <w:rFonts w:hint="eastAsia" w:ascii="宋体" w:hAnsi="宋体" w:eastAsia="宋体" w:cs="Times New Roman"/>
          <w:b/>
          <w:color w:val="000000"/>
          <w:sz w:val="24"/>
        </w:rPr>
      </w:pPr>
      <w:r>
        <w:rPr>
          <w:rFonts w:hint="eastAsia" w:ascii="宋体" w:hAnsi="宋体" w:eastAsia="宋体" w:cs="Times New Roman"/>
          <w:b/>
          <w:color w:val="000000"/>
          <w:sz w:val="24"/>
        </w:rPr>
        <w:t xml:space="preserve">三、技术资料</w:t>
      </w:r>
      <w:r/>
    </w:p>
    <w:p>
      <w:pPr>
        <w:ind w:firstLine="480"/>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3.1乙方应按招标文件规定的时间向甲方提供有关技术资料。</w:t>
      </w:r>
      <w:r/>
    </w:p>
    <w:p>
      <w:pPr>
        <w:ind w:firstLine="480"/>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560" w:lineRule="exact"/>
        <w:rPr>
          <w:rFonts w:hint="eastAsia" w:ascii="宋体" w:hAnsi="宋体" w:eastAsia="宋体" w:cs="Times New Roman"/>
          <w:b/>
          <w:color w:val="000000"/>
          <w:sz w:val="24"/>
        </w:rPr>
      </w:pPr>
      <w:r>
        <w:rPr>
          <w:rFonts w:hint="eastAsia" w:ascii="宋体" w:hAnsi="宋体" w:eastAsia="宋体" w:cs="Times New Roman"/>
          <w:b/>
          <w:color w:val="000000"/>
          <w:sz w:val="24"/>
        </w:rPr>
        <w:t xml:space="preserve">四、知识产权</w:t>
      </w:r>
      <w:r/>
    </w:p>
    <w:p>
      <w:pPr>
        <w:ind w:firstLine="480"/>
        <w:spacing w:line="560" w:lineRule="exact"/>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t xml:space="preserve">乙方应保证甲方在使用、接受本合同中产品和服务或其任何一部分时不受第三方提出侵犯其专利权、版权、商标权和工业设计权等知识产权的起诉。一旦出现侵权，由乙方负全部责任。</w:t>
      </w:r>
      <w:r/>
    </w:p>
    <w:p>
      <w:pPr>
        <w:ind w:firstLine="482"/>
        <w:spacing w:line="560" w:lineRule="exact"/>
        <w:rPr>
          <w:rFonts w:hint="eastAsia" w:ascii="宋体" w:hAnsi="宋体" w:eastAsia="宋体" w:cs="Times New Roman"/>
          <w:color w:val="000000"/>
          <w:sz w:val="24"/>
          <w:u w:val="single"/>
        </w:rPr>
      </w:pPr>
      <w:r>
        <w:rPr>
          <w:rFonts w:hint="eastAsia" w:ascii="宋体" w:hAnsi="宋体" w:eastAsia="宋体" w:cs="Times New Roman"/>
          <w:b/>
          <w:color w:val="000000"/>
          <w:sz w:val="24"/>
        </w:rPr>
        <w:t xml:space="preserve">五、产权担保</w:t>
      </w:r>
      <w:r/>
    </w:p>
    <w:p>
      <w:pPr>
        <w:ind w:firstLine="480"/>
        <w:spacing w:line="560" w:lineRule="exact"/>
        <w:rPr>
          <w:rFonts w:hint="eastAsia" w:ascii="宋体" w:hAnsi="宋体" w:eastAsia="宋体" w:cs="Times New Roman"/>
          <w:color w:val="000000"/>
          <w:sz w:val="24"/>
          <w:u w:val="single"/>
        </w:rPr>
      </w:pPr>
      <w:r>
        <w:rPr>
          <w:rFonts w:hint="eastAsia" w:ascii="宋体" w:hAnsi="宋体" w:eastAsia="宋体" w:cs="Times New Roman"/>
          <w:color w:val="000000"/>
          <w:sz w:val="24"/>
        </w:rPr>
        <w:t xml:space="preserve">乙方保证所交付标的的所有权完全属于乙方且无任何抵押、查封等产权瑕疵。</w:t>
      </w:r>
      <w:r/>
    </w:p>
    <w:p>
      <w:pPr>
        <w:ind w:firstLine="482"/>
        <w:spacing w:line="560" w:lineRule="exact"/>
        <w:rPr>
          <w:rFonts w:hint="eastAsia" w:ascii="宋体" w:hAnsi="宋体" w:eastAsia="宋体" w:cs="Times New Roman"/>
          <w:b/>
          <w:color w:val="000000"/>
          <w:sz w:val="24"/>
        </w:rPr>
      </w:pPr>
      <w:r>
        <w:rPr>
          <w:rFonts w:hint="eastAsia" w:ascii="宋体" w:hAnsi="宋体" w:eastAsia="宋体" w:cs="Times New Roman"/>
          <w:b/>
          <w:color w:val="000000"/>
          <w:sz w:val="24"/>
        </w:rPr>
        <w:t xml:space="preserve">六、履约保证金</w:t>
      </w:r>
      <w:r/>
    </w:p>
    <w:p>
      <w:pPr>
        <w:ind w:firstLine="480"/>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本项目免收履约保证金。</w:t>
      </w:r>
      <w:r/>
    </w:p>
    <w:p>
      <w:pPr>
        <w:ind w:firstLine="482"/>
        <w:spacing w:line="560" w:lineRule="exact"/>
        <w:rPr>
          <w:rFonts w:hint="eastAsia" w:ascii="宋体" w:hAnsi="宋体" w:eastAsia="宋体" w:cs="Times New Roman"/>
          <w:b/>
          <w:color w:val="000000"/>
          <w:sz w:val="24"/>
        </w:rPr>
      </w:pPr>
      <w:r>
        <w:rPr>
          <w:rFonts w:hint="eastAsia" w:ascii="宋体" w:hAnsi="宋体" w:eastAsia="宋体" w:cs="Times New Roman"/>
          <w:b/>
          <w:color w:val="000000"/>
          <w:sz w:val="24"/>
        </w:rPr>
        <w:t xml:space="preserve">七、转包或分包</w:t>
      </w:r>
      <w:r/>
    </w:p>
    <w:p>
      <w:pPr>
        <w:ind w:firstLine="480"/>
        <w:spacing w:line="560" w:lineRule="exact"/>
        <w:rPr>
          <w:rFonts w:ascii="宋体" w:hAnsi="宋体" w:eastAsia="仿宋_GB2312" w:cs="Times New Roman"/>
          <w:color w:val="000000"/>
          <w:sz w:val="24"/>
        </w:rPr>
      </w:pPr>
      <w:r>
        <w:rPr>
          <w:rFonts w:ascii="宋体" w:hAnsi="宋体" w:eastAsia="宋体" w:cs="Times New Roman"/>
          <w:color w:val="000000"/>
          <w:sz w:val="24"/>
        </w:rPr>
        <w:t xml:space="preserve">7.1</w:t>
      </w:r>
      <w:r>
        <w:rPr>
          <w:rFonts w:hint="eastAsia" w:ascii="宋体" w:hAnsi="宋体" w:eastAsia="宋体" w:cs="Times New Roman"/>
          <w:color w:val="000000"/>
          <w:sz w:val="24"/>
        </w:rPr>
        <w:t xml:space="preserve">本合同范围内产品或服务，应由乙方直接供应，不得转让他人供应；</w:t>
      </w:r>
      <w:r/>
    </w:p>
    <w:p>
      <w:pPr>
        <w:ind w:firstLine="480"/>
        <w:spacing w:line="560" w:lineRule="exact"/>
        <w:rPr>
          <w:rFonts w:ascii="宋体" w:hAnsi="宋体" w:eastAsia="仿宋_GB2312" w:cs="Times New Roman"/>
          <w:color w:val="000000"/>
          <w:sz w:val="24"/>
        </w:rPr>
      </w:pPr>
      <w:r>
        <w:rPr>
          <w:rFonts w:ascii="宋体" w:hAnsi="宋体" w:eastAsia="宋体" w:cs="Times New Roman"/>
          <w:color w:val="000000"/>
          <w:sz w:val="24"/>
        </w:rPr>
        <w:t xml:space="preserve">7.2 </w:t>
      </w:r>
      <w:r>
        <w:rPr>
          <w:rFonts w:hint="eastAsia" w:ascii="宋体" w:hAnsi="宋体" w:eastAsia="宋体" w:cs="Times New Roman"/>
          <w:color w:val="000000"/>
          <w:sz w:val="24"/>
        </w:rPr>
        <w:t xml:space="preserve">除非得到甲方的书面同意，乙方不得部分分包给他人供应。</w:t>
      </w:r>
      <w:r/>
    </w:p>
    <w:p>
      <w:pPr>
        <w:ind w:firstLine="480"/>
        <w:spacing w:line="560" w:lineRule="exact"/>
        <w:rPr>
          <w:rFonts w:hint="eastAsia" w:ascii="宋体" w:hAnsi="宋体" w:eastAsia="宋体" w:cs="Times New Roman"/>
          <w:b/>
          <w:color w:val="000000"/>
          <w:sz w:val="24"/>
        </w:rPr>
      </w:pPr>
      <w:r>
        <w:rPr>
          <w:rFonts w:ascii="宋体" w:hAnsi="宋体" w:eastAsia="宋体" w:cs="Times New Roman"/>
          <w:color w:val="000000"/>
          <w:sz w:val="24"/>
        </w:rPr>
        <w:t xml:space="preserve">7.3</w:t>
      </w:r>
      <w:r>
        <w:rPr>
          <w:rFonts w:hint="eastAsia" w:ascii="宋体" w:hAnsi="宋体" w:eastAsia="宋体" w:cs="Times New Roman"/>
          <w:color w:val="000000"/>
          <w:sz w:val="24"/>
        </w:rPr>
        <w:t xml:space="preserve">如有转让和未经甲方同意的分包行为，甲方有权给予终止合同。 </w:t>
      </w:r>
      <w:r/>
    </w:p>
    <w:p>
      <w:pPr>
        <w:ind w:firstLine="482"/>
        <w:spacing w:line="560" w:lineRule="exact"/>
        <w:rPr>
          <w:rFonts w:ascii="Times New Roman" w:hAnsi="Times New Roman" w:eastAsia="宋体" w:cs="Times New Roman"/>
          <w:b/>
          <w:color w:val="000000"/>
          <w:sz w:val="24"/>
        </w:rPr>
      </w:pPr>
      <w:r>
        <w:rPr>
          <w:rFonts w:hint="eastAsia" w:ascii="Times New Roman" w:hAnsi="宋体" w:eastAsia="宋体" w:cs="Times New Roman"/>
          <w:b/>
          <w:color w:val="000000"/>
          <w:sz w:val="24"/>
        </w:rPr>
        <w:t xml:space="preserve">八、合同款支付</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b/>
          <w:bCs/>
          <w:sz w:val="24"/>
          <w:szCs w:val="20"/>
        </w:rPr>
        <w:t xml:space="preserve">8.1.1 预付款支付时间：</w:t>
      </w:r>
      <w:r>
        <w:rPr>
          <w:rFonts w:hint="eastAsia" w:ascii="宋体" w:hAnsi="宋体" w:eastAsia="宋体" w:cs="宋体"/>
          <w:sz w:val="24"/>
          <w:szCs w:val="20"/>
        </w:rPr>
        <w:t xml:space="preserve">合同签订后，采购人收到预付款发票后10个工作日内，预付款支付比例：合同金额的</w:t>
      </w:r>
      <w:r>
        <w:rPr>
          <w:rFonts w:hint="eastAsia" w:ascii="宋体" w:hAnsi="宋体" w:eastAsia="宋体" w:cs="宋体"/>
          <w:sz w:val="24"/>
          <w:szCs w:val="20"/>
          <w:lang w:val="en-US" w:eastAsia="zh-CN"/>
        </w:rPr>
        <w:t xml:space="preserve">50</w:t>
      </w:r>
      <w:r>
        <w:rPr>
          <w:rFonts w:hint="eastAsia" w:ascii="宋体" w:hAnsi="宋体" w:eastAsia="宋体" w:cs="宋体"/>
          <w:sz w:val="24"/>
          <w:szCs w:val="20"/>
        </w:rPr>
        <w:t xml:space="preserve">%。</w:t>
      </w:r>
      <w:r/>
    </w:p>
    <w:p>
      <w:pPr>
        <w:ind w:firstLine="482"/>
        <w:jc w:val="left"/>
        <w:spacing w:line="560" w:lineRule="exact"/>
        <w:widowControl/>
        <w:rPr>
          <w:rFonts w:hint="eastAsia" w:ascii="宋体" w:hAnsi="宋体" w:eastAsia="宋体" w:cs="宋体"/>
          <w:sz w:val="24"/>
          <w:szCs w:val="20"/>
          <w:highlight w:val="yellow"/>
        </w:rPr>
      </w:pPr>
      <w:r>
        <w:rPr>
          <w:rFonts w:hint="eastAsia" w:ascii="宋体" w:hAnsi="宋体" w:eastAsia="宋体" w:cs="宋体"/>
          <w:b/>
          <w:bCs/>
          <w:sz w:val="24"/>
          <w:szCs w:val="20"/>
        </w:rPr>
        <w:t xml:space="preserve">8.1.2 尾款支付时间：</w:t>
      </w:r>
      <w:r>
        <w:rPr>
          <w:rFonts w:hint="eastAsia" w:ascii="Times New Roman" w:hAnsi="宋体" w:eastAsia="宋体" w:cs="Times New Roman"/>
          <w:color w:val="000000"/>
          <w:sz w:val="24"/>
        </w:rPr>
        <w:t xml:space="preserve">项目全部建设内容完成，终验合格后付清。（以上付款均无息）。甲方收到乙方发票10个工作日内支付款项。</w:t>
      </w:r>
      <w:r/>
    </w:p>
    <w:p>
      <w:pPr>
        <w:ind w:firstLine="480"/>
        <w:spacing w:line="560" w:lineRule="exact"/>
        <w:rPr>
          <w:rFonts w:hint="eastAsia" w:ascii="Times New Roman" w:hAnsi="宋体" w:eastAsia="宋体" w:cs="Times New Roman"/>
          <w:color w:val="000000"/>
          <w:sz w:val="24"/>
        </w:rPr>
      </w:pPr>
      <w:r>
        <w:rPr>
          <w:rFonts w:hint="eastAsia" w:ascii="宋体" w:hAnsi="宋体" w:eastAsia="宋体" w:cs="Times New Roman"/>
          <w:bCs/>
          <w:color w:val="000000"/>
          <w:sz w:val="24"/>
        </w:rPr>
        <w:t xml:space="preserve">8.2</w:t>
      </w:r>
      <w:r>
        <w:rPr>
          <w:rFonts w:hint="eastAsia" w:ascii="Times New Roman" w:hAnsi="宋体" w:eastAsia="宋体" w:cs="Times New Roman"/>
          <w:color w:val="000000"/>
          <w:sz w:val="24"/>
        </w:rPr>
        <w:t xml:space="preserve">当采购数量与实际使用数量不一致时，乙方根据实际使用量提供</w:t>
      </w:r>
      <w:r>
        <w:rPr>
          <w:rFonts w:hint="eastAsia" w:ascii="宋体" w:hAnsi="宋体" w:eastAsia="宋体" w:cs="Times New Roman"/>
          <w:color w:val="000000"/>
          <w:sz w:val="24"/>
        </w:rPr>
        <w:t xml:space="preserve">产品和服务</w:t>
      </w:r>
      <w:r>
        <w:rPr>
          <w:rFonts w:hint="eastAsia" w:ascii="Times New Roman" w:hAnsi="宋体" w:eastAsia="宋体" w:cs="Times New Roman"/>
          <w:color w:val="000000"/>
          <w:sz w:val="24"/>
        </w:rPr>
        <w:t xml:space="preserve">，合同的最终结算金额按实际使用量乘以成交单价进行计算。</w:t>
      </w:r>
      <w:r/>
    </w:p>
    <w:p>
      <w:pPr>
        <w:ind w:firstLine="480"/>
        <w:spacing w:line="56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8.3如需向与财政部门签署融资合作协议的银行办理授信申请的， 需在协作银行开立结算户作为回款专用户，作为该笔合同唯一的收款账户，供货结束货款结算时，财政部门将政府采购款项直接支付到该账户。</w:t>
      </w:r>
      <w:r/>
    </w:p>
    <w:p>
      <w:pPr>
        <w:ind w:firstLine="482"/>
        <w:spacing w:line="560" w:lineRule="exact"/>
        <w:rPr>
          <w:rFonts w:ascii="Times New Roman" w:hAnsi="Times New Roman" w:eastAsia="宋体" w:cs="Times New Roman"/>
          <w:b/>
          <w:color w:val="000000"/>
          <w:sz w:val="24"/>
        </w:rPr>
      </w:pPr>
      <w:r>
        <w:rPr>
          <w:rFonts w:hint="eastAsia" w:ascii="Times New Roman" w:hAnsi="宋体" w:eastAsia="宋体" w:cs="Times New Roman"/>
          <w:b/>
          <w:color w:val="000000"/>
          <w:sz w:val="24"/>
        </w:rPr>
        <w:t xml:space="preserve">九</w:t>
      </w:r>
      <w:r>
        <w:rPr>
          <w:rFonts w:hint="eastAsia" w:ascii="Times New Roman" w:hAnsi="Times New Roman" w:eastAsia="宋体" w:cs="Times New Roman"/>
          <w:b/>
          <w:color w:val="000000"/>
          <w:sz w:val="24"/>
        </w:rPr>
        <w:t xml:space="preserve">、</w:t>
      </w:r>
      <w:r>
        <w:rPr>
          <w:rFonts w:ascii="Times New Roman" w:hAnsi="宋体" w:eastAsia="宋体" w:cs="Times New Roman"/>
          <w:b/>
          <w:color w:val="000000"/>
          <w:sz w:val="24"/>
        </w:rPr>
        <w:t xml:space="preserve">税费</w:t>
      </w:r>
      <w:r/>
    </w:p>
    <w:p>
      <w:pPr>
        <w:ind w:firstLine="480"/>
        <w:spacing w:line="560" w:lineRule="exact"/>
        <w:rPr>
          <w:rFonts w:hint="eastAsia" w:ascii="Times New Roman" w:hAnsi="宋体" w:eastAsia="宋体" w:cs="Times New Roman"/>
          <w:color w:val="000000"/>
          <w:sz w:val="24"/>
        </w:rPr>
      </w:pPr>
      <w:r>
        <w:rPr>
          <w:rFonts w:hint="eastAsia" w:ascii="宋体" w:hAnsi="宋体" w:eastAsia="宋体" w:cs="Times New Roman"/>
          <w:color w:val="000000"/>
          <w:sz w:val="24"/>
        </w:rPr>
        <w:t xml:space="preserve">9.1本合同执行中相关的一切税费均由乙方负担。</w:t>
      </w:r>
      <w:r/>
    </w:p>
    <w:p>
      <w:pPr>
        <w:ind w:firstLine="482"/>
        <w:spacing w:line="560" w:lineRule="exact"/>
        <w:rPr>
          <w:rFonts w:hint="eastAsia" w:ascii="宋体" w:hAnsi="宋体" w:eastAsia="宋体" w:cs="Times New Roman"/>
          <w:b/>
          <w:color w:val="000000"/>
          <w:sz w:val="24"/>
        </w:rPr>
      </w:pPr>
      <w:r>
        <w:rPr>
          <w:rFonts w:hint="eastAsia" w:ascii="宋体" w:hAnsi="宋体" w:eastAsia="宋体" w:cs="Times New Roman"/>
          <w:b/>
          <w:color w:val="000000"/>
          <w:sz w:val="24"/>
        </w:rPr>
        <w:t xml:space="preserve">十、验收</w:t>
      </w:r>
      <w:r/>
    </w:p>
    <w:p>
      <w:pPr>
        <w:ind w:firstLine="480"/>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10.1甲方依法组织履约验收工作。</w:t>
      </w:r>
      <w:r/>
    </w:p>
    <w:p>
      <w:pPr>
        <w:ind w:firstLine="480"/>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10.3对于实际使用人和甲方分离的项目，甲方邀请实际使用人参与验收。</w:t>
      </w:r>
      <w:r/>
    </w:p>
    <w:p>
      <w:pPr>
        <w:ind w:firstLine="480"/>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10.4如有必要，甲方邀请参加本项目的其他供应商或第三方专业机构及专家参与验收，相关意见将作为验收书的参考资料。</w:t>
      </w:r>
      <w:r/>
    </w:p>
    <w:p>
      <w:pPr>
        <w:ind w:firstLine="480"/>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560" w:lineRule="exact"/>
        <w:rPr>
          <w:rFonts w:hint="eastAsia" w:ascii="宋体" w:hAnsi="宋体" w:eastAsia="宋体" w:cs="Times New Roman"/>
          <w:b/>
          <w:color w:val="000000"/>
          <w:sz w:val="24"/>
        </w:rPr>
      </w:pPr>
      <w:r>
        <w:rPr>
          <w:rFonts w:hint="eastAsia" w:ascii="宋体" w:hAnsi="宋体" w:eastAsia="宋体" w:cs="Times New Roman"/>
          <w:b/>
          <w:color w:val="000000"/>
          <w:sz w:val="24"/>
        </w:rPr>
        <w:t xml:space="preserve">十一、违约责任</w:t>
      </w:r>
      <w:r/>
    </w:p>
    <w:p>
      <w:pPr>
        <w:ind w:firstLine="480"/>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11.1进场交接。乙方应在收到中标通知书后10个工作日内，主动与原运维服务供应商完成全面工作交接，确保运维服务的连续性和稳定性。因中标供应商未按时或未有效完成交接导致系统运行异常、业务中断或数据损失等后果，由中标供应商承担相应责任。</w:t>
      </w:r>
      <w:r/>
    </w:p>
    <w:p>
      <w:pPr>
        <w:ind w:firstLine="480"/>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11.2期满交接。乙方三年服务期满后，应于服务期届满之日起 10个工作日内，主动与新中标服务供应商全面完成工作交接，确保运维服务平稳过渡。乙方须配合甲方完成交接验收，确保移交资料完整、系统状态正常。因乙方交接不及时、不完整或配合不到位导致系统运行异常、业务中断或数据损失等后果，由乙方承担相应责任。</w:t>
      </w:r>
      <w:r/>
    </w:p>
    <w:p>
      <w:pPr>
        <w:ind w:firstLine="480"/>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11.2甲方无正当理由拒收的，甲方向乙方偿付拒收货款总值的百分之五违约金。</w:t>
      </w:r>
      <w:r/>
    </w:p>
    <w:p>
      <w:pPr>
        <w:ind w:firstLine="480"/>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11.3 甲方无故逾期验收和办理合同款支付手续的，甲方应按逾期付款总额每日万分之五向乙方支付违约金。</w:t>
      </w:r>
      <w:r/>
    </w:p>
    <w:p>
      <w:pPr>
        <w:ind w:firstLine="480"/>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11.4乙方逾期交付合同标的的，乙方应按逾期交货总额每日百分之一向甲方支付违约金，由甲方从待付合同款中扣除。逾期超过约定日期10个工作日不能交付的，甲方可解除本合同。乙方因逾期交付或因其他违约行为导致甲方解除合同的，乙方应向甲方支付合同总值10%的违约金，如造成甲方损失超过违约金的，超出部分由乙方继续承担赔偿责任。</w:t>
      </w:r>
      <w:r/>
    </w:p>
    <w:p>
      <w:pPr>
        <w:ind w:firstLine="480"/>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11.5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482"/>
        <w:spacing w:line="560" w:lineRule="exact"/>
        <w:rPr>
          <w:rFonts w:hint="eastAsia" w:ascii="宋体" w:hAnsi="宋体" w:eastAsia="宋体" w:cs="Times New Roman"/>
          <w:b/>
          <w:color w:val="000000"/>
          <w:sz w:val="24"/>
        </w:rPr>
      </w:pPr>
      <w:r>
        <w:rPr>
          <w:rFonts w:hint="eastAsia" w:ascii="宋体" w:hAnsi="宋体" w:eastAsia="宋体" w:cs="Times New Roman"/>
          <w:b/>
          <w:color w:val="000000"/>
          <w:sz w:val="24"/>
        </w:rPr>
        <w:t xml:space="preserve">十二、不可抗力事件处理</w:t>
      </w:r>
      <w:r/>
    </w:p>
    <w:p>
      <w:pPr>
        <w:ind w:firstLine="480"/>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12.1在合同有效期内，任何一方因不可抗力事件导致不能履行合同，则合同履行期延长，其延长期与不可抗力影响期相同。</w:t>
      </w:r>
      <w:r/>
    </w:p>
    <w:p>
      <w:pPr>
        <w:ind w:firstLine="480"/>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12.2不可抗力事件发生后，应立即通知对方，并寄送有关权威机构出具的证明。</w:t>
      </w:r>
      <w:r/>
    </w:p>
    <w:p>
      <w:pPr>
        <w:ind w:firstLine="480"/>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12.3不可抗力事件延续120天以上，双方应通过友好协商，确定是否继续履行合同。</w:t>
      </w:r>
      <w:r/>
    </w:p>
    <w:p>
      <w:pPr>
        <w:ind w:firstLine="482"/>
        <w:spacing w:line="560" w:lineRule="exact"/>
        <w:rPr>
          <w:rFonts w:hint="eastAsia" w:ascii="宋体" w:hAnsi="宋体" w:eastAsia="宋体" w:cs="Times New Roman"/>
          <w:b/>
          <w:color w:val="000000"/>
          <w:sz w:val="24"/>
        </w:rPr>
      </w:pPr>
      <w:r>
        <w:rPr>
          <w:rFonts w:hint="eastAsia" w:ascii="宋体" w:hAnsi="宋体" w:eastAsia="宋体" w:cs="Times New Roman"/>
          <w:b/>
          <w:color w:val="000000"/>
          <w:sz w:val="24"/>
        </w:rPr>
        <w:t xml:space="preserve">十三、诉讼</w:t>
      </w:r>
      <w:r/>
    </w:p>
    <w:p>
      <w:pPr>
        <w:ind w:firstLine="480"/>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13.1双方在执行合同中所发生的一切争议，应通过协商解决。如协商不成，可向合同签订地法院起诉，合同签订地在此约定为盐城市。</w:t>
      </w:r>
      <w:r/>
    </w:p>
    <w:p>
      <w:pPr>
        <w:ind w:firstLine="482"/>
        <w:spacing w:line="560" w:lineRule="exact"/>
        <w:rPr>
          <w:rFonts w:hint="eastAsia" w:ascii="宋体" w:hAnsi="宋体" w:eastAsia="宋体" w:cs="Times New Roman"/>
          <w:b/>
          <w:color w:val="000000"/>
          <w:sz w:val="24"/>
        </w:rPr>
      </w:pPr>
      <w:r>
        <w:rPr>
          <w:rFonts w:hint="eastAsia" w:ascii="宋体" w:hAnsi="宋体" w:eastAsia="宋体" w:cs="Times New Roman"/>
          <w:b/>
          <w:color w:val="000000"/>
          <w:sz w:val="24"/>
        </w:rPr>
        <w:t xml:space="preserve">十四、合同生效及其它</w:t>
      </w:r>
      <w:r/>
    </w:p>
    <w:p>
      <w:pPr>
        <w:ind w:firstLine="480"/>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14.1合同经双方法定代表人或授权委托代表人签字并加盖单位公章。</w:t>
      </w:r>
      <w:r/>
    </w:p>
    <w:p>
      <w:pPr>
        <w:ind w:firstLine="480"/>
        <w:spacing w:line="560" w:lineRule="exact"/>
        <w:tabs>
          <w:tab w:val="left" w:pos="662" w:leader="none"/>
        </w:tabs>
        <w:rPr>
          <w:rFonts w:hint="eastAsia" w:ascii="宋体" w:hAnsi="宋体" w:eastAsia="宋体" w:cs="Times New Roman"/>
          <w:color w:val="000000"/>
          <w:sz w:val="24"/>
        </w:rPr>
      </w:pPr>
      <w:r>
        <w:rPr>
          <w:rFonts w:hint="eastAsia" w:ascii="宋体" w:hAnsi="宋体" w:eastAsia="宋体" w:cs="Times New Roman"/>
          <w:color w:val="000000"/>
          <w:sz w:val="24"/>
        </w:rPr>
        <w:t xml:space="preserve">14.2本合同未尽事宜，遵照《中华人民共和国民法典》有关条文执行。</w:t>
      </w:r>
      <w:r/>
    </w:p>
    <w:p>
      <w:pPr>
        <w:ind w:firstLine="480"/>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14.3本合同正本一式陆份，具有同等法律效力，甲方执肆份，乙方执贰份。</w:t>
      </w:r>
      <w:r/>
    </w:p>
    <w:p>
      <w:pPr>
        <w:pStyle w:val="721"/>
        <w:ind w:firstLine="480"/>
        <w:jc w:val="both"/>
        <w:spacing w:before="120" w:beforeAutospacing="0" w:after="120" w:afterAutospacing="0" w:line="500" w:lineRule="exact"/>
      </w:pPr>
      <w:r/>
      <w:bookmarkStart w:id="165" w:name="_Toc479757211"/>
      <w:r/>
      <w:bookmarkStart w:id="166" w:name="_Toc120614244"/>
      <w:r/>
      <w:bookmarkStart w:id="167" w:name="_Toc16938590"/>
      <w:r/>
      <w:bookmarkStart w:id="168" w:name="_Toc462564139"/>
      <w:r/>
      <w:bookmarkStart w:id="169" w:name="_Toc20823346"/>
      <w:r/>
      <w:bookmarkStart w:id="170" w:name="_Hlt16619350"/>
      <w:r/>
      <w:bookmarkStart w:id="171" w:name="_Hlt16619369"/>
      <w:r>
        <w:rPr>
          <w:rFonts w:hint="eastAsia" w:ascii="宋体" w:hAnsi="宋体" w:eastAsia="宋体" w:cs="宋体"/>
          <w:color w:val="000000"/>
        </w:rPr>
        <w:t xml:space="preserve">甲方：                乙方： </w:t>
      </w:r>
      <w:r/>
    </w:p>
    <w:p>
      <w:pPr>
        <w:pStyle w:val="721"/>
        <w:jc w:val="both"/>
        <w:spacing w:before="120" w:beforeAutospacing="0" w:after="120" w:afterAutospacing="0" w:line="500" w:lineRule="exact"/>
      </w:pPr>
      <w:r>
        <w:rPr>
          <w:rFonts w:hint="eastAsia" w:ascii="宋体" w:hAnsi="宋体" w:eastAsia="宋体" w:cs="宋体"/>
          <w:color w:val="000000"/>
        </w:rPr>
        <w:t xml:space="preserve">   地址：                地址： </w:t>
      </w:r>
      <w:r/>
    </w:p>
    <w:p>
      <w:pPr>
        <w:pStyle w:val="721"/>
        <w:jc w:val="both"/>
        <w:spacing w:before="120" w:beforeAutospacing="0" w:after="120" w:afterAutospacing="0" w:line="500" w:lineRule="exact"/>
      </w:pPr>
      <w:r>
        <w:rPr>
          <w:rFonts w:hint="eastAsia" w:ascii="宋体" w:hAnsi="宋体" w:eastAsia="宋体" w:cs="宋体"/>
          <w:color w:val="000000"/>
        </w:rPr>
        <w:t xml:space="preserve">   法定代表人或授权代表：        法定代表人或授权代表：</w:t>
      </w:r>
      <w:r/>
    </w:p>
    <w:p>
      <w:pPr>
        <w:pStyle w:val="721"/>
        <w:ind w:firstLine="480"/>
        <w:jc w:val="both"/>
        <w:spacing w:before="120" w:beforeAutospacing="0" w:after="120" w:afterAutospacing="0" w:line="500" w:lineRule="exact"/>
      </w:pPr>
      <w:r>
        <w:rPr>
          <w:rFonts w:hint="eastAsia" w:ascii="宋体" w:hAnsi="宋体" w:eastAsia="宋体" w:cs="宋体"/>
          <w:color w:val="000000"/>
        </w:rPr>
        <w:t xml:space="preserve">联系电话：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联系电话：          </w:t>
      </w:r>
      <w:r/>
    </w:p>
    <w:p>
      <w:pPr>
        <w:ind w:firstLine="480"/>
        <w:jc w:val="center"/>
        <w:spacing w:line="560" w:lineRule="exact"/>
        <w:rPr>
          <w:rFonts w:ascii="Times New Roman" w:hAnsi="Times New Roman" w:eastAsia="方正黑体_GBK" w:cs="方正黑体_GBK"/>
          <w:sz w:val="28"/>
          <w:szCs w:val="28"/>
        </w:rP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 签订日期：   年     月   日</w:t>
      </w:r>
      <w:r>
        <w:rPr>
          <w:rFonts w:hint="eastAsia" w:ascii="黑体" w:hAnsi="宋体" w:eastAsia="黑体" w:cs="黑体"/>
          <w:color w:val="000000"/>
          <w:sz w:val="24"/>
        </w:rPr>
        <w:br w:type="page" w:clear="all"/>
      </w:r>
      <w:r>
        <w:rPr>
          <w:rFonts w:hint="eastAsia" w:ascii="黑体" w:hAnsi="宋体" w:eastAsia="黑体" w:cs="黑体"/>
          <w:color w:val="000000"/>
          <w:sz w:val="44"/>
          <w:szCs w:val="44"/>
        </w:rPr>
        <w:t xml:space="preserve"> 第</w:t>
      </w:r>
      <w:bookmarkEnd w:id="165"/>
      <w:r>
        <w:rPr>
          <w:rFonts w:hint="eastAsia" w:ascii="黑体" w:hAnsi="宋体" w:eastAsia="黑体" w:cs="黑体"/>
          <w:color w:val="000000"/>
          <w:sz w:val="44"/>
          <w:szCs w:val="44"/>
        </w:rPr>
        <w:t xml:space="preserve">四章 采购需求</w:t>
      </w:r>
      <w:bookmarkEnd w:id="166"/>
      <w:r/>
      <w:bookmarkEnd w:id="167"/>
      <w:r/>
      <w:bookmarkEnd w:id="168"/>
      <w:r/>
      <w:bookmarkEnd w:id="169"/>
      <w:r/>
      <w:bookmarkEnd w:id="170"/>
      <w:r/>
      <w:r/>
    </w:p>
    <w:p>
      <w:pPr>
        <w:ind w:firstLine="482"/>
        <w:jc w:val="left"/>
        <w:spacing w:line="556" w:lineRule="exact"/>
        <w:widowControl/>
        <w:rPr>
          <w:rFonts w:hint="eastAsia" w:ascii="宋体" w:hAnsi="宋体" w:eastAsia="宋体" w:cs="宋体"/>
          <w:b/>
          <w:bCs/>
          <w:sz w:val="24"/>
          <w:szCs w:val="20"/>
        </w:rPr>
      </w:pPr>
      <w:r/>
      <w:bookmarkStart w:id="172" w:name="_Toc120614281"/>
      <w:r>
        <w:rPr>
          <w:rFonts w:hint="eastAsia" w:ascii="宋体" w:hAnsi="宋体" w:eastAsia="宋体" w:cs="宋体"/>
          <w:b/>
          <w:bCs/>
          <w:sz w:val="24"/>
          <w:szCs w:val="20"/>
        </w:rPr>
        <w:t xml:space="preserve">项目属性：服务类项目</w:t>
      </w:r>
      <w:r/>
    </w:p>
    <w:p>
      <w:pPr>
        <w:ind w:firstLine="482"/>
        <w:jc w:val="left"/>
        <w:spacing w:line="556"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一、项目概述</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本项目拟采购我院处方点评系统的开发、部署、运维及相关技术服务</w:t>
      </w:r>
      <w:r>
        <w:rPr>
          <w:rFonts w:hint="eastAsia" w:ascii="宋体" w:hAnsi="宋体" w:eastAsia="宋体" w:cs="宋体"/>
          <w:sz w:val="24"/>
          <w:szCs w:val="20"/>
          <w:lang w:eastAsia="zh-CN"/>
        </w:rPr>
        <w:t xml:space="preserve">。</w:t>
      </w:r>
      <w:r>
        <w:rPr>
          <w:rFonts w:hint="eastAsia" w:ascii="宋体" w:hAnsi="宋体" w:eastAsia="宋体" w:cs="宋体"/>
          <w:sz w:val="24"/>
          <w:szCs w:val="20"/>
        </w:rPr>
        <w:t xml:space="preserve">系统面向门急诊与住院处方（医嘱）的回顾性点评，采用规则校验与人工智能辅助相结合的方式，在药师主导下提升点评质量与效率。</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本项目除日常点评业务外，还包含一个用于评价人工智能点评准确性的"点评质量验证与一致性评价专用模块"，该模块要求详见第四章，为本项目的关键交付内容之一。</w:t>
      </w:r>
      <w:r/>
    </w:p>
    <w:p>
      <w:pPr>
        <w:ind w:firstLine="482"/>
        <w:jc w:val="left"/>
        <w:spacing w:line="556"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二、建设与服务目标</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1. 以药师为点评决策主体。人工智能仅提供辅助意见与依据，系统不得自动作出放行／拦截的最终决定；人工智能结论与多模型合议结论不得作为处方合规性的最终判定依据，最终点评结论一律由药师确认并署名。</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2. 规则校验与人工智能辅助相结合，对处方（医嘱）进行风险识别与分级，支持药师靶向复核。</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3. 面向处方（医嘱）的回顾性点评，支持批量点评、风险分级与统计分析。</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4. 具备对人工智能点评准确性进行内部验证与一致性评价的完整能力，验证过程与日常点评业务在数据与流程上相互独立。</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5. 全流程可追溯、可审计，点评数据归我院所有。</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说明：本项目为回顾性处方点评（点评），不涉及发药前的前置处方审核（审方）。</w:t>
      </w:r>
      <w:r/>
    </w:p>
    <w:p>
      <w:pPr>
        <w:ind w:firstLine="482"/>
        <w:jc w:val="left"/>
        <w:spacing w:line="44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三、功能需求</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投标人应至少实现以下功能模块，并在投标文件中逐条说明实现方式与操作界面。</w:t>
      </w:r>
      <w:r/>
    </w:p>
    <w:p>
      <w:pPr>
        <w:ind w:firstLine="482"/>
        <w:jc w:val="left"/>
        <w:spacing w:line="556"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（一）数据接入与集成</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1. 与我院 HIS、LIS、EMR 等系统通过标准化接口对接，获取处方／医嘱、诊断、检验检查、患者基本信息及用药史等。与我院各信息系统对接所产生的全部接口费用（含原厂接口开通、协议开放、联调配合等费用）由投标人承担，我院不再另行支付。</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2. 支持药品字典、诊断字典等基础数据映射与维护；支持历史处方数据批量导入。</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3. 支持同一次就诊多张处方的关联展示，辅助识别分解处方等情形。</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4. 支持按年月自动建立点评批次，批次命名规则可配置，重名自动加序号。</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5. 支持数据导入进度实时可视化：按处方、就诊、诊断、检验、检查等阶段分别显示已处理数量与耗时，导入完成后耗时冻结显示。</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6. 单张容错：单张处方导入失败不得中断整批导入；失败明细可查询、可定向重新拉取。</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7. 中药、成药类"一张医嘱包含多个药品"的情形，须正确拆分为多条药品明细，不得合并计数导致统计失真。</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8. 处方时间须精确到分钟并保持时区一致，不得仅保留日期；所有基于时间窗的计算均以处方业务时间为锚。</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9. 支持用药史回溯窗口（如 60 天），跨批次自动去重。</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10. 同步既往检验结果、检查报告、诊断与就诊史，并在点评工作台内联展示。</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11. 提供数据一致性核验工具：可按日与源系统逐日对账处方条数，并支持字段级抽样比对，输出可导出的比对报告。</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12. 数据导入须具备幂等性：同一时间窗重复导入不得产生重复处方记录。</w:t>
      </w:r>
      <w:r/>
    </w:p>
    <w:p>
      <w:pPr>
        <w:ind w:firstLine="482"/>
        <w:jc w:val="left"/>
        <w:spacing w:line="556"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（二）规则审核引擎</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1. 覆盖剂量、用法用量、给药途径、配伍、相互作用、重复用药、特殊人群（老年／儿童／肝肾功能等）、适应证、超说明书用药等审核维度。</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2. 规则可配置、可启停、可维护；命中规则可显示判定依据与出处。</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3. 支持精神药品（含第一类、第二类精神药品专项点评任务）、麻醉药品、抗菌药物等专项规则。</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4. 规则出处档（判定依据来源）独立维护：每条规则可挂接说明书、指南、药事会决议等出处。</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5. 支持维护经我院药事管理与药物治疗学委员会批准的超说明书用药白名单，命中白名单的用药在点评结论中单独标注。</w:t>
      </w:r>
      <w:r/>
    </w:p>
    <w:p>
      <w:pPr>
        <w:ind w:firstLine="482"/>
        <w:jc w:val="left"/>
        <w:spacing w:line="556"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（三）人工智能辅助点评</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1. 集成不少于三个相互独立（异源）的大模型对同一处方并行分析。三家须为不同厂商、不同基座，不得为同一厂商的不同型号；优先支持国产化模型。</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2. 输出点评结论（如适宜／不适宜等）、判定情形分类及依据说明，并展示各模型响应情况。</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3. 支持对单张处方重新发起人工智能分析。</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4. 模型可替换、可扩充，新增或更换厂商仅需在管理界面完成配置，不得修改代码。</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5. 模型版本锁定：型号须可配置到带日期的具体快照版本，不得仅使用会随厂商更新而漂移的通用别名。</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6. 实际返回型号留痕：每次调用须记录厂商响应中返回的实际模型编号，与请求型号分列两个字段独立存储，以便发现厂商静默更换版本。</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7. 推理（思考）模式须可按厂商独立开关，配置项集中于一处维护；开启推理模式时须自动校验输出长度上限是否足够，不足则拒绝保存；对未登记支持情况的模型选择开／关时须明确报错，不得静默降级。</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8. 提示词与参数版本指纹：系统须对系统提示词、调用参数与各模型型号生成不可逆摘要作为版本指纹；指纹相同时可跳过重复调用，指纹变化即视为不同版本，历史结果不受影响。</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9. 多轮次结果并存：同一批处方可运行多轮人工智能分析，各轮以轮次标签独立存储，后一轮不得覆盖前一轮；界面须支持按轮次查看历史结果，不得仅显示最新一轮。</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10. 超时、重试、退避策略与并发上限须按厂商独立可配置；支持按厂商定向补跑失败样本。</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11. 缺家如实告知：当实际参与合议的模型少于全员时，界面须醒目提示参与家数并列出未参与厂商及原因，不得静默按剩余家数直接出具结论。</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12. 运行完整性自检：提供功能核验某一轮次的样本条数完整性、各厂商齐备性与版本指纹一致性，并输出自检报告。</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13. 调用日志留痕：每次调用记录耗时、token 用量、推理过程摘要、原始返回报文，支持查询与导出。</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14. 等待过程可感知：长耗时分析须显示分厂商进度，并设置批次总超时；超时后须给出明确结论或失败提示，不得无限等待。</w:t>
      </w:r>
      <w:r/>
    </w:p>
    <w:p>
      <w:pPr>
        <w:ind w:firstLine="482"/>
        <w:jc w:val="left"/>
        <w:spacing w:line="556"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（四）多模型合议</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1. 对多模型结果进行一致性与分歧识别，输出分歧程度量化指标与风险／争议分级标签。分歧程度须为可比较的量化指标（而非仅"一致／不一致"二值），并可用于排序、分组、筛选、统计与导出。</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2. 形成合议结论，标注一致情形与分歧情形，供药师参考。</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3. 合议结果须给出形态标签，至少覆盖：一致且无问题、一致且有问题、轻度分歧、重度分歧、仅单模型可用、全部失败。</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4. 人工智能与合议结论仅供药师参考。系统不得依据分歧程度或任何自动化指标，自行作出处方放行、拦截或最终合规性判定。</w:t>
      </w:r>
      <w:r/>
    </w:p>
    <w:p>
      <w:pPr>
        <w:ind w:firstLine="482"/>
        <w:jc w:val="left"/>
        <w:spacing w:line="556"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（五）药师点评工作台</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1. 药师可对规则与人工智能结果进行采纳、驳回、补注，最终点评结论由药师确认。</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2. 支持按风险／争议等级排序，优先复核高风险处方（靶向复核）；支持批量处理。</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3. 展示处方详情、病历摘要、就诊与用药历史等辅助信息。</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4. 处方上下文（处方明细、病历摘要、既往检验、既往检查、用药史）在所有工作台中版式一致，由统一组件提供，不得各页各样。</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5. 采纳留痕到厂商级：药师采纳或驳回时，须记录采纳了哪一家模型的意见或合议结论，以及采纳时间。</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6. 支持上一张／下一张快捷键、暂存与批量提交；支持常用语库维护与调用。</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7. 支持初评、复评两级流程，复评人资格由职称阈值控制。</w:t>
      </w:r>
      <w:r/>
    </w:p>
    <w:p>
      <w:pPr>
        <w:ind w:firstLine="482"/>
        <w:jc w:val="left"/>
        <w:spacing w:line="556"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（六）处方点评</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1. 支持门诊与住院处方（医嘱）的批量、回顾性点评。</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2. 支持按月度批次、专项、随机抽样等方式组织点评任务，并跟踪完成进度。</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3. 生成点评结论、不合理处方明细与统计报表。</w:t>
      </w:r>
      <w:r/>
    </w:p>
    <w:p>
      <w:pPr>
        <w:ind w:firstLine="482"/>
        <w:jc w:val="left"/>
        <w:spacing w:line="556"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（七）留痕与审计</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1. 对每条点评意见、人工操作、所用模型及版本全程留痕，可追溯、可导出，满足审计要求。</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2. 人工智能侧留痕须包含：请求型号、实际返回型号、版本指纹、轮次标签、耗时、token 用量、失败原因。</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3. 人工侧留痕须包含：判定提交时间戳（精确到秒）、修改历史、操作人。</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4. 系统须支持核验某条人工判定是否先于该处方的任何人工智能结论产生，并可导出核验结果。</w:t>
      </w:r>
      <w:r/>
    </w:p>
    <w:p>
      <w:pPr>
        <w:ind w:firstLine="482"/>
        <w:jc w:val="left"/>
        <w:spacing w:line="556"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（八）统计报表与质控指标</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1. 支持合理用药情况、不合理类型分布、科室／批次维度等统计与可视化报表。</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2. 提供 AI 看板：以可视化方式集中呈现人工智能点评与多模型合议的关键指标（如点评量、风险／争议分布、分歧情况、模型一致性等）。</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3. AI 看板须支持按点评批次、专项等维度筛选，不得仅支持按自然月全院聚合。</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4. 所有报表支持结构化导出（CSV／Excel），中文表头，编码兼容，导出文件可直接以 Excel 打开且不出现乱码。</w:t>
      </w:r>
      <w:r/>
    </w:p>
    <w:p>
      <w:pPr>
        <w:ind w:firstLine="482"/>
        <w:jc w:val="left"/>
        <w:spacing w:line="556"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（九）知识库与规则维护</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支持药品字典、规则库及判定依据来源的维护与更新，维护操作留痕。</w:t>
      </w:r>
      <w:r/>
    </w:p>
    <w:p>
      <w:pPr>
        <w:ind w:firstLine="482"/>
        <w:jc w:val="left"/>
        <w:spacing w:line="556"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（十）权限角色与系统配置</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1. 多角色、细粒度权限配置；各项业务操作均可通过 Web 界面完成，不依赖后台直接操作。</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2. 日常职称四级体系：药师、主管药师、副主任药师、主任药师，权限按职称阈值单调递增派生；细粒度能力（可点评、可复评、可派工、可维护规则、可签字确认规则出处、可管理账号等）由职称派生，不逐人配置。</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3. 研究与验证角色独立于日常职称体系：项目负责人、仲裁人、验证评审药师、临床顾问等角色单独授权，两套角色体系互不继承。</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4. 运维文档模块：仅超级管理员可见；无导航入口；正文仅存数据库。</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5. 支持模型接入配置、参数配置与运行日志查看。</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6. 安全配置要求：支持登录失败次数限制与账号锁定；生产环境不得开启调试模式；支持一人一密，不得长期使用统一初始密码。</w:t>
      </w:r>
      <w:r/>
    </w:p>
    <w:p>
      <w:pPr>
        <w:ind w:firstLine="482"/>
        <w:jc w:val="left"/>
        <w:spacing w:line="556"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（十一）界面与用户体验</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1. 界面简洁、美观、专业，视觉风格统一，符合医疗信息系统的可读性与易用性要求。</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2. 交互友好、操作路径清晰，关键信息（风险分级、合议结论等）层次分明、一目了然。</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3. 支持响应式布局，适配常见分辨率；图表与看板呈现清晰美观。</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4. 面向药师的业务界面不得出现技术术语（如指纹、哈希、轮次标签、并发、超时等），须以业务语言表达；字段提示语需给出填写示例。</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5. 关键动作须有明确反馈；被系统跳过或忽略的操作须说明原因，不得点击后仅刷新页面而无任何提示。</w:t>
      </w:r>
      <w:r/>
    </w:p>
    <w:p>
      <w:pPr>
        <w:ind w:firstLine="482"/>
        <w:jc w:val="left"/>
        <w:spacing w:line="556"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四、点评质量验证与一致性评价专用模块</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本模块用于评价本系统人工智能点评结论的准确性，以我院药师团队独立盲法点评形成的共识判定作为参照标准。模块须与日常点评业务在数据与流程上完全独立。本章各项为强制要求，其中标注"关键验收项"须在终验时现场演示或现场运行通过。</w:t>
      </w:r>
      <w:r/>
    </w:p>
    <w:p>
      <w:pPr>
        <w:ind w:firstLine="482"/>
        <w:jc w:val="left"/>
        <w:spacing w:line="556"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4.1 样本池管理</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1. 支持按时间窗、科室／诊室、药品类别、专项主题等条件建立抽样池；支持按月分层均匀抽样；支持设定目标样本量。</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2. 支持维护排除标准（如特定诊室、代配药等），排除记录可追溯、可导出。</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3. 支持主分析池与敏感性分析子池并存，两者可分别统计。</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4. 抽样过程须可复现：相同参数与随机种子须产出完全相同的样本集合。</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5. 样本池支持冻结；冻结后不可增删，冻结时间与操作人留痕。</w:t>
      </w:r>
      <w:r/>
    </w:p>
    <w:p>
      <w:pPr>
        <w:ind w:firstLine="482"/>
        <w:jc w:val="left"/>
        <w:spacing w:line="44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4.2 多人独立盲法点评</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1. 支持 4 名及以上评审药师对同一批全部样本各自独立点评，即 N 人 × M 张 = N×M 份独立判定。不得采用多人分摊、每人只看一部分的模式——分摊模式无法计算评审者间一致性指标。</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2. 独立点评期间，任一评审药师不得看到：其他评审药师的结论、仲裁结论、临床顾问意见，以及本系统的人工智能结论与多模型合议结论。</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3. 评审药师匿名编码由系统统一分配（如 A／B／C／D），项目级唯一映射；真实姓名与编码的对应关系仅授权人员可见，导出数据中只出现匿名编码。</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4. 处方呈现顺序须按评审者做确定性打乱，以避免顺序效应；同一评审者重复进入时顺序保持稳定。</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5. 判定分类体系支持与日常点评不同的一套 schema（如：合理／不合理／边缘灰区／信息不足），两套 schema 并存且可按预设规则相互映射。</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6. 支持点评耗时监控与阶段性进度统计。</w:t>
      </w:r>
      <w:r/>
    </w:p>
    <w:p>
      <w:pPr>
        <w:ind w:firstLine="482"/>
        <w:jc w:val="left"/>
        <w:spacing w:line="556"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4.3 共识判定（参照标准）形成</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支持以下四类情形形成共识判定，全过程留痕：</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1. 全体一致：直接归档，并按可配置的固定比例（如 10%）随机抽取样本进入仲裁，用于控制部分验证偏倚；</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2. 多数一致（如3:1）: 按多数派归档，并按可配置的固定比例（如 10%）抽样进入仲裁人盲法质控复核；</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3. 平票（如2:2）：进入仲裁人完整仲裁；</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4. 其他情形：按预设规则处理，规则可配置且变更留痕。</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问题类型编码由仲裁环节统一形成，评审药师不填写细类编码，以避免细类差异干扰主指标计算。</w:t>
      </w:r>
      <w:r/>
    </w:p>
    <w:p>
      <w:pPr>
        <w:ind w:firstLine="482"/>
        <w:jc w:val="left"/>
        <w:spacing w:line="556"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4.4 二轨盲审（临床医师专家）</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支持临床医师专家对指定比例样本进行独立盲审。该角色工作台不得渲染仲裁结论、问题编码、最终备注、各评审药师结论及任何人工智能结果。</w:t>
      </w:r>
      <w:r/>
    </w:p>
    <w:p>
      <w:pPr>
        <w:ind w:firstLine="482"/>
        <w:jc w:val="left"/>
        <w:spacing w:line="556"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4.5 交叉盲隔离（强制）</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1. 进入验证样本池的处方，不得同时派发给同一人在日常点评线上处理；反之亦然。系统须在派工环节自动互斥并阻断，阻断记录留痕。</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2. 验证模块产生的评审结论不得回流至日常点评工作台展示。</w:t>
      </w:r>
      <w:r/>
    </w:p>
    <w:p>
      <w:pPr>
        <w:ind w:firstLine="482"/>
        <w:jc w:val="left"/>
        <w:spacing w:line="556"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4.6 架构隔离（强制）</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1. 抽样、派工、共识判定形成这三处逻辑，不得读取任何人工智能结论、多模型合议结论或分歧程度指标。</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2. 分歧程度指标可用于日常点评线的排序与展示，但不得用于验证模块的样本选取或人员分配。</w:t>
      </w:r>
      <w:r/>
    </w:p>
    <w:p>
      <w:pPr>
        <w:ind w:firstLine="482"/>
        <w:jc w:val="left"/>
        <w:spacing w:line="556"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4.7 指标计算与导出</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1. 支持计算并导出：阴性预测值（NPV）、阳性预测值（PPV）、灵敏度、特异度、准确率、评审者间一致性系数（Cohen’s κ／Fleiss κ）等指标，均须给出 95% 置信区间。</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2.多分类结论到二元结论的映射，全系统只能有一处定义，不得在不同模块各写一份。</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3. 支持单模型与多模型合议的对照输出：每家模型单独一列、合议单独一列，与参照标准逐张比对。</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4. 支持同一批样本多轮次之间的一致率输出，作为结论稳定性指标，与准确性指标分开报告。</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5. 支持按分歧程度分层的准确性统计。</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6. 支持逐张明细导出与汇总指标导出两种粒度，中文表头，可直接导入常用统计软件。</w:t>
      </w:r>
      <w:r/>
    </w:p>
    <w:p>
      <w:pPr>
        <w:ind w:firstLine="482"/>
        <w:jc w:val="left"/>
        <w:spacing w:line="556"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4.8 数据冻结与留痕</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1. 支持在指定时点冻结数据集，冻结后新增数据不进入分析；冻结时点与操作人留痕。</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2. 全流程留痕须支持核验人工判定时间早于人工智能结论产生时间。</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3. 须记录全过程使用的模型型号、版本指纹与提示词版本，支持在质控与成果材料中如实陈述版本控制情况。</w:t>
      </w:r>
      <w:r/>
    </w:p>
    <w:p>
      <w:pPr>
        <w:ind w:firstLine="482"/>
        <w:jc w:val="left"/>
        <w:spacing w:line="556"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4.9 数据权属与保密</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1. 本模块产生的全部数据、参照标准与统计结果，其所有权与使用权归我院独有。投标人不得留存、复制、外带，不得用于其他项目或对外展示。</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2. 投标人及其人员不得以任何形式对外发表基于本模块数据的论文、报告、案例或宣传材料。</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3. 合同终止或期满时，投标人须销毁其持有的全部相关数据副本，并出具书面销毁确认函。</w:t>
      </w:r>
      <w:r/>
    </w:p>
    <w:p>
      <w:pPr>
        <w:ind w:firstLine="482"/>
        <w:jc w:val="left"/>
        <w:spacing w:line="556"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4.10 交付时序</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本模块须在我院验证工作试点启动前完成开发并通过我院验证性测试，不得与日常点评模块合并延后交付。</w:t>
      </w:r>
      <w:r/>
    </w:p>
    <w:p>
      <w:pPr>
        <w:ind w:firstLine="482"/>
        <w:jc w:val="left"/>
        <w:spacing w:line="556"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五、技术方案</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投标人应在功能需求、专用模块要求的基础上,深化形成总体设计方案,并按本章 5.1 至 5.8 分节编写,与投标文件目录一一对应。各节内容将作为评标委员会技术指标评分的评审对象。</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除 5.5、5.6 各要求附界面样张或原型图 1 张外,本章其余各节以方案内容评审为准,不要求另行提供截图、产品彩页等佐证材料。</w:t>
      </w:r>
      <w:r/>
    </w:p>
    <w:p>
      <w:pPr>
        <w:ind w:firstLine="482"/>
        <w:jc w:val="left"/>
        <w:spacing w:line="556"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5.1 项目实施方案(总体方案设计要求)</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投标人应在服务需求内容上深化总体设计方案,方案至少包含以下内容:</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① 需求分析:对本院处方点评业务现状、门急诊与住院处方(医嘱)回顾性点评的业务流程、药师岗位分工与职称层级、点评质量验证的业务诉求进行分析,并说明本方案如何对应第三章、第四章各项要求。</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② 组织架构及实施步骤:项目组织架构、各岗位职责分工与汇报关系;从需求调研、原型设计、开发、接口联调、试运行、培训、终验的完整实施步骤及各步骤的输入输出。</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③ 项目实施计划及时间进度安排:与本采购需求对应的进度计划,细化至周,明确各阶段起止时间、人员投入、我院需配合事项及交付物清单。</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④ 风险识别与应对措施:识别本项目在数据对接、模型服务可用性、进度、人员、数据安全等方面的主要风险,逐项给出发生条件、影响程度与具体应对措施。</w:t>
      </w:r>
      <w:r/>
    </w:p>
    <w:p>
      <w:pPr>
        <w:ind w:firstLine="482"/>
        <w:jc w:val="left"/>
        <w:spacing w:line="556"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5.2 技术方案与系统架构</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投标人应提供系统总体技术方案,方案至少包含以下内容:</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① 总体架构与技术栈:系统分层架构、各模块划分及相互关系,所采用的开发语言、框架、数据库、中间件及容器化封装方案。</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② 点评引擎与院内系统的解耦方案:点评引擎与我院 HIS、LIS、EMR 等系统的接口边界、数据流向、解耦方式,以及院内系统变更时的适配方式。</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③ 人工智能模型可替换、可扩充机制:模型接入的抽象方式,新增或更换模型厂商时的操作路径,并说明如何做到仅通过管理界面配置即可完成、不修改代码。</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④ 日常点评线与验证模块的隔离设计:两条业务线在数据存储、业务逻辑与人员派工上的隔离方式,以及第四章 4.5、4.6 所要求隔离的技术实现路径。</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⑤ 安全设计:数据脱敏、权限控制、操作审计、凭据管理、生产环境配置等方面的设计措施。</w:t>
      </w:r>
      <w:r/>
    </w:p>
    <w:p>
      <w:pPr>
        <w:ind w:firstLine="482"/>
        <w:jc w:val="left"/>
        <w:spacing w:line="556"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5.3 数据接入与集成方案</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投标人应针对功能需求(一)全部 12 项要求提供数据接入与集成方案,方案至少包含以下内容:</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① 对接方式与接口费用承担:与我院各信息系统的对接方式、所需接口与数据范围、联调计划,并明确全部接口费用由投标人承担的落实方式。</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② 导入进度可视化与单张容错机制:分阶段进度展示方式,单张处方导入失败时的隔离、记录、查询与定向重拉机制,以及失败数量如实汇总的保障方式。</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③ 一张医嘱含多个药品的拆分处理:中药、成药类医嘱拆分为多条药品明细的处理逻辑及对统计口径的影响说明。</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④ 与源系统的逐日对账与字段级比对方法:对账工具的实现方式、比对字段范围、抽样比例与比对报告输出格式。</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⑤ 导入幂等性保障:同一时间窗重复导入不产生重复数据的判重依据与实现方式。</w:t>
      </w:r>
      <w:r/>
    </w:p>
    <w:p>
      <w:pPr>
        <w:ind w:firstLine="482"/>
        <w:jc w:val="left"/>
        <w:spacing w:line="556"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5.4 人工智能辅助点评方案</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投标人应针对功能需求(三)全部 14 项要求提供人工智能辅助点评方案,方案至少包含以下内容:</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① 三家异源模型的选型与并行调用机制:拟接入的模型类别与选型依据(须为不同厂商、不同基座)、并行调用方式、并发与超时控制。</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② 模型版本锁定与厂商实际返回型号留痕:型号配置到带日期快照版本的实现方式,请求型号与实际返回型号分列存储的字段设计及用途说明。</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③ 推理模式按厂商独立开关:配置项的组织方式、输出长度上限的自动校验逻辑,以及对未登记模型选择开关时的报错处理。</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④ 提示词与调用参数的版本指纹机制:指纹的生成范围、变更判定方式,以及指纹相同时跳过重复调用、指纹变化时不影响历史结果的实现方式。</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⑤ 多轮次结果并存不覆盖:轮次标签的组织方式、界面按轮次查看的实现方式。</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⑥ 缺家如实告知与运行完整性自检:参与家数不足时的界面提示与原因展示方式;轮次条数完整性、厂商齐备性、版本指纹一致性的自检逻辑与报告输出。</w:t>
      </w:r>
      <w:r/>
    </w:p>
    <w:p>
      <w:pPr>
        <w:ind w:firstLine="482"/>
        <w:jc w:val="left"/>
        <w:spacing w:line="556"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5.5 多模型合议方案</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投标人应针对功能需求(四)全部 4 项要求提供多模型合议方案,方案至少包含以下内容:</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① 分歧程度量化指标的产生与使用方式:指标的产生环节、取值形式,以及在排序、分组、筛选、统计、导出中的使用方式。</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② 六类形态标签的判定逻辑:一致且无问题、一致且有问题、轻度分歧、重度分歧、仅单模型可用、全部失败等形态的判定条件与展示方式。</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③ 系统不自动作出最终判定的技术保障措施:说明系统在何处、以何种方式确保不依据分歧程度或任何自动化指标作出放行、拦截或最终合规性判定,最终结论由药师确认并署名。</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④本节须附多模型合议结果展示界面样张或原型图 1 张,应能体现各模型结论、合议结论与分歧程度的层次关系。</w:t>
      </w:r>
      <w:r/>
    </w:p>
    <w:p>
      <w:pPr>
        <w:ind w:firstLine="482"/>
        <w:jc w:val="left"/>
        <w:spacing w:line="556"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5.6 点评质量验证与一致性评价专用模块方案</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投标人应针对功能需求（四） 4.1 至 4.10 全部要求提供专用模块方案,方案至少包含以下内容:</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① 抽样可复现机制:抽样参数与随机种子的组织方式,以及相同参数产出相同样本集合的保障方式。</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② 多人全量独立点评的实现:支持 4 名及以上评审药师对同一批全部样本各自独立点评的任务组织方式,以及独立期屏蔽范围(他人结论、仲裁结论、临床顾问意见、人工智能与合议结论)的实现方式。</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③ 匿名编码与呈现顺序去顺序化:匿名编码的分配与唯一映射方式、真实姓名的可见范围;按评审者做确定性打乱且重复进入顺序稳定的实现方式。</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④ 共识判定四类路径及抽检比例可配置:全体一致、多数一致、平票及其他情形的处理流程,抽检比例的配置方式与全过程留痕方式。</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⑤ 交叉盲隔离与架构隔离的实现方式:验证样本与日常派工自动互斥的实现;抽样、派工、共识判定形成三处逻辑不读取人工智能结果的实现路径,以及自动化断言测试的用例设计说明(测试对象、断言条件、失败判定方式、现场运行方式)。</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⑥ 指标计算与结构化导出:NPV、PPV、灵敏度、特异度、准确率、一致性系数及 95% 置信区间的计算方式;混淆矩阵极性唯一定义的实现;逐张明细与汇总指标两种粒度的导出格式；本节须附共识判定或仲裁工作台界面样张或原型图 1 张。</w:t>
      </w:r>
      <w:r/>
    </w:p>
    <w:p>
      <w:pPr>
        <w:ind w:firstLine="482"/>
        <w:jc w:val="left"/>
        <w:spacing w:line="556"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5.7 权限角色与安全配置方案</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投标人应针对功能需求(十)全部 6 项要求提供权限角色与安全配置方案,方案至少包含以下内容:</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① 职称四级派生权限体系:药师、主管药师、副主任药师、主任药师四级职称与细粒度能力的派生关系及单调递增的实现方式。</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② 研究与验证角色独立授权机制:项目负责人、仲裁人、验证评审药师、临床顾问等角色的授权方式,以及与日常职称体系互不继承的实现方式。</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③ 运维文档模块的访问控制:仅超级管理员可见、无导航入口、非授权访问返回 404 的实现方式。</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④ 登录失败锁定与一人一密:失败次数阈值、锁定与解锁流程、初始密码强制修改机制。</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⑤ 生产环境配置与凭据管理:生产环境关闭调试模式的保障方式,以及避免在代码仓库、配置文件、备份文件、日志中留存明文凭据的具体措施。</w:t>
      </w:r>
      <w:r/>
    </w:p>
    <w:p>
      <w:pPr>
        <w:ind w:firstLine="482"/>
        <w:jc w:val="left"/>
        <w:spacing w:line="556"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5.8 培训与知识转移方案</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投标人应提供培训与知识转移方案,方案至少包含以下内容:</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① 培训对象与分组:按药师、管理人员、系统管理员等分组,明确各组培训重点。</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② 培训轮次与课时安排:培训轮次、每轮课时、时间安排及与实施里程碑的衔接。</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③ 培训材料清单:药师操作手册、管理员手册、接口与部署文档等材料的清单与形式。</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④ 知识转移交付物与验收方式:知识转移的内容范围、交付物清单、验收标准与确认方式。</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⑤ 接管维护可行性说明:系统由我院或我院委托的第三方接管维护的可行性,包括环境依赖、构建方式、常见故障处置路径。</w:t>
      </w:r>
      <w:r/>
    </w:p>
    <w:p>
      <w:pPr>
        <w:ind w:firstLine="482"/>
        <w:jc w:val="left"/>
        <w:spacing w:line="556"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六、技术要求</w:t>
      </w:r>
      <w:r/>
    </w:p>
    <w:p>
      <w:pPr>
        <w:ind w:firstLine="482"/>
        <w:jc w:val="left"/>
        <w:spacing w:line="556"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6.1 体系架构</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1. 采用 B/S 架构，技术栈主流、文档完备、便于维护；点评引擎与具体信息系统解耦，通过标准接口对接。</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2. 模块化设计，人工智能模型可替换、可扩充，不绑定单一模型供应商。</w:t>
      </w:r>
      <w:r/>
    </w:p>
    <w:p>
      <w:pPr>
        <w:ind w:firstLine="482"/>
        <w:jc w:val="left"/>
        <w:spacing w:line="556"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6.2 部署架构</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1. 支持容器化封装部署，实现环境一致、快速部署与版本回滚。</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2. 容器编排与弹性伸缩：投标人须承诺具备相应技术能力，具体实施按我院后续环境要求配合完成，不作为本期交付验收项。</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3. 私有化部署于我院内部或我院指定的服务器环境，不依赖公有云；支持院内网络访问及必要的访问审计。</w:t>
      </w:r>
      <w:r/>
    </w:p>
    <w:p>
      <w:pPr>
        <w:ind w:firstLine="482"/>
        <w:jc w:val="left"/>
        <w:spacing w:line="556"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6.3 国产化建设</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投标人须承诺具备主流国产操作系统、数据库、中间件及国产 CPU 架构的适配能力，并在我院正式提出适配需求后 30 个工作日内完成适配。本期不作为交付验收项，适配所需工作纳入质保与免费运维期服务范围。</w:t>
      </w:r>
      <w:r/>
    </w:p>
    <w:p>
      <w:pPr>
        <w:ind w:firstLine="482"/>
        <w:jc w:val="left"/>
        <w:spacing w:line="556"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6.4 接口与集成</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1. 提供标准化、文档完备的接口，支持与我院 HIS、LIS、PACS 等院内系统的数据对接与点评结果回传。</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2. 与我院各信息系统对接所产生的全部接口费用，由投标人承担。投标人应在投标报价中充分考虑该项成本，中标后不得以接口费用为由要求追加费用或延期。</w:t>
      </w:r>
      <w:r/>
    </w:p>
    <w:p>
      <w:pPr>
        <w:ind w:firstLine="482"/>
        <w:jc w:val="left"/>
        <w:spacing w:line="556"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6.5 兼容性</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兼容主流浏览器（如 Chrome、Edge 等）及主流国产浏览器。</w:t>
      </w:r>
      <w:r/>
    </w:p>
    <w:p>
      <w:pPr>
        <w:ind w:firstLine="482"/>
        <w:jc w:val="left"/>
        <w:spacing w:line="556"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6.6 可靠性与数据备份</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支持数据定期备份与恢复；关键服务异常可监控、可恢复；备份与恢复须提供可操作的演练方案，并在终验时演示一次完整恢复。</w:t>
      </w:r>
      <w:r/>
    </w:p>
    <w:p>
      <w:pPr>
        <w:ind w:firstLine="482"/>
        <w:jc w:val="left"/>
        <w:spacing w:line="556"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6.7 日志与监控</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提供系统运行日志、接口调用日志与操作日志，支持运行状态监控与日志检索导出。</w:t>
      </w:r>
      <w:r/>
    </w:p>
    <w:p>
      <w:pPr>
        <w:ind w:firstLine="482"/>
        <w:jc w:val="left"/>
        <w:spacing w:line="556"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七、数据与信息安全要求</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1. 处方及诊疗数据须进行脱敏处理后用于点评与分析。</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2. 数据存储于我院内部或我院指定的环境，数据不出境；数据所有权归我院所有。</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3. 符合网络安全等级保护及个人信息保护相关法律法规要求。</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4. 等级保护级别按二级要求建设。后期我院如参加网络安全等级保护测评，投标人须根据测评结果配合完成相应整改；配合整改工作纳入质保与免费运维期服务范围，不另行计费。</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5. 生产环境不得开启调试模式；不得在代码仓库、配置文件、备份文件、日志中留存明文凭据。</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6. 数据库备份文件视同原始诊疗数据管理，不得以任何形式外带、上传网盘或通过邮件传递。</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7. 提供完整的操作与数据访问日志，支持审计与可追溯。</w:t>
      </w:r>
      <w:r/>
    </w:p>
    <w:p>
      <w:pPr>
        <w:ind w:firstLine="482"/>
        <w:jc w:val="left"/>
        <w:spacing w:line="556"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八、知识产权与交付要求</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1. 本项目开发形成的软件著作权及相关知识产权归我院所有（具体以采购合同约定为准）。</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2. 投标人不得主张本项目形成的任何技术方案的专利权、著作权或其他知识产权；未经我院书面同意，不得就本项目涉及的技术方案单独或联合申请专利，不得将本项目技术方案用于其他项目投标或产品化。</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3. 交付完整源代码、数据库结构、接口文档、部署文档及运维手册。</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4. 交付物须包含完整的构建脚本与依赖清单，保证我院可在自有环境下从源代码独立构建出可运行系统。</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5. 提供知识转移与培训，确保系统可由我院或我院委托的第三方接管维护。</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6. 不得设置任何形式的技术锁定；合同终止或退出时，应完整移交系统、数据与文档，并配合过渡。</w:t>
      </w:r>
      <w:r/>
    </w:p>
    <w:p>
      <w:pPr>
        <w:ind w:firstLine="482"/>
        <w:jc w:val="left"/>
        <w:spacing w:line="556"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九、服务要求</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1. 实施服务：负责系统部署、接口联调、数据迁移与上线。</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2. 培训：为药师及管理人员提供操作培训，培训不少于 2 轮，并提供培训材料。</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3. 运维响应（分级）：</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（1）严重：系统不可用、核心功能中断，4小时内响应/24小时内解决；</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（2）一般：部分功能异常、不影响核心使用，8小时内响应/3个工作日内解决；</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（3）咨询：使用咨询与优化建议，12小时内响应。</w:t>
      </w:r>
      <w:r/>
    </w:p>
    <w:p>
      <w:pPr>
        <w:ind w:firstLine="482"/>
        <w:jc w:val="left"/>
        <w:spacing w:line="556"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十、付款方式</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1. 预付款支付时间：合同签订后，采购人收到预付款发票后10个工作日内，预付款支付比例：合同金额的50%；</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2. 尾款支付时间：项目全部建设内容完成，终验合格后付清。（以上付款均无息）。甲方收到乙方发票10个工作日内支付款项。</w:t>
      </w:r>
      <w:r/>
    </w:p>
    <w:p>
      <w:pPr>
        <w:ind w:firstLine="482"/>
        <w:jc w:val="left"/>
        <w:spacing w:line="556"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十一、履约与验收标准</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1. 功能验收：对照第三章、第四章功能需求逐项核验。关键功能（规则校验、人工智能辅助、多模型合议、药师工作台、处方点评、留痕审计、第四章专用模块）须现场演示通过。</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2. 性能验收：满足第五章技术要求中约定的性能指标。</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3. 安全验收：数据脱敏、数据不出境、留痕审计等符合第六章要求，并通过我院信息安全审查。</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4. 交付验收：源代码、数据库结构、接口与部署文档、运维手册齐全；完成知识转移与知识产权移交。</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5. 源代码可重现构建验收：由我院或我院委托的第三方，在我院环境下，仅依据投标人提交的源代码、构建脚本与依赖清单，完整构建出可运行系统并跑通核心业务流程。构建失败、依赖缺失或需中标人另行提供未交付文件的，视为验收不通过。</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6. 数据恢复演练：现场演示一次完整的备份恢复过程。</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上述任一项未通过的，中标人须在我院指定期限内整改并重新提交验收；累计三次验收不通过的，我院有权解除合同。</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宋体" w:cs="宋体"/>
          <w:b/>
          <w:bCs/>
          <w:sz w:val="24"/>
          <w:szCs w:val="20"/>
          <w:highlight w:val="none"/>
        </w:rPr>
        <w:t xml:space="preserve">十二</w:t>
      </w:r>
      <w:r>
        <w:rPr>
          <w:rFonts w:hint="eastAsia" w:ascii="宋体" w:hAnsi="宋体" w:eastAsia="宋体" w:cs="宋体"/>
          <w:b/>
          <w:bCs/>
          <w:sz w:val="24"/>
          <w:szCs w:val="20"/>
        </w:rPr>
        <w:t xml:space="preserve">、</w:t>
      </w:r>
      <w:r>
        <w:rPr>
          <w:rFonts w:hint="eastAsia" w:ascii="宋体" w:hAnsi="宋体" w:eastAsia="Arial" w:cs="宋体"/>
          <w:b/>
          <w:bCs/>
          <w:sz w:val="24"/>
          <w:szCs w:val="20"/>
        </w:rPr>
        <w:t xml:space="preserve">业绩</w:t>
      </w:r>
      <w:r/>
    </w:p>
    <w:p>
      <w:pPr>
        <w:ind w:firstLine="480"/>
        <w:jc w:val="left"/>
        <w:spacing w:line="560" w:lineRule="exact"/>
        <w:widowControl/>
      </w:pPr>
      <w:r>
        <w:rPr>
          <w:rFonts w:hint="eastAsia" w:ascii="宋体" w:hAnsi="宋体" w:eastAsia="Arial" w:cs="宋体"/>
          <w:sz w:val="24"/>
          <w:szCs w:val="20"/>
        </w:rPr>
        <w:t xml:space="preserve">为了确保项目的顺利实施，投标人需具有类似项目的相关承接经验，投标人自202</w:t>
      </w:r>
      <w:r>
        <w:rPr>
          <w:rFonts w:hint="eastAsia" w:ascii="宋体" w:hAnsi="宋体" w:eastAsia="宋体" w:cs="宋体"/>
          <w:sz w:val="24"/>
          <w:szCs w:val="20"/>
        </w:rPr>
        <w:t xml:space="preserve">3</w:t>
      </w:r>
      <w:r>
        <w:rPr>
          <w:rFonts w:hint="eastAsia" w:ascii="宋体" w:hAnsi="宋体" w:eastAsia="Arial" w:cs="宋体"/>
          <w:sz w:val="24"/>
          <w:szCs w:val="20"/>
        </w:rPr>
        <w:t xml:space="preserve">年1月1日以来（以合同签订日期为准），承担过</w:t>
      </w:r>
      <w:r>
        <w:rPr>
          <w:rFonts w:hint="eastAsia" w:ascii="宋体" w:hAnsi="宋体" w:eastAsia="宋体" w:cs="宋体"/>
          <w:sz w:val="24"/>
          <w:szCs w:val="20"/>
        </w:rPr>
        <w:t xml:space="preserve">信息化</w:t>
      </w:r>
      <w:r>
        <w:rPr>
          <w:rFonts w:hint="eastAsia" w:ascii="宋体" w:hAnsi="宋体" w:eastAsia="宋体" w:cs="宋体"/>
          <w:sz w:val="24"/>
        </w:rPr>
        <w:t xml:space="preserve">项目建设</w:t>
      </w:r>
      <w:r>
        <w:rPr>
          <w:rFonts w:hint="eastAsia" w:ascii="宋体" w:hAnsi="宋体" w:eastAsia="Arial" w:cs="宋体"/>
          <w:bCs/>
          <w:sz w:val="24"/>
          <w:szCs w:val="20"/>
        </w:rPr>
        <w:t xml:space="preserve">的</w:t>
      </w:r>
      <w:r>
        <w:rPr>
          <w:rFonts w:hint="eastAsia" w:ascii="宋体" w:hAnsi="宋体" w:eastAsia="Arial" w:cs="宋体"/>
          <w:b/>
          <w:sz w:val="24"/>
          <w:szCs w:val="20"/>
        </w:rPr>
        <w:t xml:space="preserve">优先</w:t>
      </w:r>
      <w:r>
        <w:rPr>
          <w:rFonts w:hint="eastAsia" w:ascii="宋体" w:hAnsi="宋体" w:eastAsia="Arial" w:cs="宋体"/>
          <w:bCs/>
          <w:sz w:val="24"/>
          <w:szCs w:val="20"/>
        </w:rPr>
        <w:t xml:space="preserve">。</w:t>
      </w:r>
      <w:r/>
    </w:p>
    <w:p>
      <w:pPr>
        <w:ind w:firstLine="482"/>
        <w:jc w:val="left"/>
        <w:spacing w:line="556" w:lineRule="exact"/>
        <w:widowControl/>
        <w:rPr>
          <w:rFonts w:hint="eastAsia" w:ascii="宋体" w:hAnsi="宋体" w:eastAsia="宋体" w:cs="宋体"/>
          <w:b/>
          <w:bCs/>
          <w:sz w:val="24"/>
          <w:szCs w:val="20"/>
        </w:rPr>
      </w:pPr>
      <w:r>
        <w:rPr>
          <w:rFonts w:hint="eastAsia" w:ascii="宋体" w:hAnsi="宋体" w:eastAsia="宋体" w:cs="宋体"/>
          <w:b/>
          <w:bCs/>
          <w:sz w:val="24"/>
          <w:szCs w:val="20"/>
          <w:highlight w:val="none"/>
        </w:rPr>
        <w:t xml:space="preserve">十三</w:t>
      </w:r>
      <w:r>
        <w:rPr>
          <w:rFonts w:hint="eastAsia" w:ascii="宋体" w:hAnsi="宋体" w:eastAsia="宋体" w:cs="宋体"/>
          <w:b/>
          <w:bCs/>
          <w:sz w:val="24"/>
          <w:szCs w:val="20"/>
        </w:rPr>
        <w:t xml:space="preserve">、采购标的对应的中小企业划分标准所属行业一览表</w:t>
      </w:r>
      <w:r/>
    </w:p>
    <w:tbl>
      <w:tblPr>
        <w:tblStyle w:val="698"/>
        <w:tblW w:w="8884"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2"/>
        <w:gridCol w:w="3805"/>
        <w:gridCol w:w="3927"/>
      </w:tblGrid>
      <w:tr>
        <w:trPr>
          <w:jc w:val="center"/>
          <w:tblCellSpacing w:w="0" w:type="dxa"/>
          <w:trHeight w:val="926"/>
        </w:trPr>
        <w:tc>
          <w:tcPr>
            <w:tcW w:w="1152" w:type="dxa"/>
            <w:vAlign w:val="center"/>
            <w:textDirection w:val="lrTb"/>
            <w:noWrap w:val="false"/>
          </w:tcPr>
          <w:p>
            <w:pPr>
              <w:jc w:val="center"/>
              <w:spacing w:before="100" w:after="100" w:line="360" w:lineRule="auto"/>
              <w:rPr>
                <w:rFonts w:hint="eastAsia" w:ascii="宋体" w:hAnsi="宋体" w:eastAsia="宋体" w:cs="宋体"/>
                <w:sz w:val="24"/>
              </w:rPr>
            </w:pPr>
            <w:r>
              <w:rPr>
                <w:rFonts w:hint="eastAsia" w:ascii="宋体" w:hAnsi="宋体" w:eastAsia="宋体" w:cs="宋体"/>
                <w:sz w:val="24"/>
              </w:rPr>
              <w:t xml:space="preserve">序号</w:t>
            </w:r>
            <w:r/>
          </w:p>
        </w:tc>
        <w:tc>
          <w:tcPr>
            <w:tcW w:w="3805" w:type="dxa"/>
            <w:vAlign w:val="center"/>
            <w:textDirection w:val="lrTb"/>
            <w:noWrap w:val="false"/>
          </w:tcPr>
          <w:p>
            <w:pPr>
              <w:jc w:val="center"/>
              <w:spacing w:before="100" w:after="100" w:line="560" w:lineRule="exact"/>
              <w:rPr>
                <w:rFonts w:hint="eastAsia" w:ascii="宋体" w:hAnsi="宋体" w:eastAsia="宋体" w:cs="宋体"/>
                <w:sz w:val="24"/>
              </w:rPr>
            </w:pPr>
            <w:r>
              <w:rPr>
                <w:rFonts w:hint="eastAsia" w:ascii="宋体" w:hAnsi="宋体" w:eastAsia="宋体" w:cs="宋体"/>
                <w:sz w:val="24"/>
              </w:rPr>
              <w:t xml:space="preserve">采购标的</w:t>
            </w:r>
            <w:r/>
          </w:p>
        </w:tc>
        <w:tc>
          <w:tcPr>
            <w:tcW w:w="3927" w:type="dxa"/>
            <w:vAlign w:val="center"/>
            <w:textDirection w:val="lrTb"/>
            <w:noWrap w:val="false"/>
          </w:tcPr>
          <w:p>
            <w:pPr>
              <w:jc w:val="center"/>
              <w:spacing w:before="100" w:after="100" w:line="360" w:lineRule="auto"/>
              <w:rPr>
                <w:rFonts w:hint="eastAsia" w:ascii="宋体" w:hAnsi="宋体" w:eastAsia="宋体" w:cs="宋体"/>
                <w:sz w:val="24"/>
              </w:rPr>
            </w:pPr>
            <w:r>
              <w:rPr>
                <w:rFonts w:hint="eastAsia" w:ascii="宋体" w:hAnsi="宋体" w:eastAsia="宋体" w:cs="宋体"/>
                <w:sz w:val="24"/>
              </w:rPr>
              <w:t xml:space="preserve">对应中小企业划分标准所属行业</w:t>
            </w:r>
            <w:r/>
          </w:p>
        </w:tc>
      </w:tr>
      <w:tr>
        <w:trPr>
          <w:jc w:val="center"/>
          <w:tblCellSpacing w:w="0" w:type="dxa"/>
          <w:trHeight w:val="941"/>
        </w:trPr>
        <w:tc>
          <w:tcPr>
            <w:tcW w:w="1152" w:type="dxa"/>
            <w:vAlign w:val="center"/>
            <w:textDirection w:val="lrTb"/>
            <w:noWrap w:val="false"/>
          </w:tcPr>
          <w:p>
            <w:pPr>
              <w:jc w:val="center"/>
              <w:spacing w:before="100" w:after="100" w:line="360" w:lineRule="auto"/>
              <w:rPr>
                <w:rFonts w:hint="eastAsia" w:ascii="宋体" w:hAnsi="宋体" w:eastAsia="宋体" w:cs="宋体"/>
                <w:sz w:val="24"/>
              </w:rPr>
            </w:pPr>
            <w:r>
              <w:rPr>
                <w:rFonts w:hint="eastAsia" w:ascii="宋体" w:hAnsi="宋体" w:eastAsia="宋体" w:cs="宋体"/>
                <w:sz w:val="24"/>
              </w:rPr>
              <w:t xml:space="preserve">1</w:t>
            </w:r>
            <w:r/>
          </w:p>
        </w:tc>
        <w:tc>
          <w:tcPr>
            <w:tcW w:w="3805" w:type="dxa"/>
            <w:vAlign w:val="center"/>
            <w:textDirection w:val="lrTb"/>
            <w:noWrap w:val="false"/>
          </w:tcPr>
          <w:p>
            <w:pPr>
              <w:jc w:val="center"/>
              <w:spacing w:line="560" w:lineRule="exact"/>
              <w:rPr>
                <w:rFonts w:hint="eastAsia" w:ascii="宋体" w:hAnsi="宋体" w:eastAsia="宋体" w:cs="宋体"/>
                <w:sz w:val="24"/>
              </w:rPr>
            </w:pPr>
            <w:r>
              <w:rPr>
                <w:rFonts w:hint="eastAsia" w:ascii="宋体" w:hAnsi="宋体" w:eastAsia="宋体" w:cs="宋体"/>
                <w:color w:val="000000"/>
                <w:sz w:val="24"/>
                <w:szCs w:val="20"/>
              </w:rPr>
              <w:t xml:space="preserve">盐城市第四人民医院智慧处方点评系统项目</w:t>
            </w:r>
            <w:r/>
          </w:p>
        </w:tc>
        <w:tc>
          <w:tcPr>
            <w:tcW w:w="3927" w:type="dxa"/>
            <w:vAlign w:val="center"/>
            <w:textDirection w:val="lrTb"/>
            <w:noWrap w:val="false"/>
          </w:tcPr>
          <w:p>
            <w:pPr>
              <w:jc w:val="center"/>
              <w:spacing w:before="100" w:after="100" w:line="360" w:lineRule="auto"/>
              <w:rPr>
                <w:rFonts w:hint="eastAsia" w:ascii="宋体" w:hAnsi="宋体" w:eastAsia="宋体" w:cs="宋体"/>
                <w:sz w:val="24"/>
              </w:rPr>
            </w:pPr>
            <w:r>
              <w:rPr>
                <w:rFonts w:hint="eastAsia" w:ascii="宋体" w:hAnsi="宋体" w:eastAsia="宋体" w:cs="宋体"/>
                <w:sz w:val="24"/>
              </w:rPr>
              <w:t xml:space="preserve">软件和信息技术服务业</w:t>
            </w:r>
            <w:r/>
          </w:p>
        </w:tc>
      </w:tr>
    </w:tbl>
    <w:p>
      <w:pPr>
        <w:pStyle w:val="721"/>
        <w:jc w:val="both"/>
        <w:keepNext/>
        <w:spacing w:beforeAutospacing="0" w:afterAutospacing="0" w:line="560" w:lineRule="exac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rPr>
          <w:rFonts w:hint="eastAsia" w:ascii="黑体" w:hAnsi="宋体" w:eastAsia="黑体" w:cs="黑体"/>
          <w:color w:val="000000"/>
          <w:sz w:val="44"/>
          <w:szCs w:val="44"/>
        </w:rPr>
      </w:pPr>
      <w:r>
        <w:rPr>
          <w:rFonts w:hint="eastAsia" w:ascii="黑体" w:hAnsi="宋体" w:eastAsia="黑体" w:cs="黑体"/>
          <w:color w:val="000000"/>
          <w:sz w:val="44"/>
          <w:szCs w:val="44"/>
        </w:rPr>
      </w:r>
      <w:r/>
    </w:p>
    <w:p>
      <w:pPr>
        <w:jc w:val="center"/>
      </w:pPr>
      <w:r>
        <w:rPr>
          <w:rFonts w:hint="eastAsia" w:ascii="黑体" w:hAnsi="宋体" w:eastAsia="黑体" w:cs="黑体"/>
          <w:color w:val="000000"/>
          <w:sz w:val="44"/>
          <w:szCs w:val="44"/>
        </w:rPr>
        <w:t xml:space="preserve">第五章 </w:t>
      </w:r>
      <w:r>
        <w:rPr>
          <w:rFonts w:hint="eastAsia" w:ascii="黑体" w:hAnsi="宋体" w:eastAsia="黑体" w:cs="黑体"/>
          <w:bCs/>
          <w:color w:val="000000"/>
          <w:sz w:val="44"/>
          <w:szCs w:val="44"/>
        </w:rPr>
        <w:t xml:space="preserve">评标方法与评标标准</w:t>
      </w:r>
      <w:r/>
    </w:p>
    <w:p>
      <w:pPr>
        <w:ind w:firstLine="482"/>
        <w:jc w:val="left"/>
        <w:spacing w:line="556"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一、定标原则</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本项目采用</w:t>
      </w:r>
      <w:r>
        <w:rPr>
          <w:rFonts w:hint="eastAsia" w:ascii="宋体" w:hAnsi="宋体" w:eastAsia="宋体" w:cs="宋体"/>
          <w:sz w:val="24"/>
          <w:szCs w:val="20"/>
          <w:u w:val="single"/>
        </w:rPr>
        <w:t xml:space="preserve">综合评分</w:t>
      </w:r>
      <w:r>
        <w:rPr>
          <w:rFonts w:hint="eastAsia" w:ascii="宋体" w:hAnsi="宋体" w:eastAsia="宋体" w:cs="宋体"/>
          <w:sz w:val="24"/>
          <w:szCs w:val="20"/>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left"/>
        <w:spacing w:line="556"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政府采购政策功能落实</w:t>
      </w:r>
      <w:r/>
    </w:p>
    <w:p>
      <w:pPr>
        <w:ind w:firstLine="482"/>
        <w:jc w:val="left"/>
        <w:spacing w:line="556" w:lineRule="exact"/>
        <w:widowControl/>
        <w:rPr>
          <w:rFonts w:hint="default" w:ascii="宋体" w:hAnsi="宋体" w:eastAsia="宋体" w:cs="宋体"/>
          <w:b/>
          <w:bCs/>
          <w:sz w:val="24"/>
          <w:szCs w:val="20"/>
          <w:lang w:val="en-US" w:eastAsia="zh-CN"/>
        </w:rPr>
      </w:pPr>
      <w:r>
        <w:rPr>
          <w:rFonts w:hint="eastAsia" w:ascii="宋体" w:hAnsi="宋体" w:eastAsia="宋体" w:cs="宋体"/>
          <w:b/>
          <w:bCs/>
          <w:sz w:val="24"/>
          <w:szCs w:val="20"/>
        </w:rPr>
        <w:t xml:space="preserve">1、小微型企业</w:t>
      </w:r>
      <w:r>
        <w:rPr>
          <w:rFonts w:hint="eastAsia" w:ascii="宋体" w:hAnsi="宋体" w:eastAsia="宋体" w:cs="宋体"/>
          <w:b/>
          <w:bCs/>
          <w:sz w:val="24"/>
          <w:szCs w:val="20"/>
          <w:lang w:val="en-US" w:eastAsia="zh-CN"/>
        </w:rPr>
        <w:t xml:space="preserve">价格扣除</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（1）本项目专门面向中小企业采购，不再对小型和微型企业服务给予价格扣除。</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（2）供应商需按照采购文件的要求提供相应的《中小企业声明函》。</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（3）企业标准请参照《关于印发中小企业划型标准规定的通知》（工信部联企业[2011]300号）文件规定自行填写。</w:t>
      </w:r>
      <w:r/>
    </w:p>
    <w:p>
      <w:pPr>
        <w:ind w:firstLine="482"/>
        <w:jc w:val="left"/>
        <w:spacing w:line="556"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2、残疾人福利单位</w:t>
      </w:r>
      <w:r>
        <w:rPr>
          <w:rFonts w:hint="eastAsia" w:ascii="宋体" w:hAnsi="宋体" w:eastAsia="宋体" w:cs="宋体"/>
          <w:b/>
          <w:bCs/>
          <w:sz w:val="24"/>
          <w:szCs w:val="20"/>
          <w:lang w:val="en-US" w:eastAsia="zh-CN"/>
        </w:rPr>
        <w:t xml:space="preserve">价格扣除</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（1）本项目对残疾人福利性单位视同小型、微型企业。</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（2）残疾人福利单位标准请参照《关于促进残疾人就业政府采购政策的通知》（财库〔2017〕141号），需提供《残疾人福利性单位声明函》。</w:t>
      </w:r>
      <w:r/>
    </w:p>
    <w:p>
      <w:pPr>
        <w:ind w:firstLine="482"/>
        <w:jc w:val="left"/>
        <w:spacing w:line="556"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3、监狱和戒毒企业</w:t>
      </w:r>
      <w:r>
        <w:rPr>
          <w:rFonts w:hint="eastAsia" w:ascii="宋体" w:hAnsi="宋体" w:eastAsia="宋体" w:cs="宋体"/>
          <w:b/>
          <w:bCs/>
          <w:sz w:val="24"/>
          <w:szCs w:val="20"/>
          <w:lang w:val="en-US" w:eastAsia="zh-CN"/>
        </w:rPr>
        <w:t xml:space="preserve">价格扣除</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（1）本项目对监狱和戒毒企业（简称监狱企业）视同小型、微型企业。</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（2）监狱企业参加政府采购活动时，需提供由省级以上监狱管理局、戒毒管理局(含新疆生产建设兵团)出具的属于监狱企业的证明文件。</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（3）监狱企业标准请参照《关于政府采购支持监狱企业发展有关问题的通知》（财库[2014]68号）。</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4、残疾人福利单位、监狱企业属于小型、微型企业的，不重复享受政策。</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sz w:val="24"/>
          <w:szCs w:val="20"/>
        </w:rPr>
        <w:t xml:space="preserve">如属政府强制采购产品未提供认证证书的或认证证书提供不全的将视为未实质性响应采购要求</w:t>
      </w:r>
      <w:r>
        <w:rPr>
          <w:rFonts w:hint="eastAsia" w:ascii="宋体" w:hAnsi="宋体" w:eastAsia="宋体" w:cs="宋体"/>
          <w:sz w:val="24"/>
          <w:szCs w:val="20"/>
        </w:rPr>
        <w:t xml:space="preserve">。其他条件相同情况下，应当优先采购节能产品、环境标志产品。</w:t>
      </w:r>
      <w:r/>
    </w:p>
    <w:p>
      <w:pPr>
        <w:ind w:firstLine="482"/>
        <w:jc w:val="left"/>
        <w:spacing w:line="560" w:lineRule="exact"/>
        <w:widowControl/>
        <w:rPr>
          <w:rFonts w:ascii="宋体" w:hAnsi="Times New Roman" w:eastAsia="宋体" w:cs="Arial"/>
          <w:b/>
          <w:bCs/>
          <w:color w:val="000000"/>
          <w:sz w:val="24"/>
          <w:szCs w:val="21"/>
        </w:rPr>
      </w:pPr>
      <w:r>
        <w:rPr>
          <w:rFonts w:hint="eastAsia" w:ascii="宋体" w:hAnsi="Times New Roman" w:eastAsia="宋体" w:cs="Arial"/>
          <w:b/>
          <w:bCs/>
          <w:color w:val="000000"/>
          <w:sz w:val="24"/>
          <w:szCs w:val="21"/>
        </w:rPr>
        <w:t xml:space="preserve">二、评标方法与评标标准</w:t>
      </w:r>
      <w:r/>
    </w:p>
    <w:p>
      <w:pPr>
        <w:ind w:firstLine="482"/>
        <w:jc w:val="left"/>
        <w:spacing w:line="560" w:lineRule="exact"/>
        <w:widowControl/>
        <w:rPr>
          <w:rFonts w:ascii="宋体" w:hAnsi="Times New Roman" w:eastAsia="宋体" w:cs="Arial"/>
          <w:b/>
          <w:bCs/>
          <w:color w:val="000000"/>
          <w:sz w:val="24"/>
          <w:szCs w:val="21"/>
        </w:rPr>
      </w:pPr>
      <w:r>
        <w:rPr>
          <w:rFonts w:hint="eastAsia" w:ascii="宋体" w:hAnsi="Times New Roman" w:eastAsia="宋体" w:cs="Arial"/>
          <w:b/>
          <w:bCs/>
          <w:color w:val="000000"/>
          <w:sz w:val="24"/>
          <w:szCs w:val="21"/>
        </w:rPr>
        <w:t xml:space="preserve">本项目总分值为100分。</w:t>
      </w:r>
      <w:r/>
    </w:p>
    <w:tbl>
      <w:tblPr>
        <w:tblStyle w:val="698"/>
        <w:tblpPr w:horzAnchor="page" w:tblpX="1619" w:vertAnchor="text" w:tblpY="291" w:leftFromText="180" w:topFromText="0" w:rightFromText="180" w:bottomFromText="0"/>
        <w:tblW w:w="874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1105"/>
        <w:gridCol w:w="1245"/>
        <w:gridCol w:w="6392"/>
      </w:tblGrid>
      <w:tr>
        <w:trPr>
          <w:trHeight w:val="629"/>
        </w:trPr>
        <w:tc>
          <w:tcPr>
            <w:tcMar>
              <w:left w:w="15" w:type="dxa"/>
              <w:top w:w="15" w:type="dxa"/>
              <w:right w:w="15" w:type="dxa"/>
            </w:tcMar>
            <w:tcW w:w="1105" w:type="dxa"/>
            <w:vAlign w:val="center"/>
            <w:textDirection w:val="lrTb"/>
            <w:noWrap w:val="false"/>
          </w:tcPr>
          <w:p>
            <w:pPr>
              <w:jc w:val="center"/>
              <w:spacing w:line="560" w:lineRule="exact"/>
              <w:widowControl/>
              <w:rPr>
                <w:rFonts w:hint="eastAsia" w:ascii="宋体" w:hAnsi="宋体" w:cs="宋体"/>
                <w:sz w:val="24"/>
                <w:lang w:bidi="ar"/>
              </w:rPr>
            </w:pPr>
            <w:r>
              <w:rPr>
                <w:rFonts w:hint="eastAsia" w:ascii="宋体" w:hAnsi="宋体" w:cs="宋体"/>
                <w:sz w:val="24"/>
                <w:lang w:bidi="ar"/>
              </w:rPr>
              <w:t xml:space="preserve">评分项目</w:t>
            </w:r>
            <w:r/>
          </w:p>
        </w:tc>
        <w:tc>
          <w:tcPr>
            <w:tcMar>
              <w:left w:w="15" w:type="dxa"/>
              <w:top w:w="15" w:type="dxa"/>
              <w:right w:w="15" w:type="dxa"/>
            </w:tcMar>
            <w:tcW w:w="1245" w:type="dxa"/>
            <w:vAlign w:val="center"/>
            <w:textDirection w:val="lrTb"/>
            <w:noWrap w:val="false"/>
          </w:tcPr>
          <w:p>
            <w:pPr>
              <w:jc w:val="center"/>
              <w:spacing w:line="560" w:lineRule="exact"/>
              <w:widowControl/>
              <w:rPr>
                <w:rFonts w:hint="eastAsia" w:ascii="宋体" w:hAnsi="宋体" w:cs="宋体"/>
                <w:sz w:val="24"/>
                <w:lang w:bidi="ar"/>
              </w:rPr>
            </w:pPr>
            <w:r>
              <w:rPr>
                <w:rFonts w:hint="eastAsia" w:ascii="宋体" w:hAnsi="宋体" w:cs="宋体"/>
                <w:sz w:val="24"/>
                <w:lang w:bidi="ar"/>
              </w:rPr>
              <w:t xml:space="preserve">评分标准</w:t>
            </w:r>
            <w:r/>
          </w:p>
        </w:tc>
        <w:tc>
          <w:tcPr>
            <w:tcW w:w="6392" w:type="dxa"/>
            <w:vAlign w:val="center"/>
            <w:textDirection w:val="lrTb"/>
            <w:noWrap w:val="false"/>
          </w:tcPr>
          <w:p>
            <w:pPr>
              <w:jc w:val="center"/>
              <w:spacing w:line="560" w:lineRule="exact"/>
              <w:widowControl/>
              <w:rPr>
                <w:rFonts w:hint="eastAsia" w:ascii="宋体" w:hAnsi="宋体" w:cs="宋体"/>
                <w:sz w:val="24"/>
                <w:lang w:bidi="ar"/>
              </w:rPr>
            </w:pPr>
            <w:r>
              <w:rPr>
                <w:rFonts w:hint="eastAsia" w:ascii="宋体" w:hAnsi="宋体" w:cs="宋体"/>
                <w:sz w:val="24"/>
                <w:lang w:bidi="ar"/>
              </w:rPr>
              <w:t xml:space="preserve">评分细则</w:t>
            </w:r>
            <w:r/>
          </w:p>
        </w:tc>
      </w:tr>
      <w:tr>
        <w:trPr/>
        <w:tc>
          <w:tcPr>
            <w:tcMar>
              <w:left w:w="15" w:type="dxa"/>
              <w:top w:w="15" w:type="dxa"/>
              <w:right w:w="15" w:type="dxa"/>
            </w:tcMar>
            <w:tcW w:w="1105" w:type="dxa"/>
            <w:vAlign w:val="center"/>
            <w:textDirection w:val="lrTb"/>
            <w:noWrap w:val="false"/>
          </w:tcPr>
          <w:p>
            <w:pPr>
              <w:jc w:val="center"/>
              <w:spacing w:line="400" w:lineRule="exact"/>
              <w:widowControl/>
              <w:rPr>
                <w:rFonts w:hint="eastAsia" w:ascii="宋体" w:hAnsi="宋体" w:cs="宋体"/>
                <w:sz w:val="24"/>
                <w:lang w:bidi="ar"/>
              </w:rPr>
            </w:pPr>
            <w:r>
              <w:rPr>
                <w:rFonts w:hint="eastAsia" w:ascii="宋体" w:hAnsi="宋体" w:cs="宋体"/>
                <w:sz w:val="24"/>
                <w:lang w:bidi="ar"/>
              </w:rPr>
              <w:t xml:space="preserve">投标报价</w:t>
            </w:r>
            <w:r/>
          </w:p>
          <w:p>
            <w:pPr>
              <w:jc w:val="center"/>
              <w:spacing w:line="400" w:lineRule="exact"/>
              <w:widowControl/>
              <w:rPr>
                <w:rFonts w:hint="eastAsia" w:ascii="宋体" w:hAnsi="宋体" w:cs="宋体"/>
                <w:sz w:val="24"/>
                <w:lang w:bidi="ar"/>
              </w:rPr>
            </w:pPr>
            <w:r>
              <w:rPr>
                <w:rFonts w:hint="eastAsia" w:ascii="宋体" w:hAnsi="宋体" w:cs="宋体"/>
                <w:sz w:val="24"/>
                <w:lang w:bidi="ar"/>
              </w:rPr>
              <w:t xml:space="preserve">(10分)</w:t>
            </w:r>
            <w:r/>
          </w:p>
        </w:tc>
        <w:tc>
          <w:tcPr>
            <w:tcMar>
              <w:left w:w="15" w:type="dxa"/>
              <w:top w:w="15" w:type="dxa"/>
              <w:right w:w="15" w:type="dxa"/>
            </w:tcMar>
            <w:tcW w:w="1245" w:type="dxa"/>
            <w:vAlign w:val="center"/>
            <w:textDirection w:val="lrTb"/>
            <w:noWrap w:val="false"/>
          </w:tcPr>
          <w:p>
            <w:pPr>
              <w:jc w:val="center"/>
              <w:spacing w:line="400" w:lineRule="exact"/>
              <w:widowControl/>
              <w:rPr>
                <w:rFonts w:hint="eastAsia" w:ascii="宋体" w:hAnsi="宋体" w:cs="宋体"/>
                <w:sz w:val="24"/>
                <w:lang w:bidi="ar"/>
              </w:rPr>
            </w:pPr>
            <w:r>
              <w:rPr>
                <w:rFonts w:hint="eastAsia" w:ascii="宋体" w:hAnsi="宋体" w:cs="宋体"/>
                <w:sz w:val="24"/>
                <w:lang w:bidi="ar"/>
              </w:rPr>
              <w:t xml:space="preserve">投标报价</w:t>
            </w:r>
            <w:r/>
          </w:p>
          <w:p>
            <w:pPr>
              <w:jc w:val="center"/>
              <w:spacing w:line="400" w:lineRule="exact"/>
              <w:widowControl/>
              <w:rPr>
                <w:rFonts w:hint="eastAsia" w:ascii="宋体" w:hAnsi="宋体" w:cs="宋体"/>
                <w:sz w:val="24"/>
                <w:lang w:bidi="ar"/>
              </w:rPr>
            </w:pPr>
            <w:r>
              <w:rPr>
                <w:rFonts w:hint="eastAsia" w:ascii="宋体" w:hAnsi="宋体" w:cs="宋体"/>
                <w:sz w:val="24"/>
                <w:lang w:bidi="ar"/>
              </w:rPr>
              <w:t xml:space="preserve">（10分）</w:t>
            </w:r>
            <w:r/>
          </w:p>
        </w:tc>
        <w:tc>
          <w:tcPr>
            <w:tcW w:w="6392" w:type="dxa"/>
            <w:vAlign w:val="center"/>
            <w:textDirection w:val="lrTb"/>
            <w:noWrap w:val="false"/>
          </w:tcPr>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满足招标文件要求且投标报价最低的投标报价为评标基准价,其价格分为满分。其他投标人的价格分统一按照下列公式计算:投标报价得分 =(评标基准价 / 投标报价)× 10(四舍五入后保留小数点后两位)。</w:t>
            </w:r>
            <w:r/>
          </w:p>
        </w:tc>
      </w:tr>
      <w:tr>
        <w:trPr>
          <w:trHeight w:val="1182"/>
        </w:trPr>
        <w:tc>
          <w:tcPr>
            <w:tcMar>
              <w:left w:w="15" w:type="dxa"/>
              <w:top w:w="15" w:type="dxa"/>
              <w:right w:w="15" w:type="dxa"/>
            </w:tcMar>
            <w:tcW w:w="1105" w:type="dxa"/>
            <w:vAlign w:val="center"/>
            <w:vMerge w:val="restart"/>
            <w:textDirection w:val="lrTb"/>
            <w:noWrap w:val="false"/>
          </w:tcPr>
          <w:p>
            <w:pPr>
              <w:jc w:val="center"/>
              <w:spacing w:line="400" w:lineRule="exact"/>
              <w:widowControl/>
              <w:rPr>
                <w:rFonts w:hint="eastAsia" w:ascii="宋体" w:hAnsi="宋体" w:eastAsia="宋体" w:cs="宋体"/>
                <w:sz w:val="24"/>
                <w:lang w:bidi="ar"/>
              </w:rPr>
            </w:pPr>
            <w:r>
              <w:rPr>
                <w:rFonts w:hint="eastAsia" w:ascii="宋体" w:hAnsi="宋体" w:eastAsia="宋体" w:cs="宋体"/>
                <w:sz w:val="24"/>
                <w:lang w:bidi="ar"/>
              </w:rPr>
              <w:t xml:space="preserve">技术指标</w:t>
            </w:r>
            <w:r/>
          </w:p>
          <w:p>
            <w:pPr>
              <w:jc w:val="center"/>
              <w:spacing w:line="400" w:lineRule="exact"/>
              <w:widowControl/>
              <w:rPr>
                <w:rFonts w:hint="eastAsia" w:ascii="宋体" w:hAnsi="宋体" w:eastAsia="宋体" w:cs="宋体"/>
                <w:sz w:val="24"/>
                <w:lang w:bidi="ar"/>
              </w:rPr>
            </w:pPr>
            <w:r>
              <w:rPr>
                <w:rFonts w:hint="eastAsia" w:ascii="宋体" w:hAnsi="宋体" w:eastAsia="宋体" w:cs="宋体"/>
                <w:sz w:val="24"/>
                <w:lang w:bidi="ar"/>
              </w:rPr>
              <w:t xml:space="preserve">（80分）</w:t>
            </w:r>
            <w:r/>
          </w:p>
        </w:tc>
        <w:tc>
          <w:tcPr>
            <w:tcMar>
              <w:left w:w="15" w:type="dxa"/>
              <w:top w:w="15" w:type="dxa"/>
              <w:right w:w="15" w:type="dxa"/>
            </w:tcMar>
            <w:tcW w:w="1245" w:type="dxa"/>
            <w:vAlign w:val="center"/>
            <w:textDirection w:val="lrTb"/>
            <w:noWrap w:val="false"/>
          </w:tcPr>
          <w:p>
            <w:pPr>
              <w:jc w:val="center"/>
              <w:spacing w:line="400" w:lineRule="exact"/>
              <w:widowControl/>
              <w:rPr>
                <w:rFonts w:hint="eastAsia" w:ascii="宋体" w:hAnsi="宋体" w:eastAsia="宋体" w:cs="宋体"/>
                <w:sz w:val="24"/>
              </w:rPr>
            </w:pPr>
            <w:r/>
            <w:bookmarkStart w:id="173" w:name="OLE_LINK62"/>
            <w:r/>
            <w:bookmarkStart w:id="174" w:name="OLE_LINK61"/>
            <w:r>
              <w:rPr>
                <w:rFonts w:hint="eastAsia" w:ascii="宋体" w:hAnsi="宋体" w:eastAsia="宋体" w:cs="宋体"/>
                <w:sz w:val="24"/>
              </w:rPr>
              <w:t xml:space="preserve">项目实施</w:t>
            </w:r>
            <w:r/>
          </w:p>
          <w:p>
            <w:pPr>
              <w:jc w:val="center"/>
              <w:spacing w:line="400" w:lineRule="exact"/>
              <w:widowControl/>
              <w:rPr>
                <w:rFonts w:hint="eastAsia" w:ascii="宋体" w:hAnsi="宋体" w:eastAsia="宋体" w:cs="宋体"/>
                <w:sz w:val="24"/>
              </w:rPr>
            </w:pPr>
            <w:r>
              <w:rPr>
                <w:rFonts w:hint="eastAsia" w:ascii="宋体" w:hAnsi="宋体" w:eastAsia="宋体" w:cs="宋体"/>
                <w:sz w:val="24"/>
              </w:rPr>
              <w:t xml:space="preserve">方案</w:t>
            </w:r>
            <w:r/>
          </w:p>
          <w:p>
            <w:pPr>
              <w:ind w:firstLine="240"/>
              <w:spacing w:line="400" w:lineRule="exact"/>
              <w:widowControl/>
              <w:rPr>
                <w:rFonts w:hint="eastAsia" w:ascii="宋体" w:hAnsi="宋体" w:eastAsia="宋体" w:cs="宋体"/>
                <w:sz w:val="24"/>
              </w:rPr>
            </w:pPr>
            <w:r>
              <w:rPr>
                <w:rFonts w:hint="eastAsia" w:ascii="宋体" w:hAnsi="宋体" w:eastAsia="宋体" w:cs="宋体"/>
                <w:sz w:val="24"/>
              </w:rPr>
              <w:t xml:space="preserve">（8分）</w:t>
            </w:r>
            <w:bookmarkEnd w:id="173"/>
            <w:r/>
            <w:bookmarkEnd w:id="174"/>
            <w:r/>
            <w:r/>
          </w:p>
        </w:tc>
        <w:tc>
          <w:tcPr>
            <w:tcW w:w="6392" w:type="dxa"/>
            <w:vAlign w:val="center"/>
            <w:textDirection w:val="lrTb"/>
            <w:noWrap w:val="false"/>
          </w:tcPr>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投标人根据本项目采购需求第五章 5.1"项目实施方案(总体方案设计要求)",提供科学合理的项目实施方案,设计目标明确,结构层次划分清晰合理准确,方案至少包含:①需求分析 ②组织架构及实施步骤 ③项目实施计划及时间进度安排 ④风险识别与应对措施。方案优于要求的得8分，符合要求得7分，不符合要求或未提供的不得分。</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trHeight w:val="1917"/>
        </w:trPr>
        <w:tc>
          <w:tcPr>
            <w:tcMar>
              <w:left w:w="15" w:type="dxa"/>
              <w:top w:w="15" w:type="dxa"/>
              <w:right w:w="15" w:type="dxa"/>
            </w:tcMar>
            <w:tcW w:w="1105" w:type="dxa"/>
            <w:vAlign w:val="center"/>
            <w:vMerge w:val="continue"/>
            <w:textDirection w:val="lrTb"/>
            <w:noWrap w:val="false"/>
          </w:tcPr>
          <w:p>
            <w:pPr>
              <w:jc w:val="center"/>
              <w:spacing w:line="400" w:lineRule="exact"/>
              <w:widowControl/>
              <w:rPr>
                <w:rFonts w:hint="eastAsia" w:ascii="宋体" w:hAnsi="宋体" w:eastAsia="宋体" w:cs="宋体"/>
                <w:sz w:val="24"/>
                <w:lang w:bidi="ar"/>
              </w:rPr>
            </w:pPr>
            <w:r>
              <w:rPr>
                <w:rFonts w:hint="eastAsia" w:ascii="宋体" w:hAnsi="宋体" w:eastAsia="宋体" w:cs="宋体"/>
                <w:sz w:val="24"/>
                <w:lang w:bidi="ar"/>
              </w:rPr>
            </w:r>
            <w:r/>
          </w:p>
        </w:tc>
        <w:tc>
          <w:tcPr>
            <w:tcMar>
              <w:left w:w="15" w:type="dxa"/>
              <w:top w:w="15" w:type="dxa"/>
              <w:right w:w="15" w:type="dxa"/>
            </w:tcMar>
            <w:tcW w:w="1245" w:type="dxa"/>
            <w:vAlign w:val="center"/>
            <w:textDirection w:val="lrTb"/>
            <w:noWrap w:val="false"/>
          </w:tcPr>
          <w:p>
            <w:pPr>
              <w:jc w:val="center"/>
              <w:spacing w:line="400" w:lineRule="exact"/>
              <w:widowControl/>
              <w:rPr>
                <w:rFonts w:hint="eastAsia" w:ascii="宋体" w:hAnsi="宋体" w:eastAsia="宋体" w:cs="宋体"/>
                <w:sz w:val="24"/>
              </w:rPr>
            </w:pPr>
            <w:r>
              <w:rPr>
                <w:rFonts w:hint="eastAsia" w:ascii="宋体" w:hAnsi="宋体" w:eastAsia="宋体" w:cs="宋体"/>
                <w:sz w:val="24"/>
              </w:rPr>
              <w:t xml:space="preserve">技术方案与系统架构</w:t>
            </w:r>
            <w:r/>
          </w:p>
          <w:p>
            <w:pPr>
              <w:jc w:val="center"/>
              <w:spacing w:line="400" w:lineRule="exact"/>
              <w:widowControl/>
              <w:rPr>
                <w:rFonts w:hint="eastAsia" w:ascii="宋体" w:hAnsi="宋体" w:eastAsia="宋体" w:cs="宋体"/>
                <w:sz w:val="24"/>
              </w:rPr>
            </w:pPr>
            <w:r>
              <w:rPr>
                <w:rFonts w:hint="eastAsia" w:ascii="宋体" w:hAnsi="宋体" w:eastAsia="宋体" w:cs="宋体"/>
                <w:sz w:val="24"/>
              </w:rPr>
              <w:t xml:space="preserve">（10分）</w:t>
            </w:r>
            <w:r/>
          </w:p>
        </w:tc>
        <w:tc>
          <w:tcPr>
            <w:tcW w:w="6392" w:type="dxa"/>
            <w:vAlign w:val="center"/>
            <w:textDirection w:val="lrTb"/>
            <w:noWrap w:val="false"/>
          </w:tcPr>
          <w:p>
            <w:pPr>
              <w:ind w:firstLine="482"/>
              <w:jc w:val="left"/>
              <w:spacing w:line="556" w:lineRule="exact"/>
              <w:widowControl/>
              <w:rPr>
                <w:rFonts w:hint="eastAsia" w:ascii="宋体" w:hAnsi="宋体" w:eastAsia="宋体" w:cs="宋体"/>
                <w:sz w:val="24"/>
              </w:rPr>
            </w:pPr>
            <w:r>
              <w:rPr>
                <w:rFonts w:hint="eastAsia" w:ascii="宋体" w:hAnsi="宋体" w:eastAsia="宋体" w:cs="宋体"/>
                <w:sz w:val="24"/>
              </w:rPr>
              <w:t xml:space="preserve">投标人根据本项目采购需求第五章 5.2"技术方案与系统架构",提供科学合理的技术方案,设计目标明确,结构层次划分清晰合理准确,方案至少包含:①总体架构与技术栈 ②点评引擎与院内系统的解耦方案 ③人工智能模型可替换、可扩充机制 ④日常点评线与验证模块的隔离设计 ⑤安全设计。方案优于要求的得10分，符合要求得9分，不符合要求或未提供的不得分。</w:t>
            </w:r>
            <w:r/>
          </w:p>
          <w:p>
            <w:pPr>
              <w:ind w:firstLine="482"/>
              <w:jc w:val="left"/>
              <w:spacing w:line="556" w:lineRule="exact"/>
              <w:widowControl/>
              <w:rPr>
                <w:rFonts w:hint="eastAsia" w:ascii="宋体" w:hAnsi="宋体" w:eastAsia="宋体" w:cs="宋体"/>
                <w:sz w:val="24"/>
              </w:rPr>
            </w:pPr>
            <w:r>
              <w:rPr>
                <w:rFonts w:hint="eastAsia" w:ascii="宋体" w:hAnsi="宋体" w:eastAsia="宋体" w:cs="宋体"/>
                <w:sz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trHeight w:val="709"/>
        </w:trPr>
        <w:tc>
          <w:tcPr>
            <w:tcMar>
              <w:left w:w="15" w:type="dxa"/>
              <w:top w:w="15" w:type="dxa"/>
              <w:right w:w="15" w:type="dxa"/>
            </w:tcMar>
            <w:tcW w:w="1105" w:type="dxa"/>
            <w:vAlign w:val="center"/>
            <w:vMerge w:val="continue"/>
            <w:textDirection w:val="lrTb"/>
            <w:noWrap w:val="false"/>
          </w:tcPr>
          <w:p>
            <w:pPr>
              <w:jc w:val="center"/>
              <w:spacing w:line="400" w:lineRule="exact"/>
              <w:widowControl/>
              <w:rPr>
                <w:rFonts w:hint="eastAsia" w:ascii="宋体" w:hAnsi="宋体" w:eastAsia="宋体" w:cs="宋体"/>
                <w:sz w:val="24"/>
                <w:lang w:bidi="ar"/>
              </w:rPr>
            </w:pPr>
            <w:r>
              <w:rPr>
                <w:rFonts w:hint="eastAsia" w:ascii="宋体" w:hAnsi="宋体" w:eastAsia="宋体" w:cs="宋体"/>
                <w:sz w:val="24"/>
                <w:lang w:bidi="ar"/>
              </w:rPr>
            </w:r>
            <w:r/>
          </w:p>
        </w:tc>
        <w:tc>
          <w:tcPr>
            <w:tcMar>
              <w:left w:w="15" w:type="dxa"/>
              <w:top w:w="15" w:type="dxa"/>
              <w:right w:w="15" w:type="dxa"/>
            </w:tcMar>
            <w:tcW w:w="1245" w:type="dxa"/>
            <w:vAlign w:val="center"/>
            <w:textDirection w:val="lrTb"/>
            <w:noWrap w:val="false"/>
          </w:tcPr>
          <w:p>
            <w:pPr>
              <w:jc w:val="center"/>
              <w:spacing w:line="400" w:lineRule="exact"/>
              <w:widowControl/>
              <w:rPr>
                <w:rFonts w:hint="eastAsia" w:ascii="宋体" w:hAnsi="宋体" w:eastAsia="宋体" w:cs="宋体"/>
                <w:sz w:val="24"/>
              </w:rPr>
            </w:pPr>
            <w:r>
              <w:rPr>
                <w:rFonts w:hint="eastAsia" w:ascii="宋体" w:hAnsi="宋体" w:eastAsia="宋体" w:cs="宋体"/>
                <w:sz w:val="24"/>
              </w:rPr>
              <w:t xml:space="preserve">数据接入与集成方案</w:t>
            </w:r>
            <w:r/>
          </w:p>
          <w:p>
            <w:pPr>
              <w:jc w:val="center"/>
              <w:spacing w:line="400" w:lineRule="exact"/>
              <w:widowControl/>
              <w:rPr>
                <w:rFonts w:hint="eastAsia" w:ascii="宋体" w:hAnsi="宋体" w:eastAsia="宋体" w:cs="宋体"/>
                <w:sz w:val="24"/>
              </w:rPr>
            </w:pPr>
            <w:r>
              <w:rPr>
                <w:rFonts w:hint="eastAsia" w:ascii="宋体" w:hAnsi="宋体" w:eastAsia="宋体" w:cs="宋体"/>
                <w:sz w:val="24"/>
              </w:rPr>
              <w:t xml:space="preserve">（10分）</w:t>
            </w:r>
            <w:r/>
          </w:p>
        </w:tc>
        <w:tc>
          <w:tcPr>
            <w:tcW w:w="6392" w:type="dxa"/>
            <w:vAlign w:val="center"/>
            <w:textDirection w:val="lrTb"/>
            <w:noWrap w:val="false"/>
          </w:tcPr>
          <w:p>
            <w:pPr>
              <w:ind w:firstLine="482"/>
              <w:jc w:val="left"/>
              <w:spacing w:line="556" w:lineRule="exact"/>
              <w:widowControl/>
              <w:rPr>
                <w:rFonts w:hint="eastAsia" w:ascii="宋体" w:hAnsi="宋体" w:eastAsia="宋体" w:cs="宋体"/>
                <w:sz w:val="24"/>
              </w:rPr>
            </w:pPr>
            <w:r>
              <w:rPr>
                <w:rFonts w:hint="eastAsia" w:ascii="宋体" w:hAnsi="宋体" w:eastAsia="宋体" w:cs="宋体"/>
                <w:sz w:val="24"/>
              </w:rPr>
              <w:t xml:space="preserve">投标人根据本项目采购需求第五章 5.3"数据接入与集成方案",提供科学合理的数据接入与集成方案,方案至少包含:①对接方式与接口费用承担 ②导入进度可视化与单张容错机制 ③一张医嘱含多个药品的拆分处理 ④与源系统的逐日对账与字段级比对方法 ⑤导入幂等性保障。方案优于要求的得10分，符合要求得9分，不符合要求或未提供的不得分。</w:t>
            </w:r>
            <w:r/>
          </w:p>
          <w:p>
            <w:pPr>
              <w:ind w:firstLine="482"/>
              <w:jc w:val="left"/>
              <w:spacing w:line="556" w:lineRule="exact"/>
              <w:widowControl/>
              <w:rPr>
                <w:rFonts w:hint="eastAsia" w:ascii="宋体" w:hAnsi="宋体" w:eastAsia="宋体" w:cs="宋体"/>
                <w:sz w:val="24"/>
              </w:rPr>
            </w:pPr>
            <w:r>
              <w:rPr>
                <w:rFonts w:hint="eastAsia" w:ascii="宋体" w:hAnsi="宋体" w:eastAsia="宋体" w:cs="宋体"/>
                <w:sz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trHeight w:val="2505"/>
        </w:trPr>
        <w:tc>
          <w:tcPr>
            <w:tcMar>
              <w:left w:w="15" w:type="dxa"/>
              <w:top w:w="15" w:type="dxa"/>
              <w:right w:w="15" w:type="dxa"/>
            </w:tcMar>
            <w:tcW w:w="1105" w:type="dxa"/>
            <w:vAlign w:val="center"/>
            <w:vMerge w:val="continue"/>
            <w:textDirection w:val="lrTb"/>
            <w:noWrap w:val="false"/>
          </w:tcPr>
          <w:p>
            <w:pPr>
              <w:jc w:val="center"/>
              <w:spacing w:line="400" w:lineRule="exact"/>
              <w:widowControl/>
              <w:rPr>
                <w:rFonts w:hint="eastAsia" w:ascii="宋体" w:hAnsi="宋体" w:eastAsia="宋体" w:cs="宋体"/>
                <w:sz w:val="24"/>
                <w:lang w:bidi="ar"/>
              </w:rPr>
            </w:pPr>
            <w:r>
              <w:rPr>
                <w:rFonts w:hint="eastAsia" w:ascii="宋体" w:hAnsi="宋体" w:eastAsia="宋体" w:cs="宋体"/>
                <w:sz w:val="24"/>
                <w:lang w:bidi="ar"/>
              </w:rPr>
            </w:r>
            <w:r/>
          </w:p>
        </w:tc>
        <w:tc>
          <w:tcPr>
            <w:tcMar>
              <w:left w:w="15" w:type="dxa"/>
              <w:top w:w="15" w:type="dxa"/>
              <w:right w:w="15" w:type="dxa"/>
            </w:tcMar>
            <w:tcW w:w="1245" w:type="dxa"/>
            <w:vAlign w:val="center"/>
            <w:textDirection w:val="lrTb"/>
            <w:noWrap w:val="false"/>
          </w:tcPr>
          <w:p>
            <w:pPr>
              <w:jc w:val="center"/>
              <w:spacing w:line="400" w:lineRule="exact"/>
              <w:widowControl/>
              <w:rPr>
                <w:rFonts w:hint="eastAsia" w:ascii="宋体" w:hAnsi="宋体" w:eastAsia="宋体" w:cs="宋体"/>
                <w:sz w:val="24"/>
              </w:rPr>
            </w:pPr>
            <w:r>
              <w:rPr>
                <w:rFonts w:hint="eastAsia" w:ascii="宋体" w:hAnsi="宋体" w:eastAsia="宋体" w:cs="宋体"/>
                <w:sz w:val="24"/>
              </w:rPr>
              <w:t xml:space="preserve">人工智能辅助点评方案</w:t>
            </w:r>
            <w:r/>
          </w:p>
          <w:p>
            <w:pPr>
              <w:jc w:val="center"/>
              <w:spacing w:line="400" w:lineRule="exact"/>
              <w:widowControl/>
              <w:rPr>
                <w:rFonts w:hint="eastAsia" w:ascii="宋体" w:hAnsi="宋体" w:eastAsia="宋体" w:cs="宋体"/>
                <w:sz w:val="24"/>
              </w:rPr>
            </w:pPr>
            <w:r>
              <w:rPr>
                <w:rFonts w:hint="eastAsia" w:ascii="宋体" w:hAnsi="宋体" w:eastAsia="宋体" w:cs="宋体"/>
                <w:sz w:val="24"/>
              </w:rPr>
              <w:t xml:space="preserve">（12分）</w:t>
            </w:r>
            <w:r/>
          </w:p>
        </w:tc>
        <w:tc>
          <w:tcPr>
            <w:tcW w:w="6392" w:type="dxa"/>
            <w:vAlign w:val="center"/>
            <w:textDirection w:val="lrTb"/>
            <w:noWrap w:val="false"/>
          </w:tcPr>
          <w:p>
            <w:pPr>
              <w:ind w:firstLine="482"/>
              <w:jc w:val="left"/>
              <w:spacing w:line="556" w:lineRule="exact"/>
              <w:widowControl/>
              <w:rPr>
                <w:rFonts w:hint="eastAsia" w:ascii="宋体" w:hAnsi="宋体" w:eastAsia="宋体" w:cs="宋体"/>
                <w:sz w:val="24"/>
              </w:rPr>
            </w:pPr>
            <w:r>
              <w:rPr>
                <w:rFonts w:hint="eastAsia" w:ascii="宋体" w:hAnsi="宋体" w:eastAsia="宋体" w:cs="宋体"/>
                <w:sz w:val="24"/>
              </w:rPr>
              <w:t xml:space="preserve">投标人根据本项目采购需求第五章 5.4"人工智能辅助点评方案",提供科学合理的人工智能辅助点评方案,方案至少包含:①三家异源模型的选型与并行调用机制 ②模型版本锁定与厂商实际返回型号留痕 ③推理模式按厂商独立开关 ④提示词与调用参数的版本指纹机制 ⑤多轮次结果并存不覆盖 ⑥缺家如实告知与运行完整性自检。方案优于要求的得12分，符合要求得11分，不符合要求或未提供的不得分。</w:t>
            </w:r>
            <w:r/>
          </w:p>
          <w:p>
            <w:pPr>
              <w:ind w:firstLine="482"/>
              <w:jc w:val="left"/>
              <w:spacing w:line="556" w:lineRule="exact"/>
              <w:widowControl/>
              <w:rPr>
                <w:rFonts w:hint="eastAsia" w:ascii="宋体" w:hAnsi="宋体" w:eastAsia="宋体" w:cs="宋体"/>
                <w:sz w:val="24"/>
              </w:rPr>
            </w:pPr>
            <w:r>
              <w:rPr>
                <w:rFonts w:hint="eastAsia" w:ascii="宋体" w:hAnsi="宋体" w:eastAsia="宋体" w:cs="宋体"/>
                <w:sz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trHeight w:val="1171"/>
        </w:trPr>
        <w:tc>
          <w:tcPr>
            <w:tcMar>
              <w:left w:w="15" w:type="dxa"/>
              <w:top w:w="15" w:type="dxa"/>
              <w:right w:w="15" w:type="dxa"/>
            </w:tcMar>
            <w:tcW w:w="1105" w:type="dxa"/>
            <w:vAlign w:val="center"/>
            <w:vMerge w:val="continue"/>
            <w:textDirection w:val="lrTb"/>
            <w:noWrap w:val="false"/>
          </w:tcPr>
          <w:p>
            <w:pPr>
              <w:jc w:val="center"/>
              <w:spacing w:line="400" w:lineRule="exact"/>
              <w:widowControl/>
              <w:rPr>
                <w:rFonts w:hint="eastAsia" w:ascii="宋体" w:hAnsi="宋体" w:eastAsia="宋体" w:cs="宋体"/>
                <w:sz w:val="24"/>
                <w:lang w:bidi="ar"/>
              </w:rPr>
            </w:pPr>
            <w:r>
              <w:rPr>
                <w:rFonts w:hint="eastAsia" w:ascii="宋体" w:hAnsi="宋体" w:eastAsia="宋体" w:cs="宋体"/>
                <w:sz w:val="24"/>
                <w:lang w:bidi="ar"/>
              </w:rPr>
            </w:r>
            <w:r/>
          </w:p>
        </w:tc>
        <w:tc>
          <w:tcPr>
            <w:tcMar>
              <w:left w:w="15" w:type="dxa"/>
              <w:top w:w="15" w:type="dxa"/>
              <w:right w:w="15" w:type="dxa"/>
            </w:tcMar>
            <w:tcW w:w="1245" w:type="dxa"/>
            <w:vAlign w:val="center"/>
            <w:textDirection w:val="lrTb"/>
            <w:noWrap w:val="false"/>
          </w:tcPr>
          <w:p>
            <w:pPr>
              <w:jc w:val="center"/>
              <w:spacing w:line="400" w:lineRule="exact"/>
              <w:widowControl/>
              <w:rPr>
                <w:rFonts w:hint="eastAsia" w:ascii="宋体" w:hAnsi="宋体" w:eastAsia="宋体" w:cs="宋体"/>
                <w:sz w:val="24"/>
              </w:rPr>
            </w:pPr>
            <w:r>
              <w:rPr>
                <w:rFonts w:hint="eastAsia" w:ascii="宋体" w:hAnsi="宋体" w:eastAsia="宋体" w:cs="宋体"/>
                <w:sz w:val="24"/>
              </w:rPr>
              <w:t xml:space="preserve">多模型合议方案</w:t>
            </w:r>
            <w:r/>
          </w:p>
          <w:p>
            <w:pPr>
              <w:jc w:val="center"/>
              <w:spacing w:line="400" w:lineRule="exact"/>
              <w:widowControl/>
              <w:rPr>
                <w:rFonts w:hint="eastAsia" w:ascii="宋体" w:hAnsi="宋体" w:eastAsia="宋体" w:cs="宋体"/>
                <w:sz w:val="24"/>
              </w:rPr>
            </w:pPr>
            <w:r>
              <w:rPr>
                <w:rFonts w:hint="eastAsia" w:ascii="宋体" w:hAnsi="宋体" w:eastAsia="宋体" w:cs="宋体"/>
                <w:sz w:val="24"/>
              </w:rPr>
              <w:t xml:space="preserve">（8分）</w:t>
            </w:r>
            <w:r/>
          </w:p>
        </w:tc>
        <w:tc>
          <w:tcPr>
            <w:tcW w:w="6392" w:type="dxa"/>
            <w:vAlign w:val="center"/>
            <w:textDirection w:val="lrTb"/>
            <w:noWrap w:val="false"/>
          </w:tcPr>
          <w:p>
            <w:pPr>
              <w:ind w:firstLine="482"/>
              <w:jc w:val="left"/>
              <w:spacing w:line="556" w:lineRule="exact"/>
              <w:widowControl/>
              <w:rPr>
                <w:rFonts w:hint="eastAsia" w:ascii="宋体" w:hAnsi="宋体" w:eastAsia="宋体" w:cs="宋体"/>
                <w:sz w:val="24"/>
              </w:rPr>
            </w:pPr>
            <w:r>
              <w:rPr>
                <w:rFonts w:hint="eastAsia" w:ascii="宋体" w:hAnsi="宋体" w:eastAsia="宋体" w:cs="宋体"/>
                <w:sz w:val="24"/>
              </w:rPr>
              <w:t xml:space="preserve">投标人根据本项目采购需求第五章 5.5"多模型合议方案",提供科学合理的多模型合议方案,方案至少包含:①分歧程度量化指标的产生与使用方式 ②六类形态标签的判定逻辑 ③系统不自动作出最终判定的技术保障措施④方案需附多模型合议结果展示界面样张或原型图 1 张。方案优于要求的得8分，符合要求得7分，不符合要求或未提供的不得分。</w:t>
            </w:r>
            <w:r/>
          </w:p>
          <w:p>
            <w:pPr>
              <w:ind w:firstLine="482"/>
              <w:jc w:val="left"/>
              <w:spacing w:line="556" w:lineRule="exact"/>
              <w:widowControl/>
              <w:rPr>
                <w:rFonts w:hint="eastAsia" w:ascii="宋体" w:hAnsi="宋体" w:eastAsia="宋体" w:cs="宋体"/>
                <w:sz w:val="24"/>
              </w:rPr>
            </w:pPr>
            <w:r>
              <w:rPr>
                <w:rFonts w:hint="eastAsia" w:ascii="宋体" w:hAnsi="宋体" w:eastAsia="宋体" w:cs="宋体"/>
                <w:sz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trHeight w:val="2505"/>
        </w:trPr>
        <w:tc>
          <w:tcPr>
            <w:tcMar>
              <w:left w:w="15" w:type="dxa"/>
              <w:top w:w="15" w:type="dxa"/>
              <w:right w:w="15" w:type="dxa"/>
            </w:tcMar>
            <w:tcW w:w="1105" w:type="dxa"/>
            <w:vAlign w:val="center"/>
            <w:vMerge w:val="continue"/>
            <w:textDirection w:val="lrTb"/>
            <w:noWrap w:val="false"/>
          </w:tcPr>
          <w:p>
            <w:pPr>
              <w:jc w:val="center"/>
              <w:spacing w:line="400" w:lineRule="exact"/>
              <w:widowControl/>
              <w:rPr>
                <w:rFonts w:hint="eastAsia" w:ascii="宋体" w:hAnsi="宋体" w:eastAsia="宋体" w:cs="宋体"/>
                <w:sz w:val="24"/>
                <w:lang w:bidi="ar"/>
              </w:rPr>
            </w:pPr>
            <w:r>
              <w:rPr>
                <w:rFonts w:hint="eastAsia" w:ascii="宋体" w:hAnsi="宋体" w:eastAsia="宋体" w:cs="宋体"/>
                <w:sz w:val="24"/>
                <w:lang w:bidi="ar"/>
              </w:rPr>
            </w:r>
            <w:r/>
          </w:p>
        </w:tc>
        <w:tc>
          <w:tcPr>
            <w:tcMar>
              <w:left w:w="15" w:type="dxa"/>
              <w:top w:w="15" w:type="dxa"/>
              <w:right w:w="15" w:type="dxa"/>
            </w:tcMar>
            <w:tcW w:w="1245" w:type="dxa"/>
            <w:vAlign w:val="center"/>
            <w:textDirection w:val="lrTb"/>
            <w:noWrap w:val="false"/>
          </w:tcPr>
          <w:p>
            <w:pPr>
              <w:jc w:val="center"/>
              <w:spacing w:line="400" w:lineRule="exact"/>
              <w:widowControl/>
              <w:rPr>
                <w:rFonts w:hint="eastAsia" w:ascii="宋体" w:hAnsi="宋体" w:eastAsia="宋体" w:cs="宋体"/>
                <w:sz w:val="24"/>
              </w:rPr>
            </w:pPr>
            <w:r>
              <w:rPr>
                <w:rFonts w:hint="eastAsia" w:ascii="宋体" w:hAnsi="宋体" w:eastAsia="宋体" w:cs="宋体"/>
                <w:sz w:val="24"/>
              </w:rPr>
              <w:t xml:space="preserve">点评质量验证与一致性评价专用模块方案</w:t>
            </w:r>
            <w:r/>
          </w:p>
          <w:p>
            <w:pPr>
              <w:jc w:val="center"/>
              <w:spacing w:line="400" w:lineRule="exact"/>
              <w:widowControl/>
              <w:rPr>
                <w:rFonts w:hint="eastAsia" w:ascii="宋体" w:hAnsi="宋体" w:eastAsia="宋体" w:cs="宋体"/>
                <w:sz w:val="24"/>
              </w:rPr>
            </w:pPr>
            <w:r>
              <w:rPr>
                <w:rFonts w:hint="eastAsia" w:ascii="宋体" w:hAnsi="宋体" w:eastAsia="宋体" w:cs="宋体"/>
                <w:sz w:val="24"/>
              </w:rPr>
              <w:t xml:space="preserve">（12分）</w:t>
            </w:r>
            <w:r/>
          </w:p>
        </w:tc>
        <w:tc>
          <w:tcPr>
            <w:tcW w:w="6392" w:type="dxa"/>
            <w:vAlign w:val="center"/>
            <w:textDirection w:val="lrTb"/>
            <w:noWrap w:val="false"/>
          </w:tcPr>
          <w:p>
            <w:pPr>
              <w:ind w:firstLine="482"/>
              <w:jc w:val="left"/>
              <w:spacing w:line="556" w:lineRule="exact"/>
              <w:widowControl/>
              <w:rPr>
                <w:rFonts w:hint="eastAsia" w:ascii="宋体" w:hAnsi="宋体" w:eastAsia="宋体" w:cs="宋体"/>
                <w:sz w:val="24"/>
              </w:rPr>
            </w:pPr>
            <w:r>
              <w:rPr>
                <w:rFonts w:hint="eastAsia" w:ascii="宋体" w:hAnsi="宋体" w:eastAsia="宋体" w:cs="宋体"/>
                <w:sz w:val="24"/>
              </w:rPr>
              <w:t xml:space="preserve">投标人根据本项目采购需求第五章 5.6"点评质量验证与一致性评价专用模块方案",提供科学合理的专用模块方案,方案至少包含:①抽样可复现机制 ②多人全量独立点评的实现 ③匿名编码与呈现顺序去顺序化 ④共识判定四类路径及抽检比例可配置 ⑤交叉盲隔离与架构隔离的实现方式及自动化断言测试用例设计 ⑥指标计算与结构化导出,并附共识判定或仲裁工作台界面样张或原型图</w:t>
            </w:r>
            <w:r>
              <w:rPr>
                <w:rFonts w:hint="eastAsia" w:ascii="宋体" w:hAnsi="宋体" w:eastAsia="宋体" w:cs="宋体"/>
                <w:sz w:val="24"/>
                <w:lang w:val="en-US" w:eastAsia="zh-CN"/>
              </w:rPr>
              <w:t xml:space="preserve">1</w:t>
            </w:r>
            <w:r>
              <w:rPr>
                <w:rFonts w:hint="eastAsia" w:ascii="宋体" w:hAnsi="宋体" w:eastAsia="宋体" w:cs="宋体"/>
                <w:sz w:val="24"/>
              </w:rPr>
              <w:t xml:space="preserve">张。方案优于要求的得12分，符合要求得11分，不符合要求或未提供的不得分。</w:t>
            </w:r>
            <w:r/>
          </w:p>
          <w:p>
            <w:pPr>
              <w:ind w:firstLine="482"/>
              <w:jc w:val="left"/>
              <w:spacing w:line="556" w:lineRule="exact"/>
              <w:widowControl/>
              <w:rPr>
                <w:rFonts w:hint="eastAsia" w:ascii="宋体" w:hAnsi="宋体" w:eastAsia="宋体" w:cs="宋体"/>
                <w:sz w:val="24"/>
              </w:rPr>
            </w:pPr>
            <w:r>
              <w:rPr>
                <w:rFonts w:hint="eastAsia" w:ascii="宋体" w:hAnsi="宋体" w:eastAsia="宋体" w:cs="宋体"/>
                <w:sz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trHeight w:val="2020"/>
        </w:trPr>
        <w:tc>
          <w:tcPr>
            <w:tcMar>
              <w:left w:w="15" w:type="dxa"/>
              <w:top w:w="15" w:type="dxa"/>
              <w:right w:w="15" w:type="dxa"/>
            </w:tcMar>
            <w:tcW w:w="1105" w:type="dxa"/>
            <w:vAlign w:val="center"/>
            <w:vMerge w:val="continue"/>
            <w:textDirection w:val="lrTb"/>
            <w:noWrap w:val="false"/>
          </w:tcPr>
          <w:p>
            <w:pPr>
              <w:jc w:val="center"/>
              <w:spacing w:line="400" w:lineRule="exact"/>
              <w:widowControl/>
              <w:rPr>
                <w:rFonts w:hint="eastAsia" w:ascii="宋体" w:hAnsi="宋体" w:eastAsia="宋体" w:cs="宋体"/>
                <w:sz w:val="24"/>
                <w:lang w:bidi="ar"/>
              </w:rPr>
            </w:pPr>
            <w:r>
              <w:rPr>
                <w:rFonts w:hint="eastAsia" w:ascii="宋体" w:hAnsi="宋体" w:eastAsia="宋体" w:cs="宋体"/>
                <w:sz w:val="24"/>
                <w:lang w:bidi="ar"/>
              </w:rPr>
            </w:r>
            <w:r/>
          </w:p>
        </w:tc>
        <w:tc>
          <w:tcPr>
            <w:tcMar>
              <w:left w:w="15" w:type="dxa"/>
              <w:top w:w="15" w:type="dxa"/>
              <w:right w:w="15" w:type="dxa"/>
            </w:tcMar>
            <w:tcW w:w="1245" w:type="dxa"/>
            <w:vAlign w:val="center"/>
            <w:textDirection w:val="lrTb"/>
            <w:noWrap w:val="false"/>
          </w:tcPr>
          <w:p>
            <w:pPr>
              <w:jc w:val="center"/>
              <w:spacing w:line="400" w:lineRule="exact"/>
              <w:widowControl/>
              <w:rPr>
                <w:rFonts w:hint="eastAsia" w:ascii="宋体" w:hAnsi="宋体" w:eastAsia="宋体" w:cs="宋体"/>
                <w:sz w:val="24"/>
              </w:rPr>
            </w:pPr>
            <w:r>
              <w:rPr>
                <w:rFonts w:hint="eastAsia" w:ascii="宋体" w:hAnsi="宋体" w:eastAsia="宋体" w:cs="宋体"/>
                <w:sz w:val="24"/>
              </w:rPr>
              <w:t xml:space="preserve">权限角色与安全配置</w:t>
            </w:r>
            <w:r/>
          </w:p>
          <w:p>
            <w:pPr>
              <w:jc w:val="center"/>
              <w:spacing w:line="400" w:lineRule="exact"/>
              <w:widowControl/>
              <w:rPr>
                <w:rFonts w:hint="eastAsia" w:ascii="宋体" w:hAnsi="宋体" w:eastAsia="宋体" w:cs="宋体"/>
                <w:sz w:val="24"/>
              </w:rPr>
            </w:pPr>
            <w:r>
              <w:rPr>
                <w:rFonts w:hint="eastAsia" w:ascii="宋体" w:hAnsi="宋体" w:eastAsia="宋体" w:cs="宋体"/>
                <w:sz w:val="24"/>
              </w:rPr>
              <w:t xml:space="preserve">方案</w:t>
            </w:r>
            <w:r/>
          </w:p>
          <w:p>
            <w:pPr>
              <w:jc w:val="center"/>
              <w:spacing w:line="400" w:lineRule="exact"/>
              <w:widowControl/>
              <w:rPr>
                <w:rFonts w:hint="eastAsia" w:ascii="宋体" w:hAnsi="宋体" w:eastAsia="宋体" w:cs="宋体"/>
                <w:sz w:val="24"/>
              </w:rPr>
            </w:pPr>
            <w:r>
              <w:rPr>
                <w:rFonts w:hint="eastAsia" w:ascii="宋体" w:hAnsi="宋体" w:eastAsia="宋体" w:cs="宋体"/>
                <w:sz w:val="24"/>
              </w:rPr>
              <w:t xml:space="preserve">（10分）</w:t>
            </w:r>
            <w:r/>
          </w:p>
        </w:tc>
        <w:tc>
          <w:tcPr>
            <w:tcW w:w="6392" w:type="dxa"/>
            <w:vAlign w:val="center"/>
            <w:textDirection w:val="lrTb"/>
            <w:noWrap w:val="false"/>
          </w:tcPr>
          <w:p>
            <w:pPr>
              <w:ind w:firstLine="482"/>
              <w:jc w:val="left"/>
              <w:spacing w:line="556" w:lineRule="exact"/>
              <w:widowControl/>
              <w:rPr>
                <w:rFonts w:hint="eastAsia" w:ascii="宋体" w:hAnsi="宋体" w:eastAsia="宋体" w:cs="宋体"/>
                <w:sz w:val="24"/>
              </w:rPr>
            </w:pPr>
            <w:r>
              <w:rPr>
                <w:rFonts w:hint="eastAsia" w:ascii="宋体" w:hAnsi="宋体" w:eastAsia="宋体" w:cs="宋体"/>
                <w:sz w:val="24"/>
              </w:rPr>
              <w:t xml:space="preserve">投标人根据本项目采购需求第五章 5.7"权限角色与安全配置方案",提供科学合理的权限角色与安全配置方案,方案至少包含:①职称四级派生权限体系 ②研究与验证角色独立授权机制 ③运维文档模块的访问控制 ④登录失败锁定与一人一密 ⑤生产环境配置与凭据管理。方案优于要求的得10分，符合要求得9分，不符合要求或未提供的不得分。</w:t>
            </w:r>
            <w:r/>
          </w:p>
          <w:p>
            <w:pPr>
              <w:ind w:firstLine="482"/>
              <w:jc w:val="left"/>
              <w:spacing w:line="556" w:lineRule="exact"/>
              <w:widowControl/>
              <w:rPr>
                <w:rFonts w:hint="eastAsia" w:ascii="宋体" w:hAnsi="宋体" w:eastAsia="宋体" w:cs="宋体"/>
                <w:sz w:val="24"/>
              </w:rPr>
            </w:pPr>
            <w:r>
              <w:rPr>
                <w:rFonts w:hint="eastAsia" w:ascii="宋体" w:hAnsi="宋体" w:eastAsia="宋体" w:cs="宋体"/>
                <w:sz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trHeight w:val="1901"/>
        </w:trPr>
        <w:tc>
          <w:tcPr>
            <w:tcMar>
              <w:left w:w="15" w:type="dxa"/>
              <w:top w:w="15" w:type="dxa"/>
              <w:right w:w="15" w:type="dxa"/>
            </w:tcMar>
            <w:tcW w:w="1105" w:type="dxa"/>
            <w:vAlign w:val="center"/>
            <w:vMerge w:val="continue"/>
            <w:textDirection w:val="lrTb"/>
            <w:noWrap w:val="false"/>
          </w:tcPr>
          <w:p>
            <w:pPr>
              <w:jc w:val="center"/>
              <w:spacing w:line="400" w:lineRule="exact"/>
              <w:widowControl/>
              <w:rPr>
                <w:rFonts w:hint="eastAsia" w:ascii="宋体" w:hAnsi="宋体" w:eastAsia="宋体" w:cs="宋体"/>
                <w:sz w:val="24"/>
                <w:lang w:bidi="ar"/>
              </w:rPr>
            </w:pPr>
            <w:r>
              <w:rPr>
                <w:rFonts w:hint="eastAsia" w:ascii="宋体" w:hAnsi="宋体" w:eastAsia="宋体" w:cs="宋体"/>
                <w:sz w:val="24"/>
                <w:lang w:bidi="ar"/>
              </w:rPr>
            </w:r>
            <w:r/>
          </w:p>
        </w:tc>
        <w:tc>
          <w:tcPr>
            <w:tcMar>
              <w:left w:w="15" w:type="dxa"/>
              <w:top w:w="15" w:type="dxa"/>
              <w:right w:w="15" w:type="dxa"/>
            </w:tcMar>
            <w:tcW w:w="1245" w:type="dxa"/>
            <w:vAlign w:val="center"/>
            <w:textDirection w:val="lrTb"/>
            <w:noWrap w:val="false"/>
          </w:tcPr>
          <w:p>
            <w:pPr>
              <w:jc w:val="center"/>
              <w:spacing w:line="400" w:lineRule="exact"/>
              <w:widowControl/>
              <w:rPr>
                <w:rFonts w:hint="eastAsia" w:ascii="宋体" w:hAnsi="宋体" w:eastAsia="宋体" w:cs="宋体"/>
                <w:sz w:val="24"/>
              </w:rPr>
            </w:pPr>
            <w:r>
              <w:rPr>
                <w:rFonts w:hint="eastAsia" w:ascii="宋体" w:hAnsi="宋体" w:eastAsia="宋体" w:cs="宋体"/>
                <w:sz w:val="24"/>
              </w:rPr>
              <w:t xml:space="preserve">培训与知识转移方案</w:t>
            </w:r>
            <w:r/>
          </w:p>
          <w:p>
            <w:pPr>
              <w:jc w:val="center"/>
              <w:spacing w:line="400" w:lineRule="exact"/>
              <w:widowControl/>
              <w:rPr>
                <w:rFonts w:hint="eastAsia" w:ascii="宋体" w:hAnsi="宋体" w:eastAsia="宋体" w:cs="宋体"/>
                <w:sz w:val="24"/>
              </w:rPr>
            </w:pPr>
            <w:r>
              <w:rPr>
                <w:rFonts w:hint="eastAsia" w:ascii="宋体" w:hAnsi="宋体" w:eastAsia="宋体" w:cs="宋体"/>
                <w:sz w:val="24"/>
              </w:rPr>
              <w:t xml:space="preserve">（10分）</w:t>
            </w:r>
            <w:r/>
          </w:p>
        </w:tc>
        <w:tc>
          <w:tcPr>
            <w:tcW w:w="6392" w:type="dxa"/>
            <w:vAlign w:val="center"/>
            <w:textDirection w:val="lrTb"/>
            <w:noWrap w:val="false"/>
          </w:tcPr>
          <w:p>
            <w:pPr>
              <w:ind w:firstLine="482"/>
              <w:jc w:val="left"/>
              <w:spacing w:line="556" w:lineRule="exact"/>
              <w:widowControl/>
              <w:rPr>
                <w:rFonts w:hint="eastAsia" w:ascii="宋体" w:hAnsi="宋体" w:eastAsia="宋体" w:cs="宋体"/>
                <w:sz w:val="24"/>
              </w:rPr>
            </w:pPr>
            <w:r>
              <w:rPr>
                <w:rFonts w:hint="eastAsia" w:ascii="宋体" w:hAnsi="宋体" w:eastAsia="宋体" w:cs="宋体"/>
                <w:sz w:val="24"/>
              </w:rPr>
              <w:t xml:space="preserve">投标人根据本项目采购需求第五章 5.8"培训与知识转移方案",提供科学合理的培训与知识转移方案,方案至少包含:①培训对象与分组 ②培训轮次与课时安排 ③培训材料清单 ④知识转移交付物与验收方式 ⑤接管维护可行性说明。方案优于要求的得10分，符合要求得9分，不符合要求或未提供的不得分。</w:t>
            </w:r>
            <w:r/>
          </w:p>
          <w:p>
            <w:pPr>
              <w:ind w:firstLine="482"/>
              <w:jc w:val="left"/>
              <w:spacing w:line="556" w:lineRule="exact"/>
              <w:widowControl/>
              <w:rPr>
                <w:rFonts w:hint="eastAsia" w:ascii="宋体" w:hAnsi="宋体" w:eastAsia="宋体" w:cs="宋体"/>
                <w:sz w:val="24"/>
              </w:rPr>
            </w:pPr>
            <w:r>
              <w:rPr>
                <w:rFonts w:hint="eastAsia" w:ascii="宋体" w:hAnsi="宋体" w:eastAsia="宋体" w:cs="宋体"/>
                <w:sz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trHeight w:val="1625"/>
        </w:trPr>
        <w:tc>
          <w:tcPr>
            <w:tcMar>
              <w:left w:w="15" w:type="dxa"/>
              <w:top w:w="15" w:type="dxa"/>
              <w:right w:w="15" w:type="dxa"/>
            </w:tcMar>
            <w:tcW w:w="1105" w:type="dxa"/>
            <w:vAlign w:val="center"/>
            <w:textDirection w:val="lrTb"/>
            <w:noWrap w:val="false"/>
          </w:tcPr>
          <w:p>
            <w:pPr>
              <w:jc w:val="center"/>
              <w:spacing w:line="400" w:lineRule="exact"/>
              <w:widowControl/>
              <w:rPr>
                <w:rFonts w:hint="eastAsia" w:ascii="宋体" w:hAnsi="宋体" w:eastAsia="宋体" w:cs="宋体"/>
                <w:sz w:val="24"/>
                <w:lang w:bidi="ar"/>
              </w:rPr>
            </w:pPr>
            <w:r>
              <w:rPr>
                <w:rFonts w:hint="eastAsia" w:ascii="宋体" w:hAnsi="宋体" w:eastAsia="宋体" w:cs="宋体"/>
                <w:sz w:val="24"/>
              </w:rPr>
              <w:t xml:space="preserve">商务与履约保障（10分）</w:t>
            </w:r>
            <w:r/>
          </w:p>
        </w:tc>
        <w:tc>
          <w:tcPr>
            <w:tcMar>
              <w:left w:w="15" w:type="dxa"/>
              <w:top w:w="15" w:type="dxa"/>
              <w:right w:w="15" w:type="dxa"/>
            </w:tcMar>
            <w:tcW w:w="1245" w:type="dxa"/>
            <w:vAlign w:val="center"/>
            <w:textDirection w:val="lrTb"/>
            <w:noWrap w:val="false"/>
          </w:tcPr>
          <w:p>
            <w:pPr>
              <w:jc w:val="center"/>
              <w:spacing w:line="400" w:lineRule="exact"/>
              <w:widowControl/>
              <w:rPr>
                <w:rFonts w:hint="eastAsia" w:ascii="宋体" w:hAnsi="宋体" w:eastAsia="宋体" w:cs="宋体"/>
                <w:sz w:val="24"/>
              </w:rPr>
            </w:pPr>
            <w:r>
              <w:rPr>
                <w:rFonts w:hint="eastAsia" w:ascii="宋体" w:hAnsi="宋体" w:eastAsia="宋体" w:cs="宋体"/>
                <w:sz w:val="24"/>
              </w:rPr>
              <w:t xml:space="preserve">类似业绩</w:t>
            </w:r>
            <w:r/>
          </w:p>
          <w:p>
            <w:pPr>
              <w:jc w:val="center"/>
              <w:spacing w:line="400" w:lineRule="exact"/>
              <w:widowControl/>
              <w:rPr>
                <w:rFonts w:hint="eastAsia" w:ascii="宋体" w:hAnsi="宋体" w:eastAsia="宋体" w:cs="宋体"/>
                <w:sz w:val="24"/>
              </w:rPr>
            </w:pPr>
            <w:r>
              <w:rPr>
                <w:rFonts w:hint="eastAsia" w:ascii="宋体" w:hAnsi="宋体" w:eastAsia="宋体" w:cs="宋体"/>
                <w:sz w:val="24"/>
              </w:rPr>
              <w:t xml:space="preserve">（10分）</w:t>
            </w:r>
            <w:r/>
          </w:p>
        </w:tc>
        <w:tc>
          <w:tcPr>
            <w:tcW w:w="6392" w:type="dxa"/>
            <w:vAlign w:val="center"/>
            <w:textDirection w:val="lrTb"/>
            <w:noWrap w:val="false"/>
          </w:tcPr>
          <w:p>
            <w:pPr>
              <w:ind w:firstLine="482"/>
              <w:jc w:val="left"/>
              <w:spacing w:line="556" w:lineRule="exact"/>
              <w:widowControl/>
              <w:rPr>
                <w:rFonts w:hint="eastAsia" w:ascii="宋体" w:hAnsi="宋体" w:eastAsia="宋体" w:cs="宋体"/>
                <w:sz w:val="24"/>
              </w:rPr>
            </w:pPr>
            <w:r>
              <w:rPr>
                <w:rFonts w:hint="eastAsia" w:ascii="宋体" w:hAnsi="宋体" w:eastAsia="宋体" w:cs="宋体"/>
                <w:sz w:val="24"/>
              </w:rPr>
              <w:t xml:space="preserve">自2023年1月1日以来(以合同签订日为准)已完成的信息化项目的实施业绩；每提供 1个得5分,最多计2个,共10分。</w:t>
            </w:r>
            <w:r/>
          </w:p>
          <w:p>
            <w:pPr>
              <w:ind w:firstLine="482"/>
              <w:jc w:val="left"/>
              <w:spacing w:line="556" w:lineRule="exact"/>
              <w:widowControl/>
            </w:pPr>
            <w:r>
              <w:rPr>
                <w:rFonts w:hint="eastAsia" w:ascii="宋体" w:hAnsi="宋体" w:eastAsia="宋体" w:cs="宋体"/>
                <w:sz w:val="24"/>
              </w:rPr>
              <w:t xml:space="preserve">注：需提供合同关键页扫描件（合同关键页包括但不限于合同首页、合同签订日期页、双方盖章页等关键页）作为得分依据；未提供或评标委员会无法凭所提供资料判断是否得分的情况，一律作不得分处理；</w:t>
            </w:r>
            <w:r/>
          </w:p>
        </w:tc>
      </w:tr>
    </w:tbl>
    <w:p>
      <w:pPr>
        <w:spacing w:line="560" w:lineRule="exac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21"/>
        <w:jc w:val="center"/>
        <w:keepNext/>
        <w:spacing w:beforeAutospacing="0" w:afterAutospacing="0" w:line="560" w:lineRule="exac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21"/>
        <w:jc w:val="center"/>
        <w:keepNext/>
        <w:spacing w:beforeAutospacing="0" w:afterAutospacing="0" w:line="560" w:lineRule="exac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21"/>
        <w:jc w:val="center"/>
        <w:keepNext/>
        <w:spacing w:beforeAutospacing="0" w:afterAutospacing="0" w:line="560" w:lineRule="exac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721"/>
        <w:jc w:val="center"/>
        <w:keepNext/>
        <w:spacing w:beforeAutospacing="0" w:afterAutospacing="0" w:line="560" w:lineRule="exac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21"/>
        <w:jc w:val="center"/>
        <w:keepNext/>
        <w:spacing w:beforeAutospacing="0" w:afterAutospacing="0" w:line="560" w:lineRule="exac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21"/>
        <w:jc w:val="center"/>
        <w:keepNext/>
        <w:spacing w:beforeAutospacing="0" w:afterAutospacing="0" w:line="560" w:lineRule="exac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21"/>
        <w:jc w:val="center"/>
        <w:keepNext/>
        <w:spacing w:beforeAutospacing="0" w:afterAutospacing="0" w:line="560" w:lineRule="exact"/>
      </w:pPr>
      <w:r>
        <w:rPr>
          <w:rFonts w:hint="eastAsia" w:ascii="黑体" w:hAnsi="宋体" w:eastAsia="黑体" w:cs="黑体"/>
          <w:color w:val="000000"/>
          <w:sz w:val="44"/>
          <w:szCs w:val="44"/>
        </w:rPr>
        <w:t xml:space="preserve">第六章  投标文件格式 </w:t>
      </w:r>
      <w:r/>
    </w:p>
    <w:p>
      <w:pPr>
        <w:pStyle w:val="721"/>
        <w:jc w:val="center"/>
        <w:spacing w:beforeAutospacing="0" w:afterAutospacing="0" w:line="560" w:lineRule="exact"/>
        <w:rPr>
          <w:rFonts w:hint="eastAsia" w:ascii="宋体" w:hAnsi="宋体" w:eastAsia="宋体" w:cs="宋体"/>
          <w:b/>
          <w:color w:val="000000"/>
          <w:sz w:val="72"/>
          <w:szCs w:val="72"/>
        </w:rPr>
      </w:pPr>
      <w:r/>
      <w:bookmarkStart w:id="175" w:name="_Hlt26671244"/>
      <w:r/>
      <w:bookmarkEnd w:id="175"/>
      <w:r/>
      <w:bookmarkStart w:id="176" w:name="_Toc26554094"/>
      <w:r/>
      <w:bookmarkEnd w:id="176"/>
      <w:r/>
      <w:bookmarkStart w:id="177" w:name="_Hlt26955039"/>
      <w:r/>
      <w:bookmarkEnd w:id="177"/>
      <w:r/>
      <w:bookmarkStart w:id="178" w:name="_Toc49090576"/>
      <w:r/>
      <w:bookmarkStart w:id="179" w:name="_Toc120614282"/>
      <w:r/>
      <w:r/>
    </w:p>
    <w:p>
      <w:pPr>
        <w:pStyle w:val="721"/>
        <w:jc w:val="both"/>
        <w:spacing w:beforeAutospacing="0" w:afterAutospacing="0" w:line="560" w:lineRule="exact"/>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721"/>
        <w:jc w:val="center"/>
        <w:spacing w:beforeAutospacing="0" w:afterAutospacing="0" w:line="560" w:lineRule="exact"/>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721"/>
        <w:jc w:val="center"/>
        <w:spacing w:beforeAutospacing="0" w:afterAutospacing="0"/>
      </w:pPr>
      <w:r>
        <w:rPr>
          <w:rFonts w:hint="eastAsia" w:ascii="宋体" w:hAnsi="宋体" w:eastAsia="宋体" w:cs="宋体"/>
          <w:b/>
          <w:color w:val="000000"/>
          <w:sz w:val="72"/>
          <w:szCs w:val="72"/>
        </w:rPr>
        <w:t xml:space="preserve">投 标 文 件</w:t>
      </w:r>
      <w:r/>
    </w:p>
    <w:p>
      <w:pPr>
        <w:pStyle w:val="721"/>
        <w:jc w:val="center"/>
        <w:spacing w:beforeAutospacing="0" w:afterAutospacing="0" w:line="560" w:lineRule="exact"/>
      </w:pPr>
      <w:r>
        <w:t xml:space="preserve"> </w:t>
      </w:r>
      <w:r/>
    </w:p>
    <w:p>
      <w:pPr>
        <w:pStyle w:val="721"/>
        <w:jc w:val="center"/>
        <w:spacing w:beforeAutospacing="0" w:afterAutospacing="0" w:line="560" w:lineRule="exact"/>
      </w:pPr>
      <w:r>
        <w:t xml:space="preserve"> </w:t>
      </w:r>
      <w:r/>
    </w:p>
    <w:p>
      <w:pPr>
        <w:pStyle w:val="721"/>
        <w:jc w:val="center"/>
        <w:spacing w:beforeAutospacing="0" w:afterAutospacing="0" w:line="560" w:lineRule="exact"/>
      </w:pPr>
      <w:r>
        <w:t xml:space="preserve"> </w:t>
      </w:r>
      <w:r/>
    </w:p>
    <w:p>
      <w:pPr>
        <w:pStyle w:val="721"/>
        <w:jc w:val="center"/>
        <w:spacing w:beforeAutospacing="0" w:afterAutospacing="0" w:line="560" w:lineRule="exact"/>
      </w:pPr>
      <w:r>
        <w:t xml:space="preserve"> </w:t>
      </w:r>
      <w:r/>
    </w:p>
    <w:p>
      <w:pPr>
        <w:pStyle w:val="721"/>
        <w:jc w:val="center"/>
        <w:spacing w:beforeAutospacing="0" w:afterAutospacing="0" w:line="360" w:lineRule="auto"/>
      </w:pPr>
      <w:r>
        <w:t xml:space="preserve"> </w:t>
      </w:r>
      <w:r/>
    </w:p>
    <w:p>
      <w:pPr>
        <w:pStyle w:val="721"/>
        <w:ind w:firstLine="361"/>
        <w:jc w:val="both"/>
        <w:spacing w:beforeAutospacing="0" w:afterAutospacing="0" w:line="360" w:lineRule="auto"/>
        <w:rPr>
          <w:rFonts w:hint="eastAsia" w:ascii="宋体" w:hAnsi="宋体" w:eastAsia="宋体" w:cs="宋体"/>
          <w:b/>
          <w:color w:val="000000"/>
          <w:sz w:val="32"/>
          <w:szCs w:val="32"/>
          <w:u w:val="single"/>
        </w:rPr>
      </w:pPr>
      <w:r>
        <w:rPr>
          <w:rFonts w:hint="eastAsia" w:ascii="宋体" w:hAnsi="宋体" w:eastAsia="宋体" w:cs="宋体"/>
          <w:b/>
          <w:color w:val="000000"/>
          <w:sz w:val="36"/>
          <w:szCs w:val="36"/>
        </w:rPr>
        <w:t xml:space="preserve">项目名称：</w:t>
      </w:r>
      <w:r>
        <w:rPr>
          <w:rFonts w:hint="eastAsia" w:ascii="宋体" w:hAnsi="宋体" w:eastAsia="宋体" w:cs="宋体"/>
          <w:b/>
          <w:color w:val="000000"/>
          <w:sz w:val="32"/>
          <w:szCs w:val="32"/>
          <w:u w:val="single"/>
        </w:rPr>
        <w:t xml:space="preserve">盐城市第四人民医院智慧处方点评系统项目</w:t>
      </w:r>
      <w:r/>
    </w:p>
    <w:p>
      <w:pPr>
        <w:pStyle w:val="721"/>
        <w:ind w:firstLine="361"/>
        <w:jc w:val="both"/>
        <w:spacing w:beforeAutospacing="0" w:afterAutospacing="0" w:line="360" w:lineRule="auto"/>
        <w:rPr>
          <w:rFonts w:hint="eastAsia" w:ascii="宋体" w:hAnsi="宋体" w:eastAsia="宋体" w:cs="宋体"/>
          <w:b/>
          <w:color w:val="000000"/>
          <w:sz w:val="36"/>
          <w:szCs w:val="36"/>
          <w:u w:val="single"/>
        </w:rPr>
      </w:pPr>
      <w:r>
        <w:rPr>
          <w:rFonts w:hint="eastAsia" w:ascii="宋体" w:hAnsi="宋体" w:eastAsia="宋体" w:cs="宋体"/>
          <w:b/>
          <w:color w:val="000000"/>
          <w:sz w:val="36"/>
          <w:szCs w:val="36"/>
        </w:rPr>
        <w:t xml:space="preserve">项目编号：</w:t>
      </w:r>
      <w:r>
        <w:rPr>
          <w:rFonts w:hint="eastAsia" w:ascii="宋体" w:hAnsi="宋体" w:eastAsia="宋体" w:cs="宋体"/>
          <w:b/>
          <w:color w:val="000000"/>
          <w:sz w:val="36"/>
          <w:szCs w:val="36"/>
          <w:u w:val="single"/>
        </w:rPr>
        <w:t xml:space="preserve">                                   </w:t>
      </w:r>
      <w:r/>
    </w:p>
    <w:p>
      <w:pPr>
        <w:pStyle w:val="721"/>
        <w:ind w:left="359"/>
        <w:spacing w:beforeAutospacing="0" w:afterAutospacing="0" w:line="360" w:lineRule="auto"/>
        <w:rPr>
          <w:rFonts w:hint="eastAsia" w:ascii="宋体" w:hAnsi="宋体" w:eastAsia="宋体" w:cs="宋体"/>
          <w:b/>
          <w:color w:val="000000"/>
          <w:sz w:val="36"/>
          <w:szCs w:val="36"/>
          <w:u w:val="single"/>
        </w:rPr>
      </w:pPr>
      <w:r>
        <w:rPr>
          <w:rFonts w:hint="eastAsia" w:ascii="宋体" w:hAnsi="宋体" w:eastAsia="宋体" w:cs="宋体"/>
          <w:b/>
          <w:color w:val="000000"/>
          <w:sz w:val="36"/>
          <w:szCs w:val="36"/>
        </w:rPr>
        <w:t xml:space="preserve">投标人名称：</w:t>
      </w:r>
      <w:r>
        <w:rPr>
          <w:rFonts w:hint="eastAsia" w:ascii="宋体" w:hAnsi="宋体" w:eastAsia="宋体" w:cs="宋体"/>
          <w:b/>
          <w:color w:val="000000"/>
          <w:sz w:val="36"/>
          <w:szCs w:val="36"/>
          <w:u w:val="single"/>
        </w:rPr>
        <w:t xml:space="preserve">（加盖CA电子公章）              </w:t>
      </w:r>
      <w:r>
        <w:rPr>
          <w:rFonts w:hint="eastAsia" w:ascii="宋体" w:hAnsi="宋体" w:eastAsia="宋体" w:cs="宋体"/>
          <w:b/>
          <w:color w:val="000000"/>
          <w:sz w:val="36"/>
          <w:szCs w:val="36"/>
        </w:rPr>
        <w:t xml:space="preserve">日     期：</w:t>
      </w:r>
      <w:r>
        <w:rPr>
          <w:rFonts w:hint="eastAsia" w:ascii="宋体" w:hAnsi="宋体" w:eastAsia="宋体" w:cs="宋体"/>
          <w:b/>
          <w:color w:val="000000"/>
          <w:sz w:val="36"/>
          <w:szCs w:val="36"/>
          <w:u w:val="single"/>
        </w:rPr>
        <w:t xml:space="preserve">                                 </w:t>
      </w:r>
      <w:r/>
    </w:p>
    <w:p>
      <w:pPr>
        <w:pStyle w:val="721"/>
        <w:jc w:val="center"/>
        <w:spacing w:beforeAutospacing="0" w:afterAutospacing="0" w:line="360" w:lineRule="auto"/>
      </w:pPr>
      <w:r>
        <w:t xml:space="preserve"> </w:t>
      </w:r>
      <w:r/>
    </w:p>
    <w:p>
      <w:pPr>
        <w:pStyle w:val="721"/>
        <w:jc w:val="both"/>
        <w:spacing w:beforeAutospacing="0" w:afterAutospacing="0" w:line="560" w:lineRule="exact"/>
      </w:pPr>
      <w:r>
        <w:t xml:space="preserve"> </w:t>
      </w:r>
      <w:r/>
    </w:p>
    <w:p>
      <w:pPr>
        <w:pStyle w:val="721"/>
        <w:jc w:val="center"/>
        <w:spacing w:beforeAutospacing="0" w:afterAutospacing="0" w:line="560" w:lineRule="exac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721"/>
        <w:jc w:val="center"/>
        <w:spacing w:beforeAutospacing="0" w:afterAutospacing="0" w:line="560" w:lineRule="exac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721"/>
        <w:jc w:val="center"/>
        <w:spacing w:beforeAutospacing="0" w:afterAutospacing="0" w:line="560" w:lineRule="exac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721"/>
        <w:jc w:val="both"/>
        <w:spacing w:beforeAutospacing="0" w:afterAutospacing="0" w:line="560" w:lineRule="exac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721"/>
        <w:jc w:val="center"/>
        <w:spacing w:beforeAutospacing="0" w:afterAutospacing="0" w:line="560" w:lineRule="exact"/>
      </w:pPr>
      <w:r>
        <w:rPr>
          <w:rFonts w:hint="eastAsia" w:ascii="宋体" w:hAnsi="宋体" w:eastAsia="宋体" w:cs="宋体"/>
          <w:b/>
          <w:color w:val="000000"/>
          <w:sz w:val="32"/>
          <w:szCs w:val="32"/>
        </w:rPr>
        <w:t xml:space="preserve">投标文件目录</w:t>
      </w:r>
      <w:r/>
    </w:p>
    <w:p>
      <w:pPr>
        <w:pStyle w:val="721"/>
        <w:ind w:left="480"/>
        <w:jc w:val="both"/>
        <w:spacing w:beforeAutospacing="0" w:afterAutospacing="0" w:line="560" w:lineRule="exact"/>
        <w:rPr>
          <w:rFonts w:hint="eastAsia" w:ascii="宋体" w:hAnsi="宋体" w:eastAsia="宋体" w:cs="宋体"/>
          <w:iCs/>
          <w:color w:val="000000"/>
        </w:rPr>
      </w:pPr>
      <w:r>
        <w:rPr>
          <w:rFonts w:hint="eastAsia" w:ascii="宋体" w:hAnsi="宋体" w:eastAsia="宋体" w:cs="宋体"/>
          <w:iCs/>
          <w:color w:val="000000"/>
        </w:rPr>
        <w:t xml:space="preserve">一、法人或者其他组织的营业执照等证明文件，自然人的身份证明</w:t>
      </w:r>
      <w:r/>
    </w:p>
    <w:p>
      <w:pPr>
        <w:ind w:firstLine="480"/>
        <w:jc w:val="left"/>
        <w:spacing w:line="560" w:lineRule="exact"/>
        <w:tabs>
          <w:tab w:val="left" w:pos="1331" w:leader="none"/>
        </w:tabs>
        <w:rPr>
          <w:rFonts w:hint="eastAsia" w:ascii="宋体" w:hAnsi="宋体" w:eastAsia="宋体" w:cs="宋体"/>
          <w:iCs/>
          <w:color w:val="000000"/>
          <w:sz w:val="24"/>
        </w:rPr>
      </w:pPr>
      <w:r>
        <w:rPr>
          <w:rFonts w:hint="eastAsia" w:ascii="宋体" w:hAnsi="宋体" w:eastAsia="宋体" w:cs="宋体"/>
          <w:iCs/>
          <w:color w:val="000000"/>
          <w:sz w:val="24"/>
        </w:rPr>
        <w:t xml:space="preserve">二</w:t>
      </w:r>
      <w:r>
        <w:rPr>
          <w:rFonts w:hint="eastAsia" w:ascii="宋体" w:hAnsi="宋体" w:eastAsia="宋体" w:cs="宋体"/>
          <w:sz w:val="24"/>
          <w:szCs w:val="20"/>
        </w:rPr>
        <w:t xml:space="preserve">、上一年度的财务状况报告（至少提供资产负债表、利润表、现金流量表，投标人成立不满一年无需提供）</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三、具备履行合同所必需的设备和专业技术能力的书面声明</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spacing w:line="556"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五、参加政府采购活动前 3 年内在经营活动中没有重大违法记录的书面声明</w:t>
      </w:r>
      <w:r/>
    </w:p>
    <w:p>
      <w:pPr>
        <w:ind w:firstLine="482"/>
        <w:jc w:val="left"/>
        <w:spacing w:line="556"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六、特定资格要求的证明文件（如果本项目设置特定资格要求，则需要提供）</w:t>
      </w:r>
      <w:r/>
    </w:p>
    <w:p>
      <w:pPr>
        <w:ind w:firstLine="482"/>
        <w:spacing w:line="556"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七、法人授权书</w:t>
      </w:r>
      <w:r/>
    </w:p>
    <w:p>
      <w:pPr>
        <w:ind w:firstLine="482"/>
        <w:spacing w:line="556"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八、投标函</w:t>
      </w:r>
      <w:r/>
    </w:p>
    <w:p>
      <w:pPr>
        <w:ind w:firstLine="482"/>
        <w:spacing w:line="556"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九、中小企业声明函</w:t>
      </w:r>
      <w:r/>
    </w:p>
    <w:p>
      <w:pPr>
        <w:ind w:firstLine="482"/>
        <w:spacing w:line="556"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十、残疾人福利性单位声明函</w:t>
      </w:r>
      <w:r/>
    </w:p>
    <w:p>
      <w:pPr>
        <w:ind w:firstLine="482"/>
        <w:spacing w:line="556"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十一、投标分项报价表</w:t>
      </w:r>
      <w:r/>
    </w:p>
    <w:p>
      <w:pPr>
        <w:ind w:firstLine="482"/>
        <w:spacing w:line="556"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十二、技术要求响应及偏离表</w:t>
      </w:r>
      <w:r/>
    </w:p>
    <w:p>
      <w:pPr>
        <w:ind w:firstLine="482"/>
        <w:spacing w:line="556"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十三、商务要求响应及偏离表</w:t>
      </w:r>
      <w:r/>
    </w:p>
    <w:p>
      <w:pPr>
        <w:ind w:firstLine="482"/>
        <w:spacing w:line="556"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十四、开标一览表</w:t>
      </w:r>
      <w:r/>
    </w:p>
    <w:p>
      <w:pPr>
        <w:ind w:firstLine="482"/>
        <w:spacing w:line="556"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十五、技术方案、服务承诺、培训承诺等</w:t>
      </w:r>
      <w:r/>
    </w:p>
    <w:p>
      <w:pPr>
        <w:ind w:firstLine="482"/>
        <w:spacing w:line="556"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十六、盐城市政府采购事前信用承诺书</w:t>
      </w:r>
      <w:r/>
    </w:p>
    <w:p>
      <w:pPr>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21"/>
        <w:jc w:val="center"/>
        <w:spacing w:beforeAutospacing="0" w:afterAutospacing="0" w:line="560" w:lineRule="exact"/>
      </w:pPr>
      <w:r/>
      <w:r/>
    </w:p>
    <w:p>
      <w:pPr>
        <w:pStyle w:val="721"/>
        <w:jc w:val="center"/>
        <w:spacing w:beforeAutospacing="0" w:afterAutospacing="0" w:line="560" w:lineRule="exact"/>
        <w:rPr>
          <w:rFonts w:hint="eastAsia" w:ascii="黑体" w:hAnsi="宋体" w:eastAsia="黑体" w:cs="黑体"/>
          <w:bCs/>
          <w:i/>
          <w:color w:val="000000"/>
          <w:sz w:val="32"/>
          <w:szCs w:val="32"/>
          <w:u w:val="single"/>
        </w:rPr>
      </w:pPr>
      <w:r>
        <w:rPr>
          <w:rFonts w:hint="eastAsia" w:ascii="黑体" w:hAnsi="宋体" w:eastAsia="黑体" w:cs="黑体"/>
          <w:bCs/>
          <w:i/>
          <w:color w:val="000000"/>
          <w:sz w:val="32"/>
          <w:szCs w:val="32"/>
          <w:u w:val="single"/>
        </w:rPr>
      </w:r>
      <w:r/>
    </w:p>
    <w:p>
      <w:pPr>
        <w:pStyle w:val="721"/>
        <w:jc w:val="center"/>
        <w:spacing w:beforeAutospacing="0" w:afterAutospacing="0" w:line="560" w:lineRule="exact"/>
        <w:rPr>
          <w:rFonts w:hint="eastAsia" w:ascii="黑体" w:hAnsi="宋体" w:eastAsia="黑体" w:cs="黑体"/>
          <w:bCs/>
          <w:i/>
          <w:color w:val="000000"/>
          <w:sz w:val="32"/>
          <w:szCs w:val="32"/>
          <w:u w:val="single"/>
        </w:rPr>
      </w:pPr>
      <w:r>
        <w:rPr>
          <w:rFonts w:hint="eastAsia" w:ascii="黑体" w:hAnsi="宋体" w:eastAsia="黑体" w:cs="黑体"/>
          <w:bCs/>
          <w:i/>
          <w:color w:val="000000"/>
          <w:sz w:val="32"/>
          <w:szCs w:val="32"/>
          <w:u w:val="single"/>
        </w:rPr>
      </w:r>
      <w:r/>
    </w:p>
    <w:p>
      <w:pPr>
        <w:pStyle w:val="721"/>
        <w:jc w:val="center"/>
        <w:spacing w:beforeAutospacing="0" w:afterAutospacing="0" w:line="560" w:lineRule="exact"/>
        <w:rPr>
          <w:rFonts w:hint="eastAsia" w:ascii="黑体" w:hAnsi="宋体" w:eastAsia="黑体" w:cs="黑体"/>
          <w:bCs/>
          <w:i/>
          <w:color w:val="000000"/>
          <w:sz w:val="32"/>
          <w:szCs w:val="32"/>
          <w:u w:val="single"/>
        </w:rPr>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721"/>
        <w:ind w:firstLine="480"/>
        <w:jc w:val="both"/>
        <w:spacing w:beforeAutospacing="0" w:afterAutospacing="0" w:line="560" w:lineRule="exact"/>
      </w:pPr>
      <w:r>
        <w:t xml:space="preserve"> </w:t>
      </w:r>
      <w:r/>
    </w:p>
    <w:p>
      <w:r>
        <w:br w:type="page" w:clear="all"/>
      </w:r>
      <w:r/>
    </w:p>
    <w:p>
      <w:pPr>
        <w:jc w:val="center"/>
        <w:rPr>
          <w:rFonts w:hint="eastAsia" w:ascii="黑体" w:hAnsi="黑体" w:eastAsia="黑体" w:cs="黑体"/>
          <w:i/>
          <w:sz w:val="32"/>
          <w:szCs w:val="32"/>
          <w:u w:val="single"/>
        </w:rPr>
      </w:pPr>
      <w:r>
        <w:rPr>
          <w:rFonts w:hint="eastAsia" w:ascii="黑体" w:hAnsi="黑体" w:eastAsia="黑体" w:cs="黑体"/>
          <w:i/>
          <w:sz w:val="32"/>
          <w:szCs w:val="32"/>
          <w:u w:val="single"/>
        </w:rPr>
        <w:t xml:space="preserve">二、上一年度的财务状况报告</w:t>
      </w:r>
      <w:r/>
    </w:p>
    <w:p>
      <w:pPr>
        <w:jc w:val="center"/>
        <w:spacing w:line="500" w:lineRule="exact"/>
        <w:tabs>
          <w:tab w:val="left" w:pos="1331" w:leader="none"/>
        </w:tabs>
        <w:rPr>
          <w:rFonts w:hint="eastAsia" w:ascii="宋体" w:hAnsi="宋体" w:cs="宋体"/>
          <w:iCs/>
          <w:sz w:val="24"/>
        </w:rPr>
      </w:pPr>
      <w:r>
        <w:rPr>
          <w:rFonts w:hint="eastAsia" w:ascii="宋体" w:hAnsi="宋体" w:cs="宋体"/>
          <w:iCs/>
          <w:sz w:val="24"/>
        </w:rPr>
        <w:t xml:space="preserve">（至少提供资产负债表、利润表、现金流量表，投标人成立不满一年无需提供）</w:t>
      </w:r>
      <w:r/>
    </w:p>
    <w:p>
      <w:pPr>
        <w:pStyle w:val="721"/>
        <w:ind w:firstLine="480"/>
        <w:jc w:val="both"/>
        <w:spacing w:beforeAutospacing="0" w:afterAutospacing="0" w:line="560" w:lineRule="exact"/>
      </w:pPr>
      <w:r/>
      <w:r/>
    </w:p>
    <w:p>
      <w:pPr>
        <w:pStyle w:val="721"/>
        <w:jc w:val="both"/>
        <w:spacing w:beforeAutospacing="0" w:afterAutospacing="0" w:line="560" w:lineRule="exact"/>
      </w:pPr>
      <w:r>
        <w:t xml:space="preserve"> </w:t>
      </w:r>
      <w:r/>
    </w:p>
    <w:p>
      <w:pPr>
        <w:pStyle w:val="721"/>
        <w:jc w:val="both"/>
        <w:spacing w:beforeAutospacing="0" w:afterAutospacing="0" w:line="560" w:lineRule="exact"/>
      </w:pPr>
      <w:r>
        <w:t xml:space="preserve"> </w:t>
      </w:r>
      <w:r/>
    </w:p>
    <w:p>
      <w:pPr>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br w:type="page" w:clear="all"/>
      </w:r>
      <w:r/>
    </w:p>
    <w:p>
      <w:pPr>
        <w:pStyle w:val="721"/>
        <w:jc w:val="center"/>
        <w:spacing w:beforeAutospacing="0" w:afterAutospacing="0" w:line="560" w:lineRule="exact"/>
      </w:pPr>
      <w:r>
        <w:rPr>
          <w:rFonts w:hint="eastAsia" w:ascii="黑体" w:hAnsi="宋体" w:eastAsia="黑体" w:cs="黑体"/>
          <w:i/>
          <w:color w:val="000000"/>
          <w:sz w:val="32"/>
          <w:szCs w:val="32"/>
          <w:u w:val="single"/>
        </w:rPr>
        <w:t xml:space="preserve">三、具备履行合同所必需的设备和专业技术能力的书面声明</w:t>
      </w:r>
      <w:r/>
    </w:p>
    <w:p>
      <w:pPr>
        <w:pStyle w:val="721"/>
        <w:ind w:firstLine="492"/>
        <w:jc w:val="both"/>
        <w:spacing w:beforeAutospacing="0" w:afterAutospacing="0" w:line="560" w:lineRule="exac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721"/>
        <w:ind w:firstLine="492"/>
        <w:jc w:val="both"/>
        <w:spacing w:beforeAutospacing="0" w:afterAutospacing="0" w:line="560" w:lineRule="exac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721"/>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br w:type="page" w:clear="all"/>
      </w:r>
      <w:r/>
    </w:p>
    <w:p>
      <w:pPr>
        <w:pStyle w:val="721"/>
        <w:jc w:val="center"/>
        <w:spacing w:beforeAutospacing="0" w:afterAutospacing="0" w:line="560" w:lineRule="exact"/>
      </w:pPr>
      <w:r>
        <w:rPr>
          <w:rFonts w:hint="eastAsia" w:ascii="黑体" w:hAnsi="宋体" w:eastAsia="黑体" w:cs="黑体"/>
          <w:i/>
          <w:color w:val="000000"/>
          <w:sz w:val="32"/>
          <w:szCs w:val="32"/>
          <w:u w:val="single"/>
        </w:rPr>
        <w:t xml:space="preserve">四、依法缴纳税收和社会保障资金的相关材料</w:t>
      </w:r>
      <w:r/>
    </w:p>
    <w:p>
      <w:pPr>
        <w:pStyle w:val="721"/>
        <w:ind w:firstLine="480"/>
        <w:jc w:val="both"/>
        <w:spacing w:beforeAutospacing="0" w:afterAutospacing="0" w:line="560" w:lineRule="exact"/>
      </w:pPr>
      <w:r/>
      <w:bookmarkStart w:id="180" w:name="_Toc120614284"/>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bookmarkEnd w:id="180"/>
      <w:r/>
      <w:r/>
    </w:p>
    <w:p>
      <w:pPr>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br w:type="page" w:clear="all"/>
      </w:r>
      <w:r/>
    </w:p>
    <w:p>
      <w:pPr>
        <w:pStyle w:val="721"/>
        <w:jc w:val="center"/>
        <w:spacing w:beforeAutospacing="0" w:afterAutospacing="0" w:line="560" w:lineRule="exact"/>
      </w:pPr>
      <w:r>
        <w:rPr>
          <w:rFonts w:hint="eastAsia" w:ascii="黑体" w:hAnsi="宋体" w:eastAsia="黑体" w:cs="黑体"/>
          <w:i/>
          <w:color w:val="000000"/>
          <w:sz w:val="32"/>
          <w:szCs w:val="32"/>
          <w:u w:val="single"/>
        </w:rPr>
        <w:t xml:space="preserve">五、参加政府采购活动前3年内在经营活动中没有重大违法记录的书面声明</w:t>
      </w:r>
      <w:r/>
    </w:p>
    <w:p>
      <w:pPr>
        <w:pStyle w:val="721"/>
        <w:jc w:val="both"/>
        <w:spacing w:beforeAutospacing="0" w:afterAutospacing="0" w:line="560" w:lineRule="exact"/>
      </w:pPr>
      <w:r>
        <w:rPr>
          <w:rFonts w:hint="eastAsia" w:ascii="宋体" w:hAnsi="宋体" w:eastAsia="宋体" w:cs="宋体"/>
          <w:b/>
          <w:color w:val="000000"/>
          <w:sz w:val="44"/>
          <w:szCs w:val="44"/>
        </w:rPr>
        <w:t xml:space="preserve">         声  明</w:t>
      </w:r>
      <w:r/>
    </w:p>
    <w:p>
      <w:pPr>
        <w:pStyle w:val="721"/>
        <w:jc w:val="both"/>
        <w:spacing w:beforeAutospacing="0" w:afterAutospacing="0" w:line="560" w:lineRule="exac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721"/>
        <w:jc w:val="both"/>
        <w:spacing w:beforeAutospacing="0" w:afterAutospacing="0" w:line="560" w:lineRule="exact"/>
      </w:pPr>
      <w:r>
        <w:t xml:space="preserve"> </w:t>
      </w:r>
      <w:r/>
    </w:p>
    <w:p>
      <w:pPr>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br w:type="page" w:clear="all"/>
      </w:r>
      <w:r/>
    </w:p>
    <w:p>
      <w:pPr>
        <w:jc w:val="center"/>
        <w:spacing w:before="240" w:after="240" w:line="276" w:lineRule="auto"/>
        <w:rPr>
          <w:rFonts w:hint="eastAsia" w:ascii="黑体" w:hAnsi="黑体" w:eastAsia="黑体" w:cs="黑体"/>
          <w:bCs/>
          <w:i/>
          <w:color w:val="000000"/>
          <w:sz w:val="32"/>
          <w:szCs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六、特定资格要求的证明文件</w:t>
      </w:r>
      <w:r/>
    </w:p>
    <w:p>
      <w:pPr>
        <w:jc w:val="center"/>
        <w:spacing w:before="240" w:after="240" w:line="276" w:lineRule="auto"/>
        <w:rPr>
          <w:rFonts w:hint="eastAsia" w:ascii="黑体" w:hAnsi="黑体" w:eastAsia="黑体" w:cs="黑体"/>
          <w:bCs/>
          <w:i/>
          <w:color w:val="000000"/>
          <w:sz w:val="32"/>
          <w:szCs w:val="32"/>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32"/>
        </w:rPr>
        <w:t xml:space="preserve">如果本项目申请人的特定资格要求中要求提供的，必须提供。</w:t>
      </w:r>
      <w:r/>
    </w:p>
    <w:p>
      <w:pPr>
        <w:jc w:val="center"/>
        <w:spacing w:before="240" w:after="240" w:line="85" w:lineRule="atLeast"/>
        <w:rPr>
          <w:sz w:val="24"/>
        </w:rPr>
        <w:pBdr>
          <w:top w:val="none" w:color="000000" w:sz="0" w:space="0"/>
          <w:left w:val="none" w:color="000000" w:sz="0" w:space="0"/>
          <w:bottom w:val="none" w:color="000000" w:sz="0" w:space="0"/>
          <w:right w:val="none" w:color="000000" w:sz="0" w:space="0"/>
        </w:pBdr>
      </w:pPr>
      <w:r>
        <w:rPr>
          <w:sz w:val="24"/>
        </w:rPr>
      </w:r>
      <w:r/>
    </w:p>
    <w:p>
      <w:pPr>
        <w:jc w:val="center"/>
        <w:spacing w:before="240" w:after="240" w:line="85" w:lineRule="atLeast"/>
        <w:rPr>
          <w:rFonts w:hint="eastAsia" w:ascii="黑体" w:hAnsi="宋体" w:eastAsia="黑体" w:cs="黑体"/>
          <w:bCs/>
          <w:i/>
          <w:color w:val="000000"/>
          <w:sz w:val="32"/>
          <w:szCs w:val="32"/>
          <w:u w:val="single"/>
        </w:rPr>
        <w:pBdr>
          <w:top w:val="none" w:color="000000" w:sz="0" w:space="0"/>
          <w:left w:val="none" w:color="000000" w:sz="0" w:space="0"/>
          <w:bottom w:val="none" w:color="000000" w:sz="0" w:space="0"/>
          <w:right w:val="none" w:color="000000" w:sz="0" w:space="0"/>
        </w:pBdr>
      </w:pPr>
      <w:r>
        <w:rPr>
          <w:rFonts w:hint="eastAsia" w:ascii="黑体" w:hAnsi="宋体" w:eastAsia="黑体" w:cs="黑体"/>
          <w:bCs/>
          <w:i/>
          <w:color w:val="000000"/>
          <w:sz w:val="32"/>
          <w:szCs w:val="32"/>
          <w:u w:val="single"/>
        </w:rPr>
      </w:r>
      <w:r/>
    </w:p>
    <w:p>
      <w:pPr>
        <w:jc w:val="center"/>
        <w:spacing w:before="240" w:after="240" w:line="85" w:lineRule="atLeast"/>
        <w:rPr>
          <w:rFonts w:hint="eastAsia" w:ascii="黑体" w:hAnsi="宋体" w:eastAsia="黑体" w:cs="黑体"/>
          <w:bCs/>
          <w:i/>
          <w:color w:val="000000"/>
          <w:sz w:val="32"/>
          <w:szCs w:val="32"/>
          <w:u w:val="single"/>
        </w:rPr>
        <w:pBdr>
          <w:top w:val="none" w:color="000000" w:sz="0" w:space="0"/>
          <w:left w:val="none" w:color="000000" w:sz="0" w:space="0"/>
          <w:bottom w:val="none" w:color="000000" w:sz="0" w:space="0"/>
          <w:right w:val="none" w:color="000000" w:sz="0" w:space="0"/>
        </w:pBdr>
      </w:pPr>
      <w:r>
        <w:rPr>
          <w:rFonts w:hint="eastAsia" w:ascii="黑体" w:hAnsi="宋体" w:eastAsia="黑体" w:cs="黑体"/>
          <w:bCs/>
          <w:i/>
          <w:color w:val="000000"/>
          <w:sz w:val="32"/>
          <w:szCs w:val="32"/>
          <w:u w:val="single"/>
        </w:rPr>
      </w:r>
      <w:r/>
    </w:p>
    <w:p>
      <w:pPr>
        <w:jc w:val="center"/>
        <w:spacing w:before="240" w:after="240" w:line="85" w:lineRule="atLeast"/>
        <w:rPr>
          <w:rFonts w:hint="eastAsia" w:ascii="黑体" w:hAnsi="宋体" w:eastAsia="黑体" w:cs="黑体"/>
          <w:bCs/>
          <w:i/>
          <w:color w:val="000000"/>
          <w:sz w:val="32"/>
          <w:szCs w:val="32"/>
          <w:u w:val="single"/>
        </w:rPr>
        <w:pBdr>
          <w:top w:val="none" w:color="000000" w:sz="0" w:space="0"/>
          <w:left w:val="none" w:color="000000" w:sz="0" w:space="0"/>
          <w:bottom w:val="none" w:color="000000" w:sz="0" w:space="0"/>
          <w:right w:val="none" w:color="000000" w:sz="0" w:space="0"/>
        </w:pBdr>
      </w:pPr>
      <w:r>
        <w:rPr>
          <w:rFonts w:hint="eastAsia" w:ascii="黑体" w:hAnsi="宋体" w:eastAsia="黑体" w:cs="黑体"/>
          <w:bCs/>
          <w:i/>
          <w:color w:val="000000"/>
          <w:sz w:val="32"/>
          <w:szCs w:val="32"/>
          <w:u w:val="single"/>
        </w:rPr>
      </w:r>
      <w:r/>
    </w:p>
    <w:p>
      <w:pPr>
        <w:jc w:val="center"/>
        <w:spacing w:before="240" w:after="240" w:line="85" w:lineRule="atLeast"/>
        <w:rPr>
          <w:rFonts w:hint="eastAsia" w:ascii="黑体" w:hAnsi="宋体" w:eastAsia="黑体" w:cs="黑体"/>
          <w:bCs/>
          <w:i/>
          <w:color w:val="000000"/>
          <w:sz w:val="32"/>
          <w:szCs w:val="32"/>
          <w:u w:val="single"/>
        </w:rPr>
        <w:pBdr>
          <w:top w:val="none" w:color="000000" w:sz="0" w:space="0"/>
          <w:left w:val="none" w:color="000000" w:sz="0" w:space="0"/>
          <w:bottom w:val="none" w:color="000000" w:sz="0" w:space="0"/>
          <w:right w:val="none" w:color="000000" w:sz="0" w:space="0"/>
        </w:pBdr>
      </w:pPr>
      <w:r>
        <w:rPr>
          <w:rFonts w:hint="eastAsia" w:ascii="黑体" w:hAnsi="宋体" w:eastAsia="黑体" w:cs="黑体"/>
          <w:bCs/>
          <w:i/>
          <w:color w:val="000000"/>
          <w:sz w:val="32"/>
          <w:szCs w:val="32"/>
          <w:u w:val="single"/>
        </w:rPr>
      </w:r>
      <w:r/>
    </w:p>
    <w:p>
      <w:pPr>
        <w:jc w:val="center"/>
        <w:spacing w:before="240" w:after="240" w:line="85" w:lineRule="atLeast"/>
        <w:rPr>
          <w:rFonts w:hint="eastAsia" w:ascii="黑体" w:hAnsi="宋体" w:eastAsia="黑体" w:cs="黑体"/>
          <w:bCs/>
          <w:i/>
          <w:color w:val="000000"/>
          <w:sz w:val="32"/>
          <w:szCs w:val="32"/>
          <w:u w:val="single"/>
        </w:rPr>
        <w:pBdr>
          <w:top w:val="none" w:color="000000" w:sz="0" w:space="0"/>
          <w:left w:val="none" w:color="000000" w:sz="0" w:space="0"/>
          <w:bottom w:val="none" w:color="000000" w:sz="0" w:space="0"/>
          <w:right w:val="none" w:color="000000" w:sz="0" w:space="0"/>
        </w:pBdr>
      </w:pPr>
      <w:r>
        <w:rPr>
          <w:rFonts w:hint="eastAsia" w:ascii="黑体" w:hAnsi="宋体" w:eastAsia="黑体" w:cs="黑体"/>
          <w:bCs/>
          <w:i/>
          <w:color w:val="000000"/>
          <w:sz w:val="32"/>
          <w:szCs w:val="32"/>
          <w:u w:val="single"/>
        </w:rPr>
      </w:r>
      <w:r/>
    </w:p>
    <w:p>
      <w:pPr>
        <w:jc w:val="center"/>
        <w:spacing w:before="240" w:after="240" w:line="85" w:lineRule="atLeast"/>
        <w:rPr>
          <w:rFonts w:hint="eastAsia" w:ascii="黑体" w:hAnsi="宋体" w:eastAsia="黑体" w:cs="黑体"/>
          <w:bCs/>
          <w:i/>
          <w:color w:val="000000"/>
          <w:sz w:val="32"/>
          <w:szCs w:val="32"/>
          <w:u w:val="single"/>
        </w:rPr>
        <w:pBdr>
          <w:top w:val="none" w:color="000000" w:sz="0" w:space="0"/>
          <w:left w:val="none" w:color="000000" w:sz="0" w:space="0"/>
          <w:bottom w:val="none" w:color="000000" w:sz="0" w:space="0"/>
          <w:right w:val="none" w:color="000000" w:sz="0" w:space="0"/>
        </w:pBdr>
      </w:pPr>
      <w:r>
        <w:rPr>
          <w:rFonts w:hint="eastAsia" w:ascii="黑体" w:hAnsi="宋体" w:eastAsia="黑体" w:cs="黑体"/>
          <w:bCs/>
          <w:i/>
          <w:color w:val="000000"/>
          <w:sz w:val="32"/>
          <w:szCs w:val="32"/>
          <w:u w:val="single"/>
        </w:rPr>
      </w:r>
      <w:r/>
    </w:p>
    <w:p>
      <w:pPr>
        <w:jc w:val="center"/>
        <w:spacing w:before="240" w:after="240" w:line="85" w:lineRule="atLeast"/>
        <w:rPr>
          <w:rFonts w:hint="eastAsia" w:ascii="黑体" w:hAnsi="宋体" w:eastAsia="黑体" w:cs="黑体"/>
          <w:bCs/>
          <w:i/>
          <w:color w:val="000000"/>
          <w:sz w:val="32"/>
          <w:szCs w:val="32"/>
          <w:u w:val="single"/>
        </w:rPr>
        <w:pBdr>
          <w:top w:val="none" w:color="000000" w:sz="0" w:space="0"/>
          <w:left w:val="none" w:color="000000" w:sz="0" w:space="0"/>
          <w:bottom w:val="none" w:color="000000" w:sz="0" w:space="0"/>
          <w:right w:val="none" w:color="000000" w:sz="0" w:space="0"/>
        </w:pBdr>
      </w:pPr>
      <w:r>
        <w:rPr>
          <w:rFonts w:hint="eastAsia" w:ascii="黑体" w:hAnsi="宋体" w:eastAsia="黑体" w:cs="黑体"/>
          <w:bCs/>
          <w:i/>
          <w:color w:val="000000"/>
          <w:sz w:val="32"/>
          <w:szCs w:val="32"/>
          <w:u w:val="single"/>
        </w:rPr>
      </w:r>
      <w:r/>
    </w:p>
    <w:p>
      <w:pPr>
        <w:jc w:val="center"/>
        <w:spacing w:before="240" w:after="240" w:line="85" w:lineRule="atLeast"/>
        <w:rPr>
          <w:rFonts w:hint="eastAsia" w:ascii="黑体" w:hAnsi="宋体" w:eastAsia="黑体" w:cs="黑体"/>
          <w:bCs/>
          <w:i/>
          <w:color w:val="000000"/>
          <w:sz w:val="32"/>
          <w:szCs w:val="32"/>
          <w:u w:val="single"/>
        </w:rPr>
        <w:pBdr>
          <w:top w:val="none" w:color="000000" w:sz="0" w:space="0"/>
          <w:left w:val="none" w:color="000000" w:sz="0" w:space="0"/>
          <w:bottom w:val="none" w:color="000000" w:sz="0" w:space="0"/>
          <w:right w:val="none" w:color="000000" w:sz="0" w:space="0"/>
        </w:pBdr>
      </w:pPr>
      <w:r>
        <w:rPr>
          <w:rFonts w:hint="eastAsia" w:ascii="黑体" w:hAnsi="宋体" w:eastAsia="黑体" w:cs="黑体"/>
          <w:bCs/>
          <w:i/>
          <w:color w:val="000000"/>
          <w:sz w:val="32"/>
          <w:szCs w:val="32"/>
          <w:u w:val="single"/>
        </w:rPr>
      </w:r>
      <w:r/>
    </w:p>
    <w:p>
      <w:pPr>
        <w:jc w:val="center"/>
        <w:spacing w:before="240" w:after="240" w:line="85" w:lineRule="atLeast"/>
        <w:rPr>
          <w:rFonts w:hint="eastAsia" w:ascii="黑体" w:hAnsi="宋体" w:eastAsia="黑体" w:cs="黑体"/>
          <w:bCs/>
          <w:i/>
          <w:color w:val="000000"/>
          <w:sz w:val="32"/>
          <w:szCs w:val="32"/>
          <w:u w:val="single"/>
        </w:rPr>
        <w:pBdr>
          <w:top w:val="none" w:color="000000" w:sz="0" w:space="0"/>
          <w:left w:val="none" w:color="000000" w:sz="0" w:space="0"/>
          <w:bottom w:val="none" w:color="000000" w:sz="0" w:space="0"/>
          <w:right w:val="none" w:color="000000" w:sz="0" w:space="0"/>
        </w:pBdr>
      </w:pPr>
      <w:r>
        <w:rPr>
          <w:rFonts w:hint="eastAsia" w:ascii="黑体" w:hAnsi="宋体" w:eastAsia="黑体" w:cs="黑体"/>
          <w:bCs/>
          <w:i/>
          <w:color w:val="000000"/>
          <w:sz w:val="32"/>
          <w:szCs w:val="32"/>
          <w:u w:val="single"/>
        </w:rPr>
      </w:r>
      <w:r/>
    </w:p>
    <w:p>
      <w:pPr>
        <w:jc w:val="center"/>
        <w:spacing w:before="240" w:after="240" w:line="85" w:lineRule="atLeast"/>
        <w:rPr>
          <w:rFonts w:hint="eastAsia" w:ascii="黑体" w:hAnsi="宋体" w:eastAsia="黑体" w:cs="黑体"/>
          <w:bCs/>
          <w:i/>
          <w:color w:val="000000"/>
          <w:sz w:val="32"/>
          <w:szCs w:val="32"/>
          <w:u w:val="single"/>
        </w:rPr>
        <w:pBdr>
          <w:top w:val="none" w:color="000000" w:sz="0" w:space="0"/>
          <w:left w:val="none" w:color="000000" w:sz="0" w:space="0"/>
          <w:bottom w:val="none" w:color="000000" w:sz="0" w:space="0"/>
          <w:right w:val="none" w:color="000000" w:sz="0" w:space="0"/>
        </w:pBdr>
      </w:pPr>
      <w:r>
        <w:rPr>
          <w:rFonts w:hint="eastAsia" w:ascii="黑体" w:hAnsi="宋体" w:eastAsia="黑体" w:cs="黑体"/>
          <w:bCs/>
          <w:i/>
          <w:color w:val="000000"/>
          <w:sz w:val="32"/>
          <w:szCs w:val="32"/>
          <w:u w:val="single"/>
        </w:rPr>
      </w:r>
      <w:r/>
    </w:p>
    <w:p>
      <w:pPr>
        <w:jc w:val="center"/>
        <w:spacing w:before="240" w:after="240" w:line="85" w:lineRule="atLeast"/>
        <w:rPr>
          <w:rFonts w:hint="eastAsia" w:ascii="黑体" w:hAnsi="宋体" w:eastAsia="黑体" w:cs="黑体"/>
          <w:bCs/>
          <w:i/>
          <w:color w:val="000000"/>
          <w:sz w:val="32"/>
          <w:szCs w:val="32"/>
          <w:u w:val="single"/>
        </w:rPr>
        <w:pBdr>
          <w:top w:val="none" w:color="000000" w:sz="0" w:space="0"/>
          <w:left w:val="none" w:color="000000" w:sz="0" w:space="0"/>
          <w:bottom w:val="none" w:color="000000" w:sz="0" w:space="0"/>
          <w:right w:val="none" w:color="000000" w:sz="0" w:space="0"/>
        </w:pBdr>
      </w:pPr>
      <w:r>
        <w:rPr>
          <w:rFonts w:hint="eastAsia" w:ascii="黑体" w:hAnsi="宋体" w:eastAsia="黑体" w:cs="黑体"/>
          <w:bCs/>
          <w:i/>
          <w:color w:val="000000"/>
          <w:sz w:val="32"/>
          <w:szCs w:val="32"/>
          <w:u w:val="single"/>
        </w:rPr>
      </w:r>
      <w:r/>
    </w:p>
    <w:p>
      <w:pPr>
        <w:jc w:val="center"/>
        <w:spacing w:before="240" w:after="240" w:line="85" w:lineRule="atLeast"/>
        <w:rPr>
          <w:rFonts w:hint="eastAsia" w:ascii="黑体" w:hAnsi="宋体" w:eastAsia="黑体" w:cs="黑体"/>
          <w:bCs/>
          <w:i/>
          <w:color w:val="000000"/>
          <w:sz w:val="32"/>
          <w:szCs w:val="32"/>
          <w:u w:val="single"/>
        </w:rPr>
        <w:pBdr>
          <w:top w:val="none" w:color="000000" w:sz="0" w:space="0"/>
          <w:left w:val="none" w:color="000000" w:sz="0" w:space="0"/>
          <w:bottom w:val="none" w:color="000000" w:sz="0" w:space="0"/>
          <w:right w:val="none" w:color="000000" w:sz="0" w:space="0"/>
        </w:pBdr>
      </w:pPr>
      <w:r>
        <w:rPr>
          <w:rFonts w:hint="eastAsia" w:ascii="黑体" w:hAnsi="宋体" w:eastAsia="黑体" w:cs="黑体"/>
          <w:bCs/>
          <w:i/>
          <w:color w:val="000000"/>
          <w:sz w:val="32"/>
          <w:szCs w:val="32"/>
          <w:u w:val="single"/>
        </w:rPr>
      </w:r>
      <w:r/>
    </w:p>
    <w:p>
      <w:pPr>
        <w:jc w:val="center"/>
        <w:spacing w:before="240" w:after="240" w:line="85" w:lineRule="atLeast"/>
        <w:rPr>
          <w:rFonts w:hint="eastAsia" w:ascii="黑体" w:hAnsi="宋体" w:eastAsia="黑体" w:cs="黑体"/>
          <w:bCs/>
          <w:i/>
          <w:color w:val="000000"/>
          <w:sz w:val="32"/>
          <w:szCs w:val="32"/>
          <w:u w:val="single"/>
        </w:rPr>
        <w:pBdr>
          <w:top w:val="none" w:color="000000" w:sz="0" w:space="0"/>
          <w:left w:val="none" w:color="000000" w:sz="0" w:space="0"/>
          <w:bottom w:val="none" w:color="000000" w:sz="0" w:space="0"/>
          <w:right w:val="none" w:color="000000" w:sz="0" w:space="0"/>
        </w:pBdr>
      </w:pPr>
      <w:r>
        <w:rPr>
          <w:rFonts w:hint="eastAsia" w:ascii="黑体" w:hAnsi="宋体" w:eastAsia="黑体" w:cs="黑体"/>
          <w:bCs/>
          <w:i/>
          <w:color w:val="000000"/>
          <w:sz w:val="32"/>
          <w:szCs w:val="32"/>
          <w:u w:val="single"/>
        </w:rPr>
      </w:r>
      <w:r/>
    </w:p>
    <w:p>
      <w:pPr>
        <w:jc w:val="center"/>
        <w:spacing w:before="240" w:after="240" w:line="85" w:lineRule="atLeast"/>
        <w:rPr>
          <w:rFonts w:hint="eastAsia" w:ascii="黑体" w:hAnsi="宋体" w:eastAsia="黑体" w:cs="黑体"/>
          <w:bCs/>
          <w:i/>
          <w:color w:val="000000"/>
          <w:sz w:val="32"/>
          <w:szCs w:val="32"/>
          <w:u w:val="single"/>
        </w:rPr>
        <w:pBdr>
          <w:top w:val="none" w:color="000000" w:sz="0" w:space="0"/>
          <w:left w:val="none" w:color="000000" w:sz="0" w:space="0"/>
          <w:bottom w:val="none" w:color="000000" w:sz="0" w:space="0"/>
          <w:right w:val="none" w:color="000000" w:sz="0" w:space="0"/>
        </w:pBdr>
      </w:pPr>
      <w:r>
        <w:rPr>
          <w:rFonts w:hint="eastAsia" w:ascii="黑体" w:hAnsi="宋体" w:eastAsia="黑体" w:cs="黑体"/>
          <w:bCs/>
          <w:i/>
          <w:color w:val="000000"/>
          <w:sz w:val="32"/>
          <w:szCs w:val="32"/>
          <w:u w:val="single"/>
        </w:rPr>
      </w:r>
      <w:r/>
    </w:p>
    <w:p>
      <w:pPr>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br w:type="page" w:clear="all"/>
      </w:r>
      <w:r/>
    </w:p>
    <w:p>
      <w:pPr>
        <w:jc w:val="center"/>
        <w:spacing w:before="240" w:after="240" w:line="85" w:lineRule="atLeast"/>
        <w:rPr>
          <w:rFonts w:hint="eastAsia" w:ascii="黑体" w:hAnsi="宋体" w:eastAsia="黑体" w:cs="黑体"/>
          <w:bCs/>
          <w:i/>
          <w:color w:val="000000"/>
          <w:sz w:val="32"/>
          <w:szCs w:val="32"/>
          <w:u w:val="single"/>
        </w:rPr>
        <w:pBdr>
          <w:top w:val="none" w:color="000000" w:sz="0" w:space="0"/>
          <w:left w:val="none" w:color="000000" w:sz="0" w:space="0"/>
          <w:bottom w:val="none" w:color="000000" w:sz="0" w:space="0"/>
          <w:right w:val="none" w:color="000000" w:sz="0" w:space="0"/>
        </w:pBdr>
      </w:pPr>
      <w:r>
        <w:rPr>
          <w:rFonts w:hint="eastAsia" w:ascii="黑体" w:hAnsi="宋体" w:eastAsia="黑体" w:cs="黑体"/>
          <w:i/>
          <w:color w:val="000000"/>
          <w:sz w:val="32"/>
          <w:szCs w:val="32"/>
          <w:u w:val="single"/>
        </w:rPr>
        <w:t xml:space="preserve">七、法人授权书</w:t>
      </w:r>
      <w:r/>
    </w:p>
    <w:p>
      <w:pPr>
        <w:pStyle w:val="721"/>
        <w:ind w:firstLine="480"/>
        <w:jc w:val="both"/>
        <w:spacing w:beforeAutospacing="0" w:afterAutospacing="0" w:line="560" w:lineRule="exact"/>
        <w:tabs>
          <w:tab w:val="left" w:pos="360" w:leader="none"/>
        </w:tabs>
      </w:pPr>
      <w:r>
        <w:rPr>
          <w:rFonts w:ascii="Times New Roman" w:hAnsi="Times New Roman"/>
          <w:color w:val="000000"/>
        </w:rPr>
        <w:t xml:space="preserve">本授权书声明：____________（投标人名称）授权________________（被授权人的姓名）为我方就</w:t>
      </w:r>
      <w:r>
        <w:rPr>
          <w:rFonts w:hint="eastAsia" w:ascii="宋体" w:hAnsi="宋体" w:eastAsia="宋体" w:cs="宋体"/>
          <w:color w:val="000000"/>
          <w:u w:val="single"/>
        </w:rPr>
        <w:t xml:space="preserve">JSZC-320900-JZCG-2026-0054</w:t>
      </w:r>
      <w:r>
        <w:rPr>
          <w:rFonts w:ascii="Times New Roman" w:hAnsi="Times New Roman"/>
          <w:color w:val="000000"/>
        </w:rPr>
        <w:t xml:space="preserve">号</w:t>
      </w:r>
      <w:r>
        <w:rPr>
          <w:rFonts w:hint="eastAsia" w:ascii="Times New Roman" w:hAnsi="Times New Roman"/>
          <w:color w:val="000000"/>
          <w:u w:val="single"/>
        </w:rPr>
        <w:t xml:space="preserve">盐城市第四人民医院智慧处方点评系统项目</w:t>
      </w:r>
      <w:r>
        <w:rPr>
          <w:rFonts w:ascii="Times New Roman" w:hAnsi="Times New Roman"/>
          <w:color w:val="000000"/>
        </w:rPr>
        <w:t xml:space="preserve">采购活动的合法代理人，以本单位名义全权处理一切与该项目采购有关的事务。</w:t>
      </w:r>
      <w:r/>
    </w:p>
    <w:p>
      <w:pPr>
        <w:pStyle w:val="721"/>
        <w:ind w:firstLine="480"/>
        <w:jc w:val="both"/>
        <w:spacing w:beforeAutospacing="0" w:afterAutospacing="0" w:line="560" w:lineRule="exact"/>
        <w:tabs>
          <w:tab w:val="left" w:pos="360" w:leader="none"/>
        </w:tabs>
      </w:pPr>
      <w:r>
        <w:rPr>
          <w:rFonts w:ascii="Times New Roman" w:hAnsi="Times New Roman"/>
          <w:color w:val="000000"/>
        </w:rPr>
        <w:t xml:space="preserve">本授权书于______年____月____日起生效，特此声明。</w:t>
      </w:r>
      <w:r/>
    </w:p>
    <w:p>
      <w:pPr>
        <w:pStyle w:val="721"/>
        <w:jc w:val="both"/>
        <w:spacing w:beforeAutospacing="0" w:afterAutospacing="0" w:line="560" w:lineRule="exact"/>
        <w:tabs>
          <w:tab w:val="left" w:pos="360" w:leader="none"/>
        </w:tabs>
      </w:pPr>
      <w:r>
        <w:rPr>
          <w:rFonts w:ascii="Times New Roman" w:hAnsi="Times New Roman"/>
          <w:color w:val="000000"/>
        </w:rPr>
        <w:t xml:space="preserve">          被授权人身份证号码：</w:t>
      </w:r>
      <w:r>
        <w:rPr>
          <w:rFonts w:ascii="Times New Roman" w:hAnsi="Times New Roman"/>
          <w:color w:val="000000"/>
          <w:u w:val="single"/>
        </w:rPr>
        <w:t xml:space="preserve">                        </w:t>
      </w:r>
      <w:r>
        <w:rPr>
          <w:rFonts w:hint="eastAsia" w:ascii="Times New Roman" w:hAnsi="Times New Roman" w:eastAsia="宋体"/>
          <w:color w:val="000000"/>
          <w:u w:val="single"/>
        </w:rPr>
        <w:t xml:space="preserve">    </w:t>
      </w:r>
      <w:r>
        <w:rPr>
          <w:rFonts w:ascii="Times New Roman" w:hAnsi="Times New Roman"/>
          <w:color w:val="000000"/>
          <w:u w:val="single"/>
        </w:rPr>
        <w:t xml:space="preserve">      </w:t>
      </w:r>
      <w:r/>
    </w:p>
    <w:p>
      <w:pPr>
        <w:pStyle w:val="721"/>
        <w:jc w:val="both"/>
        <w:spacing w:beforeAutospacing="0" w:afterAutospacing="0" w:line="560" w:lineRule="exact"/>
        <w:tabs>
          <w:tab w:val="left" w:pos="360" w:leader="none"/>
        </w:tabs>
      </w:pPr>
      <w:r>
        <w:rPr>
          <w:rFonts w:ascii="Times New Roman" w:hAnsi="Times New Roman"/>
          <w:color w:val="000000"/>
        </w:rPr>
        <w:t xml:space="preserve">          被授权人联系电话：</w:t>
      </w:r>
      <w:r>
        <w:rPr>
          <w:rFonts w:ascii="Times New Roman" w:hAnsi="Times New Roman"/>
          <w:color w:val="000000"/>
          <w:u w:val="single"/>
        </w:rPr>
        <w:t xml:space="preserve">（手机）                          </w:t>
      </w:r>
      <w:r/>
    </w:p>
    <w:p>
      <w:pPr>
        <w:pStyle w:val="721"/>
        <w:ind w:firstLine="720"/>
        <w:jc w:val="both"/>
        <w:spacing w:beforeAutospacing="0" w:afterAutospacing="0" w:line="560" w:lineRule="exact"/>
        <w:tabs>
          <w:tab w:val="left" w:pos="360" w:leader="none"/>
        </w:tabs>
        <w:rPr>
          <w:rFonts w:eastAsia="宋体"/>
        </w:rPr>
      </w:pPr>
      <w:r>
        <w:rPr>
          <w:rFonts w:ascii="Times New Roman" w:hAnsi="Times New Roman"/>
          <w:color w:val="000000"/>
        </w:rPr>
        <w:t xml:space="preserve">授权单位名称：</w:t>
      </w:r>
      <w:r>
        <w:rPr>
          <w:rFonts w:ascii="Times New Roman" w:hAnsi="Times New Roman"/>
          <w:color w:val="000000"/>
          <w:u w:val="single"/>
        </w:rPr>
        <w:t xml:space="preserve">（加盖CA电子公章）</w:t>
      </w:r>
      <w:r>
        <w:rPr>
          <w:rFonts w:hint="eastAsia" w:ascii="Times New Roman" w:hAnsi="Times New Roman" w:eastAsia="宋体"/>
          <w:color w:val="000000"/>
          <w:u w:val="single"/>
        </w:rPr>
        <w:t xml:space="preserve">     </w:t>
      </w:r>
      <w:r/>
    </w:p>
    <w:p>
      <w:pPr>
        <w:pStyle w:val="721"/>
        <w:ind w:firstLine="480"/>
        <w:jc w:val="both"/>
        <w:spacing w:beforeAutospacing="0" w:afterAutospacing="0" w:line="560" w:lineRule="exact"/>
        <w:tabs>
          <w:tab w:val="left" w:pos="360" w:leader="none"/>
        </w:tabs>
        <w:rPr>
          <w:rFonts w:eastAsia="宋体"/>
        </w:rPr>
      </w:pPr>
      <w:r>
        <w:rPr>
          <w:rFonts w:ascii="Times New Roman" w:hAnsi="Times New Roman"/>
          <w:color w:val="000000"/>
        </w:rPr>
        <w:t xml:space="preserve">    单位地址：</w:t>
      </w:r>
      <w:r>
        <w:rPr>
          <w:rFonts w:ascii="Times New Roman" w:hAnsi="Times New Roman"/>
          <w:color w:val="000000"/>
          <w:u w:val="single"/>
        </w:rPr>
        <w:t xml:space="preserve">                                         </w:t>
      </w:r>
      <w:r>
        <w:rPr>
          <w:rFonts w:hint="eastAsia" w:ascii="Times New Roman" w:hAnsi="Times New Roman" w:eastAsia="宋体"/>
          <w:color w:val="000000"/>
          <w:u w:val="single"/>
        </w:rPr>
        <w:t xml:space="preserve">        </w:t>
      </w:r>
      <w:r/>
    </w:p>
    <w:p>
      <w:pPr>
        <w:pStyle w:val="721"/>
        <w:ind w:firstLine="480"/>
        <w:jc w:val="both"/>
        <w:spacing w:beforeAutospacing="0" w:afterAutospacing="0" w:line="560" w:lineRule="exact"/>
        <w:tabs>
          <w:tab w:val="left" w:pos="360" w:leader="none"/>
        </w:tabs>
      </w:pPr>
      <w:r>
        <w:rPr>
          <w:rFonts w:ascii="Times New Roman" w:hAnsi="Times New Roman"/>
          <w:color w:val="000000"/>
        </w:rPr>
        <w:t xml:space="preserve">    日期：</w:t>
      </w:r>
      <w:bookmarkStart w:id="181" w:name="_Hlt26955070"/>
      <w:r/>
      <w:bookmarkStart w:id="182" w:name="_Hlt26671380"/>
      <w:r/>
      <w:bookmarkStart w:id="183" w:name="_格式3__银行出具的资信证明"/>
      <w:r>
        <w:rPr>
          <w:rFonts w:ascii="Times New Roman" w:hAnsi="Times New Roman"/>
          <w:color w:val="000000"/>
          <w:u w:val="single"/>
        </w:rPr>
        <w:t xml:space="preserve">                   </w:t>
      </w:r>
      <w:r>
        <w:rPr>
          <w:rFonts w:hint="eastAsia" w:ascii="Times New Roman" w:hAnsi="Times New Roman" w:eastAsia="宋体"/>
          <w:color w:val="000000"/>
          <w:u w:val="single"/>
        </w:rPr>
        <w:t xml:space="preserve">         </w:t>
      </w:r>
      <w:r>
        <w:rPr>
          <w:rFonts w:ascii="Times New Roman" w:hAnsi="Times New Roman"/>
          <w:color w:val="000000"/>
          <w:u w:val="single"/>
        </w:rPr>
        <w:t xml:space="preserve">                   </w:t>
      </w:r>
      <w:r>
        <w:rPr>
          <w:rFonts w:hint="eastAsia" w:ascii="Times New Roman" w:hAnsi="Times New Roman" w:eastAsia="宋体"/>
          <w:color w:val="000000"/>
          <w:u w:val="single"/>
        </w:rPr>
        <w:t xml:space="preserve">   </w:t>
      </w:r>
      <w:r>
        <w:rPr>
          <w:rFonts w:ascii="Times New Roman" w:hAnsi="Times New Roman"/>
          <w:color w:val="000000"/>
          <w:u w:val="single"/>
        </w:rPr>
        <w:t xml:space="preserve">   </w:t>
      </w:r>
      <w:r>
        <w:rPr>
          <w:rFonts w:hint="eastAsia" w:eastAsia="宋体"/>
        </w:rPr>
        <w:t xml:space="preserve">   </w:t>
      </w:r>
      <w:r>
        <w:t xml:space="preserve"> </w:t>
      </w:r>
      <w:r/>
    </w:p>
    <w:p>
      <w:pPr>
        <w:pStyle w:val="721"/>
        <w:jc w:val="both"/>
        <w:spacing w:beforeAutospacing="0" w:afterAutospacing="0" w:line="560" w:lineRule="exact"/>
      </w:pPr>
      <w:r>
        <w:t xml:space="preserve"> </w:t>
      </w:r>
      <w:r/>
    </w:p>
    <w:p>
      <w:pPr>
        <w:pStyle w:val="721"/>
        <w:jc w:val="both"/>
        <w:spacing w:beforeAutospacing="0" w:afterAutospacing="0" w:line="560" w:lineRule="exact"/>
      </w:pPr>
      <w:r>
        <w:t xml:space="preserve"> </w:t>
      </w:r>
      <w:r/>
    </w:p>
    <w:p>
      <w:pPr>
        <w:pStyle w:val="721"/>
        <w:jc w:val="both"/>
        <w:spacing w:beforeAutospacing="0" w:afterAutospacing="0" w:line="560" w:lineRule="exact"/>
      </w:pPr>
      <w:r>
        <w:t xml:space="preserve"> </w:t>
      </w:r>
      <w:r/>
    </w:p>
    <w:p>
      <w:pPr>
        <w:ind w:firstLine="480"/>
        <w:jc w:val="center"/>
        <w:spacing w:line="360" w:lineRule="auto"/>
        <w:rPr>
          <w:rFonts w:ascii="黑体" w:hAnsi="Times New Roman" w:eastAsia="黑体" w:cs="黑体"/>
          <w:i/>
          <w:color w:val="000000"/>
          <w:sz w:val="32"/>
          <w:szCs w:val="32"/>
          <w:u w:val="single"/>
        </w:rPr>
      </w:pPr>
      <w:r>
        <w:rPr>
          <w:rFonts w:hint="eastAsia" w:ascii="宋体" w:hAnsi="宋体" w:eastAsia="宋体" w:cs="宋体"/>
          <w:b/>
          <w:color w:val="000000"/>
        </w:rPr>
        <w:br w:type="page" w:clear="all"/>
      </w:r>
      <w:r>
        <w:rPr>
          <w:rFonts w:hint="eastAsia" w:ascii="黑体" w:hAnsi="Times New Roman" w:eastAsia="黑体" w:cs="黑体"/>
          <w:i/>
          <w:color w:val="000000"/>
          <w:sz w:val="32"/>
          <w:szCs w:val="32"/>
          <w:u w:val="single"/>
        </w:rPr>
        <w:t xml:space="preserve">八、投标函</w:t>
      </w:r>
      <w:r/>
    </w:p>
    <w:p>
      <w:pPr>
        <w:pStyle w:val="721"/>
        <w:spacing w:beforeAutospacing="0" w:afterAutospacing="0" w:line="540" w:lineRule="exact"/>
      </w:pPr>
      <w:r>
        <w:rPr>
          <w:rFonts w:hint="eastAsia" w:ascii="宋体" w:hAnsi="宋体" w:eastAsia="宋体" w:cs="宋体"/>
          <w:color w:val="000000"/>
        </w:rPr>
        <w:t xml:space="preserve">致：盐城市政府采购中心</w:t>
      </w:r>
      <w:r/>
    </w:p>
    <w:p>
      <w:pPr>
        <w:pStyle w:val="721"/>
        <w:ind w:firstLine="480"/>
        <w:spacing w:beforeAutospacing="0" w:afterAutospacing="0" w:line="540" w:lineRule="exact"/>
      </w:pPr>
      <w:r>
        <w:rPr>
          <w:rFonts w:hint="eastAsia" w:ascii="宋体" w:hAnsi="宋体" w:eastAsia="宋体" w:cs="宋体"/>
          <w:color w:val="000000"/>
        </w:rPr>
        <w:t xml:space="preserve">根据贵方的</w:t>
      </w:r>
      <w:r>
        <w:rPr>
          <w:rFonts w:hint="eastAsia" w:ascii="宋体" w:hAnsi="宋体" w:eastAsia="宋体" w:cs="宋体"/>
          <w:color w:val="000000"/>
          <w:u w:val="single"/>
          <w:lang w:eastAsia="zh-CN"/>
        </w:rPr>
        <w:t xml:space="preserve">JSZC-320900-JZCG-G2026-0063</w:t>
      </w:r>
      <w:r>
        <w:rPr>
          <w:rFonts w:hint="eastAsia" w:ascii="宋体" w:hAnsi="宋体" w:eastAsia="宋体" w:cs="宋体"/>
          <w:color w:val="000000"/>
        </w:rPr>
        <w:t xml:space="preserve">号招标文件，正式授权下述签字人______(姓名)代表我方______________（投标人的名称），全权处理本次项目投标的有关事宜。</w:t>
      </w:r>
      <w:r/>
    </w:p>
    <w:p>
      <w:pPr>
        <w:pStyle w:val="721"/>
        <w:ind w:firstLine="480"/>
        <w:spacing w:beforeAutospacing="0" w:afterAutospacing="0" w:line="540" w:lineRule="exact"/>
      </w:pPr>
      <w:r>
        <w:rPr>
          <w:rFonts w:hint="eastAsia" w:ascii="宋体" w:hAnsi="宋体" w:eastAsia="宋体" w:cs="宋体"/>
          <w:color w:val="000000"/>
        </w:rPr>
        <w:t xml:space="preserve">据此函，__________签字人兹宣布同意如下：</w:t>
      </w:r>
      <w:r/>
    </w:p>
    <w:p>
      <w:pPr>
        <w:pStyle w:val="721"/>
        <w:ind w:firstLine="480"/>
        <w:spacing w:beforeAutospacing="0" w:afterAutospacing="0" w:line="540" w:lineRule="exact"/>
      </w:pPr>
      <w:r>
        <w:rPr>
          <w:rFonts w:hint="eastAsia" w:ascii="宋体" w:hAnsi="宋体" w:eastAsia="宋体" w:cs="宋体"/>
          <w:color w:val="000000"/>
        </w:rPr>
        <w:t xml:space="preserve">1.按招标文件规定的各项要求，向买方提供所需服务（包含与服务相关的货物）。</w:t>
      </w:r>
      <w:r/>
    </w:p>
    <w:p>
      <w:pPr>
        <w:pStyle w:val="721"/>
        <w:ind w:firstLine="480"/>
        <w:spacing w:beforeAutospacing="0" w:afterAutospacing="0" w:line="540" w:lineRule="exact"/>
      </w:pPr>
      <w:r>
        <w:rPr>
          <w:rFonts w:hint="eastAsia" w:ascii="宋体" w:hAnsi="宋体" w:eastAsia="宋体" w:cs="宋体"/>
          <w:color w:val="000000"/>
        </w:rPr>
        <w:t xml:space="preserve">2.我们完全理解贵方不一定将合同授予最低报价的投标人。</w:t>
      </w:r>
      <w:r/>
    </w:p>
    <w:p>
      <w:pPr>
        <w:pStyle w:val="721"/>
        <w:ind w:firstLine="480"/>
        <w:spacing w:beforeAutospacing="0" w:afterAutospacing="0" w:line="540" w:lineRule="exact"/>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721"/>
        <w:ind w:firstLine="480"/>
        <w:spacing w:beforeAutospacing="0" w:afterAutospacing="0" w:line="540" w:lineRule="exact"/>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721"/>
        <w:ind w:firstLine="480"/>
        <w:spacing w:beforeAutospacing="0" w:afterAutospacing="0" w:line="540" w:lineRule="exact"/>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721"/>
        <w:ind w:firstLine="480"/>
        <w:spacing w:beforeAutospacing="0" w:afterAutospacing="0" w:line="540" w:lineRule="exact"/>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721"/>
        <w:ind w:firstLine="480"/>
        <w:spacing w:beforeAutospacing="0" w:afterAutospacing="0" w:line="540" w:lineRule="exact"/>
      </w:pPr>
      <w:r>
        <w:rPr>
          <w:rFonts w:hint="eastAsia" w:ascii="宋体" w:hAnsi="宋体" w:eastAsia="宋体" w:cs="宋体"/>
          <w:color w:val="000000"/>
        </w:rPr>
        <w:t xml:space="preserve">7.与本投标有关的正式通讯地址为：</w:t>
      </w:r>
      <w:r/>
    </w:p>
    <w:p>
      <w:pPr>
        <w:pStyle w:val="721"/>
        <w:ind w:left="420" w:firstLine="480"/>
        <w:spacing w:beforeAutospacing="0" w:afterAutospacing="0" w:line="540" w:lineRule="exact"/>
      </w:pPr>
      <w:r>
        <w:rPr>
          <w:rFonts w:hint="eastAsia" w:ascii="宋体" w:hAnsi="宋体" w:eastAsia="宋体" w:cs="宋体"/>
          <w:color w:val="000000"/>
        </w:rPr>
        <w:t xml:space="preserve">地      址：</w:t>
      </w:r>
      <w:r/>
    </w:p>
    <w:p>
      <w:pPr>
        <w:pStyle w:val="721"/>
        <w:ind w:left="420" w:firstLine="480"/>
        <w:spacing w:beforeAutospacing="0" w:afterAutospacing="0" w:line="540" w:lineRule="exact"/>
      </w:pPr>
      <w:r>
        <w:rPr>
          <w:rFonts w:hint="eastAsia" w:ascii="宋体" w:hAnsi="宋体" w:eastAsia="宋体" w:cs="宋体"/>
          <w:color w:val="000000"/>
        </w:rPr>
        <w:t xml:space="preserve">邮     编：</w:t>
      </w:r>
      <w:r/>
    </w:p>
    <w:p>
      <w:pPr>
        <w:pStyle w:val="721"/>
        <w:ind w:left="420" w:firstLine="480"/>
        <w:spacing w:beforeAutospacing="0" w:afterAutospacing="0" w:line="540" w:lineRule="exact"/>
      </w:pPr>
      <w:r>
        <w:rPr>
          <w:rFonts w:hint="eastAsia" w:ascii="宋体" w:hAnsi="宋体" w:eastAsia="宋体" w:cs="宋体"/>
          <w:color w:val="000000"/>
        </w:rPr>
        <w:t xml:space="preserve">电     话：</w:t>
      </w:r>
      <w:r/>
    </w:p>
    <w:p>
      <w:pPr>
        <w:pStyle w:val="721"/>
        <w:ind w:left="420" w:firstLine="480"/>
        <w:spacing w:beforeAutospacing="0" w:afterAutospacing="0" w:line="540" w:lineRule="exact"/>
      </w:pPr>
      <w:r>
        <w:rPr>
          <w:rFonts w:hint="eastAsia" w:ascii="宋体" w:hAnsi="宋体" w:eastAsia="宋体" w:cs="宋体"/>
          <w:color w:val="000000"/>
        </w:rPr>
        <w:t xml:space="preserve">传     真：</w:t>
      </w:r>
      <w:r/>
    </w:p>
    <w:p>
      <w:pPr>
        <w:pStyle w:val="721"/>
        <w:ind w:left="420" w:firstLine="480"/>
        <w:spacing w:beforeAutospacing="0" w:afterAutospacing="0" w:line="540" w:lineRule="exact"/>
      </w:pPr>
      <w:r>
        <w:rPr>
          <w:rFonts w:hint="eastAsia" w:ascii="宋体" w:hAnsi="宋体" w:eastAsia="宋体" w:cs="宋体"/>
          <w:color w:val="000000"/>
        </w:rPr>
        <w:t xml:space="preserve">投标人开户行：</w:t>
      </w:r>
      <w:r/>
    </w:p>
    <w:p>
      <w:pPr>
        <w:pStyle w:val="721"/>
        <w:ind w:left="420" w:firstLine="480"/>
        <w:spacing w:beforeAutospacing="0" w:afterAutospacing="0" w:line="540" w:lineRule="exact"/>
      </w:pPr>
      <w:r>
        <w:rPr>
          <w:rFonts w:hint="eastAsia" w:ascii="宋体" w:hAnsi="宋体" w:eastAsia="宋体" w:cs="宋体"/>
          <w:color w:val="000000"/>
        </w:rPr>
        <w:t xml:space="preserve">账      号： </w:t>
      </w:r>
      <w:r/>
    </w:p>
    <w:p>
      <w:pPr>
        <w:pStyle w:val="721"/>
        <w:ind w:left="420" w:firstLine="480"/>
        <w:spacing w:beforeAutospacing="0" w:afterAutospacing="0" w:line="540" w:lineRule="exact"/>
        <w:rPr>
          <w:rFonts w:hint="eastAsia" w:ascii="黑体" w:hAnsi="宋体" w:eastAsia="黑体" w:cs="黑体"/>
          <w:b/>
          <w:sz w:val="32"/>
          <w:szCs w:val="32"/>
        </w:rPr>
      </w:pPr>
      <w:r>
        <w:rPr>
          <w:rFonts w:hint="eastAsia" w:ascii="宋体" w:hAnsi="宋体" w:eastAsia="宋体" w:cs="宋体"/>
          <w:color w:val="000000"/>
        </w:rPr>
        <w:t xml:space="preserve">日     期：________年____月____日</w:t>
      </w:r>
      <w:r/>
    </w:p>
    <w:p>
      <w:pPr>
        <w:pStyle w:val="721"/>
        <w:jc w:val="center"/>
        <w:spacing w:beforeAutospacing="0" w:afterAutospacing="0" w:line="560" w:lineRule="exact"/>
        <w:rPr>
          <w:rFonts w:ascii="黑体" w:hAnsi="Times New Roman" w:eastAsia="黑体" w:cs="黑体"/>
          <w:i/>
          <w:color w:val="000000"/>
          <w:sz w:val="32"/>
          <w:szCs w:val="32"/>
          <w:u w:val="single"/>
        </w:rPr>
      </w:pPr>
      <w:r>
        <w:rPr>
          <w:rFonts w:hint="eastAsia" w:ascii="黑体" w:hAnsi="Times New Roman" w:eastAsia="黑体" w:cs="黑体"/>
          <w:i/>
          <w:color w:val="000000"/>
          <w:sz w:val="32"/>
          <w:szCs w:val="32"/>
          <w:u w:val="single"/>
        </w:rPr>
        <w:t xml:space="preserve">九、中小企业声明函（服务）</w:t>
      </w:r>
      <w:r/>
    </w:p>
    <w:p>
      <w:pPr>
        <w:ind w:firstLine="482"/>
        <w:jc w:val="left"/>
        <w:spacing w:line="560" w:lineRule="exact"/>
        <w:widowControl/>
        <w:rPr>
          <w:rFonts w:hint="eastAsia" w:ascii="宋体" w:hAnsi="宋体" w:eastAsia="宋体" w:cs="宋体"/>
          <w:sz w:val="24"/>
        </w:rPr>
      </w:pPr>
      <w:r>
        <w:rPr>
          <w:rFonts w:hint="eastAsia" w:ascii="宋体" w:hAnsi="宋体" w:eastAsia="宋体" w:cs="宋体"/>
          <w:sz w:val="24"/>
        </w:rPr>
        <w:t xml:space="preserve">本公司（联合体）郑重声明，根据《政府采购促进中小企业发展管理办法》（财库﹝2020﹞46 号）的规定，本公司（联合体）参加盐城市政府采购中心组织的</w:t>
      </w:r>
      <w:r>
        <w:rPr>
          <w:rFonts w:hint="eastAsia" w:ascii="宋体" w:hAnsi="宋体" w:eastAsia="宋体" w:cs="宋体"/>
          <w:sz w:val="24"/>
          <w:u w:val="single"/>
        </w:rPr>
        <w:t xml:space="preserve">盐城市第四人民医院</w:t>
      </w:r>
      <w:r>
        <w:rPr>
          <w:rFonts w:hint="eastAsia" w:ascii="宋体" w:hAnsi="宋体" w:eastAsia="宋体" w:cs="宋体"/>
          <w:sz w:val="24"/>
          <w:szCs w:val="20"/>
        </w:rPr>
        <w:t xml:space="preserve">，</w:t>
      </w:r>
      <w:r>
        <w:rPr>
          <w:rFonts w:hint="eastAsia" w:ascii="宋体" w:hAnsi="宋体" w:eastAsia="宋体" w:cs="宋体"/>
          <w:sz w:val="24"/>
        </w:rPr>
        <w:t xml:space="preserve">采购编号为</w:t>
      </w:r>
      <w:r>
        <w:rPr>
          <w:rFonts w:hint="eastAsia" w:ascii="宋体" w:hAnsi="宋体" w:eastAsia="宋体" w:cs="宋体"/>
          <w:sz w:val="24"/>
          <w:u w:val="single"/>
          <w:lang w:eastAsia="zh-CN"/>
        </w:rPr>
        <w:t xml:space="preserve">JSZC-320900-JZCG-G2026-0063</w:t>
      </w:r>
      <w:r>
        <w:rPr>
          <w:rFonts w:hint="eastAsia" w:ascii="宋体" w:hAnsi="宋体" w:eastAsia="宋体" w:cs="宋体"/>
          <w:sz w:val="24"/>
        </w:rPr>
        <w:t xml:space="preserve">的</w:t>
      </w:r>
      <w:r>
        <w:rPr>
          <w:rFonts w:hint="eastAsia" w:ascii="宋体" w:hAnsi="宋体" w:eastAsia="宋体" w:cs="宋体"/>
          <w:color w:val="000000"/>
          <w:sz w:val="24"/>
          <w:szCs w:val="20"/>
          <w:u w:val="single"/>
        </w:rPr>
        <w:t xml:space="preserve">盐城市第四人民医院智慧处方点评系统项目</w:t>
      </w:r>
      <w:r>
        <w:rPr>
          <w:rFonts w:hint="eastAsia" w:ascii="宋体" w:hAnsi="宋体" w:eastAsia="宋体" w:cs="宋体"/>
          <w:color w:val="000000"/>
          <w:sz w:val="24"/>
          <w:szCs w:val="20"/>
        </w:rPr>
        <w:t xml:space="preserve">的</w:t>
      </w:r>
      <w:r>
        <w:rPr>
          <w:rFonts w:hint="eastAsia" w:ascii="宋体" w:hAnsi="宋体" w:eastAsia="宋体" w:cs="宋体"/>
          <w:sz w:val="24"/>
        </w:rPr>
        <w:t xml:space="preserve">采购活动，服务全部由符合政策要求的中小企业承接。相关企业（含联合体中的中小企业、签订分包意向协议的中小企业）的具体情况如下：</w:t>
      </w:r>
      <w:r/>
    </w:p>
    <w:p>
      <w:pPr>
        <w:numPr>
          <w:ilvl w:val="0"/>
          <w:numId w:val="2"/>
        </w:numPr>
        <w:ind w:firstLine="480"/>
        <w:spacing w:line="560" w:lineRule="exact"/>
        <w:rPr>
          <w:rFonts w:hint="eastAsia" w:ascii="宋体" w:hAnsi="宋体" w:eastAsia="宋体" w:cs="宋体"/>
          <w:sz w:val="24"/>
        </w:rPr>
      </w:pPr>
      <w:r>
        <w:rPr>
          <w:rFonts w:hint="eastAsia" w:ascii="宋体" w:hAnsi="宋体" w:eastAsia="宋体" w:cs="宋体"/>
          <w:i/>
          <w:iCs/>
          <w:sz w:val="24"/>
          <w:u w:val="single"/>
        </w:rPr>
        <w:t xml:space="preserve">（标的名称）</w:t>
      </w:r>
      <w:r>
        <w:rPr>
          <w:rFonts w:hint="eastAsia" w:ascii="宋体" w:hAnsi="宋体" w:eastAsia="宋体" w:cs="宋体"/>
          <w:sz w:val="24"/>
        </w:rPr>
        <w:t xml:space="preserve"> ，属于</w:t>
      </w:r>
      <w:r>
        <w:rPr>
          <w:rFonts w:hint="eastAsia" w:ascii="宋体" w:hAnsi="宋体" w:eastAsia="宋体" w:cs="宋体"/>
          <w:i/>
          <w:iCs/>
          <w:sz w:val="24"/>
          <w:u w:val="single"/>
        </w:rPr>
        <w:t xml:space="preserve">（采购文件中明确的所属行业）</w:t>
      </w:r>
      <w:r>
        <w:rPr>
          <w:rFonts w:hint="eastAsia" w:ascii="宋体" w:hAnsi="宋体" w:eastAsia="宋体" w:cs="宋体"/>
          <w:sz w:val="24"/>
        </w:rPr>
        <w:t xml:space="preserve">；承建（承接）企业为</w:t>
      </w:r>
      <w:r>
        <w:rPr>
          <w:rFonts w:hint="eastAsia" w:ascii="宋体" w:hAnsi="宋体" w:eastAsia="宋体" w:cs="宋体"/>
          <w:i/>
          <w:iCs/>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i/>
          <w:iCs/>
          <w:sz w:val="24"/>
          <w:u w:val="single"/>
        </w:rPr>
        <w:t xml:space="preserve">中型企业、小型企业、微型企业</w:t>
      </w:r>
      <w:r>
        <w:rPr>
          <w:rFonts w:hint="eastAsia" w:ascii="宋体" w:hAnsi="宋体" w:eastAsia="宋体" w:cs="宋体"/>
          <w:sz w:val="24"/>
        </w:rPr>
        <w:t xml:space="preserve">）；</w:t>
      </w:r>
      <w:r/>
    </w:p>
    <w:p>
      <w:pPr>
        <w:numPr>
          <w:ilvl w:val="0"/>
          <w:numId w:val="2"/>
        </w:numPr>
        <w:ind w:firstLine="480"/>
        <w:spacing w:line="560" w:lineRule="exact"/>
        <w:rPr>
          <w:sz w:val="24"/>
        </w:rPr>
      </w:pPr>
      <w:r>
        <w:rPr>
          <w:rFonts w:hint="eastAsia"/>
          <w:i/>
          <w:iCs/>
          <w:sz w:val="24"/>
          <w:u w:val="single"/>
        </w:rPr>
        <w:t xml:space="preserve">（标的名称）</w:t>
      </w:r>
      <w:r>
        <w:rPr>
          <w:rFonts w:hint="eastAsia"/>
          <w:sz w:val="24"/>
        </w:rPr>
        <w:t xml:space="preserve"> ，属于</w:t>
      </w:r>
      <w:r>
        <w:rPr>
          <w:rFonts w:hint="eastAsia"/>
          <w:i/>
          <w:iCs/>
          <w:sz w:val="24"/>
          <w:u w:val="single"/>
        </w:rPr>
        <w:t xml:space="preserve">（采购文件中明确的所属行业）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ind w:firstLine="480"/>
        <w:spacing w:line="560" w:lineRule="exact"/>
        <w:rPr>
          <w:sz w:val="24"/>
        </w:rPr>
      </w:pPr>
      <w:r>
        <w:rPr>
          <w:rFonts w:hint="eastAsia"/>
          <w:sz w:val="24"/>
        </w:rPr>
        <w:t xml:space="preserve">……</w:t>
      </w:r>
      <w:r/>
    </w:p>
    <w:p>
      <w:pPr>
        <w:ind w:firstLine="480"/>
        <w:spacing w:line="560" w:lineRule="exact"/>
        <w:rPr>
          <w:sz w:val="24"/>
        </w:rPr>
      </w:pPr>
      <w:r>
        <w:rPr>
          <w:rFonts w:hint="eastAsia"/>
          <w:sz w:val="24"/>
        </w:rPr>
        <w:t xml:space="preserve">以上企业，不属于大企业的分支机构，不存在控股股东为大企业的情形，也不存在与大企业的负责人为同一人的情形。</w:t>
      </w:r>
      <w:r/>
    </w:p>
    <w:p>
      <w:pPr>
        <w:ind w:firstLine="480"/>
        <w:spacing w:line="560" w:lineRule="exact"/>
        <w:rPr>
          <w:sz w:val="24"/>
        </w:rPr>
      </w:pPr>
      <w:r>
        <w:rPr>
          <w:rFonts w:hint="eastAsia"/>
          <w:sz w:val="24"/>
        </w:rPr>
        <w:t xml:space="preserve">本企业对上述声明内容的真实性负责。如有虚假，将依法承担相应责任。</w:t>
      </w:r>
      <w:r/>
    </w:p>
    <w:p>
      <w:pPr>
        <w:pStyle w:val="721"/>
        <w:ind w:right="720"/>
        <w:jc w:val="both"/>
        <w:spacing w:beforeAutospacing="0" w:afterAutospacing="0" w:line="560" w:lineRule="exact"/>
      </w:pPr>
      <w:r>
        <w:t xml:space="preserve"> </w:t>
      </w:r>
      <w:r/>
    </w:p>
    <w:p>
      <w:pPr>
        <w:pStyle w:val="721"/>
        <w:ind w:right="180" w:firstLine="360"/>
        <w:jc w:val="right"/>
        <w:spacing w:beforeAutospacing="0" w:afterAutospacing="0" w:line="560" w:lineRule="exact"/>
      </w:pPr>
      <w:r>
        <w:rPr>
          <w:rFonts w:hint="eastAsia" w:ascii="宋体" w:hAnsi="宋体" w:eastAsia="宋体" w:cs="宋体"/>
        </w:rPr>
        <w:t xml:space="preserve">企业名称（加盖CA电子公章）：</w:t>
      </w:r>
      <w:r/>
    </w:p>
    <w:p>
      <w:pPr>
        <w:pStyle w:val="721"/>
        <w:ind w:right="480" w:firstLine="5400"/>
        <w:jc w:val="both"/>
        <w:spacing w:beforeAutospacing="0" w:afterAutospacing="0" w:line="560" w:lineRule="exact"/>
      </w:pPr>
      <w:r>
        <w:rPr>
          <w:rFonts w:hint="eastAsia" w:ascii="宋体" w:hAnsi="宋体" w:eastAsia="宋体" w:cs="宋体"/>
        </w:rPr>
        <w:t xml:space="preserve">日  期：</w:t>
      </w:r>
      <w:r/>
    </w:p>
    <w:p>
      <w:pPr>
        <w:pStyle w:val="721"/>
        <w:ind w:firstLine="480"/>
        <w:jc w:val="both"/>
        <w:spacing w:beforeAutospacing="0" w:afterAutospacing="0" w:line="560" w:lineRule="exact"/>
      </w:pPr>
      <w:r>
        <w:rPr>
          <w:rFonts w:hint="eastAsia" w:ascii="宋体" w:hAnsi="宋体" w:eastAsia="宋体" w:cs="宋体"/>
        </w:rPr>
        <w:t xml:space="preserve">备注1：从业人员、营业收入、资产总额填报上一年度数据，无上一年度数据的新成立企业可不填报。</w:t>
      </w:r>
      <w:r/>
    </w:p>
    <w:p>
      <w:pPr>
        <w:pStyle w:val="721"/>
        <w:ind w:firstLine="480"/>
        <w:jc w:val="both"/>
        <w:spacing w:beforeAutospacing="0" w:afterAutospacing="0" w:line="560" w:lineRule="exact"/>
      </w:pPr>
      <w:r>
        <w:rPr>
          <w:rFonts w:hint="eastAsia" w:ascii="宋体" w:hAnsi="宋体" w:eastAsia="宋体" w:cs="宋体"/>
        </w:rPr>
        <w:t xml:space="preserve">备注2：供应商如不提供此声明函，价格将不做相应扣除（如项目全面面向中小企业，则资格审查不通过）。</w:t>
      </w:r>
      <w:r/>
    </w:p>
    <w:p>
      <w:pPr>
        <w:pStyle w:val="721"/>
        <w:jc w:val="center"/>
        <w:spacing w:beforeAutospacing="0" w:afterAutospacing="0" w:line="560" w:lineRule="exact"/>
      </w:pPr>
      <w:r>
        <w:rPr>
          <w:rFonts w:hint="eastAsia" w:ascii="黑体" w:hAnsi="宋体" w:eastAsia="黑体" w:cs="黑体"/>
          <w:b/>
          <w:sz w:val="32"/>
          <w:szCs w:val="32"/>
        </w:rPr>
        <w:br w:type="page" w:clear="all"/>
      </w:r>
      <w:r>
        <w:rPr>
          <w:rFonts w:hint="eastAsia" w:ascii="黑体" w:hAnsi="Times New Roman" w:eastAsia="黑体" w:cs="黑体"/>
          <w:i/>
          <w:color w:val="000000"/>
          <w:sz w:val="32"/>
          <w:szCs w:val="32"/>
          <w:u w:val="single"/>
        </w:rPr>
        <w:t xml:space="preserve">十、残疾人福利性单位声明函</w:t>
      </w:r>
      <w:r/>
    </w:p>
    <w:p>
      <w:pPr>
        <w:pStyle w:val="721"/>
        <w:ind w:firstLine="480"/>
        <w:jc w:val="both"/>
        <w:spacing w:beforeAutospacing="0" w:afterAutospacing="0" w:line="560" w:lineRule="exact"/>
        <w:rPr>
          <w:highlight w:val="yellow"/>
        </w:rPr>
      </w:pPr>
      <w:r>
        <w:rPr>
          <w:rFonts w:hint="eastAsia"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u w:val="single"/>
        </w:rPr>
        <w:t xml:space="preserve">盐城市第四人民医院</w:t>
      </w:r>
      <w:r>
        <w:rPr>
          <w:rFonts w:hint="eastAsia" w:ascii="宋体" w:hAnsi="宋体" w:eastAsia="宋体" w:cs="宋体"/>
          <w:color w:val="000000"/>
        </w:rPr>
        <w:t xml:space="preserve">单位的采购文件编号为</w:t>
      </w:r>
      <w:r>
        <w:rPr>
          <w:rFonts w:hint="eastAsia" w:ascii="宋体" w:hAnsi="宋体" w:eastAsia="宋体" w:cs="宋体"/>
          <w:u w:val="single"/>
          <w:lang w:eastAsia="zh-CN"/>
        </w:rPr>
        <w:t xml:space="preserve">JSZC-320900-JZCG-G2026-0063</w:t>
      </w:r>
      <w:r>
        <w:rPr>
          <w:rFonts w:hint="eastAsia" w:ascii="宋体" w:hAnsi="宋体" w:eastAsia="宋体" w:cs="宋体"/>
          <w:color w:val="000000"/>
        </w:rPr>
        <w:t xml:space="preserve">的</w:t>
      </w:r>
      <w:r>
        <w:rPr>
          <w:rFonts w:hint="eastAsia" w:ascii="宋体" w:hAnsi="宋体" w:eastAsia="宋体" w:cs="宋体"/>
          <w:color w:val="000000"/>
          <w:szCs w:val="20"/>
          <w:u w:val="single"/>
        </w:rPr>
        <w:t xml:space="preserve">盐城市第四人民医院智慧处方点评系统项目</w:t>
      </w:r>
      <w:r>
        <w:rPr>
          <w:rFonts w:hint="eastAsia" w:ascii="宋体" w:hAnsi="宋体" w:eastAsia="宋体" w:cs="宋体"/>
          <w:color w:val="000000"/>
        </w:rPr>
        <w:t xml:space="preserve">采购活动由本单位提供服务。</w:t>
      </w:r>
      <w:r/>
    </w:p>
    <w:p>
      <w:pPr>
        <w:pStyle w:val="721"/>
        <w:ind w:firstLine="480"/>
        <w:jc w:val="both"/>
        <w:spacing w:beforeAutospacing="0" w:afterAutospacing="0" w:line="560" w:lineRule="exact"/>
      </w:pPr>
      <w:r>
        <w:rPr>
          <w:rFonts w:hint="eastAsia" w:ascii="宋体" w:hAnsi="宋体" w:eastAsia="宋体" w:cs="宋体"/>
          <w:color w:val="000000"/>
        </w:rPr>
        <w:t xml:space="preserve">本单位对上述声明的真实性负责。如有虚假，将依法承担相应责任。</w:t>
      </w:r>
      <w:r/>
    </w:p>
    <w:p>
      <w:pPr>
        <w:pStyle w:val="721"/>
        <w:ind w:firstLine="480"/>
        <w:jc w:val="both"/>
        <w:spacing w:beforeAutospacing="0" w:afterAutospacing="0" w:line="560" w:lineRule="exact"/>
      </w:pPr>
      <w:r>
        <w:t xml:space="preserve"> </w:t>
      </w:r>
      <w:r/>
    </w:p>
    <w:p>
      <w:pPr>
        <w:pStyle w:val="721"/>
        <w:ind w:firstLine="480"/>
        <w:jc w:val="both"/>
        <w:spacing w:beforeAutospacing="0" w:afterAutospacing="0" w:line="560" w:lineRule="exact"/>
        <w:rPr>
          <w:rFonts w:eastAsia="宋体"/>
        </w:rPr>
      </w:pPr>
      <w:r>
        <w:rPr>
          <w:rFonts w:hint="eastAsia" w:ascii="宋体" w:hAnsi="宋体" w:eastAsia="宋体" w:cs="宋体"/>
          <w:color w:val="000000"/>
        </w:rPr>
        <w:t xml:space="preserve">备注：1、供应商如不提供此声明函，价格将不做相应扣除（如项目全面面向中小企业，则资格审查不通过）。</w:t>
      </w:r>
      <w:r/>
    </w:p>
    <w:p>
      <w:pPr>
        <w:pStyle w:val="721"/>
        <w:ind w:firstLine="480"/>
        <w:jc w:val="both"/>
        <w:spacing w:beforeAutospacing="0" w:afterAutospacing="0" w:line="560" w:lineRule="exact"/>
      </w:pPr>
      <w:r>
        <w:rPr>
          <w:rFonts w:hint="eastAsia" w:ascii="宋体" w:hAnsi="宋体" w:eastAsia="宋体" w:cs="宋体"/>
          <w:color w:val="000000"/>
        </w:rPr>
        <w:t xml:space="preserve">2、中标人为残疾人福利单位的，此声明函将随中标结果同时公告，接受社会监督</w:t>
      </w:r>
      <w:r/>
    </w:p>
    <w:p>
      <w:pPr>
        <w:pStyle w:val="721"/>
        <w:ind w:firstLine="624"/>
        <w:jc w:val="both"/>
        <w:spacing w:beforeAutospacing="0" w:afterAutospacing="0" w:line="560" w:lineRule="exact"/>
      </w:pPr>
      <w:r>
        <w:t xml:space="preserve"> </w:t>
      </w:r>
      <w:r/>
    </w:p>
    <w:p>
      <w:pPr>
        <w:pStyle w:val="721"/>
        <w:ind w:right="1560" w:firstLine="624"/>
        <w:jc w:val="center"/>
        <w:spacing w:beforeAutospacing="0" w:afterAutospacing="0" w:line="560" w:lineRule="exact"/>
        <w:tabs>
          <w:tab w:val="left" w:pos="4864" w:leader="none"/>
        </w:tabs>
      </w:pP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721"/>
        <w:ind w:right="1560" w:firstLine="480"/>
        <w:jc w:val="center"/>
        <w:spacing w:beforeAutospacing="0" w:afterAutospacing="0" w:line="560" w:lineRule="exact"/>
        <w:tabs>
          <w:tab w:val="left" w:pos="4864" w:leader="none"/>
        </w:tabs>
      </w:pPr>
      <w:r>
        <w:rPr>
          <w:rFonts w:hint="eastAsia" w:ascii="宋体" w:hAnsi="宋体" w:eastAsia="宋体" w:cs="宋体"/>
          <w:color w:val="000000"/>
        </w:rPr>
        <w:t xml:space="preserve">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日  期：</w:t>
      </w:r>
      <w:r/>
    </w:p>
    <w:p>
      <w:pPr>
        <w:pStyle w:val="721"/>
        <w:jc w:val="center"/>
        <w:spacing w:beforeAutospacing="0" w:afterAutospacing="0" w:line="560" w:lineRule="exact"/>
      </w:pPr>
      <w:r>
        <w:t xml:space="preserve"> </w:t>
      </w:r>
      <w:r/>
    </w:p>
    <w:p>
      <w:pPr>
        <w:pStyle w:val="721"/>
        <w:jc w:val="center"/>
        <w:spacing w:beforeAutospacing="0" w:afterAutospacing="0" w:line="560" w:lineRule="exact"/>
      </w:pPr>
      <w:r>
        <w:t xml:space="preserve"> </w:t>
      </w:r>
      <w:r/>
    </w:p>
    <w:p>
      <w:pPr>
        <w:pStyle w:val="721"/>
        <w:jc w:val="center"/>
        <w:spacing w:beforeAutospacing="0" w:afterAutospacing="0" w:line="560" w:lineRule="exact"/>
      </w:pPr>
      <w:r>
        <w:t xml:space="preserve"> </w:t>
      </w:r>
      <w:r/>
    </w:p>
    <w:p>
      <w:pPr>
        <w:pStyle w:val="721"/>
        <w:jc w:val="center"/>
        <w:spacing w:beforeAutospacing="0" w:afterAutospacing="0" w:line="560" w:lineRule="exact"/>
      </w:pPr>
      <w:r>
        <w:t xml:space="preserve"> </w:t>
      </w:r>
      <w:r/>
    </w:p>
    <w:p>
      <w:pPr>
        <w:pStyle w:val="721"/>
        <w:jc w:val="center"/>
        <w:spacing w:beforeAutospacing="0" w:afterAutospacing="0" w:line="560" w:lineRule="exact"/>
      </w:pPr>
      <w:r>
        <w:t xml:space="preserve"> </w:t>
      </w:r>
      <w:r/>
    </w:p>
    <w:p>
      <w:pPr>
        <w:pStyle w:val="721"/>
        <w:jc w:val="center"/>
        <w:spacing w:beforeAutospacing="0" w:afterAutospacing="0" w:line="560" w:lineRule="exact"/>
      </w:pPr>
      <w:r>
        <w:t xml:space="preserve"> </w:t>
      </w:r>
      <w:r/>
    </w:p>
    <w:p>
      <w:pPr>
        <w:pStyle w:val="721"/>
        <w:jc w:val="center"/>
        <w:spacing w:beforeAutospacing="0" w:afterAutospacing="0" w:line="560" w:lineRule="exact"/>
      </w:pPr>
      <w:r>
        <w:t xml:space="preserve"> </w:t>
      </w:r>
      <w:r/>
    </w:p>
    <w:p>
      <w:pPr>
        <w:pStyle w:val="721"/>
        <w:jc w:val="center"/>
        <w:spacing w:beforeAutospacing="0" w:afterAutospacing="0" w:line="560" w:lineRule="exact"/>
      </w:pPr>
      <w:r>
        <w:t xml:space="preserve"> </w:t>
      </w:r>
      <w:r/>
    </w:p>
    <w:p>
      <w:pPr>
        <w:spacing w:line="560" w:lineRule="exac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721"/>
        <w:jc w:val="center"/>
        <w:spacing w:beforeAutospacing="0" w:afterAutospacing="0" w:line="560" w:lineRule="exact"/>
        <w:rPr>
          <w:rFonts w:hint="eastAsia" w:ascii="黑体" w:hAnsi="Times New Roman" w:eastAsia="黑体" w:cs="黑体"/>
          <w:i/>
          <w:color w:val="000000"/>
          <w:sz w:val="32"/>
          <w:szCs w:val="32"/>
          <w:u w:val="single"/>
        </w:rPr>
      </w:pPr>
      <w:r>
        <w:rPr>
          <w:rFonts w:hint="eastAsia" w:ascii="黑体" w:hAnsi="Times New Roman" w:eastAsia="黑体" w:cs="黑体"/>
          <w:i/>
          <w:color w:val="000000"/>
          <w:sz w:val="32"/>
          <w:szCs w:val="32"/>
          <w:u w:val="single"/>
        </w:rPr>
      </w:r>
      <w:r/>
    </w:p>
    <w:p>
      <w:pPr>
        <w:pStyle w:val="721"/>
        <w:jc w:val="center"/>
        <w:spacing w:beforeAutospacing="0" w:afterAutospacing="0" w:line="560" w:lineRule="exact"/>
        <w:rPr>
          <w:rFonts w:ascii="黑体" w:hAnsi="Times New Roman" w:eastAsia="黑体" w:cs="黑体"/>
          <w:i/>
          <w:color w:val="000000"/>
          <w:sz w:val="32"/>
          <w:szCs w:val="32"/>
          <w:u w:val="single"/>
        </w:rPr>
      </w:pPr>
      <w:r/>
      <w:bookmarkStart w:id="198" w:name="_GoBack"/>
      <w:r/>
      <w:bookmarkEnd w:id="198"/>
      <w:r>
        <w:rPr>
          <w:rFonts w:hint="eastAsia" w:ascii="黑体" w:hAnsi="Times New Roman" w:eastAsia="黑体" w:cs="黑体"/>
          <w:i/>
          <w:color w:val="000000"/>
          <w:sz w:val="32"/>
          <w:szCs w:val="32"/>
          <w:u w:val="single"/>
        </w:rPr>
        <w:t xml:space="preserve">十一、投标分项报价表</w:t>
      </w:r>
      <w:r/>
    </w:p>
    <w:tbl>
      <w:tblPr>
        <w:tblStyle w:val="698"/>
        <w:tblW w:w="88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56"/>
        <w:gridCol w:w="1260"/>
        <w:gridCol w:w="1247"/>
        <w:gridCol w:w="909"/>
        <w:gridCol w:w="1169"/>
        <w:gridCol w:w="1555"/>
        <w:gridCol w:w="1721"/>
      </w:tblGrid>
      <w:tr>
        <w:trPr>
          <w:tblCellSpacing w:w="0" w:type="dxa"/>
          <w:trHeight w:val="588"/>
        </w:trPr>
        <w:tc>
          <w:tcPr>
            <w:tcBorders>
              <w:top w:val="single" w:color="000000" w:sz="4" w:space="0"/>
              <w:left w:val="single" w:color="000000" w:sz="4" w:space="0"/>
              <w:bottom w:val="single" w:color="000000" w:sz="4" w:space="0"/>
              <w:right w:val="single" w:color="000000" w:sz="4" w:space="0"/>
            </w:tcBorders>
            <w:tcW w:w="956" w:type="dxa"/>
            <w:vAlign w:val="center"/>
            <w:vMerge w:val="restart"/>
            <w:textDirection w:val="lrTb"/>
            <w:noWrap w:val="false"/>
          </w:tcPr>
          <w:p>
            <w:pPr>
              <w:pStyle w:val="721"/>
              <w:jc w:val="center"/>
              <w:spacing w:beforeAutospacing="0" w:afterAutospacing="0" w:line="560" w:lineRule="exact"/>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21"/>
              <w:jc w:val="center"/>
              <w:spacing w:beforeAutospacing="0" w:afterAutospacing="0" w:line="560" w:lineRule="exact"/>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line="560" w:lineRule="exact"/>
            </w:pPr>
            <w:r>
              <w:rPr>
                <w:rFonts w:hint="eastAsia" w:ascii="宋体" w:hAnsi="宋体" w:eastAsia="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721"/>
              <w:jc w:val="center"/>
              <w:spacing w:beforeAutospacing="0" w:afterAutospacing="0" w:line="560" w:lineRule="exact"/>
            </w:pPr>
            <w:r>
              <w:rPr>
                <w:rFonts w:hint="eastAsia" w:ascii="宋体" w:hAnsi="宋体" w:eastAsia="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pStyle w:val="721"/>
              <w:jc w:val="center"/>
              <w:spacing w:beforeAutospacing="0" w:afterAutospacing="0" w:line="560" w:lineRule="exact"/>
            </w:pPr>
            <w:r>
              <w:rPr>
                <w:rFonts w:hint="eastAsia" w:ascii="宋体" w:hAnsi="宋体" w:eastAsia="宋体"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pStyle w:val="721"/>
              <w:jc w:val="center"/>
              <w:spacing w:beforeAutospacing="0" w:afterAutospacing="0" w:line="560" w:lineRule="exact"/>
            </w:pPr>
            <w:r>
              <w:rPr>
                <w:rFonts w:hint="eastAsia" w:ascii="宋体" w:hAnsi="宋体" w:eastAsia="宋体" w:cs="宋体"/>
                <w:color w:val="000000"/>
              </w:rPr>
              <w:t xml:space="preserve">5</w:t>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pStyle w:val="721"/>
              <w:jc w:val="center"/>
              <w:spacing w:beforeAutospacing="0" w:afterAutospacing="0" w:line="560" w:lineRule="exact"/>
            </w:pPr>
            <w:r>
              <w:rPr>
                <w:rFonts w:hint="eastAsia" w:ascii="宋体" w:hAnsi="宋体" w:eastAsia="宋体" w:cs="宋体"/>
                <w:color w:val="000000"/>
              </w:rPr>
              <w:t xml:space="preserve">6</w:t>
            </w:r>
            <w:r/>
          </w:p>
        </w:tc>
      </w:tr>
      <w:tr>
        <w:trPr>
          <w:tblCellSpacing w:w="0" w:type="dxa"/>
          <w:trHeight w:val="1155"/>
        </w:trPr>
        <w:tc>
          <w:tcPr>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spacing w:line="560" w:lineRule="exact"/>
              <w:rPr>
                <w:rFonts w:ascii="宋体"/>
                <w:sz w:val="24"/>
              </w:rPr>
            </w:pPr>
            <w:r>
              <w:rPr>
                <w:rFonts w:ascii="宋体"/>
                <w:sz w:val="24"/>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21"/>
              <w:jc w:val="center"/>
              <w:spacing w:beforeAutospacing="0" w:afterAutospacing="0" w:line="560" w:lineRule="exact"/>
            </w:pPr>
            <w:r>
              <w:rPr>
                <w:rFonts w:hint="eastAsia" w:ascii="宋体" w:hAnsi="宋体" w:eastAsia="宋体" w:cs="宋体"/>
                <w:color w:val="000000"/>
              </w:rPr>
              <w:t xml:space="preserve">分项服务名称</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line="560" w:lineRule="exact"/>
            </w:pPr>
            <w:r>
              <w:rPr>
                <w:rFonts w:hint="eastAsia" w:ascii="宋体" w:hAnsi="宋体" w:eastAsia="宋体" w:cs="宋体"/>
                <w:color w:val="000000"/>
              </w:rPr>
              <w:t xml:space="preserve">交付期</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721"/>
              <w:jc w:val="center"/>
              <w:spacing w:beforeAutospacing="0" w:afterAutospacing="0" w:line="560" w:lineRule="exact"/>
            </w:pPr>
            <w:r>
              <w:rPr>
                <w:rFonts w:hint="eastAsia" w:ascii="宋体" w:hAnsi="宋体" w:eastAsia="宋体" w:cs="宋体"/>
                <w:color w:val="000000"/>
              </w:rPr>
              <w:t xml:space="preserve">分项单位</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pStyle w:val="721"/>
              <w:jc w:val="center"/>
              <w:spacing w:beforeAutospacing="0" w:afterAutospacing="0" w:line="560" w:lineRule="exact"/>
            </w:pPr>
            <w:r>
              <w:rPr>
                <w:rFonts w:hint="eastAsia" w:ascii="宋体" w:hAnsi="宋体" w:eastAsia="宋体" w:cs="宋体"/>
                <w:color w:val="000000"/>
              </w:rPr>
              <w:t xml:space="preserve">数量</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pStyle w:val="721"/>
              <w:jc w:val="center"/>
              <w:spacing w:beforeAutospacing="0" w:afterAutospacing="0" w:line="560" w:lineRule="exact"/>
            </w:pPr>
            <w:r>
              <w:rPr>
                <w:rFonts w:hint="eastAsia" w:ascii="宋体" w:hAnsi="宋体" w:eastAsia="宋体" w:cs="宋体"/>
                <w:color w:val="000000"/>
              </w:rPr>
              <w:t xml:space="preserve">分项</w:t>
            </w:r>
            <w:r/>
          </w:p>
          <w:p>
            <w:pPr>
              <w:pStyle w:val="721"/>
              <w:jc w:val="center"/>
              <w:spacing w:beforeAutospacing="0" w:afterAutospacing="0" w:line="560" w:lineRule="exact"/>
            </w:pPr>
            <w:r>
              <w:rPr>
                <w:rFonts w:hint="eastAsia" w:ascii="宋体" w:hAnsi="宋体" w:eastAsia="宋体" w:cs="宋体"/>
                <w:color w:val="000000"/>
              </w:rPr>
              <w:t xml:space="preserve">单价</w:t>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pStyle w:val="721"/>
              <w:jc w:val="center"/>
              <w:spacing w:beforeAutospacing="0" w:afterAutospacing="0" w:line="560" w:lineRule="exact"/>
            </w:pPr>
            <w:r>
              <w:rPr>
                <w:rFonts w:hint="eastAsia" w:ascii="宋体" w:hAnsi="宋体" w:eastAsia="宋体" w:cs="宋体"/>
                <w:color w:val="000000"/>
              </w:rPr>
              <w:t xml:space="preserve">分项</w:t>
            </w:r>
            <w:r/>
          </w:p>
          <w:p>
            <w:pPr>
              <w:pStyle w:val="721"/>
              <w:jc w:val="center"/>
              <w:spacing w:beforeAutospacing="0" w:afterAutospacing="0" w:line="560" w:lineRule="exact"/>
            </w:pPr>
            <w:r>
              <w:rPr>
                <w:rFonts w:hint="eastAsia" w:ascii="宋体" w:hAnsi="宋体" w:eastAsia="宋体" w:cs="宋体"/>
                <w:color w:val="000000"/>
              </w:rPr>
              <w:t xml:space="preserve">总价</w:t>
            </w:r>
            <w:r/>
          </w:p>
        </w:tc>
      </w:tr>
      <w:tr>
        <w:trPr>
          <w:tblCellSpacing w:w="0" w:type="dxa"/>
          <w:trHeight w:val="683"/>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21"/>
              <w:jc w:val="center"/>
              <w:spacing w:beforeAutospacing="0" w:afterAutospacing="0" w:line="560" w:lineRule="exact"/>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pStyle w:val="721"/>
              <w:jc w:val="center"/>
              <w:spacing w:beforeAutospacing="0" w:afterAutospacing="0" w:line="560" w:lineRule="exact"/>
            </w:pPr>
            <w:r>
              <w:t xml:space="preserve"> </w:t>
            </w:r>
            <w:r/>
          </w:p>
        </w:tc>
      </w:tr>
      <w:tr>
        <w:trPr>
          <w:tblCellSpacing w:w="0" w:type="dxa"/>
          <w:trHeight w:val="683"/>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21"/>
              <w:jc w:val="center"/>
              <w:spacing w:beforeAutospacing="0" w:afterAutospacing="0" w:line="560" w:lineRule="exact"/>
            </w:pPr>
            <w:r>
              <w:rPr>
                <w:rFonts w:hint="eastAsia" w:ascii="宋体" w:hAnsi="宋体" w:eastAsia="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pStyle w:val="721"/>
              <w:jc w:val="center"/>
              <w:spacing w:beforeAutospacing="0" w:afterAutospacing="0" w:line="560" w:lineRule="exact"/>
            </w:pPr>
            <w:r>
              <w:t xml:space="preserve"> </w:t>
            </w:r>
            <w:r/>
          </w:p>
        </w:tc>
      </w:tr>
      <w:tr>
        <w:trPr>
          <w:tblCellSpacing w:w="0" w:type="dxa"/>
          <w:trHeight w:val="683"/>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21"/>
              <w:jc w:val="center"/>
              <w:spacing w:beforeAutospacing="0" w:afterAutospacing="0" w:line="560" w:lineRule="exact"/>
            </w:pPr>
            <w:r>
              <w:rPr>
                <w:rFonts w:hint="eastAsia" w:ascii="宋体" w:hAnsi="宋体" w:eastAsia="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pStyle w:val="721"/>
              <w:jc w:val="center"/>
              <w:spacing w:beforeAutospacing="0" w:afterAutospacing="0" w:line="560" w:lineRule="exact"/>
            </w:pPr>
            <w:r>
              <w:t xml:space="preserve"> </w:t>
            </w:r>
            <w:r/>
          </w:p>
        </w:tc>
      </w:tr>
      <w:tr>
        <w:trPr>
          <w:tblCellSpacing w:w="0" w:type="dxa"/>
          <w:trHeight w:val="683"/>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21"/>
              <w:jc w:val="center"/>
              <w:spacing w:beforeAutospacing="0" w:afterAutospacing="0" w:line="560" w:lineRule="exact"/>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21"/>
              <w:jc w:val="center"/>
              <w:spacing w:beforeAutospacing="0" w:afterAutospacing="0" w:line="560" w:lineRule="exact"/>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pStyle w:val="721"/>
              <w:jc w:val="center"/>
              <w:spacing w:beforeAutospacing="0" w:afterAutospacing="0" w:line="560" w:lineRule="exact"/>
            </w:pPr>
            <w:r>
              <w:t xml:space="preserve"> </w:t>
            </w:r>
            <w:r/>
          </w:p>
        </w:tc>
      </w:tr>
      <w:tr>
        <w:trPr>
          <w:tblCellSpacing w:w="0" w:type="dxa"/>
          <w:trHeight w:val="588"/>
        </w:trPr>
        <w:tc>
          <w:tcPr>
            <w:gridSpan w:val="6"/>
            <w:tcBorders>
              <w:top w:val="single" w:color="000000" w:sz="4" w:space="0"/>
              <w:left w:val="single" w:color="000000" w:sz="4" w:space="0"/>
              <w:bottom w:val="single" w:color="000000" w:sz="4" w:space="0"/>
              <w:right w:val="single" w:color="000000" w:sz="4" w:space="0"/>
            </w:tcBorders>
            <w:tcW w:w="7096" w:type="dxa"/>
            <w:vAlign w:val="center"/>
            <w:textDirection w:val="lrTb"/>
            <w:noWrap w:val="false"/>
          </w:tcPr>
          <w:p>
            <w:pPr>
              <w:pStyle w:val="721"/>
              <w:jc w:val="center"/>
              <w:spacing w:beforeAutospacing="0" w:afterAutospacing="0" w:line="560" w:lineRule="exact"/>
            </w:pPr>
            <w:r>
              <w:rPr>
                <w:rFonts w:hint="eastAsia" w:ascii="宋体" w:hAnsi="宋体" w:eastAsia="宋体" w:cs="宋体"/>
                <w:color w:val="000000"/>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pStyle w:val="721"/>
              <w:jc w:val="both"/>
              <w:spacing w:beforeAutospacing="0" w:afterAutospacing="0" w:line="560" w:lineRule="exact"/>
            </w:pPr>
            <w:r>
              <w:t xml:space="preserve"> </w:t>
            </w:r>
            <w:r/>
          </w:p>
        </w:tc>
      </w:tr>
    </w:tbl>
    <w:p>
      <w:pPr>
        <w:pStyle w:val="721"/>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投标分项报价表”中“投标总报价”数额应当与“开标一览表”中“投标总报价”数额一致。</w:t>
      </w:r>
      <w:r/>
    </w:p>
    <w:p>
      <w:pPr>
        <w:pStyle w:val="721"/>
        <w:jc w:val="center"/>
        <w:spacing w:beforeAutospacing="0" w:afterAutospacing="0" w:line="560" w:lineRule="exact"/>
      </w:pPr>
      <w:r/>
      <w:r/>
    </w:p>
    <w:p>
      <w:pPr>
        <w:spacing w:line="560" w:lineRule="exact"/>
        <w:rPr>
          <w:rFonts w:hint="eastAsia" w:ascii="黑体" w:hAnsi="宋体" w:eastAsia="黑体" w:cs="黑体"/>
          <w:b/>
          <w:color w:val="000000"/>
          <w:sz w:val="32"/>
          <w:szCs w:val="32"/>
        </w:rPr>
      </w:pPr>
      <w:r>
        <w:rPr>
          <w:rFonts w:hint="eastAsia" w:ascii="黑体" w:hAnsi="宋体" w:eastAsia="黑体" w:cs="黑体"/>
          <w:b/>
          <w:color w:val="000000"/>
          <w:sz w:val="32"/>
          <w:szCs w:val="32"/>
        </w:rPr>
        <w:br w:type="page" w:clear="all"/>
      </w:r>
      <w:r/>
    </w:p>
    <w:p>
      <w:pPr>
        <w:pStyle w:val="721"/>
        <w:jc w:val="center"/>
        <w:spacing w:beforeAutospacing="0" w:afterAutospacing="0" w:line="560" w:lineRule="exact"/>
        <w:rPr>
          <w:rFonts w:ascii="黑体" w:hAnsi="Times New Roman" w:eastAsia="黑体" w:cs="黑体"/>
          <w:i/>
          <w:color w:val="000000"/>
          <w:sz w:val="32"/>
          <w:szCs w:val="32"/>
          <w:highlight w:val="yellow"/>
          <w:u w:val="single"/>
        </w:rPr>
      </w:pPr>
      <w:r>
        <w:rPr>
          <w:rFonts w:hint="eastAsia" w:ascii="黑体" w:hAnsi="Times New Roman" w:eastAsia="黑体" w:cs="黑体"/>
          <w:i/>
          <w:color w:val="000000"/>
          <w:sz w:val="32"/>
          <w:szCs w:val="32"/>
          <w:u w:val="single"/>
        </w:rPr>
        <w:t xml:space="preserve">十二、技术要求响应及偏离表</w:t>
      </w:r>
      <w:r/>
    </w:p>
    <w:tbl>
      <w:tblPr>
        <w:tblStyle w:val="698"/>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706"/>
        <w:gridCol w:w="2858"/>
        <w:gridCol w:w="2608"/>
        <w:gridCol w:w="1247"/>
        <w:gridCol w:w="1101"/>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721"/>
              <w:jc w:val="center"/>
              <w:spacing w:beforeAutospacing="0" w:afterAutospacing="0" w:line="560" w:lineRule="exact"/>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2858" w:type="dxa"/>
            <w:vAlign w:val="center"/>
            <w:textDirection w:val="lrTb"/>
            <w:noWrap w:val="false"/>
          </w:tcPr>
          <w:p>
            <w:pPr>
              <w:pStyle w:val="721"/>
              <w:jc w:val="center"/>
              <w:spacing w:beforeAutospacing="0" w:afterAutospacing="0" w:line="560" w:lineRule="exact"/>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line="560" w:lineRule="exact"/>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line="560" w:lineRule="exact"/>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line="560" w:lineRule="exact"/>
            </w:pPr>
            <w:r>
              <w:rPr>
                <w:rFonts w:hint="eastAsia" w:ascii="宋体" w:hAnsi="宋体" w:eastAsia="宋体" w:cs="宋体"/>
                <w:color w:val="000000"/>
              </w:rPr>
              <w:t xml:space="preserve">证明</w:t>
            </w:r>
            <w:r/>
          </w:p>
          <w:p>
            <w:pPr>
              <w:pStyle w:val="721"/>
              <w:jc w:val="center"/>
              <w:spacing w:beforeAutospacing="0" w:afterAutospacing="0" w:line="560" w:lineRule="exact"/>
            </w:pPr>
            <w:r>
              <w:rPr>
                <w:rFonts w:hint="eastAsia" w:ascii="宋体" w:hAnsi="宋体" w:eastAsia="宋体" w:cs="宋体"/>
                <w:color w:val="000000"/>
              </w:rPr>
              <w:t xml:space="preserve">材料</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858"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line="560" w:lineRule="exact"/>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858"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line="560" w:lineRule="exact"/>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858"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line="560" w:lineRule="exact"/>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858"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line="560" w:lineRule="exact"/>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858"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line="560" w:lineRule="exact"/>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858"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line="560" w:lineRule="exact"/>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858"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line="560" w:lineRule="exact"/>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858" w:type="dxa"/>
            <w:vAlign w:val="center"/>
            <w:textDirection w:val="lrTb"/>
            <w:noWrap w:val="false"/>
          </w:tcPr>
          <w:p>
            <w:pPr>
              <w:pStyle w:val="721"/>
              <w:jc w:val="center"/>
              <w:spacing w:beforeAutospacing="0" w:afterAutospacing="0" w:line="560" w:lineRule="exact"/>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line="560" w:lineRule="exact"/>
            </w:pPr>
            <w:r>
              <w:t xml:space="preserve"> </w:t>
            </w:r>
            <w:r/>
          </w:p>
        </w:tc>
      </w:tr>
    </w:tbl>
    <w:p>
      <w:pPr>
        <w:pStyle w:val="721"/>
        <w:jc w:val="both"/>
        <w:spacing w:beforeAutospacing="0" w:afterAutospacing="0" w:line="560" w:lineRule="exact"/>
      </w:pPr>
      <w:r>
        <w:rPr>
          <w:rFonts w:hint="eastAsia" w:ascii="宋体" w:hAnsi="宋体" w:eastAsia="宋体" w:cs="宋体"/>
          <w:color w:val="000000"/>
        </w:rPr>
        <w:t xml:space="preserve">注：行数不够，可自行添加。</w:t>
      </w:r>
      <w:r/>
    </w:p>
    <w:p>
      <w:pPr>
        <w:pStyle w:val="721"/>
        <w:jc w:val="center"/>
        <w:spacing w:beforeAutospacing="0" w:afterAutospacing="0" w:line="560" w:lineRule="exact"/>
      </w:pPr>
      <w:r>
        <w:t xml:space="preserve"> </w:t>
      </w:r>
      <w:r/>
    </w:p>
    <w:p>
      <w:pPr>
        <w:pStyle w:val="721"/>
        <w:jc w:val="center"/>
        <w:spacing w:beforeAutospacing="0" w:afterAutospacing="0" w:line="560" w:lineRule="exact"/>
      </w:pPr>
      <w:r>
        <w:t xml:space="preserve"> </w:t>
      </w:r>
      <w:r/>
    </w:p>
    <w:p>
      <w:pPr>
        <w:pStyle w:val="721"/>
        <w:jc w:val="center"/>
        <w:spacing w:beforeAutospacing="0" w:afterAutospacing="0" w:line="560" w:lineRule="exact"/>
      </w:pPr>
      <w:r>
        <w:t xml:space="preserve"> </w:t>
      </w:r>
      <w:r/>
    </w:p>
    <w:p>
      <w:pPr>
        <w:pStyle w:val="721"/>
        <w:jc w:val="center"/>
        <w:spacing w:beforeAutospacing="0" w:afterAutospacing="0" w:line="560" w:lineRule="exact"/>
      </w:pPr>
      <w:r>
        <w:t xml:space="preserve"> </w:t>
      </w:r>
      <w:r/>
    </w:p>
    <w:p>
      <w:pPr>
        <w:pStyle w:val="721"/>
        <w:jc w:val="both"/>
        <w:spacing w:beforeAutospacing="0" w:afterAutospacing="0" w:line="560" w:lineRule="exact"/>
      </w:pPr>
      <w:r>
        <w:t xml:space="preserve"> </w:t>
      </w:r>
      <w:r/>
    </w:p>
    <w:p>
      <w:pPr>
        <w:pStyle w:val="721"/>
        <w:jc w:val="both"/>
        <w:spacing w:beforeAutospacing="0" w:afterAutospacing="0" w:line="560" w:lineRule="exact"/>
      </w:pPr>
      <w:r>
        <w:t xml:space="preserve"> </w:t>
      </w:r>
      <w:r/>
    </w:p>
    <w:p>
      <w:pPr>
        <w:pStyle w:val="721"/>
        <w:jc w:val="both"/>
        <w:spacing w:beforeAutospacing="0" w:afterAutospacing="0" w:line="560" w:lineRule="exact"/>
      </w:pPr>
      <w:r>
        <w:t xml:space="preserve"> </w:t>
      </w:r>
      <w:r/>
    </w:p>
    <w:p>
      <w:pPr>
        <w:pStyle w:val="721"/>
        <w:jc w:val="both"/>
        <w:spacing w:beforeAutospacing="0" w:afterAutospacing="0" w:line="560" w:lineRule="exact"/>
      </w:pPr>
      <w:r>
        <w:t xml:space="preserve"> </w:t>
      </w:r>
      <w:r/>
    </w:p>
    <w:p>
      <w:pPr>
        <w:pStyle w:val="721"/>
        <w:jc w:val="both"/>
        <w:spacing w:beforeAutospacing="0" w:afterAutospacing="0" w:line="560" w:lineRule="exact"/>
      </w:pPr>
      <w:r/>
      <w:r/>
    </w:p>
    <w:p>
      <w:pPr>
        <w:pStyle w:val="721"/>
        <w:jc w:val="both"/>
        <w:spacing w:beforeAutospacing="0" w:afterAutospacing="0" w:line="560" w:lineRule="exact"/>
      </w:pPr>
      <w:r/>
      <w:r/>
    </w:p>
    <w:p>
      <w:pPr>
        <w:pStyle w:val="721"/>
        <w:jc w:val="both"/>
        <w:spacing w:beforeAutospacing="0" w:afterAutospacing="0" w:line="560" w:lineRule="exact"/>
      </w:pPr>
      <w:r/>
      <w:r/>
    </w:p>
    <w:p>
      <w:pPr>
        <w:pStyle w:val="721"/>
        <w:jc w:val="center"/>
        <w:spacing w:beforeAutospacing="0" w:afterAutospacing="0" w:line="560" w:lineRule="exact"/>
        <w:rPr>
          <w:rFonts w:ascii="黑体" w:hAnsi="Times New Roman" w:eastAsia="黑体" w:cs="黑体"/>
          <w:i/>
          <w:color w:val="000000"/>
          <w:sz w:val="32"/>
          <w:szCs w:val="32"/>
          <w:u w:val="single"/>
        </w:rPr>
      </w:pPr>
      <w:r/>
      <w:bookmarkStart w:id="184" w:name="_Hlt26955054"/>
      <w:r>
        <w:rPr>
          <w:rFonts w:hint="eastAsia" w:ascii="黑体" w:hAnsi="Times New Roman" w:eastAsia="黑体" w:cs="黑体"/>
          <w:i/>
          <w:color w:val="000000"/>
          <w:sz w:val="32"/>
          <w:szCs w:val="32"/>
          <w:u w:val="single"/>
        </w:rPr>
        <w:t xml:space="preserve">十三、商务要求响应及偏离表</w:t>
      </w:r>
      <w:r/>
    </w:p>
    <w:tbl>
      <w:tblPr>
        <w:tblStyle w:val="698"/>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58"/>
        <w:gridCol w:w="2272"/>
        <w:gridCol w:w="2405"/>
        <w:gridCol w:w="1484"/>
        <w:gridCol w:w="1501"/>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721"/>
              <w:jc w:val="center"/>
              <w:spacing w:beforeAutospacing="0" w:afterAutospacing="0" w:line="560" w:lineRule="exact"/>
            </w:pPr>
            <w:r/>
            <w:bookmarkStart w:id="185" w:name="_Hlt26782999"/>
            <w:r/>
            <w:bookmarkStart w:id="186" w:name="_Hlt26955064"/>
            <w:r/>
            <w:bookmarkStart w:id="187" w:name="_Hlt26671372"/>
            <w:r/>
            <w:bookmarkStart w:id="188" w:name="_Hlt26955056"/>
            <w:r/>
            <w:bookmarkStart w:id="189" w:name="_Hlt24879081"/>
            <w:r/>
            <w:bookmarkStart w:id="190" w:name="_Hlt26609391"/>
            <w:r/>
            <w:bookmarkStart w:id="191" w:name="_Hlt26580838"/>
            <w:r/>
            <w:bookmarkStart w:id="192" w:name="_Hlt26671343"/>
            <w:r>
              <w:rPr>
                <w:rFonts w:hint="eastAsia" w:ascii="宋体" w:hAnsi="宋体" w:eastAsia="宋体" w:cs="宋体"/>
                <w:color w:val="000000"/>
              </w:rPr>
              <w:t xml:space="preserve">序号</w:t>
            </w:r>
            <w:bookmarkEnd w:id="185"/>
            <w:r/>
            <w:bookmarkEnd w:id="186"/>
            <w:r/>
            <w:bookmarkEnd w:id="187"/>
            <w:r/>
            <w:bookmarkEnd w:id="188"/>
            <w:r/>
            <w:bookmarkEnd w:id="189"/>
            <w:r/>
            <w:bookmarkEnd w:id="190"/>
            <w:r/>
            <w:bookmarkEnd w:id="191"/>
            <w:r/>
            <w:bookmarkEnd w:id="192"/>
            <w:r/>
            <w:r/>
          </w:p>
        </w:tc>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pStyle w:val="721"/>
              <w:jc w:val="center"/>
              <w:spacing w:beforeAutospacing="0" w:afterAutospacing="0" w:line="560" w:lineRule="exact"/>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721"/>
              <w:jc w:val="center"/>
              <w:spacing w:beforeAutospacing="0" w:afterAutospacing="0" w:line="560" w:lineRule="exact"/>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721"/>
              <w:jc w:val="center"/>
              <w:spacing w:beforeAutospacing="0" w:afterAutospacing="0" w:line="560" w:lineRule="exact"/>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21"/>
              <w:jc w:val="center"/>
              <w:spacing w:beforeAutospacing="0" w:afterAutospacing="0" w:line="560" w:lineRule="exact"/>
            </w:pPr>
            <w:r>
              <w:rPr>
                <w:rFonts w:hint="eastAsia" w:ascii="宋体" w:hAnsi="宋体" w:eastAsia="宋体" w:cs="宋体"/>
                <w:color w:val="000000"/>
              </w:rPr>
              <w:t xml:space="preserve">证明</w:t>
            </w:r>
            <w:r/>
          </w:p>
          <w:p>
            <w:pPr>
              <w:pStyle w:val="721"/>
              <w:jc w:val="center"/>
              <w:spacing w:beforeAutospacing="0" w:afterAutospacing="0" w:line="560" w:lineRule="exact"/>
            </w:pPr>
            <w:r>
              <w:rPr>
                <w:rFonts w:hint="eastAsia" w:ascii="宋体" w:hAnsi="宋体" w:eastAsia="宋体" w:cs="宋体"/>
                <w:color w:val="000000"/>
              </w:rPr>
              <w:t xml:space="preserve">材料</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21"/>
              <w:jc w:val="center"/>
              <w:spacing w:beforeAutospacing="0" w:afterAutospacing="0" w:line="560" w:lineRule="exact"/>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21"/>
              <w:jc w:val="center"/>
              <w:spacing w:beforeAutospacing="0" w:afterAutospacing="0" w:line="560" w:lineRule="exact"/>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21"/>
              <w:jc w:val="center"/>
              <w:spacing w:beforeAutospacing="0" w:afterAutospacing="0" w:line="560" w:lineRule="exact"/>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21"/>
              <w:jc w:val="center"/>
              <w:spacing w:beforeAutospacing="0" w:afterAutospacing="0" w:line="560" w:lineRule="exact"/>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21"/>
              <w:jc w:val="center"/>
              <w:spacing w:beforeAutospacing="0" w:afterAutospacing="0" w:line="560" w:lineRule="exact"/>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21"/>
              <w:jc w:val="center"/>
              <w:spacing w:beforeAutospacing="0" w:afterAutospacing="0" w:line="560" w:lineRule="exact"/>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21"/>
              <w:jc w:val="center"/>
              <w:spacing w:beforeAutospacing="0" w:afterAutospacing="0" w:line="560" w:lineRule="exact"/>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721"/>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21"/>
              <w:jc w:val="center"/>
              <w:spacing w:beforeAutospacing="0" w:afterAutospacing="0" w:line="560" w:lineRule="exact"/>
            </w:pPr>
            <w:r>
              <w:t xml:space="preserve"> </w:t>
            </w:r>
            <w:r/>
          </w:p>
        </w:tc>
      </w:tr>
    </w:tbl>
    <w:p>
      <w:pPr>
        <w:pStyle w:val="721"/>
        <w:jc w:val="both"/>
        <w:spacing w:beforeAutospacing="0" w:afterAutospacing="0" w:line="560" w:lineRule="exact"/>
      </w:pPr>
      <w:r>
        <w:rPr>
          <w:rFonts w:hint="eastAsia" w:ascii="宋体" w:hAnsi="宋体" w:eastAsia="宋体" w:cs="宋体"/>
          <w:color w:val="000000"/>
        </w:rPr>
        <w:t xml:space="preserve">注：行数不够，可自行添加。</w:t>
      </w:r>
      <w:r/>
    </w:p>
    <w:p>
      <w:pPr>
        <w:pStyle w:val="721"/>
        <w:jc w:val="both"/>
        <w:spacing w:beforeAutospacing="0" w:afterAutospacing="0" w:line="560" w:lineRule="exact"/>
      </w:pPr>
      <w:r>
        <w:t xml:space="preserve"> </w:t>
      </w:r>
      <w:r/>
    </w:p>
    <w:p>
      <w:pPr>
        <w:pStyle w:val="721"/>
        <w:jc w:val="both"/>
        <w:spacing w:beforeAutospacing="0" w:afterAutospacing="0" w:line="560" w:lineRule="exact"/>
      </w:pPr>
      <w:r>
        <w:t xml:space="preserve"> </w:t>
      </w:r>
      <w:r/>
    </w:p>
    <w:p>
      <w:pPr>
        <w:pStyle w:val="721"/>
        <w:jc w:val="center"/>
        <w:spacing w:beforeAutospacing="0" w:afterAutospacing="0" w:line="560" w:lineRule="exact"/>
      </w:pPr>
      <w:r/>
      <w:bookmarkStart w:id="193" w:name="_Hlt26609389"/>
      <w:r/>
      <w:bookmarkStart w:id="194" w:name="_Toc462564146"/>
      <w:r/>
      <w:bookmarkStart w:id="195" w:name="_Hlt26671374"/>
      <w:r/>
      <w:bookmarkStart w:id="196" w:name="_Hlt26955066"/>
      <w:r/>
      <w:bookmarkStart w:id="197" w:name="_格式2__法定代表人授权书"/>
      <w:r>
        <w:t xml:space="preserve"> </w:t>
      </w:r>
      <w:r/>
    </w:p>
    <w:p>
      <w:pPr>
        <w:pStyle w:val="721"/>
        <w:jc w:val="both"/>
        <w:spacing w:beforeAutospacing="0" w:afterAutospacing="0" w:line="560" w:lineRule="exact"/>
      </w:pPr>
      <w:r>
        <w:t xml:space="preserve"> </w:t>
      </w:r>
      <w:r/>
    </w:p>
    <w:p>
      <w:pPr>
        <w:pStyle w:val="721"/>
        <w:jc w:val="both"/>
        <w:spacing w:beforeAutospacing="0" w:afterAutospacing="0" w:line="560" w:lineRule="exact"/>
      </w:pPr>
      <w:r>
        <w:t xml:space="preserve"> </w:t>
      </w:r>
      <w:r/>
    </w:p>
    <w:p>
      <w:pPr>
        <w:pStyle w:val="721"/>
        <w:jc w:val="both"/>
        <w:spacing w:beforeAutospacing="0" w:afterAutospacing="0" w:line="560" w:lineRule="exact"/>
      </w:pPr>
      <w:r/>
      <w:r/>
    </w:p>
    <w:p>
      <w:pPr>
        <w:pStyle w:val="721"/>
        <w:jc w:val="both"/>
        <w:spacing w:beforeAutospacing="0" w:afterAutospacing="0" w:line="560" w:lineRule="exact"/>
      </w:pPr>
      <w:r/>
      <w:r/>
    </w:p>
    <w:p>
      <w:pPr>
        <w:pStyle w:val="721"/>
        <w:jc w:val="both"/>
        <w:spacing w:beforeAutospacing="0" w:afterAutospacing="0" w:line="560" w:lineRule="exact"/>
      </w:pPr>
      <w:r/>
      <w:r/>
    </w:p>
    <w:p>
      <w:pPr>
        <w:pStyle w:val="721"/>
        <w:jc w:val="both"/>
        <w:spacing w:beforeAutospacing="0" w:afterAutospacing="0" w:line="560" w:lineRule="exact"/>
      </w:pPr>
      <w:r/>
      <w:r/>
    </w:p>
    <w:p>
      <w:pPr>
        <w:pStyle w:val="721"/>
        <w:jc w:val="both"/>
        <w:spacing w:beforeAutospacing="0" w:afterAutospacing="0" w:line="560" w:lineRule="exact"/>
      </w:pPr>
      <w:r/>
      <w:r/>
    </w:p>
    <w:p>
      <w:pPr>
        <w:pStyle w:val="721"/>
        <w:jc w:val="both"/>
        <w:spacing w:beforeAutospacing="0" w:afterAutospacing="0" w:line="560" w:lineRule="exact"/>
      </w:pPr>
      <w:r/>
      <w:r/>
    </w:p>
    <w:p>
      <w:pPr>
        <w:pStyle w:val="721"/>
        <w:jc w:val="center"/>
        <w:spacing w:beforeAutospacing="0" w:afterAutospacing="0" w:line="560" w:lineRule="exact"/>
        <w:rPr>
          <w:rFonts w:ascii="黑体" w:hAnsi="Times New Roman" w:eastAsia="黑体" w:cs="黑体"/>
          <w:i/>
          <w:color w:val="000000"/>
          <w:sz w:val="32"/>
          <w:szCs w:val="32"/>
          <w:u w:val="single"/>
        </w:rPr>
      </w:pPr>
      <w:r>
        <w:rPr>
          <w:rFonts w:hint="eastAsia" w:ascii="黑体" w:hAnsi="Times New Roman" w:eastAsia="黑体" w:cs="黑体"/>
          <w:i/>
          <w:color w:val="000000"/>
          <w:sz w:val="32"/>
          <w:szCs w:val="32"/>
          <w:u w:val="single"/>
        </w:rPr>
        <w:t xml:space="preserve">十四、开标一览表</w:t>
      </w:r>
      <w:r/>
    </w:p>
    <w:p>
      <w:pPr>
        <w:spacing w:before="240" w:after="24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eastAsia="宋体" w:cs="宋体"/>
          <w:color w:val="000000"/>
          <w:sz w:val="24"/>
          <w:lang w:eastAsia="zh-CN"/>
        </w:rPr>
        <w:t xml:space="preserve">JSZC-320900-JZCG-G2026-0063</w:t>
      </w:r>
      <w:r/>
    </w:p>
    <w:p>
      <w:pPr>
        <w:spacing w:before="240" w:after="2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货币单位：人民币元</w:t>
      </w:r>
      <w:r/>
    </w:p>
    <w:tbl>
      <w:tblPr>
        <w:tblStyle w:val="7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96"/>
        <w:gridCol w:w="2577"/>
        <w:gridCol w:w="3267"/>
      </w:tblGrid>
      <w:tr>
        <w:trPr>
          <w:trHeight w:val="1003"/>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802" w:type="dxa"/>
            <w:vAlign w:val="center"/>
            <w:textDirection w:val="lrTb"/>
            <w:noWrap w:val="false"/>
          </w:tcPr>
          <w:p>
            <w:pPr>
              <w:jc w:val="center"/>
              <w:spacing w:before="240" w:after="2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583" w:type="dxa"/>
            <w:vAlign w:val="center"/>
            <w:textDirection w:val="lrTb"/>
            <w:noWrap w:val="false"/>
          </w:tcPr>
          <w:p>
            <w:pPr>
              <w:jc w:val="center"/>
              <w:spacing w:before="240" w:after="2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74" w:type="dxa"/>
            <w:vAlign w:val="center"/>
            <w:textDirection w:val="lrTb"/>
            <w:noWrap w:val="false"/>
          </w:tcPr>
          <w:p>
            <w:pPr>
              <w:jc w:val="center"/>
              <w:spacing w:before="240" w:after="2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总价（小写）</w:t>
            </w:r>
            <w:r/>
          </w:p>
        </w:tc>
      </w:tr>
      <w:tr>
        <w:trPr>
          <w:trHeight w:val="1003"/>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802" w:type="dxa"/>
            <w:vAlign w:val="center"/>
            <w:textDirection w:val="lrTb"/>
            <w:noWrap w:val="false"/>
          </w:tcPr>
          <w:p>
            <w:pPr>
              <w:jc w:val="center"/>
              <w:spacing w:line="560" w:lineRule="exact"/>
              <w:widowControl/>
              <w:rPr>
                <w:rFonts w:hint="eastAsia" w:ascii="宋体" w:hAnsi="宋体" w:eastAsia="宋体" w:cs="宋体"/>
              </w:rPr>
            </w:pPr>
            <w:r>
              <w:rPr>
                <w:rFonts w:hint="eastAsia" w:ascii="宋体" w:hAnsi="宋体" w:eastAsia="宋体" w:cs="宋体"/>
                <w:color w:val="000000"/>
                <w:sz w:val="24"/>
                <w:szCs w:val="20"/>
              </w:rPr>
              <w:t xml:space="preserve">盐城市第四人民医院智慧处方点评系统项目</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583" w:type="dxa"/>
            <w:vAlign w:val="center"/>
            <w:textDirection w:val="lrTb"/>
            <w:noWrap w:val="false"/>
          </w:tcPr>
          <w:p>
            <w:pPr>
              <w:jc w:val="center"/>
              <w:spacing w:before="240" w:after="2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详见投标文件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74" w:type="dxa"/>
            <w:vAlign w:val="center"/>
            <w:textDirection w:val="lrTb"/>
            <w:noWrap w:val="false"/>
          </w:tcPr>
          <w:p>
            <w:pPr>
              <w:jc w:val="center"/>
              <w:spacing w:before="240" w:after="2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元</w:t>
            </w:r>
            <w:r/>
          </w:p>
        </w:tc>
      </w:tr>
      <w:tr>
        <w:trPr>
          <w:trHeight w:val="1021"/>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802" w:type="dxa"/>
            <w:vAlign w:val="center"/>
            <w:textDirection w:val="lrTb"/>
            <w:noWrap w:val="false"/>
          </w:tcPr>
          <w:p>
            <w:pPr>
              <w:jc w:val="center"/>
              <w:spacing w:before="240" w:after="2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857" w:type="dxa"/>
            <w:vAlign w:val="center"/>
            <w:textDirection w:val="lrTb"/>
            <w:noWrap w:val="false"/>
          </w:tcPr>
          <w:p>
            <w:pPr>
              <w:jc w:val="center"/>
              <w:spacing w:before="240" w:after="2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金额大写</w:t>
            </w:r>
            <w:r/>
          </w:p>
        </w:tc>
      </w:tr>
    </w:tbl>
    <w:p>
      <w:pPr>
        <w:spacing w:before="240" w:after="2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jc w:val="right"/>
        <w:spacing w:before="240" w:after="2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投标人公章： （电子签章）</w:t>
      </w:r>
      <w:r/>
    </w:p>
    <w:p>
      <w:pPr>
        <w:jc w:val="center"/>
        <w:spacing w:before="240" w:after="2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 年 月 日</w:t>
      </w:r>
      <w:r/>
    </w:p>
    <w:p>
      <w:pPr>
        <w:pStyle w:val="721"/>
        <w:ind w:firstLine="480"/>
        <w:jc w:val="both"/>
        <w:spacing w:beforeAutospacing="0" w:afterAutospacing="0" w:line="560" w:lineRule="exact"/>
      </w:pPr>
      <w:r/>
      <w:r/>
    </w:p>
    <w:p>
      <w:pPr>
        <w:pStyle w:val="721"/>
        <w:ind w:firstLine="480"/>
        <w:jc w:val="both"/>
        <w:spacing w:beforeAutospacing="0" w:afterAutospacing="0" w:line="560" w:lineRule="exact"/>
      </w:pPr>
      <w:r>
        <w:t xml:space="preserve"> </w:t>
      </w:r>
      <w:r/>
    </w:p>
    <w:p>
      <w:pPr>
        <w:pStyle w:val="721"/>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r>
      <w:r/>
    </w:p>
    <w:p>
      <w:pPr>
        <w:jc w:val="center"/>
        <w:spacing w:before="50" w:after="50" w:line="560" w:lineRule="exact"/>
        <w:widowControl/>
      </w:pPr>
      <w:r/>
      <w:r/>
    </w:p>
    <w:p>
      <w:pPr>
        <w:rPr>
          <w:rFonts w:hint="eastAsia" w:ascii="宋体" w:hAnsi="宋体" w:eastAsia="宋体" w:cs="宋体"/>
          <w:b/>
          <w:bCs/>
          <w:color w:val="000000"/>
          <w:sz w:val="32"/>
          <w:szCs w:val="32"/>
        </w:rPr>
      </w:pPr>
      <w:r>
        <w:rPr>
          <w:rFonts w:hint="eastAsia" w:ascii="宋体" w:hAnsi="宋体" w:eastAsia="宋体" w:cs="宋体"/>
          <w:b/>
          <w:bCs/>
          <w:color w:val="000000"/>
          <w:sz w:val="32"/>
          <w:szCs w:val="32"/>
        </w:rPr>
        <w:br w:type="page" w:clear="all"/>
      </w:r>
      <w:r/>
    </w:p>
    <w:p>
      <w:pPr>
        <w:pStyle w:val="721"/>
        <w:jc w:val="center"/>
        <w:spacing w:beforeAutospacing="0" w:afterAutospacing="0" w:line="560" w:lineRule="exact"/>
        <w:rPr>
          <w:rFonts w:ascii="黑体" w:hAnsi="Times New Roman" w:eastAsia="黑体" w:cs="黑体"/>
          <w:i/>
          <w:color w:val="000000"/>
          <w:sz w:val="32"/>
          <w:szCs w:val="32"/>
          <w:u w:val="single"/>
        </w:rPr>
      </w:pPr>
      <w:r>
        <w:rPr>
          <w:rFonts w:hint="eastAsia" w:ascii="黑体" w:hAnsi="Times New Roman" w:eastAsia="黑体" w:cs="黑体"/>
          <w:i/>
          <w:color w:val="000000"/>
          <w:sz w:val="32"/>
          <w:szCs w:val="32"/>
          <w:u w:val="single"/>
        </w:rPr>
        <w:t xml:space="preserve">十五、技术方案、服务承诺、培训承诺等</w:t>
      </w:r>
      <w:r/>
    </w:p>
    <w:p>
      <w:pPr>
        <w:pStyle w:val="721"/>
        <w:jc w:val="both"/>
        <w:spacing w:beforeAutospacing="0" w:afterAutospacing="0" w:line="560" w:lineRule="exact"/>
        <w:tabs>
          <w:tab w:val="left" w:pos="2160" w:leader="none"/>
        </w:tabs>
      </w:pPr>
      <w:r/>
      <w:r/>
    </w:p>
    <w:p>
      <w:pPr>
        <w:ind w:firstLine="1600"/>
        <w:spacing w:line="560" w:lineRule="exac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560" w:lineRule="exac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560" w:lineRule="exac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560" w:lineRule="exac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560" w:lineRule="exac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560" w:lineRule="exac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560" w:lineRule="exac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560" w:lineRule="exac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560" w:lineRule="exac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560" w:lineRule="exac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560" w:lineRule="exac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560" w:lineRule="exac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560" w:lineRule="exac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560" w:lineRule="exac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560" w:lineRule="exac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560" w:lineRule="exac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560" w:lineRule="exac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560" w:lineRule="exac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560" w:lineRule="exac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560" w:lineRule="exac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rPr>
          <w:rFonts w:hint="eastAsia" w:ascii="宋体" w:hAnsi="宋体" w:eastAsia="宋体" w:cs="宋体"/>
          <w:b/>
          <w:bCs/>
          <w:color w:val="000000"/>
          <w:sz w:val="32"/>
          <w:szCs w:val="32"/>
        </w:rPr>
      </w:pPr>
      <w:r>
        <w:rPr>
          <w:rFonts w:hint="eastAsia" w:ascii="宋体" w:hAnsi="宋体" w:eastAsia="宋体" w:cs="宋体"/>
          <w:b/>
          <w:bCs/>
          <w:color w:val="000000"/>
          <w:sz w:val="32"/>
          <w:szCs w:val="32"/>
        </w:rPr>
        <w:br w:type="page" w:clear="all"/>
      </w:r>
      <w:r/>
    </w:p>
    <w:p>
      <w:pPr>
        <w:pStyle w:val="721"/>
        <w:jc w:val="center"/>
        <w:spacing w:beforeAutospacing="0" w:afterAutospacing="0" w:line="560" w:lineRule="exact"/>
        <w:rPr>
          <w:rFonts w:hint="eastAsia" w:ascii="宋体" w:hAnsi="宋体" w:eastAsia="宋体" w:cs="宋体"/>
        </w:rPr>
      </w:pPr>
      <w:r>
        <w:rPr>
          <w:rFonts w:hint="eastAsia" w:ascii="黑体" w:hAnsi="Times New Roman" w:eastAsia="黑体" w:cs="黑体"/>
          <w:i/>
          <w:color w:val="000000"/>
          <w:sz w:val="32"/>
          <w:szCs w:val="32"/>
          <w:u w:val="single"/>
        </w:rPr>
        <w:t xml:space="preserve">十六、盐城市政府采购事前信用承诺书</w:t>
      </w:r>
      <w:r>
        <w:rPr>
          <w:rFonts w:hint="eastAsia" w:ascii="宋体" w:hAnsi="宋体" w:eastAsia="宋体" w:cs="宋体"/>
          <w:color w:val="000000"/>
          <w:sz w:val="32"/>
          <w:szCs w:val="32"/>
        </w:rPr>
        <w:t xml:space="preserve"> </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520" w:lineRule="exact"/>
        <w:widowControl/>
        <w:rPr>
          <w:rFonts w:hint="eastAsia"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20" w:lineRule="exact"/>
        <w:widowControl/>
        <w:rPr>
          <w:rFonts w:hint="eastAsia"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520" w:lineRule="exact"/>
        <w:widowControl/>
        <w:rPr>
          <w:rFonts w:hint="eastAsia" w:ascii="宋体" w:hAnsi="宋体" w:eastAsia="宋体" w:cs="宋体"/>
          <w:sz w:val="24"/>
        </w:rPr>
      </w:pPr>
      <w:r>
        <w:rPr>
          <w:rFonts w:hint="eastAsia" w:ascii="宋体" w:hAnsi="宋体" w:eastAsia="宋体" w:cs="宋体"/>
          <w:color w:val="000000"/>
          <w:sz w:val="24"/>
        </w:rPr>
        <w:t xml:space="preserve">  （四）严格遵守即时信息公示规定，及时维护和更新盐城市政府采购网中与本单位相关的信息；</w:t>
      </w:r>
      <w:r/>
    </w:p>
    <w:p>
      <w:pPr>
        <w:jc w:val="left"/>
        <w:spacing w:line="520" w:lineRule="exact"/>
        <w:widowControl/>
        <w:rPr>
          <w:rFonts w:hint="eastAsia"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20" w:lineRule="exact"/>
        <w:widowControl/>
        <w:rPr>
          <w:rFonts w:hint="eastAsia"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20" w:lineRule="exact"/>
        <w:widowControl/>
        <w:rPr>
          <w:rFonts w:hint="eastAsia"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520" w:lineRule="exact"/>
        <w:widowControl/>
        <w:rPr>
          <w:rFonts w:hint="eastAsia"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520" w:lineRule="exact"/>
        <w:widowControl/>
        <w:rPr>
          <w:rFonts w:hint="eastAsia" w:ascii="宋体" w:hAnsi="宋体" w:eastAsia="宋体" w:cs="宋体"/>
          <w:sz w:val="24"/>
        </w:rPr>
      </w:pPr>
      <w:r>
        <w:rPr>
          <w:rFonts w:hint="eastAsia" w:ascii="宋体" w:hAnsi="宋体" w:eastAsia="宋体" w:cs="宋体"/>
          <w:color w:val="000000"/>
          <w:sz w:val="24"/>
        </w:rPr>
        <w:t xml:space="preserve">                   单位名称（盖章）：</w:t>
      </w:r>
      <w:r/>
    </w:p>
    <w:p>
      <w:pPr>
        <w:jc w:val="center"/>
        <w:spacing w:line="520" w:lineRule="exact"/>
        <w:widowControl/>
      </w:pPr>
      <w:r>
        <w:rPr>
          <w:rFonts w:hint="eastAsia" w:ascii="宋体" w:hAnsi="宋体" w:eastAsia="宋体" w:cs="宋体"/>
          <w:color w:val="000000"/>
          <w:sz w:val="24"/>
        </w:rPr>
        <w:t xml:space="preserve">                      年月日</w:t>
      </w:r>
      <w:bookmarkEnd w:id="25"/>
      <w:r/>
      <w:bookmarkEnd w:id="42"/>
      <w:r/>
      <w:bookmarkEnd w:id="87"/>
      <w:r/>
      <w:bookmarkEnd w:id="88"/>
      <w:r/>
      <w:bookmarkEnd w:id="89"/>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9"/>
      <w:r/>
      <w:bookmarkEnd w:id="110"/>
      <w:r/>
      <w:bookmarkEnd w:id="111"/>
      <w:r/>
      <w:bookmarkEnd w:id="116"/>
      <w:r/>
      <w:bookmarkEnd w:id="117"/>
      <w:r/>
      <w:bookmarkEnd w:id="124"/>
      <w:r/>
      <w:bookmarkEnd w:id="171"/>
      <w:r/>
      <w:bookmarkEnd w:id="172"/>
      <w:r/>
      <w:bookmarkEnd w:id="178"/>
      <w:r/>
      <w:bookmarkEnd w:id="179"/>
      <w:r/>
      <w:bookmarkEnd w:id="181"/>
      <w:r/>
      <w:bookmarkEnd w:id="182"/>
      <w:r/>
      <w:bookmarkEnd w:id="183"/>
      <w:r/>
      <w:bookmarkEnd w:id="184"/>
      <w:r/>
      <w:bookmarkEnd w:id="193"/>
      <w:r/>
      <w:bookmarkEnd w:id="194"/>
      <w:r/>
      <w:bookmarkEnd w:id="195"/>
      <w:r/>
      <w:bookmarkEnd w:id="196"/>
      <w:r/>
      <w:bookmarkEnd w:id="197"/>
      <w:r/>
      <w:r/>
    </w:p>
    <w:p>
      <w:pPr>
        <w:pStyle w:val="721"/>
        <w:jc w:val="center"/>
        <w:spacing w:beforeAutospacing="0" w:afterAutospacing="0" w:line="560" w:lineRule="exact"/>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21"/>
        <w:jc w:val="center"/>
        <w:spacing w:beforeAutospacing="0" w:afterAutospacing="0" w:line="560" w:lineRule="exact"/>
        <w:rPr>
          <w:rFonts w:hint="eastAsia" w:ascii="宋体" w:hAnsi="宋体" w:eastAsia="宋体" w:cs="宋体"/>
          <w:b/>
          <w:bCs/>
          <w:color w:val="000000"/>
          <w:sz w:val="32"/>
          <w:szCs w:val="32"/>
        </w:rPr>
      </w:pPr>
      <w:r>
        <w:rPr>
          <w:rFonts w:hint="eastAsia" w:ascii="宋体" w:hAnsi="宋体" w:eastAsia="宋体" w:cs="宋体"/>
          <w:b/>
          <w:color w:val="000000"/>
          <w:sz w:val="32"/>
          <w:szCs w:val="32"/>
        </w:rPr>
        <w:t xml:space="preserve">质疑函范本</w:t>
      </w:r>
      <w:r/>
    </w:p>
    <w:p>
      <w:pPr>
        <w:pStyle w:val="721"/>
        <w:jc w:val="both"/>
        <w:spacing w:before="290" w:beforeAutospacing="0" w:afterAutospacing="0" w:line="360" w:lineRule="auto"/>
        <w:rPr>
          <w:rFonts w:hint="eastAsia" w:ascii="宋体" w:hAnsi="宋体" w:eastAsia="宋体" w:cs="宋体"/>
        </w:rPr>
      </w:pPr>
      <w:r>
        <w:rPr>
          <w:rFonts w:hint="eastAsia" w:ascii="宋体" w:hAnsi="宋体" w:eastAsia="宋体" w:cs="宋体"/>
          <w:color w:val="000000"/>
        </w:rPr>
        <w:t xml:space="preserve">一、质疑供应商基本信息</w:t>
      </w:r>
      <w:r/>
    </w:p>
    <w:p>
      <w:pPr>
        <w:pStyle w:val="72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21"/>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2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21"/>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2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72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2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21"/>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2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72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二、质疑项目基本情况</w:t>
      </w:r>
      <w:r/>
    </w:p>
    <w:p>
      <w:pPr>
        <w:pStyle w:val="72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721"/>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72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2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72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72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三、质疑事项具体内容</w:t>
      </w:r>
      <w:r/>
    </w:p>
    <w:p>
      <w:pPr>
        <w:pStyle w:val="72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721"/>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72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72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质疑事项2</w:t>
      </w:r>
      <w:r/>
    </w:p>
    <w:p>
      <w:pPr>
        <w:pStyle w:val="72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p>
    <w:p>
      <w:pPr>
        <w:pStyle w:val="72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四、与质疑事项相关的质疑请求</w:t>
      </w:r>
      <w:r/>
    </w:p>
    <w:p>
      <w:pPr>
        <w:pStyle w:val="72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72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签字(签章)：                 公章：               日期：    </w:t>
      </w:r>
      <w:r/>
    </w:p>
    <w:p>
      <w:pPr>
        <w:rPr>
          <w:rFonts w:hint="eastAsia" w:ascii="宋体" w:hAnsi="宋体" w:eastAsia="宋体" w:cs="宋体"/>
          <w:b/>
          <w:color w:val="000000"/>
        </w:rPr>
      </w:pPr>
      <w:r>
        <w:rPr>
          <w:rFonts w:hint="eastAsia" w:ascii="宋体" w:hAnsi="宋体" w:eastAsia="宋体" w:cs="宋体"/>
          <w:b/>
          <w:color w:val="000000"/>
        </w:rPr>
        <w:br w:type="page" w:clear="all"/>
      </w:r>
      <w:r/>
    </w:p>
    <w:p>
      <w:pPr>
        <w:pStyle w:val="721"/>
        <w:jc w:val="both"/>
        <w:spacing w:beforeAutospacing="0" w:afterAutospacing="0" w:line="560" w:lineRule="exact"/>
        <w:rPr>
          <w:rFonts w:hint="eastAsia" w:ascii="宋体" w:hAnsi="宋体" w:eastAsia="宋体" w:cs="宋体"/>
        </w:rPr>
      </w:pPr>
      <w:r>
        <w:rPr>
          <w:rFonts w:hint="eastAsia" w:ascii="宋体" w:hAnsi="宋体" w:eastAsia="宋体" w:cs="宋体"/>
          <w:b/>
          <w:color w:val="000000"/>
        </w:rPr>
        <w:t xml:space="preserve">质疑函制作说明：</w:t>
      </w:r>
      <w:r/>
    </w:p>
    <w:p>
      <w:pPr>
        <w:pStyle w:val="721"/>
        <w:ind w:firstLine="480"/>
        <w:spacing w:beforeAutospacing="0" w:afterAutospacing="0" w:line="560" w:lineRule="exact"/>
        <w:widowControl/>
        <w:rPr>
          <w:rFonts w:hint="eastAsia"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721"/>
        <w:ind w:firstLine="480"/>
        <w:spacing w:beforeAutospacing="0" w:afterAutospacing="0" w:line="560" w:lineRule="exact"/>
        <w:widowControl/>
        <w:rPr>
          <w:rFonts w:hint="eastAsia"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21"/>
        <w:ind w:firstLine="480"/>
        <w:spacing w:beforeAutospacing="0" w:afterAutospacing="0" w:line="560" w:lineRule="exact"/>
        <w:widowControl/>
        <w:rPr>
          <w:rFonts w:hint="eastAsia"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721"/>
        <w:ind w:firstLine="480"/>
        <w:spacing w:beforeAutospacing="0" w:afterAutospacing="0" w:line="560" w:lineRule="exact"/>
        <w:widowControl/>
        <w:rPr>
          <w:rFonts w:hint="eastAsia"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721"/>
        <w:ind w:firstLine="480"/>
        <w:spacing w:beforeAutospacing="0" w:afterAutospacing="0" w:line="560" w:lineRule="exact"/>
        <w:widowControl/>
        <w:rPr>
          <w:rFonts w:hint="eastAsia" w:ascii="宋体" w:hAnsi="宋体" w:eastAsia="宋体" w:cs="宋体"/>
        </w:rPr>
      </w:pPr>
      <w:r>
        <w:rPr>
          <w:rFonts w:hint="eastAsia" w:ascii="宋体" w:hAnsi="宋体" w:eastAsia="宋体" w:cs="宋体"/>
          <w:color w:val="000000"/>
        </w:rPr>
        <w:t xml:space="preserve">5.质疑函的质疑请求应与质疑事项相关。</w:t>
      </w:r>
      <w:r/>
    </w:p>
    <w:p>
      <w:pPr>
        <w:pStyle w:val="721"/>
        <w:ind w:firstLine="480"/>
        <w:spacing w:beforeAutospacing="0" w:afterAutospacing="0" w:line="560" w:lineRule="exact"/>
        <w:widowControl/>
        <w:rPr>
          <w:rFonts w:hint="eastAsia"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721"/>
        <w:ind w:firstLine="420"/>
        <w:jc w:val="both"/>
        <w:spacing w:beforeAutospacing="0" w:afterAutospacing="0" w:line="560" w:lineRule="exact"/>
        <w:rPr>
          <w:rFonts w:hint="eastAsia" w:ascii="宋体" w:hAnsi="宋体" w:eastAsia="宋体" w:cs="宋体"/>
        </w:rPr>
      </w:pPr>
      <w:r>
        <w:rPr>
          <w:rFonts w:hint="eastAsia" w:ascii="宋体" w:hAnsi="宋体" w:eastAsia="宋体" w:cs="宋体"/>
        </w:rPr>
        <w:t xml:space="preserve"> </w:t>
      </w:r>
      <w:r/>
    </w:p>
    <w:p>
      <w:pPr>
        <w:spacing w:line="560" w:lineRule="exact"/>
      </w:pPr>
      <w:r/>
      <w:r/>
    </w:p>
    <w:sectPr>
      <w:headerReference w:type="default" r:id="rId9"/>
      <w:footerReference w:type="default" r:id="rId10"/>
      <w:footnotePr/>
      <w:endnotePr/>
      <w:type w:val="nextPage"/>
      <w:pgSz w:w="11906" w:h="16838" w:orient="portrait"/>
      <w:pgMar w:top="1417" w:right="1633" w:bottom="1417" w:left="1633"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仿宋_GB2312">
    <w:panose1 w:val="02010609060101010101"/>
  </w:font>
  <w:font w:name="黑体">
    <w:panose1 w:val="02010609060101010101"/>
  </w:font>
  <w:font w:name="Symbol">
    <w:panose1 w:val="05050102010706020507"/>
  </w:font>
  <w:font w:name="Wingdings">
    <w:panose1 w:val="05000000000000000000"/>
  </w:font>
  <w:font w:name="Calibri">
    <w:panose1 w:val="020F0502020204030204"/>
  </w:font>
  <w:font w:name="Courier New">
    <w:panose1 w:val="02070309020205020404"/>
  </w:font>
  <w:font w:name="楷体_GB2312">
    <w:panose1 w:val="02010609060101010101"/>
  </w:font>
  <w:font w:name="等线">
    <w:panose1 w:val="02010600030101010101"/>
  </w:font>
  <w:font w:name="仿宋">
    <w:panose1 w:val="02010609060101010101"/>
  </w:font>
  <w:font w:name="Arial">
    <w:panose1 w:val="020B0604020202020204"/>
  </w:font>
  <w:font w:name="隶书">
    <w:panose1 w:val="020105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2713990</wp:posOffset>
              </wp:positionH>
              <wp:positionV relativeFrom="paragraph">
                <wp:posOffset>8255</wp:posOffset>
              </wp:positionV>
              <wp:extent cx="128905" cy="139700"/>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28988"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13.7pt;mso-position-horizontal:absolute;mso-position-vertical-relative:text;margin-top:0.7pt;mso-position-vertical:absolute;width:10.2pt;height:11.0pt;mso-wrap-distance-left:9.0pt;mso-wrap-distance-top:0.0pt;mso-wrap-distance-right:9.0pt;mso-wrap-distance-bottom:0.0pt;v-text-anchor:top;visibility:visible;" filled="f" stroked="f" strokeweight="0.50pt">
              <v:textbox inset="0,0,0,0">
                <w:txbxContent>
                  <w:p>
                    <w:pPr>
                      <w:pStyle w:val="71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JSZC-320900-JZCG-G2026-0063</w:t>
    </w:r>
    <w:r>
      <w:rPr>
        <w:rFonts w:hint="eastAsia"/>
        <w:sz w:val="22"/>
        <w:szCs w:val="22"/>
      </w:rPr>
      <w:t xml:space="preserve">）</w:t>
    </w:r>
    <w:r>
      <w:rPr>
        <w:rFonts w:eastAsia="隶书"/>
        <w:spacing w:val="40"/>
        <w:sz w:val="22"/>
        <w:szCs w:val="22"/>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ind w:left="0" w:firstLine="0"/>
        <w:tabs>
          <w:tab w:val="left" w:pos="0" w:leader="none"/>
        </w:tabs>
      </w:pPr>
      <w:rPr>
        <w:rFonts w:hint="eastAsia"/>
      </w:rPr>
    </w:lvl>
    <w:lvl w:ilvl="1">
      <w:start w:val="1"/>
      <w:numFmt w:val="bullet"/>
      <w:isLgl w:val="false"/>
      <w:suff w:val="tab"/>
      <w:lvlText w:val="o"/>
      <w:lvlJc w:val="left"/>
      <w:pPr>
        <w:ind w:left="1440" w:hanging="360"/>
        <w:tabs>
          <w:tab w:val="left" w:pos="0" w:leader="none"/>
        </w:tabs>
      </w:pPr>
      <w:rPr>
        <w:rFonts w:ascii="Courier New" w:hAnsi="Courier New" w:eastAsia="Courier New" w:cs="Courier New"/>
      </w:rPr>
    </w:lvl>
    <w:lvl w:ilvl="2">
      <w:start w:val="1"/>
      <w:numFmt w:val="bullet"/>
      <w:isLgl w:val="false"/>
      <w:suff w:val="tab"/>
      <w:lvlText w:val="§"/>
      <w:lvlJc w:val="left"/>
      <w:pPr>
        <w:ind w:left="2160" w:hanging="360"/>
        <w:tabs>
          <w:tab w:val="left" w:pos="0" w:leader="none"/>
        </w:tabs>
      </w:pPr>
      <w:rPr>
        <w:rFonts w:ascii="Wingdings" w:hAnsi="Wingdings" w:eastAsia="Wingdings" w:cs="Wingdings"/>
      </w:rPr>
    </w:lvl>
    <w:lvl w:ilvl="3">
      <w:start w:val="1"/>
      <w:numFmt w:val="bullet"/>
      <w:isLgl w:val="false"/>
      <w:suff w:val="tab"/>
      <w:lvlText w:val="·"/>
      <w:lvlJc w:val="left"/>
      <w:pPr>
        <w:ind w:left="2880" w:hanging="360"/>
        <w:tabs>
          <w:tab w:val="left" w:pos="0" w:leader="none"/>
        </w:tabs>
      </w:pPr>
      <w:rPr>
        <w:rFonts w:ascii="Symbol" w:hAnsi="Symbol" w:eastAsia="Symbol" w:cs="Symbol"/>
      </w:rPr>
    </w:lvl>
    <w:lvl w:ilvl="4">
      <w:start w:val="1"/>
      <w:numFmt w:val="bullet"/>
      <w:isLgl w:val="false"/>
      <w:suff w:val="tab"/>
      <w:lvlText w:val="o"/>
      <w:lvlJc w:val="left"/>
      <w:pPr>
        <w:ind w:left="3600" w:hanging="360"/>
        <w:tabs>
          <w:tab w:val="left" w:pos="0" w:leader="none"/>
        </w:tabs>
      </w:pPr>
      <w:rPr>
        <w:rFonts w:ascii="Courier New" w:hAnsi="Courier New" w:eastAsia="Courier New" w:cs="Courier New"/>
      </w:rPr>
    </w:lvl>
    <w:lvl w:ilvl="5">
      <w:start w:val="1"/>
      <w:numFmt w:val="bullet"/>
      <w:isLgl w:val="false"/>
      <w:suff w:val="tab"/>
      <w:lvlText w:val="§"/>
      <w:lvlJc w:val="left"/>
      <w:pPr>
        <w:ind w:left="4320" w:hanging="360"/>
        <w:tabs>
          <w:tab w:val="left" w:pos="0" w:leader="none"/>
        </w:tabs>
      </w:pPr>
      <w:rPr>
        <w:rFonts w:ascii="Wingdings" w:hAnsi="Wingdings" w:eastAsia="Wingdings" w:cs="Wingdings"/>
      </w:rPr>
    </w:lvl>
    <w:lvl w:ilvl="6">
      <w:start w:val="1"/>
      <w:numFmt w:val="bullet"/>
      <w:isLgl w:val="false"/>
      <w:suff w:val="tab"/>
      <w:lvlText w:val="·"/>
      <w:lvlJc w:val="left"/>
      <w:pPr>
        <w:ind w:left="5040" w:hanging="360"/>
        <w:tabs>
          <w:tab w:val="left" w:pos="0" w:leader="none"/>
        </w:tabs>
      </w:pPr>
      <w:rPr>
        <w:rFonts w:ascii="Symbol" w:hAnsi="Symbol" w:eastAsia="Symbol" w:cs="Symbol"/>
      </w:rPr>
    </w:lvl>
    <w:lvl w:ilvl="7">
      <w:start w:val="1"/>
      <w:numFmt w:val="bullet"/>
      <w:isLgl w:val="false"/>
      <w:suff w:val="tab"/>
      <w:lvlText w:val="o"/>
      <w:lvlJc w:val="left"/>
      <w:pPr>
        <w:ind w:left="5760" w:hanging="360"/>
        <w:tabs>
          <w:tab w:val="left" w:pos="0" w:leader="none"/>
        </w:tabs>
      </w:pPr>
      <w:rPr>
        <w:rFonts w:ascii="Courier New" w:hAnsi="Courier New" w:eastAsia="Courier New" w:cs="Courier New"/>
      </w:rPr>
    </w:lvl>
    <w:lvl w:ilvl="8">
      <w:start w:val="1"/>
      <w:numFmt w:val="bullet"/>
      <w:isLgl w:val="false"/>
      <w:suff w:val="tab"/>
      <w:lvlText w:val="§"/>
      <w:lvlJc w:val="left"/>
      <w:pPr>
        <w:ind w:left="6480" w:hanging="360"/>
        <w:tabs>
          <w:tab w:val="left" w:pos="0" w:leader="none"/>
        </w:tabs>
      </w:pPr>
      <w:rPr>
        <w:rFonts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7" w:default="1">
    <w:name w:val="Normal"/>
    <w:next w:val="699"/>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88">
    <w:name w:val="Heading 1"/>
    <w:basedOn w:val="687"/>
    <w:next w:val="687"/>
    <w:link w:val="763"/>
    <w:uiPriority w:val="9"/>
    <w:qFormat/>
    <w:pPr>
      <w:keepLines/>
      <w:keepNext/>
      <w:spacing w:before="480" w:after="200"/>
      <w:outlineLvl w:val="0"/>
    </w:pPr>
    <w:rPr>
      <w:rFonts w:ascii="Arial" w:hAnsi="Arial" w:eastAsia="Arial" w:cs="Arial"/>
      <w:sz w:val="40"/>
      <w:szCs w:val="40"/>
    </w:rPr>
  </w:style>
  <w:style w:type="paragraph" w:styleId="689">
    <w:name w:val="Heading 2"/>
    <w:basedOn w:val="687"/>
    <w:next w:val="687"/>
    <w:uiPriority w:val="0"/>
    <w:unhideWhenUsed/>
    <w:qFormat/>
    <w:pPr>
      <w:jc w:val="left"/>
      <w:spacing w:beforeAutospacing="1" w:afterAutospacing="1"/>
      <w:outlineLvl w:val="1"/>
    </w:pPr>
    <w:rPr>
      <w:rFonts w:hint="eastAsia" w:ascii="宋体" w:hAnsi="宋体" w:eastAsia="宋体" w:cs="Times New Roman"/>
      <w:b/>
      <w:bCs/>
      <w:sz w:val="36"/>
      <w:szCs w:val="36"/>
    </w:rPr>
  </w:style>
  <w:style w:type="paragraph" w:styleId="690">
    <w:name w:val="Heading 3"/>
    <w:basedOn w:val="687"/>
    <w:next w:val="687"/>
    <w:link w:val="765"/>
    <w:uiPriority w:val="9"/>
    <w:unhideWhenUsed/>
    <w:qFormat/>
    <w:pPr>
      <w:keepLines/>
      <w:keepNext/>
      <w:spacing w:before="320" w:after="200"/>
      <w:outlineLvl w:val="2"/>
    </w:pPr>
    <w:rPr>
      <w:rFonts w:ascii="Arial" w:hAnsi="Arial" w:eastAsia="Arial" w:cs="Arial"/>
      <w:sz w:val="30"/>
      <w:szCs w:val="30"/>
    </w:rPr>
  </w:style>
  <w:style w:type="paragraph" w:styleId="691">
    <w:name w:val="Heading 4"/>
    <w:basedOn w:val="687"/>
    <w:next w:val="687"/>
    <w:link w:val="766"/>
    <w:uiPriority w:val="9"/>
    <w:unhideWhenUsed/>
    <w:qFormat/>
    <w:pPr>
      <w:keepLines/>
      <w:keepNext/>
      <w:spacing w:before="320" w:after="200"/>
      <w:outlineLvl w:val="3"/>
    </w:pPr>
    <w:rPr>
      <w:rFonts w:ascii="Arial" w:hAnsi="Arial" w:eastAsia="Arial" w:cs="Arial"/>
      <w:b/>
      <w:bCs/>
      <w:sz w:val="26"/>
      <w:szCs w:val="26"/>
    </w:rPr>
  </w:style>
  <w:style w:type="paragraph" w:styleId="692">
    <w:name w:val="Heading 5"/>
    <w:basedOn w:val="687"/>
    <w:next w:val="687"/>
    <w:link w:val="767"/>
    <w:uiPriority w:val="9"/>
    <w:unhideWhenUsed/>
    <w:qFormat/>
    <w:pPr>
      <w:keepLines/>
      <w:keepNext/>
      <w:spacing w:before="320" w:after="200"/>
      <w:outlineLvl w:val="4"/>
    </w:pPr>
    <w:rPr>
      <w:rFonts w:ascii="Arial" w:hAnsi="Arial" w:eastAsia="Arial" w:cs="Arial"/>
      <w:b/>
      <w:bCs/>
      <w:sz w:val="24"/>
    </w:rPr>
  </w:style>
  <w:style w:type="paragraph" w:styleId="693">
    <w:name w:val="Heading 6"/>
    <w:basedOn w:val="687"/>
    <w:next w:val="687"/>
    <w:link w:val="768"/>
    <w:uiPriority w:val="9"/>
    <w:unhideWhenUsed/>
    <w:qFormat/>
    <w:pPr>
      <w:keepLines/>
      <w:keepNext/>
      <w:spacing w:before="320" w:after="200"/>
      <w:outlineLvl w:val="5"/>
    </w:pPr>
    <w:rPr>
      <w:rFonts w:ascii="Arial" w:hAnsi="Arial" w:eastAsia="Arial" w:cs="Arial"/>
      <w:b/>
      <w:bCs/>
      <w:sz w:val="22"/>
      <w:szCs w:val="22"/>
    </w:rPr>
  </w:style>
  <w:style w:type="paragraph" w:styleId="694">
    <w:name w:val="Heading 7"/>
    <w:basedOn w:val="687"/>
    <w:next w:val="687"/>
    <w:link w:val="769"/>
    <w:uiPriority w:val="9"/>
    <w:unhideWhenUsed/>
    <w:qFormat/>
    <w:pPr>
      <w:keepLines/>
      <w:keepNext/>
      <w:spacing w:before="320" w:after="200"/>
      <w:outlineLvl w:val="6"/>
    </w:pPr>
    <w:rPr>
      <w:rFonts w:ascii="Arial" w:hAnsi="Arial" w:eastAsia="Arial" w:cs="Arial"/>
      <w:b/>
      <w:bCs/>
      <w:i/>
      <w:iCs/>
      <w:sz w:val="22"/>
      <w:szCs w:val="22"/>
    </w:rPr>
  </w:style>
  <w:style w:type="paragraph" w:styleId="695">
    <w:name w:val="Heading 8"/>
    <w:basedOn w:val="687"/>
    <w:next w:val="687"/>
    <w:link w:val="770"/>
    <w:uiPriority w:val="9"/>
    <w:unhideWhenUsed/>
    <w:qFormat/>
    <w:pPr>
      <w:keepLines/>
      <w:keepNext/>
      <w:spacing w:before="320" w:after="200"/>
      <w:outlineLvl w:val="7"/>
    </w:pPr>
    <w:rPr>
      <w:rFonts w:ascii="Arial" w:hAnsi="Arial" w:eastAsia="Arial" w:cs="Arial"/>
      <w:i/>
      <w:iCs/>
      <w:sz w:val="22"/>
      <w:szCs w:val="22"/>
    </w:rPr>
  </w:style>
  <w:style w:type="paragraph" w:styleId="696">
    <w:name w:val="Heading 9"/>
    <w:basedOn w:val="687"/>
    <w:next w:val="687"/>
    <w:link w:val="771"/>
    <w:uiPriority w:val="9"/>
    <w:unhideWhenUsed/>
    <w:qFormat/>
    <w:pPr>
      <w:keepLines/>
      <w:keepNext/>
      <w:spacing w:before="320" w:after="200"/>
      <w:outlineLvl w:val="8"/>
    </w:pPr>
    <w:rPr>
      <w:rFonts w:ascii="Arial" w:hAnsi="Arial" w:eastAsia="Arial" w:cs="Arial"/>
      <w:i/>
      <w:iCs/>
      <w:szCs w:val="21"/>
    </w:rPr>
  </w:style>
  <w:style w:type="character" w:styleId="697" w:default="1">
    <w:name w:val="Default Paragraph Font"/>
    <w:uiPriority w:val="1"/>
    <w:semiHidden/>
    <w:unhideWhenUsed/>
  </w:style>
  <w:style w:type="table" w:styleId="698" w:default="1">
    <w:name w:val="Normal Table"/>
    <w:uiPriority w:val="99"/>
    <w:semiHidden/>
    <w:unhideWhenUsed/>
    <w:tblPr>
      <w:tblCellMar>
        <w:left w:w="108" w:type="dxa"/>
        <w:top w:w="0" w:type="dxa"/>
        <w:right w:w="108" w:type="dxa"/>
        <w:bottom w:w="0" w:type="dxa"/>
      </w:tblCellMar>
    </w:tblPr>
  </w:style>
  <w:style w:type="paragraph" w:styleId="699">
    <w:name w:val="Block Text"/>
    <w:basedOn w:val="687"/>
    <w:uiPriority w:val="0"/>
    <w:qFormat/>
    <w:pPr>
      <w:ind w:left="1440" w:right="1440"/>
      <w:spacing w:after="120"/>
      <w:tabs>
        <w:tab w:val="left" w:pos="9000" w:leader="none"/>
      </w:tabs>
    </w:pPr>
  </w:style>
  <w:style w:type="paragraph" w:styleId="700">
    <w:name w:val="toc 7"/>
    <w:basedOn w:val="687"/>
    <w:next w:val="687"/>
    <w:uiPriority w:val="39"/>
    <w:unhideWhenUsed/>
    <w:qFormat/>
    <w:pPr>
      <w:ind w:left="1701"/>
      <w:spacing w:after="57"/>
    </w:pPr>
  </w:style>
  <w:style w:type="paragraph" w:styleId="701">
    <w:name w:val="Caption"/>
    <w:basedOn w:val="687"/>
    <w:next w:val="687"/>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02">
    <w:name w:val="annotation text"/>
    <w:basedOn w:val="687"/>
    <w:uiPriority w:val="0"/>
    <w:qFormat/>
    <w:pPr>
      <w:jc w:val="left"/>
    </w:pPr>
  </w:style>
  <w:style w:type="paragraph" w:styleId="703">
    <w:name w:val="Body Text"/>
    <w:basedOn w:val="687"/>
    <w:uiPriority w:val="0"/>
    <w:semiHidden/>
    <w:qFormat/>
    <w:rPr>
      <w:rFonts w:ascii="仿宋" w:hAnsi="仿宋" w:eastAsia="仿宋" w:cs="仿宋"/>
      <w:sz w:val="31"/>
      <w:szCs w:val="31"/>
      <w:lang w:eastAsia="en-US"/>
    </w:rPr>
  </w:style>
  <w:style w:type="paragraph" w:styleId="704">
    <w:name w:val="Body Text Indent"/>
    <w:basedOn w:val="687"/>
    <w:uiPriority w:val="0"/>
    <w:qFormat/>
    <w:pPr>
      <w:ind w:firstLine="645"/>
    </w:pPr>
    <w:rPr>
      <w:rFonts w:ascii="楷体_GB2312" w:eastAsia="楷体_GB2312"/>
      <w:sz w:val="32"/>
      <w:szCs w:val="32"/>
    </w:rPr>
  </w:style>
  <w:style w:type="paragraph" w:styleId="705">
    <w:name w:val="toc 5"/>
    <w:basedOn w:val="687"/>
    <w:next w:val="687"/>
    <w:uiPriority w:val="39"/>
    <w:unhideWhenUsed/>
    <w:qFormat/>
    <w:pPr>
      <w:ind w:left="1134"/>
      <w:spacing w:after="57"/>
    </w:pPr>
  </w:style>
  <w:style w:type="paragraph" w:styleId="706">
    <w:name w:val="toc 3"/>
    <w:basedOn w:val="687"/>
    <w:next w:val="687"/>
    <w:uiPriority w:val="39"/>
    <w:unhideWhenUsed/>
    <w:qFormat/>
    <w:pPr>
      <w:ind w:left="567"/>
      <w:spacing w:after="57"/>
    </w:pPr>
  </w:style>
  <w:style w:type="paragraph" w:styleId="707">
    <w:name w:val="Plain Text"/>
    <w:basedOn w:val="687"/>
    <w:uiPriority w:val="0"/>
    <w:qFormat/>
    <w:rPr>
      <w:rFonts w:hint="eastAsia" w:ascii="宋体" w:hAnsi="Courier New"/>
      <w:szCs w:val="20"/>
    </w:rPr>
  </w:style>
  <w:style w:type="paragraph" w:styleId="708">
    <w:name w:val="toc 8"/>
    <w:basedOn w:val="687"/>
    <w:next w:val="687"/>
    <w:uiPriority w:val="39"/>
    <w:unhideWhenUsed/>
    <w:qFormat/>
    <w:pPr>
      <w:ind w:left="1984"/>
      <w:spacing w:after="57"/>
    </w:pPr>
  </w:style>
  <w:style w:type="paragraph" w:styleId="709">
    <w:name w:val="endnote text"/>
    <w:basedOn w:val="687"/>
    <w:link w:val="908"/>
    <w:uiPriority w:val="99"/>
    <w:semiHidden/>
    <w:unhideWhenUsed/>
    <w:qFormat/>
    <w:rPr>
      <w:sz w:val="20"/>
    </w:rPr>
  </w:style>
  <w:style w:type="paragraph" w:styleId="710">
    <w:name w:val="Footer"/>
    <w:basedOn w:val="687"/>
    <w:link w:val="912"/>
    <w:uiPriority w:val="0"/>
    <w:qFormat/>
    <w:pPr>
      <w:jc w:val="left"/>
      <w:tabs>
        <w:tab w:val="center" w:pos="4153" w:leader="none"/>
        <w:tab w:val="right" w:pos="8306" w:leader="none"/>
      </w:tabs>
    </w:pPr>
    <w:rPr>
      <w:sz w:val="18"/>
      <w:szCs w:val="18"/>
    </w:rPr>
  </w:style>
  <w:style w:type="paragraph" w:styleId="711">
    <w:name w:val="envelope return"/>
    <w:basedOn w:val="687"/>
    <w:uiPriority w:val="0"/>
    <w:qFormat/>
    <w:rPr>
      <w:rFonts w:ascii="Arial" w:hAnsi="Arial"/>
    </w:rPr>
  </w:style>
  <w:style w:type="paragraph" w:styleId="712">
    <w:name w:val="Header"/>
    <w:basedOn w:val="687"/>
    <w:link w:val="911"/>
    <w:uiPriority w:val="0"/>
    <w:qFormat/>
    <w:pPr>
      <w:jc w:val="center"/>
      <w:tabs>
        <w:tab w:val="center" w:pos="4153" w:leader="none"/>
        <w:tab w:val="right" w:pos="8306" w:leader="none"/>
      </w:tabs>
      <w:pBdr>
        <w:bottom w:val="single" w:color="auto" w:sz="6" w:space="1"/>
      </w:pBdr>
    </w:pPr>
    <w:rPr>
      <w:sz w:val="18"/>
      <w:szCs w:val="18"/>
    </w:rPr>
  </w:style>
  <w:style w:type="paragraph" w:styleId="713">
    <w:name w:val="toc 1"/>
    <w:basedOn w:val="687"/>
    <w:next w:val="687"/>
    <w:uiPriority w:val="39"/>
    <w:unhideWhenUsed/>
    <w:qFormat/>
    <w:pPr>
      <w:spacing w:after="57"/>
    </w:pPr>
  </w:style>
  <w:style w:type="paragraph" w:styleId="714">
    <w:name w:val="toc 4"/>
    <w:basedOn w:val="687"/>
    <w:next w:val="687"/>
    <w:uiPriority w:val="39"/>
    <w:unhideWhenUsed/>
    <w:qFormat/>
    <w:pPr>
      <w:ind w:left="850"/>
      <w:spacing w:after="57"/>
    </w:pPr>
  </w:style>
  <w:style w:type="paragraph" w:styleId="715">
    <w:name w:val="Subtitle"/>
    <w:basedOn w:val="687"/>
    <w:next w:val="687"/>
    <w:link w:val="774"/>
    <w:uiPriority w:val="11"/>
    <w:qFormat/>
    <w:pPr>
      <w:spacing w:before="200" w:after="200"/>
    </w:pPr>
    <w:rPr>
      <w:sz w:val="24"/>
    </w:rPr>
  </w:style>
  <w:style w:type="paragraph" w:styleId="716">
    <w:name w:val="footnote text"/>
    <w:basedOn w:val="687"/>
    <w:link w:val="907"/>
    <w:uiPriority w:val="99"/>
    <w:semiHidden/>
    <w:unhideWhenUsed/>
    <w:qFormat/>
    <w:pPr>
      <w:spacing w:after="40"/>
    </w:pPr>
    <w:rPr>
      <w:sz w:val="18"/>
    </w:rPr>
  </w:style>
  <w:style w:type="paragraph" w:styleId="717">
    <w:name w:val="toc 6"/>
    <w:basedOn w:val="687"/>
    <w:next w:val="687"/>
    <w:uiPriority w:val="39"/>
    <w:unhideWhenUsed/>
    <w:qFormat/>
    <w:pPr>
      <w:ind w:left="1417"/>
      <w:spacing w:after="57"/>
    </w:pPr>
  </w:style>
  <w:style w:type="paragraph" w:styleId="718">
    <w:name w:val="table of figures"/>
    <w:basedOn w:val="687"/>
    <w:next w:val="687"/>
    <w:uiPriority w:val="99"/>
    <w:unhideWhenUsed/>
    <w:qFormat/>
  </w:style>
  <w:style w:type="paragraph" w:styleId="719">
    <w:name w:val="toc 2"/>
    <w:basedOn w:val="687"/>
    <w:next w:val="687"/>
    <w:uiPriority w:val="39"/>
    <w:qFormat/>
    <w:pPr>
      <w:ind w:left="210"/>
      <w:jc w:val="left"/>
    </w:pPr>
    <w:rPr>
      <w:smallCaps/>
    </w:rPr>
  </w:style>
  <w:style w:type="paragraph" w:styleId="720">
    <w:name w:val="toc 9"/>
    <w:basedOn w:val="687"/>
    <w:next w:val="687"/>
    <w:uiPriority w:val="39"/>
    <w:unhideWhenUsed/>
    <w:qFormat/>
    <w:pPr>
      <w:ind w:left="2268"/>
      <w:spacing w:after="57"/>
    </w:pPr>
  </w:style>
  <w:style w:type="paragraph" w:styleId="721">
    <w:name w:val="Normal (Web)"/>
    <w:basedOn w:val="687"/>
    <w:uiPriority w:val="0"/>
    <w:qFormat/>
    <w:pPr>
      <w:jc w:val="left"/>
      <w:spacing w:beforeAutospacing="1" w:afterAutospacing="1"/>
    </w:pPr>
    <w:rPr>
      <w:rFonts w:cs="Times New Roman"/>
      <w:sz w:val="24"/>
    </w:rPr>
  </w:style>
  <w:style w:type="paragraph" w:styleId="722">
    <w:name w:val="Title"/>
    <w:basedOn w:val="687"/>
    <w:next w:val="687"/>
    <w:link w:val="773"/>
    <w:uiPriority w:val="10"/>
    <w:qFormat/>
    <w:pPr>
      <w:contextualSpacing/>
      <w:spacing w:before="300" w:after="200"/>
    </w:pPr>
    <w:rPr>
      <w:sz w:val="48"/>
      <w:szCs w:val="48"/>
    </w:rPr>
  </w:style>
  <w:style w:type="paragraph" w:styleId="723">
    <w:name w:val="Body Text First Indent 2"/>
    <w:basedOn w:val="704"/>
    <w:uiPriority w:val="0"/>
    <w:qFormat/>
    <w:pPr>
      <w:ind w:firstLine="420"/>
      <w:spacing w:line="360" w:lineRule="auto"/>
    </w:pPr>
    <w:rPr>
      <w:rFonts w:ascii="宋体" w:hAnsi="宋体" w:eastAsia="宋体"/>
      <w:sz w:val="21"/>
      <w:szCs w:val="20"/>
    </w:rPr>
  </w:style>
  <w:style w:type="table" w:styleId="724">
    <w:name w:val="Table Grid"/>
    <w:basedOn w:val="69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5">
    <w:name w:val="endnote reference"/>
    <w:basedOn w:val="697"/>
    <w:uiPriority w:val="99"/>
    <w:semiHidden/>
    <w:unhideWhenUsed/>
    <w:qFormat/>
    <w:rPr>
      <w:vertAlign w:val="superscript"/>
    </w:rPr>
  </w:style>
  <w:style w:type="character" w:styleId="726">
    <w:name w:val="Emphasis"/>
    <w:uiPriority w:val="0"/>
    <w:qFormat/>
    <w:rPr>
      <w:i/>
    </w:rPr>
  </w:style>
  <w:style w:type="character" w:styleId="727">
    <w:name w:val="Hyperlink"/>
    <w:uiPriority w:val="99"/>
    <w:unhideWhenUsed/>
    <w:qFormat/>
    <w:rPr>
      <w:color w:val="0563c1" w:themeColor="hyperlink"/>
      <w:u w:val="single"/>
      <w14:textFill>
        <w14:solidFill>
          <w14:schemeClr w14:val="hlink"/>
        </w14:solidFill>
      </w14:textFill>
    </w:rPr>
  </w:style>
  <w:style w:type="character" w:styleId="728">
    <w:name w:val="footnote reference"/>
    <w:basedOn w:val="697"/>
    <w:uiPriority w:val="99"/>
    <w:unhideWhenUsed/>
    <w:qFormat/>
    <w:rPr>
      <w:vertAlign w:val="superscript"/>
    </w:rPr>
  </w:style>
  <w:style w:type="character" w:styleId="729" w:customStyle="1">
    <w:name w:val="Heading 1 Char"/>
    <w:basedOn w:val="697"/>
    <w:uiPriority w:val="9"/>
    <w:qFormat/>
    <w:rPr>
      <w:rFonts w:ascii="Arial" w:hAnsi="Arial" w:eastAsia="Arial" w:cs="Arial"/>
      <w:sz w:val="40"/>
      <w:szCs w:val="40"/>
    </w:rPr>
  </w:style>
  <w:style w:type="character" w:styleId="730" w:customStyle="1">
    <w:name w:val="Heading 3 Char"/>
    <w:basedOn w:val="697"/>
    <w:uiPriority w:val="9"/>
    <w:qFormat/>
    <w:rPr>
      <w:rFonts w:ascii="Arial" w:hAnsi="Arial" w:eastAsia="Arial" w:cs="Arial"/>
      <w:sz w:val="30"/>
      <w:szCs w:val="30"/>
    </w:rPr>
  </w:style>
  <w:style w:type="character" w:styleId="731" w:customStyle="1">
    <w:name w:val="Heading 4 Char"/>
    <w:basedOn w:val="697"/>
    <w:uiPriority w:val="9"/>
    <w:qFormat/>
    <w:rPr>
      <w:rFonts w:ascii="Arial" w:hAnsi="Arial" w:eastAsia="Arial" w:cs="Arial"/>
      <w:b/>
      <w:bCs/>
      <w:sz w:val="26"/>
      <w:szCs w:val="26"/>
    </w:rPr>
  </w:style>
  <w:style w:type="character" w:styleId="732" w:customStyle="1">
    <w:name w:val="Heading 5 Char"/>
    <w:basedOn w:val="697"/>
    <w:uiPriority w:val="9"/>
    <w:qFormat/>
    <w:rPr>
      <w:rFonts w:ascii="Arial" w:hAnsi="Arial" w:eastAsia="Arial" w:cs="Arial"/>
      <w:b/>
      <w:bCs/>
      <w:sz w:val="24"/>
      <w:szCs w:val="24"/>
    </w:rPr>
  </w:style>
  <w:style w:type="character" w:styleId="733" w:customStyle="1">
    <w:name w:val="Heading 6 Char"/>
    <w:basedOn w:val="697"/>
    <w:uiPriority w:val="9"/>
    <w:qFormat/>
    <w:rPr>
      <w:rFonts w:ascii="Arial" w:hAnsi="Arial" w:eastAsia="Arial" w:cs="Arial"/>
      <w:b/>
      <w:bCs/>
      <w:sz w:val="22"/>
      <w:szCs w:val="22"/>
    </w:rPr>
  </w:style>
  <w:style w:type="character" w:styleId="734" w:customStyle="1">
    <w:name w:val="Heading 7 Char"/>
    <w:basedOn w:val="697"/>
    <w:uiPriority w:val="9"/>
    <w:qFormat/>
    <w:rPr>
      <w:rFonts w:ascii="Arial" w:hAnsi="Arial" w:eastAsia="Arial" w:cs="Arial"/>
      <w:b/>
      <w:bCs/>
      <w:i/>
      <w:iCs/>
      <w:sz w:val="22"/>
      <w:szCs w:val="22"/>
    </w:rPr>
  </w:style>
  <w:style w:type="character" w:styleId="735" w:customStyle="1">
    <w:name w:val="Heading 8 Char"/>
    <w:basedOn w:val="697"/>
    <w:uiPriority w:val="9"/>
    <w:qFormat/>
    <w:rPr>
      <w:rFonts w:ascii="Arial" w:hAnsi="Arial" w:eastAsia="Arial" w:cs="Arial"/>
      <w:i/>
      <w:iCs/>
      <w:sz w:val="22"/>
      <w:szCs w:val="22"/>
    </w:rPr>
  </w:style>
  <w:style w:type="character" w:styleId="736" w:customStyle="1">
    <w:name w:val="Heading 9 Char"/>
    <w:basedOn w:val="697"/>
    <w:uiPriority w:val="9"/>
    <w:qFormat/>
    <w:rPr>
      <w:rFonts w:ascii="Arial" w:hAnsi="Arial" w:eastAsia="Arial" w:cs="Arial"/>
      <w:i/>
      <w:iCs/>
      <w:sz w:val="21"/>
      <w:szCs w:val="21"/>
    </w:rPr>
  </w:style>
  <w:style w:type="character" w:styleId="737" w:customStyle="1">
    <w:name w:val="Title Char"/>
    <w:basedOn w:val="697"/>
    <w:uiPriority w:val="10"/>
    <w:qFormat/>
    <w:rPr>
      <w:sz w:val="48"/>
      <w:szCs w:val="48"/>
    </w:rPr>
  </w:style>
  <w:style w:type="character" w:styleId="738" w:customStyle="1">
    <w:name w:val="Subtitle Char"/>
    <w:basedOn w:val="697"/>
    <w:uiPriority w:val="11"/>
    <w:qFormat/>
    <w:rPr>
      <w:sz w:val="24"/>
      <w:szCs w:val="24"/>
    </w:rPr>
  </w:style>
  <w:style w:type="character" w:styleId="739" w:customStyle="1">
    <w:name w:val="Quote Char"/>
    <w:uiPriority w:val="29"/>
    <w:qFormat/>
    <w:rPr>
      <w:i/>
    </w:rPr>
  </w:style>
  <w:style w:type="character" w:styleId="740" w:customStyle="1">
    <w:name w:val="Intense Quote Char"/>
    <w:uiPriority w:val="30"/>
    <w:qFormat/>
    <w:rPr>
      <w:i/>
    </w:rPr>
  </w:style>
  <w:style w:type="table" w:styleId="741" w:customStyle="1">
    <w:name w:val="Plain Table 1"/>
    <w:basedOn w:val="69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2"/>
    <w:basedOn w:val="69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Plain Table 3"/>
    <w:basedOn w:val="6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customStyle="1">
    <w:name w:val="Plain Table 4"/>
    <w:basedOn w:val="6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customStyle="1">
    <w:name w:val="Plain Table 5"/>
    <w:basedOn w:val="6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6" w:customStyle="1">
    <w:name w:val="Grid Table 1 Light"/>
    <w:basedOn w:val="69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7" w:customStyle="1">
    <w:name w:val="Grid Table 2"/>
    <w:basedOn w:val="6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8" w:customStyle="1">
    <w:name w:val="Grid Table 3"/>
    <w:basedOn w:val="6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4"/>
    <w:basedOn w:val="69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customStyle="1">
    <w:name w:val="Grid Table 5 Dark"/>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1" w:customStyle="1">
    <w:name w:val="Grid Table 6 Colorful"/>
    <w:basedOn w:val="69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2" w:customStyle="1">
    <w:name w:val="Grid Table 7 Colorful"/>
    <w:basedOn w:val="69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3" w:customStyle="1">
    <w:name w:val="List Table 1 Light"/>
    <w:basedOn w:val="69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4" w:customStyle="1">
    <w:name w:val="List Table 2"/>
    <w:basedOn w:val="69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5" w:customStyle="1">
    <w:name w:val="List Table 3"/>
    <w:basedOn w:val="6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6" w:customStyle="1">
    <w:name w:val="List Table 4"/>
    <w:basedOn w:val="6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7" w:customStyle="1">
    <w:name w:val="List Table 5 Dark"/>
    <w:basedOn w:val="69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8" w:customStyle="1">
    <w:name w:val="List Table 6 Colorful"/>
    <w:basedOn w:val="69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9" w:customStyle="1">
    <w:name w:val="List Table 7 Colorful"/>
    <w:basedOn w:val="69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0" w:customStyle="1">
    <w:name w:val="Footnote Text Char"/>
    <w:uiPriority w:val="99"/>
    <w:qFormat/>
    <w:rPr>
      <w:sz w:val="18"/>
    </w:rPr>
  </w:style>
  <w:style w:type="character" w:styleId="761" w:customStyle="1">
    <w:name w:val="Endnote Text Char"/>
    <w:uiPriority w:val="99"/>
    <w:qFormat/>
    <w:rPr>
      <w:sz w:val="20"/>
    </w:rPr>
  </w:style>
  <w:style w:type="paragraph" w:styleId="762" w:customStyle="1">
    <w:name w:val="TOC Heading"/>
    <w:uiPriority w:val="39"/>
    <w:unhideWhenUsed/>
    <w:qFormat/>
    <w:rPr>
      <w:rFonts w:ascii="Times New Roman" w:hAnsi="Times New Roman" w:eastAsia="宋体" w:cs="Times New Roman"/>
      <w:lang w:val="en-US" w:eastAsia="zh-CN" w:bidi="ar-SA"/>
    </w:rPr>
  </w:style>
  <w:style w:type="character" w:styleId="763" w:customStyle="1">
    <w:name w:val="标题 1 字符"/>
    <w:basedOn w:val="697"/>
    <w:link w:val="688"/>
    <w:uiPriority w:val="9"/>
    <w:qFormat/>
    <w:rPr>
      <w:rFonts w:ascii="Arial" w:hAnsi="Arial" w:eastAsia="Arial" w:cs="Arial"/>
      <w:sz w:val="40"/>
      <w:szCs w:val="40"/>
    </w:rPr>
  </w:style>
  <w:style w:type="character" w:styleId="764" w:customStyle="1">
    <w:name w:val="Heading 2 Char"/>
    <w:basedOn w:val="697"/>
    <w:uiPriority w:val="9"/>
    <w:qFormat/>
    <w:rPr>
      <w:rFonts w:ascii="Arial" w:hAnsi="Arial" w:eastAsia="Arial" w:cs="Arial"/>
      <w:sz w:val="34"/>
    </w:rPr>
  </w:style>
  <w:style w:type="character" w:styleId="765" w:customStyle="1">
    <w:name w:val="标题 3 字符"/>
    <w:basedOn w:val="697"/>
    <w:link w:val="690"/>
    <w:uiPriority w:val="9"/>
    <w:qFormat/>
    <w:rPr>
      <w:rFonts w:ascii="Arial" w:hAnsi="Arial" w:eastAsia="Arial" w:cs="Arial"/>
      <w:sz w:val="30"/>
      <w:szCs w:val="30"/>
    </w:rPr>
  </w:style>
  <w:style w:type="character" w:styleId="766" w:customStyle="1">
    <w:name w:val="标题 4 字符"/>
    <w:basedOn w:val="697"/>
    <w:link w:val="691"/>
    <w:uiPriority w:val="9"/>
    <w:qFormat/>
    <w:rPr>
      <w:rFonts w:ascii="Arial" w:hAnsi="Arial" w:eastAsia="Arial" w:cs="Arial"/>
      <w:b/>
      <w:bCs/>
      <w:sz w:val="26"/>
      <w:szCs w:val="26"/>
    </w:rPr>
  </w:style>
  <w:style w:type="character" w:styleId="767" w:customStyle="1">
    <w:name w:val="标题 5 字符"/>
    <w:basedOn w:val="697"/>
    <w:link w:val="692"/>
    <w:uiPriority w:val="9"/>
    <w:qFormat/>
    <w:rPr>
      <w:rFonts w:ascii="Arial" w:hAnsi="Arial" w:eastAsia="Arial" w:cs="Arial"/>
      <w:b/>
      <w:bCs/>
      <w:sz w:val="24"/>
      <w:szCs w:val="24"/>
    </w:rPr>
  </w:style>
  <w:style w:type="character" w:styleId="768" w:customStyle="1">
    <w:name w:val="标题 6 字符"/>
    <w:basedOn w:val="697"/>
    <w:link w:val="693"/>
    <w:uiPriority w:val="9"/>
    <w:qFormat/>
    <w:rPr>
      <w:rFonts w:ascii="Arial" w:hAnsi="Arial" w:eastAsia="Arial" w:cs="Arial"/>
      <w:b/>
      <w:bCs/>
      <w:sz w:val="22"/>
      <w:szCs w:val="22"/>
    </w:rPr>
  </w:style>
  <w:style w:type="character" w:styleId="769" w:customStyle="1">
    <w:name w:val="标题 7 字符"/>
    <w:basedOn w:val="697"/>
    <w:link w:val="694"/>
    <w:uiPriority w:val="9"/>
    <w:qFormat/>
    <w:rPr>
      <w:rFonts w:ascii="Arial" w:hAnsi="Arial" w:eastAsia="Arial" w:cs="Arial"/>
      <w:b/>
      <w:bCs/>
      <w:i/>
      <w:iCs/>
      <w:sz w:val="22"/>
      <w:szCs w:val="22"/>
    </w:rPr>
  </w:style>
  <w:style w:type="character" w:styleId="770" w:customStyle="1">
    <w:name w:val="标题 8 字符"/>
    <w:basedOn w:val="697"/>
    <w:link w:val="695"/>
    <w:uiPriority w:val="9"/>
    <w:qFormat/>
    <w:rPr>
      <w:rFonts w:ascii="Arial" w:hAnsi="Arial" w:eastAsia="Arial" w:cs="Arial"/>
      <w:i/>
      <w:iCs/>
      <w:sz w:val="22"/>
      <w:szCs w:val="22"/>
    </w:rPr>
  </w:style>
  <w:style w:type="character" w:styleId="771" w:customStyle="1">
    <w:name w:val="标题 9 字符"/>
    <w:basedOn w:val="697"/>
    <w:link w:val="696"/>
    <w:uiPriority w:val="9"/>
    <w:qFormat/>
    <w:rPr>
      <w:rFonts w:ascii="Arial" w:hAnsi="Arial" w:eastAsia="Arial" w:cs="Arial"/>
      <w:i/>
      <w:iCs/>
      <w:sz w:val="21"/>
      <w:szCs w:val="21"/>
    </w:rPr>
  </w:style>
  <w:style w:type="paragraph" w:styleId="772">
    <w:name w:val="No Spacing"/>
    <w:uiPriority w:val="1"/>
    <w:qFormat/>
    <w:rPr>
      <w:rFonts w:ascii="Times New Roman" w:hAnsi="Times New Roman" w:eastAsia="宋体" w:cs="Times New Roman"/>
      <w:lang w:val="en-US" w:eastAsia="zh-CN" w:bidi="ar-SA"/>
    </w:rPr>
  </w:style>
  <w:style w:type="character" w:styleId="773" w:customStyle="1">
    <w:name w:val="标题 字符"/>
    <w:basedOn w:val="697"/>
    <w:link w:val="722"/>
    <w:uiPriority w:val="10"/>
    <w:qFormat/>
    <w:rPr>
      <w:sz w:val="48"/>
      <w:szCs w:val="48"/>
    </w:rPr>
  </w:style>
  <w:style w:type="character" w:styleId="774" w:customStyle="1">
    <w:name w:val="副标题 字符"/>
    <w:basedOn w:val="697"/>
    <w:link w:val="715"/>
    <w:uiPriority w:val="11"/>
    <w:qFormat/>
    <w:rPr>
      <w:sz w:val="24"/>
      <w:szCs w:val="24"/>
    </w:rPr>
  </w:style>
  <w:style w:type="paragraph" w:styleId="775">
    <w:name w:val="Quote"/>
    <w:basedOn w:val="687"/>
    <w:next w:val="687"/>
    <w:link w:val="776"/>
    <w:uiPriority w:val="29"/>
    <w:qFormat/>
    <w:pPr>
      <w:ind w:left="720" w:right="720"/>
    </w:pPr>
    <w:rPr>
      <w:i/>
    </w:rPr>
  </w:style>
  <w:style w:type="character" w:styleId="776" w:customStyle="1">
    <w:name w:val="引用 字符"/>
    <w:link w:val="775"/>
    <w:uiPriority w:val="29"/>
    <w:qFormat/>
    <w:rPr>
      <w:i/>
    </w:rPr>
  </w:style>
  <w:style w:type="paragraph" w:styleId="777">
    <w:name w:val="Intense Quote"/>
    <w:basedOn w:val="687"/>
    <w:next w:val="687"/>
    <w:link w:val="7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customStyle="1">
    <w:name w:val="明显引用 字符"/>
    <w:link w:val="777"/>
    <w:uiPriority w:val="30"/>
    <w:qFormat/>
    <w:rPr>
      <w:i/>
    </w:rPr>
  </w:style>
  <w:style w:type="character" w:styleId="779" w:customStyle="1">
    <w:name w:val="Header Char"/>
    <w:basedOn w:val="697"/>
    <w:uiPriority w:val="99"/>
    <w:qFormat/>
  </w:style>
  <w:style w:type="character" w:styleId="780" w:customStyle="1">
    <w:name w:val="Footer Char"/>
    <w:basedOn w:val="697"/>
    <w:uiPriority w:val="99"/>
    <w:qFormat/>
  </w:style>
  <w:style w:type="character" w:styleId="781" w:customStyle="1">
    <w:name w:val="Caption Char"/>
    <w:uiPriority w:val="99"/>
    <w:qFormat/>
  </w:style>
  <w:style w:type="table" w:styleId="782" w:customStyle="1">
    <w:name w:val="Table Grid Light"/>
    <w:basedOn w:val="69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83" w:customStyle="1">
    <w:name w:val="无格式表格 11"/>
    <w:basedOn w:val="69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21"/>
    <w:basedOn w:val="69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无格式表格 31"/>
    <w:basedOn w:val="6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customStyle="1">
    <w:name w:val="无格式表格 41"/>
    <w:basedOn w:val="6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customStyle="1">
    <w:name w:val="无格式表格 51"/>
    <w:basedOn w:val="6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8" w:customStyle="1">
    <w:name w:val="网格表 1 浅色1"/>
    <w:basedOn w:val="69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1"/>
    <w:basedOn w:val="69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2"/>
    <w:basedOn w:val="69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3"/>
    <w:basedOn w:val="69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4"/>
    <w:basedOn w:val="69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5"/>
    <w:basedOn w:val="69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6"/>
    <w:basedOn w:val="69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5" w:customStyle="1">
    <w:name w:val="网格表 21"/>
    <w:basedOn w:val="6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6" w:customStyle="1">
    <w:name w:val="Grid Table 2 - Accent 1"/>
    <w:basedOn w:val="69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97" w:customStyle="1">
    <w:name w:val="Grid Table 2 - Accent 2"/>
    <w:basedOn w:val="69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98" w:customStyle="1">
    <w:name w:val="Grid Table 2 - Accent 3"/>
    <w:basedOn w:val="69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9" w:customStyle="1">
    <w:name w:val="Grid Table 2 - Accent 4"/>
    <w:basedOn w:val="69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00" w:customStyle="1">
    <w:name w:val="Grid Table 2 - Accent 5"/>
    <w:basedOn w:val="69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01" w:customStyle="1">
    <w:name w:val="Grid Table 2 - Accent 6"/>
    <w:basedOn w:val="69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2" w:customStyle="1">
    <w:name w:val="网格表 31"/>
    <w:basedOn w:val="6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1"/>
    <w:basedOn w:val="69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2"/>
    <w:basedOn w:val="69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3"/>
    <w:basedOn w:val="69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4"/>
    <w:basedOn w:val="69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5"/>
    <w:basedOn w:val="69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6"/>
    <w:basedOn w:val="69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网格表 41"/>
    <w:basedOn w:val="69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customStyle="1">
    <w:name w:val="Grid Table 4 - Accent 1"/>
    <w:basedOn w:val="69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11" w:customStyle="1">
    <w:name w:val="Grid Table 4 - Accent 2"/>
    <w:basedOn w:val="69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12" w:customStyle="1">
    <w:name w:val="Grid Table 4 - Accent 3"/>
    <w:basedOn w:val="69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3" w:customStyle="1">
    <w:name w:val="Grid Table 4 - Accent 4"/>
    <w:basedOn w:val="69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14" w:customStyle="1">
    <w:name w:val="Grid Table 4 - Accent 5"/>
    <w:basedOn w:val="69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15" w:customStyle="1">
    <w:name w:val="Grid Table 4 - Accent 6"/>
    <w:basedOn w:val="69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6" w:customStyle="1">
    <w:name w:val="网格表 5 深色1"/>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7" w:customStyle="1">
    <w:name w:val="Grid Table 5 Dark- Accent 1"/>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18" w:customStyle="1">
    <w:name w:val="Grid Table 5 Dark - Accent 2"/>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9" w:customStyle="1">
    <w:name w:val="Grid Table 5 Dark - Accent 3"/>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0" w:customStyle="1">
    <w:name w:val="Grid Table 5 Dark- Accent 4"/>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1" w:customStyle="1">
    <w:name w:val="Grid Table 5 Dark - Accent 5"/>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22" w:customStyle="1">
    <w:name w:val="Grid Table 5 Dark - Accent 6"/>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3" w:customStyle="1">
    <w:name w:val="网格表 6 彩色1"/>
    <w:basedOn w:val="69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4" w:customStyle="1">
    <w:name w:val="Grid Table 6 Colorful - Accent 1"/>
    <w:basedOn w:val="698"/>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25" w:customStyle="1">
    <w:name w:val="Grid Table 6 Colorful - Accent 2"/>
    <w:basedOn w:val="69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26" w:customStyle="1">
    <w:name w:val="Grid Table 6 Colorful - Accent 3"/>
    <w:basedOn w:val="69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27" w:customStyle="1">
    <w:name w:val="Grid Table 6 Colorful - Accent 4"/>
    <w:basedOn w:val="69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28" w:customStyle="1">
    <w:name w:val="Grid Table 6 Colorful - Accent 5"/>
    <w:basedOn w:val="69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9" w:customStyle="1">
    <w:name w:val="Grid Table 6 Colorful - Accent 6"/>
    <w:basedOn w:val="69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0" w:customStyle="1">
    <w:name w:val="网格表 7 彩色1"/>
    <w:basedOn w:val="69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1" w:customStyle="1">
    <w:name w:val="Grid Table 7 Colorful - Accent 1"/>
    <w:basedOn w:val="698"/>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32" w:customStyle="1">
    <w:name w:val="Grid Table 7 Colorful - Accent 2"/>
    <w:basedOn w:val="69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3" w:customStyle="1">
    <w:name w:val="Grid Table 7 Colorful - Accent 3"/>
    <w:basedOn w:val="69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4" w:customStyle="1">
    <w:name w:val="Grid Table 7 Colorful - Accent 4"/>
    <w:basedOn w:val="69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5" w:customStyle="1">
    <w:name w:val="Grid Table 7 Colorful - Accent 5"/>
    <w:basedOn w:val="69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36" w:customStyle="1">
    <w:name w:val="Grid Table 7 Colorful - Accent 6"/>
    <w:basedOn w:val="69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7" w:customStyle="1">
    <w:name w:val="清单表 1 浅色1"/>
    <w:basedOn w:val="69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customStyle="1">
    <w:name w:val="List Table 1 Light - Accent 1"/>
    <w:basedOn w:val="698"/>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39" w:customStyle="1">
    <w:name w:val="List Table 1 Light - Accent 2"/>
    <w:basedOn w:val="69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0" w:customStyle="1">
    <w:name w:val="List Table 1 Light - Accent 3"/>
    <w:basedOn w:val="69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1" w:customStyle="1">
    <w:name w:val="List Table 1 Light - Accent 4"/>
    <w:basedOn w:val="698"/>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2" w:customStyle="1">
    <w:name w:val="List Table 1 Light - Accent 5"/>
    <w:basedOn w:val="698"/>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43" w:customStyle="1">
    <w:name w:val="List Table 1 Light - Accent 6"/>
    <w:basedOn w:val="69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4" w:customStyle="1">
    <w:name w:val="清单表 21"/>
    <w:basedOn w:val="69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5" w:customStyle="1">
    <w:name w:val="List Table 2 - Accent 1"/>
    <w:basedOn w:val="69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46" w:customStyle="1">
    <w:name w:val="List Table 2 - Accent 2"/>
    <w:basedOn w:val="69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7" w:customStyle="1">
    <w:name w:val="List Table 2 - Accent 3"/>
    <w:basedOn w:val="69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8" w:customStyle="1">
    <w:name w:val="List Table 2 - Accent 4"/>
    <w:basedOn w:val="69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49" w:customStyle="1">
    <w:name w:val="List Table 2 - Accent 5"/>
    <w:basedOn w:val="69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50" w:customStyle="1">
    <w:name w:val="List Table 2 - Accent 6"/>
    <w:basedOn w:val="69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1" w:customStyle="1">
    <w:name w:val="清单表 31"/>
    <w:basedOn w:val="6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3 - Accent 1"/>
    <w:basedOn w:val="69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3" w:customStyle="1">
    <w:name w:val="List Table 3 - Accent 2"/>
    <w:basedOn w:val="69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54" w:customStyle="1">
    <w:name w:val="List Table 3 - Accent 3"/>
    <w:basedOn w:val="69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5" w:customStyle="1">
    <w:name w:val="List Table 3 - Accent 4"/>
    <w:basedOn w:val="69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56" w:customStyle="1">
    <w:name w:val="List Table 3 - Accent 5"/>
    <w:basedOn w:val="698"/>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57" w:customStyle="1">
    <w:name w:val="List Table 3 - Accent 6"/>
    <w:basedOn w:val="69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8" w:customStyle="1">
    <w:name w:val="清单表 41"/>
    <w:basedOn w:val="6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4 - Accent 1"/>
    <w:basedOn w:val="69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0" w:customStyle="1">
    <w:name w:val="List Table 4 - Accent 2"/>
    <w:basedOn w:val="69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1" w:customStyle="1">
    <w:name w:val="List Table 4 - Accent 3"/>
    <w:basedOn w:val="69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2" w:customStyle="1">
    <w:name w:val="List Table 4 - Accent 4"/>
    <w:basedOn w:val="69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3" w:customStyle="1">
    <w:name w:val="List Table 4 - Accent 5"/>
    <w:basedOn w:val="69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64" w:customStyle="1">
    <w:name w:val="List Table 4 - Accent 6"/>
    <w:basedOn w:val="69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5" w:customStyle="1">
    <w:name w:val="清单表 5 深色1"/>
    <w:basedOn w:val="69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1"/>
    <w:basedOn w:val="69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2"/>
    <w:basedOn w:val="69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3"/>
    <w:basedOn w:val="69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4"/>
    <w:basedOn w:val="69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5"/>
    <w:basedOn w:val="69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6"/>
    <w:basedOn w:val="69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清单表 6 彩色1"/>
    <w:basedOn w:val="69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3" w:customStyle="1">
    <w:name w:val="List Table 6 Colorful - Accent 1"/>
    <w:basedOn w:val="698"/>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74" w:customStyle="1">
    <w:name w:val="List Table 6 Colorful - Accent 2"/>
    <w:basedOn w:val="698"/>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75" w:customStyle="1">
    <w:name w:val="List Table 6 Colorful - Accent 3"/>
    <w:basedOn w:val="69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76" w:customStyle="1">
    <w:name w:val="List Table 6 Colorful - Accent 4"/>
    <w:basedOn w:val="698"/>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77" w:customStyle="1">
    <w:name w:val="List Table 6 Colorful - Accent 5"/>
    <w:basedOn w:val="698"/>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78" w:customStyle="1">
    <w:name w:val="List Table 6 Colorful - Accent 6"/>
    <w:basedOn w:val="69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79" w:customStyle="1">
    <w:name w:val="清单表 7 彩色1"/>
    <w:basedOn w:val="69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0" w:customStyle="1">
    <w:name w:val="List Table 7 Colorful - Accent 1"/>
    <w:basedOn w:val="698"/>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81" w:customStyle="1">
    <w:name w:val="List Table 7 Colorful - Accent 2"/>
    <w:basedOn w:val="698"/>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2" w:customStyle="1">
    <w:name w:val="List Table 7 Colorful - Accent 3"/>
    <w:basedOn w:val="698"/>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3" w:customStyle="1">
    <w:name w:val="List Table 7 Colorful - Accent 4"/>
    <w:basedOn w:val="698"/>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4" w:customStyle="1">
    <w:name w:val="List Table 7 Colorful - Accent 5"/>
    <w:basedOn w:val="698"/>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85" w:customStyle="1">
    <w:name w:val="List Table 7 Colorful - Accent 6"/>
    <w:basedOn w:val="698"/>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6" w:customStyle="1">
    <w:name w:val="Lined - Accent"/>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7" w:customStyle="1">
    <w:name w:val="Lined - Accent 1"/>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8" w:customStyle="1">
    <w:name w:val="Lined - Accent 2"/>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9" w:customStyle="1">
    <w:name w:val="Lined - Accent 3"/>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0" w:customStyle="1">
    <w:name w:val="Lined - Accent 4"/>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1" w:customStyle="1">
    <w:name w:val="Lined - Accent 5"/>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2" w:customStyle="1">
    <w:name w:val="Lined - Accent 6"/>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3" w:customStyle="1">
    <w:name w:val="Bordered &amp; Lined - Accent"/>
    <w:basedOn w:val="69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Bordered &amp; Lined - Accent 1"/>
    <w:basedOn w:val="698"/>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5" w:customStyle="1">
    <w:name w:val="Bordered &amp; Lined - Accent 2"/>
    <w:basedOn w:val="69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6" w:customStyle="1">
    <w:name w:val="Bordered &amp; Lined - Accent 3"/>
    <w:basedOn w:val="69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7" w:customStyle="1">
    <w:name w:val="Bordered &amp; Lined - Accent 4"/>
    <w:basedOn w:val="69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8" w:customStyle="1">
    <w:name w:val="Bordered &amp; Lined - Accent 5"/>
    <w:basedOn w:val="698"/>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9" w:customStyle="1">
    <w:name w:val="Bordered &amp; Lined - Accent 6"/>
    <w:basedOn w:val="69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0" w:customStyle="1">
    <w:name w:val="Bordered"/>
    <w:basedOn w:val="69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1" w:customStyle="1">
    <w:name w:val="Bordered - Accent 1"/>
    <w:basedOn w:val="69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2" w:customStyle="1">
    <w:name w:val="Bordered - Accent 2"/>
    <w:basedOn w:val="69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03" w:customStyle="1">
    <w:name w:val="Bordered - Accent 3"/>
    <w:basedOn w:val="69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4" w:customStyle="1">
    <w:name w:val="Bordered - Accent 4"/>
    <w:basedOn w:val="69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05" w:customStyle="1">
    <w:name w:val="Bordered - Accent 5"/>
    <w:basedOn w:val="69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06" w:customStyle="1">
    <w:name w:val="Bordered - Accent 6"/>
    <w:basedOn w:val="69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7" w:customStyle="1">
    <w:name w:val="脚注文本 字符"/>
    <w:link w:val="716"/>
    <w:uiPriority w:val="99"/>
    <w:qFormat/>
    <w:rPr>
      <w:sz w:val="18"/>
    </w:rPr>
  </w:style>
  <w:style w:type="character" w:styleId="908" w:customStyle="1">
    <w:name w:val="尾注文本 字符"/>
    <w:link w:val="709"/>
    <w:uiPriority w:val="99"/>
    <w:qFormat/>
    <w:rPr>
      <w:sz w:val="20"/>
    </w:rPr>
  </w:style>
  <w:style w:type="paragraph" w:styleId="909" w:customStyle="1">
    <w:name w:val="TOC 标题1"/>
    <w:uiPriority w:val="39"/>
    <w:unhideWhenUsed/>
    <w:qFormat/>
    <w:rPr>
      <w:rFonts w:ascii="Times New Roman" w:hAnsi="Times New Roman" w:eastAsia="宋体" w:cs="Times New Roman"/>
      <w:lang w:val="en-US" w:eastAsia="zh-CN" w:bidi="ar-SA"/>
    </w:rPr>
  </w:style>
  <w:style w:type="paragraph" w:styleId="910" w:customStyle="1">
    <w:name w:val="Default"/>
    <w:basedOn w:val="687"/>
    <w:uiPriority w:val="0"/>
    <w:semiHidden/>
    <w:qFormat/>
    <w:pPr>
      <w:jc w:val="left"/>
    </w:pPr>
    <w:rPr>
      <w:rFonts w:ascii="宋体" w:hAnsi="Calibri" w:cs="宋体"/>
      <w:color w:val="000000"/>
      <w:sz w:val="24"/>
    </w:rPr>
  </w:style>
  <w:style w:type="character" w:styleId="911" w:customStyle="1">
    <w:name w:val="页眉 字符"/>
    <w:basedOn w:val="697"/>
    <w:link w:val="712"/>
    <w:uiPriority w:val="0"/>
    <w:qFormat/>
    <w:rPr>
      <w:rFonts w:asciiTheme="minorHAnsi" w:hAnsiTheme="minorHAnsi" w:eastAsiaTheme="minorEastAsia" w:cstheme="minorBidi"/>
      <w:sz w:val="18"/>
      <w:szCs w:val="18"/>
    </w:rPr>
  </w:style>
  <w:style w:type="character" w:styleId="912" w:customStyle="1">
    <w:name w:val="页脚 字符"/>
    <w:basedOn w:val="697"/>
    <w:link w:val="710"/>
    <w:uiPriority w:val="0"/>
    <w:qFormat/>
    <w:rPr>
      <w:rFonts w:asciiTheme="minorHAnsi" w:hAnsiTheme="minorHAnsi" w:eastAsiaTheme="minorEastAsia" w:cstheme="minorBidi"/>
      <w:sz w:val="18"/>
      <w:szCs w:val="18"/>
    </w:rPr>
  </w:style>
  <w:style w:type="paragraph" w:styleId="913" w:customStyle="1">
    <w:name w:val="普通正文"/>
    <w:basedOn w:val="687"/>
    <w:uiPriority w:val="0"/>
    <w:qFormat/>
    <w:pPr>
      <w:ind w:firstLine="480"/>
      <w:jc w:val="left"/>
      <w:spacing w:before="120" w:after="120" w:line="360" w:lineRule="auto"/>
    </w:pPr>
    <w:rPr>
      <w:rFonts w:ascii="Arial" w:hAnsi="Arial" w:eastAsia="等线" w:cs="Arial"/>
      <w:sz w:val="24"/>
    </w:rPr>
  </w:style>
  <w:style w:type="paragraph" w:styleId="914" w:customStyle="1">
    <w:name w:val="正文首行缩进 21"/>
    <w:basedOn w:val="915"/>
    <w:uiPriority w:val="0"/>
    <w:qFormat/>
    <w:pPr>
      <w:ind w:firstLine="420"/>
    </w:pPr>
  </w:style>
  <w:style w:type="paragraph" w:styleId="915" w:customStyle="1">
    <w:name w:val="正文文本缩进1"/>
    <w:basedOn w:val="687"/>
    <w:uiPriority w:val="0"/>
    <w:qFormat/>
    <w:pPr>
      <w:ind w:left="420"/>
      <w:spacing w:after="120"/>
    </w:pPr>
  </w:style>
  <w:style w:type="paragraph" w:styleId="916">
    <w:name w:val="List Paragraph"/>
    <w:basedOn w:val="687"/>
    <w:uiPriority w:val="99"/>
    <w:qFormat/>
    <w:pPr>
      <w:ind w:firstLine="420"/>
    </w:pPr>
  </w:style>
  <w:style w:type="paragraph" w:styleId="917" w:customStyle="1">
    <w:name w:val="页眉12"/>
    <w:uiPriority w:val="0"/>
    <w:qFormat/>
    <w:pPr>
      <w:ind w:firstLine="420"/>
      <w:jc w:val="center"/>
      <w:spacing w:line="360" w:lineRule="auto"/>
      <w:widowControl w:val="off"/>
      <w:tabs>
        <w:tab w:val="center" w:pos="4153" w:leader="none"/>
        <w:tab w:val="right" w:pos="8306" w:leader="none"/>
      </w:tabs>
      <w:pBdr>
        <w:bottom w:val="single" w:color="000000" w:sz="6" w:space="1"/>
      </w:pBdr>
    </w:pPr>
    <w:rPr>
      <w:rFonts w:ascii="宋体" w:hAnsi="Times New Roman" w:eastAsia="宋体" w:cs="宋体"/>
      <w:color w:val="000000"/>
      <w:sz w:val="18"/>
      <w:szCs w:val="18"/>
      <w:lang w:val="en-US" w:eastAsia="zh-CN" w:bidi="ar-SA"/>
    </w:rPr>
  </w:style>
  <w:style w:type="paragraph" w:styleId="918" w:customStyle="1">
    <w:name w:val="页眉11"/>
    <w:uiPriority w:val="0"/>
    <w:qFormat/>
    <w:pPr>
      <w:ind w:firstLine="420"/>
      <w:jc w:val="center"/>
      <w:spacing w:line="360" w:lineRule="auto"/>
      <w:widowControl w:val="off"/>
      <w:tabs>
        <w:tab w:val="center" w:pos="4153" w:leader="none"/>
        <w:tab w:val="right" w:pos="8306" w:leader="none"/>
      </w:tabs>
      <w:pBdr>
        <w:bottom w:val="single" w:color="000000" w:sz="6" w:space="1"/>
      </w:pBdr>
    </w:pPr>
    <w:rPr>
      <w:rFonts w:ascii="宋体" w:hAnsi="Times New Roman" w:eastAsia="宋体" w:cs="宋体"/>
      <w:color w:val="000000"/>
      <w:sz w:val="18"/>
      <w:szCs w:val="18"/>
      <w:lang w:val="en-US" w:eastAsia="zh-CN" w:bidi="ar-SA"/>
    </w:rPr>
  </w:style>
  <w:style w:type="paragraph" w:styleId="919" w:customStyle="1">
    <w:name w:val="页脚111"/>
    <w:uiPriority w:val="0"/>
    <w:qFormat/>
    <w:pPr>
      <w:ind w:firstLine="420"/>
      <w:spacing w:line="360" w:lineRule="auto"/>
      <w:widowControl w:val="off"/>
      <w:tabs>
        <w:tab w:val="center" w:pos="7143" w:leader="none"/>
        <w:tab w:val="right" w:pos="14287" w:leader="none"/>
      </w:tabs>
    </w:pPr>
    <w:rPr>
      <w:rFonts w:ascii="宋体" w:hAnsi="Times New Roman" w:eastAsia="宋体" w:cs="宋体"/>
      <w:color w:val="000000"/>
      <w:sz w:val="22"/>
      <w:szCs w:val="21"/>
      <w:lang w:val="en-US" w:eastAsia="zh-CN" w:bidi="ar-SA"/>
    </w:rPr>
  </w:style>
  <w:style w:type="paragraph" w:styleId="920" w:customStyle="1">
    <w:name w:val="Footer1"/>
    <w:uiPriority w:val="0"/>
    <w:qFormat/>
    <w:pPr>
      <w:ind w:firstLine="420"/>
      <w:spacing w:line="360" w:lineRule="auto"/>
      <w:widowControl w:val="off"/>
      <w:tabs>
        <w:tab w:val="center" w:pos="4153" w:leader="none"/>
        <w:tab w:val="right" w:pos="8306" w:leader="none"/>
      </w:tabs>
    </w:pPr>
    <w:rPr>
      <w:rFonts w:ascii="宋体" w:hAnsi="Times New Roman" w:eastAsia="宋体" w:cs="宋体"/>
      <w:color w:val="000000"/>
      <w:sz w:val="18"/>
      <w:szCs w:val="18"/>
      <w:lang w:val="en-US" w:eastAsia="zh-CN" w:bidi="ar-SA"/>
    </w:rPr>
  </w:style>
  <w:style w:type="paragraph" w:styleId="921" w:customStyle="1">
    <w:name w:val="页脚11"/>
    <w:uiPriority w:val="0"/>
    <w:qFormat/>
    <w:pPr>
      <w:ind w:firstLine="420"/>
      <w:spacing w:line="360" w:lineRule="auto"/>
      <w:widowControl w:val="off"/>
      <w:tabs>
        <w:tab w:val="center" w:pos="4153" w:leader="none"/>
        <w:tab w:val="right" w:pos="8306" w:leader="none"/>
      </w:tabs>
    </w:pPr>
    <w:rPr>
      <w:rFonts w:ascii="宋体" w:hAnsi="Times New Roman" w:eastAsia="宋体" w:cs="宋体"/>
      <w:color w:val="000000"/>
      <w:sz w:val="18"/>
      <w:lang w:val="en-US" w:eastAsia="zh-CN" w:bidi="ar-SA"/>
    </w:rPr>
  </w:style>
  <w:style w:type="character" w:styleId="922" w:customStyle="1">
    <w:name w:val="页码11"/>
    <w:uiPriority w:val="0"/>
    <w:qFormat/>
    <w:rPr>
      <w:rFonts w:asciiTheme="minorHAnsi" w:hAnsiTheme="minorHAnsi" w:eastAsiaTheme="minorEastAsia" w:cstheme="minorBidi"/>
      <w:sz w:val="21"/>
      <w:szCs w:val="24"/>
      <w:lang w:val="en-US" w:eastAsia="zh-CN" w:bidi="ar-SA"/>
    </w:rPr>
  </w:style>
  <w:style w:type="numbering" w:styleId="9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顾伟伟</cp:lastModifiedBy>
  <cp:revision>5</cp:revision>
  <dcterms:created xsi:type="dcterms:W3CDTF">2026-09-18T05:57:00Z</dcterms:created>
  <dcterms:modified xsi:type="dcterms:W3CDTF">2026-09-21T09:27:46Z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49921C5549064D409E242077753F71D4_13</vt:lpwstr>
  </property>
  <property fmtid="{D5CDD505-2E9C-101B-9397-08002B2CF9AE}" pid="4" name="KSOTemplateDocerSaveRecord">
    <vt:lpwstr>eyJoZGlkIjoiODZkZDhiMGRhNjI0MjMyZGNiZjBmZTUwZmY4Yjk1MjEiLCJ1c2VySWQiOiIxNjcxNDc2OTEwIn0=</vt:lpwstr>
  </property>
</Properties>
</file>