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EA8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b/>
          <w:bCs/>
          <w:sz w:val="40"/>
          <w:szCs w:val="40"/>
        </w:rPr>
      </w:pPr>
      <w:bookmarkStart w:id="0" w:name="_GoBack"/>
      <w:bookmarkEnd w:id="0"/>
      <w:r>
        <w:rPr>
          <w:rFonts w:ascii="宋体" w:hAnsi="宋体" w:eastAsia="宋体" w:cs="宋体"/>
          <w:b/>
          <w:bCs/>
          <w:sz w:val="40"/>
          <w:szCs w:val="40"/>
        </w:rPr>
        <w:t>实验室 LIMS 样本管理系统 AI 嵌入及感染性样本出入库模块升级改造</w:t>
      </w:r>
      <w:r>
        <w:rPr>
          <w:b/>
          <w:bCs/>
          <w:sz w:val="40"/>
          <w:szCs w:val="40"/>
        </w:rPr>
        <w:t>采购需求</w:t>
      </w:r>
    </w:p>
    <w:p w14:paraId="0DCA1491">
      <w:pPr>
        <w:pStyle w:val="3"/>
        <w:keepNext w:val="0"/>
        <w:keepLines w:val="0"/>
        <w:widowControl/>
        <w:suppressLineNumbers w:val="0"/>
      </w:pPr>
      <w:r>
        <w:t>（一）核心采购内容</w:t>
      </w:r>
    </w:p>
    <w:p w14:paraId="03B60577">
      <w:pPr>
        <w:pStyle w:val="5"/>
        <w:keepNext w:val="0"/>
        <w:keepLines w:val="0"/>
        <w:widowControl/>
        <w:suppressLineNumbers w:val="0"/>
      </w:pPr>
      <w:r>
        <w:t>（一）核心采购内容</w:t>
      </w:r>
    </w:p>
    <w:p w14:paraId="5BEB0C6A">
      <w:pPr>
        <w:pStyle w:val="5"/>
        <w:keepNext w:val="0"/>
        <w:keepLines w:val="0"/>
        <w:widowControl/>
        <w:suppressLineNumbers w:val="0"/>
        <w:ind w:firstLine="480" w:firstLineChars="200"/>
      </w:pPr>
      <w:r>
        <w:t>本项目为扬州市疾病预防控制中心 LIMS 系统生物样本库和 AI 智能应用采购项目，在本单位现有 LIMS 系统体系内完成生物样本库业务能力落地及 AI 智能应用集成服务，复用本单位现有通义千问 32B 大模型、现有算力服务器资源，不新增采购 AI 服务器、算力服务及模型授权。主要建设内容包含生物样本库相关开发与实施服务、LIMS 系统与样本库双向数据交换接口开发、LIMS 系统前端 AI 适配开发、AI 各业务模型集成部署、历史样本数据清洗迁移、用户培训、上线试运行及配套文档交付等。</w:t>
      </w:r>
    </w:p>
    <w:p w14:paraId="17CA5ED8">
      <w:pPr>
        <w:keepNext w:val="0"/>
        <w:keepLines w:val="0"/>
        <w:widowControl/>
        <w:numPr>
          <w:ilvl w:val="0"/>
          <w:numId w:val="0"/>
        </w:numPr>
        <w:suppressLineNumbers w:val="0"/>
        <w:spacing w:before="0" w:beforeAutospacing="1" w:after="0" w:afterAutospacing="1"/>
      </w:pPr>
      <w:r>
        <w:rPr>
          <w:rFonts w:hint="eastAsia"/>
          <w:lang w:val="en-US" w:eastAsia="zh-CN"/>
        </w:rPr>
        <w:t>1、</w:t>
      </w:r>
      <w:r>
        <w:t>生物样本库业务模块：完成基础数据配置、样本库房管理、样本全状态信息管理、样本入库 / 出库 / 销毁业务流程、样本预警提醒、样本全生命周期管理（亲代关系图谱、全流程操作追溯）等功能的开发、适配、配置实施，实现生物样本从登记、接收、分装、入库、存储、出库、传代到销毁的全闭环数字化管控，满足疾控生物样本业务管理、溯源审计合规要求。</w:t>
      </w:r>
    </w:p>
    <w:p w14:paraId="6BBDC5DC">
      <w:pPr>
        <w:keepNext w:val="0"/>
        <w:keepLines w:val="0"/>
        <w:widowControl/>
        <w:numPr>
          <w:ilvl w:val="0"/>
          <w:numId w:val="0"/>
        </w:numPr>
        <w:suppressLineNumbers w:val="0"/>
        <w:spacing w:before="0" w:beforeAutospacing="1" w:after="0" w:afterAutospacing="1"/>
      </w:pPr>
      <w:r>
        <w:rPr>
          <w:rFonts w:hint="eastAsia"/>
          <w:lang w:val="en-US" w:eastAsia="zh-CN"/>
        </w:rPr>
        <w:t>2、</w:t>
      </w:r>
      <w:r>
        <w:t>LIMS 系统数据交换服务：基于内网 RESTful API 接口、HTTP+JSON 报文格式，实现 LIMS 系统与生物样本库业务模块双向数据同步；LIMS 向样本库同步样本基础信息、检测结果信息；样本库向 LIMS 回写样本存储位置、入库 / 出库 / 销毁状态信息；完成 LIMS 前端 AI 功能入口嵌入与远程调用逻辑开发，实现 LIMS 对独立算力服务器上 AI 服务的调用与结果展示。</w:t>
      </w:r>
    </w:p>
    <w:p w14:paraId="066C07AF">
      <w:pPr>
        <w:keepNext w:val="0"/>
        <w:keepLines w:val="0"/>
        <w:widowControl/>
        <w:numPr>
          <w:ilvl w:val="0"/>
          <w:numId w:val="0"/>
        </w:numPr>
        <w:suppressLineNumbers w:val="0"/>
        <w:spacing w:before="0" w:beforeAutospacing="1" w:after="0" w:afterAutospacing="1"/>
      </w:pPr>
      <w:r>
        <w:rPr>
          <w:rFonts w:hint="eastAsia"/>
          <w:lang w:val="en-US" w:eastAsia="zh-CN"/>
        </w:rPr>
        <w:t>3、</w:t>
      </w:r>
      <w:r>
        <w:t>AI 智能应用模块：依托采购人现有算力服务器部署 AI 知识库、病原链式检测模型、生物安全合规性模型、报告预审模型、原始记录预审模型；采用大模型语义解析 + 业务规则引擎模式，实现样本保藏规范提示、样本超期处置提示、病原检测链式步骤提示、生物安全风险提示、报告 AI 预审、原始记录 AI 预审；支持结构化字段读取以及原始文本附件语义解析；项目交付同步提供全套 AI 服务验收测试用例。</w:t>
      </w:r>
    </w:p>
    <w:p w14:paraId="7AC7F563">
      <w:pPr>
        <w:keepNext w:val="0"/>
        <w:keepLines w:val="0"/>
        <w:widowControl/>
        <w:numPr>
          <w:ilvl w:val="0"/>
          <w:numId w:val="0"/>
        </w:numPr>
        <w:suppressLineNumbers w:val="0"/>
        <w:spacing w:before="0" w:beforeAutospacing="1" w:after="0" w:afterAutospacing="1"/>
      </w:pPr>
      <w:r>
        <w:rPr>
          <w:rFonts w:hint="eastAsia"/>
          <w:lang w:val="en-US" w:eastAsia="zh-CN"/>
        </w:rPr>
        <w:t>4、</w:t>
      </w:r>
      <w:r>
        <w:t>配套服务：历史样本数据清洗迁移服务、管理员及业务用户操作培训、上线试运行支撑、全套项目技术文档交付；</w:t>
      </w:r>
      <w:r>
        <w:rPr>
          <w:rStyle w:val="8"/>
        </w:rPr>
        <w:t>提供长期软硬件兼容保障，因政策或规划需迁移至国产软硬件环境，提供免费全栈适配和平滑迁移服务</w:t>
      </w:r>
      <w:r>
        <w:t>。</w:t>
      </w:r>
    </w:p>
    <w:p w14:paraId="6AF1A128">
      <w:pPr>
        <w:keepNext w:val="0"/>
        <w:keepLines w:val="0"/>
        <w:widowControl/>
        <w:numPr>
          <w:ilvl w:val="0"/>
          <w:numId w:val="0"/>
        </w:numPr>
        <w:suppressLineNumbers w:val="0"/>
        <w:spacing w:before="0" w:beforeAutospacing="1" w:after="0" w:afterAutospacing="1"/>
      </w:pPr>
      <w:r>
        <w:rPr>
          <w:rFonts w:hint="eastAsia"/>
          <w:lang w:val="en-US" w:eastAsia="zh-CN"/>
        </w:rPr>
        <w:t>5、</w:t>
      </w:r>
      <w:r>
        <w:t>交付物：项目实施服务说明书、系统数据交换服务技术文档、管理员及业务用户操作手册、服务验证报告、项目验收方案、全套培训资料、业务配置模板及脚本；完整移交全量源代码、注释、编译环境说明及基础数据。</w:t>
      </w:r>
    </w:p>
    <w:p w14:paraId="100AD662">
      <w:pPr>
        <w:pStyle w:val="5"/>
        <w:keepNext w:val="0"/>
        <w:keepLines w:val="0"/>
        <w:widowControl/>
        <w:suppressLineNumbers w:val="0"/>
      </w:pPr>
      <w:r>
        <w:t>（二）技术参数要求</w:t>
      </w:r>
    </w:p>
    <w:p w14:paraId="0C903E24">
      <w:pPr>
        <w:pStyle w:val="3"/>
        <w:keepNext w:val="0"/>
        <w:keepLines w:val="0"/>
        <w:widowControl/>
        <w:suppressLineNumbers w:val="0"/>
      </w:pPr>
      <w:r>
        <w:t>（二）技术参数要求</w:t>
      </w:r>
    </w:p>
    <w:p w14:paraId="351193B4">
      <w:pPr>
        <w:rPr>
          <w:rFonts w:hint="default" w:eastAsiaTheme="minorEastAsia"/>
          <w:lang w:val="en-US" w:eastAsia="zh-CN"/>
        </w:rPr>
      </w:pPr>
      <w:r>
        <w:rPr>
          <w:rFonts w:hint="eastAsia"/>
          <w:lang w:val="en-US" w:eastAsia="zh-CN"/>
        </w:rPr>
        <w:t>1、核心部署要求</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760"/>
        <w:gridCol w:w="2760"/>
        <w:gridCol w:w="2760"/>
      </w:tblGrid>
      <w:tr w14:paraId="027D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3BCB393C">
            <w:pPr>
              <w:spacing w:line="360" w:lineRule="auto"/>
              <w:jc w:val="left"/>
              <w:rPr>
                <w:rFonts w:hint="eastAsia" w:ascii="宋体" w:hAnsi="宋体" w:cs="宋体"/>
                <w:sz w:val="24"/>
                <w:szCs w:val="24"/>
              </w:rPr>
            </w:pPr>
            <w:r>
              <w:rPr>
                <w:rFonts w:hint="eastAsia" w:ascii="宋体" w:hAnsi="宋体" w:cs="宋体"/>
                <w:sz w:val="24"/>
                <w:szCs w:val="24"/>
              </w:rPr>
              <w:t>模块名称</w:t>
            </w:r>
          </w:p>
        </w:tc>
        <w:tc>
          <w:tcPr>
            <w:tcW w:w="2760" w:type="dxa"/>
            <w:tcMar>
              <w:top w:w="60" w:type="dxa"/>
              <w:left w:w="120" w:type="dxa"/>
              <w:bottom w:w="30" w:type="dxa"/>
              <w:right w:w="120" w:type="dxa"/>
            </w:tcMar>
          </w:tcPr>
          <w:p w14:paraId="14270625">
            <w:pPr>
              <w:spacing w:line="360" w:lineRule="auto"/>
              <w:jc w:val="left"/>
              <w:rPr>
                <w:rFonts w:hint="eastAsia" w:ascii="宋体" w:hAnsi="宋体" w:cs="宋体"/>
                <w:sz w:val="24"/>
                <w:szCs w:val="24"/>
              </w:rPr>
            </w:pPr>
            <w:r>
              <w:rPr>
                <w:rFonts w:hint="eastAsia" w:ascii="宋体" w:hAnsi="宋体" w:cs="宋体"/>
                <w:sz w:val="24"/>
                <w:szCs w:val="24"/>
              </w:rPr>
              <w:t>归属类型</w:t>
            </w:r>
          </w:p>
        </w:tc>
        <w:tc>
          <w:tcPr>
            <w:tcW w:w="2760" w:type="dxa"/>
            <w:tcMar>
              <w:top w:w="60" w:type="dxa"/>
              <w:left w:w="120" w:type="dxa"/>
              <w:bottom w:w="30" w:type="dxa"/>
              <w:right w:w="120" w:type="dxa"/>
            </w:tcMar>
          </w:tcPr>
          <w:p w14:paraId="222E2895">
            <w:pPr>
              <w:spacing w:line="360" w:lineRule="auto"/>
              <w:jc w:val="left"/>
              <w:rPr>
                <w:rFonts w:hint="eastAsia" w:ascii="宋体" w:hAnsi="宋体" w:cs="宋体"/>
                <w:sz w:val="24"/>
                <w:szCs w:val="24"/>
              </w:rPr>
            </w:pPr>
            <w:r>
              <w:rPr>
                <w:rFonts w:hint="eastAsia" w:ascii="宋体" w:hAnsi="宋体" w:cs="宋体"/>
                <w:sz w:val="24"/>
                <w:szCs w:val="24"/>
              </w:rPr>
              <w:t>备注说明</w:t>
            </w:r>
          </w:p>
        </w:tc>
      </w:tr>
      <w:tr w14:paraId="724A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0B18AAAD">
            <w:pPr>
              <w:spacing w:line="360" w:lineRule="auto"/>
              <w:jc w:val="left"/>
              <w:rPr>
                <w:rFonts w:hint="eastAsia" w:ascii="宋体" w:hAnsi="宋体" w:cs="宋体"/>
                <w:sz w:val="24"/>
                <w:szCs w:val="24"/>
              </w:rPr>
            </w:pPr>
            <w:r>
              <w:rPr>
                <w:rFonts w:hint="eastAsia" w:ascii="宋体" w:hAnsi="宋体" w:cs="宋体"/>
                <w:sz w:val="24"/>
                <w:szCs w:val="24"/>
              </w:rPr>
              <w:t>基础数据配置服务</w:t>
            </w:r>
          </w:p>
        </w:tc>
        <w:tc>
          <w:tcPr>
            <w:tcW w:w="2760" w:type="dxa"/>
            <w:tcMar>
              <w:top w:w="60" w:type="dxa"/>
              <w:left w:w="120" w:type="dxa"/>
              <w:bottom w:w="30" w:type="dxa"/>
              <w:right w:w="120" w:type="dxa"/>
            </w:tcMar>
          </w:tcPr>
          <w:p w14:paraId="7228EFA4">
            <w:pPr>
              <w:spacing w:line="360" w:lineRule="auto"/>
              <w:jc w:val="left"/>
              <w:rPr>
                <w:rFonts w:hint="eastAsia" w:ascii="宋体" w:hAnsi="宋体" w:cs="宋体"/>
                <w:sz w:val="24"/>
                <w:szCs w:val="24"/>
              </w:rPr>
            </w:pPr>
            <w:r>
              <w:rPr>
                <w:rFonts w:hint="eastAsia" w:ascii="宋体" w:hAnsi="宋体" w:cs="宋体"/>
                <w:sz w:val="24"/>
                <w:szCs w:val="24"/>
              </w:rPr>
              <w:t>实施服务</w:t>
            </w:r>
          </w:p>
        </w:tc>
        <w:tc>
          <w:tcPr>
            <w:tcW w:w="2760" w:type="dxa"/>
            <w:tcMar>
              <w:top w:w="60" w:type="dxa"/>
              <w:left w:w="120" w:type="dxa"/>
              <w:bottom w:w="30" w:type="dxa"/>
              <w:right w:w="120" w:type="dxa"/>
            </w:tcMar>
          </w:tcPr>
          <w:p w14:paraId="3F0BF585">
            <w:pPr>
              <w:spacing w:line="360" w:lineRule="auto"/>
              <w:jc w:val="left"/>
              <w:rPr>
                <w:rFonts w:hint="eastAsia" w:ascii="宋体" w:hAnsi="宋体" w:cs="宋体"/>
                <w:sz w:val="24"/>
                <w:szCs w:val="24"/>
              </w:rPr>
            </w:pPr>
            <w:r>
              <w:rPr>
                <w:rFonts w:hint="eastAsia" w:ascii="宋体" w:hAnsi="宋体" w:cs="宋体"/>
                <w:sz w:val="24"/>
                <w:szCs w:val="24"/>
              </w:rPr>
              <w:t>适配疾控业务场景，完成检测项目、样本源、检测分类、样本标签模板管理业务配置落地</w:t>
            </w:r>
          </w:p>
        </w:tc>
      </w:tr>
      <w:tr w14:paraId="44DF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3F8912A">
            <w:pPr>
              <w:spacing w:line="360" w:lineRule="auto"/>
              <w:jc w:val="left"/>
              <w:rPr>
                <w:rFonts w:hint="eastAsia" w:ascii="宋体" w:hAnsi="宋体" w:cs="宋体"/>
                <w:sz w:val="24"/>
                <w:szCs w:val="24"/>
              </w:rPr>
            </w:pPr>
            <w:r>
              <w:rPr>
                <w:rFonts w:hint="eastAsia" w:ascii="宋体" w:hAnsi="宋体" w:cs="宋体"/>
                <w:sz w:val="24"/>
                <w:szCs w:val="24"/>
              </w:rPr>
              <w:t>样本库房管理服务</w:t>
            </w:r>
          </w:p>
        </w:tc>
        <w:tc>
          <w:tcPr>
            <w:tcW w:w="2760" w:type="dxa"/>
            <w:tcMar>
              <w:top w:w="60" w:type="dxa"/>
              <w:left w:w="120" w:type="dxa"/>
              <w:bottom w:w="30" w:type="dxa"/>
              <w:right w:w="120" w:type="dxa"/>
            </w:tcMar>
          </w:tcPr>
          <w:p w14:paraId="77CB4C67">
            <w:pPr>
              <w:spacing w:line="360" w:lineRule="auto"/>
              <w:jc w:val="left"/>
              <w:rPr>
                <w:rFonts w:hint="eastAsia" w:ascii="宋体" w:hAnsi="宋体" w:cs="宋体"/>
                <w:sz w:val="24"/>
                <w:szCs w:val="24"/>
              </w:rPr>
            </w:pPr>
            <w:r>
              <w:rPr>
                <w:rFonts w:hint="eastAsia" w:ascii="宋体" w:hAnsi="宋体" w:cs="宋体"/>
                <w:sz w:val="24"/>
                <w:szCs w:val="24"/>
              </w:rPr>
              <w:t>实施服务</w:t>
            </w:r>
          </w:p>
        </w:tc>
        <w:tc>
          <w:tcPr>
            <w:tcW w:w="2760" w:type="dxa"/>
            <w:tcMar>
              <w:top w:w="60" w:type="dxa"/>
              <w:left w:w="120" w:type="dxa"/>
              <w:bottom w:w="30" w:type="dxa"/>
              <w:right w:w="120" w:type="dxa"/>
            </w:tcMar>
          </w:tcPr>
          <w:p w14:paraId="7043BD39">
            <w:pPr>
              <w:spacing w:line="360" w:lineRule="auto"/>
              <w:jc w:val="left"/>
              <w:rPr>
                <w:rFonts w:hint="eastAsia" w:ascii="宋体" w:hAnsi="宋体" w:cs="宋体"/>
                <w:sz w:val="24"/>
                <w:szCs w:val="24"/>
              </w:rPr>
            </w:pPr>
            <w:r>
              <w:rPr>
                <w:rFonts w:hint="eastAsia" w:ascii="宋体" w:hAnsi="宋体" w:cs="宋体"/>
                <w:sz w:val="24"/>
                <w:szCs w:val="24"/>
              </w:rPr>
              <w:t>完成房间管理、容器类型管理、存储设备可视化图形化布局管控业务配置与适配落地</w:t>
            </w:r>
          </w:p>
        </w:tc>
      </w:tr>
      <w:tr w14:paraId="204E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28C57196">
            <w:pPr>
              <w:spacing w:line="360" w:lineRule="auto"/>
              <w:jc w:val="left"/>
              <w:rPr>
                <w:rFonts w:hint="eastAsia" w:ascii="宋体" w:hAnsi="宋体" w:cs="宋体"/>
                <w:sz w:val="24"/>
                <w:szCs w:val="24"/>
              </w:rPr>
            </w:pPr>
            <w:r>
              <w:rPr>
                <w:rFonts w:hint="eastAsia" w:ascii="宋体" w:hAnsi="宋体" w:cs="宋体"/>
                <w:sz w:val="24"/>
                <w:szCs w:val="24"/>
              </w:rPr>
              <w:t>样本信息管理服务</w:t>
            </w:r>
          </w:p>
        </w:tc>
        <w:tc>
          <w:tcPr>
            <w:tcW w:w="2760" w:type="dxa"/>
            <w:tcMar>
              <w:top w:w="60" w:type="dxa"/>
              <w:left w:w="120" w:type="dxa"/>
              <w:bottom w:w="30" w:type="dxa"/>
              <w:right w:w="120" w:type="dxa"/>
            </w:tcMar>
          </w:tcPr>
          <w:p w14:paraId="05F67DD8">
            <w:pPr>
              <w:spacing w:line="360" w:lineRule="auto"/>
              <w:jc w:val="left"/>
              <w:rPr>
                <w:rFonts w:hint="eastAsia" w:ascii="宋体" w:hAnsi="宋体" w:cs="宋体"/>
                <w:sz w:val="24"/>
                <w:szCs w:val="24"/>
              </w:rPr>
            </w:pPr>
            <w:r>
              <w:rPr>
                <w:rFonts w:hint="eastAsia" w:ascii="宋体" w:hAnsi="宋体" w:cs="宋体"/>
                <w:sz w:val="24"/>
                <w:szCs w:val="24"/>
              </w:rPr>
              <w:t>开发服务</w:t>
            </w:r>
          </w:p>
        </w:tc>
        <w:tc>
          <w:tcPr>
            <w:tcW w:w="2760" w:type="dxa"/>
            <w:tcMar>
              <w:top w:w="60" w:type="dxa"/>
              <w:left w:w="120" w:type="dxa"/>
              <w:bottom w:w="30" w:type="dxa"/>
              <w:right w:w="120" w:type="dxa"/>
            </w:tcMar>
          </w:tcPr>
          <w:p w14:paraId="4D1AD414">
            <w:pPr>
              <w:spacing w:line="360" w:lineRule="auto"/>
              <w:jc w:val="left"/>
              <w:rPr>
                <w:rFonts w:hint="eastAsia" w:ascii="宋体" w:hAnsi="宋体" w:cs="宋体"/>
                <w:sz w:val="24"/>
                <w:szCs w:val="24"/>
              </w:rPr>
            </w:pPr>
            <w:r>
              <w:rPr>
                <w:rFonts w:hint="eastAsia" w:ascii="宋体" w:hAnsi="宋体" w:cs="宋体"/>
                <w:sz w:val="24"/>
                <w:szCs w:val="24"/>
              </w:rPr>
              <w:t>实现待接收、待检测、待入库、已入库、终态的全样本状态流程管理业务能力落地</w:t>
            </w:r>
          </w:p>
        </w:tc>
      </w:tr>
      <w:tr w14:paraId="061B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5771556C">
            <w:pPr>
              <w:spacing w:line="360" w:lineRule="auto"/>
              <w:jc w:val="left"/>
              <w:rPr>
                <w:rFonts w:hint="eastAsia" w:ascii="宋体" w:hAnsi="宋体" w:cs="宋体"/>
                <w:sz w:val="24"/>
                <w:szCs w:val="24"/>
              </w:rPr>
            </w:pPr>
            <w:r>
              <w:rPr>
                <w:rFonts w:hint="eastAsia" w:ascii="宋体" w:hAnsi="宋体" w:cs="宋体"/>
                <w:sz w:val="24"/>
                <w:szCs w:val="24"/>
              </w:rPr>
              <w:t>样本入库/出库/销毁流程服务</w:t>
            </w:r>
          </w:p>
        </w:tc>
        <w:tc>
          <w:tcPr>
            <w:tcW w:w="2760" w:type="dxa"/>
            <w:tcMar>
              <w:top w:w="60" w:type="dxa"/>
              <w:left w:w="120" w:type="dxa"/>
              <w:bottom w:w="30" w:type="dxa"/>
              <w:right w:w="120" w:type="dxa"/>
            </w:tcMar>
          </w:tcPr>
          <w:p w14:paraId="7E391844">
            <w:pPr>
              <w:spacing w:line="360" w:lineRule="auto"/>
              <w:jc w:val="left"/>
              <w:rPr>
                <w:rFonts w:hint="eastAsia" w:ascii="宋体" w:hAnsi="宋体" w:cs="宋体"/>
                <w:sz w:val="24"/>
                <w:szCs w:val="24"/>
              </w:rPr>
            </w:pPr>
            <w:r>
              <w:rPr>
                <w:rFonts w:hint="eastAsia" w:ascii="宋体" w:hAnsi="宋体" w:cs="宋体"/>
                <w:sz w:val="24"/>
                <w:szCs w:val="24"/>
              </w:rPr>
              <w:t>开发服务</w:t>
            </w:r>
          </w:p>
        </w:tc>
        <w:tc>
          <w:tcPr>
            <w:tcW w:w="2760" w:type="dxa"/>
            <w:tcMar>
              <w:top w:w="60" w:type="dxa"/>
              <w:left w:w="120" w:type="dxa"/>
              <w:bottom w:w="30" w:type="dxa"/>
              <w:right w:w="120" w:type="dxa"/>
            </w:tcMar>
          </w:tcPr>
          <w:p w14:paraId="3DE52ECA">
            <w:pPr>
              <w:spacing w:line="360" w:lineRule="auto"/>
              <w:jc w:val="left"/>
              <w:rPr>
                <w:rFonts w:hint="eastAsia" w:ascii="宋体" w:hAnsi="宋体" w:cs="宋体"/>
                <w:sz w:val="24"/>
                <w:szCs w:val="24"/>
              </w:rPr>
            </w:pPr>
            <w:r>
              <w:rPr>
                <w:rFonts w:hint="eastAsia" w:ascii="宋体" w:hAnsi="宋体" w:cs="宋体"/>
                <w:sz w:val="24"/>
                <w:szCs w:val="24"/>
              </w:rPr>
              <w:t>完成业务流程配置落地，实现全流程业务办理、审批流转、台账溯源管理能力</w:t>
            </w:r>
          </w:p>
        </w:tc>
      </w:tr>
      <w:tr w14:paraId="3F87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6ABA4975">
            <w:pPr>
              <w:spacing w:line="360" w:lineRule="auto"/>
              <w:jc w:val="left"/>
              <w:rPr>
                <w:rFonts w:hint="eastAsia" w:ascii="宋体" w:hAnsi="宋体" w:cs="宋体"/>
                <w:sz w:val="24"/>
                <w:szCs w:val="24"/>
              </w:rPr>
            </w:pPr>
            <w:r>
              <w:rPr>
                <w:rFonts w:hint="eastAsia" w:ascii="宋体" w:hAnsi="宋体" w:cs="宋体"/>
                <w:sz w:val="24"/>
                <w:szCs w:val="24"/>
              </w:rPr>
              <w:t>样本预警提醒服务</w:t>
            </w:r>
          </w:p>
        </w:tc>
        <w:tc>
          <w:tcPr>
            <w:tcW w:w="2760" w:type="dxa"/>
            <w:tcMar>
              <w:top w:w="60" w:type="dxa"/>
              <w:left w:w="120" w:type="dxa"/>
              <w:bottom w:w="30" w:type="dxa"/>
              <w:right w:w="120" w:type="dxa"/>
            </w:tcMar>
          </w:tcPr>
          <w:p w14:paraId="0C5879C2">
            <w:pPr>
              <w:spacing w:line="360" w:lineRule="auto"/>
              <w:jc w:val="left"/>
              <w:rPr>
                <w:rFonts w:hint="eastAsia" w:ascii="宋体" w:hAnsi="宋体" w:cs="宋体"/>
                <w:sz w:val="24"/>
                <w:szCs w:val="24"/>
              </w:rPr>
            </w:pPr>
            <w:r>
              <w:rPr>
                <w:rFonts w:hint="eastAsia" w:ascii="宋体" w:hAnsi="宋体" w:cs="宋体"/>
                <w:sz w:val="24"/>
                <w:szCs w:val="24"/>
              </w:rPr>
              <w:t>实施服务</w:t>
            </w:r>
          </w:p>
        </w:tc>
        <w:tc>
          <w:tcPr>
            <w:tcW w:w="2760" w:type="dxa"/>
            <w:tcMar>
              <w:top w:w="60" w:type="dxa"/>
              <w:left w:w="120" w:type="dxa"/>
              <w:bottom w:w="30" w:type="dxa"/>
              <w:right w:w="120" w:type="dxa"/>
            </w:tcMar>
          </w:tcPr>
          <w:p w14:paraId="5282296D">
            <w:pPr>
              <w:spacing w:line="360" w:lineRule="auto"/>
              <w:jc w:val="left"/>
              <w:rPr>
                <w:rFonts w:hint="eastAsia" w:ascii="宋体" w:hAnsi="宋体" w:cs="宋体"/>
                <w:sz w:val="24"/>
                <w:szCs w:val="24"/>
              </w:rPr>
            </w:pPr>
            <w:r>
              <w:rPr>
                <w:rFonts w:hint="eastAsia" w:ascii="宋体" w:hAnsi="宋体" w:cs="宋体"/>
                <w:sz w:val="24"/>
                <w:szCs w:val="24"/>
              </w:rPr>
              <w:t>配置样本冻融、逾期未处理、逾期未检测预警逻辑及提醒业务能力</w:t>
            </w:r>
          </w:p>
        </w:tc>
      </w:tr>
      <w:tr w14:paraId="7CAB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593F1BB0">
            <w:pPr>
              <w:spacing w:line="360" w:lineRule="auto"/>
              <w:jc w:val="left"/>
              <w:rPr>
                <w:rFonts w:hint="eastAsia" w:ascii="宋体" w:hAnsi="宋体" w:cs="宋体"/>
                <w:sz w:val="24"/>
                <w:szCs w:val="24"/>
              </w:rPr>
            </w:pPr>
            <w:r>
              <w:rPr>
                <w:rFonts w:hint="eastAsia" w:ascii="宋体" w:hAnsi="宋体" w:cs="宋体"/>
                <w:sz w:val="24"/>
                <w:szCs w:val="24"/>
              </w:rPr>
              <w:t>样本全生命周期管理服务</w:t>
            </w:r>
          </w:p>
        </w:tc>
        <w:tc>
          <w:tcPr>
            <w:tcW w:w="2760" w:type="dxa"/>
            <w:tcMar>
              <w:top w:w="60" w:type="dxa"/>
              <w:left w:w="120" w:type="dxa"/>
              <w:bottom w:w="30" w:type="dxa"/>
              <w:right w:w="120" w:type="dxa"/>
            </w:tcMar>
          </w:tcPr>
          <w:p w14:paraId="78B00EE2">
            <w:pPr>
              <w:spacing w:line="360" w:lineRule="auto"/>
              <w:jc w:val="left"/>
              <w:rPr>
                <w:rFonts w:hint="eastAsia" w:ascii="宋体" w:hAnsi="宋体" w:cs="宋体"/>
                <w:sz w:val="24"/>
                <w:szCs w:val="24"/>
              </w:rPr>
            </w:pPr>
            <w:r>
              <w:rPr>
                <w:rFonts w:hint="eastAsia" w:ascii="宋体" w:hAnsi="宋体" w:cs="宋体"/>
                <w:sz w:val="24"/>
                <w:szCs w:val="24"/>
              </w:rPr>
              <w:t>开发服务</w:t>
            </w:r>
          </w:p>
        </w:tc>
        <w:tc>
          <w:tcPr>
            <w:tcW w:w="2760" w:type="dxa"/>
            <w:tcMar>
              <w:top w:w="60" w:type="dxa"/>
              <w:left w:w="120" w:type="dxa"/>
              <w:bottom w:w="30" w:type="dxa"/>
              <w:right w:w="120" w:type="dxa"/>
            </w:tcMar>
          </w:tcPr>
          <w:p w14:paraId="7E7173BF">
            <w:pPr>
              <w:spacing w:line="360" w:lineRule="auto"/>
              <w:jc w:val="left"/>
              <w:rPr>
                <w:rFonts w:hint="eastAsia" w:ascii="宋体" w:hAnsi="宋体" w:cs="宋体"/>
                <w:sz w:val="24"/>
                <w:szCs w:val="24"/>
              </w:rPr>
            </w:pPr>
            <w:r>
              <w:rPr>
                <w:rFonts w:hint="eastAsia" w:ascii="宋体" w:hAnsi="宋体" w:cs="宋体"/>
                <w:sz w:val="24"/>
                <w:szCs w:val="24"/>
              </w:rPr>
              <w:t>实现亲代关系图谱、全流程操作追溯管理业务能力落地</w:t>
            </w:r>
          </w:p>
        </w:tc>
      </w:tr>
      <w:tr w14:paraId="4DA5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5576845E">
            <w:pPr>
              <w:spacing w:line="360" w:lineRule="auto"/>
              <w:jc w:val="left"/>
              <w:rPr>
                <w:rFonts w:hint="eastAsia" w:ascii="宋体" w:hAnsi="宋体" w:cs="宋体"/>
                <w:sz w:val="24"/>
                <w:szCs w:val="24"/>
              </w:rPr>
            </w:pPr>
            <w:r>
              <w:rPr>
                <w:rFonts w:hint="eastAsia" w:ascii="宋体" w:hAnsi="宋体" w:cs="宋体"/>
                <w:sz w:val="24"/>
                <w:szCs w:val="24"/>
              </w:rPr>
              <w:t>LIMS系统数据交换服务</w:t>
            </w:r>
          </w:p>
        </w:tc>
        <w:tc>
          <w:tcPr>
            <w:tcW w:w="2760" w:type="dxa"/>
            <w:tcMar>
              <w:top w:w="60" w:type="dxa"/>
              <w:left w:w="120" w:type="dxa"/>
              <w:bottom w:w="30" w:type="dxa"/>
              <w:right w:w="120" w:type="dxa"/>
            </w:tcMar>
          </w:tcPr>
          <w:p w14:paraId="39D48E75">
            <w:pPr>
              <w:spacing w:line="360" w:lineRule="auto"/>
              <w:jc w:val="left"/>
              <w:rPr>
                <w:rFonts w:hint="eastAsia" w:ascii="宋体" w:hAnsi="宋体" w:cs="宋体"/>
                <w:sz w:val="24"/>
                <w:szCs w:val="24"/>
              </w:rPr>
            </w:pPr>
            <w:r>
              <w:rPr>
                <w:rFonts w:hint="eastAsia" w:ascii="宋体" w:hAnsi="宋体" w:cs="宋体"/>
                <w:sz w:val="24"/>
                <w:szCs w:val="24"/>
              </w:rPr>
              <w:t>开发服务</w:t>
            </w:r>
          </w:p>
        </w:tc>
        <w:tc>
          <w:tcPr>
            <w:tcW w:w="2760" w:type="dxa"/>
            <w:tcMar>
              <w:top w:w="60" w:type="dxa"/>
              <w:left w:w="120" w:type="dxa"/>
              <w:bottom w:w="30" w:type="dxa"/>
              <w:right w:w="120" w:type="dxa"/>
            </w:tcMar>
          </w:tcPr>
          <w:p w14:paraId="2CE0F4DE">
            <w:pPr>
              <w:spacing w:line="360" w:lineRule="auto"/>
              <w:jc w:val="left"/>
              <w:rPr>
                <w:rFonts w:hint="eastAsia" w:ascii="宋体" w:hAnsi="宋体" w:cs="宋体"/>
                <w:sz w:val="24"/>
                <w:szCs w:val="24"/>
              </w:rPr>
            </w:pPr>
            <w:r>
              <w:rPr>
                <w:rFonts w:hint="eastAsia" w:ascii="宋体" w:hAnsi="宋体" w:cs="宋体"/>
                <w:sz w:val="24"/>
                <w:szCs w:val="24"/>
              </w:rPr>
              <w:t>完成LIMS与样本库双向数据同步接口开发，包括样本信息同步、检测结果同步，实现业务数据互通溯源</w:t>
            </w:r>
          </w:p>
        </w:tc>
      </w:tr>
      <w:tr w14:paraId="5BC8A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793C1042">
            <w:pPr>
              <w:spacing w:line="360" w:lineRule="auto"/>
              <w:jc w:val="left"/>
              <w:rPr>
                <w:rFonts w:hint="eastAsia" w:ascii="宋体" w:hAnsi="宋体" w:cs="宋体"/>
                <w:sz w:val="24"/>
                <w:szCs w:val="24"/>
              </w:rPr>
            </w:pPr>
            <w:r>
              <w:rPr>
                <w:rFonts w:hint="eastAsia" w:ascii="宋体" w:hAnsi="宋体" w:cs="宋体"/>
                <w:sz w:val="24"/>
                <w:szCs w:val="24"/>
              </w:rPr>
              <w:t>LIMS系统前端AI适配开发</w:t>
            </w:r>
          </w:p>
        </w:tc>
        <w:tc>
          <w:tcPr>
            <w:tcW w:w="2760" w:type="dxa"/>
            <w:tcMar>
              <w:top w:w="60" w:type="dxa"/>
              <w:left w:w="120" w:type="dxa"/>
              <w:bottom w:w="30" w:type="dxa"/>
              <w:right w:w="120" w:type="dxa"/>
            </w:tcMar>
          </w:tcPr>
          <w:p w14:paraId="0DD5D196">
            <w:pPr>
              <w:spacing w:line="360" w:lineRule="auto"/>
              <w:jc w:val="left"/>
              <w:rPr>
                <w:rFonts w:hint="eastAsia" w:ascii="宋体" w:hAnsi="宋体" w:cs="宋体"/>
                <w:sz w:val="24"/>
                <w:szCs w:val="24"/>
              </w:rPr>
            </w:pPr>
            <w:r>
              <w:rPr>
                <w:rFonts w:hint="eastAsia" w:ascii="宋体" w:hAnsi="宋体" w:cs="宋体"/>
                <w:sz w:val="24"/>
                <w:szCs w:val="24"/>
              </w:rPr>
              <w:t>开发服务</w:t>
            </w:r>
          </w:p>
        </w:tc>
        <w:tc>
          <w:tcPr>
            <w:tcW w:w="2760" w:type="dxa"/>
            <w:tcMar>
              <w:top w:w="60" w:type="dxa"/>
              <w:left w:w="120" w:type="dxa"/>
              <w:bottom w:w="30" w:type="dxa"/>
              <w:right w:w="120" w:type="dxa"/>
            </w:tcMar>
          </w:tcPr>
          <w:p w14:paraId="293F8599">
            <w:pPr>
              <w:spacing w:line="360" w:lineRule="auto"/>
              <w:jc w:val="left"/>
              <w:rPr>
                <w:rFonts w:hint="eastAsia" w:ascii="宋体" w:hAnsi="宋体" w:cs="宋体"/>
                <w:sz w:val="24"/>
                <w:szCs w:val="24"/>
              </w:rPr>
            </w:pPr>
            <w:r>
              <w:rPr>
                <w:rFonts w:hint="eastAsia" w:ascii="宋体" w:hAnsi="宋体" w:cs="宋体"/>
                <w:sz w:val="24"/>
                <w:szCs w:val="24"/>
              </w:rPr>
              <w:t>完成现有LIMS系统前端AI功能入口嵌入与调用逻辑开发，实现AI服务远程调用与结果展示</w:t>
            </w:r>
          </w:p>
        </w:tc>
      </w:tr>
      <w:tr w14:paraId="08AB6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7AD5F3D8">
            <w:pPr>
              <w:spacing w:line="360" w:lineRule="auto"/>
              <w:jc w:val="left"/>
              <w:rPr>
                <w:rFonts w:hint="eastAsia" w:ascii="宋体" w:hAnsi="宋体" w:cs="宋体"/>
                <w:sz w:val="24"/>
                <w:szCs w:val="24"/>
              </w:rPr>
            </w:pPr>
            <w:r>
              <w:rPr>
                <w:rFonts w:hint="eastAsia" w:ascii="宋体" w:hAnsi="宋体" w:cs="宋体"/>
                <w:sz w:val="24"/>
                <w:szCs w:val="24"/>
              </w:rPr>
              <w:t>知识库搭建服务</w:t>
            </w:r>
          </w:p>
        </w:tc>
        <w:tc>
          <w:tcPr>
            <w:tcW w:w="2760" w:type="dxa"/>
            <w:tcMar>
              <w:top w:w="60" w:type="dxa"/>
              <w:left w:w="120" w:type="dxa"/>
              <w:bottom w:w="30" w:type="dxa"/>
              <w:right w:w="120" w:type="dxa"/>
            </w:tcMar>
          </w:tcPr>
          <w:p w14:paraId="7E4713AD">
            <w:pPr>
              <w:spacing w:line="360" w:lineRule="auto"/>
              <w:jc w:val="left"/>
              <w:rPr>
                <w:rFonts w:hint="eastAsia" w:ascii="宋体" w:hAnsi="宋体" w:cs="宋体"/>
                <w:sz w:val="24"/>
                <w:szCs w:val="24"/>
              </w:rPr>
            </w:pPr>
            <w:r>
              <w:rPr>
                <w:rFonts w:hint="eastAsia" w:ascii="宋体" w:hAnsi="宋体" w:cs="宋体"/>
                <w:sz w:val="24"/>
                <w:szCs w:val="24"/>
              </w:rPr>
              <w:t>实施服务</w:t>
            </w:r>
          </w:p>
        </w:tc>
        <w:tc>
          <w:tcPr>
            <w:tcW w:w="2760" w:type="dxa"/>
            <w:tcMar>
              <w:top w:w="60" w:type="dxa"/>
              <w:left w:w="120" w:type="dxa"/>
              <w:bottom w:w="30" w:type="dxa"/>
              <w:right w:w="120" w:type="dxa"/>
            </w:tcMar>
          </w:tcPr>
          <w:p w14:paraId="383EDDFA">
            <w:pPr>
              <w:spacing w:line="360" w:lineRule="auto"/>
              <w:jc w:val="left"/>
              <w:rPr>
                <w:rFonts w:hint="eastAsia" w:ascii="宋体" w:hAnsi="宋体" w:cs="宋体"/>
                <w:sz w:val="24"/>
                <w:szCs w:val="24"/>
              </w:rPr>
            </w:pPr>
            <w:r>
              <w:rPr>
                <w:rFonts w:hint="eastAsia" w:ascii="宋体" w:hAnsi="宋体" w:cs="宋体"/>
                <w:sz w:val="24"/>
                <w:szCs w:val="24"/>
              </w:rPr>
              <w:t>完成知识库框架部署适配，向量服务部署于贵中心现有算力服务器，规范数据初始化导入为可选数据加工服务</w:t>
            </w:r>
          </w:p>
        </w:tc>
      </w:tr>
      <w:tr w14:paraId="61C5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60953CDF">
            <w:pPr>
              <w:spacing w:line="360" w:lineRule="auto"/>
              <w:jc w:val="left"/>
              <w:rPr>
                <w:rFonts w:hint="eastAsia" w:ascii="宋体" w:hAnsi="宋体" w:cs="宋体"/>
                <w:sz w:val="24"/>
                <w:szCs w:val="24"/>
              </w:rPr>
            </w:pPr>
            <w:r>
              <w:rPr>
                <w:rFonts w:hint="eastAsia" w:ascii="宋体" w:hAnsi="宋体" w:cs="宋体"/>
                <w:sz w:val="24"/>
                <w:szCs w:val="24"/>
              </w:rPr>
              <w:t>病原链式检测模型搭建服务</w:t>
            </w:r>
          </w:p>
        </w:tc>
        <w:tc>
          <w:tcPr>
            <w:tcW w:w="2760" w:type="dxa"/>
            <w:tcMar>
              <w:top w:w="60" w:type="dxa"/>
              <w:left w:w="120" w:type="dxa"/>
              <w:bottom w:w="30" w:type="dxa"/>
              <w:right w:w="120" w:type="dxa"/>
            </w:tcMar>
          </w:tcPr>
          <w:p w14:paraId="2F5B8396">
            <w:pPr>
              <w:spacing w:line="360" w:lineRule="auto"/>
              <w:jc w:val="left"/>
              <w:rPr>
                <w:rFonts w:hint="eastAsia" w:ascii="宋体" w:hAnsi="宋体" w:cs="宋体"/>
                <w:sz w:val="24"/>
                <w:szCs w:val="24"/>
              </w:rPr>
            </w:pPr>
            <w:r>
              <w:rPr>
                <w:rFonts w:hint="eastAsia" w:ascii="宋体" w:hAnsi="宋体" w:cs="宋体"/>
                <w:sz w:val="24"/>
                <w:szCs w:val="24"/>
              </w:rPr>
              <w:t>实施服务</w:t>
            </w:r>
          </w:p>
        </w:tc>
        <w:tc>
          <w:tcPr>
            <w:tcW w:w="2760" w:type="dxa"/>
            <w:tcMar>
              <w:top w:w="60" w:type="dxa"/>
              <w:left w:w="120" w:type="dxa"/>
              <w:bottom w:w="30" w:type="dxa"/>
              <w:right w:w="120" w:type="dxa"/>
            </w:tcMar>
          </w:tcPr>
          <w:p w14:paraId="4F4CC867">
            <w:pPr>
              <w:spacing w:line="360" w:lineRule="auto"/>
              <w:jc w:val="left"/>
              <w:rPr>
                <w:rFonts w:hint="eastAsia" w:ascii="宋体" w:hAnsi="宋体" w:cs="宋体"/>
                <w:sz w:val="24"/>
                <w:szCs w:val="24"/>
              </w:rPr>
            </w:pPr>
            <w:r>
              <w:rPr>
                <w:rFonts w:hint="eastAsia" w:ascii="宋体" w:hAnsi="宋体" w:cs="宋体"/>
                <w:sz w:val="24"/>
                <w:szCs w:val="24"/>
              </w:rPr>
              <w:t>完成病原检测业务提示词配置、规则引擎配置与模型集成部署，模型服务运行于扬州市疾控现有算力服务器</w:t>
            </w:r>
          </w:p>
        </w:tc>
      </w:tr>
      <w:tr w14:paraId="483E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63F6D240">
            <w:pPr>
              <w:spacing w:line="360" w:lineRule="auto"/>
              <w:jc w:val="left"/>
              <w:rPr>
                <w:rFonts w:hint="eastAsia" w:ascii="宋体" w:hAnsi="宋体" w:cs="宋体"/>
                <w:sz w:val="24"/>
                <w:szCs w:val="24"/>
              </w:rPr>
            </w:pPr>
            <w:r>
              <w:rPr>
                <w:rFonts w:hint="eastAsia" w:ascii="宋体" w:hAnsi="宋体" w:cs="宋体"/>
                <w:sz w:val="24"/>
                <w:szCs w:val="24"/>
              </w:rPr>
              <w:t>生物安全合规性模型服务</w:t>
            </w:r>
          </w:p>
        </w:tc>
        <w:tc>
          <w:tcPr>
            <w:tcW w:w="2760" w:type="dxa"/>
            <w:tcMar>
              <w:top w:w="60" w:type="dxa"/>
              <w:left w:w="120" w:type="dxa"/>
              <w:bottom w:w="30" w:type="dxa"/>
              <w:right w:w="120" w:type="dxa"/>
            </w:tcMar>
          </w:tcPr>
          <w:p w14:paraId="3D8BAE35">
            <w:pPr>
              <w:spacing w:line="360" w:lineRule="auto"/>
              <w:jc w:val="left"/>
              <w:rPr>
                <w:rFonts w:hint="eastAsia" w:ascii="宋体" w:hAnsi="宋体" w:cs="宋体"/>
                <w:sz w:val="24"/>
                <w:szCs w:val="24"/>
              </w:rPr>
            </w:pPr>
            <w:r>
              <w:rPr>
                <w:rFonts w:hint="eastAsia" w:ascii="宋体" w:hAnsi="宋体" w:cs="宋体"/>
                <w:sz w:val="24"/>
                <w:szCs w:val="24"/>
              </w:rPr>
              <w:t>实施服务</w:t>
            </w:r>
          </w:p>
        </w:tc>
        <w:tc>
          <w:tcPr>
            <w:tcW w:w="2760" w:type="dxa"/>
            <w:tcMar>
              <w:top w:w="60" w:type="dxa"/>
              <w:left w:w="120" w:type="dxa"/>
              <w:bottom w:w="30" w:type="dxa"/>
              <w:right w:w="120" w:type="dxa"/>
            </w:tcMar>
          </w:tcPr>
          <w:p w14:paraId="066FA513">
            <w:pPr>
              <w:spacing w:line="360" w:lineRule="auto"/>
              <w:jc w:val="left"/>
              <w:rPr>
                <w:rFonts w:hint="eastAsia" w:ascii="宋体" w:hAnsi="宋体" w:cs="宋体"/>
                <w:sz w:val="24"/>
                <w:szCs w:val="24"/>
              </w:rPr>
            </w:pPr>
            <w:r>
              <w:rPr>
                <w:rFonts w:hint="eastAsia" w:ascii="宋体" w:hAnsi="宋体" w:cs="宋体"/>
                <w:sz w:val="24"/>
                <w:szCs w:val="24"/>
              </w:rPr>
              <w:t>完成生物安全合规校验规则配置、提示词配置与模型集成部署，在不同场景中根据生物样本规范进行相应生物安全行为提示</w:t>
            </w:r>
          </w:p>
        </w:tc>
      </w:tr>
      <w:tr w14:paraId="39D2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vAlign w:val="center"/>
          </w:tcPr>
          <w:p w14:paraId="06FFA130">
            <w:pPr>
              <w:widowControl/>
              <w:jc w:val="left"/>
              <w:textAlignment w:val="center"/>
              <w:rPr>
                <w:rFonts w:hint="eastAsia" w:ascii="宋体" w:hAnsi="宋体" w:cs="宋体"/>
                <w:sz w:val="24"/>
                <w:szCs w:val="24"/>
              </w:rPr>
            </w:pPr>
            <w:r>
              <w:rPr>
                <w:rFonts w:hint="eastAsia" w:ascii="宋体" w:hAnsi="宋体" w:cs="宋体"/>
                <w:color w:val="000000"/>
                <w:sz w:val="24"/>
                <w:szCs w:val="24"/>
                <w:lang w:bidi="ar"/>
              </w:rPr>
              <w:t>报告预审模型搭建</w:t>
            </w:r>
            <w:r>
              <w:rPr>
                <w:rFonts w:hint="eastAsia" w:ascii="宋体" w:hAnsi="宋体" w:cs="宋体"/>
                <w:sz w:val="24"/>
                <w:szCs w:val="24"/>
              </w:rPr>
              <w:t>服务</w:t>
            </w:r>
          </w:p>
        </w:tc>
        <w:tc>
          <w:tcPr>
            <w:tcW w:w="2760" w:type="dxa"/>
            <w:tcMar>
              <w:top w:w="60" w:type="dxa"/>
              <w:left w:w="120" w:type="dxa"/>
              <w:bottom w:w="30" w:type="dxa"/>
              <w:right w:w="120" w:type="dxa"/>
            </w:tcMar>
          </w:tcPr>
          <w:p w14:paraId="3A6BF51F">
            <w:pPr>
              <w:spacing w:line="360" w:lineRule="auto"/>
              <w:jc w:val="left"/>
              <w:rPr>
                <w:rFonts w:hint="eastAsia" w:ascii="宋体" w:hAnsi="宋体" w:cs="宋体"/>
                <w:sz w:val="24"/>
                <w:szCs w:val="24"/>
              </w:rPr>
            </w:pPr>
            <w:r>
              <w:rPr>
                <w:rFonts w:hint="eastAsia" w:ascii="宋体" w:hAnsi="宋体" w:cs="宋体"/>
                <w:sz w:val="24"/>
                <w:szCs w:val="24"/>
              </w:rPr>
              <w:t>实施服务</w:t>
            </w:r>
          </w:p>
        </w:tc>
        <w:tc>
          <w:tcPr>
            <w:tcW w:w="2760" w:type="dxa"/>
            <w:tcMar>
              <w:top w:w="60" w:type="dxa"/>
              <w:left w:w="120" w:type="dxa"/>
              <w:bottom w:w="30" w:type="dxa"/>
              <w:right w:w="120" w:type="dxa"/>
            </w:tcMar>
          </w:tcPr>
          <w:p w14:paraId="36F51F19">
            <w:pPr>
              <w:spacing w:line="360" w:lineRule="auto"/>
              <w:jc w:val="left"/>
              <w:rPr>
                <w:rFonts w:hint="eastAsia" w:ascii="宋体" w:hAnsi="宋体" w:cs="宋体"/>
                <w:sz w:val="24"/>
                <w:szCs w:val="24"/>
              </w:rPr>
            </w:pPr>
            <w:r>
              <w:rPr>
                <w:rFonts w:hint="eastAsia" w:ascii="宋体" w:hAnsi="宋体" w:cs="宋体"/>
                <w:sz w:val="24"/>
                <w:szCs w:val="24"/>
              </w:rPr>
              <w:t>在 LIMS 系统中完成 AI 模块集成，在报告编制及审核提交时实现报告 AI 预审，主要围绕报告合规性审查（如日期连贯性、标准适用性、有无错别字、格式问题等）</w:t>
            </w:r>
          </w:p>
        </w:tc>
      </w:tr>
      <w:tr w14:paraId="1C74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Mar>
              <w:top w:w="60" w:type="dxa"/>
              <w:left w:w="120" w:type="dxa"/>
              <w:bottom w:w="30" w:type="dxa"/>
              <w:right w:w="120" w:type="dxa"/>
            </w:tcMar>
            <w:vAlign w:val="center"/>
          </w:tcPr>
          <w:p w14:paraId="6886F6AE">
            <w:pPr>
              <w:widowControl/>
              <w:jc w:val="left"/>
              <w:textAlignment w:val="center"/>
              <w:rPr>
                <w:rFonts w:hint="eastAsia" w:ascii="宋体" w:hAnsi="宋体" w:cs="宋体"/>
                <w:sz w:val="24"/>
                <w:szCs w:val="24"/>
              </w:rPr>
            </w:pPr>
            <w:r>
              <w:rPr>
                <w:rFonts w:hint="eastAsia" w:ascii="宋体" w:hAnsi="宋体" w:cs="宋体"/>
                <w:color w:val="000000"/>
                <w:sz w:val="24"/>
                <w:szCs w:val="24"/>
                <w:lang w:bidi="ar"/>
              </w:rPr>
              <w:t>原始记录预审模型搭建</w:t>
            </w:r>
            <w:r>
              <w:rPr>
                <w:rFonts w:hint="eastAsia" w:ascii="宋体" w:hAnsi="宋体" w:cs="宋体"/>
                <w:sz w:val="24"/>
                <w:szCs w:val="24"/>
              </w:rPr>
              <w:t>服务</w:t>
            </w:r>
          </w:p>
        </w:tc>
        <w:tc>
          <w:tcPr>
            <w:tcW w:w="2760" w:type="dxa"/>
            <w:tcMar>
              <w:top w:w="60" w:type="dxa"/>
              <w:left w:w="120" w:type="dxa"/>
              <w:bottom w:w="30" w:type="dxa"/>
              <w:right w:w="120" w:type="dxa"/>
            </w:tcMar>
          </w:tcPr>
          <w:p w14:paraId="5C63887F">
            <w:pPr>
              <w:spacing w:line="360" w:lineRule="auto"/>
              <w:jc w:val="left"/>
              <w:rPr>
                <w:rFonts w:hint="eastAsia" w:ascii="宋体" w:hAnsi="宋体" w:cs="宋体"/>
                <w:sz w:val="24"/>
                <w:szCs w:val="24"/>
              </w:rPr>
            </w:pPr>
            <w:r>
              <w:rPr>
                <w:rFonts w:hint="eastAsia" w:ascii="宋体" w:hAnsi="宋体" w:cs="宋体"/>
                <w:sz w:val="24"/>
                <w:szCs w:val="24"/>
              </w:rPr>
              <w:t>实施服务</w:t>
            </w:r>
          </w:p>
        </w:tc>
        <w:tc>
          <w:tcPr>
            <w:tcW w:w="2760" w:type="dxa"/>
            <w:tcMar>
              <w:top w:w="60" w:type="dxa"/>
              <w:left w:w="120" w:type="dxa"/>
              <w:bottom w:w="30" w:type="dxa"/>
              <w:right w:w="120" w:type="dxa"/>
            </w:tcMar>
          </w:tcPr>
          <w:p w14:paraId="5FD9540B">
            <w:pPr>
              <w:spacing w:line="360" w:lineRule="auto"/>
              <w:jc w:val="left"/>
              <w:rPr>
                <w:rFonts w:hint="eastAsia" w:ascii="宋体" w:hAnsi="宋体" w:cs="宋体"/>
                <w:sz w:val="24"/>
                <w:szCs w:val="24"/>
              </w:rPr>
            </w:pPr>
            <w:r>
              <w:rPr>
                <w:rFonts w:hint="eastAsia" w:ascii="宋体" w:hAnsi="宋体" w:cs="宋体"/>
                <w:sz w:val="24"/>
                <w:szCs w:val="24"/>
              </w:rPr>
              <w:t>在 LIMS 系统中完成 AI 模块集成，在原始记录编制和审核提交时实现原始记录 AI 预审，主要围绕原始记录合规性审查（如原始记录的格式、日期、结果与标准的比对、使用的仪器、标准品等是否符合标准）</w:t>
            </w:r>
          </w:p>
        </w:tc>
      </w:tr>
    </w:tbl>
    <w:p w14:paraId="4EEC02A7"/>
    <w:p w14:paraId="055437D1">
      <w:pPr>
        <w:keepNext w:val="0"/>
        <w:keepLines w:val="0"/>
        <w:widowControl/>
        <w:numPr>
          <w:ilvl w:val="0"/>
          <w:numId w:val="0"/>
        </w:numPr>
        <w:suppressLineNumbers w:val="0"/>
        <w:spacing w:before="0" w:beforeAutospacing="1" w:after="0" w:afterAutospacing="1"/>
      </w:pPr>
      <w:r>
        <w:rPr>
          <w:rFonts w:hint="eastAsia"/>
          <w:lang w:val="en-US" w:eastAsia="zh-CN"/>
        </w:rPr>
        <w:t>2、</w:t>
      </w:r>
      <w:r>
        <w:t>部署架构要求</w:t>
      </w:r>
    </w:p>
    <w:p w14:paraId="344DD326">
      <w:pPr>
        <w:pStyle w:val="5"/>
        <w:keepNext w:val="0"/>
        <w:keepLines w:val="0"/>
        <w:widowControl/>
        <w:suppressLineNumbers w:val="0"/>
      </w:pPr>
      <w:r>
        <w:t>2.1 本项目所有样本库相关业务能力均集成运行于本中心现有 LIMS 体系之内； 2.2 AI 模型、知识库向量推理服务独立部署于本中心现有算力服务器，不与 LIMS 系统部署在一起，LIMS 仅负责前端交互和远程接口调用； 2.3 本项目复用中心现有通义千问 32B 大模型及算力资源，无需额外采购 AI 服务器、算力服务及模型授权。</w:t>
      </w:r>
    </w:p>
    <w:p w14:paraId="771152E0">
      <w:pPr>
        <w:pStyle w:val="5"/>
        <w:keepNext w:val="0"/>
        <w:keepLines w:val="0"/>
        <w:widowControl/>
        <w:suppressLineNumbers w:val="0"/>
      </w:pPr>
      <w:r>
        <w:t>（三）供货及安装调试要求</w:t>
      </w:r>
    </w:p>
    <w:p w14:paraId="79A75B15">
      <w:pPr>
        <w:keepNext w:val="0"/>
        <w:keepLines w:val="0"/>
        <w:widowControl/>
        <w:numPr>
          <w:ilvl w:val="0"/>
          <w:numId w:val="1"/>
        </w:numPr>
        <w:suppressLineNumbers w:val="0"/>
        <w:spacing w:before="0" w:beforeAutospacing="1" w:after="0" w:afterAutospacing="1"/>
        <w:ind w:left="720" w:hanging="360"/>
      </w:pPr>
      <w:r>
        <w:t>本项目实施周期为合同正式签订生效后 90 个日历日之内，完成全部开发与实施服务、LIMS 与 AI 服务联调、调试培训、上线试运行，达到竣工验收标准。</w:t>
      </w:r>
    </w:p>
    <w:p w14:paraId="052391BA">
      <w:pPr>
        <w:keepNext w:val="0"/>
        <w:keepLines w:val="0"/>
        <w:widowControl/>
        <w:numPr>
          <w:ilvl w:val="0"/>
          <w:numId w:val="1"/>
        </w:numPr>
        <w:suppressLineNumbers w:val="0"/>
        <w:spacing w:before="0" w:beforeAutospacing="1" w:after="0" w:afterAutospacing="1"/>
        <w:ind w:left="720" w:hanging="360"/>
      </w:pPr>
      <w:r>
        <w:t>系统完成部署实施后，须稳定试运行 30 个日历日，业务模块、AI 服务联调运行稳定，无重大业务缺项、无业务中断，方可开展竣工验收。</w:t>
      </w:r>
    </w:p>
    <w:p w14:paraId="2F607DD6">
      <w:pPr>
        <w:keepNext w:val="0"/>
        <w:keepLines w:val="0"/>
        <w:widowControl/>
        <w:numPr>
          <w:ilvl w:val="0"/>
          <w:numId w:val="1"/>
        </w:numPr>
        <w:suppressLineNumbers w:val="0"/>
        <w:spacing w:before="0" w:beforeAutospacing="1" w:after="0" w:afterAutospacing="1"/>
        <w:ind w:left="720" w:hanging="360"/>
      </w:pPr>
      <w:r>
        <w:t>验收执行依据 GB/T 44230—2024《政务信息系统基本要求》、本采购需求、报价答复文件、需求规格说明书、项目验收方案，所有验收条目可落地、可验证；成交供应商须完整移交全量源代码、注释、编译环境说明及基础数据。</w:t>
      </w:r>
    </w:p>
    <w:p w14:paraId="6821A536">
      <w:pPr>
        <w:keepNext w:val="0"/>
        <w:keepLines w:val="0"/>
        <w:widowControl/>
        <w:numPr>
          <w:ilvl w:val="0"/>
          <w:numId w:val="1"/>
        </w:numPr>
        <w:suppressLineNumbers w:val="0"/>
        <w:spacing w:before="0" w:beforeAutospacing="1" w:after="0" w:afterAutospacing="1"/>
        <w:ind w:left="720" w:hanging="360"/>
      </w:pPr>
      <w:r>
        <w:t>成交供应商负责全部模块配置、接口开发、系统联调、历史样本数据清洗迁移；采购人配合提供业务原始文件、开放内网访问策略，不承担代码开发、模型配置工作。</w:t>
      </w:r>
    </w:p>
    <w:p w14:paraId="10E3ACD7">
      <w:pPr>
        <w:pStyle w:val="5"/>
        <w:keepNext w:val="0"/>
        <w:keepLines w:val="0"/>
        <w:widowControl/>
        <w:suppressLineNumbers w:val="0"/>
      </w:pPr>
      <w:r>
        <w:t>（四）技术培训要求</w:t>
      </w:r>
    </w:p>
    <w:p w14:paraId="6B765970">
      <w:pPr>
        <w:keepNext w:val="0"/>
        <w:keepLines w:val="0"/>
        <w:widowControl/>
        <w:numPr>
          <w:ilvl w:val="0"/>
          <w:numId w:val="2"/>
        </w:numPr>
        <w:suppressLineNumbers w:val="0"/>
        <w:spacing w:before="0" w:beforeAutospacing="1" w:after="0" w:afterAutospacing="1"/>
        <w:ind w:left="720" w:hanging="360"/>
      </w:pPr>
      <w:r>
        <w:t>成交供应商须提供管理员、业务操作人员专项培训，分别针对系统后台配置运维人员和日常业务操作人员编制对应培训课件资料。</w:t>
      </w:r>
    </w:p>
    <w:p w14:paraId="4F43E093">
      <w:pPr>
        <w:keepNext w:val="0"/>
        <w:keepLines w:val="0"/>
        <w:widowControl/>
        <w:numPr>
          <w:ilvl w:val="0"/>
          <w:numId w:val="2"/>
        </w:numPr>
        <w:suppressLineNumbers w:val="0"/>
        <w:spacing w:before="0" w:beforeAutospacing="1" w:after="0" w:afterAutospacing="1"/>
        <w:ind w:left="720" w:hanging="360"/>
      </w:pPr>
      <w:r>
        <w:t>培训内容覆盖生物样本库全业务操作流程、库房与基础数据配置、预警规则配置、AI 模块使用、台账查询、问题排查等内容，确保相关人员能够独立操作系统开展业务。</w:t>
      </w:r>
    </w:p>
    <w:p w14:paraId="00EA384F">
      <w:pPr>
        <w:keepNext w:val="0"/>
        <w:keepLines w:val="0"/>
        <w:widowControl/>
        <w:numPr>
          <w:ilvl w:val="0"/>
          <w:numId w:val="2"/>
        </w:numPr>
        <w:suppressLineNumbers w:val="0"/>
        <w:spacing w:before="0" w:beforeAutospacing="1" w:after="0" w:afterAutospacing="1"/>
        <w:ind w:left="720" w:hanging="360"/>
      </w:pPr>
      <w:r>
        <w:t>全套培训资料作为正式交付物完整移交采购人。</w:t>
      </w:r>
    </w:p>
    <w:p w14:paraId="73BA7950">
      <w:pPr>
        <w:pStyle w:val="5"/>
        <w:keepNext w:val="0"/>
        <w:keepLines w:val="0"/>
        <w:widowControl/>
        <w:suppressLineNumbers w:val="0"/>
      </w:pPr>
      <w:r>
        <w:t>（五）售后服务要求</w:t>
      </w:r>
    </w:p>
    <w:p w14:paraId="3A8EAFA9">
      <w:pPr>
        <w:pStyle w:val="5"/>
        <w:keepNext w:val="0"/>
        <w:keepLines w:val="0"/>
        <w:widowControl/>
        <w:suppressLineNumbers w:val="0"/>
      </w:pPr>
      <w:r>
        <w:t>1、质保服务</w:t>
      </w:r>
    </w:p>
    <w:p w14:paraId="52D39E5B">
      <w:pPr>
        <w:pStyle w:val="5"/>
        <w:keepNext w:val="0"/>
        <w:keepLines w:val="0"/>
        <w:widowControl/>
        <w:suppressLineNumbers w:val="0"/>
      </w:pPr>
      <w:r>
        <w:t xml:space="preserve">1.1 质保期限：项目验收合格后提供 5 年免费质保。 </w:t>
      </w:r>
    </w:p>
    <w:p w14:paraId="6D40690E">
      <w:pPr>
        <w:pStyle w:val="5"/>
        <w:keepNext w:val="0"/>
        <w:keepLines w:val="0"/>
        <w:widowControl/>
        <w:suppressLineNumbers w:val="0"/>
      </w:pPr>
      <w:r>
        <w:t xml:space="preserve">1.2 质保范围：包含系统服务运行故障问题修复、7×24 小时远程技术支持、现有已交付功能微调、运维答疑；质保期内对现有 AI 模型规则优化、微调免收额外费用。 注：采购人现有算力服务器硬件、底层算力平台、大模型底座软硬件故障，不在本项目质保范畴。 </w:t>
      </w:r>
    </w:p>
    <w:p w14:paraId="7675CA6E">
      <w:pPr>
        <w:pStyle w:val="5"/>
        <w:keepNext w:val="0"/>
        <w:keepLines w:val="0"/>
        <w:widowControl/>
        <w:suppressLineNumbers w:val="0"/>
      </w:pPr>
      <w:r>
        <w:t>1.3 软硬件迁移保障：提供长期软硬件兼容保障；若因政策或规划要求系统迁移国产软硬件环境，成交供应商须提供免费系统全栈适配和平滑迁移服务，保障业务连续、数据完整，不得另行收费。</w:t>
      </w:r>
    </w:p>
    <w:p w14:paraId="487D7B72">
      <w:pPr>
        <w:pStyle w:val="5"/>
        <w:keepNext w:val="0"/>
        <w:keepLines w:val="0"/>
        <w:widowControl/>
        <w:suppressLineNumbers w:val="0"/>
      </w:pPr>
      <w:r>
        <w:t>2、售后响应</w:t>
      </w:r>
    </w:p>
    <w:p w14:paraId="2646775E">
      <w:pPr>
        <w:pStyle w:val="5"/>
        <w:keepNext w:val="0"/>
        <w:keepLines w:val="0"/>
        <w:widowControl/>
        <w:suppressLineNumbers w:val="0"/>
      </w:pPr>
      <w:r>
        <w:t>2.1 响应时效：提供 7×24 小时全天候售后服务；接到采购人故障报修后，异地供应商 24 小时内做出响应，48 小时内到达现场处理。 2.2 故障处理：一般故障需在 48 小时内解决，重大故障需在 72 小时内提出解决方案。</w:t>
      </w:r>
    </w:p>
    <w:p w14:paraId="592B5B03">
      <w:pPr>
        <w:pStyle w:val="5"/>
        <w:keepNext w:val="0"/>
        <w:keepLines w:val="0"/>
        <w:widowControl/>
        <w:suppressLineNumbers w:val="0"/>
      </w:pPr>
      <w:r>
        <w:t>3、后续服务</w:t>
      </w:r>
    </w:p>
    <w:p w14:paraId="52DE305D">
      <w:pPr>
        <w:keepNext w:val="0"/>
        <w:keepLines w:val="0"/>
        <w:widowControl/>
        <w:numPr>
          <w:ilvl w:val="0"/>
          <w:numId w:val="0"/>
        </w:numPr>
        <w:suppressLineNumbers w:val="0"/>
        <w:spacing w:before="0" w:beforeAutospacing="1" w:after="0" w:afterAutospacing="1"/>
      </w:pPr>
      <w:r>
        <w:rPr>
          <w:rFonts w:hint="eastAsia"/>
          <w:lang w:val="en-US" w:eastAsia="zh-CN"/>
        </w:rPr>
        <w:t>3.1</w:t>
      </w:r>
      <w:r>
        <w:t>质保期内新增 AI 校验规则、全新 AI 业务场景模型搭建、超出本采购需求范围的新增功能，不属于本项目包干范围，可按 2000 元 / 人天另行协商签订补充协议计费。</w:t>
      </w:r>
    </w:p>
    <w:p w14:paraId="404B0623">
      <w:pPr>
        <w:keepNext w:val="0"/>
        <w:keepLines w:val="0"/>
        <w:widowControl/>
        <w:numPr>
          <w:ilvl w:val="0"/>
          <w:numId w:val="0"/>
        </w:numPr>
        <w:suppressLineNumbers w:val="0"/>
        <w:spacing w:before="0" w:beforeAutospacing="1" w:after="0" w:afterAutospacing="1"/>
      </w:pPr>
      <w:r>
        <w:rPr>
          <w:rFonts w:hint="eastAsia"/>
          <w:lang w:val="en-US" w:eastAsia="zh-CN"/>
        </w:rPr>
        <w:t>3.2</w:t>
      </w:r>
      <w:r>
        <w:t>质保期满后，采购人可与成交供应商另行协商运维服务合同。</w:t>
      </w:r>
    </w:p>
    <w:p w14:paraId="067A083C">
      <w:pPr>
        <w:pStyle w:val="5"/>
        <w:keepNext w:val="0"/>
        <w:keepLines w:val="0"/>
        <w:widowControl/>
        <w:suppressLineNumbers w:val="0"/>
      </w:pPr>
      <w:r>
        <w:t>（六）商务要求</w:t>
      </w:r>
    </w:p>
    <w:p w14:paraId="15A574FF">
      <w:pPr>
        <w:pStyle w:val="5"/>
        <w:keepNext w:val="0"/>
        <w:keepLines w:val="0"/>
        <w:widowControl/>
        <w:suppressLineNumbers w:val="0"/>
      </w:pPr>
      <w:r>
        <w:t>1、合同履行期限：合同正式签订生效后 90 个日历日内完成全部开发实施、联调、培训、试运行，达到竣工验收条件。</w:t>
      </w:r>
    </w:p>
    <w:p w14:paraId="0CE6CE5F">
      <w:pPr>
        <w:pStyle w:val="5"/>
        <w:keepNext w:val="0"/>
        <w:keepLines w:val="0"/>
        <w:widowControl/>
        <w:suppressLineNumbers w:val="0"/>
      </w:pPr>
      <w:r>
        <w:t>2、付款方式：按双方合同约定执行。</w:t>
      </w:r>
    </w:p>
    <w:p w14:paraId="7ADB515D">
      <w:pPr>
        <w:pStyle w:val="5"/>
        <w:keepNext w:val="0"/>
        <w:keepLines w:val="0"/>
        <w:widowControl/>
        <w:suppressLineNumbers w:val="0"/>
      </w:pPr>
      <w:r>
        <w:t>3、验收方式及要求：按照采购文件、成交供应商报价答复文件、项目需求规格说明书、项目验收方案、合同及国家相关法律法规逐项开展验收，试运行满 30 日历日稳定无重大问题后完成竣工验收。成交供应商提交全套交付资料及验收申请，采购人组织业务、技术人员逐项核验，问题完成整改闭环后签署验收报告。</w:t>
      </w:r>
    </w:p>
    <w:p w14:paraId="0F732F95">
      <w:pPr>
        <w:pStyle w:val="5"/>
        <w:keepNext w:val="0"/>
        <w:keepLines w:val="0"/>
        <w:widowControl/>
        <w:suppressLineNumbers w:val="0"/>
      </w:pPr>
      <w:r>
        <w:t>4、报价要求：报价人须提供总报价以及详细费用明细；本项目报价为需求范围内固定包干总价，包含完成本项目全部建设内容的所有费用（开发、实施、数据迁移、培训、文档、质保、</w:t>
      </w:r>
      <w:r>
        <w:rPr>
          <w:rStyle w:val="8"/>
        </w:rPr>
        <w:t>软硬件适配</w:t>
      </w:r>
      <w:r>
        <w:t>等）；报价不含算力硬件采购、算力租赁、底层大模型底座、新增消息推送对接、新增 AI 模型场景开发等超出本项目需求的内容。超出既定需求的新增服务不属于包干范围，须协商签订补充协议另行计费。</w:t>
      </w:r>
    </w:p>
    <w:p w14:paraId="3471469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495D8C"/>
    <w:multiLevelType w:val="multilevel"/>
    <w:tmpl w:val="06495D8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25204D92"/>
    <w:multiLevelType w:val="multilevel"/>
    <w:tmpl w:val="25204D9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C105F7"/>
    <w:rsid w:val="28503431"/>
    <w:rsid w:val="336E78C0"/>
    <w:rsid w:val="34E9418C"/>
    <w:rsid w:val="5602277E"/>
    <w:rsid w:val="64C105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3180</Words>
  <Characters>3341</Characters>
  <Lines>0</Lines>
  <Paragraphs>0</Paragraphs>
  <TotalTime>23</TotalTime>
  <ScaleCrop>false</ScaleCrop>
  <LinksUpToDate>false</LinksUpToDate>
  <CharactersWithSpaces>3474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2026-09-24T02:50:00Z</dcterms:created>
  <dc:creator>嘟嘟</dc:creator>
  <cp:lastModifiedBy>棉花糖</cp:lastModifiedBy>
  <dcterms:modified xsi:type="dcterms:W3CDTF">2026-10-16T08:39:35Z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FC278C20E3B24D6F975627EB15EF6F0A_13</vt:lpwstr>
  </property>
  <property fmtid="{D5CDD505-2E9C-101B-9397-08002B2CF9AE}" pid="4" name="KSOTemplateDocerSaveRecord">
    <vt:lpwstr>eyJoZGlkIjoiZjE3MDlkNjNmZTJmNjk0MWU1ZjEyM2ExYzBkYmZlYjIiLCJ1c2VySWQiOiI3NjY2MTM4NjIifQ==</vt:lpwstr>
  </property>
</Properties>
</file>