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cs="宋体"/>
          <w:b/>
          <w:sz w:val="48"/>
          <w:szCs w:val="48"/>
        </w:rPr>
      </w:pPr>
      <w:r/>
      <w:bookmarkStart w:id="0" w:name="_Hlk74841385"/>
      <w:r/>
      <w:bookmarkStart w:id="1" w:name="_Hlk77778371"/>
      <w:r/>
      <w:r/>
    </w:p>
    <w:p>
      <w:pPr>
        <w:pStyle w:val="756"/>
        <w:rPr>
          <w:rFonts w:hint="eastAsia" w:ascii="宋体" w:hAnsi="宋体" w:cs="宋体"/>
        </w:rPr>
      </w:pPr>
      <w:r>
        <w:rPr>
          <w:rFonts w:hint="eastAsia" w:ascii="宋体" w:hAnsi="宋体" w:cs="宋体"/>
        </w:rPr>
      </w:r>
      <w:r/>
    </w:p>
    <w:p>
      <w:pPr>
        <w:pStyle w:val="756"/>
        <w:jc w:val="center"/>
        <w:rPr>
          <w:rFonts w:hint="eastAsia" w:ascii="宋体" w:hAnsi="宋体" w:cs="宋体"/>
          <w:sz w:val="20"/>
          <w:szCs w:val="21"/>
        </w:rPr>
      </w:pPr>
      <w:r>
        <w:rPr>
          <w:rFonts w:hint="eastAsia" w:ascii="宋体" w:hAnsi="宋体" w:cs="宋体"/>
          <w:b/>
          <w:bCs/>
          <w:sz w:val="48"/>
          <w:szCs w:val="48"/>
        </w:rPr>
        <w:t xml:space="preserve">南京工业职业技术大学智能电网调度控制系统实训室采购项目</w:t>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11"/>
        <w:ind w:left="126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11"/>
        <w:ind w:left="126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eastAsia="宋体" w:cs="宋体"/>
          <w:b/>
          <w:sz w:val="40"/>
          <w:szCs w:val="40"/>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JSZC-320000-JCEC-G2026-0445</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t xml:space="preserve">  </w:t>
      </w:r>
      <w:r/>
    </w:p>
    <w:p>
      <w:pPr>
        <w:pStyle w:val="711"/>
        <w:ind w:left="1260"/>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采购人：南京工业职业技术大学</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采购代理机构：江苏省设备成套股份有限公司</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10</w:t>
      </w:r>
      <w:r>
        <w:rPr>
          <w:rFonts w:hint="eastAsia" w:ascii="宋体" w:hAnsi="宋体" w:cs="宋体"/>
          <w:b/>
          <w:sz w:val="32"/>
          <w:szCs w:val="32"/>
        </w:rPr>
        <w:t xml:space="preserve">月</w:t>
      </w:r>
      <w:r>
        <w:rPr>
          <w:rFonts w:hint="eastAsia" w:ascii="宋体" w:hAnsi="宋体" w:cs="宋体"/>
          <w:b/>
          <w:sz w:val="36"/>
          <w:szCs w:val="36"/>
        </w:rPr>
        <w:br w:type="page" w:clear="all"/>
      </w:r>
      <w:r/>
    </w:p>
    <w:p>
      <w:pPr>
        <w:pStyle w:val="859"/>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722"/>
        <w:spacing w:line="360" w:lineRule="auto"/>
        <w:tabs>
          <w:tab w:val="right" w:pos="8299" w:leader="dot"/>
        </w:tabs>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fldChar w:fldCharType="begin"/>
      </w:r>
      <w:r>
        <w:instrText xml:space="preserve"> HYPERLINK \l "_Toc30685" </w:instrText>
      </w:r>
      <w:r>
        <w:fldChar w:fldCharType="separate"/>
      </w:r>
      <w:r>
        <w:rPr>
          <w:rFonts w:hint="eastAsia" w:ascii="宋体" w:hAnsi="宋体" w:cs="宋体"/>
          <w:szCs w:val="21"/>
        </w:rPr>
        <w:t xml:space="preserve">第一章 </w:t>
      </w:r>
      <w:r>
        <w:rPr>
          <w:rFonts w:hint="eastAsia" w:ascii="宋体" w:hAnsi="宋体" w:cs="宋体"/>
          <w:szCs w:val="21"/>
        </w:rPr>
        <w:t xml:space="preserve">采购公告</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_Toc30685 \h </w:instrText>
      </w:r>
      <w:r>
        <w:rPr>
          <w:rFonts w:hint="eastAsia" w:ascii="宋体" w:hAnsi="宋体" w:cs="宋体"/>
          <w:szCs w:val="21"/>
        </w:rPr>
        <w:fldChar w:fldCharType="separate"/>
      </w:r>
      <w:r>
        <w:rPr>
          <w:rFonts w:hint="eastAsia" w:ascii="宋体" w:hAnsi="宋体" w:cs="宋体"/>
          <w:szCs w:val="21"/>
        </w:rPr>
        <w:t xml:space="preserve">1</w:t>
      </w:r>
      <w:r>
        <w:rPr>
          <w:rFonts w:hint="eastAsia" w:ascii="宋体" w:hAnsi="宋体" w:cs="宋体"/>
          <w:szCs w:val="21"/>
        </w:rPr>
        <w:fldChar w:fldCharType="end"/>
      </w:r>
      <w:r>
        <w:rPr>
          <w:rFonts w:hint="eastAsia" w:ascii="宋体" w:hAnsi="宋体" w:cs="宋体"/>
          <w:szCs w:val="21"/>
        </w:rPr>
        <w:fldChar w:fldCharType="end"/>
      </w:r>
      <w:r/>
    </w:p>
    <w:p>
      <w:pPr>
        <w:pStyle w:val="722"/>
        <w:spacing w:line="360" w:lineRule="auto"/>
        <w:tabs>
          <w:tab w:val="right" w:pos="8299" w:leader="dot"/>
        </w:tabs>
        <w:rPr>
          <w:rFonts w:hint="eastAsia" w:ascii="宋体" w:hAnsi="宋体" w:cs="宋体"/>
          <w:szCs w:val="21"/>
        </w:rPr>
      </w:pPr>
      <w:r>
        <w:fldChar w:fldCharType="begin"/>
      </w:r>
      <w:r>
        <w:instrText xml:space="preserve"> HYPERLINK \l "_Toc26745" </w:instrText>
      </w:r>
      <w:r>
        <w:fldChar w:fldCharType="separate"/>
      </w:r>
      <w:r>
        <w:rPr>
          <w:rFonts w:hint="eastAsia" w:ascii="宋体" w:hAnsi="宋体" w:cs="宋体"/>
          <w:szCs w:val="21"/>
        </w:rPr>
        <w:t xml:space="preserve">第二章 供应商须知</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_Toc26745 \h </w:instrText>
      </w:r>
      <w:r>
        <w:rPr>
          <w:rFonts w:hint="eastAsia" w:ascii="宋体" w:hAnsi="宋体" w:cs="宋体"/>
          <w:szCs w:val="21"/>
        </w:rPr>
        <w:fldChar w:fldCharType="separate"/>
      </w:r>
      <w:r>
        <w:rPr>
          <w:rFonts w:hint="eastAsia" w:ascii="宋体" w:hAnsi="宋体" w:cs="宋体"/>
          <w:szCs w:val="21"/>
        </w:rPr>
        <w:t xml:space="preserve">5</w:t>
      </w:r>
      <w:r>
        <w:rPr>
          <w:rFonts w:hint="eastAsia" w:ascii="宋体" w:hAnsi="宋体" w:cs="宋体"/>
          <w:szCs w:val="21"/>
        </w:rPr>
        <w:fldChar w:fldCharType="end"/>
      </w:r>
      <w:r>
        <w:rPr>
          <w:rFonts w:hint="eastAsia" w:ascii="宋体" w:hAnsi="宋体" w:cs="宋体"/>
          <w:szCs w:val="21"/>
        </w:rPr>
        <w:fldChar w:fldCharType="end"/>
      </w:r>
      <w:r/>
    </w:p>
    <w:p>
      <w:pPr>
        <w:pStyle w:val="722"/>
        <w:spacing w:line="360" w:lineRule="auto"/>
        <w:tabs>
          <w:tab w:val="right" w:pos="8299" w:leader="dot"/>
        </w:tabs>
        <w:rPr>
          <w:rFonts w:hint="eastAsia" w:ascii="宋体" w:hAnsi="宋体" w:cs="宋体"/>
          <w:szCs w:val="21"/>
        </w:rPr>
      </w:pPr>
      <w:r>
        <w:fldChar w:fldCharType="begin"/>
      </w:r>
      <w:r>
        <w:instrText xml:space="preserve"> HYPERLINK \l "_Toc28285" </w:instrText>
      </w:r>
      <w:r>
        <w:fldChar w:fldCharType="separate"/>
      </w:r>
      <w:r>
        <w:rPr>
          <w:rFonts w:hint="eastAsia" w:ascii="宋体" w:hAnsi="宋体" w:cs="宋体"/>
          <w:szCs w:val="21"/>
        </w:rPr>
        <w:t xml:space="preserve">第三章 评标标准</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_Toc28285 \h </w:instrText>
      </w:r>
      <w:r>
        <w:rPr>
          <w:rFonts w:hint="eastAsia" w:ascii="宋体" w:hAnsi="宋体" w:cs="宋体"/>
          <w:szCs w:val="21"/>
        </w:rPr>
        <w:fldChar w:fldCharType="separate"/>
      </w:r>
      <w:r>
        <w:rPr>
          <w:rFonts w:hint="eastAsia" w:ascii="宋体" w:hAnsi="宋体" w:cs="宋体"/>
          <w:szCs w:val="21"/>
        </w:rPr>
        <w:t xml:space="preserve">19</w:t>
      </w:r>
      <w:r>
        <w:rPr>
          <w:rFonts w:hint="eastAsia" w:ascii="宋体" w:hAnsi="宋体" w:cs="宋体"/>
          <w:szCs w:val="21"/>
        </w:rPr>
        <w:fldChar w:fldCharType="end"/>
      </w:r>
      <w:r>
        <w:rPr>
          <w:rFonts w:hint="eastAsia" w:ascii="宋体" w:hAnsi="宋体" w:cs="宋体"/>
          <w:szCs w:val="21"/>
        </w:rPr>
        <w:fldChar w:fldCharType="end"/>
      </w:r>
      <w:r/>
    </w:p>
    <w:p>
      <w:pPr>
        <w:pStyle w:val="722"/>
        <w:spacing w:line="360" w:lineRule="auto"/>
        <w:tabs>
          <w:tab w:val="right" w:pos="8299" w:leader="dot"/>
        </w:tabs>
        <w:rPr>
          <w:rFonts w:hint="eastAsia" w:ascii="宋体" w:hAnsi="宋体" w:cs="宋体"/>
          <w:szCs w:val="21"/>
        </w:rPr>
      </w:pPr>
      <w:r>
        <w:fldChar w:fldCharType="begin"/>
      </w:r>
      <w:r>
        <w:instrText xml:space="preserve"> HYPERLINK \l "_Toc6871" </w:instrText>
      </w:r>
      <w:r>
        <w:fldChar w:fldCharType="separate"/>
      </w:r>
      <w:r>
        <w:rPr>
          <w:rFonts w:hint="eastAsia" w:ascii="宋体" w:hAnsi="宋体" w:cs="宋体"/>
          <w:szCs w:val="21"/>
        </w:rPr>
        <w:t xml:space="preserve">第四章 采购需求</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_Toc6871 \h </w:instrText>
      </w:r>
      <w:r>
        <w:rPr>
          <w:rFonts w:hint="eastAsia" w:ascii="宋体" w:hAnsi="宋体" w:cs="宋体"/>
          <w:szCs w:val="21"/>
        </w:rPr>
        <w:fldChar w:fldCharType="separate"/>
      </w:r>
      <w:r>
        <w:rPr>
          <w:rFonts w:hint="eastAsia" w:ascii="宋体" w:hAnsi="宋体" w:cs="宋体"/>
          <w:szCs w:val="21"/>
        </w:rPr>
        <w:t xml:space="preserve">23</w:t>
      </w:r>
      <w:r>
        <w:rPr>
          <w:rFonts w:hint="eastAsia" w:ascii="宋体" w:hAnsi="宋体" w:cs="宋体"/>
          <w:szCs w:val="21"/>
        </w:rPr>
        <w:fldChar w:fldCharType="end"/>
      </w:r>
      <w:r>
        <w:rPr>
          <w:rFonts w:hint="eastAsia" w:ascii="宋体" w:hAnsi="宋体" w:cs="宋体"/>
          <w:szCs w:val="21"/>
        </w:rPr>
        <w:fldChar w:fldCharType="end"/>
      </w:r>
      <w:r/>
    </w:p>
    <w:p>
      <w:pPr>
        <w:pStyle w:val="722"/>
        <w:spacing w:line="360" w:lineRule="auto"/>
        <w:tabs>
          <w:tab w:val="right" w:pos="8299" w:leader="dot"/>
        </w:tabs>
        <w:rPr>
          <w:rFonts w:hint="eastAsia" w:ascii="宋体" w:hAnsi="宋体" w:cs="宋体"/>
          <w:szCs w:val="21"/>
        </w:rPr>
      </w:pPr>
      <w:r>
        <w:fldChar w:fldCharType="begin"/>
      </w:r>
      <w:r>
        <w:instrText xml:space="preserve"> HYPERLINK \l "_Toc18631" </w:instrText>
      </w:r>
      <w:r>
        <w:fldChar w:fldCharType="separate"/>
      </w:r>
      <w:r>
        <w:rPr>
          <w:rFonts w:hint="eastAsia" w:ascii="宋体" w:hAnsi="宋体" w:cs="宋体"/>
          <w:szCs w:val="21"/>
        </w:rPr>
        <w:t xml:space="preserve">第五章 合同主要条款及格式</w:t>
      </w: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_Toc18631 \h </w:instrText>
      </w:r>
      <w:r>
        <w:rPr>
          <w:rFonts w:hint="eastAsia" w:ascii="宋体" w:hAnsi="宋体" w:cs="宋体"/>
          <w:szCs w:val="21"/>
        </w:rPr>
        <w:fldChar w:fldCharType="separate"/>
      </w:r>
      <w:r>
        <w:rPr>
          <w:rFonts w:hint="eastAsia" w:ascii="宋体" w:hAnsi="宋体" w:cs="宋体"/>
          <w:szCs w:val="21"/>
        </w:rPr>
        <w:t xml:space="preserve">50</w:t>
      </w:r>
      <w:r>
        <w:rPr>
          <w:rFonts w:hint="eastAsia" w:ascii="宋体" w:hAnsi="宋体" w:cs="宋体"/>
          <w:szCs w:val="21"/>
        </w:rPr>
        <w:fldChar w:fldCharType="end"/>
      </w:r>
      <w:r>
        <w:rPr>
          <w:rFonts w:hint="eastAsia" w:ascii="宋体" w:hAnsi="宋体" w:cs="宋体"/>
          <w:szCs w:val="21"/>
        </w:rPr>
        <w:fldChar w:fldCharType="end"/>
      </w:r>
      <w:r/>
    </w:p>
    <w:p>
      <w:pPr>
        <w:pStyle w:val="722"/>
        <w:spacing w:line="360" w:lineRule="auto"/>
        <w:tabs>
          <w:tab w:val="right" w:pos="8299" w:leader="dot"/>
        </w:tabs>
        <w:rPr>
          <w:rFonts w:hint="eastAsia" w:ascii="宋体" w:hAnsi="宋体" w:cs="宋体"/>
          <w:szCs w:val="21"/>
        </w:rPr>
      </w:pPr>
      <w:r>
        <w:fldChar w:fldCharType="begin"/>
      </w:r>
      <w:r>
        <w:instrText xml:space="preserve"> HYPERLINK \l "_Toc7019" </w:instrText>
      </w:r>
      <w:r>
        <w:fldChar w:fldCharType="separate"/>
      </w:r>
      <w:r>
        <w:rPr>
          <w:rFonts w:hint="eastAsia" w:ascii="宋体" w:hAnsi="宋体" w:cs="宋体"/>
          <w:szCs w:val="21"/>
        </w:rPr>
        <w:t xml:space="preserve">第六章 附件</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_Toc7019 \h </w:instrText>
      </w:r>
      <w:r>
        <w:rPr>
          <w:rFonts w:hint="eastAsia" w:ascii="宋体" w:hAnsi="宋体" w:cs="宋体"/>
          <w:szCs w:val="21"/>
        </w:rPr>
        <w:fldChar w:fldCharType="separate"/>
      </w:r>
      <w:r>
        <w:rPr>
          <w:rFonts w:hint="eastAsia" w:ascii="宋体" w:hAnsi="宋体" w:cs="宋体"/>
          <w:szCs w:val="21"/>
        </w:rPr>
        <w:t xml:space="preserve">56</w:t>
      </w:r>
      <w:r>
        <w:rPr>
          <w:rFonts w:hint="eastAsia" w:ascii="宋体" w:hAnsi="宋体" w:cs="宋体"/>
          <w:szCs w:val="21"/>
        </w:rPr>
        <w:fldChar w:fldCharType="end"/>
      </w:r>
      <w:r>
        <w:rPr>
          <w:rFonts w:hint="eastAsia" w:ascii="宋体" w:hAnsi="宋体" w:cs="宋体"/>
          <w:szCs w:val="21"/>
        </w:rPr>
        <w:fldChar w:fldCharType="end"/>
      </w:r>
      <w:r/>
    </w:p>
    <w:p>
      <w:pPr>
        <w:spacing w:line="360" w:lineRule="auto"/>
        <w:rPr>
          <w:rFonts w:hint="eastAsia" w:ascii="宋体" w:hAnsi="宋体" w:cs="宋体"/>
          <w:sz w:val="72"/>
          <w:szCs w:val="72"/>
        </w:rPr>
      </w:pPr>
      <w:r>
        <w:rPr>
          <w:rFonts w:hint="eastAsia" w:ascii="宋体" w:hAnsi="宋体" w:cs="宋体"/>
          <w:szCs w:val="21"/>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689"/>
        <w:rPr>
          <w:rFonts w:hint="eastAsia" w:ascii="宋体" w:hAnsi="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numPr>
          <w:ilvl w:val="0"/>
          <w:numId w:val="0"/>
        </w:numPr>
        <w:rPr>
          <w:rFonts w:hint="eastAsia" w:ascii="宋体" w:hAnsi="宋体" w:cs="宋体"/>
          <w:szCs w:val="21"/>
        </w:rPr>
      </w:pPr>
      <w:r>
        <w:rPr>
          <w:rFonts w:hint="eastAsia" w:ascii="宋体" w:hAnsi="宋体" w:cs="宋体"/>
          <w:szCs w:val="21"/>
        </w:rPr>
        <w:t xml:space="preserve">第一章</w:t>
      </w:r>
      <w:r>
        <w:rPr>
          <w:rFonts w:hint="eastAsia" w:ascii="宋体" w:hAnsi="宋体" w:cs="宋体"/>
          <w:sz w:val="36"/>
          <w:szCs w:val="36"/>
          <w:shd w:val="clear" w:color="auto" w:fill="ffffff"/>
        </w:rPr>
        <w:t xml:space="preserve"> </w:t>
      </w:r>
      <w:bookmarkStart w:id="3" w:name="_Toc30685"/>
      <w:r/>
      <w:bookmarkStart w:id="4" w:name="_Hlk85716974"/>
      <w:r>
        <w:rPr>
          <w:rFonts w:hint="eastAsia" w:ascii="宋体" w:hAnsi="宋体" w:cs="宋体"/>
        </w:rPr>
        <w:t xml:space="preserve">采购公告</w:t>
      </w:r>
      <w:bookmarkEnd w:id="2"/>
      <w:r/>
      <w:bookmarkEnd w:id="3"/>
      <w:r/>
      <w:bookmarkStart w:id="5" w:name="OLE_LINK7"/>
      <w:r/>
      <w:bookmarkStart w:id="6" w:name="OLE_LINK1"/>
      <w:r/>
      <w:bookmarkStart w:id="7" w:name="OLE_LINK5"/>
      <w:r/>
      <w:bookmarkStart w:id="8" w:name="OLE_LINK6"/>
      <w:r/>
      <w:bookmarkStart w:id="9" w:name="_Hlk74842529"/>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宋体" w:hAnsi="宋体" w:cs="宋体"/>
          <w:spacing w:val="8"/>
          <w:szCs w:val="21"/>
        </w:rPr>
        <w:t xml:space="preserve">项目概况</w:t>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南京工业职业技术大学智能电网调度控制系统实训室采购项目</w:t>
      </w:r>
      <w:r>
        <w:rPr>
          <w:rFonts w:hint="eastAsia" w:ascii="宋体" w:hAnsi="宋体" w:cs="宋体"/>
          <w:spacing w:val="8"/>
          <w:szCs w:val="21"/>
        </w:rPr>
        <w:t xml:space="preserve">的潜在供应商应在</w:t>
      </w:r>
      <w:r>
        <w:rPr>
          <w:rFonts w:hint="eastAsia" w:ascii="宋体" w:hAnsi="宋体" w:cs="宋体"/>
          <w:szCs w:val="21"/>
          <w:u w:val="single"/>
        </w:rPr>
        <w:t xml:space="preserve">苏采云系统注册登记成功后系统内免费</w:t>
      </w:r>
      <w:r>
        <w:rPr>
          <w:rFonts w:hint="eastAsia" w:ascii="宋体" w:hAnsi="宋体" w:cs="宋体"/>
          <w:spacing w:val="8"/>
          <w:szCs w:val="21"/>
        </w:rPr>
        <w:t xml:space="preserve">获取招标文件，并于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11</w:t>
      </w:r>
      <w:r>
        <w:rPr>
          <w:rFonts w:hint="eastAsia" w:ascii="宋体" w:hAnsi="宋体" w:cs="宋体"/>
          <w:szCs w:val="21"/>
          <w:u w:val="single"/>
        </w:rPr>
        <w:t xml:space="preserve">月19日9点30分</w:t>
      </w:r>
      <w:r>
        <w:rPr>
          <w:rFonts w:hint="eastAsia" w:ascii="宋体" w:hAnsi="宋体" w:cs="宋体"/>
          <w:spacing w:val="8"/>
          <w:szCs w:val="21"/>
        </w:rPr>
        <w:t xml:space="preserve">（北京时间）前递交投标文件。</w:t>
      </w:r>
      <w:r/>
    </w:p>
    <w:p>
      <w:pPr>
        <w:pStyle w:val="759"/>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cs="宋体"/>
          <w:spacing w:val="8"/>
          <w:szCs w:val="21"/>
        </w:rPr>
        <w:t xml:space="preserve">1.1项目编号：</w:t>
      </w:r>
      <w:r>
        <w:rPr>
          <w:rFonts w:hint="eastAsia" w:ascii="宋体" w:hAnsi="宋体" w:cs="宋体"/>
          <w:spacing w:val="8"/>
          <w:szCs w:val="21"/>
          <w:lang w:eastAsia="zh-CN"/>
        </w:rPr>
        <w:t xml:space="preserve">JSZC-320000-JCEC-G2026-0445</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1.2项目名称：南京工业职业技术大学智能电网调度控制系统实训室采购项目</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1.3预算金额：人民币100.00万元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1.4最高限价：人民币100.00万元，投标报价超过最高限价的为无效投标。</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1.5采购需求：南京工业职业技术大学为满足教学实验需要，需采购1台（套）智能电网调度控制系统实训室。具体内容详见采购文件 第四章 采购需求。</w:t>
      </w:r>
      <w:r/>
    </w:p>
    <w:p>
      <w:pPr>
        <w:pStyle w:val="714"/>
        <w:ind w:firstLine="452"/>
        <w:spacing w:line="360" w:lineRule="auto"/>
        <w:rPr>
          <w:rFonts w:hint="eastAsia" w:ascii="宋体" w:hAnsi="宋体" w:cs="宋体"/>
          <w:spacing w:val="8"/>
          <w:szCs w:val="21"/>
        </w:rPr>
      </w:pPr>
      <w:r>
        <w:rPr>
          <w:rFonts w:hint="eastAsia" w:ascii="宋体" w:hAnsi="宋体" w:cs="宋体"/>
          <w:spacing w:val="8"/>
          <w:szCs w:val="21"/>
        </w:rPr>
        <w:t xml:space="preserve">1.6合同履行期限：合同签订生效后，45个日历日内全部设备、材料运抵现场，并安装、调试结束，验收合格，交付采购方使用。</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1.7本项目标的所属行业：工业。</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1.8本项目</w:t>
      </w:r>
      <w:r>
        <w:rPr>
          <w:rFonts w:hint="eastAsia" w:ascii="宋体" w:hAnsi="宋体" w:cs="宋体"/>
          <w:b/>
          <w:bCs/>
          <w:spacing w:val="8"/>
          <w:szCs w:val="21"/>
        </w:rPr>
        <w:t xml:space="preserve">非专门</w:t>
      </w:r>
      <w:r>
        <w:rPr>
          <w:rFonts w:hint="eastAsia" w:ascii="宋体" w:hAnsi="宋体" w:cs="宋体"/>
          <w:spacing w:val="8"/>
          <w:szCs w:val="21"/>
        </w:rPr>
        <w:t xml:space="preserve">面向中小企业采购。</w:t>
      </w:r>
      <w:r/>
    </w:p>
    <w:p>
      <w:pPr>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1.9本项目</w:t>
      </w:r>
      <w:r>
        <w:rPr>
          <w:rFonts w:hint="eastAsia" w:ascii="宋体" w:hAnsi="宋体" w:cs="宋体"/>
          <w:b/>
          <w:bCs/>
          <w:spacing w:val="8"/>
          <w:szCs w:val="21"/>
        </w:rPr>
        <w:t xml:space="preserve">不接受</w:t>
      </w:r>
      <w:r>
        <w:rPr>
          <w:rFonts w:hint="eastAsia" w:ascii="宋体" w:hAnsi="宋体" w:cs="宋体"/>
          <w:spacing w:val="8"/>
          <w:szCs w:val="21"/>
        </w:rPr>
        <w:t xml:space="preserve">进口产品。</w:t>
      </w:r>
      <w:r/>
    </w:p>
    <w:p>
      <w:pPr>
        <w:ind w:firstLine="452"/>
        <w:spacing w:line="360" w:lineRule="auto"/>
        <w:shd w:val="clear" w:color="auto" w:fill="ffffff" w:themeFill="background1"/>
        <w:widowControl/>
        <w:rPr>
          <w:rFonts w:hint="eastAsia" w:ascii="宋体" w:hAnsi="宋体" w:cs="宋体"/>
          <w:color w:val="ffffff" w:themeColor="background1"/>
          <w:spacing w:val="8"/>
          <w:szCs w:val="21"/>
          <w14:textFill>
            <w14:solidFill>
              <w14:schemeClr w14:val="bg1"/>
            </w14:solidFill>
          </w14:textFill>
        </w:rPr>
      </w:pPr>
      <w:r>
        <w:rPr>
          <w:rFonts w:hint="eastAsia" w:ascii="宋体" w:hAnsi="宋体" w:cs="宋体"/>
          <w:spacing w:val="8"/>
          <w:szCs w:val="21"/>
        </w:rPr>
        <w:t xml:space="preserve">1.10本项目</w:t>
      </w:r>
      <w:r>
        <w:rPr>
          <w:rFonts w:hint="eastAsia" w:ascii="宋体" w:hAnsi="宋体" w:cs="宋体"/>
          <w:b/>
          <w:bCs/>
          <w:spacing w:val="8"/>
          <w:szCs w:val="21"/>
        </w:rPr>
        <w:t xml:space="preserve">不接受</w:t>
      </w:r>
      <w:r>
        <w:rPr>
          <w:rFonts w:hint="eastAsia" w:ascii="宋体" w:hAnsi="宋体" w:cs="宋体"/>
          <w:spacing w:val="8"/>
          <w:szCs w:val="21"/>
        </w:rPr>
        <w:t xml:space="preserve">联合体投标。</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4"/>
        <w:spacing w:line="360" w:lineRule="auto"/>
        <w:rPr>
          <w:rFonts w:hint="eastAsia"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（提供法人或者其他组织的营业执照；供应商为自然人的提供其身份证）；</w:t>
      </w:r>
      <w:r>
        <w:rPr>
          <w:rFonts w:hint="eastAsia" w:ascii="宋体" w:hAnsi="宋体" w:cs="宋体"/>
          <w:bCs/>
          <w:szCs w:val="21"/>
        </w:rPr>
        <w:t xml:space="preserve"> </w:t>
      </w:r>
      <w:r/>
    </w:p>
    <w:p>
      <w:pPr>
        <w:ind w:firstLine="424"/>
        <w:spacing w:line="360" w:lineRule="auto"/>
        <w:rPr>
          <w:rFonts w:hint="eastAsia" w:ascii="宋体" w:hAnsi="宋体" w:cs="宋体"/>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（供应商根据履行采购项目合同需要，提供履行合同所必需的设备和专业技术能力的证明材料或承诺书加盖公章）</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（提供承诺书加盖公章）</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hint="eastAsia" w:ascii="宋体" w:hAnsi="宋体" w:cs="宋体"/>
          <w:b/>
          <w:spacing w:val="8"/>
          <w:szCs w:val="21"/>
          <w:highlight w:val="yellow"/>
        </w:rPr>
      </w:pPr>
      <w:r>
        <w:rPr>
          <w:rFonts w:hint="eastAsia" w:ascii="宋体" w:hAnsi="宋体" w:cs="宋体"/>
          <w:b/>
          <w:spacing w:val="8"/>
          <w:szCs w:val="21"/>
        </w:rPr>
        <w:t xml:space="preserve">2.3采购人根据采购项目的特殊要求规定的特定条件，并提供符合特殊要求的证明材料或者情况说明：无。</w:t>
      </w:r>
      <w:r/>
    </w:p>
    <w:p>
      <w:pPr>
        <w:ind w:firstLine="454"/>
        <w:spacing w:line="360" w:lineRule="auto"/>
        <w:rPr>
          <w:rFonts w:hint="eastAsia" w:ascii="宋体" w:hAnsi="宋体" w:cs="宋体"/>
          <w:bCs/>
          <w:szCs w:val="21"/>
        </w:rPr>
      </w:pPr>
      <w:r>
        <w:rPr>
          <w:rFonts w:hint="eastAsia" w:ascii="宋体" w:hAnsi="宋体" w:cs="宋体"/>
          <w:b/>
          <w:spacing w:val="8"/>
          <w:szCs w:val="21"/>
        </w:rPr>
        <w:t xml:space="preserve">2.4第2.1（5）条所称重大违法记录，</w:t>
      </w:r>
      <w:r>
        <w:rPr>
          <w:rFonts w:hint="eastAsia" w:ascii="宋体" w:hAnsi="宋体" w:cs="宋体"/>
          <w:bCs/>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cs="宋体"/>
          <w:bCs/>
          <w:szCs w:val="21"/>
        </w:rPr>
      </w:pPr>
      <w:r>
        <w:rPr>
          <w:rFonts w:hint="eastAsia" w:ascii="宋体" w:hAnsi="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11</w:t>
      </w:r>
      <w:r>
        <w:rPr>
          <w:rFonts w:hint="eastAsia" w:ascii="宋体" w:hAnsi="宋体" w:cs="宋体"/>
          <w:b/>
          <w:bCs/>
          <w:spacing w:val="8"/>
          <w:szCs w:val="21"/>
        </w:rPr>
        <w:t xml:space="preserve">月19日</w:t>
      </w:r>
      <w:r>
        <w:rPr>
          <w:rFonts w:hint="eastAsia" w:ascii="宋体" w:hAnsi="宋体" w:cs="宋体"/>
          <w:b/>
          <w:bCs/>
          <w:spacing w:val="8"/>
          <w:szCs w:val="21"/>
        </w:rPr>
        <w:t xml:space="preserve">9点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730"/>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rPr>
          <w:rFonts w:hint="eastAsia"/>
          <w:spacing w:val="15"/>
          <w:sz w:val="21"/>
          <w:szCs w:val="21"/>
          <w:shd w:val="clear" w:color="auto" w:fill="ffffff"/>
        </w:rPr>
        <w:fldChar w:fldCharType="begin"/>
      </w:r>
      <w:r>
        <w:rPr>
          <w:rFonts w:hint="eastAsia"/>
          <w:spacing w:val="15"/>
          <w:sz w:val="21"/>
          <w:szCs w:val="21"/>
          <w:shd w:val="clear" w:color="auto" w:fill="ffffff"/>
        </w:rPr>
        <w:instrText xml:space="preserve"> HYPERLINK "http://jszfcg.jsczt.cn/）" </w:instrText>
      </w:r>
      <w:r>
        <w:rPr>
          <w:rFonts w:hint="eastAsia"/>
          <w:spacing w:val="15"/>
          <w:sz w:val="21"/>
          <w:szCs w:val="21"/>
          <w:shd w:val="clear" w:color="auto" w:fill="ffffff"/>
        </w:rP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五、公告期限</w:t>
      </w:r>
      <w:r/>
    </w:p>
    <w:p>
      <w:pPr>
        <w:ind w:firstLine="370"/>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六、其他补充事宜</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6.1本项目在</w:t>
      </w:r>
      <w:r>
        <w:rPr>
          <w:rFonts w:hint="eastAsia" w:ascii="宋体" w:hAnsi="宋体" w:cs="宋体"/>
          <w:b/>
          <w:szCs w:val="21"/>
          <w:u w:val="single"/>
        </w:rPr>
        <w:t xml:space="preserve">江苏政府采购网、中国政府采购网</w:t>
      </w:r>
      <w:r>
        <w:rPr>
          <w:rFonts w:hint="eastAsia" w:ascii="宋体" w:hAnsi="宋体" w:cs="宋体"/>
          <w:bCs/>
          <w:szCs w:val="21"/>
          <w:lang w:val="zh-CN"/>
        </w:rPr>
        <w:t xml:space="preserve">发布公告。</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6.2勘察现场或答疑地点：无。</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6.3获取招标文件方式补充：本项目采用网上注册登记方式。</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①潜在供应商访问电子招标响应交易平台的网络地址和方法：</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②潜在供应商访问“苏采云”系统的网络地址和方法：“苏采云”系统的网址：http：//jszfcg.jsczt.cn/。</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③“CA数字证书”的获取：</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响应供应商需办理“CA 数字证书”，CA办理指南及“苏采云”操作手册可至江苏省政府采购网―办事指南-资料下载中心下载。</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④采购文件（后缀名为“.kedt”）、供应商操作手册及政府采购客户端工具可通过“苏采云”系统--已报名项目--报名详情页面内相应链接进行下载。</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⑤采购人或采购代理机构将数据电文形式的采购文件加载至“苏采云”系统，供潜在供应商下载或者查阅。</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7.1采购人信息</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名称：南京工业职业技术大学 </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地址：南京市栖霞区仙林大学城羊山北路1号</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联系人：纪老师</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lang w:val="zh-CN"/>
        </w:rPr>
        <w:t xml:space="preserve">联系电话：025-85864066</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7.2采购代理机构信息</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名 称：江苏省设备成套股份有限公司</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地　址：南京市鼓楼区清江南路18号鼓楼创新广场10楼100</w:t>
      </w:r>
      <w:r>
        <w:rPr>
          <w:rFonts w:hint="eastAsia" w:ascii="宋体" w:hAnsi="宋体" w:cs="宋体"/>
          <w:bCs/>
          <w:szCs w:val="21"/>
        </w:rPr>
        <w:t xml:space="preserve">1</w:t>
      </w:r>
      <w:r>
        <w:rPr>
          <w:rFonts w:hint="eastAsia" w:ascii="宋体" w:hAnsi="宋体" w:cs="宋体"/>
          <w:bCs/>
          <w:szCs w:val="21"/>
          <w:lang w:val="zh-CN"/>
        </w:rPr>
        <w:t xml:space="preserve">室</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联系方式：</w:t>
      </w:r>
      <w:r>
        <w:rPr>
          <w:rFonts w:hint="eastAsia" w:ascii="宋体" w:hAnsi="宋体" w:cs="宋体"/>
          <w:bCs/>
          <w:szCs w:val="21"/>
        </w:rPr>
        <w:t xml:space="preserve">古南明、张志豪 </w:t>
      </w:r>
      <w:r>
        <w:rPr>
          <w:rFonts w:hint="eastAsia" w:ascii="宋体" w:hAnsi="宋体" w:cs="宋体"/>
          <w:bCs/>
          <w:szCs w:val="21"/>
          <w:lang w:val="zh-CN"/>
        </w:rPr>
        <w:t xml:space="preserve">025-</w:t>
      </w:r>
      <w:r>
        <w:rPr>
          <w:rFonts w:hint="eastAsia" w:ascii="宋体" w:hAnsi="宋体" w:cs="宋体"/>
          <w:bCs/>
          <w:szCs w:val="21"/>
        </w:rPr>
        <w:t xml:space="preserve">83306855</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7.3项目联系方式</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项目联系人：</w:t>
      </w:r>
      <w:r>
        <w:rPr>
          <w:rFonts w:hint="eastAsia" w:ascii="宋体" w:hAnsi="宋体" w:cs="宋体"/>
          <w:bCs/>
          <w:szCs w:val="21"/>
        </w:rPr>
        <w:t xml:space="preserve">古南明、张志豪</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电　话：025-</w:t>
      </w:r>
      <w:r>
        <w:rPr>
          <w:rFonts w:hint="eastAsia" w:ascii="宋体" w:hAnsi="宋体" w:cs="宋体"/>
          <w:bCs/>
          <w:szCs w:val="21"/>
        </w:rPr>
        <w:t xml:space="preserve">83306855</w:t>
      </w:r>
      <w:r/>
    </w:p>
    <w:p>
      <w:pPr>
        <w:ind w:firstLine="424"/>
        <w:spacing w:line="360" w:lineRule="auto"/>
        <w:rPr>
          <w:rFonts w:hint="eastAsia" w:ascii="宋体" w:hAnsi="宋体" w:cs="宋体"/>
          <w:bCs/>
          <w:szCs w:val="21"/>
        </w:rPr>
      </w:pPr>
      <w:r>
        <w:rPr>
          <w:rFonts w:hint="eastAsia" w:ascii="宋体" w:hAnsi="宋体" w:cs="宋体"/>
          <w:bCs/>
          <w:szCs w:val="21"/>
        </w:rPr>
        <w:t xml:space="preserve">邮箱：gunm@jcec.cn</w:t>
      </w:r>
      <w:bookmarkEnd w:id="4"/>
      <w:bookmarkEnd w:id="9"/>
      <w:bookmarkEnd w:id="13"/>
      <w:r/>
    </w:p>
    <w:p>
      <w:pPr>
        <w:jc w:val="left"/>
        <w:widowControl/>
        <w:rPr>
          <w:rFonts w:hint="eastAsia" w:ascii="宋体" w:hAnsi="宋体" w:cs="宋体"/>
          <w:szCs w:val="21"/>
        </w:rPr>
      </w:pPr>
      <w:r>
        <w:rPr>
          <w:rFonts w:hint="eastAsia" w:ascii="宋体" w:hAnsi="宋体" w:cs="宋体"/>
          <w:szCs w:val="21"/>
        </w:rPr>
        <w:br w:type="page" w:clear="all"/>
      </w:r>
      <w:r/>
    </w:p>
    <w:p>
      <w:pPr>
        <w:pStyle w:val="689"/>
        <w:numPr>
          <w:ilvl w:val="0"/>
          <w:numId w:val="0"/>
        </w:numPr>
        <w:rPr>
          <w:rFonts w:hint="eastAsia" w:ascii="宋体" w:hAnsi="宋体" w:cs="宋体"/>
        </w:rPr>
      </w:pPr>
      <w:r/>
      <w:bookmarkStart w:id="14" w:name="_Toc26745"/>
      <w:r>
        <w:rPr>
          <w:rFonts w:hint="eastAsia" w:ascii="宋体" w:hAnsi="宋体" w:cs="宋体"/>
        </w:rPr>
        <w:t xml:space="preserve">第二章</w:t>
      </w:r>
      <w:bookmarkStart w:id="15" w:name="_Toc452625218"/>
      <w:r>
        <w:rPr>
          <w:rFonts w:hint="eastAsia" w:ascii="宋体" w:hAnsi="宋体" w:cs="宋体"/>
        </w:rPr>
        <w:t xml:space="preserve"> 供应商须知</w:t>
      </w:r>
      <w:bookmarkEnd w:id="14"/>
      <w:r/>
      <w:bookmarkEnd w:id="15"/>
      <w:r/>
      <w:r/>
    </w:p>
    <w:p>
      <w:pPr>
        <w:ind w:firstLine="424"/>
        <w:spacing w:line="360" w:lineRule="auto"/>
        <w:shd w:val="clear" w:color="auto" w:fill="ffffff"/>
        <w:widowControl/>
        <w:rPr>
          <w:rFonts w:hint="eastAsia" w:ascii="宋体" w:hAnsi="宋体" w:cs="宋体"/>
          <w:szCs w:val="21"/>
        </w:rPr>
      </w:pPr>
      <w:r/>
      <w:bookmarkStart w:id="16" w:name="_Toc25340"/>
      <w:r/>
      <w:bookmarkStart w:id="17" w:name="_Toc481057145"/>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4.1招标文件包括以下主要内容：采购公告；供应商须知；供应商应当提交的资格、资信证明文件；为</w:t>
      </w:r>
      <w:r>
        <w:rPr>
          <w:rFonts w:hint="eastAsia" w:ascii="宋体" w:hAnsi="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6.3供应商应用人民币报价。投标产品如果是进口产品的，应提供人民币与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6.5</w:t>
      </w:r>
      <w:r>
        <w:rPr>
          <w:rFonts w:hint="eastAsia" w:ascii="宋体" w:hAnsi="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7、联合体投标</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szCs w:val="21"/>
        </w:rPr>
        <w:t xml:space="preserve">★</w:t>
      </w:r>
      <w:r>
        <w:rPr>
          <w:rFonts w:hint="eastAsia" w:ascii="宋体" w:hAnsi="宋体" w:cs="宋体"/>
          <w:b/>
          <w:bCs/>
          <w:szCs w:val="21"/>
        </w:rPr>
        <w:t xml:space="preserve">”）的技术条款必须在投标文件中提供技术支持资料，具体详见技术参数要求，未提供技术支持资料的，视为未对招标文件实质性要求作出响应，评审时不予认可。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（2）法定代表人授权书及委托代理人的身份证明文件的复印件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（3）供应商资格资信证明文件：</w:t>
      </w:r>
      <w:r/>
    </w:p>
    <w:p>
      <w:pPr>
        <w:pStyle w:val="844"/>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2.1《中华人民共和国政府采购法》规定的资格条件证明文件；</w:t>
      </w:r>
      <w:r/>
    </w:p>
    <w:p>
      <w:pPr>
        <w:pStyle w:val="844"/>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2.2</w:t>
      </w:r>
      <w:r>
        <w:rPr>
          <w:rFonts w:hint="eastAsia" w:ascii="宋体" w:hAnsi="宋体" w:cs="宋体"/>
          <w:spacing w:val="8"/>
          <w:szCs w:val="21"/>
        </w:rPr>
        <w:t xml:space="preserve">落实政府采购政策需满足的资格要求；</w:t>
      </w:r>
      <w:r/>
    </w:p>
    <w:p>
      <w:pPr>
        <w:pStyle w:val="844"/>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（6）第三章评标标准中对应的所需证明材料；</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（7）其它。</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（4）供应商拟投入本项目的设备、人员情况一览表；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11.6本项目预算为：详见第一章。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widowControl/>
        <w:rPr>
          <w:rFonts w:hint="eastAsia" w:ascii="宋体" w:hAnsi="宋体" w:cs="宋体"/>
          <w:szCs w:val="21"/>
        </w:rPr>
      </w:pPr>
      <w:r>
        <w:rPr>
          <w:rFonts w:hint="eastAsia" w:ascii="宋体" w:hAnsi="宋体" w:cs="宋体"/>
          <w:szCs w:val="21"/>
        </w:rPr>
        <w:t xml:space="preserve">12.2</w:t>
      </w:r>
      <w:r>
        <w:rPr>
          <w:rFonts w:hint="eastAsia" w:ascii="宋体" w:hAnsi="宋体" w:cs="宋体"/>
          <w:color w:val="000000"/>
          <w:szCs w:val="21"/>
        </w:rPr>
        <w:t xml:space="preserve"> </w:t>
      </w:r>
      <w:r>
        <w:rPr>
          <w:rFonts w:hint="eastAsia" w:ascii="宋体" w:hAnsi="宋体" w:cs="宋体"/>
          <w:color w:val="000000"/>
          <w:szCs w:val="21"/>
          <w:lang w:val="zh-CN"/>
        </w:rPr>
        <w:t xml:space="preserve">如标书制作工具中格式和内容与“江苏政府采购网、中国政府采购网”发布的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文件不一致，以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13、本项目无需缴纳投标保证金。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16.2 招标代理服务费：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招标代理服务费：本次招标，每分包中标人参照《招标代理服务费管理暂行办法》（国家发展计划委员会计价格〔2002〕1980号）代理 </w:t>
      </w:r>
      <w:r>
        <w:rPr>
          <w:rFonts w:hint="eastAsia" w:ascii="宋体" w:hAnsi="宋体" w:cs="宋体"/>
          <w:szCs w:val="21"/>
          <w:u w:val="single"/>
        </w:rPr>
        <w:t xml:space="preserve"> 货物  </w:t>
      </w:r>
      <w:r>
        <w:rPr>
          <w:rFonts w:hint="eastAsia" w:ascii="宋体" w:hAnsi="宋体" w:cs="宋体"/>
          <w:szCs w:val="21"/>
        </w:rPr>
        <w:t xml:space="preserve">招标收费基准费率</w:t>
      </w:r>
      <w:r>
        <w:rPr>
          <w:rFonts w:hint="eastAsia" w:ascii="宋体" w:hAnsi="宋体" w:cs="宋体"/>
          <w:szCs w:val="21"/>
          <w:u w:val="single"/>
        </w:rPr>
        <w:t xml:space="preserve"> 60 %</w:t>
      </w:r>
      <w:r>
        <w:rPr>
          <w:rFonts w:hint="eastAsia" w:ascii="宋体" w:hAnsi="宋体" w:cs="宋体"/>
          <w:szCs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宋体" w:hAnsi="宋体" w:cs="宋体"/>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 评标委员会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（三）对投标文件进行比较和评价；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 评标程序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（2）投标文件未按照招标文件要求加盖电子公章的；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szCs w:val="21"/>
        </w:rPr>
        <w:t xml:space="preserve">★</w:t>
      </w:r>
      <w:r>
        <w:rPr>
          <w:rFonts w:hint="eastAsia" w:ascii="宋体" w:hAnsi="宋体" w:cs="宋体"/>
          <w:b/>
          <w:bCs/>
          <w:szCs w:val="21"/>
        </w:rPr>
        <w:t xml:space="preserve">”）或其他文字说明的商务和技术要求。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22.2.3澄清有关问题。</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 评标方法和标准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23、确定中标人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rPr>
      </w:pPr>
      <w:r>
        <w:rPr>
          <w:rFonts w:hint="eastAsia" w:ascii="宋体" w:hAnsi="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bookmarkEnd w:id="16"/>
      <w:bookmarkEnd w:id="17"/>
      <w:r/>
    </w:p>
    <w:p>
      <w:pPr>
        <w:pStyle w:val="689"/>
        <w:numPr>
          <w:ilvl w:val="0"/>
          <w:numId w:val="0"/>
        </w:numPr>
        <w:rPr>
          <w:rFonts w:hint="eastAsia" w:ascii="宋体" w:hAnsi="宋体" w:cs="宋体"/>
        </w:rPr>
      </w:pPr>
      <w:r/>
      <w:bookmarkStart w:id="18" w:name="_Toc28285"/>
      <w:r>
        <w:rPr>
          <w:rFonts w:hint="eastAsia" w:ascii="宋体" w:hAnsi="宋体" w:cs="宋体"/>
        </w:rPr>
        <w:t xml:space="preserve">第三章 评标标准</w:t>
      </w:r>
      <w:bookmarkEnd w:id="18"/>
      <w:r/>
      <w:r/>
    </w:p>
    <w:p>
      <w:pPr>
        <w:ind w:firstLine="420"/>
        <w:spacing w:line="360" w:lineRule="auto"/>
        <w:tabs>
          <w:tab w:val="left" w:pos="960" w:leader="none"/>
        </w:tabs>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cs="宋体"/>
          <w:b/>
          <w:bCs/>
        </w:rPr>
        <w:t xml:space="preserve">技术响应情况得分</w:t>
      </w:r>
      <w:r>
        <w:rPr>
          <w:rFonts w:hint="eastAsia" w:ascii="宋体" w:hAnsi="宋体" w:cs="宋体"/>
          <w:bCs/>
        </w:rPr>
        <w:t xml:space="preserve">高低</w:t>
      </w:r>
      <w:r>
        <w:rPr>
          <w:rFonts w:hint="eastAsia" w:ascii="宋体" w:hAnsi="宋体" w:cs="宋体"/>
        </w:rPr>
        <w:t xml:space="preserve">顺序排列，技术响应情况得分也相等的，由评标委员会投票决定。</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1517"/>
        <w:gridCol w:w="5463"/>
        <w:gridCol w:w="660"/>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分值</w:t>
            </w:r>
            <w:r/>
          </w:p>
        </w:tc>
      </w:tr>
      <w:tr>
        <w:trPr>
          <w:jc w:val="center"/>
          <w:trHeight w:val="134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价格分采用低价优先法计算，即满足采购文件要求且报价最低的投标人的报价为评审基准价，其价格分为满分35 分，其它投标人的价格分统一按照以下公式计算：</w:t>
            </w:r>
            <w:r/>
          </w:p>
          <w:p>
            <w:pPr>
              <w:spacing w:line="300" w:lineRule="exact"/>
              <w:rPr>
                <w:rFonts w:hint="eastAsia" w:ascii="宋体" w:hAnsi="宋体" w:cs="宋体"/>
                <w:szCs w:val="21"/>
              </w:rPr>
            </w:pPr>
            <w:r>
              <w:rPr>
                <w:rFonts w:hint="eastAsia" w:ascii="宋体" w:hAnsi="宋体" w:cs="宋体"/>
                <w:szCs w:val="21"/>
              </w:rPr>
              <w:t xml:space="preserve">报价得分=(评审基准价/该投标人的报价)× 35分。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35</w:t>
            </w:r>
            <w:r/>
          </w:p>
        </w:tc>
      </w:tr>
      <w:tr>
        <w:trPr>
          <w:jc w:val="center"/>
          <w:trHeight w:val="1745"/>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b/>
                <w:bCs/>
                <w:szCs w:val="21"/>
                <w:highlight w:val="none"/>
              </w:rPr>
            </w:pPr>
            <w:r>
              <w:rPr>
                <w:rFonts w:hint="eastAsia" w:ascii="宋体" w:hAnsi="宋体" w:cs="宋体"/>
                <w:szCs w:val="21"/>
                <w:highlight w:val="none"/>
              </w:rPr>
              <w:t xml:space="preserve">供应商对采购文件“第四章采购需求中</w:t>
            </w:r>
            <w:r>
              <w:rPr>
                <w:rFonts w:hint="eastAsia" w:ascii="宋体" w:hAnsi="宋体" w:cs="宋体"/>
                <w:color w:val="000000" w:themeColor="text1"/>
                <w:szCs w:val="21"/>
                <w:highlight w:val="none"/>
                <w14:textFill>
                  <w14:solidFill>
                    <w14:schemeClr w14:val="tx1"/>
                  </w14:solidFill>
                </w14:textFill>
              </w:rPr>
              <w:t xml:space="preserve">二、技术指标及要求</w:t>
            </w:r>
            <w:r>
              <w:rPr>
                <w:rFonts w:hint="eastAsia" w:ascii="宋体" w:hAnsi="宋体" w:cs="宋体"/>
                <w:szCs w:val="21"/>
                <w:highlight w:val="none"/>
              </w:rPr>
              <w:t xml:space="preserve">”的响应程度：全部响应的得31分，采购文件中标注“★”的内容为实质性要求，有一项不符合的，作无效投标处理。带“▲”条款为重要技术参数指标，如带“▲”条款存在负偏离的，负偏离1项扣2分，其他技术参数，负偏离1项扣1分，扣完为止。</w:t>
            </w:r>
            <w:r/>
          </w:p>
          <w:p>
            <w:pPr>
              <w:spacing w:line="300" w:lineRule="exact"/>
              <w:rPr>
                <w:rFonts w:hint="eastAsia" w:ascii="宋体" w:hAnsi="宋体" w:cs="宋体"/>
                <w:szCs w:val="21"/>
                <w:highlight w:val="none"/>
              </w:rPr>
            </w:pPr>
            <w:r>
              <w:rPr>
                <w:rFonts w:hint="eastAsia" w:ascii="宋体" w:hAnsi="宋体" w:cs="宋体"/>
                <w:b/>
                <w:bCs/>
                <w:szCs w:val="21"/>
                <w:highlight w:val="none"/>
              </w:rPr>
              <w:t xml:space="preserve">“★”“▲”的技术参数响应需提供支撑资料（提供相关证明材料并加盖投标单位公章,包括但不限于明确说明该技术内容的公开发行的产品彩页或产品说明书或第三方检测机构的检测报告等，需求中有其他要求的从其要求），如未附有效支撑材料或者所附的支撑材料由评标委员会认为不能佐证技术指标的有效性的，则视为负偏离。</w:t>
            </w:r>
            <w:r>
              <w:rPr>
                <w:rFonts w:hint="eastAsia" w:ascii="宋体" w:hAnsi="宋体" w:cs="宋体"/>
                <w:b/>
                <w:bCs/>
                <w:i w:val="0"/>
                <w:iCs w:val="0"/>
                <w:szCs w:val="21"/>
                <w:highlight w:val="none"/>
                <w:u w:val="none"/>
              </w:rPr>
              <w:t xml:space="preserve">如文件中要求提供证明材料，建议采用箭头、标红、下划线或页码等进行明显标注，方便评委查看。</w:t>
            </w:r>
            <w:r>
              <w:rPr>
                <w:rFonts w:hint="eastAsia" w:ascii="宋体" w:hAnsi="宋体" w:cs="宋体"/>
                <w:b/>
                <w:bCs/>
                <w:szCs w:val="21"/>
                <w:highlight w:val="none"/>
                <w:u w:val="single"/>
              </w:rPr>
              <w:t xml:space="preserve">在签订合同前，采购人有权要求供应商到用户现场验证，功能、性能需与技术要求一致，否则视为虚假应标，采购人有权追究其相应法律责任。</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31</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投标供应商自2023年</w:t>
            </w:r>
            <w:r>
              <w:rPr>
                <w:rFonts w:hint="eastAsia" w:ascii="宋体" w:hAnsi="宋体" w:cs="宋体"/>
                <w:szCs w:val="21"/>
                <w:lang w:val="en-US" w:eastAsia="zh-CN"/>
              </w:rPr>
              <w:t xml:space="preserve">10</w:t>
            </w:r>
            <w:r>
              <w:rPr>
                <w:rFonts w:hint="eastAsia" w:ascii="宋体" w:hAnsi="宋体" w:cs="宋体"/>
                <w:szCs w:val="21"/>
              </w:rPr>
              <w:t xml:space="preserve">月01日以来（以合同签订日期为准），具有类似项目业绩的（合同至少应当包含核心产品），每提供一个有效业绩得2分，最高得6分。</w:t>
            </w:r>
            <w:r/>
          </w:p>
          <w:p>
            <w:pPr>
              <w:spacing w:line="300" w:lineRule="exact"/>
              <w:rPr>
                <w:rFonts w:hint="eastAsia" w:ascii="宋体" w:hAnsi="宋体" w:cs="宋体"/>
                <w:szCs w:val="21"/>
              </w:rPr>
            </w:pPr>
            <w:r>
              <w:rPr>
                <w:rFonts w:hint="eastAsia" w:ascii="宋体" w:hAnsi="宋体" w:cs="宋体"/>
                <w:b/>
                <w:bCs/>
                <w:szCs w:val="21"/>
              </w:rPr>
              <w:t xml:space="preserve">(投标文件中需提供合同原件扫描件加盖电子公章，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w:t>
            </w:r>
            <w:r/>
          </w:p>
        </w:tc>
      </w:tr>
      <w:tr>
        <w:trPr>
          <w:jc w:val="center"/>
          <w:trHeight w:val="1058"/>
        </w:trPr>
        <w:tc>
          <w:tcPr>
            <w:tcBorders>
              <w:left w:val="single" w:color="auto" w:sz="4" w:space="0"/>
              <w:right w:val="single" w:color="auto" w:sz="4" w:space="0"/>
            </w:tcBorders>
            <w:tcW w:w="390" w:type="pct"/>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915" w:type="pct"/>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4.1实施方案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投标人应根据招标文件要求提供项目实施方案，方案包含以下内容：</w:t>
            </w:r>
            <w:r/>
          </w:p>
          <w:p>
            <w:pPr>
              <w:spacing w:line="300" w:lineRule="exact"/>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spacing w:line="300" w:lineRule="exact"/>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spacing w:line="300" w:lineRule="exact"/>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spacing w:line="300" w:lineRule="exact"/>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spacing w:line="300" w:lineRule="exact"/>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上述五项内容均完整提供，且每项内容均具体、可操作，得7分；</w:t>
            </w:r>
            <w:r/>
          </w:p>
          <w:p>
            <w:pPr>
              <w:spacing w:line="300" w:lineRule="exact"/>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缺少上述任两项及以上内容，或所有内容均严重缺失、明显不合理，得1分；</w:t>
            </w:r>
            <w:r/>
          </w:p>
          <w:p>
            <w:pPr>
              <w:spacing w:line="300" w:lineRule="exact"/>
              <w:rPr>
                <w:rFonts w:hint="eastAsia" w:ascii="宋体" w:hAnsi="宋体" w:cs="宋体"/>
                <w:szCs w:val="21"/>
              </w:rPr>
            </w:pPr>
            <w:r>
              <w:rPr>
                <w:rFonts w:hint="eastAsia" w:ascii="宋体" w:hAnsi="宋体" w:cs="宋体"/>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4.2 验收配合方案</w:t>
            </w:r>
            <w:r/>
          </w:p>
          <w:p>
            <w:pPr>
              <w:spacing w:line="300" w:lineRule="exact"/>
              <w:rPr>
                <w:rFonts w:hint="eastAsia" w:ascii="宋体" w:hAnsi="宋体" w:cs="宋体"/>
                <w:szCs w:val="21"/>
              </w:rPr>
            </w:pPr>
            <w:r>
              <w:rPr>
                <w:rFonts w:hint="eastAsia" w:ascii="宋体" w:hAnsi="宋体" w:cs="宋体"/>
                <w:szCs w:val="21"/>
              </w:rPr>
              <w:t xml:space="preserve">供应商应根据招标文件要求提供项目验收配合方案，方案包含以下内容：</w:t>
            </w:r>
            <w:r/>
          </w:p>
          <w:p>
            <w:pPr>
              <w:spacing w:line="300" w:lineRule="exact"/>
              <w:rPr>
                <w:rFonts w:hint="eastAsia"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spacing w:line="300" w:lineRule="exact"/>
              <w:rPr>
                <w:rFonts w:hint="eastAsia"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spacing w:line="300" w:lineRule="exact"/>
              <w:rPr>
                <w:rFonts w:hint="eastAsia"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spacing w:line="300" w:lineRule="exact"/>
              <w:rPr>
                <w:rFonts w:hint="eastAsia"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spacing w:line="300" w:lineRule="exact"/>
              <w:rPr>
                <w:rFonts w:hint="eastAsia"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上述五项内容均完整提供，且每项内容具体、可操作，得7分；</w:t>
            </w:r>
            <w:r/>
          </w:p>
          <w:p>
            <w:pPr>
              <w:spacing w:line="300" w:lineRule="exact"/>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缺少上述任两项及以上内容，或所有内容均明显不合理，得1分；</w:t>
            </w:r>
            <w:r/>
          </w:p>
          <w:p>
            <w:pPr>
              <w:spacing w:line="300" w:lineRule="exact"/>
              <w:rPr>
                <w:rFonts w:hint="eastAsia" w:ascii="宋体" w:hAnsi="宋体" w:cs="宋体"/>
                <w:szCs w:val="21"/>
              </w:rPr>
            </w:pPr>
            <w:r>
              <w:rPr>
                <w:rFonts w:hint="eastAsia" w:ascii="宋体" w:hAnsi="宋体" w:cs="宋体"/>
                <w:szCs w:val="21"/>
              </w:rPr>
              <w:t xml:space="preserve">未提供验收方案，得0分。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90"/>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4.3 售后服务承诺方案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投标人应根据招标文件要求提供售后服务承诺方案，方案包含以下内容：</w:t>
            </w:r>
            <w:r/>
          </w:p>
          <w:p>
            <w:pPr>
              <w:spacing w:line="300" w:lineRule="exact"/>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spacing w:line="300" w:lineRule="exact"/>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spacing w:line="300" w:lineRule="exact"/>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spacing w:line="300" w:lineRule="exact"/>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spacing w:line="300" w:lineRule="exact"/>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spacing w:line="300" w:lineRule="exact"/>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spacing w:line="300" w:lineRule="exact"/>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上述七项内容均完整提供，且每项内容具体、可量化，得7分；</w:t>
            </w:r>
            <w:r/>
          </w:p>
          <w:p>
            <w:pPr>
              <w:spacing w:line="300" w:lineRule="exact"/>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缺少上述任意两项及以上内容，或所有内容均明显不完整、不具可操作性，得1分；</w:t>
            </w:r>
            <w:r/>
          </w:p>
          <w:p>
            <w:pPr>
              <w:spacing w:line="300" w:lineRule="exact"/>
              <w:rPr>
                <w:rFonts w:hint="eastAsia" w:ascii="宋体" w:hAnsi="宋体" w:cs="宋体"/>
                <w:szCs w:val="21"/>
              </w:rPr>
            </w:pPr>
            <w:r>
              <w:rPr>
                <w:rFonts w:hint="eastAsia" w:ascii="宋体" w:hAnsi="宋体" w:cs="宋体"/>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4.4 培训方案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投标人应根据招标文件要求提供培训方案，方案包含以下内容：</w:t>
            </w:r>
            <w:r/>
          </w:p>
          <w:p>
            <w:pPr>
              <w:spacing w:line="300" w:lineRule="exact"/>
              <w:rPr>
                <w:rFonts w:hint="eastAsia" w:ascii="宋体" w:hAnsi="宋体" w:cs="宋体"/>
                <w:szCs w:val="21"/>
              </w:rPr>
            </w:pPr>
            <w:r>
              <w:rPr>
                <w:rFonts w:hint="eastAsia" w:ascii="宋体" w:hAnsi="宋体" w:cs="宋体"/>
                <w:szCs w:val="21"/>
              </w:rPr>
              <w:t xml:space="preserve">① 培训对象：需明确接受培训的人员类别及预计人数；</w:t>
            </w:r>
            <w:r/>
          </w:p>
          <w:p>
            <w:pPr>
              <w:spacing w:line="300" w:lineRule="exact"/>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spacing w:line="300" w:lineRule="exact"/>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spacing w:line="300" w:lineRule="exact"/>
              <w:rPr>
                <w:rFonts w:hint="eastAsia" w:ascii="宋体" w:hAnsi="宋体" w:cs="宋体"/>
                <w:szCs w:val="21"/>
              </w:rPr>
            </w:pPr>
            <w:r>
              <w:rPr>
                <w:rFonts w:hint="eastAsia" w:ascii="宋体" w:hAnsi="宋体" w:cs="宋体"/>
                <w:szCs w:val="21"/>
              </w:rPr>
              <w:t xml:space="preserve">④ 培训方式：需说明培训形式，并提供相应安排；</w:t>
            </w:r>
            <w:r/>
          </w:p>
          <w:p>
            <w:pPr>
              <w:spacing w:line="300" w:lineRule="exact"/>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spacing w:line="300" w:lineRule="exact"/>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上述六项内容均完整提供，且每项内容具体、可量化，得7分；</w:t>
            </w:r>
            <w:r/>
          </w:p>
          <w:p>
            <w:pPr>
              <w:spacing w:line="300" w:lineRule="exact"/>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缺少上述任意两项及以上内容，或所有内容均明显不完整、不具操作性，得1分；</w:t>
            </w:r>
            <w:r/>
          </w:p>
          <w:p>
            <w:pPr>
              <w:spacing w:line="300" w:lineRule="exact"/>
              <w:rPr>
                <w:rFonts w:hint="eastAsia" w:ascii="宋体" w:hAnsi="宋体" w:cs="宋体"/>
                <w:szCs w:val="21"/>
              </w:rPr>
            </w:pPr>
            <w:r>
              <w:rPr>
                <w:rFonts w:hint="eastAsia" w:ascii="宋体" w:hAnsi="宋体" w:cs="宋体"/>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724"/>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w:t>
            </w:r>
            <w:r/>
          </w:p>
        </w:tc>
        <w:tc>
          <w:tcPr>
            <w:gridSpan w:val="2"/>
            <w:tcBorders>
              <w:left w:val="single" w:color="auto" w:sz="4" w:space="0"/>
              <w:right w:val="single" w:color="auto" w:sz="4" w:space="0"/>
            </w:tcBorders>
            <w:tcW w:w="4211"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hint="eastAsia" w:ascii="宋体" w:hAnsi="宋体" w:cs="宋体"/>
        </w:rPr>
      </w:pPr>
      <w:r>
        <w:rPr>
          <w:rFonts w:hint="eastAsia" w:ascii="宋体" w:hAnsi="宋体" w:cs="宋体"/>
        </w:rPr>
      </w:r>
      <w:r/>
    </w:p>
    <w:p>
      <w:pPr>
        <w:ind w:firstLine="422"/>
        <w:rPr>
          <w:rFonts w:hint="eastAsia"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hint="eastAsia" w:ascii="宋体" w:hAnsi="宋体" w:cs="宋体"/>
          <w:b/>
          <w:szCs w:val="21"/>
        </w:rPr>
      </w:pPr>
      <w:r>
        <w:rPr>
          <w:rFonts w:hint="eastAsia" w:ascii="宋体" w:hAnsi="宋体" w:cs="宋体"/>
          <w:b/>
          <w:szCs w:val="21"/>
        </w:rPr>
        <w:t xml:space="preserve">2.小微企业价格扣除</w:t>
      </w:r>
      <w:r/>
    </w:p>
    <w:p>
      <w:pPr>
        <w:ind w:firstLine="422"/>
        <w:spacing w:line="360" w:lineRule="auto"/>
        <w:rPr>
          <w:rFonts w:hint="eastAsia"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hint="eastAsia"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hint="eastAsia"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r>
      <w:r/>
    </w:p>
    <w:p>
      <w:pPr>
        <w:jc w:val="left"/>
        <w:widowControl/>
        <w:rPr>
          <w:rFonts w:hint="eastAsia" w:ascii="宋体" w:hAnsi="宋体" w:cs="宋体"/>
          <w:b/>
          <w:sz w:val="22"/>
          <w:szCs w:val="28"/>
        </w:rPr>
      </w:pPr>
      <w:r>
        <w:rPr>
          <w:rFonts w:hint="eastAsia" w:ascii="宋体" w:hAnsi="宋体" w:cs="宋体"/>
          <w:b/>
          <w:sz w:val="22"/>
          <w:szCs w:val="28"/>
        </w:rPr>
        <w:br w:type="page" w:clear="all"/>
      </w:r>
      <w:r/>
    </w:p>
    <w:p>
      <w:pPr>
        <w:pStyle w:val="689"/>
        <w:numPr>
          <w:ilvl w:val="0"/>
          <w:numId w:val="0"/>
        </w:numPr>
        <w:rPr>
          <w:rFonts w:hint="eastAsia" w:ascii="宋体" w:hAnsi="宋体" w:cs="宋体"/>
          <w:highlight w:val="green"/>
        </w:rPr>
      </w:pPr>
      <w:r/>
      <w:bookmarkStart w:id="19" w:name="_Toc6871"/>
      <w:r>
        <w:rPr>
          <w:rFonts w:hint="eastAsia" w:ascii="宋体" w:hAnsi="宋体" w:cs="宋体"/>
        </w:rPr>
        <w:t xml:space="preserve">第四章 采购需求</w:t>
      </w:r>
      <w:bookmarkEnd w:id="19"/>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cs="宋体"/>
          <w:b/>
          <w:color w:val="000000" w:themeColor="text1"/>
          <w:szCs w:val="21"/>
          <w14:textFill>
            <w14:solidFill>
              <w14:schemeClr w14:val="tx1"/>
            </w14:solidFill>
          </w14:textFill>
        </w:rPr>
        <w:t xml:space="preserve">一、项目</w:t>
      </w:r>
      <w:bookmarkEnd w:id="20"/>
      <w:r>
        <w:rPr>
          <w:rFonts w:hint="eastAsia" w:ascii="宋体" w:hAnsi="宋体" w:cs="宋体"/>
          <w:b/>
          <w:color w:val="000000" w:themeColor="text1"/>
          <w:szCs w:val="21"/>
          <w14:textFill>
            <w14:solidFill>
              <w14:schemeClr w14:val="tx1"/>
            </w14:solidFill>
          </w14:textFill>
        </w:rPr>
        <w:t xml:space="preserve">概述</w:t>
      </w:r>
      <w:bookmarkEnd w:id="21"/>
      <w:r/>
      <w:bookmarkStart w:id="23" w:name="_Toc311"/>
      <w:r/>
      <w:bookmarkStart w:id="24" w:name="_Toc32119"/>
      <w:r/>
      <w:bookmarkStart w:id="25" w:name="_Toc4968"/>
      <w:r/>
      <w:bookmarkStart w:id="26" w:name="_Toc18449"/>
      <w:r/>
      <w:r/>
    </w:p>
    <w:p>
      <w:pPr>
        <w:pStyle w:val="759"/>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南京工业职业技术大学为满足教学实验需要，需采购如下设备</w:t>
      </w:r>
      <w:bookmarkEnd w:id="23"/>
      <w:r/>
      <w:bookmarkEnd w:id="24"/>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3960"/>
        <w:gridCol w:w="915"/>
        <w:gridCol w:w="1335"/>
        <w:gridCol w:w="1399"/>
      </w:tblGrid>
      <w:tr>
        <w:trPr>
          <w:jc w:val="center"/>
          <w:trHeight w:val="90"/>
        </w:trPr>
        <w:tc>
          <w:tcPr>
            <w:tcW w:w="680" w:type="dxa"/>
            <w:vAlign w:val="center"/>
            <w:textDirection w:val="lrTb"/>
            <w:noWrap w:val="false"/>
          </w:tcPr>
          <w:p>
            <w:pPr>
              <w:pStyle w:val="759"/>
              <w:ind w:firstLine="0"/>
              <w:jc w:val="center"/>
              <w:spacing w:line="360" w:lineRule="auto"/>
              <w:rPr>
                <w:rFonts w:hint="eastAsia" w:ascii="宋体" w:hAnsi="宋体" w:cs="宋体"/>
                <w:b/>
                <w:bCs/>
                <w:szCs w:val="21"/>
              </w:rPr>
            </w:pPr>
            <w:r/>
            <w:bookmarkStart w:id="27" w:name="OLE_LINK12"/>
            <w:r>
              <w:rPr>
                <w:rFonts w:hint="eastAsia" w:ascii="宋体" w:hAnsi="宋体" w:cs="宋体"/>
                <w:b/>
                <w:bCs/>
                <w:szCs w:val="21"/>
              </w:rPr>
              <w:t xml:space="preserve">序号</w:t>
            </w:r>
            <w:r/>
          </w:p>
        </w:tc>
        <w:tc>
          <w:tcPr>
            <w:tcW w:w="3960" w:type="dxa"/>
            <w:vAlign w:val="center"/>
            <w:textDirection w:val="lrTb"/>
            <w:noWrap w:val="false"/>
          </w:tcPr>
          <w:p>
            <w:pPr>
              <w:pStyle w:val="759"/>
              <w:ind w:firstLine="0"/>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915" w:type="dxa"/>
            <w:vAlign w:val="center"/>
            <w:textDirection w:val="lrTb"/>
            <w:noWrap w:val="false"/>
          </w:tcPr>
          <w:p>
            <w:pPr>
              <w:pStyle w:val="759"/>
              <w:ind w:firstLine="0"/>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1335" w:type="dxa"/>
            <w:vAlign w:val="center"/>
            <w:textDirection w:val="lrTb"/>
            <w:noWrap w:val="false"/>
          </w:tcPr>
          <w:p>
            <w:pPr>
              <w:pStyle w:val="759"/>
              <w:ind w:firstLine="0"/>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1399" w:type="dxa"/>
            <w:vAlign w:val="center"/>
            <w:textDirection w:val="lrTb"/>
            <w:noWrap w:val="false"/>
          </w:tcPr>
          <w:p>
            <w:pPr>
              <w:pStyle w:val="759"/>
              <w:ind w:firstLine="0"/>
              <w:jc w:val="center"/>
              <w:spacing w:line="360" w:lineRule="auto"/>
              <w:rPr>
                <w:rFonts w:hint="eastAsia" w:ascii="宋体" w:hAnsi="宋体" w:cs="宋体"/>
                <w:b/>
                <w:bCs/>
                <w:szCs w:val="21"/>
              </w:rPr>
            </w:pPr>
            <w:r>
              <w:rPr>
                <w:rFonts w:hint="eastAsia" w:ascii="宋体" w:hAnsi="宋体" w:cs="宋体"/>
                <w:b/>
                <w:bCs/>
                <w:szCs w:val="21"/>
              </w:rPr>
              <w:t xml:space="preserve">最高限价</w:t>
            </w:r>
            <w:r/>
          </w:p>
        </w:tc>
      </w:tr>
      <w:tr>
        <w:trPr>
          <w:jc w:val="center"/>
        </w:trPr>
        <w:tc>
          <w:tcPr>
            <w:tcW w:w="680" w:type="dxa"/>
            <w:vAlign w:val="center"/>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1</w:t>
            </w:r>
            <w:r/>
          </w:p>
        </w:tc>
        <w:tc>
          <w:tcPr>
            <w:tcW w:w="3960" w:type="dxa"/>
            <w:vAlign w:val="bottom"/>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智能电网调度控制系统实训室</w:t>
            </w:r>
            <w:r/>
          </w:p>
        </w:tc>
        <w:tc>
          <w:tcPr>
            <w:tcW w:w="915" w:type="dxa"/>
            <w:vAlign w:val="center"/>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1</w:t>
            </w:r>
            <w:r/>
          </w:p>
        </w:tc>
        <w:tc>
          <w:tcPr>
            <w:tcW w:w="1335" w:type="dxa"/>
            <w:vAlign w:val="center"/>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台（套）</w:t>
            </w:r>
            <w:r/>
          </w:p>
        </w:tc>
        <w:tc>
          <w:tcPr>
            <w:tcW w:w="1399" w:type="dxa"/>
            <w:vAlign w:val="center"/>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100万元</w:t>
            </w:r>
            <w:r/>
          </w:p>
        </w:tc>
      </w:tr>
    </w:tbl>
    <w:p>
      <w:pPr>
        <w:pStyle w:val="972"/>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r>
      <w:r/>
    </w:p>
    <w:p>
      <w:pPr>
        <w:pStyle w:val="972"/>
        <w:numPr>
          <w:ilvl w:val="0"/>
          <w:numId w:val="0"/>
        </w:numPr>
        <w:ind w:firstLine="422"/>
        <w:jc w:val="both"/>
        <w:spacing w:after="0" w:line="360" w:lineRule="auto"/>
        <w:rPr>
          <w:rFonts w:hint="eastAsia" w:ascii="宋体" w:hAnsi="宋体" w:cs="宋体"/>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 w:val="21"/>
          <w:szCs w:val="21"/>
          <w:highlight w:val="none"/>
          <w14:textFill>
            <w14:solidFill>
              <w14:schemeClr w14:val="tx1"/>
            </w14:solidFill>
          </w14:textFill>
        </w:rPr>
        <w:t xml:space="preserve">二、技术指标及要求</w:t>
      </w:r>
      <w:bookmarkEnd w:id="25"/>
      <w:r/>
      <w:bookmarkEnd w:id="26"/>
      <w:r/>
      <w:bookmarkStart w:id="28" w:name="_Toc29315"/>
      <w:r/>
      <w:bookmarkStart w:id="29" w:name="_Toc2652"/>
      <w:r/>
      <w:bookmarkStart w:id="30" w:name="_Toc9991"/>
      <w:r/>
      <w:bookmarkEnd w:id="27"/>
      <w:bookmarkEnd w:id="28"/>
      <w:bookmarkEnd w:id="29"/>
      <w:bookmarkEnd w:id="30"/>
      <w:r/>
    </w:p>
    <w:p>
      <w:pPr>
        <w:ind w:firstLine="422"/>
        <w:spacing w:line="440" w:lineRule="exact"/>
        <w:rPr>
          <w:rFonts w:hint="eastAsia" w:ascii="宋体" w:hAnsi="宋体" w:cs="宋体"/>
          <w:b/>
          <w:bCs/>
          <w:szCs w:val="21"/>
          <w:highlight w:val="none"/>
          <w:u w:val="single"/>
        </w:rPr>
      </w:pPr>
      <w:r>
        <w:rPr>
          <w:rFonts w:hint="eastAsia" w:ascii="宋体" w:hAnsi="宋体" w:cs="宋体"/>
          <w:b/>
          <w:bCs/>
          <w:szCs w:val="21"/>
          <w:highlight w:val="none"/>
        </w:rPr>
        <w:t xml:space="preserve">“★”“▲”的技术参数响应需提供支撑资料（提供相关证明材料并加盖投标单位公章,包括但不限于明确说明该技术内容的公开发行的产品彩页或产品说明书或第三方检测机构的检测报告等，需求中有其他要求的从其要求），如未附有效支撑材料或者所附的支撑材料由评标委员会认为不能佐证技术指标的有效性的，则视为负偏离。</w:t>
      </w:r>
      <w:r>
        <w:rPr>
          <w:rFonts w:hint="eastAsia" w:ascii="宋体" w:hAnsi="宋体" w:cs="宋体"/>
          <w:b/>
          <w:bCs/>
          <w:i w:val="0"/>
          <w:iCs w:val="0"/>
          <w:szCs w:val="21"/>
          <w:highlight w:val="none"/>
          <w:u w:val="none"/>
        </w:rPr>
        <w:t xml:space="preserve">如文件中要求提供证明材料，建议采用箭头、标红、下划线或页码等进行明显标注，方便评委查看。</w:t>
      </w:r>
      <w:r>
        <w:rPr>
          <w:rFonts w:hint="eastAsia" w:ascii="宋体" w:hAnsi="宋体" w:cs="宋体"/>
          <w:b/>
          <w:bCs/>
          <w:szCs w:val="21"/>
          <w:highlight w:val="none"/>
          <w:u w:val="single"/>
        </w:rPr>
        <w:t xml:space="preserve">在签订合同前，采购人有权要求供应商到用户现场验证，功能、性能需与技术要求一致，否则视为虚假应标，采购人有权追究其相应法律责任。</w:t>
      </w:r>
      <w:r/>
    </w:p>
    <w:p>
      <w:pPr>
        <w:ind w:firstLine="422"/>
        <w:spacing w:line="440" w:lineRule="exact"/>
        <w:rPr>
          <w:szCs w:val="21"/>
          <w:highlight w:val="none"/>
        </w:rPr>
      </w:pPr>
      <w:r>
        <w:rPr>
          <w:rFonts w:ascii="宋体" w:hAnsi="宋体" w:cs="宋体"/>
          <w:b/>
          <w:color w:val="0f1115"/>
          <w:szCs w:val="21"/>
          <w:highlight w:val="none"/>
        </w:rPr>
        <w:t xml:space="preserve">一、总体说明</w:t>
      </w:r>
      <w:r/>
    </w:p>
    <w:p>
      <w:pPr>
        <w:ind w:firstLine="420"/>
        <w:spacing w:line="440" w:lineRule="exact"/>
        <w:rPr>
          <w:szCs w:val="21"/>
          <w:highlight w:val="none"/>
        </w:rPr>
      </w:pPr>
      <w:r>
        <w:rPr>
          <w:rFonts w:ascii="宋体" w:hAnsi="宋体" w:cs="宋体"/>
          <w:color w:val="0f1115"/>
          <w:szCs w:val="21"/>
          <w:highlight w:val="none"/>
        </w:rPr>
        <w:t xml:space="preserve">本技术参数依据实训室建设项目申请书及可行性论证报告编制，针对智能电网调度控制系统实训室的核心教学需求，围绕</w:t>
      </w:r>
      <w:r>
        <w:rPr>
          <w:rFonts w:ascii="宋体" w:hAnsi="宋体" w:cs="宋体"/>
          <w:b/>
          <w:color w:val="0f1115"/>
          <w:szCs w:val="21"/>
          <w:highlight w:val="none"/>
        </w:rPr>
        <w:t xml:space="preserve">智能电网调度+电力通信软硬件实训、配网自动化运行实训、新能源与储能并网仿真实训</w:t>
      </w:r>
      <w:r>
        <w:rPr>
          <w:rFonts w:ascii="宋体" w:hAnsi="宋体" w:cs="宋体"/>
          <w:color w:val="0f1115"/>
          <w:szCs w:val="21"/>
          <w:highlight w:val="none"/>
        </w:rPr>
        <w:t xml:space="preserve">三大教学模块，分别提出技术方案、技术指标及设备配置要求。实训室建设坚持“够用、实用、可扩展”原则，紧密对接职业本科教学需求，设备配置以支撑核心实训项目为目标。</w:t>
      </w:r>
      <w:r/>
    </w:p>
    <w:p>
      <w:pPr>
        <w:ind w:firstLine="422"/>
        <w:spacing w:line="440" w:lineRule="exact"/>
        <w:rPr>
          <w:szCs w:val="21"/>
          <w:highlight w:val="none"/>
        </w:rPr>
      </w:pPr>
      <w:r>
        <w:rPr>
          <w:rFonts w:ascii="宋体" w:hAnsi="宋体" w:cs="宋体"/>
          <w:b/>
          <w:color w:val="0f1115"/>
          <w:szCs w:val="21"/>
          <w:highlight w:val="none"/>
        </w:rPr>
        <w:t xml:space="preserve">二、实训一：智能电网调度与电力通信综合实训</w:t>
      </w:r>
      <w:r/>
    </w:p>
    <w:p>
      <w:pPr>
        <w:ind w:firstLine="422"/>
        <w:spacing w:line="440" w:lineRule="exact"/>
        <w:rPr>
          <w:szCs w:val="21"/>
          <w:highlight w:val="none"/>
        </w:rPr>
      </w:pPr>
      <w:r>
        <w:rPr>
          <w:rFonts w:ascii="宋体" w:hAnsi="宋体" w:cs="宋体"/>
          <w:b/>
          <w:color w:val="0f1115"/>
          <w:szCs w:val="21"/>
          <w:highlight w:val="none"/>
        </w:rPr>
        <w:t xml:space="preserve">（一）技术方案</w:t>
      </w:r>
      <w:r/>
    </w:p>
    <w:p>
      <w:pPr>
        <w:ind w:firstLine="420"/>
        <w:spacing w:line="440" w:lineRule="exact"/>
        <w:rPr>
          <w:szCs w:val="21"/>
          <w:highlight w:val="none"/>
        </w:rPr>
      </w:pPr>
      <w:r>
        <w:rPr>
          <w:rFonts w:ascii="宋体" w:hAnsi="宋体" w:cs="宋体"/>
          <w:color w:val="000000"/>
          <w:szCs w:val="21"/>
          <w:highlight w:val="none"/>
        </w:rPr>
        <w:t xml:space="preserve">本实训模块以国产调度系统仿真软件为核心，融合电力通信网络（SDH/OTN、5G、电力物联网），构建从数据采集、通信传输、调度计算到控制指令下发的全链条实训环境。系统包含电网仿真子系统、调度监控仿真子系统和教员控制子系统三个核心组成部分，实现基于物理机理的一体化实时仿真。电力通信部分配置光骨干网传输平台（支持SDH/MSTP/OTN基本原理演示）、OTDR光时域分析仪、电力通信规约转换实验箱等设备，支撑电力通信组网、业务配置、协议解析与故障排查等实训教学内容。具体配置如下：</w:t>
      </w:r>
      <w:r/>
    </w:p>
    <w:p>
      <w:pPr>
        <w:ind w:firstLine="422"/>
        <w:spacing w:line="440" w:lineRule="exact"/>
        <w:rPr>
          <w:b/>
          <w:bCs w:val="0"/>
          <w:szCs w:val="21"/>
          <w:highlight w:val="none"/>
          <w:u w:val="single"/>
        </w:rPr>
      </w:pPr>
      <w:r>
        <w:rPr>
          <w:rFonts w:hint="eastAsia" w:ascii="宋体" w:hAnsi="宋体" w:cs="宋体"/>
          <w:b/>
          <w:bCs w:val="0"/>
          <w:color w:val="000000"/>
          <w:szCs w:val="21"/>
          <w:highlight w:val="none"/>
          <w:u w:val="single"/>
        </w:rPr>
        <w:t xml:space="preserve">★</w:t>
      </w:r>
      <w:r>
        <w:rPr>
          <w:rFonts w:ascii="宋体" w:hAnsi="宋体" w:cs="宋体"/>
          <w:b/>
          <w:bCs w:val="0"/>
          <w:color w:val="000000"/>
          <w:szCs w:val="21"/>
          <w:highlight w:val="none"/>
          <w:u w:val="single"/>
        </w:rPr>
        <w:t xml:space="preserve">调度系统仿真软件：包含SCADA监控、AGC/AVC仿真、DTS调度员培训仿真、PAS状态估计与潮流计算等核心教学模块，采用教学授权，并发数不少于25个用户，自带轻量化数据库。</w:t>
      </w:r>
      <w:r/>
    </w:p>
    <w:p>
      <w:pPr>
        <w:ind w:firstLine="422"/>
        <w:spacing w:line="440" w:lineRule="exact"/>
        <w:rPr>
          <w:b/>
          <w:bCs w:val="0"/>
          <w:szCs w:val="21"/>
          <w:highlight w:val="none"/>
          <w:u w:val="single"/>
        </w:rPr>
      </w:pPr>
      <w:r>
        <w:rPr>
          <w:rFonts w:hint="eastAsia" w:ascii="宋体" w:hAnsi="宋体" w:cs="宋体"/>
          <w:b/>
          <w:bCs w:val="0"/>
          <w:color w:val="000000"/>
          <w:szCs w:val="21"/>
          <w:highlight w:val="none"/>
          <w:u w:val="single"/>
        </w:rPr>
        <w:t xml:space="preserve">▲</w:t>
      </w:r>
      <w:r>
        <w:rPr>
          <w:rFonts w:ascii="宋体" w:hAnsi="宋体" w:cs="宋体"/>
          <w:b/>
          <w:bCs w:val="0"/>
          <w:color w:val="000000"/>
          <w:szCs w:val="21"/>
          <w:highlight w:val="none"/>
          <w:u w:val="single"/>
        </w:rPr>
        <w:t xml:space="preserve">光骨干网传输平台：教学级光传输平台，支持SDH/MSTP/OTN基本原理演示，2.5Gbps，含网管软件，支撑OTN组网与业务配置实训。</w:t>
      </w:r>
      <w:r/>
    </w:p>
    <w:p>
      <w:pPr>
        <w:ind w:firstLine="422"/>
        <w:spacing w:line="440" w:lineRule="exact"/>
        <w:rPr>
          <w:b/>
          <w:bCs w:val="0"/>
          <w:szCs w:val="21"/>
          <w:highlight w:val="none"/>
          <w:u w:val="single"/>
        </w:rPr>
      </w:pPr>
      <w:r>
        <w:rPr>
          <w:rFonts w:hint="eastAsia" w:ascii="宋体" w:hAnsi="宋体" w:cs="宋体"/>
          <w:b/>
          <w:bCs w:val="0"/>
          <w:color w:val="000000"/>
          <w:szCs w:val="21"/>
          <w:highlight w:val="none"/>
          <w:u w:val="single"/>
        </w:rPr>
        <w:t xml:space="preserve">▲</w:t>
      </w:r>
      <w:r>
        <w:rPr>
          <w:rFonts w:ascii="宋体" w:hAnsi="宋体" w:cs="宋体"/>
          <w:b/>
          <w:bCs w:val="0"/>
          <w:color w:val="000000"/>
          <w:szCs w:val="21"/>
          <w:highlight w:val="none"/>
          <w:u w:val="single"/>
        </w:rPr>
        <w:t xml:space="preserve">OTDR光时域分析仪：测试波长1310/1550nm双波长，动态范围不低于32/30dB，测试距离0120km，集成OTDR、光功率计、稳定光源、红光笔、网线测试功能。</w:t>
      </w:r>
      <w:r/>
    </w:p>
    <w:p>
      <w:pPr>
        <w:ind w:firstLine="422"/>
        <w:spacing w:line="440" w:lineRule="exact"/>
        <w:rPr>
          <w:szCs w:val="21"/>
          <w:highlight w:val="none"/>
        </w:rPr>
      </w:pPr>
      <w:r>
        <w:rPr>
          <w:rFonts w:ascii="宋体" w:hAnsi="宋体" w:cs="宋体"/>
          <w:b/>
          <w:color w:val="000000"/>
          <w:szCs w:val="21"/>
          <w:highlight w:val="none"/>
        </w:rPr>
        <w:t xml:space="preserve">电力通信规约转换实验箱</w:t>
      </w:r>
      <w:r>
        <w:rPr>
          <w:rFonts w:ascii="宋体" w:hAnsi="宋体" w:cs="宋体"/>
          <w:color w:val="000000"/>
          <w:szCs w:val="21"/>
          <w:highlight w:val="none"/>
        </w:rPr>
        <w:t xml:space="preserve">：支持IEC 61850、IEC 101/103/104、CDT、DNP3.0、Modbus RTU/TCP、DL/T645等多规约解析与转换。</w:t>
      </w:r>
      <w:r/>
    </w:p>
    <w:p>
      <w:pPr>
        <w:ind w:firstLine="422"/>
        <w:spacing w:line="440" w:lineRule="exact"/>
        <w:rPr>
          <w:szCs w:val="21"/>
          <w:highlight w:val="none"/>
        </w:rPr>
      </w:pPr>
      <w:r>
        <w:rPr>
          <w:rFonts w:ascii="宋体" w:hAnsi="宋体" w:cs="宋体"/>
          <w:b/>
          <w:color w:val="000000"/>
          <w:szCs w:val="21"/>
          <w:highlight w:val="none"/>
        </w:rPr>
        <w:t xml:space="preserve">工作站集群</w:t>
      </w:r>
      <w:r>
        <w:rPr>
          <w:rFonts w:ascii="宋体" w:hAnsi="宋体" w:cs="宋体"/>
          <w:color w:val="000000"/>
          <w:szCs w:val="21"/>
          <w:highlight w:val="none"/>
        </w:rPr>
        <w:t xml:space="preserve">：2台2U机架式</w:t>
      </w:r>
      <w:r>
        <w:rPr>
          <w:rFonts w:hint="eastAsia" w:ascii="宋体" w:hAnsi="宋体" w:cs="宋体"/>
          <w:color w:val="000000"/>
          <w:szCs w:val="21"/>
          <w:highlight w:val="none"/>
        </w:rPr>
        <w:t xml:space="preserve">装置</w:t>
      </w:r>
      <w:r>
        <w:rPr>
          <w:rFonts w:ascii="宋体" w:hAnsi="宋体" w:cs="宋体"/>
          <w:color w:val="000000"/>
          <w:szCs w:val="21"/>
          <w:highlight w:val="none"/>
        </w:rPr>
        <w:t xml:space="preserve">，CPU 2×16核，内存128GB DDR4 ECC，存储2×480GB SSD（RAID1）+4×2TB SATA，冗余电源，满足至少20台客户端并发运行。</w:t>
      </w:r>
      <w:r/>
    </w:p>
    <w:p>
      <w:pPr>
        <w:ind w:firstLine="422"/>
        <w:spacing w:line="440" w:lineRule="exact"/>
        <w:rPr>
          <w:szCs w:val="21"/>
          <w:highlight w:val="none"/>
        </w:rPr>
      </w:pPr>
      <w:r>
        <w:rPr>
          <w:rFonts w:ascii="宋体" w:hAnsi="宋体" w:cs="宋体"/>
          <w:b/>
          <w:color w:val="000000"/>
          <w:szCs w:val="21"/>
          <w:highlight w:val="none"/>
        </w:rPr>
        <w:t xml:space="preserve">工作站</w:t>
      </w:r>
      <w:r>
        <w:rPr>
          <w:rFonts w:ascii="宋体" w:hAnsi="宋体" w:cs="宋体"/>
          <w:color w:val="000000"/>
          <w:szCs w:val="21"/>
          <w:highlight w:val="none"/>
        </w:rPr>
        <w:t xml:space="preserve">：教师工作站1台（i7/R7，16GB内存，1TB SSD，27寸显示终端）；学生工作站20台（i5/R5，16GB内存，512GB SSD，24寸显示终端）。</w:t>
      </w:r>
      <w:r/>
    </w:p>
    <w:p>
      <w:pPr>
        <w:ind w:firstLine="422"/>
        <w:spacing w:line="440" w:lineRule="exact"/>
        <w:rPr>
          <w:szCs w:val="21"/>
          <w:highlight w:val="none"/>
        </w:rPr>
      </w:pPr>
      <w:r>
        <w:rPr>
          <w:rFonts w:ascii="宋体" w:hAnsi="宋体" w:cs="宋体"/>
          <w:b/>
          <w:color w:val="000000"/>
          <w:szCs w:val="21"/>
          <w:highlight w:val="none"/>
        </w:rPr>
        <w:t xml:space="preserve">网络设备</w:t>
      </w:r>
      <w:r>
        <w:rPr>
          <w:rFonts w:ascii="宋体" w:hAnsi="宋体" w:cs="宋体"/>
          <w:color w:val="000000"/>
          <w:szCs w:val="21"/>
          <w:highlight w:val="none"/>
        </w:rPr>
        <w:t xml:space="preserve">：核心千兆交换机2台（24口管理型，支持VLAN划分、STP/RSTP）、42U机柜2台。</w:t>
      </w:r>
      <w:r/>
    </w:p>
    <w:p>
      <w:pPr>
        <w:ind w:firstLine="422"/>
        <w:spacing w:line="440" w:lineRule="exact"/>
        <w:rPr>
          <w:szCs w:val="21"/>
          <w:highlight w:val="none"/>
        </w:rPr>
      </w:pPr>
      <w:r>
        <w:rPr>
          <w:rFonts w:ascii="宋体" w:hAnsi="宋体" w:cs="宋体"/>
          <w:b/>
          <w:color w:val="000000"/>
          <w:szCs w:val="21"/>
          <w:highlight w:val="none"/>
        </w:rPr>
        <w:t xml:space="preserve">传输网管</w:t>
      </w:r>
      <w:r>
        <w:rPr>
          <w:rFonts w:ascii="宋体" w:hAnsi="宋体" w:cs="宋体"/>
          <w:color w:val="000000"/>
          <w:szCs w:val="21"/>
          <w:highlight w:val="none"/>
        </w:rPr>
        <w:t xml:space="preserve">：支持SDH/MSTP网络端到端管理，含教学授权。</w:t>
      </w:r>
      <w:r/>
    </w:p>
    <w:p>
      <w:pPr>
        <w:ind w:firstLine="422"/>
        <w:spacing w:line="440" w:lineRule="exact"/>
        <w:rPr>
          <w:szCs w:val="21"/>
          <w:highlight w:val="none"/>
        </w:rPr>
      </w:pPr>
      <w:r>
        <w:rPr>
          <w:rFonts w:ascii="宋体" w:hAnsi="宋体" w:cs="宋体"/>
          <w:b/>
          <w:color w:val="0f1115"/>
          <w:szCs w:val="21"/>
          <w:highlight w:val="none"/>
        </w:rPr>
        <w:t xml:space="preserve">（二）技术指标</w:t>
      </w:r>
      <w:r/>
    </w:p>
    <w:tbl>
      <w:tblPr>
        <w:tblStyle w:val="699"/>
        <w:tblW w:w="91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771"/>
        <w:gridCol w:w="7379"/>
      </w:tblGrid>
      <w:tr>
        <w:trPr>
          <w:jc w:val="center"/>
          <w:trHeight w:val="300"/>
        </w:trPr>
        <w:tc>
          <w:tcPr>
            <w:tcW w:w="1771"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指标类别</w:t>
            </w:r>
            <w:r/>
          </w:p>
        </w:tc>
        <w:tc>
          <w:tcPr>
            <w:tcW w:w="7379"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技术指标要求</w:t>
            </w:r>
            <w:r/>
          </w:p>
        </w:tc>
      </w:tr>
      <w:tr>
        <w:trPr>
          <w:jc w:val="center"/>
          <w:trHeight w:val="300"/>
        </w:trPr>
        <w:tc>
          <w:tcPr>
            <w:tcW w:w="1771"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调度仿真精度</w:t>
            </w:r>
            <w:r/>
          </w:p>
        </w:tc>
        <w:tc>
          <w:tcPr>
            <w:tcW w:w="737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潮流计算收敛精度（标幺值）&lt;0.001；潮流计算结果误差≤1.5%</w:t>
            </w:r>
            <w:r/>
          </w:p>
        </w:tc>
      </w:tr>
      <w:tr>
        <w:trPr>
          <w:jc w:val="center"/>
          <w:trHeight w:val="300"/>
        </w:trPr>
        <w:tc>
          <w:tcPr>
            <w:tcW w:w="1771"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仿真规模</w:t>
            </w:r>
            <w:r/>
          </w:p>
        </w:tc>
        <w:tc>
          <w:tcPr>
            <w:tcW w:w="737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电网模拟计算规模不少于2000个节点，5000条支路</w:t>
            </w:r>
            <w:r/>
          </w:p>
        </w:tc>
      </w:tr>
      <w:tr>
        <w:trPr>
          <w:jc w:val="center"/>
          <w:trHeight w:val="300"/>
        </w:trPr>
        <w:tc>
          <w:tcPr>
            <w:tcW w:w="1771"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实时性指标</w:t>
            </w:r>
            <w:r/>
          </w:p>
        </w:tc>
        <w:tc>
          <w:tcPr>
            <w:tcW w:w="737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画面数据刷新周期≤3s；网络拓扑单次计算时间≤1s；单次潮流计算时间满足教学实时性要求</w:t>
            </w:r>
            <w:r/>
          </w:p>
        </w:tc>
      </w:tr>
      <w:tr>
        <w:trPr>
          <w:jc w:val="center"/>
          <w:trHeight w:val="300"/>
        </w:trPr>
        <w:tc>
          <w:tcPr>
            <w:tcW w:w="1771"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系统可靠性</w:t>
            </w:r>
            <w:r/>
          </w:p>
        </w:tc>
        <w:tc>
          <w:tcPr>
            <w:tcW w:w="737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平均故障间隔时间（MTBF）&gt;4320h；系统连续稳定运行时间不小于168h</w:t>
            </w:r>
            <w:r/>
          </w:p>
        </w:tc>
      </w:tr>
      <w:tr>
        <w:trPr>
          <w:jc w:val="center"/>
          <w:trHeight w:val="300"/>
        </w:trPr>
        <w:tc>
          <w:tcPr>
            <w:tcW w:w="1771"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并发能力</w:t>
            </w:r>
            <w:r/>
          </w:p>
        </w:tc>
        <w:tc>
          <w:tcPr>
            <w:tcW w:w="737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调度系统仿真软件并发数不少于25个用户</w:t>
            </w:r>
            <w:r/>
          </w:p>
        </w:tc>
      </w:tr>
      <w:tr>
        <w:trPr>
          <w:jc w:val="center"/>
          <w:trHeight w:val="300"/>
        </w:trPr>
        <w:tc>
          <w:tcPr>
            <w:tcW w:w="1771"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通信接口</w:t>
            </w:r>
            <w:r/>
          </w:p>
        </w:tc>
        <w:tc>
          <w:tcPr>
            <w:tcW w:w="737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规约转换箱支持不少于8种电力通信规约，具备主站/从站模拟、报文捕获解析、规约转换、故障模拟、数据转发功能</w:t>
            </w:r>
            <w:r/>
          </w:p>
        </w:tc>
      </w:tr>
      <w:tr>
        <w:trPr>
          <w:jc w:val="center"/>
          <w:trHeight w:val="300"/>
        </w:trPr>
        <w:tc>
          <w:tcPr>
            <w:tcW w:w="1771"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光传输性能</w:t>
            </w:r>
            <w:r/>
          </w:p>
        </w:tc>
        <w:tc>
          <w:tcPr>
            <w:tcW w:w="737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光传输平台支持SDH、MSTP、以太网透传、E1仿真协议</w:t>
            </w:r>
            <w:r/>
          </w:p>
        </w:tc>
      </w:tr>
      <w:tr>
        <w:trPr>
          <w:jc w:val="center"/>
          <w:trHeight w:val="300"/>
        </w:trPr>
        <w:tc>
          <w:tcPr>
            <w:tcW w:w="1771"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OTDR性能</w:t>
            </w:r>
            <w:r/>
          </w:p>
        </w:tc>
        <w:tc>
          <w:tcPr>
            <w:tcW w:w="737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动态范围≥32/30dB，事件盲区≤2m，测试距离0120km</w:t>
            </w:r>
            <w:r/>
          </w:p>
        </w:tc>
      </w:tr>
    </w:tbl>
    <w:p>
      <w:pPr>
        <w:ind w:firstLine="422"/>
        <w:spacing w:line="440" w:lineRule="exact"/>
        <w:rPr>
          <w:szCs w:val="21"/>
          <w:highlight w:val="none"/>
        </w:rPr>
      </w:pPr>
      <w:r>
        <w:rPr>
          <w:rFonts w:ascii="宋体" w:hAnsi="宋体" w:cs="宋体"/>
          <w:b/>
          <w:color w:val="0f1115"/>
          <w:szCs w:val="21"/>
          <w:highlight w:val="none"/>
        </w:rPr>
        <w:t xml:space="preserve">（三）支撑实训项目</w:t>
      </w:r>
      <w:r/>
    </w:p>
    <w:p>
      <w:pPr>
        <w:ind w:firstLine="420"/>
        <w:spacing w:line="440" w:lineRule="exact"/>
        <w:rPr>
          <w:szCs w:val="21"/>
          <w:highlight w:val="none"/>
        </w:rPr>
      </w:pPr>
      <w:r>
        <w:rPr>
          <w:rFonts w:ascii="宋体" w:hAnsi="宋体" w:cs="宋体"/>
          <w:color w:val="000000"/>
          <w:szCs w:val="21"/>
          <w:highlight w:val="none"/>
        </w:rPr>
        <w:t xml:space="preserve">调度自动化系统实验（含调度系统仿真软件操作、AGC/AVC调节、潮流计算等）、电力通信光传输实训（OTN/PTN设备组网、业务配置与故障排查）、IP网络与交换实训、电力通信协议实训（IEC 61850、104规约解析、测试与仿真）、电力通信网络安全防护实验（防火墙、入侵检测、加密认证）、光通信接入与测试实训。</w:t>
      </w:r>
      <w:r/>
    </w:p>
    <w:p>
      <w:pPr>
        <w:ind w:firstLine="422"/>
        <w:spacing w:line="440" w:lineRule="exact"/>
        <w:rPr>
          <w:szCs w:val="21"/>
          <w:highlight w:val="none"/>
        </w:rPr>
      </w:pPr>
      <w:r>
        <w:rPr>
          <w:rFonts w:ascii="宋体" w:hAnsi="宋体" w:cs="宋体"/>
          <w:b/>
          <w:color w:val="0f1115"/>
          <w:szCs w:val="21"/>
          <w:highlight w:val="none"/>
        </w:rPr>
        <w:t xml:space="preserve">三、实训二：配网自动化运行实训</w:t>
      </w:r>
      <w:r/>
    </w:p>
    <w:p>
      <w:pPr>
        <w:ind w:firstLine="422"/>
        <w:spacing w:line="440" w:lineRule="exact"/>
        <w:rPr>
          <w:szCs w:val="21"/>
          <w:highlight w:val="none"/>
        </w:rPr>
      </w:pPr>
      <w:r>
        <w:rPr>
          <w:rFonts w:ascii="宋体" w:hAnsi="宋体" w:cs="宋体"/>
          <w:b/>
          <w:color w:val="0f1115"/>
          <w:szCs w:val="21"/>
          <w:highlight w:val="none"/>
        </w:rPr>
        <w:t xml:space="preserve">（一）技术方案</w:t>
      </w:r>
      <w:r/>
    </w:p>
    <w:p>
      <w:pPr>
        <w:ind w:firstLine="420"/>
        <w:spacing w:line="440" w:lineRule="exact"/>
        <w:rPr>
          <w:szCs w:val="21"/>
          <w:highlight w:val="none"/>
        </w:rPr>
      </w:pPr>
      <w:r>
        <w:rPr>
          <w:rFonts w:ascii="宋体" w:hAnsi="宋体" w:cs="宋体"/>
          <w:color w:val="000000"/>
          <w:szCs w:val="21"/>
          <w:highlight w:val="none"/>
        </w:rPr>
        <w:t xml:space="preserve">本实训模块围绕配电自动化“主站—通信—终端”三层架构，构建包含配网自动化仿真平台、厂站终端仿真装置（RTU/FTU模拟）、真实FTU/DTU终端、模拟高压开关柜及配电终端仿真软件、FA测试及仿真软件的完整实训环境。系统支持主站系统软硬件安装维护、系统数据库日常管理维护、终端设备参数配置、馈线自动化（FA）逻辑组态与测试等实训内容。具体配置如下：</w:t>
      </w:r>
      <w:r/>
    </w:p>
    <w:p>
      <w:pPr>
        <w:ind w:firstLine="422"/>
        <w:spacing w:line="440" w:lineRule="exact"/>
        <w:rPr>
          <w:b/>
          <w:bCs w:val="0"/>
          <w:szCs w:val="21"/>
          <w:highlight w:val="none"/>
          <w:u w:val="single"/>
        </w:rPr>
      </w:pPr>
      <w:r>
        <w:rPr>
          <w:rFonts w:hint="eastAsia" w:ascii="宋体" w:hAnsi="宋体" w:cs="宋体"/>
          <w:b/>
          <w:bCs w:val="0"/>
          <w:color w:val="000000"/>
          <w:szCs w:val="21"/>
          <w:highlight w:val="none"/>
          <w:u w:val="single"/>
        </w:rPr>
        <w:t xml:space="preserve">▲</w:t>
      </w:r>
      <w:r>
        <w:rPr>
          <w:rFonts w:ascii="宋体" w:hAnsi="宋体" w:cs="宋体"/>
          <w:b/>
          <w:bCs w:val="0"/>
          <w:color w:val="000000"/>
          <w:szCs w:val="21"/>
          <w:highlight w:val="none"/>
          <w:u w:val="single"/>
        </w:rPr>
        <w:t xml:space="preserve">配网自动化仿真平台：含配电网数字孪生模型，支持配网拓扑建模、SCADA监控、故障模拟与馈线自动化逻辑仿真。</w:t>
      </w:r>
      <w:r/>
    </w:p>
    <w:p>
      <w:pPr>
        <w:ind w:firstLine="422"/>
        <w:spacing w:line="440" w:lineRule="exact"/>
        <w:rPr>
          <w:b/>
          <w:bCs w:val="0"/>
          <w:szCs w:val="21"/>
          <w:highlight w:val="none"/>
          <w:u w:val="single"/>
        </w:rPr>
      </w:pPr>
      <w:r>
        <w:rPr>
          <w:rFonts w:hint="eastAsia" w:ascii="宋体" w:hAnsi="宋体" w:cs="宋体"/>
          <w:b/>
          <w:bCs w:val="0"/>
          <w:color w:val="000000"/>
          <w:szCs w:val="21"/>
          <w:highlight w:val="none"/>
          <w:u w:val="single"/>
        </w:rPr>
        <w:t xml:space="preserve">★</w:t>
      </w:r>
      <w:r>
        <w:rPr>
          <w:rFonts w:ascii="宋体" w:hAnsi="宋体" w:cs="宋体"/>
          <w:b/>
          <w:bCs w:val="0"/>
          <w:color w:val="000000"/>
          <w:szCs w:val="21"/>
          <w:highlight w:val="none"/>
          <w:u w:val="single"/>
        </w:rPr>
        <w:t xml:space="preserve">厂站终端仿真装置：RTU/FTU模拟装置4套，支持主站子站联调，可配置通信参数（IP、端口、规约类型），支持遥测、遥信、遥控功能模拟。</w:t>
      </w:r>
      <w:r/>
    </w:p>
    <w:p>
      <w:pPr>
        <w:ind w:firstLine="422"/>
        <w:spacing w:line="440" w:lineRule="exact"/>
        <w:rPr>
          <w:b/>
          <w:bCs w:val="0"/>
          <w:szCs w:val="21"/>
          <w:highlight w:val="none"/>
          <w:u w:val="single"/>
        </w:rPr>
      </w:pPr>
      <w:r>
        <w:rPr>
          <w:rFonts w:hint="eastAsia" w:ascii="宋体" w:hAnsi="宋体" w:cs="宋体"/>
          <w:b/>
          <w:bCs w:val="0"/>
          <w:color w:val="000000"/>
          <w:szCs w:val="21"/>
          <w:highlight w:val="none"/>
          <w:u w:val="single"/>
        </w:rPr>
        <w:t xml:space="preserve">▲</w:t>
      </w:r>
      <w:r>
        <w:rPr>
          <w:rFonts w:ascii="宋体" w:hAnsi="宋体" w:cs="宋体"/>
          <w:b/>
          <w:bCs w:val="0"/>
          <w:color w:val="000000"/>
          <w:szCs w:val="21"/>
          <w:highlight w:val="none"/>
          <w:u w:val="single"/>
        </w:rPr>
        <w:t xml:space="preserve">真实FTU/DTU终端：1套，支持IEC 61850、DL/T 634.5101/104等协议，多通信接口（光纤以太网、EPON、无线4G/5G等）。</w:t>
      </w:r>
      <w:r/>
    </w:p>
    <w:p>
      <w:pPr>
        <w:ind w:firstLine="422"/>
        <w:spacing w:line="440" w:lineRule="exact"/>
        <w:rPr>
          <w:szCs w:val="21"/>
          <w:highlight w:val="none"/>
        </w:rPr>
      </w:pPr>
      <w:r>
        <w:rPr>
          <w:rFonts w:ascii="宋体" w:hAnsi="宋体" w:cs="宋体"/>
          <w:b/>
          <w:color w:val="000000"/>
          <w:szCs w:val="21"/>
          <w:highlight w:val="none"/>
        </w:rPr>
        <w:t xml:space="preserve">模拟高压开关柜及配电终端仿真软件</w:t>
      </w:r>
      <w:r>
        <w:rPr>
          <w:rFonts w:ascii="宋体" w:hAnsi="宋体" w:cs="宋体"/>
          <w:color w:val="000000"/>
          <w:szCs w:val="21"/>
          <w:highlight w:val="none"/>
        </w:rPr>
        <w:t xml:space="preserve">：KYN28A型模拟高压开关柜1套，含真空断路器、隔离开关等模拟元件及配套仿真软件。</w:t>
      </w:r>
      <w:r/>
    </w:p>
    <w:p>
      <w:pPr>
        <w:ind w:firstLine="422"/>
        <w:spacing w:line="440" w:lineRule="exact"/>
        <w:rPr>
          <w:szCs w:val="21"/>
          <w:highlight w:val="none"/>
        </w:rPr>
      </w:pPr>
      <w:r>
        <w:rPr>
          <w:rFonts w:ascii="宋体" w:hAnsi="宋体" w:cs="宋体"/>
          <w:b/>
          <w:color w:val="000000"/>
          <w:szCs w:val="21"/>
          <w:highlight w:val="none"/>
        </w:rPr>
        <w:t xml:space="preserve">FA测试仪/故障模拟开关/配网自动化仿真系统软件</w:t>
      </w:r>
      <w:r>
        <w:rPr>
          <w:rFonts w:ascii="宋体" w:hAnsi="宋体" w:cs="宋体"/>
          <w:color w:val="000000"/>
          <w:szCs w:val="21"/>
          <w:highlight w:val="none"/>
        </w:rPr>
        <w:t xml:space="preserve">：1套，支持馈线自动化（FA）逻辑组态、终端设备运行参数及故障定值设定，故障场景不少于6类。</w:t>
      </w:r>
      <w:r/>
    </w:p>
    <w:p>
      <w:pPr>
        <w:ind w:firstLine="422"/>
        <w:spacing w:line="440" w:lineRule="exact"/>
        <w:rPr>
          <w:szCs w:val="21"/>
          <w:highlight w:val="none"/>
        </w:rPr>
      </w:pPr>
      <w:r>
        <w:rPr>
          <w:rFonts w:ascii="宋体" w:hAnsi="宋体" w:cs="宋体"/>
          <w:b/>
          <w:color w:val="000000"/>
          <w:szCs w:val="21"/>
          <w:highlight w:val="none"/>
        </w:rPr>
        <w:t xml:space="preserve">FA逻辑组态工具/故障模拟软件</w:t>
      </w:r>
      <w:r>
        <w:rPr>
          <w:rFonts w:ascii="宋体" w:hAnsi="宋体" w:cs="宋体"/>
          <w:color w:val="000000"/>
          <w:szCs w:val="21"/>
          <w:highlight w:val="none"/>
        </w:rPr>
        <w:t xml:space="preserve">：1套，支持FA逻辑参数配置（过流定值、重合闸时序等），支持相间短路、接地故障等多种故障类型模拟。</w:t>
      </w:r>
      <w:r/>
    </w:p>
    <w:p>
      <w:pPr>
        <w:ind w:firstLine="422"/>
        <w:spacing w:line="440" w:lineRule="exact"/>
        <w:rPr>
          <w:szCs w:val="21"/>
          <w:highlight w:val="none"/>
        </w:rPr>
      </w:pPr>
      <w:r>
        <w:rPr>
          <w:rFonts w:ascii="宋体" w:hAnsi="宋体" w:cs="宋体"/>
          <w:b/>
          <w:color w:val="0f1115"/>
          <w:szCs w:val="21"/>
          <w:highlight w:val="none"/>
        </w:rPr>
        <w:t xml:space="preserve">（二）技术指标</w:t>
      </w:r>
      <w:r/>
    </w:p>
    <w:tbl>
      <w:tblPr>
        <w:tblStyle w:val="699"/>
        <w:tblW w:w="8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84"/>
        <w:gridCol w:w="7371"/>
      </w:tblGrid>
      <w:tr>
        <w:trPr>
          <w:jc w:val="center"/>
          <w:trHeight w:val="300"/>
        </w:trPr>
        <w:tc>
          <w:tcPr>
            <w:tcW w:w="1284"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指标类别</w:t>
            </w:r>
            <w:r/>
          </w:p>
        </w:tc>
        <w:tc>
          <w:tcPr>
            <w:tcW w:w="7371" w:type="dxa"/>
            <w:vAlign w:val="center"/>
            <w:textDirection w:val="lrTb"/>
            <w:noWrap w:val="false"/>
          </w:tcPr>
          <w:p>
            <w:pPr>
              <w:ind w:firstLine="211"/>
              <w:jc w:val="center"/>
              <w:spacing w:line="400" w:lineRule="exact"/>
              <w:rPr>
                <w:szCs w:val="21"/>
                <w:highlight w:val="none"/>
              </w:rPr>
            </w:pPr>
            <w:r>
              <w:rPr>
                <w:rFonts w:ascii="宋体" w:hAnsi="宋体" w:cs="宋体"/>
                <w:b/>
                <w:color w:val="000000"/>
                <w:szCs w:val="21"/>
                <w:highlight w:val="none"/>
              </w:rPr>
              <w:t xml:space="preserve"> 技术指标要求</w:t>
            </w:r>
            <w:r/>
          </w:p>
        </w:tc>
      </w:tr>
      <w:tr>
        <w:trPr>
          <w:jc w:val="center"/>
          <w:trHeight w:val="300"/>
        </w:trPr>
        <w:tc>
          <w:tcPr>
            <w:tcW w:w="1284"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仿真规模</w:t>
            </w:r>
            <w:r/>
          </w:p>
        </w:tc>
        <w:tc>
          <w:tcPr>
            <w:tcW w:w="7371"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配网仿真模型支持不少于3个电压等级（110kV/10kV/0.4kV），不少于10条馈线</w:t>
            </w:r>
            <w:r/>
          </w:p>
        </w:tc>
      </w:tr>
      <w:tr>
        <w:trPr>
          <w:jc w:val="center"/>
          <w:trHeight w:val="300"/>
        </w:trPr>
        <w:tc>
          <w:tcPr>
            <w:tcW w:w="1284"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终端配置</w:t>
            </w:r>
            <w:r/>
          </w:p>
        </w:tc>
        <w:tc>
          <w:tcPr>
            <w:tcW w:w="7371"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FTU/DTU支持遥测、遥信、遥控三遥功能，支持不少于2种配网通信规约</w:t>
            </w:r>
            <w:r/>
          </w:p>
        </w:tc>
      </w:tr>
      <w:tr>
        <w:trPr>
          <w:jc w:val="center"/>
          <w:trHeight w:val="300"/>
        </w:trPr>
        <w:tc>
          <w:tcPr>
            <w:tcW w:w="1284"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FA功能</w:t>
            </w:r>
            <w:r/>
          </w:p>
        </w:tc>
        <w:tc>
          <w:tcPr>
            <w:tcW w:w="7371"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支持集中型/就地型馈线自动化逻辑组态，故障场景不少于6类</w:t>
            </w:r>
            <w:r/>
          </w:p>
        </w:tc>
      </w:tr>
      <w:tr>
        <w:trPr>
          <w:jc w:val="center"/>
          <w:trHeight w:val="300"/>
        </w:trPr>
        <w:tc>
          <w:tcPr>
            <w:tcW w:w="1284"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故障模拟</w:t>
            </w:r>
            <w:r/>
          </w:p>
        </w:tc>
        <w:tc>
          <w:tcPr>
            <w:tcW w:w="7371"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支持相间短路、接地故障等多类型故障模拟，支持故障定位、隔离与非故障区段恢复逻辑仿真</w:t>
            </w:r>
            <w:r/>
          </w:p>
        </w:tc>
      </w:tr>
      <w:tr>
        <w:trPr>
          <w:jc w:val="center"/>
          <w:trHeight w:val="300"/>
        </w:trPr>
        <w:tc>
          <w:tcPr>
            <w:tcW w:w="1284"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通信接口</w:t>
            </w:r>
            <w:r/>
          </w:p>
        </w:tc>
        <w:tc>
          <w:tcPr>
            <w:tcW w:w="7371"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终端设备支持光纤以太网、EPON、无线4G/5G等多种通信方式</w:t>
            </w:r>
            <w:r/>
          </w:p>
        </w:tc>
      </w:tr>
      <w:tr>
        <w:trPr>
          <w:jc w:val="center"/>
          <w:trHeight w:val="300"/>
        </w:trPr>
        <w:tc>
          <w:tcPr>
            <w:tcW w:w="1284"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系统集成</w:t>
            </w:r>
            <w:r/>
          </w:p>
        </w:tc>
        <w:tc>
          <w:tcPr>
            <w:tcW w:w="7371"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支持主站—通信网络—终端全链路数据贯通与联合调试</w:t>
            </w:r>
            <w:r/>
          </w:p>
        </w:tc>
      </w:tr>
    </w:tbl>
    <w:p>
      <w:pPr>
        <w:ind w:firstLine="422"/>
        <w:spacing w:line="440" w:lineRule="exact"/>
        <w:rPr>
          <w:szCs w:val="21"/>
          <w:highlight w:val="none"/>
        </w:rPr>
      </w:pPr>
      <w:r>
        <w:rPr>
          <w:rFonts w:ascii="宋体" w:hAnsi="宋体" w:cs="宋体"/>
          <w:b/>
          <w:color w:val="0f1115"/>
          <w:szCs w:val="21"/>
          <w:highlight w:val="none"/>
        </w:rPr>
        <w:t xml:space="preserve">（三）支撑实训项目</w:t>
      </w:r>
      <w:r/>
    </w:p>
    <w:p>
      <w:pPr>
        <w:ind w:firstLine="420"/>
        <w:spacing w:line="440" w:lineRule="exact"/>
        <w:rPr>
          <w:szCs w:val="21"/>
          <w:highlight w:val="none"/>
        </w:rPr>
      </w:pPr>
      <w:r>
        <w:rPr>
          <w:rFonts w:ascii="宋体" w:hAnsi="宋体" w:cs="宋体"/>
          <w:color w:val="000000"/>
          <w:szCs w:val="21"/>
          <w:highlight w:val="none"/>
        </w:rPr>
        <w:t xml:space="preserve">配电自动化系统架构认知、配电SCADA系统操作与监控、配电网拓扑建模与图形绘制、10kV配电设备认知与倒闸操作、RTU/FTU终端仿真与配置、104规约通信与主站子站联调、配电自动化系统集成综合实训、配电设备运维与故障处理、馈线自动化（FA）功能仿真与测试、配网故障研判与处理综合实训。</w:t>
      </w:r>
      <w:r/>
    </w:p>
    <w:p>
      <w:pPr>
        <w:ind w:firstLine="422"/>
        <w:spacing w:line="440" w:lineRule="exact"/>
        <w:rPr>
          <w:szCs w:val="21"/>
          <w:highlight w:val="none"/>
        </w:rPr>
      </w:pPr>
      <w:r>
        <w:rPr>
          <w:rFonts w:ascii="宋体" w:hAnsi="宋体" w:cs="宋体"/>
          <w:b/>
          <w:color w:val="0f1115"/>
          <w:szCs w:val="21"/>
          <w:highlight w:val="none"/>
        </w:rPr>
        <w:t xml:space="preserve">四、实训三：新能源与储能并网仿真实训</w:t>
      </w:r>
      <w:r/>
    </w:p>
    <w:p>
      <w:pPr>
        <w:ind w:firstLine="422"/>
        <w:spacing w:line="440" w:lineRule="exact"/>
        <w:rPr>
          <w:szCs w:val="21"/>
          <w:highlight w:val="none"/>
        </w:rPr>
      </w:pPr>
      <w:r>
        <w:rPr>
          <w:rFonts w:ascii="宋体" w:hAnsi="宋体" w:cs="宋体"/>
          <w:b/>
          <w:color w:val="0f1115"/>
          <w:szCs w:val="21"/>
          <w:highlight w:val="none"/>
        </w:rPr>
        <w:t xml:space="preserve">（一）技术方案</w:t>
      </w:r>
      <w:r/>
    </w:p>
    <w:p>
      <w:pPr>
        <w:ind w:firstLine="420"/>
        <w:spacing w:line="440" w:lineRule="exact"/>
        <w:rPr>
          <w:szCs w:val="21"/>
          <w:highlight w:val="none"/>
        </w:rPr>
      </w:pPr>
      <w:r>
        <w:rPr>
          <w:rFonts w:ascii="宋体" w:hAnsi="宋体" w:cs="宋体"/>
          <w:color w:val="000000"/>
          <w:szCs w:val="21"/>
          <w:highlight w:val="none"/>
        </w:rPr>
        <w:t xml:space="preserve">本实训模块配置新能源与储能并网仿真系统，支持光伏发电、风力发电、储能系统的建模与仿真，以及新能源并网运行仿真分析。系统开放API接口，支持Python/Matlab等开发环境，可开展新能源功率预测、并网优化调度、储能协调控制等算法开发与验证。具体配置如下：</w:t>
      </w:r>
      <w:r/>
    </w:p>
    <w:p>
      <w:pPr>
        <w:ind w:firstLine="422"/>
        <w:spacing w:line="440" w:lineRule="exact"/>
        <w:rPr>
          <w:szCs w:val="21"/>
          <w:highlight w:val="none"/>
        </w:rPr>
      </w:pPr>
      <w:r>
        <w:rPr>
          <w:rFonts w:ascii="宋体" w:hAnsi="宋体" w:cs="宋体"/>
          <w:b/>
          <w:color w:val="000000"/>
          <w:szCs w:val="21"/>
          <w:highlight w:val="none"/>
        </w:rPr>
        <w:t xml:space="preserve">新能源与储能并网仿真系统</w:t>
      </w:r>
      <w:r>
        <w:rPr>
          <w:rFonts w:ascii="宋体" w:hAnsi="宋体" w:cs="宋体"/>
          <w:color w:val="000000"/>
          <w:szCs w:val="21"/>
          <w:highlight w:val="none"/>
        </w:rPr>
        <w:t xml:space="preserve">：1套，支持光伏发电系统建模与仿真、风力发电系统建模与仿真、储能系统建模与仿真、新能源并网运行仿真分析。</w:t>
      </w:r>
      <w:r/>
    </w:p>
    <w:p>
      <w:pPr>
        <w:ind w:firstLine="422"/>
        <w:spacing w:line="440" w:lineRule="exact"/>
        <w:rPr>
          <w:szCs w:val="21"/>
          <w:highlight w:val="none"/>
        </w:rPr>
      </w:pPr>
      <w:r>
        <w:rPr>
          <w:rFonts w:ascii="宋体" w:hAnsi="宋体" w:cs="宋体"/>
          <w:b/>
          <w:color w:val="000000"/>
          <w:szCs w:val="21"/>
          <w:highlight w:val="none"/>
        </w:rPr>
        <w:t xml:space="preserve">虚拟仿真平台</w:t>
      </w:r>
      <w:r>
        <w:rPr>
          <w:rFonts w:ascii="宋体" w:hAnsi="宋体" w:cs="宋体"/>
          <w:color w:val="000000"/>
          <w:szCs w:val="21"/>
          <w:highlight w:val="none"/>
        </w:rPr>
        <w:t xml:space="preserve">：1套（复用），含电网数字孪生模型与通信网络仿真，支撑新能源并网场景下的电网通信联合仿真。</w:t>
      </w:r>
      <w:r/>
    </w:p>
    <w:p>
      <w:pPr>
        <w:ind w:firstLine="422"/>
        <w:spacing w:line="440" w:lineRule="exact"/>
        <w:rPr>
          <w:szCs w:val="21"/>
          <w:highlight w:val="none"/>
        </w:rPr>
      </w:pPr>
      <w:r>
        <w:rPr>
          <w:rFonts w:ascii="宋体" w:hAnsi="宋体" w:cs="宋体"/>
          <w:b/>
          <w:color w:val="0f1115"/>
          <w:szCs w:val="21"/>
          <w:highlight w:val="none"/>
        </w:rPr>
        <w:t xml:space="preserve">（二）技术指标</w:t>
      </w:r>
      <w:r/>
    </w:p>
    <w:tbl>
      <w:tblPr>
        <w:tblStyle w:val="699"/>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76"/>
        <w:gridCol w:w="7319"/>
      </w:tblGrid>
      <w:tr>
        <w:trPr>
          <w:jc w:val="center"/>
          <w:trHeight w:val="300"/>
        </w:trPr>
        <w:tc>
          <w:tcPr>
            <w:tcW w:w="1276"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指标类别</w:t>
            </w:r>
            <w:r/>
          </w:p>
        </w:tc>
        <w:tc>
          <w:tcPr>
            <w:tcW w:w="7319"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技术指标要求</w:t>
            </w:r>
            <w:r/>
          </w:p>
        </w:tc>
      </w:tr>
      <w:tr>
        <w:trPr>
          <w:jc w:val="center"/>
          <w:trHeight w:val="300"/>
        </w:trPr>
        <w:tc>
          <w:tcPr>
            <w:tcW w:w="1276"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新能源建模</w:t>
            </w:r>
            <w:r/>
          </w:p>
        </w:tc>
        <w:tc>
          <w:tcPr>
            <w:tcW w:w="731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支持光伏阵列、风力发电机组的数学模型建模与动态仿真</w:t>
            </w:r>
            <w:r/>
          </w:p>
        </w:tc>
      </w:tr>
      <w:tr>
        <w:trPr>
          <w:jc w:val="center"/>
          <w:trHeight w:val="300"/>
        </w:trPr>
        <w:tc>
          <w:tcPr>
            <w:tcW w:w="1276"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储能系统</w:t>
            </w:r>
            <w:r/>
          </w:p>
        </w:tc>
        <w:tc>
          <w:tcPr>
            <w:tcW w:w="731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支持电池储能系统的充放电管理、能量调度与并网控制仿真</w:t>
            </w:r>
            <w:r/>
          </w:p>
        </w:tc>
      </w:tr>
      <w:tr>
        <w:trPr>
          <w:jc w:val="center"/>
          <w:trHeight w:val="300"/>
        </w:trPr>
        <w:tc>
          <w:tcPr>
            <w:tcW w:w="1276"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并网仿真</w:t>
            </w:r>
            <w:r/>
          </w:p>
        </w:tc>
        <w:tc>
          <w:tcPr>
            <w:tcW w:w="731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支持新能源并网对电网潮流、电压、频率影响的仿真分析</w:t>
            </w:r>
            <w:r/>
          </w:p>
        </w:tc>
      </w:tr>
      <w:tr>
        <w:trPr>
          <w:jc w:val="center"/>
          <w:trHeight w:val="300"/>
        </w:trPr>
        <w:tc>
          <w:tcPr>
            <w:tcW w:w="1276"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控制模式</w:t>
            </w:r>
            <w:r/>
          </w:p>
        </w:tc>
        <w:tc>
          <w:tcPr>
            <w:tcW w:w="731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支持离网（V/f控制）、并网（PQ控制）、多模式兼容（下垂控制）等策略仿真</w:t>
            </w:r>
            <w:r/>
          </w:p>
        </w:tc>
      </w:tr>
      <w:tr>
        <w:trPr>
          <w:jc w:val="center"/>
          <w:trHeight w:val="300"/>
        </w:trPr>
        <w:tc>
          <w:tcPr>
            <w:tcW w:w="1276"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开放接口</w:t>
            </w:r>
            <w:r/>
          </w:p>
        </w:tc>
        <w:tc>
          <w:tcPr>
            <w:tcW w:w="731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开放API接口，支持Python/Matlab算法开发与验证</w:t>
            </w:r>
            <w:r/>
          </w:p>
        </w:tc>
      </w:tr>
      <w:tr>
        <w:trPr>
          <w:jc w:val="center"/>
          <w:trHeight w:val="300"/>
        </w:trPr>
        <w:tc>
          <w:tcPr>
            <w:tcW w:w="1276" w:type="dxa"/>
            <w:vAlign w:val="center"/>
            <w:textDirection w:val="lrTb"/>
            <w:noWrap w:val="false"/>
          </w:tcPr>
          <w:p>
            <w:pPr>
              <w:jc w:val="center"/>
              <w:spacing w:line="400" w:lineRule="exact"/>
              <w:rPr>
                <w:szCs w:val="21"/>
                <w:highlight w:val="none"/>
              </w:rPr>
            </w:pPr>
            <w:r>
              <w:rPr>
                <w:rFonts w:ascii="宋体" w:hAnsi="宋体" w:cs="宋体"/>
                <w:b/>
                <w:color w:val="000000"/>
                <w:szCs w:val="21"/>
                <w:highlight w:val="none"/>
              </w:rPr>
              <w:t xml:space="preserve">仿真精度</w:t>
            </w:r>
            <w:r/>
          </w:p>
        </w:tc>
        <w:tc>
          <w:tcPr>
            <w:tcW w:w="7319" w:type="dxa"/>
            <w:vAlign w:val="center"/>
            <w:textDirection w:val="lrTb"/>
            <w:noWrap w:val="false"/>
          </w:tcPr>
          <w:p>
            <w:pPr>
              <w:jc w:val="left"/>
              <w:spacing w:line="400" w:lineRule="exact"/>
              <w:rPr>
                <w:szCs w:val="21"/>
                <w:highlight w:val="none"/>
              </w:rPr>
            </w:pPr>
            <w:r>
              <w:rPr>
                <w:rFonts w:ascii="宋体" w:hAnsi="宋体" w:cs="宋体"/>
                <w:color w:val="000000"/>
                <w:szCs w:val="21"/>
                <w:highlight w:val="none"/>
              </w:rPr>
              <w:t xml:space="preserve">新能源并网功率误差≤2%</w:t>
            </w:r>
            <w:r/>
          </w:p>
        </w:tc>
      </w:tr>
    </w:tbl>
    <w:p>
      <w:pPr>
        <w:ind w:firstLine="422"/>
        <w:spacing w:line="440" w:lineRule="exact"/>
        <w:rPr>
          <w:szCs w:val="21"/>
          <w:highlight w:val="none"/>
        </w:rPr>
      </w:pPr>
      <w:r>
        <w:rPr>
          <w:rFonts w:ascii="宋体" w:hAnsi="宋体" w:cs="宋体"/>
          <w:b/>
          <w:color w:val="0f1115"/>
          <w:szCs w:val="21"/>
          <w:highlight w:val="none"/>
        </w:rPr>
        <w:t xml:space="preserve"> （三）支撑实训项目</w:t>
      </w:r>
      <w:r/>
    </w:p>
    <w:p>
      <w:pPr>
        <w:ind w:firstLine="420"/>
        <w:spacing w:line="440" w:lineRule="exact"/>
        <w:rPr>
          <w:szCs w:val="21"/>
          <w:highlight w:val="none"/>
        </w:rPr>
      </w:pPr>
      <w:r>
        <w:rPr>
          <w:rFonts w:ascii="宋体" w:hAnsi="宋体" w:cs="宋体"/>
          <w:color w:val="000000"/>
          <w:szCs w:val="21"/>
          <w:highlight w:val="none"/>
        </w:rPr>
        <w:t xml:space="preserve">新能源发电系统认知与建模、光伏发电系统并网仿真、风力发电系统并网仿真、储能系统充放电管理与并网控制、新能源并网对电网运行影响分析、新能源功率预测算法开发与验证、新能源并网通信时延测试与优化、新能源与储能协同调度仿真。</w:t>
      </w:r>
      <w:r/>
    </w:p>
    <w:p>
      <w:pPr>
        <w:ind w:firstLine="422"/>
        <w:spacing w:line="440" w:lineRule="exact"/>
        <w:rPr>
          <w:szCs w:val="21"/>
          <w:highlight w:val="none"/>
        </w:rPr>
      </w:pPr>
      <w:r>
        <w:rPr>
          <w:rFonts w:ascii="宋体" w:hAnsi="宋体" w:cs="宋体"/>
          <w:b/>
          <w:color w:val="0f1115"/>
          <w:szCs w:val="21"/>
          <w:highlight w:val="none"/>
        </w:rPr>
        <w:t xml:space="preserve">五、设备清单及参数指标</w:t>
      </w:r>
      <w:r/>
    </w:p>
    <w:p>
      <w:pPr>
        <w:ind w:firstLine="420"/>
        <w:spacing w:line="440" w:lineRule="exact"/>
        <w:rPr>
          <w:szCs w:val="21"/>
          <w:highlight w:val="none"/>
        </w:rPr>
      </w:pPr>
      <w:r>
        <w:rPr>
          <w:rFonts w:ascii="宋体" w:hAnsi="宋体" w:cs="宋体"/>
          <w:color w:val="000000"/>
          <w:szCs w:val="21"/>
          <w:highlight w:val="none"/>
        </w:rPr>
        <w:t xml:space="preserve">以上涉及到的设备及具体的参数指标等内容，如下所示。</w:t>
      </w:r>
      <w:r/>
    </w:p>
    <w:tbl>
      <w:tblPr>
        <w:tblStyle w:val="69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497"/>
        <w:gridCol w:w="1932"/>
        <w:gridCol w:w="6751"/>
      </w:tblGrid>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b/>
                <w:color w:val="000000"/>
                <w:szCs w:val="21"/>
                <w:highlight w:val="none"/>
              </w:rPr>
              <w:t xml:space="preserve">序号</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b/>
                <w:color w:val="000000"/>
                <w:szCs w:val="21"/>
                <w:highlight w:val="none"/>
              </w:rPr>
              <w:t xml:space="preserve">设备名称</w:t>
            </w:r>
            <w:r/>
          </w:p>
        </w:tc>
        <w:tc>
          <w:tcPr>
            <w:tcW w:w="6751"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b/>
                <w:color w:val="000000"/>
                <w:szCs w:val="21"/>
                <w:highlight w:val="none"/>
              </w:rPr>
              <w:t xml:space="preserve">技术参数</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主工作站</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2U机架式；CPU：2颗 16核 主频2.5GHz以上；内存：128GB DDR4；存储：2×480GB SSD（RAID1）+4×2TB SATA；网口：4×千兆电口；冗余电源</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2</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教师工作站</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i7/R7以上；16GB内存；1TB SSD；27寸高色域显示终端</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3</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学生工作站</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i5/R5以上；16GB内存；512GB SSD；24寸显示终端</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4</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核心千兆交换机</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24口千兆管理型；支持VLAN划分、端口镜像、链路聚合；支持STP/RSTP生成树协议</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5</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42U机柜</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42U标准机柜；含PDU、托盘、散热风扇</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6</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EPS</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6kVA；15分钟延时</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7</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厂站终端仿真装置</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RTU/FTU模拟装置；支持主站-子站104规约通信联调；支持遥测、遥信、遥控功能模拟；可配置通信参数（IP、端口、规约类型）</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8</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调度系统仿真软件（教学授权版）</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包含SCADA监控、拓扑着色、遥信遥测模拟、告警、报表；25并发数；含实时监控与预警、调度计划、安全校核、调度管理四大类核心应用</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9</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高级应用模块</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含潮流计算模块、短路计算模块、状态估计模块、AVC/AGC仿真、调度计划与安全分析</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10</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OTDR光时域分析仪</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测试波长：1310/1550nm双波长；动态范围：32/30dB；测试距离：0-120km；最高测距分辨率：0.05m；集成功能：OTDR+光功率计+稳定光源+红光笔（VFL）+网线测试</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11</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光骨干网传输平台</w:t>
            </w:r>
            <w:r/>
          </w:p>
        </w:tc>
        <w:tc>
          <w:tcPr>
            <w:tcW w:w="6751" w:type="dxa"/>
            <w:vAlign w:val="center"/>
            <w:textDirection w:val="lrTb"/>
            <w:noWrap w:val="false"/>
          </w:tcPr>
          <w:p>
            <w:pPr>
              <w:jc w:val="left"/>
              <w:spacing w:line="400" w:lineRule="exact"/>
              <w:rPr>
                <w:rFonts w:hint="eastAsia" w:ascii="宋体" w:hAnsi="宋体" w:cs="宋体"/>
                <w:szCs w:val="21"/>
                <w:highlight w:val="none"/>
              </w:rPr>
            </w:pPr>
            <w:r/>
            <w:bookmarkStart w:id="31" w:name="_Hlk240135513"/>
            <w:r>
              <w:rPr>
                <w:rFonts w:hint="eastAsia" w:ascii="宋体" w:hAnsi="宋体" w:cs="宋体"/>
                <w:szCs w:val="21"/>
                <w:highlight w:val="none"/>
              </w:rPr>
              <w:t xml:space="preserve">主控单元：具备设备管理、时钟同步、交叉连接调度；配置≥2路STM-4光口，≥16路E1接口、≥4路FE以太网接口</w:t>
            </w:r>
            <w:bookmarkEnd w:id="31"/>
            <w:r>
              <w:rPr>
                <w:rFonts w:hint="eastAsia" w:ascii="宋体" w:hAnsi="宋体" w:cs="宋体"/>
                <w:szCs w:val="21"/>
                <w:highlight w:val="none"/>
              </w:rPr>
              <w:t xml:space="preserve">；支持SDH/MSTP、以太网透传、E1仿真，支持SNCP/MSP保护。</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12</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电力通信规约转换实验箱</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支持规约：IEC61850、IEC101、IEC103、IEC104、CDT、DNP3.0、Modbus RTU/TCP、DL/T645；接口：4×RS-232/485（隔离）、2×以太网口、1×USB；处理器≥800MHz工业级ARM处理器；内存：512MB DDR，512MB Flash；功能：主站/从站模拟、报文捕获解析、规约转换、故障模拟、数据转发</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13</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软件及教学资源包</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含配套实训指导书、操作手册、教学课件、典型事故案例库框架等数字化教学资源</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14</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虚拟仿真平台</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含电网数字孪生仿真；支持IEC 61850/104协议仿真；支持电网-通信联合仿真；开放API接口，支持第三方算法集成部署；支持不少于2000个节点的电网拓扑建模与动态仿真</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15</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传输网管（教学授权）</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支持SDH/MSTP网络端到端管理；支持网元管理；协议支持：SNMP、CORBA、XML、FTP等</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16</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模拟高压开关柜及配电终端仿真软件</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KYN28A型模拟高压开关柜；含真空断路器、隔离开关等模拟元件；配套配电终端仿真软件</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17</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真实FTU/DTU终端</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支持配网自动化FTU/DTU功能；支持IEC 61850、DL/T 634.5101/104等协议；支持遥信、遥测、遥控三遥功能；多通信接口：光纤以太网、EPON、无线4G/5G等</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18</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FA测试仪/故障模拟开关/配网自动化仿真系统软件</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支持馈线自动化（FA）逻辑组态；支持终端设备运行参数、通讯参数、故障定值设定；故障场景不少于6类；支持配网自动化监控与故障模拟仿真</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19</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FA逻辑组态工具/故障模拟软件</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支持FA逻辑参数配置（过流定值、重合闸时序等）；支持相间短路、接地故障等多种故障类型模拟；支持故障定位、隔离与恢复逻辑仿真</w:t>
            </w:r>
            <w:r/>
          </w:p>
        </w:tc>
      </w:tr>
      <w:tr>
        <w:trPr>
          <w:jc w:val="center"/>
          <w:trHeight w:val="300"/>
        </w:trPr>
        <w:tc>
          <w:tcPr>
            <w:tcW w:w="49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20</w:t>
            </w:r>
            <w:r/>
          </w:p>
        </w:tc>
        <w:tc>
          <w:tcPr>
            <w:tcW w:w="1932"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新能源与储能并网仿真系统</w:t>
            </w:r>
            <w:r/>
          </w:p>
        </w:tc>
        <w:tc>
          <w:tcPr>
            <w:tcW w:w="6751" w:type="dxa"/>
            <w:vAlign w:val="center"/>
            <w:textDirection w:val="lrTb"/>
            <w:noWrap w:val="false"/>
          </w:tcPr>
          <w:p>
            <w:pPr>
              <w:jc w:val="left"/>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支持光伏发电系统建模与仿真；支持风力发电系统建模与仿真；支持储能系统建模与仿真；支持新能源并网运行仿真分析；开放API接口，支持Python/Matlab算法开发与验证</w:t>
            </w:r>
            <w:r/>
          </w:p>
        </w:tc>
      </w:tr>
    </w:tbl>
    <w:p>
      <w:pPr>
        <w:ind w:firstLine="422"/>
        <w:spacing w:line="440" w:lineRule="exact"/>
        <w:rPr>
          <w:rFonts w:hint="eastAsia" w:ascii="宋体" w:hAnsi="宋体" w:cs="宋体"/>
          <w:szCs w:val="21"/>
          <w:highlight w:val="none"/>
        </w:rPr>
      </w:pPr>
      <w:r>
        <w:rPr>
          <w:rFonts w:hint="eastAsia" w:ascii="宋体" w:hAnsi="宋体" w:cs="宋体"/>
          <w:b/>
          <w:color w:val="000000"/>
          <w:szCs w:val="21"/>
          <w:highlight w:val="none"/>
        </w:rPr>
        <w:t xml:space="preserve">1. 主工作站</w:t>
      </w:r>
      <w:r/>
    </w:p>
    <w:p>
      <w:pPr>
        <w:ind w:firstLine="420"/>
        <w:spacing w:line="440" w:lineRule="exact"/>
        <w:rPr>
          <w:rFonts w:hint="eastAsia" w:ascii="宋体" w:hAnsi="宋体" w:cs="宋体"/>
          <w:szCs w:val="21"/>
          <w:highlight w:val="none"/>
        </w:rPr>
      </w:pPr>
      <w:r>
        <w:rPr>
          <w:rFonts w:hint="eastAsia" w:ascii="宋体" w:hAnsi="宋体" w:cs="宋体"/>
          <w:color w:val="000000"/>
          <w:szCs w:val="21"/>
          <w:highlight w:val="none"/>
        </w:rPr>
        <w:t xml:space="preserve">（1）设备概述：主工作站作为实训室调度仿真系统、配网自动化仿真平台及虚拟仿真平台的核心运算与数据存储中枢，承担全部仿真计算任务、数据库管理、多用户并发服务及系统调度等关键功能。需满足至少25个并发用户同时在线进行调度仿真、配网仿真及新能源并网仿真的计算需求，保障三大实训模块的稳定运行。</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（2）硬件配置参数：机箱结构为2U标准机架式，适配42U标准机柜安装；处理器配置不低于2颗CPU，每颗不少于16核心，主频不低</w:t>
      </w:r>
      <w:r>
        <w:rPr>
          <w:rFonts w:hint="eastAsia" w:ascii="宋体" w:hAnsi="宋体" w:cs="宋体"/>
          <w:color w:val="000000"/>
          <w:szCs w:val="21"/>
          <w:highlight w:val="none"/>
        </w:rPr>
        <w:t xml:space="preserve">于2.5GHz，支持超线程技术及虚拟化扩展（Intel VT-x/VT-d或AMD-V）；内存容量不低于128GB DDR4 ECC RDIMM，支持多通道 interleaved 架构，可扩展至不低于512GB；系统盘配置不低于2块480GB企业级SSD，组建RAID 1镜像阵列保障操作系统安全；数据盘配置不低于4块2TB企业级SATA硬盘，支持RAID 0/1/5/10多种阵列模式；配置不低于4个千兆以太网电口，支持链路聚合与负载均衡；配置冗余电源模块（1+1），支持热插拔，保障7×24小时不间断运行。</w:t>
      </w:r>
      <w:r/>
    </w:p>
    <w:p>
      <w:pPr>
        <w:ind w:firstLine="420"/>
        <w:spacing w:line="440" w:lineRule="exact"/>
        <w:rPr>
          <w:rFonts w:hint="eastAsia" w:ascii="宋体" w:hAnsi="宋体" w:cs="宋体"/>
          <w:szCs w:val="21"/>
        </w:rPr>
      </w:pPr>
      <w:r>
        <w:rPr>
          <w:rFonts w:hint="eastAsia" w:ascii="宋体" w:hAnsi="宋体" w:cs="宋体"/>
          <w:color w:val="000000"/>
          <w:szCs w:val="21"/>
          <w:highlight w:val="none"/>
        </w:rPr>
        <w:t xml:space="preserve">（3）性能指标：MTBF（平均故障间隔时间）不低于</w:t>
      </w:r>
      <w:r>
        <w:rPr>
          <w:rFonts w:hint="eastAsia" w:ascii="宋体" w:hAnsi="宋体" w:cs="宋体"/>
          <w:color w:val="000000"/>
          <w:szCs w:val="21"/>
        </w:rPr>
        <w:t xml:space="preserve">4320小时；系统连续稳定运行时间不小于168小时（7天不间断）；支持不少于25个并发仿真用户的计算任务调度；潮流计算单次运算时间满足教学实时性要求（电网模拟计算规模不少于2000节点、5000条支路）；画面数据刷新周期不超过3秒。</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（4）系统支持：兼容主流工作站操作系统（如Windows Server 2019/2022、CentOS 7/8、Ubuntu Server 20.04/22.04等）；支持VMware vSphere、Hyper-V等主流虚拟化平台部署；具备BMC/IPMI远程管理功能，支持远程开关机、固件更新、硬件状态监控及故障告警；支持SNMP网络管理协议，可接入实训室统一网管平台。</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（5）扩展性与维护性：提供不低于2个PCIe 3.0/4.0扩展插槽，支持后续加装GPU加速卡或高速网卡；硬盘支持热插拔，便于在线维护更换；支持ECC内存纠错机制，降低长时间仿真运算中的数据错误风险；提供不低于3年原厂质保及固件升级服务。</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2. 教师工作站</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教师工作站为实训教学的核心操控终端，供教师进行调度仿真系统操作演示、实训任务下发、学生实训过程监控、实训成绩评定及课堂管理等工作。需满足教师同时运行调度仿真软件教学版、高级应用模块（潮流计算、短路计算、状态估计等）、传输网管软件及教学课件等多任务的流畅运行需求。</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（2）硬件配置参数：处理器不低于Intel Core i7或AMD Ryzen 7同等级处理器；内存容量不低于16GB DDR4；系统存储不低于1TB NVMe SSD，读写速度不低于2000MB/s；显示终端为27英寸高色域显示终端，分辨率不低于2560×1440（2K），色域覆盖不低于99% sRGB，支持低蓝光护眼模式；配置千兆以太网接口，支持有线网络连接；配置独立显卡或高性能集成显卡，支持双屏输出。</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（3）软件与功能要求：预装Windows 10/11 Professional 64位正版操作系统；支持安装并流畅运行调度系统仿真软件教学版（含SCADA监控、AGC/AVC仿真、DTS调度员培训等模块）；支持安装并运行高级应用模块（潮流计算、短路计算、状态估计等）；支持安装传输网管软件及配网自动化仿真平台客户端；具备多屏扩展能力，支持教师一边进行仿真操作演示，一边展示教学课件或监控学生端状态。</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教学管理功能：支持通过网络对学生工作站进行远程管控，包括远程开机/关机、屏幕广播、屏幕监控、文件分发、作业收集等课堂管理功能；支持教师端作为仿真系统的主控节点，向25个以上学生端同步下发仿真场景与实训任务；支持实训过程的录屏与回放功能，便于教学复盘。</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（5）接口与扩展：提供不低于4个USB接口（含USB 3.0）、HDMI/DisplayPort视频输出接口、千兆网口、音频输入输出接口；预留至少1个M.2插槽用于后续存储扩展。</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3. 学生工作站</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（1）设备概述：学生工作站为实训教学中学生进行仿真操作、编程练习、协议分析及实训报告撰写的主要终端设备，需满足20台学生工作站同时接入仿真系统并流畅运行各实训模块客户端软件的需求。</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（2）硬件配置参数：处理器不低于Intel Core i5或AMD Ryzen 5同等级处理器；内存容量不低于16GB DDR4；系统存储不低于512GB NVMe SSD；显示终端为24英寸显示终端，分辨率不低于1920×1080（Full HD），支持低蓝光护眼模式；配置千兆以太网接口；配置集成显卡即可满足仿真软件显示需求。</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（3）软件与功能要求：预装Windows 10/11 Professional 64位正版操作系统；支持安装并运行调度系统仿真软件教学版客户端、配网自动化仿真平台客户端、虚拟仿真平台客户端等实训软件；支持安装Python、Matlab等开发环境，满足新能源并网算法开发实训需求；支持安装IEC 61850协议分析工具、网络抓包工具（如Wireshark）等协议分析软件。</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（4）性能要求：在20台工作站同时接入仿真系统的满载情况下，各客户端画面数据刷新周期不超过3秒，操作响应延迟不超过1秒；支持多任务并行运行（仿真客户端+浏览器+办公软件），系统不出现卡顿或崩溃。</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（5）接口与扩展：提供不低于4个USB接口（含USB 3.0）、HDMI/VGA视频输出接口、千兆网口、音频接口；预留存储扩展能力，便于后续扩容。</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4. 核心千兆交换机</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核心千兆交换机为实训室内部网络的核心数据交换设备，承担调度仿真系统、配网自动化系统、虚拟仿真平台及所有工作站之间的高速数据交换任务。需满足20台学生工作站、教师工作站、工作站集群及各实训设备的高并发、低延迟数据通信需求，同时支撑电力通信规约转换实验箱、光传输平台等通信设备的网络接入。</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（2）端口配置：配置不低于24个10/100/1000Mbps自适应千兆电口；提供不低于4个千兆SFP光口（combo复用或独立），支持光纤上联至光骨干网传输平台或连接远距离设备；所有端口支持自协商、自动翻转（Auto MDI-X）。</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（3）交换性能：交换容量不低于56Gbps；包转发率不低于42Mpps；支持不低于8K条MAC地址表项；支持不低于4K条VLAN条目；支持Jumbo Frame（巨型帧）不低于9216字节，满足大数据量仿真传输需求。</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（4）二层/三层功能：支持IEEE 802.1Q VLAN划分，支持基于端口的VLAN和基于协议的VLAN；支持STP/RSTP/MSTP生成树协议，防止网络环路；支持端口镜像（Port Mirroring），便于教学过程中进行网络流量抓包分析；支持链路聚合（Link Aggregation/LACP），提升上联带宽和链路冗余；支持IGMP Snooping组播优化，适应仿真系统多播数据分发场景。</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管理与安全：支持Web网管、SNMP网管、CLI命令行管理等多种管理方式；支持端口安全、MAC地址绑定、802.1X认证等安全策略；支持QoS服务质量策略，支持基于端口/VLAN/IP/MAC的流量优先级调度，保障仿真数据流的传输优先级；支持ACL访问控制列表，实现细粒度的网络流量管控。</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（6）教学适配性：VLAN划分功能可支撑IP网络与交换实训课程中的虚拟局域网配置实验；端口镜像功能可配合Wireshark等工具进行网络协议分析与流量监测实训；生成树协议功能可支撑网络冗余与可靠性实训教学。</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5. 42U机柜</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42U标准机柜用于集中安装和存放主工作站、核心交换机、EPS电源、配线架等实训室核心设备，提供物理安全防护、电磁屏蔽、散热管理及线缆整理等功能，保障实训室核心设备的安全稳定运行。配置数量2台。</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结构参数：标准19英寸机柜，高度42U（约2000mm×600mm×800mm或1000mm）；承重能力不低于500kg；前后网孔门设计，通风率不低于65%，保障设备散热；侧板可拆卸，便于设备安装和维护；顶部配置散热风扇单元（不低于4风扇），支持温度自动控制转速。</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（3）配电系统：每台机柜配置不少于2条PDU（电源分配单元），每条PDU不低于8位10A国标插孔，支持机柜内设备的可靠供电；PDU支持过载保护和防雷浪涌保护；支持PDU横装或竖装，不占用标准U位空间。</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（4）附件配置：含不低于2块固定托盘和1块滑动托盘，用于安装非标准设备；含理线架/理线槽，支持机柜内部线缆的有序管理；含接地端子，支持可靠接地保护。</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（5）防护与安全：前后门支持钥匙锁或密码锁，防止非授权人员操作；支持安装环境监控传感器（温度、湿度、水浸、门禁等），可接入网管系统进行远程监控。</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6. EPS</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（1）设备概述：EPS（应急电源）为实训室核心设备（工作站、核心交换机等）提供不间断电力保障，防止因市电波动、断电等突发情况导致仿真数据丢失、设备损坏或实训中断，保障教学活动的连续性。</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（2）容量与延时：额定容量不低于6kVA/5.4kW（功率因数不低于0.9）；满载条件下延时时间不低于15分钟；支持外接电池包扩展延时，满足更长时间断电保护需求。</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输入输出参数：输入电压范围110300VAC（宽幅输入），频率4565Hz自适应；输出电压220VAC±1%，输出频率50/60Hz±0.1Hz；输出波形为正弦波（在线式双变换拓扑），总谐波失真THD&lt;3%；支持不低于6路输出插座（含国标插座与IEC插座组合）。</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（4）拓扑与功能：采用在线式双变换（Double Conversion）拓扑结构，实现零切换时间（0ms），保障负载供电的连续性和纯净度；支持EPS状态LCD面板显示（输入/输出电压、负载率、电池容量、运行模式等）；支持USB/RS-232/网络远程监控接口，配合网管软件实现EPS状态远程监测与自动关机策略。</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（5）电池与维护：采用免维护铅酸蓄电池或锂电池，电池寿命不低于3年；支持电池自检功能和电池低电压保护；支持热更换电池模块，维护过程中不中断负载供电。</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（6）保护功能：具备过载保护、短路保护、过压保护、欠压保护、过温保护等全面保护机制；具备输入防雷击和浪涌保护能力。</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7. 厂站终端仿真装置</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厂站终端仿真装置为配网自动化运行实训的核心终端设备，模拟真实变电站/配电站的RTU（远程终端单元）和FTU（馈线终端单元）功能，支撑“主站—通信—终端”三层架构中的终端层实训。学生通过该装置可完成遥测、遥信、遥控三遥功能的配置与调试，掌握104规约通信联调、终端参数配置等核心技能。配置数量4套。</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基本功能：支持RTU和FTU两种工作模式切换，可模拟变电站RTU或配电线路FTU的运行特性；支持遥测功能，模拟不低于16路模拟量采集（交流电压、电流、功率、频率等），采集精度不低于0.5级；支持遥信功能，模拟不低于32路状态量采集（开关位置、告警信号等），支持SOE（事件顺序记录）功能，分辨率不低于1ms；支持遥控功能，模拟不低于8路遥控输出（断路器分合闸、隔离开关操作等），支持遥控选择-执行-确认的完整流程。</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（3）通信参数配置：支持IEC 60870-5-104（104规约）作为主站通信协议，支持与配网自动化仿真平台主站进行通信联调；通信参数可灵活配置，包括IP地址、端口号、公共地址（CA）、传输帧格式等；同时支持IEC 60870-5-101（101规约）串行通信模式，支持RS-232/RS-485接口；支持CDT循环传输规约。</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实训支撑能力：支持主站-子站104规约通信联调实训，学生可观察和分析104规约的U帧、S帧、I帧交互过程；支持遥测数据上送与主站显示对比实训，验证数据采集精度；支持遥控命令下发与执行反馈实训，验证遥控功能的完整性和可靠性；支持通信中断恢复、通道切换等异常场景模拟。</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接口配置：提供不低于2路10/100M以太网接口（支持104规约TCP/IP通信）；提供不低于2路RS-232接口和2路RS-485隔离接口（支持101/CDT规约串行通信）；提供USB配置接口，便于本地参数配置和固件升级；提供不低于16路模拟量输入端子、32路数字量输入端子和8路遥控输出端子。</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（6）性能指标：工作电源AC/DC 220V（支持交直流双供电）；整机功耗不超过50W；工作环境温度-10℃+55℃，相对湿度5%95%（无凝露）；装置外壳采用标准机箱结构，便于实验室桌面放置或机架安装。</w:t>
      </w:r>
      <w:r/>
    </w:p>
    <w:p>
      <w:pPr>
        <w:ind w:firstLine="422"/>
        <w:spacing w:line="440" w:lineRule="exact"/>
        <w:rPr>
          <w:rFonts w:hint="eastAsia" w:ascii="宋体" w:hAnsi="宋体" w:cs="宋体"/>
          <w:szCs w:val="21"/>
          <w:highlight w:val="none"/>
        </w:rPr>
      </w:pPr>
      <w:r>
        <w:rPr>
          <w:rFonts w:hint="eastAsia" w:ascii="宋体" w:hAnsi="宋体" w:cs="宋体"/>
          <w:b/>
          <w:color w:val="000000"/>
          <w:szCs w:val="21"/>
          <w:highlight w:val="none"/>
        </w:rPr>
        <w:t xml:space="preserve">8. 调度系统仿真软件（教学授权版）</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软件概述：调度系统仿真软件教学版是智能电网调度与电力通信综合实训模块的核心软件平台，完整模拟真实电网调度控制中心的SCADA/EMS系统功能，使学生能够在教学环境中体验和学习电网调度监控、遥信遥测采集、告警处理、报表生成等调度运行核心业务。软件采用教学授权模式，自带轻量化数据库，部署便捷，无需额外配置商用数据库。</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（2）核心功能模块：</w:t>
      </w:r>
      <w:r/>
    </w:p>
    <w:p>
      <w:pPr>
        <w:ind w:firstLine="420"/>
        <w:spacing w:line="440" w:lineRule="exact"/>
        <w:rPr>
          <w:rFonts w:hint="eastAsia" w:ascii="宋体" w:hAnsi="宋体" w:cs="宋体"/>
          <w:szCs w:val="21"/>
        </w:rPr>
      </w:pPr>
      <w:r>
        <w:rPr>
          <w:rFonts w:hint="eastAsia" w:ascii="宋体" w:hAnsi="宋体" w:cs="宋体"/>
          <w:color w:val="000000"/>
          <w:szCs w:val="21"/>
        </w:rPr>
        <w:t xml:space="preserve">SCADA监控模块：支持电网一次接线图的实时显示与动态刷新，刷新周期不超过3秒；支持遥测数据（电压、电流、功率、频率等）的实时采集与显示；支持遥信数据（开关位置、刀闸状态、保护动作信号等）的状态监视与变化告警；支持遥控操作的模拟下发与执行反馈；支持拓扑着色功能，根据不同电压等级以不同颜色显示电网拓扑；支持告警管理，包括越限告警、变位告警、通信异常告警等，支持告警分级和告警确认机制；支持历史数据查询与报表生成，支持导出Excel/CSV格式。</w:t>
      </w:r>
      <w:r/>
    </w:p>
    <w:p>
      <w:pPr>
        <w:ind w:firstLine="420"/>
        <w:spacing w:line="440" w:lineRule="exact"/>
        <w:rPr>
          <w:rFonts w:hint="eastAsia" w:ascii="宋体" w:hAnsi="宋体" w:cs="宋体"/>
          <w:szCs w:val="21"/>
        </w:rPr>
      </w:pPr>
      <w:r>
        <w:rPr>
          <w:rFonts w:hint="eastAsia" w:ascii="宋体" w:hAnsi="宋体" w:cs="宋体"/>
          <w:color w:val="000000"/>
          <w:szCs w:val="21"/>
        </w:rPr>
        <w:t xml:space="preserve">实时监控与预警模块：支持电网运行状态的实时监测与预警，包括线路过载预警、母线电压越限预警、变压器过载预警等；支持预警信息的多形式展示（声光告警、弹窗提示、短信/邮件通知接口）；支持预警事件的历史记录与统计分析。</w:t>
      </w:r>
      <w:r/>
    </w:p>
    <w:p>
      <w:pPr>
        <w:ind w:firstLine="420"/>
        <w:spacing w:line="440" w:lineRule="exact"/>
        <w:rPr>
          <w:rFonts w:hint="eastAsia" w:ascii="宋体" w:hAnsi="宋体" w:cs="宋体"/>
          <w:szCs w:val="21"/>
        </w:rPr>
      </w:pPr>
      <w:r>
        <w:rPr>
          <w:rFonts w:hint="eastAsia" w:ascii="宋体" w:hAnsi="宋体" w:cs="宋体"/>
          <w:color w:val="000000"/>
          <w:szCs w:val="21"/>
        </w:rPr>
        <w:t xml:space="preserve">调度计划模块：支持日/周/月调度计划的编制与管理；支持发电机组出力计划、负荷预测数据的录入与编辑；支持调度计划的执行跟踪与偏差分析；支持调度操作票的模拟填写与流程管理。</w:t>
      </w:r>
      <w:r/>
    </w:p>
    <w:p>
      <w:pPr>
        <w:ind w:firstLine="420"/>
        <w:spacing w:line="440" w:lineRule="exact"/>
        <w:rPr>
          <w:rFonts w:hint="eastAsia" w:ascii="宋体" w:hAnsi="宋体" w:cs="宋体"/>
          <w:szCs w:val="21"/>
        </w:rPr>
      </w:pPr>
      <w:r>
        <w:rPr>
          <w:rFonts w:hint="eastAsia" w:ascii="宋体" w:hAnsi="宋体" w:cs="宋体"/>
          <w:color w:val="000000"/>
          <w:szCs w:val="21"/>
        </w:rPr>
        <w:t xml:space="preserve">安全校核模块：支持调度操作的安全校核功能，在执行遥控操作前进行安全条件校验；支持防误闭锁逻辑校验，防止误操作；支持操作预演功能，在模拟环境中验证操作步骤的正确性。</w:t>
      </w:r>
      <w:r/>
    </w:p>
    <w:p>
      <w:pPr>
        <w:ind w:firstLine="420"/>
        <w:spacing w:line="440" w:lineRule="exact"/>
        <w:rPr>
          <w:rFonts w:hint="eastAsia" w:ascii="宋体" w:hAnsi="宋体" w:cs="宋体"/>
          <w:szCs w:val="21"/>
        </w:rPr>
      </w:pPr>
      <w:r>
        <w:rPr>
          <w:rFonts w:hint="eastAsia" w:ascii="宋体" w:hAnsi="宋体" w:cs="宋体"/>
          <w:color w:val="000000"/>
          <w:szCs w:val="21"/>
        </w:rPr>
        <w:t xml:space="preserve">调度管理模块：支持实训任务的下发、学生实训过程的监控与记录；支持教员控制功能，可设置故障场景、调整电网运行方式、注入扰动等；支持实训成绩的自动评定与导出。</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性能指标：并发用户数不少于25个，支持教师1个主控节点+学生24个操作节点同时在线；画面数据刷新周期不超过3秒；支持电网模拟规模不少于2000个节点、5000条支路；系统连续稳定运行时间不小于168小时；潮流计算收敛精度（标幺值）&lt;0.001。</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（4）二次开发与扩展能力：软件提供开放的数据接口（支持ODBC/JDBC数据库连接、RESTful API或文件接口），支持与第三方系统的数据交互；支持自定义电网接线图的导入与编辑（支持CAD格式或SVG格式图形导入）；支持自定义告警规则和报表模板的配置；支持后续版本的功能升级与模块扩展，提供教学版授权续期机制。</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（5）接口与集成：支持与IEC 61850、IEC 60870-5-104等标准规约的数据通信；支持与电力通信规约转换实验箱的对接，实现调度系统到通信终端的数据贯通；支持与虚拟仿真平台的电网数字孪生模型进行数据交互；提供数据导入/导出接口，支持CSV、Excel、XML等通用格式。</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9. 高级应用模块</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模块概述：高级应用模块是调度系统仿真软件的核心计算引擎扩展，包含潮流计算、短路计算、状态估计、AVC/AGC仿真、调度计划与安全分析等五大高级应用子系统，为调度自动化系统实训提供深层次的电网分析与计算支撑。该模块使学生能够理解和掌握电力系统高级分析方法的实际应用。</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潮流计算模块：支持基于牛顿-拉夫逊法、PQ分解法等经典算法的交直流潮流计算；支持辐射状、环网、多电压等级复杂电网的潮流求解；计算收敛精度（标幺值）&lt;0.001，潮流计算结果误差≤1.5%；支持电网模拟计算规模不少于2000个节点、5000条支路；单次潮流计算时间满足教学实时性要求；支持潮流计算结果的图形化展示（潮流分布图、电压剖面图、线路负载率图等）；支持N-1开断模拟与潮流转移分析；支持变压器分接头调整、发电机出力调整等参数修改后的快速重新计算。</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短路计算模块：支持三相短路、两相短路、两相接地短路、单相接地短路等四种对称与不对称短路故障的计算；支持基于阻抗矩阵法和等值网络法的短路电流计算；计算结果包括短路电流周期分量、非周期分量、冲击电流及短路容量；支持不同故障位置、不同故障过渡电阻的参数设置；计算结果可用于继电保护整定值的教学参考。</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状态估计模块：支持基于加权最小二乘法（WLS）的状态估计计算；利用SCADA系统采集的冗余量测数据，对电网运行状态进行最优估计；支持不良数据检测与辨识，自动识别和标记可疑量测数据；支持母线注入功率、线路潮流、母线电压幅值及相角等状态量的估计输出；估计结果精度优于原始量测数据精度，为后续高级应用提供更可靠的电网状态数据基础。</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AVC/AGC仿真模块：AVC（自动电压控制）仿真：支持无功电压优化控制策略的仿真，包括电容器投切、变压器分接头调节、发电机无功出力调整等控制手段的模拟；支持区域电压-无功协调控制策略的教学演示。AGC（自动发电控制/频率控制）仿真：支持负荷频率控制（LFC）的仿真，模拟发电机一次调频和二次调频过程；支持区域控制偏差（ACE）的计算与显示；支持负荷扰动下系统频率变化的动态过程仿真；支持经济调度（ED）的简化仿真。</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调度计划与安全分析模块：支持机组组合（UC）的简化教学仿真；支持输电断面潮流安全限额的设定与监视；支持静态安全分析（SA），模拟预想故障集下的系统安全状态评估；支持电压稳定分析和暂态稳定分析的简化教学演示。</w:t>
      </w:r>
      <w:r/>
    </w:p>
    <w:p>
      <w:pPr>
        <w:ind w:firstLine="420"/>
        <w:spacing w:line="440" w:lineRule="exact"/>
        <w:rPr>
          <w:rFonts w:hint="eastAsia" w:ascii="宋体" w:hAnsi="宋体" w:cs="宋体"/>
          <w:szCs w:val="21"/>
        </w:rPr>
      </w:pPr>
      <w:r>
        <w:rPr>
          <w:rFonts w:hint="eastAsia" w:ascii="宋体" w:hAnsi="宋体" w:cs="宋体"/>
          <w:color w:val="000000"/>
          <w:szCs w:val="21"/>
        </w:rPr>
        <w:t xml:space="preserve">（7）二次开发与扩展：各计算模块提供独立的API调用接口，支持Python/Matlab脚本调用进行自定义计算分析；支持计算结果的数据导出（CSV/Excel格式），便于学生进行后续数据分析与论文撰写；支持自定义电网模型参数的导入，便于教师设计不同的教学场景。</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10. OTDR光时域分析仪</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OTDR光时域分析仪是光通信接入与测试实训的核心测试仪器，用于光纤链路的性能测试、故障定位及日常维护。该设备集成多种光测试功能于一体，支撑学生在光通信实训中完成光纤链路质量评估、断点定位、接头损耗测试等实操训练。</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核心测试参数：测试波长支持1310nm和1550nm双波长，覆盖单模光纤的主要工作窗口；1310nm通道动态范围不低于32dB，1550nm通道动态范围不低于30dB，满足0~120km范围内光纤链路的测试需求；最高测距分辨率不低于0.05m，可精确定位近距离内的光纤事件点；事件盲区（衰减盲区）不大于2m，满足短距离光纤跳线和配线架的测试需求；距离精度不低于±(1m+0.01%×实测距离)；采样点数不低于100,000点，确保测试曲线的精细度。</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（3）脉冲宽度设置：支持多种脉冲宽度可选（不低于10ns/30ns/100ns/300ns/1μs/10μs），短脉冲用于近距离高分辨率测试，长脉冲用于远距离大量程测试，学生可根据不同实训场景灵活选择。</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集成功能：设备集成五大测试功能于一体：OTDR光纤测试功能（光纤长度测量、接头损耗测量、回波损耗测量、光纤链路事件表自动生成）；光功率计功能（支持1310/1550nm波长光功率测量，测量范围不低于-70~+10dBm）；稳定光源功能（支持1310/1550nm双波长连续光输出，用于光纤链路衰减的对向测试）；红光笔（VFL）功能（可见红光输出，用于光纤通断快速检查和短距离故障定位）；网线测试功能（支持UTP/STP网线的通断测试、线序检查和长度估算）。</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数据存储与接口：内置不低于4GB存储空间，可存储大量测试曲线和测试报告；支持USB接口导出测试数据；支持LCD触摸屏操作，实时显示测试曲线和事件分析表；支持测试报告的自动生成与导出（PDF/CSV格式）。</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教学适配性：通过OTDR实训，学生可掌握光纤链路的质量评估方法、光纤接头和熔接点的损耗测试方法、光纤断点的精确定位方法，以及光通信线路的日常维护技能；集成的多功能设计减少了实训室设备种类，提高了设备利用率。</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11. 光骨干网传输平台</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光骨干网传输平台是电力通信光传输实训的核心设备，模拟真实电力通信骨干网中的SDH/MSTP光传输设备，支撑学生完成OTN/PTN设备组网、业务配置、保护倒换及故障排查等实训内容。该平台采用教学级设计，在保留真实设备核心功能的基础上，适配实验室桌面部署和教学演示需求。</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（2）硬件配置：</w:t>
      </w:r>
      <w:r>
        <w:rPr>
          <w:rFonts w:hint="eastAsia" w:ascii="宋体" w:hAnsi="宋体" w:cs="宋体"/>
          <w:color w:val="000000"/>
          <w:szCs w:val="21"/>
          <w:highlight w:val="none"/>
        </w:rPr>
        <w:t xml:space="preserve">主控板提供设备管理、时钟同步、交叉连接调度等核心控制功能；</w:t>
      </w:r>
      <w:r>
        <w:rPr>
          <w:rFonts w:hint="eastAsia" w:ascii="宋体" w:hAnsi="宋体" w:cs="宋体"/>
          <w:color w:val="000000"/>
          <w:szCs w:val="21"/>
        </w:rPr>
        <w:t xml:space="preserve">光接口板配置不低于2块STM-4光口板（2.5Gbps），工作波长1550nm，支持LC/SC光接口；电接口板配置不低于16路E1接口（2.048Mbps，75Ω非平衡/120Ω平衡可切换）和不低于4路FE（快速以太网）接口（10/100M自适应，RJ-45接口）；客户侧带宽支持2M~100G灵活接入，满足不同业务颗粒度的接入需求。口</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协议支持：支持SDH（同步数字体系）协议，包括STM-1/STM-4信号的复用与解复用；支持MSTP（多业务传送平台）协议，支持以太网业务的二层交换和PPP/LAPS/GFP封装；支持以太网透传功能，将以太网帧透明映射到SDH虚容器中传输；支持E1仿真功能，实现TDM业务的端到端透明传输。</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保护与同步：支持SNCP（子网连接保护）、MSP（复用段保护）等光线路保护机制，支持1+1和1:1保护方式，保护倒换时间不超过50ms；支持SDH同步定时链路功能，支持外同步时钟接口（2MHz/2Mbps），支持线路时钟、内部时钟、外部时钟三种时钟源切换。</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网管功能：配套传输网管软件（教学授权），支持SDH/MSTP网络的端到端管理；支持网元配置管理（板卡配置、端口配置、时隙配置）；支持拓扑自动发现和图形化网络管理；支持告警管理（紧急告警、主要告警、次要告警、提示告警四级告警）；支持性能监测（误码率、光功率、温度等）；支持SNMP、CORBA、XML、FTP等管理协议。</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实训支撑能力：支撑OTN/PTN设备组网实训，学生可完成点对点、链型、环型等多种组网拓扑的搭建；支撑业务配置实训，学生可完成E1业务、以太网业务、STM光口业务的端到端配置；支撑保护倒换实训，学生可模拟光纤中断场景，观察SNCP/MSP保护的自动倒换过程；支撑故障排查实训，教师可设置光功率异常、误码率超标等故障，学生利用OTDR等仪器进行故障定位和排除。</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12. 电力通信规约转换实验箱</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电力通信规约转换实验箱是电力通信协议实训的核心设备，支持多种电力通信规约的解析、转换与测试，使学生能够深入理解不同规约的报文结构、通信机制和应用场景，掌握规约配置、报文分析、主从站通信联调等核心技能。</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（2）支持规约：支持不低于8种电力通</w:t>
      </w:r>
      <w:r>
        <w:rPr>
          <w:rFonts w:hint="eastAsia" w:ascii="宋体" w:hAnsi="宋体" w:cs="宋体"/>
          <w:color w:val="000000"/>
          <w:szCs w:val="21"/>
        </w:rPr>
        <w:t xml:space="preserve">信规约的解析与转换，包括：IEC 61850（变电站通信网络和系统国际标准）；IEC 60870-5-101（串行通信的远动设备和系统标准）；IEC 60870-5-103（继电保护设备信息接口标准）；IEC 60870-5-104（基于TCP/IP网络的远动通信标准）；CDT（循环式远动规约，国内电力行业传统规约）；DNP3.0（分布式网络协议，北美电力行业常用规约）；Modbus RTU（串行通信的工业控制协议）；Modbus TCP（基于以太网的工业控制协议）；DL/T645（多功能电能表通信协议）。</w:t>
      </w:r>
      <w:r/>
    </w:p>
    <w:p>
      <w:pPr>
        <w:ind w:firstLine="420"/>
        <w:spacing w:line="440" w:lineRule="exact"/>
        <w:rPr>
          <w:rFonts w:hint="eastAsia" w:ascii="宋体" w:hAnsi="宋体" w:cs="宋体"/>
          <w:szCs w:val="21"/>
        </w:rPr>
      </w:pPr>
      <w:r>
        <w:rPr>
          <w:rFonts w:hint="eastAsia" w:ascii="宋体" w:hAnsi="宋体" w:cs="宋体"/>
          <w:color w:val="000000"/>
          <w:szCs w:val="21"/>
          <w:highlight w:val="none"/>
        </w:rPr>
        <w:t xml:space="preserve">（3）硬件配置：处理器主频不低于800MHz，工业级ARM处理器，保障多规约并行处理的实时性；内存配置512MB DDR运行内存和512MB Flash闪存，支持规约程序存储和运行数据缓存；通信接口配置不低于4路隔离RS-232/RS-485串行接口（接口</w:t>
      </w:r>
      <w:r>
        <w:rPr>
          <w:rFonts w:hint="eastAsia" w:ascii="宋体" w:hAnsi="宋体" w:cs="宋体"/>
          <w:color w:val="000000"/>
          <w:szCs w:val="21"/>
        </w:rPr>
        <w:t xml:space="preserve">隔离电压不低于2500V，防止设备间地电位差损坏）；配置不低于2路10/100M以太网接口；配置1路USB接口用于本地配置和数据导出。</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（4）核心功能：主站/从站模拟功能——可配置为任意规约的主站或</w:t>
      </w:r>
      <w:r>
        <w:rPr>
          <w:rFonts w:hint="eastAsia" w:ascii="宋体" w:hAnsi="宋体" w:cs="宋体"/>
          <w:color w:val="000000"/>
          <w:szCs w:val="21"/>
        </w:rPr>
        <w:t xml:space="preserve">从站模式，模拟调度主站下发遥控命令或模拟终端上送遥测遥信数据；报文捕获与解析功能——实时捕获通信链路上的规约报文，以结构化方式显示报文帧格式、控制域、地址域、数据域及校验码，支持逐字段解析，便于学生理解规约报文结构；规约转换功能——支持不同规约之间的实时转换（如101转104、Modbus转IEC 61850等），转换延时不超过100ms；故障模拟功能——可模拟通信中断、报文错误、CRC校验错误、超时等故障场景，用于训练学生的故障排查能力；数据转发功能——支持将一路输入数据同时转发至多路输出，实现数据分发。</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软件与配置：提供基于Web或PC客户端的配置管理软件，支持规约参数的图形化配置（包括站地址、信息对象地址、传输速率、超时时间等）；支持报文模板编辑，学生可自定义测试报文进行发送测试；支持报文日志的存储与导出（CSV/文本格式），便于课后分析。</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（6）教学适配性：支撑IEC 61850协议认知与解析实训，学生可观察MMS报文的ACSI映射过程；支撑104规约通信实训，学生可完成主站与子站的通信建链、数据传输、心跳维护等操作；支撑规约对比分析实训，学生可对比不同规约的报文结构和通信效率；支撑电力通信网络安全实训，结合防火墙和入侵检测设备进行安全策略验证。</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13. 软件及教学资源包</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资源包概述：软件及教学资源包为实训室三大实训模块的配套教学资源集合，包含实训指导书、操作手册、教学课件、典型事故案例库等数字化教学资源，为教师教学和学生实训提供系统化的教学支撑材料。</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实训指导书：针对三大实训模块分别编制配套实训指导书，覆盖实训室全部实训项目。每本指导书包含实训目的与要求、实训原理概述、实训设备与软件说明、实训步骤详解、注意事项与安全提示、思考题与拓展任务等内容。指导书采用PDF电子版和纸质版双形式提供，便于课堂教学和学生自主学习。</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操作手册：针对调度系统仿真软件教学版、高级应用模块、配网自动化仿真平台、虚拟仿真平台、传输网管软件等核心软件，分别编制详细的操作手册。操作手册包含软件安装与配置指南、功能模块操作说明、典型操作流程演示、常见问题解答（FAQ）等内容，帮助学生快速掌握软件操作方法。</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教学课件：针对每个实训项目编制配套教学课件（PPT格式），包含实训知识点讲解、系统原理图示、操作步骤演示、案例分析等内容，便于教师课堂授课使用。课件数量覆盖全部实训项目，每个实训项目不少于1课时课件。</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典型事故案例库框架：提供电力调度与配网运行领域的典型事故案例库框架，包含不少于20个典型案例。每个案例包含事故背景描述、事故原因分析、处置过程还原、经验教训总结、关联知识点标注等内容。案例库支持后续持续扩充更新，教师可根据教学需要自行添加新案例。</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（6）其他资源：提供设备连接拓扑图和接线示意图，便于实训室环境搭建；提供各设备的快速入门指南（Quick Start Guide）；提供实训考核题库框架（含选择题、判断题、操作题等题型），便于教师组织实训考核。</w:t>
      </w:r>
      <w:r/>
    </w:p>
    <w:p>
      <w:pPr>
        <w:ind w:firstLine="420"/>
        <w:spacing w:line="440" w:lineRule="exact"/>
        <w:rPr>
          <w:rFonts w:hint="eastAsia" w:ascii="宋体" w:hAnsi="宋体" w:cs="宋体"/>
          <w:szCs w:val="21"/>
        </w:rPr>
      </w:pPr>
      <w:r>
        <w:rPr>
          <w:rFonts w:hint="eastAsia" w:ascii="宋体" w:hAnsi="宋体" w:cs="宋体"/>
          <w:color w:val="000000"/>
          <w:szCs w:val="21"/>
        </w:rPr>
        <w:t xml:space="preserve">（7）更新与维护：所有教学资源提供不低于3年的免费更新服务，包括软件版本升级配套资料更新、新增实训项目资料补充等；资源通过在线平台（网盘或教学平台）分发，支持教师随时下载最新版本。</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14. 虚拟仿真平台</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平台概述：虚拟仿真平台是贯穿三大实训模块的基础软件支撑平台，提供电网数字孪生仿真、通信网络仿真及电网-通信联合仿真能力，为调度仿真、配网仿真和新能源并网仿真提供统一的仿真运行环境。平台开放API接口，支持第三方算法集成和二次开发，满足教学深化和科研拓展的双重需求。</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电网数字孪生仿真：支持构建电网的高精度数字孪生模型，涵盖发电、输电、变电、配电、用电各环节的建模与仿真；支持不少于2000个节点、5000条支路的电网拓扑建模与动态仿真；支持不少于3个电压等级（110kV/10kV/0.4kV）的配电网建模；支持不少于10条馈线的配电网仿真；仿真模型包含变压器、线路、断路器、隔离开关、负荷、分布式电源等主要电力元件的精确数学模型；支持电网拓扑的图形化编辑与导入（支持CIM/E格式或自定义格式导入）。</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（3）通信网络仿真：支持IEC 61850和IEC 60870-5-104协议的仿真模拟，可模拟变电站内IED设备之间的MMS通信过程以及主站与子站之间的104规约通信过程；支持通信网络时延、丢包率、带宽等网络参数的可配置仿真；支持SDH/MSTP光传输网络的仿真建模，与实际光骨干网传输平台形成虚实结合的仿真环境。</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电网-通信联合仿真：支持电网运行仿真与通信网络仿真的时间同步与数据交互；可模拟通信延迟、通信中断等网络异常对电网调度控制的影响；支撑新能源并网场景下的电网-通信联合仿真，分析通信系统性能对新能源并网控制策略的影响。</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（5）开放API与二次开发：提供基于Python/C++的API接口库，支持用户自定义仿真模型、仿真场景和控制策略的开发；支持与Matlab/Simulink环境联合仿真（提供S-Function或MATLAB Engine接口），便于学生利用Matlab丰富的工具箱进行算法开发；支持与第三方优化求解器（如Gurobi、CPLEX等）的集成，支撑新能源并网优化调度等高级算法的验证；API接口文档完整，包含接口说明、调用示例和入门教程。</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性能指标：仿真步长可配置（最小不低于1ms），支持机电暂态和准稳态多时间尺度仿真；仿真计算精度满足教学需求，新能源并网功率误差≤2%；支持实时仿真和超速仿真两种运行模式；平台连续稳定运行时间不小于168小时。</w:t>
      </w:r>
      <w:r/>
    </w:p>
    <w:p>
      <w:pPr>
        <w:ind w:firstLine="420"/>
        <w:spacing w:line="440" w:lineRule="exact"/>
        <w:rPr>
          <w:rFonts w:hint="eastAsia" w:ascii="宋体" w:hAnsi="宋体" w:cs="宋体"/>
          <w:szCs w:val="21"/>
        </w:rPr>
      </w:pPr>
      <w:r>
        <w:rPr>
          <w:rFonts w:hint="eastAsia" w:ascii="宋体" w:hAnsi="宋体" w:cs="宋体"/>
          <w:color w:val="000000"/>
          <w:szCs w:val="21"/>
        </w:rPr>
        <w:t xml:space="preserve">（7）扩展与升级：平台支持模块化扩展，可根据教学需要增加新的仿真模块（如电磁暂态仿真、继电保护仿真等）；支持仿真场景库的持续扩充，教师可将自编场景纳入场景库供学生调用；平台软件提供不低于3年的免费版本升级服务。</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15. 传输网管（教学授权）</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软件概述：传输网管软件为光骨干网传输平台的配套管理系统，提供SDH/MSTP光传输网络的端到端集中管理功能，采用教学授权模式。通过该软件，学生可学习和掌握传输网络的专业运维管理方法，包括网元配置、业务开通、告警处理、性能监测等核心运维技能。</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网元管理功能：支持光骨干网传输平台所有网元的接入与管理；支持网元拓扑的自动发现与图形化显示，以直观的网络拓扑图呈现全网设备连接关系；支持网元板卡配置管理，包括板卡在位检测、端口状态查询、板卡参数配置；支持网元时钟同步管理，监控各网元时钟源状态和同步质量；支持网元软件版本的查询与远程升级。</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业务管理功能：支持SDH/MSTP业务的端到端配置与开通，包括E1电路业务、以太网业务、STM光口业务的端到端时隙配置和带宽分配；支持业务的图形化配置界面，学生可通过拖拽方式完成业务路由的配置；支持保护子网的配置与管理（SNCP/MSP保护组的创建和维护）；支持VLAN配置和以太网二层交换功能的管理。</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告警管理功能：支持四级告警管理（紧急告警、主要告警、次要告警、提示告警），告警信息包含告警类型、发生时间、关联网元和端口、告警原因描述等；支持告警的实时推送和历史告警查询；支持告警声音提示和告警统计报表生成；支持告警关联分析，帮助学生理解告警之间的因果关系。</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性能监测功能：支持光接口性能监测（发送光功率、接收光功率、偏置电流等）；支持E1接口性能监测（误码秒、严重误码秒等）；支持以太网接口性能监测（流量统计、帧错误率等）；支持性能数据的图形化展示和趋势分析；支持性能数据的导出（CSV格式），便于学生进行数据分析实训。</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管理协议支持：支持SNMP（简单网络管理协议）v1/v2c/v3，可接入上层综合网管平台；支持CORBA（公共对象请求代理接口），支持跨平台网元管理集成；支持XML数据接口，便于与第三方系统的数据交互；支持FTP/SFTP文件传输，便于配置数据和日志文件的导出。</w:t>
      </w:r>
      <w:r/>
    </w:p>
    <w:p>
      <w:pPr>
        <w:ind w:firstLine="420"/>
        <w:spacing w:line="440" w:lineRule="exact"/>
        <w:rPr>
          <w:rFonts w:hint="eastAsia" w:ascii="宋体" w:hAnsi="宋体" w:cs="宋体"/>
          <w:szCs w:val="21"/>
        </w:rPr>
      </w:pPr>
      <w:r>
        <w:rPr>
          <w:rFonts w:hint="eastAsia" w:ascii="宋体" w:hAnsi="宋体" w:cs="宋体"/>
          <w:color w:val="000000"/>
          <w:szCs w:val="21"/>
        </w:rPr>
        <w:t xml:space="preserve">（7）教学适配性：网管软件支持多用户教学授权，教师和学生可使用不同权限的账号登录，教师具有全网管理权限，学生具有受限的操作权限用于实训练习；支持操作日志记录，可追溯学生的操作过程用于实训评分；提供操作模拟模式，学生在模拟模式下的操作不影响实际设备运行。</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16. 模拟高压开关柜及配电终端仿真软件</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模拟高压开关柜为配网自动化运行实训提供真实的高压配电设备操作体验，采用KYN28A型中置式高压开关柜结构，内置真空断路器、隔离开关等模拟元件，配合配电终端仿真软件，使学生能够在安全的教学环境中学习和掌握高压配电设备的结构认知、倒闸操作和运维技能。</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开关柜结构参数：采用KYN28A-12型中置式金属铠装移开式开关柜标准结构，外形尺寸与真实设备一致（高度约2300mm，宽度约800mm，深度约1500mm）；柜体采用敷铝锌板折弯拼装，防护等级不低于IP4X；柜体结构包含母线室、断路器室、电缆室、继电器仪表室四个独立功能隔室，各隔室之间设置金属隔板。</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模拟元件配置：配置真空断路器模拟装置1台，模拟VS1/ZN63A型真空断路器，具备分合闸操作机构模拟，支持电动和手动操作方式，模拟断路器的分闸/合闸时间、弹跳时间等关键参数在合理范围内；配置隔离开关模拟装置，模拟进线隔离开关和出线隔离开关，具备明显的分合闸指示；配置电流互感器（CT）和电压互感器（PT）模拟装置，模拟二次侧信号输出；配置带电显示、接地开关等辅助模拟元件。</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配电终端仿真软件功能：配套配电终端仿真软件，模拟开关柜的二次控制回路和保护功能；支持开关柜一次接线图的实时显示，包括断路器、隔离开关、接地开关的状态显示以及电流、电压、功率等遥测数据的显示；支持断路器分合闸操作的模拟控制，操作过程具备防误闭锁逻辑校验（五防功能模拟）；支持保护功能的模拟配置，包括过流保护、速断保护、零序保护、过压/欠压保护等保护定值的设置；支持操作记录与事件日志的查询和导出。</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实训支撑能力：支撑10kV配电设备认知实训，学生可直观了解KYN28A开关柜的内部结构和各元件功能；支撑倒闸操作实训，学生可练习停电检修和送电投运的标准操作顺序（断路器-隔离开关的操作顺序、验电-接地-挂牌的安全流程）；支撑五防闭锁逻辑实训，学生可理解和验证防止误分误合断路器、防止带负荷拉合隔离开关等五防逻辑；支撑继电保护定值配置实训，学生可学习保护定值的计算方法和整定流程。</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（6）安全设计：模拟装置采用低压模拟高压的方式，确保教学操作安全；操作面板设置紧急停止按钮；具备操作权限管理功能，需教师授权后方可进行关键操作。</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17. 真实FTU/DTU终端</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真实FTU/DTU终端为工业级配电自动化终端设备，具备与真实配电网中部署的FTU（馈线终端单元）/DTU（配变终端单元）完全一致的功能和接口，用于配网自动化运行实训中的终端层实操训练。与厂站终端仿真装置不同，本设备为真实工业设备，使学生能够接触和掌握实际工程中使用的配电终端设备的配置与调试技能。</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基本功能：支持FTU功能模式，用于10kV馈线路段的运行监测与控制；支持DTU功能模式，用于配电站/开关站的多回路监测与控制；支持遥测功能，采集线路电压、电流、有功功率、无功功率、功率因数等模拟量，采集精度不低于0.5级；支持遥信功能，采集开关位置、储能状态、保护动作信号等状态量，支持SOE事件顺序记录，分辨率不低于1ms；支持遥控功能，输出断路器分合闸控制命令，支持遥控选择-执行-确认的完整流程。</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（3）通信协议支持：支持IEC 61850通信协议，可接入基于IEC 61850标准的配电自动化主站系统；支持DL/T 634.5-101（101规约）串行通信协议；支持DL/T 634.5-104（104规约）网络通信协议；支持DNP3.0协议（可选）。</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通信接口：配置光纤以太网接口（100M/1000M自适应），支持通过光纤与配网主站通信；配置EPON接口，支持无源光网络接入方式，适配配网EPON通信网络；配置无线4G/5G通信模块接口，支持通过无线公网与主站进行远程通信；配置RS-232/RS-485串行接口，支持本地调试和串行通信。多种通信接口的设计使学生能够了解和比较不同通信方式在配电自动化中的应用特点和适用场景。</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（5）环境适应性：工作温度范围-25℃~+70℃，满足户外配电箱安装环境；防护等级不低于IP54（安装在标准配电箱内时）；抗电磁干扰能力满足IEC 61000系列电磁兼容标准要求；整机功耗不超过30W。</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实训支撑能力：支撑真实终端设备认知实训，学生可了解工业级FTU/DTU的硬件结构、接口布局和安装方式；支撑终端参数配置实训，学生可通过本地或远程方式配置终端的通信参数（IP地址、端口号、规约类型、站地址等）；支撑主站-终端联调实训，学生可完成真实终端与配网自动化仿真平台主站的通信建链和数据交互；支撑多种通信方式对比实训，学生可比较光纤、EPON、4G/5G等不同通信方式的传输性能和可靠性。</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18. FA测试仪/故障模拟开关/配网自动化仿真系统软件</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设备概述：FA测试仪/故障模拟开关/配网自动化仿真系统软件是馈线自动化（FA）功能实训的核心设备与软件组合，集FA逻辑测试、故障模拟、配网自动化监控等功能于一体，支撑学生完成馈线自动化逻辑验证、故障场景模拟、配网故障处理全流程实训。</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FA逻辑组态功能：支持集中型和就地型两种馈线自动化模式的逻辑组态与配置；集中型FA支持基于主站的故障定位、隔离与非故障区段恢复逻辑的配置；就地型FA支持基于智能终端之间对等通信的电压-时间型、电流-时间型等就地 FA逻辑的配置；支持FA逻辑参数的灵活配置，包括过流定值、零序电流定值、重合闸时序参数（分闸延时、合闸延时、闭锁时间等）、故障判据参数等。</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故障模拟功能：支持不少于6类故障场景的模拟，包括：三相短路故障、两相短路故障、两相接地故障、单相接地故障（金属性接地和经过渡电阻接地）、断线故障、过负荷故障；故障位置可在线路上任意节点设置；故障过渡电阻可配置（0~1000Ω可调）；故障持续时间可配置；支持永久性故障和瞬时性故障的设定；支持多重故障的叠加模拟。</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终端设备参数配置：支持对FTU/DTU终端设备的运行参数进行配置，包括遥测系数、遥信防抖时间、遥控输出方式等；支持终端通信参数的配置，包括通信地址、波特率、规约类型等；支持故障定值的下发，包括过流保护定值、零序保护定值、重合闸参数等。</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配网自动化监控与仿真：支持配电网一次接线图的实时显示与监控；支持故障发生后的故障电流路径显示、故障区段标注和故障定位结果展示；支持FA动作过程的全流程回放，包括故障检测→故障定位→隔离开关操作→非故障区段恢复的完整过程；支持FA动作效果的统计分析，包括故障隔离时间、恢复供电时间、受影响用户数等指标。</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（6）测试报告功能：支持FA测试报告的自动生成，包含测试场景描述、测试参数设置、测试过程记录、测试结果分析和结论；报告支持PDF/Word格式导出，便于实训归档和成绩评定。</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19. FA逻辑组态工具/故障模拟软件</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（1）软件概述：FA逻辑组态工具/故障模拟软件为配网自动化仿真平台的配套软件工具，专注于馈线自动化逻辑的参数化配置和配网故障场景的精细化模拟，为FA功能实训提供灵活的逻辑编辑和故障注入能力。</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FA逻辑参数配置：支持过流保护定值的配置，包括启动电流值、动作时限、返回系数等参数；支持零序过流保护定值配置，用于小电流接地系统的单相接地故障检测；支持重合闸时序参数配置，包括一次重合闸延时、二次重合闸延时（用于二次重合闸型FA）、闭锁重合闸条件等；支持电压-时间型FA参数配置，包括X时限（故障检测时间）、Y时限（确认时间）、闭锁电压阈值等；支持电流-时间型FA参数配置，包括故障电流阈值和动作时间配合参数。</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故障类型模拟：支持相间短路故障模拟（三相短路和两相短路），可设置故障电流大小和故障位置；支持接地故障模拟（金属性接地和经高阻接地），可设置接地电阻值（0~1000Ω可调）和故障位置；支持断线故障模拟，可设置断线位置和断线后的负荷转移情况；支持过负荷故障模拟，可设置过负荷倍数和持续时间；支持母线故障模拟和变压器故障模拟。</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故障定位、隔离与恢复逻辑仿真：支持故障区段的自动定位，基于FTU/DTU上报的故障信息综合研判故障位置；支持故障隔离逻辑仿真，模拟FA系统自动下发隔离命令，控制相关开关分闸隔离故障区段；支持非故障区段恢复供电逻辑仿真，模拟通过联络开关合闸恢复非故障区段的供电；支持整个FA动作过程的时序分析和图形化展示。</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可视化与交互：提供图形化的FA逻辑编辑界面，支持通过流程图方式编辑FA控制逻辑；提供配网接线图上的故障注入界面，学生可通过点击线路节点快速设置故障参数；提供FA动作过程的动画演示功能，直观展示故障检测、隔离、恢复的全过程。</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数据管理：支持FA逻辑模板的保存与加载，便于教师预设多种FA方案供学生对比学习；支持故障模拟场景的保存与调用，便于建立标准化的故障实训案例库；支持实训数据的导出，便于学生进行实训报告撰写。</w:t>
      </w:r>
      <w:r/>
    </w:p>
    <w:p>
      <w:pPr>
        <w:ind w:firstLine="422"/>
        <w:spacing w:line="440" w:lineRule="exact"/>
        <w:rPr>
          <w:rFonts w:hint="eastAsia" w:ascii="宋体" w:hAnsi="宋体" w:cs="宋体"/>
          <w:szCs w:val="21"/>
        </w:rPr>
      </w:pPr>
      <w:r>
        <w:rPr>
          <w:rFonts w:hint="eastAsia" w:ascii="宋体" w:hAnsi="宋体" w:cs="宋体"/>
          <w:b/>
          <w:color w:val="000000"/>
          <w:szCs w:val="21"/>
        </w:rPr>
        <w:t xml:space="preserve">20. 新能源与储能并网仿真系统</w:t>
      </w:r>
      <w:r/>
    </w:p>
    <w:p>
      <w:pPr>
        <w:ind w:firstLine="420"/>
        <w:spacing w:line="440" w:lineRule="exact"/>
        <w:rPr>
          <w:rFonts w:hint="eastAsia" w:ascii="宋体" w:hAnsi="宋体" w:cs="宋体"/>
          <w:szCs w:val="21"/>
        </w:rPr>
      </w:pPr>
      <w:r>
        <w:rPr>
          <w:rFonts w:hint="eastAsia" w:ascii="宋体" w:hAnsi="宋体" w:cs="宋体"/>
          <w:color w:val="000000"/>
          <w:szCs w:val="21"/>
        </w:rPr>
        <w:t xml:space="preserve">（1）系统概述：新能源与储能并网仿真系统是新能源与储能并网仿真实训模块的核心软件平台，支持光伏发电、风力发电、储能系统的建模与仿真分析，以及新能源并网对电网运行影响的综合评估。系统开放API接口，支持Python/Matlab等开发环境，满足新能源功率预测、并网优化调度、储能协调控制等算法开发与验证的教学和科研需求。</w:t>
      </w:r>
      <w:r/>
    </w:p>
    <w:p>
      <w:pPr>
        <w:ind w:firstLine="420"/>
        <w:spacing w:line="440" w:lineRule="exact"/>
        <w:rPr>
          <w:rFonts w:hint="eastAsia" w:ascii="宋体" w:hAnsi="宋体" w:cs="宋体"/>
          <w:szCs w:val="21"/>
        </w:rPr>
      </w:pPr>
      <w:r>
        <w:rPr>
          <w:rFonts w:hint="eastAsia" w:ascii="宋体" w:hAnsi="宋体" w:cs="宋体"/>
          <w:color w:val="000000"/>
          <w:szCs w:val="21"/>
        </w:rPr>
        <w:t xml:space="preserve">（2）光伏发电系统建模与仿真：支持光伏电池/组件的数学模型建模，包括单二极管模型和双二极管模型；支持光伏阵列的串并联配置建模，考虑阴影遮挡和温度效应对输出特性的影响；支持MPPT（最大功率点跟踪）算法的仿真，内置P&amp;O（扰动观察法）、INC（电导增量法）等经典MPPT算法，支持用户自定义MPPT算法的集成；支持光伏发电系统的并网逆变器模型仿真，包括PWM控制策略和并网电流谐波分析；支持光照强度、温度等气象参数变化下的光伏发电功率动态仿真。</w:t>
      </w:r>
      <w:r/>
    </w:p>
    <w:p>
      <w:pPr>
        <w:ind w:firstLine="420"/>
        <w:spacing w:line="440" w:lineRule="exact"/>
        <w:rPr>
          <w:rFonts w:hint="eastAsia" w:ascii="宋体" w:hAnsi="宋体" w:cs="宋体"/>
          <w:szCs w:val="21"/>
        </w:rPr>
      </w:pPr>
      <w:r>
        <w:rPr>
          <w:rFonts w:hint="eastAsia" w:ascii="宋体" w:hAnsi="宋体" w:cs="宋体"/>
          <w:color w:val="000000"/>
          <w:szCs w:val="21"/>
        </w:rPr>
        <w:t xml:space="preserve">（3）风力发电系统建模与仿真：支持风力发电机组的气动模型、传动链模型和发电机模型的建模；支持双馈感应发电机（DFIG）和永磁同步发电机（PMSG）两种主流机型的仿真；支持风速模型（包括平均风速、阵风、渐变风、随机湍流等）的仿真；支持风力发电机组的功率曲线特性和切入/切出风速的模拟；支持变桨距控制和变速恒频控制策略的仿真。</w:t>
      </w:r>
      <w:r/>
    </w:p>
    <w:p>
      <w:pPr>
        <w:ind w:firstLine="420"/>
        <w:spacing w:line="440" w:lineRule="exact"/>
        <w:rPr>
          <w:rFonts w:hint="eastAsia" w:ascii="宋体" w:hAnsi="宋体" w:cs="宋体"/>
          <w:szCs w:val="21"/>
        </w:rPr>
      </w:pPr>
      <w:r>
        <w:rPr>
          <w:rFonts w:hint="eastAsia" w:ascii="宋体" w:hAnsi="宋体" w:cs="宋体"/>
          <w:color w:val="000000"/>
          <w:szCs w:val="21"/>
        </w:rPr>
        <w:t xml:space="preserve">（4）储能系统建模与仿真：支持锂电池、铅酸电池等常用电化学储能系统的等效电路模型建模；支持电池充放电管理（BMS）功能仿真，包括充放电电流限制、SOC（荷电状态）估算、过充过放保护等；支持储能系统的PCS（功率变换系统）模型仿真；支持储能系统的能量调度策略仿真，包括峰谷套利、负荷跟踪、频率调节等调度模式；支持多个储能单元的协调控制仿真。</w:t>
      </w:r>
      <w:r/>
    </w:p>
    <w:p>
      <w:pPr>
        <w:ind w:firstLine="420"/>
        <w:spacing w:line="440" w:lineRule="exact"/>
        <w:rPr>
          <w:rFonts w:hint="eastAsia" w:ascii="宋体" w:hAnsi="宋体" w:cs="宋体"/>
          <w:szCs w:val="21"/>
        </w:rPr>
      </w:pPr>
      <w:r>
        <w:rPr>
          <w:rFonts w:hint="eastAsia" w:ascii="宋体" w:hAnsi="宋体" w:cs="宋体"/>
          <w:color w:val="000000"/>
          <w:szCs w:val="21"/>
        </w:rPr>
        <w:t xml:space="preserve">（5）新能源并网运行仿真分析：支持新能源电站接入配电网后的潮流计算分析，评估并网对电网电压分布和线路负载率的影响；支持新能源出力波动对电网频率影响的仿真分析；支持新能源并网对电网无功功率和功率因数的影响分析；支持新能源渗透率变化对电网运行安全的影响评估；支持新能源并网的电能质量分析，包括电压波动、谐波含量等指标评估；新能源并网功率误差≤2%。</w:t>
      </w:r>
      <w:r/>
    </w:p>
    <w:p>
      <w:pPr>
        <w:ind w:firstLine="420"/>
        <w:spacing w:line="440" w:lineRule="exact"/>
        <w:rPr>
          <w:rFonts w:hint="eastAsia" w:ascii="宋体" w:hAnsi="宋体" w:cs="宋体"/>
          <w:szCs w:val="21"/>
        </w:rPr>
      </w:pPr>
      <w:r>
        <w:rPr>
          <w:rFonts w:hint="eastAsia" w:ascii="宋体" w:hAnsi="宋体" w:cs="宋体"/>
          <w:color w:val="000000"/>
          <w:szCs w:val="21"/>
        </w:rPr>
        <w:t xml:space="preserve">（6）控制模式仿真：支持离网运行模式仿真，采用V/f（电压/频率）控制策略，由储能系统或分布式电源建立独立的微电网电压和频率参考；支持并网运行模式仿真，采用PQ（有功/无功）控制策略，新能源电站按调度指令输出有功和无功功率；支持多模式兼容仿真，采用下垂控制（Droop Control）策略，实现多台分布式电源之间的功率合理分配和无缝模式切换。</w:t>
      </w:r>
      <w:r/>
    </w:p>
    <w:p>
      <w:pPr>
        <w:ind w:firstLine="420"/>
        <w:spacing w:line="440" w:lineRule="exact"/>
        <w:rPr>
          <w:rFonts w:hint="eastAsia" w:ascii="宋体" w:hAnsi="宋体" w:cs="宋体"/>
          <w:szCs w:val="21"/>
        </w:rPr>
      </w:pPr>
      <w:r>
        <w:rPr>
          <w:rFonts w:hint="eastAsia" w:ascii="宋体" w:hAnsi="宋体" w:cs="宋体"/>
          <w:color w:val="000000"/>
          <w:szCs w:val="21"/>
        </w:rPr>
        <w:t xml:space="preserve">（7）开放API与二次开发：提供基于Python的API接口库，支持用户自定义发电模型、控制策略和调度算法的开发与集成；提供Matlab/Simulink联合仿真接口（S-Function或MATLAB Engine），支持在Simulink环境中搭建自定义模型并与仿真系统进行联合仿真；支持第三方优化算法和人工智能算法的集成，便于学生开展新能源功率预测（基于机器学习的气象预测模型）、并网优化调度（基于优化理论的调度策略）等创新课题的研究；API接口文档完整，包含接口说明、示例代码和入门教程。</w:t>
      </w:r>
      <w:r/>
    </w:p>
    <w:p>
      <w:pPr>
        <w:ind w:firstLine="420"/>
        <w:spacing w:line="440" w:lineRule="exact"/>
        <w:rPr>
          <w:rFonts w:hint="eastAsia" w:ascii="宋体" w:hAnsi="宋体" w:cs="宋体"/>
          <w:szCs w:val="21"/>
        </w:rPr>
      </w:pPr>
      <w:r>
        <w:rPr>
          <w:rFonts w:hint="eastAsia" w:ascii="宋体" w:hAnsi="宋体" w:cs="宋体"/>
          <w:color w:val="000000"/>
          <w:szCs w:val="21"/>
        </w:rPr>
        <w:t xml:space="preserve">（8）实训支撑能力：支撑新能源发电系统认知与建模实训，学生可学习光伏和风电的发电原理并建立仿真模型；支撑光伏发电和风力发电并网仿真实训，学生可观察并网全过程和并网后的运行特性；支撑储能系统充放电管理与并网控制实训；支撑新能源并网对电网运行影响分析实训；支撑新能源功率预测算法开发与验证实训，学生可利用API接口开发基于历史数据的功率预测模型；支撑新能源与储能协同调度仿真实训，学生可设计和验证多种协同调度策略。</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972"/>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三、服务要求</w:t>
      </w:r>
      <w:r/>
    </w:p>
    <w:p>
      <w:pPr>
        <w:ind w:firstLine="420"/>
        <w:keepLines w:val="0"/>
        <w:keepNext w:val="0"/>
        <w:pageBreakBefore w:val="0"/>
        <w:spacing w:line="360" w:lineRule="auto"/>
        <w:widowControl w:val="off"/>
        <w:rPr>
          <w:rFonts w:hint="eastAsia" w:ascii="宋体" w:hAnsi="宋体" w:cs="宋体"/>
          <w:b/>
          <w:bCs/>
          <w:szCs w:val="21"/>
        </w:rPr>
      </w:pPr>
      <w:r/>
      <w:bookmarkStart w:id="32" w:name="OLE_LINK40"/>
      <w:r>
        <w:rPr>
          <w:rFonts w:hint="eastAsia" w:ascii="宋体" w:hAnsi="宋体" w:cs="宋体"/>
          <w:szCs w:val="21"/>
        </w:rPr>
        <w:t xml:space="preserve">★1、为推进校企合作共建实验实训室，供应商承诺中标后为学校提供配套投入，具体投入内容在签订合同前与学校按相关制度协商确定。</w:t>
      </w:r>
      <w:r>
        <w:rPr>
          <w:rFonts w:hint="eastAsia" w:ascii="宋体" w:hAnsi="宋体" w:cs="宋体"/>
          <w:b/>
          <w:bCs/>
          <w:szCs w:val="21"/>
        </w:rPr>
        <w:t xml:space="preserve">（提供承诺书并加盖公章，格式自拟。）</w:t>
      </w:r>
      <w:r/>
    </w:p>
    <w:p>
      <w:pPr>
        <w:ind w:firstLine="420"/>
        <w:keepLines w:val="0"/>
        <w:keepNext w:val="0"/>
        <w:pageBreakBefore w:val="0"/>
        <w:spacing w:line="360" w:lineRule="auto"/>
        <w:widowControl w:val="off"/>
        <w:rPr>
          <w:rFonts w:hint="eastAsia" w:ascii="宋体" w:hAnsi="宋体" w:cs="宋体"/>
          <w:szCs w:val="21"/>
          <w:lang w:val="zh-CN"/>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质保期3年，自验收合格次日起算。</w:t>
      </w:r>
      <w:r>
        <w:rPr>
          <w:rFonts w:hint="eastAsia" w:ascii="宋体" w:hAnsi="宋体" w:cs="宋体"/>
          <w:b/>
          <w:bCs/>
          <w:szCs w:val="21"/>
        </w:rPr>
        <w:t xml:space="preserve">（提供承诺书并加盖公章，格式自拟。）</w:t>
      </w:r>
      <w:r/>
    </w:p>
    <w:p>
      <w:pPr>
        <w:ind w:firstLine="420"/>
        <w:keepLines w:val="0"/>
        <w:keepNext w:val="0"/>
        <w:pageBreakBefore w:val="0"/>
        <w:spacing w:line="360" w:lineRule="auto"/>
        <w:widowControl w:val="off"/>
        <w:rPr>
          <w:rFonts w:hint="eastAsia" w:ascii="宋体" w:hAnsi="宋体" w:cs="宋体"/>
          <w:szCs w:val="21"/>
          <w:highlight w:val="none"/>
          <w:lang w:val="zh-CN"/>
        </w:rPr>
      </w:pPr>
      <w:r>
        <w:rPr>
          <w:rFonts w:hint="eastAsia" w:ascii="宋体" w:hAnsi="宋体" w:cs="宋体"/>
          <w:szCs w:val="21"/>
        </w:rPr>
        <w:t xml:space="preserve">3、</w:t>
      </w:r>
      <w:r>
        <w:rPr>
          <w:rFonts w:hint="eastAsia" w:ascii="宋体" w:hAnsi="宋体" w:cs="宋体"/>
          <w:szCs w:val="21"/>
          <w:highlight w:val="none"/>
          <w:lang w:val="zh-CN"/>
        </w:rPr>
        <w:t xml:space="preserve">售后技术服务要求：</w:t>
      </w:r>
      <w:bookmarkEnd w:id="32"/>
      <w:r>
        <w:rPr>
          <w:rFonts w:hint="eastAsia" w:ascii="宋体" w:hAnsi="宋体" w:cs="宋体"/>
          <w:szCs w:val="21"/>
          <w:highlight w:val="none"/>
          <w:lang w:val="zh-CN"/>
        </w:rPr>
        <w:t xml:space="preserve">接到故障通知后</w:t>
      </w:r>
      <w:r>
        <w:rPr>
          <w:rFonts w:hint="eastAsia" w:ascii="宋体" w:hAnsi="宋体" w:cs="宋体"/>
          <w:szCs w:val="21"/>
          <w:highlight w:val="none"/>
        </w:rPr>
        <w:t xml:space="preserve">3</w:t>
      </w:r>
      <w:r>
        <w:rPr>
          <w:rFonts w:hint="eastAsia" w:ascii="宋体" w:hAnsi="宋体" w:cs="宋体"/>
          <w:szCs w:val="21"/>
          <w:highlight w:val="none"/>
          <w:lang w:val="zh-CN"/>
        </w:rPr>
        <w:t xml:space="preserve">小时内作出答复，一般问题</w:t>
      </w:r>
      <w:r>
        <w:rPr>
          <w:rFonts w:hint="eastAsia" w:ascii="宋体" w:hAnsi="宋体" w:cs="宋体"/>
          <w:szCs w:val="21"/>
          <w:highlight w:val="none"/>
        </w:rPr>
        <w:t xml:space="preserve">24</w:t>
      </w:r>
      <w:r>
        <w:rPr>
          <w:rFonts w:hint="eastAsia" w:ascii="宋体" w:hAnsi="宋体" w:cs="宋体"/>
          <w:szCs w:val="21"/>
          <w:highlight w:val="none"/>
          <w:lang w:val="zh-CN"/>
        </w:rPr>
        <w:t xml:space="preserve">小时之内解决；若采购方有需求，</w:t>
      </w:r>
      <w:r>
        <w:rPr>
          <w:rFonts w:hint="eastAsia" w:ascii="宋体" w:hAnsi="宋体" w:cs="宋体"/>
          <w:szCs w:val="21"/>
          <w:highlight w:val="none"/>
        </w:rPr>
        <w:t xml:space="preserve">48</w:t>
      </w:r>
      <w:r>
        <w:rPr>
          <w:rFonts w:hint="eastAsia" w:ascii="宋体" w:hAnsi="宋体" w:cs="宋体"/>
          <w:szCs w:val="21"/>
          <w:highlight w:val="none"/>
          <w:lang w:val="zh-CN"/>
        </w:rPr>
        <w:t xml:space="preserve">小时内到达现场解决；若遇重大问题在</w:t>
      </w:r>
      <w:r>
        <w:rPr>
          <w:rFonts w:hint="eastAsia" w:ascii="宋体" w:hAnsi="宋体" w:cs="宋体"/>
          <w:szCs w:val="21"/>
          <w:highlight w:val="none"/>
        </w:rPr>
        <w:t xml:space="preserve">3</w:t>
      </w:r>
      <w:r>
        <w:rPr>
          <w:rFonts w:hint="eastAsia" w:ascii="宋体" w:hAnsi="宋体" w:cs="宋体"/>
          <w:szCs w:val="21"/>
          <w:highlight w:val="none"/>
          <w:lang w:val="zh-CN"/>
        </w:rPr>
        <w:t xml:space="preserve">天内解决。</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、技术培训服务</w:t>
      </w:r>
      <w:r/>
    </w:p>
    <w:p>
      <w:pPr>
        <w:ind w:firstLine="420"/>
        <w:keepLines w:val="0"/>
        <w:keepNext w:val="0"/>
        <w:pageBreakBefore w:val="0"/>
        <w:spacing w:line="360" w:lineRule="auto"/>
        <w:widowControl w:val="off"/>
        <w:rPr>
          <w:szCs w:val="21"/>
        </w:rPr>
      </w:pPr>
      <w:r>
        <w:rPr>
          <w:rFonts w:hint="eastAsia" w:ascii="宋体" w:hAnsi="宋体" w:cs="宋体"/>
          <w:color w:val="000000"/>
          <w:szCs w:val="21"/>
        </w:rPr>
        <w:t xml:space="preserve">供应商</w:t>
      </w:r>
      <w:r>
        <w:rPr>
          <w:rFonts w:ascii="宋体" w:hAnsi="宋体" w:cs="宋体"/>
          <w:color w:val="000000"/>
          <w:szCs w:val="21"/>
        </w:rPr>
        <w:t xml:space="preserve">须提供全面的技术培训服务，确保采购方教师能够独立操作、维护和管理全部设备及软件。</w:t>
      </w:r>
      <w:r/>
    </w:p>
    <w:p>
      <w:pPr>
        <w:ind w:firstLine="420"/>
        <w:keepLines w:val="0"/>
        <w:keepNext w:val="0"/>
        <w:pageBreakBefore w:val="0"/>
        <w:spacing w:line="360" w:lineRule="auto"/>
        <w:widowControl w:val="off"/>
        <w:rPr>
          <w:szCs w:val="21"/>
        </w:rPr>
      </w:pPr>
      <w:r>
        <w:rPr>
          <w:rFonts w:ascii="宋体" w:hAnsi="宋体" w:cs="宋体"/>
          <w:color w:val="000000"/>
          <w:szCs w:val="21"/>
        </w:rPr>
        <w:t xml:space="preserve">（1）</w:t>
      </w:r>
      <w:r>
        <w:rPr>
          <w:rFonts w:ascii="宋体" w:hAnsi="宋体" w:cs="宋体"/>
          <w:b/>
          <w:color w:val="000000"/>
          <w:szCs w:val="21"/>
        </w:rPr>
        <w:t xml:space="preserve">基础操作培训</w:t>
      </w:r>
      <w:r>
        <w:rPr>
          <w:rFonts w:ascii="宋体" w:hAnsi="宋体" w:cs="宋体"/>
          <w:color w:val="000000"/>
          <w:szCs w:val="21"/>
        </w:rPr>
        <w:t xml:space="preserve">：提供不少于40课时的现场培训，内容涵盖三大实训模块的设备操作、软件使用、日常维护及故障排查等。</w:t>
      </w:r>
      <w:r/>
    </w:p>
    <w:p>
      <w:pPr>
        <w:ind w:firstLine="420"/>
        <w:keepLines w:val="0"/>
        <w:keepNext w:val="0"/>
        <w:pageBreakBefore w:val="0"/>
        <w:spacing w:line="360" w:lineRule="auto"/>
        <w:widowControl w:val="off"/>
        <w:rPr>
          <w:szCs w:val="21"/>
        </w:rPr>
      </w:pPr>
      <w:r>
        <w:rPr>
          <w:rFonts w:ascii="宋体" w:hAnsi="宋体" w:cs="宋体"/>
          <w:color w:val="000000"/>
          <w:szCs w:val="21"/>
        </w:rPr>
        <w:t xml:space="preserve">（2）</w:t>
      </w:r>
      <w:r>
        <w:rPr>
          <w:rFonts w:ascii="宋体" w:hAnsi="宋体" w:cs="宋体"/>
          <w:b/>
          <w:color w:val="000000"/>
          <w:szCs w:val="21"/>
        </w:rPr>
        <w:t xml:space="preserve">课程教学培训</w:t>
      </w:r>
      <w:r>
        <w:rPr>
          <w:rFonts w:ascii="宋体" w:hAnsi="宋体" w:cs="宋体"/>
          <w:color w:val="000000"/>
          <w:szCs w:val="21"/>
        </w:rPr>
        <w:t xml:space="preserve">：针对《电网通信与调度实训》《智能配电集成与运维实训》《智能配网自动化综合实训》三门实训课程，提供不少于24课时的教学法培训，帮助教师将设备与课程教学深度融合。</w:t>
      </w:r>
      <w:r/>
    </w:p>
    <w:p>
      <w:pPr>
        <w:ind w:firstLine="420"/>
        <w:keepLines w:val="0"/>
        <w:keepNext w:val="0"/>
        <w:pageBreakBefore w:val="0"/>
        <w:spacing w:line="360" w:lineRule="auto"/>
        <w:widowControl w:val="off"/>
        <w:rPr>
          <w:szCs w:val="21"/>
        </w:rPr>
      </w:pPr>
      <w:r>
        <w:rPr>
          <w:rFonts w:ascii="宋体" w:hAnsi="宋体" w:cs="宋体"/>
          <w:color w:val="000000"/>
          <w:szCs w:val="21"/>
        </w:rPr>
        <w:t xml:space="preserve">（3）</w:t>
      </w:r>
      <w:r>
        <w:rPr>
          <w:rFonts w:ascii="宋体" w:hAnsi="宋体" w:cs="宋体"/>
          <w:b/>
          <w:color w:val="000000"/>
          <w:szCs w:val="21"/>
        </w:rPr>
        <w:t xml:space="preserve">高级应用培训</w:t>
      </w:r>
      <w:r>
        <w:rPr>
          <w:rFonts w:ascii="宋体" w:hAnsi="宋体" w:cs="宋体"/>
          <w:color w:val="000000"/>
          <w:szCs w:val="21"/>
        </w:rPr>
        <w:t xml:space="preserve">：针对系统二次开发、API接口调用、算法验证等高级功能，提供不少于16课时的专项培训。</w:t>
      </w:r>
      <w:r/>
    </w:p>
    <w:p>
      <w:pPr>
        <w:ind w:firstLine="420"/>
        <w:keepLines w:val="0"/>
        <w:keepNext w:val="0"/>
        <w:pageBreakBefore w:val="0"/>
        <w:spacing w:line="360" w:lineRule="auto"/>
        <w:widowControl w:val="off"/>
        <w:rPr>
          <w:szCs w:val="21"/>
        </w:rPr>
      </w:pPr>
      <w:r>
        <w:rPr>
          <w:rFonts w:ascii="宋体" w:hAnsi="宋体" w:cs="宋体"/>
          <w:color w:val="000000"/>
          <w:szCs w:val="21"/>
        </w:rPr>
        <w:t xml:space="preserve">（4）</w:t>
      </w:r>
      <w:r>
        <w:rPr>
          <w:rFonts w:ascii="宋体" w:hAnsi="宋体" w:cs="宋体"/>
          <w:b/>
          <w:color w:val="000000"/>
          <w:szCs w:val="21"/>
        </w:rPr>
        <w:t xml:space="preserve">培训资料</w:t>
      </w:r>
      <w:r>
        <w:rPr>
          <w:rFonts w:ascii="宋体" w:hAnsi="宋体" w:cs="宋体"/>
          <w:color w:val="000000"/>
          <w:szCs w:val="21"/>
        </w:rPr>
        <w:t xml:space="preserve">：</w:t>
      </w:r>
      <w:r>
        <w:rPr>
          <w:rFonts w:hint="eastAsia" w:ascii="宋体" w:hAnsi="宋体" w:cs="宋体"/>
          <w:color w:val="000000"/>
          <w:szCs w:val="21"/>
        </w:rPr>
        <w:t xml:space="preserve">供应商</w:t>
      </w:r>
      <w:r>
        <w:rPr>
          <w:rFonts w:ascii="宋体" w:hAnsi="宋体" w:cs="宋体"/>
          <w:color w:val="000000"/>
          <w:szCs w:val="21"/>
        </w:rPr>
        <w:t xml:space="preserve">须提供完整的培训教材、操作手册、视频教程等培训资料，并确保培训内容与实训项目相匹配。</w:t>
      </w:r>
      <w:r/>
    </w:p>
    <w:p>
      <w:pPr>
        <w:ind w:firstLine="420"/>
        <w:keepLines w:val="0"/>
        <w:keepNext w:val="0"/>
        <w:pageBreakBefore w:val="0"/>
        <w:spacing w:line="360" w:lineRule="auto"/>
        <w:widowControl w:val="off"/>
        <w:rPr>
          <w:rFonts w:hint="eastAsia" w:ascii="宋体" w:hAnsi="宋体" w:cs="宋体"/>
          <w:szCs w:val="21"/>
          <w:lang w:val="en-US" w:eastAsia="zh-CN"/>
        </w:rPr>
      </w:pPr>
      <w:r>
        <w:rPr>
          <w:rFonts w:hint="eastAsia" w:ascii="宋体" w:hAnsi="宋体" w:cs="宋体"/>
          <w:szCs w:val="21"/>
          <w:lang w:val="en-US" w:eastAsia="zh-CN"/>
        </w:rPr>
        <w:t xml:space="preserve">5、教学资源协同开发</w:t>
      </w:r>
      <w:r/>
    </w:p>
    <w:p>
      <w:pPr>
        <w:ind w:firstLine="420"/>
        <w:keepLines w:val="0"/>
        <w:keepNext w:val="0"/>
        <w:pageBreakBefore w:val="0"/>
        <w:spacing w:line="360" w:lineRule="auto"/>
        <w:widowControl w:val="off"/>
        <w:rPr>
          <w:szCs w:val="21"/>
        </w:rPr>
      </w:pPr>
      <w:r>
        <w:rPr>
          <w:rFonts w:hint="eastAsia" w:ascii="宋体" w:hAnsi="宋体" w:cs="宋体"/>
          <w:color w:val="000000"/>
          <w:szCs w:val="21"/>
        </w:rPr>
        <w:t xml:space="preserve">供应商</w:t>
      </w:r>
      <w:r>
        <w:rPr>
          <w:rFonts w:ascii="宋体" w:hAnsi="宋体" w:cs="宋体"/>
          <w:color w:val="000000"/>
          <w:szCs w:val="21"/>
        </w:rPr>
        <w:t xml:space="preserve">须协同采购方完成实训教学资源的开发工作。</w:t>
      </w:r>
      <w:r/>
    </w:p>
    <w:p>
      <w:pPr>
        <w:ind w:firstLine="420"/>
        <w:keepLines w:val="0"/>
        <w:keepNext w:val="0"/>
        <w:pageBreakBefore w:val="0"/>
        <w:spacing w:line="360" w:lineRule="auto"/>
        <w:widowControl w:val="off"/>
        <w:rPr>
          <w:szCs w:val="21"/>
        </w:rPr>
      </w:pPr>
      <w:r>
        <w:rPr>
          <w:rFonts w:ascii="宋体" w:hAnsi="宋体" w:cs="宋体"/>
          <w:color w:val="000000"/>
          <w:szCs w:val="21"/>
        </w:rPr>
        <w:t xml:space="preserve">（1）</w:t>
      </w:r>
      <w:r>
        <w:rPr>
          <w:rFonts w:ascii="宋体" w:hAnsi="宋体" w:cs="宋体"/>
          <w:b/>
          <w:color w:val="000000"/>
          <w:szCs w:val="21"/>
        </w:rPr>
        <w:t xml:space="preserve">教材开发</w:t>
      </w:r>
      <w:r>
        <w:rPr>
          <w:rFonts w:ascii="宋体" w:hAnsi="宋体" w:cs="宋体"/>
          <w:color w:val="000000"/>
          <w:szCs w:val="21"/>
        </w:rPr>
        <w:t xml:space="preserve">：</w:t>
      </w:r>
      <w:r>
        <w:rPr>
          <w:rFonts w:hint="eastAsia" w:ascii="宋体" w:hAnsi="宋体" w:cs="宋体"/>
          <w:color w:val="000000"/>
          <w:szCs w:val="21"/>
        </w:rPr>
        <w:t xml:space="preserve">供应商</w:t>
      </w:r>
      <w:r>
        <w:rPr>
          <w:rFonts w:ascii="宋体" w:hAnsi="宋体" w:cs="宋体"/>
          <w:color w:val="000000"/>
          <w:szCs w:val="21"/>
        </w:rPr>
        <w:t xml:space="preserve">须配合采购方开发校企合作特色教材，提供教材编写所需的技术资料、案例素材及行业标准文档支持。</w:t>
      </w:r>
      <w:r/>
    </w:p>
    <w:p>
      <w:pPr>
        <w:ind w:firstLine="420"/>
        <w:keepLines w:val="0"/>
        <w:keepNext w:val="0"/>
        <w:pageBreakBefore w:val="0"/>
        <w:spacing w:line="360" w:lineRule="auto"/>
        <w:widowControl w:val="off"/>
        <w:rPr>
          <w:szCs w:val="21"/>
        </w:rPr>
      </w:pPr>
      <w:r>
        <w:rPr>
          <w:rFonts w:ascii="宋体" w:hAnsi="宋体" w:cs="宋体"/>
          <w:color w:val="000000"/>
          <w:szCs w:val="21"/>
        </w:rPr>
        <w:t xml:space="preserve">（2）</w:t>
      </w:r>
      <w:r>
        <w:rPr>
          <w:rFonts w:ascii="宋体" w:hAnsi="宋体" w:cs="宋体"/>
          <w:b/>
          <w:color w:val="000000"/>
          <w:szCs w:val="21"/>
        </w:rPr>
        <w:t xml:space="preserve">数字化资源开发</w:t>
      </w:r>
      <w:r>
        <w:rPr>
          <w:rFonts w:ascii="宋体" w:hAnsi="宋体" w:cs="宋体"/>
          <w:color w:val="000000"/>
          <w:szCs w:val="21"/>
        </w:rPr>
        <w:t xml:space="preserve">：</w:t>
      </w:r>
      <w:r>
        <w:rPr>
          <w:rFonts w:hint="eastAsia" w:ascii="宋体" w:hAnsi="宋体" w:cs="宋体"/>
          <w:color w:val="000000"/>
          <w:szCs w:val="21"/>
        </w:rPr>
        <w:t xml:space="preserve">供应商</w:t>
      </w:r>
      <w:r>
        <w:rPr>
          <w:rFonts w:ascii="宋体" w:hAnsi="宋体" w:cs="宋体"/>
          <w:color w:val="000000"/>
          <w:szCs w:val="21"/>
        </w:rPr>
        <w:t xml:space="preserve">须配合建设典型事故案例库（含调度故障与通信中断联合案例）、操作视频库（调度操作+光纤熔接+协议配置）等数字化教学资源。</w:t>
      </w:r>
      <w:r/>
    </w:p>
    <w:p>
      <w:pPr>
        <w:ind w:firstLine="420"/>
        <w:keepLines w:val="0"/>
        <w:keepNext w:val="0"/>
        <w:pageBreakBefore w:val="0"/>
        <w:spacing w:line="360" w:lineRule="auto"/>
        <w:widowControl w:val="off"/>
        <w:rPr>
          <w:szCs w:val="21"/>
        </w:rPr>
      </w:pPr>
      <w:r>
        <w:rPr>
          <w:rFonts w:ascii="宋体" w:hAnsi="宋体" w:cs="宋体"/>
          <w:color w:val="000000"/>
          <w:szCs w:val="21"/>
        </w:rPr>
        <w:t xml:space="preserve">（3）</w:t>
      </w:r>
      <w:r>
        <w:rPr>
          <w:rFonts w:ascii="宋体" w:hAnsi="宋体" w:cs="宋体"/>
          <w:b/>
          <w:color w:val="000000"/>
          <w:szCs w:val="21"/>
        </w:rPr>
        <w:t xml:space="preserve">实训项目开发</w:t>
      </w:r>
      <w:r>
        <w:rPr>
          <w:rFonts w:ascii="宋体" w:hAnsi="宋体" w:cs="宋体"/>
          <w:color w:val="000000"/>
          <w:szCs w:val="21"/>
        </w:rPr>
        <w:t xml:space="preserve">：</w:t>
      </w:r>
      <w:r>
        <w:rPr>
          <w:rFonts w:hint="eastAsia" w:ascii="宋体" w:hAnsi="宋体" w:cs="宋体"/>
          <w:color w:val="000000"/>
          <w:szCs w:val="21"/>
        </w:rPr>
        <w:t xml:space="preserve">供应商</w:t>
      </w:r>
      <w:r>
        <w:rPr>
          <w:rFonts w:ascii="宋体" w:hAnsi="宋体" w:cs="宋体"/>
          <w:color w:val="000000"/>
          <w:szCs w:val="21"/>
        </w:rPr>
        <w:t xml:space="preserve">须配合开发虚实结合的实训项目，覆盖基础认知、技能训练、综合创新三个层次。</w:t>
      </w:r>
      <w:r/>
    </w:p>
    <w:p>
      <w:pPr>
        <w:ind w:firstLine="420"/>
        <w:keepLines w:val="0"/>
        <w:keepNext w:val="0"/>
        <w:pageBreakBefore w:val="0"/>
        <w:spacing w:line="360" w:lineRule="auto"/>
        <w:widowControl w:val="off"/>
        <w:rPr>
          <w:szCs w:val="21"/>
        </w:rPr>
      </w:pPr>
      <w:r>
        <w:rPr>
          <w:rFonts w:ascii="宋体" w:hAnsi="宋体" w:cs="宋体"/>
          <w:color w:val="000000"/>
          <w:szCs w:val="21"/>
        </w:rPr>
        <w:t xml:space="preserve">（4）</w:t>
      </w:r>
      <w:r>
        <w:rPr>
          <w:rFonts w:ascii="宋体" w:hAnsi="宋体" w:cs="宋体"/>
          <w:b/>
          <w:color w:val="000000"/>
          <w:szCs w:val="21"/>
        </w:rPr>
        <w:t xml:space="preserve">知识产权</w:t>
      </w:r>
      <w:r>
        <w:rPr>
          <w:rFonts w:ascii="宋体" w:hAnsi="宋体" w:cs="宋体"/>
          <w:color w:val="000000"/>
          <w:szCs w:val="21"/>
        </w:rPr>
        <w:t xml:space="preserve">：合作开发的教学资源知识产权归采购方所有，</w:t>
      </w:r>
      <w:r>
        <w:rPr>
          <w:rFonts w:hint="eastAsia" w:ascii="宋体" w:hAnsi="宋体" w:cs="宋体"/>
          <w:color w:val="000000"/>
          <w:szCs w:val="21"/>
        </w:rPr>
        <w:t xml:space="preserve">供应商</w:t>
      </w:r>
      <w:r>
        <w:rPr>
          <w:rFonts w:ascii="宋体" w:hAnsi="宋体" w:cs="宋体"/>
          <w:color w:val="000000"/>
          <w:szCs w:val="21"/>
        </w:rPr>
        <w:t xml:space="preserve">不得将相关资源用于其他商业用途。</w:t>
      </w:r>
      <w:r/>
    </w:p>
    <w:p>
      <w:pPr>
        <w:ind w:firstLine="420"/>
        <w:keepLines w:val="0"/>
        <w:keepNext w:val="0"/>
        <w:pageBreakBefore w:val="0"/>
        <w:spacing w:line="360" w:lineRule="auto"/>
        <w:widowControl w:val="off"/>
        <w:rPr>
          <w:rFonts w:hint="eastAsia" w:ascii="宋体" w:hAnsi="宋体" w:cs="宋体"/>
          <w:szCs w:val="21"/>
          <w:lang w:val="en-US" w:eastAsia="zh-CN"/>
        </w:rPr>
      </w:pPr>
      <w:r>
        <w:rPr>
          <w:rFonts w:hint="eastAsia" w:ascii="宋体" w:hAnsi="宋体" w:cs="宋体"/>
          <w:szCs w:val="21"/>
          <w:lang w:val="en-US" w:eastAsia="zh-CN"/>
        </w:rPr>
        <w:t xml:space="preserve">6、系统升级与功能扩展</w:t>
      </w:r>
      <w:r/>
    </w:p>
    <w:p>
      <w:pPr>
        <w:ind w:firstLine="420"/>
        <w:keepLines w:val="0"/>
        <w:keepNext w:val="0"/>
        <w:pageBreakBefore w:val="0"/>
        <w:spacing w:line="360" w:lineRule="auto"/>
        <w:widowControl w:val="off"/>
        <w:rPr>
          <w:szCs w:val="21"/>
        </w:rPr>
      </w:pPr>
      <w:r>
        <w:rPr>
          <w:rFonts w:ascii="宋体" w:hAnsi="宋体" w:cs="宋体"/>
          <w:color w:val="000000"/>
          <w:szCs w:val="21"/>
        </w:rPr>
        <w:t xml:space="preserve">质保期内，</w:t>
      </w:r>
      <w:r>
        <w:rPr>
          <w:rFonts w:hint="eastAsia" w:ascii="宋体" w:hAnsi="宋体" w:cs="宋体"/>
          <w:color w:val="000000"/>
          <w:szCs w:val="21"/>
        </w:rPr>
        <w:t xml:space="preserve">供应商</w:t>
      </w:r>
      <w:r>
        <w:rPr>
          <w:rFonts w:ascii="宋体" w:hAnsi="宋体" w:cs="宋体"/>
          <w:color w:val="000000"/>
          <w:szCs w:val="21"/>
        </w:rPr>
        <w:t xml:space="preserve">须提供免费的软件版本升级服务。如软件原厂商推出新版本，</w:t>
      </w:r>
      <w:r>
        <w:rPr>
          <w:rFonts w:hint="eastAsia" w:ascii="宋体" w:hAnsi="宋体" w:cs="宋体"/>
          <w:color w:val="000000"/>
          <w:szCs w:val="21"/>
        </w:rPr>
        <w:t xml:space="preserve">供应商</w:t>
      </w:r>
      <w:r>
        <w:rPr>
          <w:rFonts w:ascii="宋体" w:hAnsi="宋体" w:cs="宋体"/>
          <w:color w:val="000000"/>
          <w:szCs w:val="21"/>
        </w:rPr>
        <w:t xml:space="preserve">应第一时间告知采购人使用部门，并及时完成升级部署。</w:t>
      </w:r>
      <w:r/>
    </w:p>
    <w:p>
      <w:pPr>
        <w:ind w:firstLine="420"/>
        <w:keepLines w:val="0"/>
        <w:keepNext w:val="0"/>
        <w:pageBreakBefore w:val="0"/>
        <w:spacing w:line="360" w:lineRule="auto"/>
        <w:widowControl w:val="off"/>
        <w:rPr>
          <w:szCs w:val="21"/>
        </w:rPr>
      </w:pPr>
      <w:r>
        <w:rPr>
          <w:rFonts w:hint="eastAsia" w:ascii="宋体" w:hAnsi="宋体" w:cs="宋体"/>
          <w:color w:val="000000"/>
          <w:szCs w:val="21"/>
        </w:rPr>
        <w:t xml:space="preserve">供应商</w:t>
      </w:r>
      <w:r>
        <w:rPr>
          <w:rFonts w:ascii="宋体" w:hAnsi="宋体" w:cs="宋体"/>
          <w:color w:val="000000"/>
          <w:szCs w:val="21"/>
        </w:rPr>
        <w:t xml:space="preserve">提供的设备及软件应采用模块化设计，方便后续功能扩展和二次开发。</w:t>
      </w:r>
      <w:r>
        <w:rPr>
          <w:rFonts w:hint="eastAsia" w:ascii="宋体" w:hAnsi="宋体" w:cs="宋体"/>
          <w:color w:val="000000"/>
          <w:szCs w:val="21"/>
        </w:rPr>
        <w:t xml:space="preserve">供应商</w:t>
      </w:r>
      <w:r>
        <w:rPr>
          <w:rFonts w:ascii="宋体" w:hAnsi="宋体" w:cs="宋体"/>
          <w:color w:val="000000"/>
          <w:szCs w:val="21"/>
        </w:rPr>
        <w:t xml:space="preserve">须开放必要的API接口和开发文档，支持采购方师生开展智能调度算法开发、5G通信时延优化、新能源并网通信安全等创新项目。</w:t>
      </w:r>
      <w:r/>
    </w:p>
    <w:p>
      <w:pPr>
        <w:ind w:firstLine="420"/>
        <w:keepLines w:val="0"/>
        <w:keepNext w:val="0"/>
        <w:pageBreakBefore w:val="0"/>
        <w:spacing w:line="360" w:lineRule="auto"/>
        <w:widowControl w:val="off"/>
        <w:rPr>
          <w:rFonts w:hint="eastAsia" w:ascii="宋体" w:hAnsi="宋体" w:cs="宋体"/>
          <w:szCs w:val="21"/>
          <w:lang w:val="en-US" w:eastAsia="zh-CN"/>
        </w:rPr>
      </w:pPr>
      <w:r>
        <w:rPr>
          <w:rFonts w:hint="eastAsia" w:ascii="宋体" w:hAnsi="宋体" w:cs="宋体"/>
          <w:szCs w:val="21"/>
          <w:lang w:val="en-US" w:eastAsia="zh-CN"/>
        </w:rPr>
        <w:t xml:space="preserve">7、竞赛与认证支持</w:t>
      </w:r>
      <w:r/>
    </w:p>
    <w:p>
      <w:pPr>
        <w:ind w:firstLine="420"/>
        <w:keepLines w:val="0"/>
        <w:keepNext w:val="0"/>
        <w:pageBreakBefore w:val="0"/>
        <w:spacing w:line="360" w:lineRule="auto"/>
        <w:widowControl w:val="off"/>
        <w:rPr>
          <w:szCs w:val="21"/>
        </w:rPr>
      </w:pPr>
      <w:r>
        <w:rPr>
          <w:rFonts w:hint="eastAsia" w:ascii="宋体" w:hAnsi="宋体" w:cs="宋体"/>
          <w:color w:val="000000"/>
          <w:szCs w:val="21"/>
        </w:rPr>
        <w:t xml:space="preserve">供应商</w:t>
      </w:r>
      <w:r>
        <w:rPr>
          <w:rFonts w:ascii="宋体" w:hAnsi="宋体" w:cs="宋体"/>
          <w:color w:val="000000"/>
          <w:szCs w:val="21"/>
        </w:rPr>
        <w:t xml:space="preserve">须配合采购方开展相关校级竞赛活动，提供技术支持、赛题设计及评判服务。同时配合联合中国电力企业联合会开展“电力调度自动化工程师”、“电力通信专业技能等级证书”的认证服务工作。</w:t>
      </w:r>
      <w:r/>
    </w:p>
    <w:p>
      <w:pPr>
        <w:pStyle w:val="711"/>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711"/>
        <w:ind w:left="0"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四、安装要求</w:t>
      </w:r>
      <w:r/>
    </w:p>
    <w:p>
      <w:pPr>
        <w:ind w:firstLine="420"/>
        <w:spacing w:line="360" w:lineRule="auto"/>
        <w:rPr>
          <w:rFonts w:hint="eastAsia" w:ascii="宋体" w:hAnsi="宋体" w:cs="宋体"/>
          <w:szCs w:val="21"/>
          <w:lang w:val="zh-CN"/>
        </w:rPr>
      </w:pPr>
      <w:r/>
      <w:bookmarkStart w:id="33" w:name="OLE_LINK9"/>
      <w:r>
        <w:rPr>
          <w:rFonts w:hint="eastAsia" w:ascii="宋体" w:hAnsi="宋体" w:cs="宋体"/>
          <w:szCs w:val="21"/>
        </w:rPr>
        <w:t xml:space="preserve">1、</w:t>
      </w:r>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设备安装调试：设备到货后，卖方在接到通知</w:t>
      </w:r>
      <w:r>
        <w:rPr>
          <w:rFonts w:hint="eastAsia" w:ascii="宋体" w:hAnsi="宋体" w:cs="宋体"/>
          <w:szCs w:val="21"/>
          <w:highlight w:val="none"/>
          <w:lang w:val="zh-CN"/>
        </w:rPr>
        <w:t xml:space="preserve">的</w:t>
      </w:r>
      <w:r>
        <w:rPr>
          <w:rFonts w:hint="eastAsia" w:ascii="宋体" w:hAnsi="宋体" w:cs="宋体"/>
          <w:szCs w:val="21"/>
          <w:highlight w:val="none"/>
        </w:rPr>
        <w:t xml:space="preserve">7</w:t>
      </w:r>
      <w:r>
        <w:rPr>
          <w:rFonts w:hint="eastAsia" w:ascii="宋体" w:hAnsi="宋体" w:cs="宋体"/>
          <w:szCs w:val="21"/>
          <w:highlight w:val="none"/>
          <w:lang w:val="zh-CN"/>
        </w:rPr>
        <w:t xml:space="preserve">个工作日</w:t>
      </w:r>
      <w:r>
        <w:rPr>
          <w:rFonts w:hint="eastAsia" w:ascii="宋体" w:hAnsi="宋体" w:cs="宋体"/>
          <w:szCs w:val="21"/>
          <w:lang w:val="zh-CN"/>
        </w:rPr>
        <w:t xml:space="preserve">内派人前往负责该设备的安装、调试和操作培训，直至达到各项验收指标合格。</w:t>
      </w:r>
      <w:bookmarkEnd w:id="33"/>
      <w:r/>
      <w:r/>
    </w:p>
    <w:p>
      <w:pPr>
        <w:pStyle w:val="711"/>
        <w:ind w:left="0" w:firstLine="420"/>
        <w:spacing w:line="360" w:lineRule="auto"/>
        <w:rPr>
          <w:rFonts w:hint="eastAsia" w:ascii="宋体" w:hAnsi="宋体" w:cs="宋体"/>
        </w:rPr>
      </w:pPr>
      <w:r>
        <w:rPr>
          <w:rFonts w:hint="eastAsia" w:ascii="宋体" w:hAnsi="宋体" w:cs="宋体"/>
          <w:szCs w:val="21"/>
        </w:rPr>
        <w:t xml:space="preserve">3、验收要求：供应商提供符合招标文件要求的设备设施，并完成安装调试，试运行至少1个月，试运行过程中出现问题随时解决处理，试运行正常一个月后出运行报告，试运行合格后组织部门验收，再提请实验室处验收。</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场地与配套环境建设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须配合完成实训室场地改造工作，包括核心调度区、通信实训区、设备仿真区和教学研讨区的电源布置（含380V、220V工位电源）、局域网网络搭建、防静电地板铺设及实训室文化建设等。供应商应提供详细的场地布置方案和设备安装图纸，确保各功能区域布局合理、设备摆放规范、线缆敷设整齐。</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系统集成与联调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须完成三大实训模块（调度+电力通信软硬件平台、配电网自动化运行软硬件平台、新能源与储能并网仿真系统）的系统集成工作，确保各模块之间数据互通与资源共享。调度系统仿真软件应与配网自动化仿真平台、新能源与储能并网仿真系统实现数据交互，支撑“源网荷储”协同仿真实训。</w:t>
      </w:r>
      <w:r/>
    </w:p>
    <w:p>
      <w:pPr>
        <w:pStyle w:val="714"/>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714"/>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cs="宋体"/>
          <w:szCs w:val="21"/>
          <w:highlight w:val="none"/>
          <w:lang w:val="zh-CN"/>
        </w:rPr>
      </w:pPr>
      <w:r>
        <w:rPr>
          <w:rFonts w:hint="eastAsia" w:ascii="宋体" w:hAnsi="宋体" w:cs="宋体"/>
          <w:szCs w:val="21"/>
          <w:lang w:val="zh-CN"/>
        </w:rPr>
        <w:t xml:space="preserve">1、交货</w:t>
      </w:r>
      <w:r>
        <w:rPr>
          <w:rFonts w:hint="eastAsia" w:ascii="宋体" w:hAnsi="宋体" w:cs="宋体"/>
          <w:szCs w:val="21"/>
          <w:highlight w:val="none"/>
          <w:lang w:val="zh-CN"/>
        </w:rPr>
        <w:t xml:space="preserve">期：合同签订生效后，</w:t>
      </w:r>
      <w:r>
        <w:rPr>
          <w:rFonts w:hint="eastAsia" w:ascii="宋体" w:hAnsi="宋体" w:cs="宋体"/>
          <w:szCs w:val="21"/>
          <w:highlight w:val="none"/>
        </w:rPr>
        <w:t xml:space="preserve">45个日历日</w:t>
      </w:r>
      <w:r>
        <w:rPr>
          <w:rFonts w:hint="eastAsia" w:ascii="宋体" w:hAnsi="宋体" w:cs="宋体"/>
          <w:szCs w:val="21"/>
          <w:highlight w:val="none"/>
          <w:lang w:val="zh-CN"/>
        </w:rPr>
        <w:t xml:space="preserve">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2、交货方式：</w:t>
      </w:r>
      <w:r>
        <w:rPr>
          <w:rFonts w:hint="eastAsia" w:ascii="宋体" w:hAnsi="宋体" w:cs="宋体"/>
          <w:szCs w:val="21"/>
        </w:rPr>
        <w:t xml:space="preserve">供应商</w:t>
      </w:r>
      <w:r>
        <w:rPr>
          <w:rFonts w:hint="eastAsia" w:ascii="宋体" w:hAnsi="宋体" w:cs="宋体"/>
          <w:szCs w:val="21"/>
          <w:lang w:val="zh-CN"/>
        </w:rPr>
        <w:t xml:space="preserve">在采购</w:t>
      </w:r>
      <w:r>
        <w:rPr>
          <w:rFonts w:hint="eastAsia" w:ascii="宋体" w:hAnsi="宋体" w:cs="宋体"/>
          <w:szCs w:val="21"/>
        </w:rPr>
        <w:t xml:space="preserve">人</w:t>
      </w:r>
      <w:r>
        <w:rPr>
          <w:rFonts w:hint="eastAsia" w:ascii="宋体" w:hAnsi="宋体" w:cs="宋体"/>
          <w:szCs w:val="21"/>
          <w:lang w:val="zh-CN"/>
        </w:rPr>
        <w:t xml:space="preserve">指定地点交货，并完成安装、调试。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3、交货地点：南京工业职业技术大学指定地点。</w:t>
      </w:r>
      <w:r/>
    </w:p>
    <w:p>
      <w:pPr>
        <w:pStyle w:val="711"/>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711"/>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szCs w:val="21"/>
        </w:rPr>
      </w:pPr>
      <w:r>
        <w:rPr>
          <w:rFonts w:hint="eastAsia" w:ascii="宋体" w:hAnsi="宋体" w:cs="宋体"/>
          <w:szCs w:val="21"/>
        </w:rPr>
        <w:t xml:space="preserve">3、投标人应根据招标文件要求提供项目实施方案，方案包含以下内容：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ind w:firstLine="420"/>
        <w:spacing w:line="360" w:lineRule="auto"/>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ind w:firstLine="420"/>
        <w:spacing w:line="360" w:lineRule="auto"/>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ind w:firstLine="420"/>
        <w:spacing w:line="360" w:lineRule="auto"/>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ind w:firstLine="420"/>
        <w:spacing w:line="360" w:lineRule="auto"/>
        <w:rPr>
          <w:rFonts w:hint="eastAsia" w:ascii="宋体" w:hAnsi="宋体" w:cs="宋体"/>
          <w:szCs w:val="21"/>
        </w:rPr>
      </w:pPr>
      <w:r>
        <w:rPr>
          <w:rFonts w:hint="eastAsia" w:ascii="宋体" w:hAnsi="宋体" w:cs="宋体"/>
          <w:szCs w:val="21"/>
        </w:rPr>
        <w:t xml:space="preserve">4、供应商应根据招标文件要求提供项目验收配合方案，方案包含以下内容：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ind w:firstLine="420"/>
        <w:spacing w:line="360" w:lineRule="auto"/>
        <w:rPr>
          <w:rFonts w:hint="eastAsia"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ind w:firstLine="420"/>
        <w:spacing w:line="360" w:lineRule="auto"/>
        <w:rPr>
          <w:rFonts w:hint="eastAsia"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ind w:firstLine="420"/>
        <w:spacing w:line="360" w:lineRule="auto"/>
        <w:rPr>
          <w:rFonts w:hint="eastAsia"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ind w:firstLine="420"/>
        <w:spacing w:line="360" w:lineRule="auto"/>
        <w:rPr>
          <w:rFonts w:hint="eastAsia"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ind w:firstLine="420"/>
        <w:spacing w:line="360" w:lineRule="auto"/>
        <w:rPr>
          <w:rFonts w:hint="eastAsia" w:ascii="宋体" w:hAnsi="宋体" w:cs="宋体"/>
          <w:szCs w:val="21"/>
        </w:rPr>
      </w:pPr>
      <w:r>
        <w:rPr>
          <w:rFonts w:hint="eastAsia" w:ascii="宋体" w:hAnsi="宋体" w:cs="宋体"/>
          <w:szCs w:val="21"/>
        </w:rPr>
        <w:t xml:space="preserve">5、投标人应根据招标文件要求提供售后服务承诺方案，方案包含以下内容：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ind w:firstLine="420"/>
        <w:spacing w:line="360" w:lineRule="auto"/>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ind w:firstLine="420"/>
        <w:spacing w:line="360" w:lineRule="auto"/>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ind w:firstLine="420"/>
        <w:spacing w:line="360" w:lineRule="auto"/>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ind w:firstLine="420"/>
        <w:spacing w:line="360" w:lineRule="auto"/>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ind w:firstLine="420"/>
        <w:spacing w:line="360" w:lineRule="auto"/>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ind w:firstLine="420"/>
        <w:spacing w:line="360" w:lineRule="auto"/>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ind w:firstLine="420"/>
        <w:spacing w:line="360" w:lineRule="auto"/>
        <w:rPr>
          <w:rFonts w:hint="eastAsia" w:ascii="宋体" w:hAnsi="宋体" w:cs="宋体"/>
          <w:szCs w:val="21"/>
        </w:rPr>
      </w:pPr>
      <w:r>
        <w:rPr>
          <w:rFonts w:hint="eastAsia" w:ascii="宋体" w:hAnsi="宋体" w:cs="宋体"/>
          <w:szCs w:val="21"/>
        </w:rPr>
        <w:t xml:space="preserve">6、投标人应根据招标文件要求提供培训方案，方案包含以下内容：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培训对象：需明确接受培训的人员类别及预计人数；</w:t>
      </w:r>
      <w:r/>
    </w:p>
    <w:p>
      <w:pPr>
        <w:ind w:firstLine="420"/>
        <w:spacing w:line="360" w:lineRule="auto"/>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ind w:firstLine="420"/>
        <w:spacing w:line="360" w:lineRule="auto"/>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ind w:firstLine="420"/>
        <w:spacing w:line="360" w:lineRule="auto"/>
        <w:rPr>
          <w:rFonts w:hint="eastAsia" w:ascii="宋体" w:hAnsi="宋体" w:cs="宋体"/>
          <w:szCs w:val="21"/>
        </w:rPr>
      </w:pPr>
      <w:r>
        <w:rPr>
          <w:rFonts w:hint="eastAsia" w:ascii="宋体" w:hAnsi="宋体" w:cs="宋体"/>
          <w:szCs w:val="21"/>
        </w:rPr>
        <w:t xml:space="preserve">④ 培训方式：需说明培训形式，并提供相应安排；</w:t>
      </w:r>
      <w:r/>
    </w:p>
    <w:p>
      <w:pPr>
        <w:ind w:firstLine="420"/>
        <w:spacing w:line="360" w:lineRule="auto"/>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ind w:firstLine="420"/>
        <w:spacing w:line="360" w:lineRule="auto"/>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pStyle w:val="711"/>
        <w:ind w:left="0" w:firstLine="454"/>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七、履约保证金</w:t>
      </w:r>
      <w:r/>
    </w:p>
    <w:p>
      <w:pPr>
        <w:pStyle w:val="714"/>
        <w:ind w:firstLine="420"/>
        <w:spacing w:line="360" w:lineRule="auto"/>
        <w:rPr>
          <w:rFonts w:hint="eastAsia" w:ascii="宋体" w:hAnsi="宋体" w:cs="宋体"/>
          <w:szCs w:val="21"/>
        </w:rPr>
      </w:pPr>
      <w:r/>
      <w:bookmarkStart w:id="34" w:name="OLE_LINK11"/>
      <w:r>
        <w:rPr>
          <w:rFonts w:hint="eastAsia" w:ascii="宋体" w:hAnsi="宋体" w:cs="宋体"/>
          <w:szCs w:val="21"/>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pStyle w:val="714"/>
        <w:ind w:firstLine="420"/>
        <w:spacing w:line="360" w:lineRule="auto"/>
        <w:rPr>
          <w:rFonts w:hint="eastAsia" w:ascii="宋体" w:hAnsi="宋体" w:cs="宋体"/>
          <w:szCs w:val="21"/>
        </w:rPr>
      </w:pPr>
      <w:r>
        <w:rPr>
          <w:rFonts w:hint="eastAsia" w:ascii="宋体" w:hAnsi="宋体" w:cs="宋体"/>
          <w:szCs w:val="21"/>
        </w:rPr>
        <w:t xml:space="preserve">南京工业职业技术大学指定账户信息具体如下：</w:t>
      </w:r>
      <w:r/>
    </w:p>
    <w:p>
      <w:pPr>
        <w:pStyle w:val="714"/>
        <w:ind w:firstLine="420"/>
        <w:spacing w:line="360" w:lineRule="auto"/>
        <w:rPr>
          <w:rFonts w:hint="eastAsia" w:ascii="宋体" w:hAnsi="宋体" w:cs="宋体"/>
          <w:szCs w:val="21"/>
        </w:rPr>
      </w:pPr>
      <w:r>
        <w:rPr>
          <w:rFonts w:hint="eastAsia" w:ascii="宋体" w:hAnsi="宋体" w:cs="宋体"/>
          <w:szCs w:val="21"/>
        </w:rPr>
        <w:t xml:space="preserve">单位名称：南京工业职业技术大学</w:t>
      </w:r>
      <w:r/>
    </w:p>
    <w:p>
      <w:pPr>
        <w:pStyle w:val="714"/>
        <w:ind w:firstLine="420"/>
        <w:spacing w:line="360" w:lineRule="auto"/>
        <w:rPr>
          <w:rFonts w:hint="eastAsia" w:ascii="宋体" w:hAnsi="宋体" w:cs="宋体"/>
          <w:szCs w:val="21"/>
        </w:rPr>
      </w:pPr>
      <w:r>
        <w:rPr>
          <w:rFonts w:hint="eastAsia" w:ascii="宋体" w:hAnsi="宋体" w:cs="宋体"/>
          <w:szCs w:val="21"/>
        </w:rPr>
        <w:t xml:space="preserve">开 户 行：工商银行南京汉府支行</w:t>
      </w:r>
      <w:r/>
    </w:p>
    <w:p>
      <w:pPr>
        <w:pStyle w:val="714"/>
        <w:ind w:firstLine="420"/>
        <w:spacing w:line="360" w:lineRule="auto"/>
        <w:rPr>
          <w:rFonts w:hint="eastAsia" w:ascii="宋体" w:hAnsi="宋体" w:cs="宋体"/>
          <w:szCs w:val="21"/>
        </w:rPr>
      </w:pPr>
      <w:r>
        <w:rPr>
          <w:rFonts w:hint="eastAsia" w:ascii="宋体" w:hAnsi="宋体" w:cs="宋体"/>
          <w:szCs w:val="21"/>
        </w:rPr>
        <w:t xml:space="preserve">账    号：4301015819100701644</w:t>
      </w:r>
      <w:r/>
    </w:p>
    <w:p>
      <w:pPr>
        <w:pStyle w:val="714"/>
        <w:ind w:firstLine="420"/>
        <w:spacing w:line="360" w:lineRule="auto"/>
        <w:rPr>
          <w:rFonts w:hint="eastAsia" w:ascii="宋体" w:hAnsi="宋体" w:cs="宋体"/>
          <w:szCs w:val="21"/>
        </w:rPr>
      </w:pPr>
      <w:r>
        <w:rPr>
          <w:rFonts w:hint="eastAsia" w:ascii="宋体" w:hAnsi="宋体" w:cs="宋体"/>
          <w:szCs w:val="21"/>
        </w:rPr>
        <w:t xml:space="preserve">注：请在转账时备注“项目名称+履约保证保金”字样。</w:t>
      </w:r>
      <w:r/>
    </w:p>
    <w:p>
      <w:pPr>
        <w:pStyle w:val="714"/>
        <w:ind w:firstLine="420"/>
        <w:spacing w:line="360" w:lineRule="auto"/>
        <w:rPr>
          <w:rFonts w:hint="eastAsia" w:ascii="宋体" w:hAnsi="宋体" w:cs="宋体"/>
          <w:szCs w:val="21"/>
        </w:rPr>
      </w:pPr>
      <w:r>
        <w:rPr>
          <w:rFonts w:hint="eastAsia" w:ascii="宋体" w:hAnsi="宋体" w:cs="宋体"/>
          <w:szCs w:val="21"/>
        </w:rPr>
        <w:t xml:space="preserve">（2）合同履行过程中，若经采购人核实存在货物质量问题或供应商违约情形，采购人有权在通知供应商后，从履约保证金中抵扣相应的补偿或赔偿款项。</w:t>
      </w:r>
      <w:r/>
    </w:p>
    <w:p>
      <w:pPr>
        <w:pStyle w:val="714"/>
        <w:ind w:firstLine="420"/>
        <w:spacing w:line="360" w:lineRule="auto"/>
        <w:rPr>
          <w:rFonts w:hint="eastAsia" w:ascii="宋体" w:hAnsi="宋体" w:cs="宋体"/>
          <w:szCs w:val="21"/>
        </w:rPr>
      </w:pPr>
      <w:r>
        <w:rPr>
          <w:rFonts w:hint="eastAsia" w:ascii="宋体" w:hAnsi="宋体" w:cs="宋体"/>
          <w:szCs w:val="21"/>
        </w:rPr>
        <w:t xml:space="preserve">（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bookmarkEnd w:id="34"/>
      <w:r/>
    </w:p>
    <w:p>
      <w:pPr>
        <w:ind w:firstLine="454"/>
        <w:spacing w:line="360" w:lineRule="auto"/>
        <w:rPr>
          <w:rFonts w:hint="eastAsia" w:ascii="宋体" w:hAnsi="宋体" w:cs="宋体"/>
          <w:b/>
          <w:bCs/>
          <w:spacing w:val="8"/>
          <w:szCs w:val="21"/>
        </w:rPr>
      </w:pPr>
      <w:r>
        <w:rPr>
          <w:rFonts w:hint="eastAsia" w:ascii="宋体" w:hAnsi="宋体" w:cs="宋体"/>
          <w:b/>
          <w:bCs/>
          <w:spacing w:val="8"/>
          <w:szCs w:val="21"/>
        </w:rPr>
      </w:r>
      <w:r/>
    </w:p>
    <w:p>
      <w:pPr>
        <w:ind w:firstLine="454"/>
        <w:spacing w:line="360" w:lineRule="auto"/>
        <w:rPr>
          <w:rFonts w:hint="eastAsia" w:ascii="宋体" w:hAnsi="宋体" w:cs="宋体"/>
          <w:b/>
          <w:bCs/>
          <w:spacing w:val="8"/>
          <w:szCs w:val="21"/>
        </w:rPr>
      </w:pPr>
      <w:r>
        <w:rPr>
          <w:rFonts w:hint="eastAsia" w:ascii="宋体" w:hAnsi="宋体" w:cs="宋体"/>
          <w:b/>
          <w:bCs/>
          <w:spacing w:val="8"/>
          <w:szCs w:val="21"/>
        </w:rPr>
        <w:t xml:space="preserve">八、货款支付</w:t>
      </w:r>
      <w:r/>
    </w:p>
    <w:p>
      <w:pPr>
        <w:ind w:firstLine="420"/>
        <w:spacing w:line="360" w:lineRule="auto"/>
        <w:rPr>
          <w:rFonts w:hint="eastAsia" w:ascii="宋体" w:hAnsi="宋体" w:cs="宋体"/>
          <w:color w:val="000000"/>
          <w:szCs w:val="21"/>
        </w:rPr>
      </w:pPr>
      <w:r>
        <w:rPr>
          <w:rFonts w:hint="eastAsia" w:ascii="宋体" w:hAnsi="宋体" w:cs="宋体"/>
          <w:szCs w:val="21"/>
        </w:rPr>
        <w:t xml:space="preserve">合同签订后支付30%合同款，货物交付、安装、调试且通过验收后（遇寒暑假和法定节假日顺延），支付至合同总金额的100%，付款之前需收到乙方开具的合法有效的相应全额发票。</w:t>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689"/>
        <w:numPr>
          <w:ilvl w:val="0"/>
          <w:numId w:val="0"/>
        </w:numPr>
        <w:rPr>
          <w:rFonts w:hint="eastAsia" w:ascii="宋体" w:hAnsi="宋体" w:cs="宋体"/>
          <w:szCs w:val="32"/>
        </w:rPr>
      </w:pPr>
      <w:r>
        <w:rPr>
          <w:rFonts w:hint="eastAsia" w:ascii="宋体" w:hAnsi="宋体" w:cs="宋体"/>
        </w:rPr>
        <w:br w:type="page" w:clear="all"/>
      </w:r>
      <w:bookmarkStart w:id="38" w:name="_GoBack"/>
      <w:r/>
      <w:bookmarkEnd w:id="38"/>
      <w:r/>
      <w:bookmarkStart w:id="35" w:name="_Toc18631"/>
      <w:r>
        <w:rPr>
          <w:rFonts w:hint="eastAsia" w:ascii="宋体" w:hAnsi="宋体" w:cs="宋体"/>
        </w:rPr>
        <w:t xml:space="preserve">第五章 合同主要条款及格式</w:t>
      </w:r>
      <w:bookmarkEnd w:id="22"/>
      <w:r>
        <w:rPr>
          <w:rFonts w:hint="eastAsia" w:ascii="宋体" w:hAnsi="宋体" w:cs="宋体"/>
          <w:szCs w:val="32"/>
        </w:rPr>
        <w:t xml:space="preserve"> </w:t>
      </w:r>
      <w:bookmarkEnd w:id="35"/>
      <w:r/>
      <w:r/>
    </w:p>
    <w:p>
      <w:pPr>
        <w:jc w:val="center"/>
        <w:spacing w:line="360" w:lineRule="auto"/>
        <w:rPr>
          <w:rFonts w:hint="eastAsia" w:ascii="宋体" w:hAnsi="宋体" w:cs="宋体"/>
          <w:b/>
          <w:bCs/>
          <w:sz w:val="24"/>
          <w:u w:val="single"/>
        </w:rPr>
      </w:pPr>
      <w:r>
        <w:rPr>
          <w:rFonts w:hint="eastAsia" w:ascii="宋体" w:hAnsi="宋体" w:cs="宋体"/>
          <w:b/>
          <w:bCs/>
          <w:sz w:val="32"/>
          <w:szCs w:val="32"/>
        </w:rPr>
        <w:t xml:space="preserve">南京工业职业技术大学智能电网调度控制系统实训室采购项目合同 </w:t>
      </w:r>
      <w:r/>
    </w:p>
    <w:p>
      <w:pPr>
        <w:pStyle w:val="714"/>
        <w:ind w:firstLine="420"/>
        <w:spacing w:line="360" w:lineRule="auto"/>
        <w:rPr>
          <w:rFonts w:hint="eastAsia" w:ascii="宋体" w:hAnsi="宋体" w:cs="宋体"/>
          <w:szCs w:val="21"/>
        </w:rPr>
      </w:pPr>
      <w:r>
        <w:rPr>
          <w:rFonts w:hint="eastAsia" w:ascii="宋体" w:hAnsi="宋体" w:cs="宋体"/>
          <w:szCs w:val="21"/>
        </w:rPr>
        <w:t xml:space="preserve">甲方：（买方）_________         乙方：（卖方）_________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rPr>
        <w:t xml:space="preserve"> 南京工业职业技术大学智能电网调度控制系统实训室采购项目 </w:t>
      </w:r>
      <w:r>
        <w:rPr>
          <w:rFonts w:hint="eastAsia" w:ascii="宋体" w:hAnsi="宋体" w:cs="宋体"/>
          <w:szCs w:val="21"/>
        </w:rPr>
        <w:t xml:space="preserve">公开招标的结果，本着自愿及平等互利的原则，就甲方向乙方购买本合同约定的货物事宜，签署本合同。</w:t>
      </w:r>
      <w:r/>
    </w:p>
    <w:p>
      <w:pPr>
        <w:pStyle w:val="714"/>
        <w:ind w:firstLine="422"/>
        <w:spacing w:before="120" w:after="120" w:line="330" w:lineRule="atLeast"/>
        <w:rPr>
          <w:rFonts w:hint="eastAsia" w:ascii="宋体" w:hAnsi="宋体" w:cs="宋体"/>
          <w:b/>
          <w:szCs w:val="21"/>
        </w:rPr>
      </w:pPr>
      <w:r>
        <w:rPr>
          <w:rFonts w:hint="eastAsia" w:ascii="宋体" w:hAnsi="宋体" w:cs="宋体"/>
          <w:b/>
          <w:szCs w:val="21"/>
        </w:rPr>
        <w:t xml:space="preserve">一、货物内容、数量及金额</w:t>
      </w:r>
      <w:r/>
    </w:p>
    <w:tbl>
      <w:tblPr>
        <w:tblStyle w:val="69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1"/>
        <w:gridCol w:w="864"/>
        <w:gridCol w:w="864"/>
        <w:gridCol w:w="864"/>
        <w:gridCol w:w="871"/>
        <w:gridCol w:w="1356"/>
        <w:gridCol w:w="1361"/>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00" w:lineRule="exact"/>
              <w:rPr>
                <w:rFonts w:hint="eastAsia" w:ascii="宋体" w:hAnsi="宋体" w:cs="宋体"/>
                <w:szCs w:val="21"/>
              </w:rPr>
            </w:pPr>
            <w:r>
              <w:rPr>
                <w:rFonts w:hint="eastAsia" w:ascii="宋体" w:hAnsi="宋体" w:cs="宋体"/>
                <w:szCs w:val="21"/>
              </w:rPr>
            </w:r>
            <w:r/>
          </w:p>
          <w:p>
            <w:pPr>
              <w:jc w:val="center"/>
              <w:spacing w:line="30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714"/>
        <w:ind w:firstLine="422"/>
        <w:spacing w:line="360" w:lineRule="auto"/>
        <w:rPr>
          <w:rFonts w:hint="eastAsia" w:ascii="宋体" w:hAnsi="宋体" w:cs="宋体"/>
          <w:b/>
          <w:szCs w:val="21"/>
        </w:rPr>
      </w:pPr>
      <w:r>
        <w:rPr>
          <w:rFonts w:hint="eastAsia" w:ascii="宋体" w:hAnsi="宋体" w:cs="宋体"/>
          <w:b/>
          <w:szCs w:val="21"/>
        </w:rPr>
        <w:t xml:space="preserve">二、结算方式</w:t>
      </w:r>
      <w:r/>
    </w:p>
    <w:p>
      <w:pPr>
        <w:ind w:firstLine="420"/>
        <w:spacing w:line="360" w:lineRule="auto"/>
        <w:rPr>
          <w:rFonts w:hint="eastAsia" w:ascii="宋体" w:hAnsi="宋体" w:cs="宋体"/>
          <w:szCs w:val="21"/>
          <w:highlight w:val="yellow"/>
        </w:rPr>
      </w:pPr>
      <w:r>
        <w:rPr>
          <w:rFonts w:hint="eastAsia" w:ascii="宋体" w:hAnsi="宋体" w:cs="宋体"/>
          <w:szCs w:val="21"/>
        </w:rPr>
        <w:t xml:space="preserve">2.1结算方式：</w:t>
      </w:r>
      <w:r>
        <w:rPr>
          <w:rFonts w:hint="eastAsia" w:ascii="宋体" w:hAnsi="宋体" w:cs="宋体"/>
          <w:szCs w:val="21"/>
          <w:highlight w:val="none"/>
        </w:rPr>
        <w:t xml:space="preserve">合同签订后支付30%合同款，货物交付、安装、调试且通过验收后（遇寒暑假和法定节假日顺延），支付至合同总金额的100%，付款之前需收到乙方开具的合法有效的相应全额发票。</w:t>
      </w:r>
      <w:r/>
    </w:p>
    <w:p>
      <w:pPr>
        <w:pStyle w:val="714"/>
        <w:ind w:firstLine="420"/>
        <w:spacing w:line="360" w:lineRule="auto"/>
        <w:rPr>
          <w:rFonts w:hint="eastAsia" w:ascii="宋体" w:hAnsi="宋体" w:cs="宋体"/>
          <w:szCs w:val="21"/>
        </w:rPr>
      </w:pPr>
      <w:r>
        <w:rPr>
          <w:rFonts w:hint="eastAsia" w:ascii="宋体" w:hAnsi="宋体" w:cs="宋体"/>
          <w:szCs w:val="21"/>
        </w:rPr>
        <w:t xml:space="preserve">2.2履约保证金（根据招标文件要求选用）</w:t>
      </w:r>
      <w:r/>
    </w:p>
    <w:p>
      <w:pPr>
        <w:pStyle w:val="714"/>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本项目不需要缴纳履约保证金。</w:t>
      </w:r>
      <w:r/>
    </w:p>
    <w:p>
      <w:pPr>
        <w:pStyle w:val="714"/>
        <w:ind w:firstLine="420"/>
        <w:spacing w:line="360" w:lineRule="auto"/>
        <w:rPr>
          <w:rFonts w:hint="eastAsia"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本项目需要缴纳履约保证金，具体要求如下：</w:t>
      </w:r>
      <w:r/>
    </w:p>
    <w:p>
      <w:pPr>
        <w:pStyle w:val="714"/>
        <w:ind w:firstLine="420"/>
        <w:spacing w:line="360" w:lineRule="auto"/>
        <w:rPr>
          <w:rFonts w:hint="eastAsia" w:ascii="宋体" w:hAnsi="宋体" w:cs="宋体"/>
          <w:szCs w:val="21"/>
        </w:rPr>
      </w:pPr>
      <w:r>
        <w:rPr>
          <w:rFonts w:hint="eastAsia" w:ascii="宋体" w:hAnsi="宋体" w:cs="宋体"/>
          <w:szCs w:val="21"/>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pStyle w:val="714"/>
        <w:ind w:firstLine="420"/>
        <w:spacing w:line="360" w:lineRule="auto"/>
        <w:rPr>
          <w:rFonts w:hint="eastAsia" w:ascii="宋体" w:hAnsi="宋体" w:cs="宋体"/>
          <w:szCs w:val="21"/>
        </w:rPr>
      </w:pPr>
      <w:r>
        <w:rPr>
          <w:rFonts w:hint="eastAsia" w:ascii="宋体" w:hAnsi="宋体" w:cs="宋体"/>
          <w:szCs w:val="21"/>
        </w:rPr>
        <w:t xml:space="preserve">南京工业职业技术大学指定账户信息具体如下：</w:t>
      </w:r>
      <w:r/>
    </w:p>
    <w:p>
      <w:pPr>
        <w:pStyle w:val="714"/>
        <w:ind w:firstLine="420"/>
        <w:spacing w:line="360" w:lineRule="auto"/>
        <w:rPr>
          <w:rFonts w:hint="eastAsia" w:ascii="宋体" w:hAnsi="宋体" w:cs="宋体"/>
          <w:szCs w:val="21"/>
        </w:rPr>
      </w:pPr>
      <w:r>
        <w:rPr>
          <w:rFonts w:hint="eastAsia" w:ascii="宋体" w:hAnsi="宋体" w:cs="宋体"/>
          <w:szCs w:val="21"/>
        </w:rPr>
        <w:t xml:space="preserve">单位名称：南京工业职业技术大学</w:t>
      </w:r>
      <w:r/>
    </w:p>
    <w:p>
      <w:pPr>
        <w:pStyle w:val="714"/>
        <w:ind w:firstLine="420"/>
        <w:spacing w:line="360" w:lineRule="auto"/>
        <w:rPr>
          <w:rFonts w:hint="eastAsia" w:ascii="宋体" w:hAnsi="宋体" w:cs="宋体"/>
          <w:szCs w:val="21"/>
        </w:rPr>
      </w:pPr>
      <w:r>
        <w:rPr>
          <w:rFonts w:hint="eastAsia" w:ascii="宋体" w:hAnsi="宋体" w:cs="宋体"/>
          <w:szCs w:val="21"/>
        </w:rPr>
        <w:t xml:space="preserve">开 户 行：工商银行南京汉府支行</w:t>
      </w:r>
      <w:r/>
    </w:p>
    <w:p>
      <w:pPr>
        <w:pStyle w:val="714"/>
        <w:ind w:firstLine="420"/>
        <w:spacing w:line="360" w:lineRule="auto"/>
        <w:rPr>
          <w:rFonts w:hint="eastAsia" w:ascii="宋体" w:hAnsi="宋体" w:cs="宋体"/>
          <w:szCs w:val="21"/>
        </w:rPr>
      </w:pPr>
      <w:r>
        <w:rPr>
          <w:rFonts w:hint="eastAsia" w:ascii="宋体" w:hAnsi="宋体" w:cs="宋体"/>
          <w:szCs w:val="21"/>
        </w:rPr>
        <w:t xml:space="preserve">账    号：4301015819100701644</w:t>
      </w:r>
      <w:r/>
    </w:p>
    <w:p>
      <w:pPr>
        <w:pStyle w:val="714"/>
        <w:ind w:firstLine="420"/>
        <w:spacing w:line="360" w:lineRule="auto"/>
        <w:rPr>
          <w:rFonts w:hint="eastAsia" w:ascii="宋体" w:hAnsi="宋体" w:cs="宋体"/>
          <w:szCs w:val="21"/>
        </w:rPr>
      </w:pPr>
      <w:r>
        <w:rPr>
          <w:rFonts w:hint="eastAsia" w:ascii="宋体" w:hAnsi="宋体" w:cs="宋体"/>
          <w:szCs w:val="21"/>
        </w:rPr>
        <w:t xml:space="preserve">注：请在转账时备注“项目名称+履约保证保金”字样。</w:t>
      </w:r>
      <w:r/>
    </w:p>
    <w:p>
      <w:pPr>
        <w:pStyle w:val="714"/>
        <w:ind w:firstLine="420"/>
        <w:spacing w:line="360" w:lineRule="auto"/>
        <w:rPr>
          <w:rFonts w:hint="eastAsia" w:ascii="宋体" w:hAnsi="宋体" w:cs="宋体"/>
          <w:szCs w:val="21"/>
        </w:rPr>
      </w:pPr>
      <w:r>
        <w:rPr>
          <w:rFonts w:hint="eastAsia" w:ascii="宋体" w:hAnsi="宋体" w:cs="宋体"/>
          <w:szCs w:val="21"/>
        </w:rPr>
        <w:t xml:space="preserve">（2）合同履行过程中，若经采购人核实存在货物质量问题或供应商违约情形，采购人有权在通知供应商后，从履约保证金中抵扣相应的补偿或赔偿款项。</w:t>
      </w:r>
      <w:r/>
    </w:p>
    <w:p>
      <w:pPr>
        <w:pStyle w:val="714"/>
        <w:ind w:firstLine="420"/>
        <w:spacing w:line="360" w:lineRule="auto"/>
        <w:rPr>
          <w:rFonts w:hint="eastAsia" w:ascii="宋体" w:hAnsi="宋体" w:cs="宋体"/>
          <w:szCs w:val="21"/>
        </w:rPr>
      </w:pPr>
      <w:r>
        <w:rPr>
          <w:rFonts w:hint="eastAsia" w:ascii="宋体" w:hAnsi="宋体" w:cs="宋体"/>
          <w:szCs w:val="21"/>
        </w:rPr>
        <w:t xml:space="preserve">（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r/>
    </w:p>
    <w:p>
      <w:pPr>
        <w:pStyle w:val="714"/>
        <w:ind w:firstLine="420"/>
        <w:spacing w:line="360" w:lineRule="auto"/>
        <w:rPr>
          <w:rFonts w:hint="eastAsia" w:ascii="宋体" w:hAnsi="宋体" w:cs="宋体"/>
          <w:szCs w:val="21"/>
        </w:rPr>
      </w:pPr>
      <w:r>
        <w:rPr>
          <w:rFonts w:hint="eastAsia" w:ascii="宋体" w:hAnsi="宋体" w:cs="宋体"/>
          <w:szCs w:val="21"/>
        </w:rPr>
        <w:t xml:space="preserve">2.3当采购数量与实际使用数量不一致时，乙方应根据实际使用量供货，合同的最终结算金额按实际使用量乘以本合同约定的成交单价进行计算。</w:t>
      </w:r>
      <w:r/>
    </w:p>
    <w:p>
      <w:pPr>
        <w:pStyle w:val="714"/>
        <w:ind w:firstLine="420"/>
        <w:spacing w:line="360" w:lineRule="auto"/>
        <w:rPr>
          <w:rFonts w:hint="eastAsia" w:ascii="宋体" w:hAnsi="宋体" w:cs="宋体"/>
          <w:szCs w:val="21"/>
        </w:rPr>
      </w:pPr>
      <w:r>
        <w:rPr>
          <w:rFonts w:hint="eastAsia" w:ascii="宋体" w:hAnsi="宋体" w:cs="宋体"/>
          <w:szCs w:val="21"/>
        </w:rPr>
        <w:t xml:space="preserve">2.4乙方指定账户信息：</w:t>
      </w:r>
      <w:r/>
    </w:p>
    <w:p>
      <w:pPr>
        <w:pStyle w:val="714"/>
        <w:ind w:firstLine="420"/>
        <w:spacing w:line="360" w:lineRule="auto"/>
        <w:rPr>
          <w:rFonts w:hint="eastAsia" w:ascii="宋体" w:hAnsi="宋体" w:cs="宋体"/>
          <w:szCs w:val="21"/>
        </w:rPr>
      </w:pPr>
      <w:r>
        <w:rPr>
          <w:rFonts w:hint="eastAsia" w:ascii="宋体" w:hAnsi="宋体" w:cs="宋体"/>
          <w:szCs w:val="21"/>
        </w:rPr>
        <w:t xml:space="preserve">开户行：</w:t>
      </w:r>
      <w:r/>
    </w:p>
    <w:p>
      <w:pPr>
        <w:pStyle w:val="714"/>
        <w:ind w:firstLine="420"/>
        <w:spacing w:line="360" w:lineRule="auto"/>
        <w:rPr>
          <w:rFonts w:hint="eastAsia" w:ascii="宋体" w:hAnsi="宋体" w:cs="宋体"/>
          <w:szCs w:val="21"/>
        </w:rPr>
      </w:pPr>
      <w:r>
        <w:rPr>
          <w:rFonts w:hint="eastAsia" w:ascii="宋体" w:hAnsi="宋体" w:cs="宋体"/>
          <w:szCs w:val="21"/>
        </w:rPr>
        <w:t xml:space="preserve">户名：</w:t>
      </w:r>
      <w:r/>
    </w:p>
    <w:p>
      <w:pPr>
        <w:pStyle w:val="714"/>
        <w:ind w:firstLine="420"/>
        <w:spacing w:line="360" w:lineRule="auto"/>
        <w:rPr>
          <w:rFonts w:hint="eastAsia" w:ascii="宋体" w:hAnsi="宋体" w:cs="宋体"/>
          <w:szCs w:val="21"/>
        </w:rPr>
      </w:pPr>
      <w:r>
        <w:rPr>
          <w:rFonts w:hint="eastAsia" w:ascii="宋体" w:hAnsi="宋体" w:cs="宋体"/>
          <w:szCs w:val="21"/>
        </w:rPr>
        <w:t xml:space="preserve">账号：</w:t>
      </w:r>
      <w:r/>
    </w:p>
    <w:p>
      <w:pPr>
        <w:pStyle w:val="714"/>
        <w:ind w:firstLine="420"/>
        <w:spacing w:line="360" w:lineRule="auto"/>
        <w:rPr>
          <w:rFonts w:hint="eastAsia" w:ascii="宋体" w:hAnsi="宋体" w:cs="宋体"/>
          <w:szCs w:val="21"/>
        </w:rPr>
      </w:pPr>
      <w:r>
        <w:rPr>
          <w:rFonts w:hint="eastAsia" w:ascii="宋体" w:hAnsi="宋体" w:cs="宋体"/>
          <w:szCs w:val="21"/>
        </w:rPr>
        <w:t xml:space="preserve">上述账户信息，如有变更，乙方应在变更前3日内书面通知甲方。否则，由此产生的后果由乙方承担。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三、交付方式、时间及地点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）交货期：</w:t>
      </w:r>
      <w:r>
        <w:rPr>
          <w:rFonts w:hint="eastAsia" w:ascii="宋体" w:hAnsi="宋体" w:cs="宋体"/>
          <w:szCs w:val="21"/>
          <w:highlight w:val="none"/>
          <w:lang w:val="zh-CN"/>
        </w:rPr>
        <w:t xml:space="preserve">合同签订生效后，</w:t>
      </w:r>
      <w:r>
        <w:rPr>
          <w:rFonts w:hint="eastAsia" w:ascii="宋体" w:hAnsi="宋体" w:cs="宋体"/>
          <w:szCs w:val="21"/>
          <w:highlight w:val="none"/>
          <w:lang w:val="en-US" w:eastAsia="zh-CN"/>
        </w:rPr>
        <w:t xml:space="preserve">45</w:t>
      </w:r>
      <w:r>
        <w:rPr>
          <w:rFonts w:hint="eastAsia" w:ascii="宋体" w:hAnsi="宋体" w:cs="宋体"/>
          <w:szCs w:val="21"/>
          <w:highlight w:val="none"/>
        </w:rPr>
        <w:t xml:space="preserve">个日历日</w:t>
      </w:r>
      <w:r>
        <w:rPr>
          <w:rFonts w:hint="eastAsia" w:ascii="宋体" w:hAnsi="宋体" w:cs="宋体"/>
          <w:szCs w:val="21"/>
          <w:highlight w:val="none"/>
          <w:lang w:val="zh-CN"/>
        </w:rPr>
        <w:t xml:space="preserve">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）交货方式：</w:t>
      </w:r>
      <w:r>
        <w:rPr>
          <w:rFonts w:hint="eastAsia" w:ascii="宋体" w:hAnsi="宋体" w:cs="宋体"/>
          <w:szCs w:val="21"/>
        </w:rPr>
        <w:t xml:space="preserve">乙方</w:t>
      </w:r>
      <w:r>
        <w:rPr>
          <w:rFonts w:hint="eastAsia" w:ascii="宋体" w:hAnsi="宋体" w:cs="宋体"/>
          <w:szCs w:val="21"/>
          <w:lang w:val="zh-CN"/>
        </w:rPr>
        <w:t xml:space="preserve">在</w:t>
      </w:r>
      <w:r>
        <w:rPr>
          <w:rFonts w:hint="eastAsia" w:ascii="宋体" w:hAnsi="宋体" w:cs="宋体"/>
          <w:szCs w:val="21"/>
        </w:rPr>
        <w:t xml:space="preserve">甲方</w:t>
      </w:r>
      <w:r>
        <w:rPr>
          <w:rFonts w:hint="eastAsia" w:ascii="宋体" w:hAnsi="宋体" w:cs="宋体"/>
          <w:szCs w:val="21"/>
          <w:lang w:val="zh-CN"/>
        </w:rPr>
        <w:t xml:space="preserve">指定地点交货，并完成安装、调试。</w:t>
      </w:r>
      <w:r/>
    </w:p>
    <w:p>
      <w:pPr>
        <w:pStyle w:val="714"/>
        <w:ind w:firstLine="420"/>
        <w:spacing w:line="360" w:lineRule="auto"/>
        <w:rPr>
          <w:rFonts w:hint="eastAsia"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）交货地点：</w:t>
      </w:r>
      <w:r>
        <w:rPr>
          <w:rFonts w:hint="eastAsia" w:ascii="宋体" w:hAnsi="宋体" w:cs="宋体"/>
          <w:szCs w:val="21"/>
        </w:rPr>
        <w:t xml:space="preserve">甲方</w:t>
      </w:r>
      <w:r>
        <w:rPr>
          <w:rFonts w:hint="eastAsia" w:ascii="宋体" w:hAnsi="宋体" w:cs="宋体"/>
          <w:szCs w:val="21"/>
          <w:lang w:val="zh-CN"/>
        </w:rPr>
        <w:t xml:space="preserve">指定地点。</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四、货物包装、发运及运输</w:t>
      </w:r>
      <w:r/>
    </w:p>
    <w:p>
      <w:pPr>
        <w:pStyle w:val="714"/>
        <w:ind w:firstLine="420"/>
        <w:spacing w:line="360" w:lineRule="auto"/>
        <w:rPr>
          <w:rFonts w:hint="eastAsia"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714"/>
        <w:ind w:firstLine="420"/>
        <w:spacing w:line="360" w:lineRule="auto"/>
        <w:rPr>
          <w:rFonts w:hint="eastAsia"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714"/>
        <w:ind w:firstLine="420"/>
        <w:spacing w:line="360" w:lineRule="auto"/>
        <w:rPr>
          <w:rFonts w:hint="eastAsia"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714"/>
        <w:ind w:firstLine="420"/>
        <w:spacing w:line="360" w:lineRule="auto"/>
        <w:rPr>
          <w:rFonts w:hint="eastAsia" w:ascii="宋体" w:hAnsi="宋体" w:cs="宋体"/>
          <w:szCs w:val="21"/>
        </w:rPr>
      </w:pPr>
      <w:r>
        <w:rPr>
          <w:rFonts w:hint="eastAsia" w:ascii="宋体" w:hAnsi="宋体" w:cs="宋体"/>
          <w:szCs w:val="21"/>
        </w:rPr>
        <w:t xml:space="preserve">4.4 货物在交付甲方前发生的风险均由乙方负责。</w:t>
      </w:r>
      <w:r/>
    </w:p>
    <w:p>
      <w:pPr>
        <w:pStyle w:val="714"/>
        <w:ind w:firstLine="422"/>
        <w:spacing w:line="360" w:lineRule="auto"/>
        <w:rPr>
          <w:rFonts w:hint="eastAsia" w:ascii="宋体" w:hAnsi="宋体" w:cs="宋体"/>
          <w:szCs w:val="21"/>
        </w:rPr>
      </w:pPr>
      <w:r>
        <w:rPr>
          <w:rFonts w:hint="eastAsia" w:ascii="宋体" w:hAnsi="宋体" w:cs="宋体"/>
          <w:b/>
          <w:szCs w:val="21"/>
        </w:rPr>
        <w:t xml:space="preserve">五、质量保证及售后服务</w:t>
      </w:r>
      <w:r/>
    </w:p>
    <w:p>
      <w:pPr>
        <w:pStyle w:val="714"/>
        <w:ind w:firstLine="420"/>
        <w:spacing w:line="360" w:lineRule="auto"/>
        <w:rPr>
          <w:rFonts w:hint="eastAsia"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4"/>
        <w:ind w:firstLine="420"/>
        <w:spacing w:line="360" w:lineRule="auto"/>
        <w:rPr>
          <w:rFonts w:hint="eastAsia"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4"/>
        <w:ind w:firstLine="420"/>
        <w:spacing w:line="360" w:lineRule="auto"/>
        <w:rPr>
          <w:rFonts w:hint="eastAsia"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年。因人为因素出现的故障不在免费保修范围内。</w:t>
      </w:r>
      <w:r/>
    </w:p>
    <w:p>
      <w:pPr>
        <w:pStyle w:val="714"/>
        <w:ind w:firstLine="420"/>
        <w:spacing w:line="360" w:lineRule="auto"/>
        <w:rPr>
          <w:rFonts w:hint="eastAsia" w:ascii="宋体" w:hAnsi="宋体" w:cs="宋体"/>
          <w:szCs w:val="21"/>
        </w:rPr>
      </w:pPr>
      <w:r>
        <w:rPr>
          <w:rFonts w:hint="eastAsia" w:ascii="宋体" w:hAnsi="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14"/>
        <w:ind w:firstLine="420"/>
        <w:spacing w:line="360" w:lineRule="auto"/>
        <w:rPr>
          <w:rFonts w:hint="eastAsia"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714"/>
        <w:ind w:firstLine="420"/>
        <w:spacing w:line="360" w:lineRule="auto"/>
        <w:rPr>
          <w:rFonts w:hint="eastAsia"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六、调试和验收</w:t>
      </w:r>
      <w:r/>
    </w:p>
    <w:p>
      <w:pPr>
        <w:pStyle w:val="714"/>
        <w:ind w:firstLine="420"/>
        <w:spacing w:line="360" w:lineRule="auto"/>
        <w:rPr>
          <w:rFonts w:hint="eastAsia"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714"/>
        <w:ind w:firstLine="420"/>
        <w:spacing w:line="360" w:lineRule="auto"/>
        <w:rPr>
          <w:rFonts w:hint="eastAsia"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4"/>
        <w:ind w:firstLine="420"/>
        <w:spacing w:line="360" w:lineRule="auto"/>
        <w:rPr>
          <w:rFonts w:hint="eastAsia"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714"/>
        <w:ind w:firstLine="420"/>
        <w:spacing w:line="360" w:lineRule="auto"/>
        <w:rPr>
          <w:rFonts w:hint="eastAsia"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714"/>
        <w:ind w:firstLine="420"/>
        <w:spacing w:line="360" w:lineRule="auto"/>
        <w:rPr>
          <w:rFonts w:hint="eastAsia"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七、技术资料</w:t>
      </w:r>
      <w:r/>
    </w:p>
    <w:p>
      <w:pPr>
        <w:pStyle w:val="714"/>
        <w:ind w:firstLine="420"/>
        <w:spacing w:line="360" w:lineRule="auto"/>
        <w:rPr>
          <w:rFonts w:hint="eastAsia"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714"/>
        <w:ind w:firstLine="420"/>
        <w:spacing w:line="360" w:lineRule="auto"/>
        <w:rPr>
          <w:rFonts w:hint="eastAsia" w:ascii="宋体" w:hAnsi="宋体" w:cs="宋体"/>
          <w:szCs w:val="21"/>
        </w:rPr>
      </w:pPr>
      <w:r>
        <w:rPr>
          <w:rFonts w:hint="eastAsia" w:ascii="宋体" w:hAnsi="宋体" w:cs="宋体"/>
          <w:szCs w:val="21"/>
        </w:rPr>
        <w:t xml:space="preserve">7.2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八、知识产权</w:t>
      </w:r>
      <w:r/>
    </w:p>
    <w:p>
      <w:pPr>
        <w:ind w:firstLine="420"/>
        <w:spacing w:line="360" w:lineRule="auto"/>
        <w:rPr>
          <w:rFonts w:hint="eastAsia"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九、违约责任</w:t>
      </w:r>
      <w:r/>
    </w:p>
    <w:p>
      <w:pPr>
        <w:pStyle w:val="714"/>
        <w:ind w:firstLine="420"/>
        <w:spacing w:line="360" w:lineRule="auto"/>
        <w:rPr>
          <w:rFonts w:hint="eastAsia" w:ascii="宋体" w:hAnsi="宋体" w:cs="宋体"/>
          <w:szCs w:val="21"/>
        </w:rPr>
      </w:pPr>
      <w:r>
        <w:rPr>
          <w:rFonts w:hint="eastAsia" w:ascii="宋体" w:hAnsi="宋体" w:cs="宋体"/>
          <w:szCs w:val="21"/>
        </w:rPr>
        <w:t xml:space="preserve">9.1乙方履约的前提下，甲方无正当理由拒收货物的，甲方向乙方偿付拒收货款总值的万分之五违约金。甲方未按合同规定的时间和要求向乙方提供相关安装条件，乙方交付时间顺延。</w:t>
      </w:r>
      <w:r/>
    </w:p>
    <w:p>
      <w:pPr>
        <w:pStyle w:val="714"/>
        <w:ind w:firstLine="420"/>
        <w:spacing w:line="360" w:lineRule="auto"/>
        <w:rPr>
          <w:rFonts w:hint="eastAsia"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9.3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4"/>
        <w:ind w:firstLine="420"/>
        <w:spacing w:line="360" w:lineRule="auto"/>
        <w:rPr>
          <w:rFonts w:hint="eastAsia" w:ascii="宋体" w:hAnsi="宋体" w:cs="宋体"/>
          <w:szCs w:val="21"/>
        </w:rPr>
      </w:pPr>
      <w:r>
        <w:rPr>
          <w:rFonts w:hint="eastAsia" w:ascii="宋体" w:hAnsi="宋体" w:cs="宋体"/>
          <w:szCs w:val="21"/>
        </w:rPr>
        <w:t xml:space="preserve">9.4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4"/>
        <w:ind w:firstLine="420"/>
        <w:spacing w:line="360" w:lineRule="auto"/>
        <w:rPr>
          <w:rFonts w:hint="eastAsia" w:ascii="宋体" w:hAnsi="宋体" w:cs="宋体"/>
          <w:szCs w:val="21"/>
        </w:rPr>
      </w:pPr>
      <w:r>
        <w:rPr>
          <w:rFonts w:hint="eastAsia" w:ascii="宋体" w:hAnsi="宋体" w:cs="宋体"/>
          <w:szCs w:val="21"/>
        </w:rPr>
        <w:t xml:space="preserve">9.5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4"/>
        <w:ind w:firstLine="420"/>
        <w:spacing w:line="360" w:lineRule="auto"/>
        <w:rPr>
          <w:rFonts w:hint="eastAsia" w:ascii="宋体" w:hAnsi="宋体" w:cs="宋体"/>
          <w:szCs w:val="21"/>
        </w:rPr>
      </w:pPr>
      <w:r>
        <w:rPr>
          <w:rFonts w:hint="eastAsia" w:ascii="宋体" w:hAnsi="宋体" w:cs="宋体"/>
          <w:szCs w:val="21"/>
        </w:rPr>
        <w:t xml:space="preserve">9.6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9.7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4"/>
        <w:ind w:firstLine="420"/>
        <w:spacing w:line="360" w:lineRule="auto"/>
        <w:rPr>
          <w:rFonts w:hint="eastAsia" w:ascii="宋体" w:hAnsi="宋体" w:cs="宋体"/>
          <w:szCs w:val="21"/>
        </w:rPr>
      </w:pPr>
      <w:r>
        <w:rPr>
          <w:rFonts w:hint="eastAsia" w:ascii="宋体" w:hAnsi="宋体" w:cs="宋体"/>
          <w:szCs w:val="21"/>
        </w:rPr>
        <w:t xml:space="preserve">9.8 乙方履行义务不符合合同约定时，甲方有权扣减总货款的10%作为违约金。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十、不可抗力事件处理</w:t>
      </w:r>
      <w:r/>
    </w:p>
    <w:p>
      <w:pPr>
        <w:pStyle w:val="714"/>
        <w:ind w:firstLine="420"/>
        <w:spacing w:line="360" w:lineRule="auto"/>
        <w:rPr>
          <w:rFonts w:hint="eastAsia"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714"/>
        <w:ind w:firstLine="420"/>
        <w:spacing w:line="360" w:lineRule="auto"/>
        <w:rPr>
          <w:rFonts w:hint="eastAsia"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714"/>
        <w:ind w:firstLine="420"/>
        <w:spacing w:line="360" w:lineRule="auto"/>
        <w:rPr>
          <w:rFonts w:hint="eastAsia"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十一、诉讼</w:t>
      </w:r>
      <w:r/>
    </w:p>
    <w:p>
      <w:pPr>
        <w:pStyle w:val="714"/>
        <w:ind w:firstLine="420"/>
        <w:spacing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十二、合同生效及其它</w:t>
      </w:r>
      <w:r/>
    </w:p>
    <w:p>
      <w:pPr>
        <w:pStyle w:val="714"/>
        <w:ind w:firstLine="420"/>
        <w:spacing w:line="360" w:lineRule="auto"/>
        <w:rPr>
          <w:rFonts w:hint="eastAsia"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714"/>
        <w:ind w:firstLine="420"/>
        <w:spacing w:line="360" w:lineRule="auto"/>
        <w:rPr>
          <w:rFonts w:hint="eastAsia" w:ascii="宋体" w:hAnsi="宋体" w:cs="宋体"/>
          <w:szCs w:val="21"/>
        </w:rPr>
      </w:pPr>
      <w:r>
        <w:rPr>
          <w:rFonts w:hint="eastAsia" w:ascii="宋体" w:hAnsi="宋体" w:cs="宋体"/>
          <w:szCs w:val="21"/>
        </w:rPr>
        <w:t xml:space="preserve">12.2本合同未尽事宜，遵照《中华人民共和国民法典》有关条文执行。</w:t>
      </w:r>
      <w:r/>
    </w:p>
    <w:p>
      <w:pPr>
        <w:pStyle w:val="714"/>
        <w:ind w:firstLine="420"/>
        <w:spacing w:line="360" w:lineRule="auto"/>
        <w:rPr>
          <w:rFonts w:hint="eastAsia"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714"/>
        <w:ind w:firstLine="420"/>
        <w:spacing w:line="360" w:lineRule="auto"/>
        <w:rPr>
          <w:rFonts w:hint="eastAsia"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（以下无正文，为签字盖章处）</w:t>
      </w:r>
      <w:r/>
      <w:r>
        <w:rPr>
          <w:rFonts w:hint="eastAsia" w:ascii="宋体" w:hAnsi="宋体" w:cs="宋体"/>
          <w:szCs w:val="21"/>
        </w:rPr>
        <w:t xml:space="preserve"> </w:t>
      </w:r>
      <w:r/>
      <w:r>
        <w:rPr>
          <w:rFonts w:hint="eastAsia" w:ascii="宋体" w:hAnsi="宋体" w:cs="宋体"/>
          <w:szCs w:val="21"/>
        </w:rPr>
      </w:r>
    </w:p>
    <w:p>
      <w:pPr>
        <w:pStyle w:val="714"/>
        <w:spacing w:before="120" w:after="120" w:line="240" w:lineRule="atLeast"/>
        <w:rPr>
          <w:rFonts w:hint="eastAsia" w:ascii="宋体" w:hAnsi="宋体" w:cs="宋体"/>
          <w:szCs w:val="21"/>
        </w:rPr>
      </w:pPr>
      <w:r>
        <w:rPr>
          <w:rFonts w:hint="eastAsia" w:ascii="宋体" w:hAnsi="宋体" w:cs="宋体"/>
          <w:szCs w:val="21"/>
        </w:rPr>
      </w:r>
      <w:r/>
    </w:p>
    <w:p>
      <w:pPr>
        <w:pStyle w:val="714"/>
        <w:spacing w:before="120" w:after="120" w:line="300" w:lineRule="auto"/>
        <w:rPr>
          <w:rFonts w:hint="eastAsia" w:ascii="宋体" w:hAnsi="宋体" w:cs="宋体"/>
          <w:szCs w:val="21"/>
        </w:rPr>
      </w:pPr>
      <w:r>
        <w:rPr>
          <w:rFonts w:hint="eastAsia" w:ascii="宋体" w:hAnsi="宋体" w:cs="宋体"/>
          <w:szCs w:val="21"/>
        </w:rPr>
        <w:t xml:space="preserve">甲方： 南京工业职业技术大学（盖章）        乙方：（盖章）</w:t>
      </w:r>
      <w:r/>
    </w:p>
    <w:p>
      <w:pPr>
        <w:pStyle w:val="714"/>
        <w:spacing w:before="120" w:after="120" w:line="300" w:lineRule="auto"/>
        <w:rPr>
          <w:rFonts w:hint="eastAsia" w:ascii="宋体" w:hAnsi="宋体" w:cs="宋体"/>
          <w:szCs w:val="21"/>
        </w:rPr>
      </w:pPr>
      <w:r>
        <w:rPr>
          <w:rFonts w:hint="eastAsia" w:ascii="宋体" w:hAnsi="宋体" w:cs="宋体"/>
          <w:szCs w:val="21"/>
        </w:rPr>
        <w:t xml:space="preserve">地址：南京市栖霞区仙林大学城羊山北路1号   地址： </w:t>
      </w:r>
      <w:r/>
    </w:p>
    <w:p>
      <w:pPr>
        <w:pStyle w:val="714"/>
        <w:spacing w:before="120" w:after="120" w:line="300" w:lineRule="auto"/>
        <w:rPr>
          <w:rFonts w:hint="eastAsia" w:ascii="宋体" w:hAnsi="宋体" w:cs="宋体"/>
          <w:szCs w:val="21"/>
        </w:rPr>
      </w:pPr>
      <w:r>
        <w:rPr>
          <w:rFonts w:hint="eastAsia" w:ascii="宋体" w:hAnsi="宋体" w:cs="宋体"/>
          <w:szCs w:val="21"/>
        </w:rPr>
        <w:t xml:space="preserve">法定代表人/授权代表：（签字）              法定代表人/授权代表：（签字）</w:t>
      </w:r>
      <w:r/>
    </w:p>
    <w:p>
      <w:pPr>
        <w:pStyle w:val="714"/>
        <w:spacing w:before="120" w:after="120" w:line="300" w:lineRule="auto"/>
        <w:rPr>
          <w:rFonts w:hint="eastAsia" w:ascii="宋体" w:hAnsi="宋体" w:cs="宋体"/>
          <w:szCs w:val="21"/>
        </w:rPr>
      </w:pPr>
      <w:r>
        <w:rPr>
          <w:rFonts w:hint="eastAsia" w:ascii="宋体" w:hAnsi="宋体" w:cs="宋体"/>
          <w:szCs w:val="21"/>
        </w:rPr>
        <w:t xml:space="preserve">签订日期：   年    月    日                签订日期：   年    月    日</w:t>
      </w:r>
      <w:r/>
    </w:p>
    <w:p>
      <w:pPr>
        <w:pStyle w:val="714"/>
        <w:spacing w:before="120" w:after="120" w:line="30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附件1：</w:t>
      </w:r>
      <w:r>
        <w:rPr>
          <w:rFonts w:hint="eastAsia" w:ascii="宋体" w:hAnsi="宋体" w:cs="宋体"/>
          <w:szCs w:val="21"/>
          <w:lang w:val="zh-CN"/>
        </w:rPr>
        <w:t xml:space="preserve">分项报价表</w:t>
      </w:r>
      <w:r/>
    </w:p>
    <w:tbl>
      <w:tblPr>
        <w:tblStyle w:val="69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rPr>
                <w:rFonts w:hint="eastAsia"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int="eastAsia"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cs="宋体"/>
              </w:rPr>
            </w:pPr>
            <w:r>
              <w:rPr>
                <w:rFonts w:hint="eastAsia" w:ascii="宋体" w:hAnsi="宋体" w:cs="宋体"/>
              </w:rPr>
              <w:t xml:space="preserve">单价</w:t>
            </w:r>
            <w:r/>
          </w:p>
          <w:p>
            <w:pPr>
              <w:jc w:val="center"/>
              <w:rPr>
                <w:rFonts w:hint="eastAsia" w:ascii="宋体" w:hAnsi="宋体" w:cs="宋体"/>
              </w:rPr>
            </w:pPr>
            <w:r>
              <w:rPr>
                <w:rFonts w:hint="eastAsia" w:ascii="宋体" w:hAnsi="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rPr>
            </w:pPr>
            <w:r>
              <w:rPr>
                <w:rFonts w:hint="eastAsia" w:ascii="宋体" w:hAnsi="宋体" w:cs="宋体"/>
              </w:rPr>
              <w:t xml:space="preserve">总价</w:t>
            </w:r>
            <w:r/>
          </w:p>
          <w:p>
            <w:pPr>
              <w:jc w:val="center"/>
              <w:rPr>
                <w:rFonts w:hint="eastAsia" w:ascii="宋体" w:hAnsi="宋体" w:cs="宋体"/>
              </w:rPr>
            </w:pPr>
            <w:r>
              <w:rPr>
                <w:rFonts w:hint="eastAsia" w:ascii="宋体" w:hAnsi="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附件2：货物配置清单</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Cs w:val="21"/>
        </w:rPr>
        <w:t xml:space="preserve">附件3：投标响应时的具体项目方案（包括但不限于①实施方案、②验收配合方案、③售后服务承诺方案、④培训方案等。）</w:t>
      </w:r>
      <w:r>
        <w:rPr>
          <w:rFonts w:hint="eastAsia" w:ascii="宋体" w:hAnsi="宋体" w:cs="宋体"/>
          <w:sz w:val="24"/>
        </w:rPr>
        <w:br w:type="page" w:clear="all"/>
      </w:r>
      <w:bookmarkEnd w:id="0"/>
      <w:bookmarkEnd w:id="1"/>
      <w:r/>
    </w:p>
    <w:p>
      <w:pPr>
        <w:pStyle w:val="689"/>
        <w:numPr>
          <w:ilvl w:val="0"/>
          <w:numId w:val="0"/>
        </w:numPr>
        <w:rPr>
          <w:rFonts w:hint="eastAsia" w:ascii="宋体" w:hAnsi="宋体" w:cs="宋体"/>
        </w:rPr>
      </w:pPr>
      <w:r/>
      <w:bookmarkStart w:id="36" w:name="_Toc7019"/>
      <w:r>
        <w:rPr>
          <w:rFonts w:hint="eastAsia" w:ascii="宋体" w:hAnsi="宋体" w:cs="宋体"/>
        </w:rPr>
        <w:t xml:space="preserve">第六章 附件</w:t>
      </w:r>
      <w:bookmarkEnd w:id="36"/>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hint="eastAsia" w:ascii="宋体" w:hAnsi="宋体" w:cs="宋体"/>
          <w:sz w:val="32"/>
          <w:szCs w:val="32"/>
        </w:rPr>
      </w:pPr>
      <w:r>
        <w:rPr>
          <w:rFonts w:hint="eastAsia" w:ascii="宋体" w:hAnsi="宋体" w:cs="宋体"/>
          <w:sz w:val="32"/>
          <w:szCs w:val="32"/>
        </w:rPr>
        <w:br w:type="page" w:clear="all"/>
      </w:r>
      <w:r/>
    </w:p>
    <w:p>
      <w:pPr>
        <w:jc w:val="center"/>
        <w:spacing w:before="317" w:after="317"/>
        <w:rPr>
          <w:rFonts w:hint="eastAsia" w:ascii="宋体" w:hAnsi="宋体" w:cs="宋体"/>
          <w:b/>
          <w:bCs/>
          <w:sz w:val="32"/>
          <w:szCs w:val="32"/>
        </w:rPr>
      </w:pPr>
      <w:r>
        <w:rPr>
          <w:rFonts w:hint="eastAsia" w:ascii="宋体" w:hAnsi="宋体" w:cs="宋体"/>
          <w:b/>
          <w:bCs/>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w:t>
      </w:r>
      <w:r/>
    </w:p>
    <w:p>
      <w:pPr>
        <w:spacing w:line="460" w:lineRule="atLeast"/>
        <w:widowControl/>
        <w:rPr>
          <w:rFonts w:hint="eastAsia" w:ascii="宋体" w:hAnsi="宋体" w:cs="宋体"/>
          <w:szCs w:val="21"/>
        </w:rPr>
      </w:pPr>
      <w:r>
        <w:rPr>
          <w:rFonts w:hint="eastAsia" w:ascii="宋体" w:hAnsi="宋体" w:cs="宋体"/>
        </w:rPr>
        <w:br w:type="page" w:clear="all"/>
      </w:r>
      <w:r>
        <w:rPr>
          <w:rFonts w:hint="eastAsia" w:ascii="宋体" w:hAnsi="宋体" w:cs="宋体"/>
          <w:b/>
          <w:bCs/>
          <w:sz w:val="24"/>
        </w:rPr>
        <w:t xml:space="preserve">附件一、投标申请及声明格式</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2、按招标要求，我们的投标总报价详见开标一览表。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3、本项目交付时间为：满足采购文件要求。</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atLeast"/>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 w:val="24"/>
        </w:rPr>
        <w:t xml:space="preserve">附件二、法定代表人授权委托书格式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（投标人名称）授权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80"/>
        <w:spacing w:line="480" w:lineRule="exact"/>
        <w:rPr>
          <w:rFonts w:hint="eastAsia" w:ascii="宋体" w:hAnsi="宋体" w:cs="宋体"/>
          <w:szCs w:val="21"/>
        </w:rPr>
      </w:pPr>
      <w:r>
        <w:rPr>
          <w:rFonts w:hint="eastAsia" w:ascii="宋体" w:hAnsi="宋体" w:cs="宋体"/>
          <w:szCs w:val="21"/>
        </w:rPr>
        <w:t xml:space="preserve">本授权书自______年____月____日起生效，特此声明。</w:t>
      </w:r>
      <w:r/>
    </w:p>
    <w:p>
      <w:pPr>
        <w:ind w:firstLine="480"/>
        <w:spacing w:line="480" w:lineRule="exact"/>
        <w:rPr>
          <w:rFonts w:hint="eastAsia" w:ascii="宋体" w:hAnsi="宋体" w:cs="宋体"/>
          <w:szCs w:val="21"/>
        </w:rPr>
      </w:pPr>
      <w:r>
        <w:rPr>
          <w:rFonts w:hint="eastAsia" w:ascii="宋体" w:hAnsi="宋体" w:cs="宋体"/>
          <w:szCs w:val="21"/>
        </w:rPr>
        <w:t xml:space="preserve">被授权人身份证号码：</w:t>
      </w:r>
      <w:r/>
    </w:p>
    <w:p>
      <w:pPr>
        <w:ind w:firstLine="480"/>
        <w:spacing w:line="480" w:lineRule="exact"/>
        <w:rPr>
          <w:rFonts w:hint="eastAsia" w:ascii="宋体" w:hAnsi="宋体" w:cs="宋体"/>
          <w:szCs w:val="21"/>
          <w:u w:val="single"/>
        </w:rPr>
      </w:pPr>
      <w:r>
        <w:rPr>
          <w:rFonts w:hint="eastAsia" w:ascii="宋体" w:hAnsi="宋体" w:cs="宋体"/>
          <w:szCs w:val="21"/>
        </w:rPr>
        <w:t xml:space="preserve">被授权人联系电话：           （手机）</w:t>
      </w:r>
      <w:r/>
    </w:p>
    <w:p>
      <w:pPr>
        <w:ind w:firstLine="480"/>
        <w:spacing w:line="480" w:lineRule="exact"/>
        <w:rPr>
          <w:rFonts w:hint="eastAsia" w:ascii="宋体" w:hAnsi="宋体" w:cs="宋体"/>
          <w:szCs w:val="21"/>
          <w:u w:val="single"/>
        </w:rPr>
      </w:pPr>
      <w:r>
        <w:rPr>
          <w:rFonts w:hint="eastAsia" w:ascii="宋体" w:hAnsi="宋体" w:cs="宋体"/>
          <w:szCs w:val="21"/>
        </w:rPr>
        <w:t xml:space="preserve">投标人名称：              （加盖电子公章）</w:t>
      </w:r>
      <w:r/>
    </w:p>
    <w:p>
      <w:pPr>
        <w:ind w:firstLine="480"/>
        <w:spacing w:line="480" w:lineRule="exact"/>
        <w:rPr>
          <w:rFonts w:hint="eastAsia" w:ascii="宋体" w:hAnsi="宋体" w:cs="宋体"/>
          <w:szCs w:val="21"/>
          <w:u w:val="single"/>
        </w:rPr>
      </w:pPr>
      <w:r>
        <w:rPr>
          <w:rFonts w:hint="eastAsia" w:ascii="宋体" w:hAnsi="宋体" w:cs="宋体"/>
          <w:szCs w:val="21"/>
        </w:rPr>
        <w:t xml:space="preserve">单位地址：</w:t>
      </w:r>
      <w:r/>
    </w:p>
    <w:p>
      <w:pPr>
        <w:ind w:firstLine="480"/>
        <w:spacing w:line="480" w:lineRule="exact"/>
        <w:rPr>
          <w:rFonts w:hint="eastAsia" w:ascii="宋体" w:hAnsi="宋体" w:cs="宋体"/>
          <w:szCs w:val="21"/>
        </w:rPr>
      </w:pPr>
      <w:r>
        <w:rPr>
          <w:rFonts w:hint="eastAsia" w:ascii="宋体" w:hAnsi="宋体" w:cs="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460" w:lineRule="atLeast"/>
        <w:widowControl/>
        <w:rPr>
          <w:rFonts w:hint="eastAsia" w:ascii="宋体" w:hAnsi="宋体" w:cs="宋体"/>
          <w:lang w:val="zh-CN"/>
        </w:rPr>
      </w:pPr>
      <w:r>
        <w:rPr>
          <w:rFonts w:hint="eastAsia" w:ascii="宋体" w:hAnsi="宋体" w:cs="宋体"/>
          <w:b/>
          <w:bCs/>
          <w:szCs w:val="21"/>
        </w:rPr>
        <w:br w:type="page" w:clear="all"/>
      </w:r>
      <w:r>
        <w:rPr>
          <w:rFonts w:hint="eastAsia" w:ascii="宋体" w:hAnsi="宋体" w:cs="宋体"/>
          <w:b/>
          <w:bCs/>
          <w:sz w:val="24"/>
          <w:lang w:val="zh-CN"/>
        </w:rPr>
        <w:t xml:space="preserve">附件三、</w:t>
      </w:r>
      <w:r>
        <w:rPr>
          <w:rFonts w:hint="eastAsia" w:ascii="宋体" w:hAnsi="宋体" w:cs="宋体"/>
          <w:b/>
          <w:bCs/>
          <w:sz w:val="24"/>
        </w:rPr>
        <w:t xml:space="preserve">开标一览</w:t>
      </w:r>
      <w:r>
        <w:rPr>
          <w:rFonts w:hint="eastAsia" w:ascii="宋体" w:hAnsi="宋体" w:cs="宋体"/>
          <w:b/>
          <w:bCs/>
          <w:sz w:val="24"/>
          <w:lang w:val="zh-CN"/>
        </w:rPr>
        <w:t xml:space="preserve">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开标一览表详见苏采云系统</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说明：本项目仅接受一个价格，不得填报有选择性报价方案。若有优惠条款须注明，但不得影响报价，影响产品整体功能。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p>
    <w:p>
      <w:pPr>
        <w:spacing w:line="460" w:lineRule="atLeast"/>
        <w:widowControl/>
        <w:rPr>
          <w:rFonts w:hint="eastAsia" w:ascii="宋体" w:hAnsi="宋体" w:cs="宋体"/>
          <w:b/>
          <w:bCs/>
          <w:sz w:val="24"/>
          <w:lang w:val="zh-CN"/>
        </w:rPr>
      </w:pPr>
      <w:r>
        <w:rPr>
          <w:rFonts w:hint="eastAsia" w:ascii="宋体" w:hAnsi="宋体" w:cs="宋体"/>
          <w:b/>
          <w:bCs/>
          <w:sz w:val="24"/>
          <w:lang w:val="zh-CN"/>
        </w:rPr>
        <w:t xml:space="preserve">附件四、分项报价表</w:t>
      </w:r>
      <w:r/>
    </w:p>
    <w:tbl>
      <w:tblPr>
        <w:tblStyle w:val="699"/>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3315"/>
        <w:gridCol w:w="660"/>
        <w:gridCol w:w="675"/>
        <w:gridCol w:w="675"/>
        <w:gridCol w:w="750"/>
        <w:gridCol w:w="988"/>
        <w:gridCol w:w="960"/>
        <w:gridCol w:w="961"/>
      </w:tblGrid>
      <w:tr>
        <w:trPr>
          <w:jc w:val="center"/>
          <w:trHeight w:val="67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rPr>
                <w:rFonts w:hint="eastAsia"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rPr>
            </w:pPr>
            <w:r>
              <w:rPr>
                <w:rFonts w:hint="eastAsia" w:ascii="宋体" w:hAnsi="宋体" w:cs="宋体"/>
              </w:rPr>
              <w:t xml:space="preserve">单价</w:t>
            </w:r>
            <w:r/>
          </w:p>
          <w:p>
            <w:pPr>
              <w:jc w:val="center"/>
              <w:rPr>
                <w:rFonts w:hint="eastAsia" w:ascii="宋体" w:hAnsi="宋体" w:cs="宋体"/>
              </w:rPr>
            </w:pPr>
            <w:r>
              <w:rPr>
                <w:rFonts w:hint="eastAsia" w:ascii="宋体" w:hAnsi="宋体" w:cs="宋体"/>
              </w:rPr>
              <w:t xml:space="preserve">（元）</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rPr>
            </w:pPr>
            <w:r>
              <w:rPr>
                <w:rFonts w:hint="eastAsia" w:ascii="宋体" w:hAnsi="宋体" w:cs="宋体"/>
              </w:rPr>
              <w:t xml:space="preserve">总价</w:t>
            </w:r>
            <w:r/>
          </w:p>
          <w:p>
            <w:pPr>
              <w:jc w:val="center"/>
              <w:rPr>
                <w:rFonts w:hint="eastAsia" w:ascii="宋体" w:hAnsi="宋体" w:cs="宋体"/>
              </w:rPr>
            </w:pPr>
            <w:r>
              <w:rPr>
                <w:rFonts w:hint="eastAsia" w:ascii="宋体" w:hAnsi="宋体" w:cs="宋体"/>
              </w:rPr>
              <w:t xml:space="preserve">（元）</w:t>
            </w:r>
            <w:r/>
          </w:p>
        </w:tc>
      </w:tr>
      <w:tr>
        <w:trPr>
          <w:jc w:val="center"/>
          <w:trHeight w:val="432"/>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主工作站</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4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教师工作站</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32"/>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学生工作站</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62"/>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核心千兆交换机</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4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42U机柜</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bookmarkStart w:id="37" w:name="_Hlk240135846"/>
            <w:r>
              <w:rPr>
                <w:rFonts w:ascii="宋体" w:hAnsi="宋体" w:cs="宋体"/>
                <w:color w:val="000000"/>
                <w:highlight w:val="none"/>
              </w:rPr>
              <w:t xml:space="preserve">厂站终端仿真装置</w:t>
            </w:r>
            <w:bookmarkEnd w:id="37"/>
            <w:r>
              <w:rPr>
                <w:rFonts w:ascii="宋体" w:hAnsi="宋体" w:cs="宋体"/>
                <w:color w:val="000000"/>
                <w:highlight w:val="none"/>
              </w:rPr>
              <w:t xml:space="preserve">（FTU/RTU模拟）</w:t>
            </w:r>
            <w:r>
              <w:rPr>
                <w:rFonts w:hint="eastAsia" w:ascii="宋体" w:hAnsi="宋体" w:cs="宋体"/>
                <w:b/>
                <w:bCs/>
                <w:color w:val="000000"/>
                <w:highlight w:val="none"/>
              </w:rPr>
              <w:t xml:space="preserve">（核心产品）</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38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hint="eastAsia" w:ascii="宋体" w:hAnsi="宋体" w:cs="宋体"/>
                <w:color w:val="000000"/>
              </w:rPr>
              <w:t xml:space="preserve">EPS</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32"/>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OTDR光时域分析仪</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32"/>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光骨干网传输平台</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32"/>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电力通信规约转换实验箱</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7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11</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调度系统仿真软件教学版（EDU）</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62"/>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12</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高级应用模块</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0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13</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软件及教学资源包</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4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14</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虚拟仿真平台</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62"/>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15</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传输网管（教学授权）</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16</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模拟高压开关柜及配电终端仿真软件</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92"/>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17</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真实FTU/DTU终端</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18</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FA 测试仪/故障模拟开关/配网自动化仿真系统软件</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4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19</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FA 逻辑组态工具/故障模拟软件</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rPr>
                <w:rFonts w:hint="eastAsia" w:ascii="宋体" w:hAnsi="宋体" w:cs="宋体"/>
              </w:rPr>
            </w:pPr>
            <w:r>
              <w:rPr>
                <w:rFonts w:hint="eastAsia" w:ascii="宋体" w:hAnsi="宋体" w:cs="宋体"/>
              </w:rPr>
              <w:t xml:space="preserve">20</w:t>
            </w:r>
            <w:r/>
          </w:p>
        </w:tc>
        <w:tc>
          <w:tcPr>
            <w:tcBorders>
              <w:top w:val="single" w:color="auto" w:sz="4" w:space="0"/>
              <w:left w:val="single" w:color="auto" w:sz="4" w:space="0"/>
              <w:bottom w:val="single" w:color="auto" w:sz="4" w:space="0"/>
              <w:right w:val="single" w:color="auto" w:sz="4" w:space="0"/>
            </w:tcBorders>
            <w:tcW w:w="3315" w:type="dxa"/>
            <w:vAlign w:val="center"/>
            <w:textDirection w:val="lrTb"/>
            <w:noWrap w:val="false"/>
          </w:tcPr>
          <w:p>
            <w:pPr>
              <w:jc w:val="center"/>
              <w:spacing w:line="273" w:lineRule="exact"/>
              <w:rPr>
                <w:rFonts w:hint="eastAsia" w:ascii="宋体" w:hAnsi="宋体" w:cs="宋体"/>
              </w:rPr>
            </w:pPr>
            <w:r>
              <w:rPr>
                <w:rFonts w:ascii="宋体" w:hAnsi="宋体" w:cs="宋体"/>
                <w:color w:val="000000"/>
              </w:rPr>
              <w:t xml:space="preserve">新能源与储能并网仿真软件</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427"/>
        </w:trPr>
        <w:tc>
          <w:tcPr>
            <w:gridSpan w:val="8"/>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756"/>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说明：本项目仅接受一个价格，不得填报有选择性报价方案。若有优惠条款须注明，但不得影响报价，影响产品整体功能。 </w:t>
      </w:r>
      <w:r/>
    </w:p>
    <w:p>
      <w:pPr>
        <w:jc w:val="left"/>
        <w:widowControl/>
        <w:rPr>
          <w:rFonts w:hint="eastAsia" w:ascii="宋体" w:hAnsi="宋体" w:cs="宋体"/>
          <w:szCs w:val="21"/>
        </w:rPr>
      </w:pPr>
      <w:r>
        <w:rPr>
          <w:rFonts w:hint="eastAsia" w:ascii="宋体" w:hAnsi="宋体" w:cs="宋体"/>
          <w:szCs w:val="21"/>
        </w:rPr>
        <w:br w:type="page" w:clear="all"/>
      </w:r>
      <w:r/>
    </w:p>
    <w:p>
      <w:pPr>
        <w:spacing w:line="460" w:lineRule="atLeast"/>
        <w:widowControl/>
        <w:rPr>
          <w:rFonts w:hint="eastAsia" w:ascii="宋体" w:hAnsi="宋体" w:cs="宋体"/>
          <w:b/>
          <w:bCs/>
          <w:sz w:val="24"/>
        </w:rPr>
      </w:pPr>
      <w:r>
        <w:rPr>
          <w:rFonts w:hint="eastAsia" w:ascii="宋体" w:hAnsi="宋体" w:cs="宋体"/>
          <w:b/>
          <w:bCs/>
          <w:sz w:val="24"/>
        </w:rPr>
        <w:t xml:space="preserve"> 附件五、技术条款偏离表</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left="0"/>
        <w:jc w:val="center"/>
        <w:keepLines w:val="0"/>
        <w:keepNext w:val="0"/>
        <w:pageBreakBefore w:val="0"/>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技术条款偏离表</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699"/>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1856"/>
        <w:gridCol w:w="2136"/>
        <w:gridCol w:w="2414"/>
        <w:gridCol w:w="1161"/>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shd w:val="clear" w:color="auto" w:fill="auto"/>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shd w:val="clear" w:color="auto" w:fill="auto"/>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shd w:val="clear" w:color="auto" w:fill="auto"/>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1326"/>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gridSpan w:val="2"/>
            <w:shd w:val="clear" w:color="auto" w:fill="auto"/>
            <w:tcMar>
              <w:left w:w="10" w:type="dxa"/>
              <w:top w:w="0" w:type="dxa"/>
              <w:right w:w="10" w:type="dxa"/>
              <w:bottom w:w="0" w:type="dxa"/>
            </w:tcMar>
            <w:tcW w:w="241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我单位承诺，其余普通条款（除了要求证明材料的）均满足采购文件要求，无偏离</w:t>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无偏离</w:t>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ind w:firstLine="420"/>
        <w:jc w:val="left"/>
        <w:spacing w:line="360" w:lineRule="auto"/>
        <w:shd w:val="clear" w:color="auto" w:fill="ffffff"/>
        <w:widowControl/>
        <w:rPr>
          <w:rFonts w:hint="eastAsia" w:ascii="宋体" w:hAnsi="宋体" w:cs="宋体"/>
          <w:szCs w:val="21"/>
          <w:u w:val="single"/>
        </w:rPr>
      </w:pPr>
      <w:r>
        <w:rPr>
          <w:rFonts w:hint="eastAsia" w:ascii="宋体" w:hAnsi="宋体" w:cs="宋体"/>
          <w:szCs w:val="21"/>
        </w:rPr>
        <w:t xml:space="preserve">1、</w:t>
      </w: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需求中有其他要求的从其要求），如未附有效支撑材料或者所附的支撑材料由评标委员会认为不能佐证技术指标的有效性的，则视为负偏离。</w:t>
      </w:r>
      <w:r>
        <w:rPr>
          <w:rFonts w:hint="eastAsia" w:ascii="宋体" w:hAnsi="宋体" w:cs="宋体"/>
          <w:b/>
          <w:bCs/>
          <w:i w:val="0"/>
          <w:iCs w:val="0"/>
          <w:szCs w:val="21"/>
          <w:u w:val="none"/>
        </w:rPr>
        <w:t xml:space="preserve">如文件中要求提供证明材料，建议采用箭头、标红、下划线或页码等进行明显标注，方便评委查看</w:t>
      </w:r>
      <w:r>
        <w:rPr>
          <w:rFonts w:hint="eastAsia" w:ascii="宋体" w:hAnsi="宋体" w:cs="宋体"/>
          <w:b/>
          <w:bCs/>
          <w:i/>
          <w:iCs/>
          <w:szCs w:val="21"/>
          <w:u w:val="none"/>
        </w:rPr>
        <w:t xml:space="preserve">。</w:t>
      </w:r>
      <w:r>
        <w:rPr>
          <w:rFonts w:hint="eastAsia" w:ascii="宋体" w:hAnsi="宋体" w:cs="宋体"/>
          <w:b/>
          <w:bCs/>
          <w:szCs w:val="21"/>
          <w:u w:val="single"/>
        </w:rPr>
        <w:t xml:space="preserve">在签订合同前，采购人有权要求供应商到用户现场验证，功能、性能需与技术要求一致，否则视为虚假应标，采购人有权追究其相应法律责任。</w:t>
      </w:r>
      <w:r>
        <w:rPr>
          <w:u w:val="single"/>
        </w:rP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2、如果行数不够，请自行增加。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3、“偏离”栏应注明“无偏离”或“正偏离”或“负偏离”。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4、内容响应存在正偏离或无偏离或负偏离的，请在本表中列出。未列出的，也视为响应招标文件要求，无偏离。如果行数不够，请自行增加。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br w:type="page" w:clear="all"/>
      </w:r>
      <w:r/>
    </w:p>
    <w:p>
      <w:pPr>
        <w:spacing w:line="460" w:lineRule="atLeast"/>
        <w:widowControl/>
        <w:rPr>
          <w:rFonts w:hint="eastAsia" w:ascii="宋体" w:hAnsi="宋体" w:cs="宋体"/>
          <w:b/>
          <w:bCs/>
          <w:sz w:val="24"/>
        </w:rPr>
      </w:pPr>
      <w:r>
        <w:rPr>
          <w:rFonts w:hint="eastAsia" w:ascii="宋体" w:hAnsi="宋体" w:cs="宋体"/>
          <w:b/>
          <w:bCs/>
          <w:sz w:val="24"/>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0"/>
        <w:jc w:val="center"/>
        <w:keepLines w:val="0"/>
        <w:keepNext w:val="0"/>
        <w:pageBreakBefore w:val="0"/>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项目名称：</w:t>
      </w:r>
      <w:r>
        <w:rPr>
          <w:rFonts w:hint="eastAsia" w:ascii="宋体" w:hAnsi="宋体" w:cs="宋体"/>
          <w:szCs w:val="21"/>
          <w:lang w:val="en-US" w:eastAsia="zh-CN"/>
        </w:rPr>
        <w:t xml:space="preserve">                                  </w:t>
      </w:r>
      <w:r>
        <w:rPr>
          <w:rFonts w:hint="eastAsia" w:ascii="宋体" w:hAnsi="宋体" w:cs="宋体"/>
          <w:szCs w:val="21"/>
        </w:rPr>
        <w:t xml:space="preserve">项目编号：         </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2、“偏离”栏应注明“无偏离”或“正偏离”或“负偏离”。</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3、内容响应存在正偏离或无偏离或负偏离的，请在本表中列出。未列出的，也视为响应招标文件要求，无偏离。如果行数不够，请自行增加。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460" w:lineRule="atLeast"/>
        <w:widowControl/>
        <w:rPr>
          <w:rFonts w:hint="eastAsia" w:ascii="宋体" w:hAnsi="宋体" w:cs="宋体"/>
          <w:b/>
          <w:szCs w:val="21"/>
        </w:rPr>
      </w:pPr>
      <w:r>
        <w:rPr>
          <w:rFonts w:hint="eastAsia" w:ascii="宋体" w:hAnsi="宋体" w:cs="宋体"/>
          <w:b/>
          <w:bCs/>
          <w:szCs w:val="21"/>
        </w:rPr>
        <w:br w:type="page" w:clear="all"/>
      </w:r>
      <w:r>
        <w:rPr>
          <w:rFonts w:hint="eastAsia" w:ascii="宋体" w:hAnsi="宋体" w:cs="宋体"/>
          <w:b/>
          <w:bCs/>
          <w:sz w:val="24"/>
        </w:rPr>
        <w:t xml:space="preserve">附件七、方案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884"/>
        <w:ind w:firstLine="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884"/>
        <w:ind w:firstLine="420"/>
        <w:spacing w:before="0" w:after="0"/>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相关内容请在苏采云平台对应模块填写！</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460" w:lineRule="atLeast"/>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附件九、供应商类似业绩情况表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供应商类似业绩情况表</w:t>
      </w:r>
      <w:r/>
    </w:p>
    <w:p>
      <w:pPr>
        <w:jc w:val="center"/>
        <w:keepLines w:val="0"/>
        <w:keepNext w:val="0"/>
        <w:pageBreakBefore w:val="0"/>
        <w:spacing w:line="240" w:lineRule="auto"/>
        <w:widowControl/>
        <w:rPr>
          <w:rFonts w:hint="eastAsia" w:ascii="宋体" w:hAnsi="宋体" w:cs="宋体"/>
          <w:b/>
          <w:bCs/>
          <w:sz w:val="24"/>
        </w:rPr>
      </w:pPr>
      <w:r>
        <w:rPr>
          <w:rFonts w:hint="eastAsia" w:ascii="宋体" w:hAnsi="宋体" w:cs="宋体"/>
          <w:b/>
          <w:bCs/>
          <w:sz w:val="24"/>
        </w:rPr>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spacing w:line="460" w:lineRule="atLeast"/>
        <w:widowControl/>
        <w:rPr>
          <w:rFonts w:hint="eastAsia" w:ascii="宋体" w:hAnsi="宋体" w:cs="宋体"/>
          <w:b/>
          <w:bCs/>
        </w:rPr>
      </w:pPr>
      <w:r>
        <w:rPr>
          <w:rFonts w:hint="eastAsia" w:ascii="宋体" w:hAnsi="宋体" w:cs="宋体"/>
          <w:szCs w:val="21"/>
          <w:u w:val="single"/>
        </w:rPr>
        <w:br w:type="page" w:clear="all"/>
      </w:r>
      <w:r>
        <w:rPr>
          <w:rFonts w:hint="eastAsia" w:ascii="宋体" w:hAnsi="宋体" w:cs="宋体"/>
          <w:b/>
          <w:bCs/>
          <w:sz w:val="24"/>
        </w:rPr>
        <w:t xml:space="preserve">附件十、企业声明函格式</w:t>
      </w:r>
      <w:r/>
    </w:p>
    <w:p>
      <w:pPr>
        <w:jc w:val="center"/>
        <w:spacing w:line="300" w:lineRule="exact"/>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中小企业声明函（货物）</w:t>
      </w:r>
      <w:r/>
    </w:p>
    <w:p>
      <w:pPr>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hint="eastAsia" w:ascii="宋体" w:hAnsi="宋体" w:cs="宋体"/>
          <w:szCs w:val="21"/>
        </w:rPr>
      </w:pPr>
      <w:r>
        <w:rPr>
          <w:rFonts w:hint="eastAsia" w:ascii="宋体" w:hAnsi="宋体" w:cs="宋体"/>
          <w:szCs w:val="21"/>
        </w:rPr>
        <w:t xml:space="preserve">1.（标的名称），属于（采购文件中明确的所属行业）行业；制造商为（企业名称），从业人员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hint="eastAsia" w:ascii="宋体" w:hAnsi="宋体" w:cs="宋体"/>
          <w:szCs w:val="21"/>
        </w:rPr>
      </w:pPr>
      <w:r>
        <w:rPr>
          <w:rFonts w:hint="eastAsia" w:ascii="宋体" w:hAnsi="宋体" w:cs="宋体"/>
          <w:szCs w:val="21"/>
        </w:rPr>
        <w:t xml:space="preserve">2.（标的名称），属于（采购文件中明确的所属行业）行业；制造商为（企业名称），从业人员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hint="eastAsia" w:ascii="宋体" w:hAnsi="宋体" w:cs="宋体"/>
          <w:szCs w:val="21"/>
        </w:rPr>
      </w:pP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p>
    <w:p>
      <w:pPr>
        <w:keepLines/>
        <w:keepNext/>
        <w:rPr>
          <w:rFonts w:hint="eastAsia" w:ascii="宋体" w:hAnsi="宋体" w:cs="宋体"/>
        </w:rPr>
      </w:pPr>
      <w:r>
        <w:rPr>
          <w:rFonts w:hint="eastAsia" w:ascii="宋体" w:hAnsi="宋体" w:cs="宋体"/>
        </w:rPr>
      </w:r>
      <w:r/>
    </w:p>
    <w:p>
      <w:pPr>
        <w:ind w:firstLine="420"/>
        <w:keepLines/>
        <w:keepNext/>
        <w:rPr>
          <w:rFonts w:hint="eastAsia" w:ascii="宋体" w:hAnsi="宋体" w:cs="宋体"/>
        </w:rPr>
      </w:pPr>
      <w:r>
        <w:rPr>
          <w:rFonts w:hint="eastAsia" w:ascii="宋体" w:hAnsi="宋体" w:cs="宋体"/>
        </w:rPr>
        <w:t xml:space="preserve">备注：</w:t>
      </w:r>
      <w:r/>
    </w:p>
    <w:p>
      <w:pPr>
        <w:ind w:firstLine="420"/>
        <w:keepLines/>
        <w:keepNex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keepLines/>
        <w:keepNext/>
        <w:rPr>
          <w:rFonts w:hint="eastAsia"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420"/>
        <w:keepLines/>
        <w:keepNext/>
        <w:rPr>
          <w:rFonts w:hint="eastAsia"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422"/>
        <w:keepLines/>
        <w:keepNext/>
        <w:rPr>
          <w:rFonts w:hint="eastAsia"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firstLine="420"/>
        <w:spacing w:line="360" w:lineRule="auto"/>
        <w:rPr>
          <w:rFonts w:hint="eastAsia" w:ascii="宋体" w:hAnsi="宋体" w:cs="宋体"/>
          <w:b/>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rPr>
          <w:rFonts w:hint="eastAsia" w:ascii="宋体" w:hAnsi="宋体" w:cs="宋体"/>
          <w:b/>
        </w:rPr>
        <w:br w:type="page" w:clear="all"/>
      </w:r>
      <w:r/>
    </w:p>
    <w:p>
      <w:pPr>
        <w:rPr>
          <w:rFonts w:hint="eastAsia" w:ascii="宋体" w:hAnsi="宋体" w:cs="宋体"/>
          <w:b/>
        </w:rPr>
      </w:pPr>
      <w:r>
        <w:rPr>
          <w:rFonts w:hint="eastAsia" w:ascii="宋体" w:hAnsi="宋体" w:cs="宋体"/>
          <w:b/>
        </w:rPr>
        <w:t xml:space="preserve">附：中小企业划型标准规定</w:t>
      </w:r>
      <w:r/>
    </w:p>
    <w:p>
      <w:pPr>
        <w:ind w:firstLine="422"/>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bCs/>
          <w:sz w:val="28"/>
        </w:rPr>
      </w:pPr>
      <w:r>
        <w:rPr>
          <w:rFonts w:hint="eastAsia" w:ascii="宋体" w:hAnsi="宋体" w:cs="宋体"/>
          <w:b/>
          <w:bCs/>
          <w:sz w:val="28"/>
        </w:rPr>
      </w:r>
      <w:r/>
    </w:p>
    <w:p>
      <w:pPr>
        <w:rPr>
          <w:rFonts w:hint="eastAsia" w:ascii="宋体" w:hAnsi="宋体" w:cs="宋体"/>
          <w:b/>
          <w:bCs/>
          <w:sz w:val="28"/>
        </w:rPr>
      </w:pPr>
      <w:r>
        <w:rPr>
          <w:rFonts w:hint="eastAsia" w:ascii="宋体" w:hAnsi="宋体" w:cs="宋体"/>
          <w:b/>
          <w:bCs/>
          <w:sz w:val="28"/>
        </w:rPr>
        <w:br w:type="page" w:clear="all"/>
      </w:r>
      <w:r/>
    </w:p>
    <w:p>
      <w:pPr>
        <w:jc w:val="center"/>
        <w:spacing w:line="360" w:lineRule="auto"/>
        <w:rPr>
          <w:rFonts w:hint="eastAsia" w:ascii="宋体" w:hAnsi="宋体" w:cs="宋体"/>
          <w:b/>
          <w:bCs/>
          <w:sz w:val="28"/>
        </w:rPr>
      </w:pPr>
      <w:r>
        <w:rPr>
          <w:rFonts w:hint="eastAsia" w:ascii="宋体" w:hAnsi="宋体" w:cs="宋体"/>
          <w:b/>
          <w:bCs/>
          <w:sz w:val="28"/>
        </w:rPr>
        <w:t xml:space="preserve">关于符合本国产品标准的声明函</w:t>
      </w:r>
      <w:r/>
    </w:p>
    <w:p>
      <w:pPr>
        <w:pStyle w:val="730"/>
        <w:ind w:firstLine="420"/>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740"/>
          <w:rFonts w:hint="eastAsia"/>
          <w:color w:val="000000" w:themeColor="text1"/>
          <w:sz w:val="21"/>
          <w:szCs w:val="21"/>
          <w:u w:val="single"/>
          <w:shd w:val="clear" w:color="auto" w:fill="ffffff"/>
          <w14:textFill>
            <w14:solidFill>
              <w14:schemeClr w14:val="tx1"/>
            </w14:solidFill>
          </w14:textFill>
        </w:rPr>
        <w:t xml:space="preserve">（产品名称1）</w:t>
      </w:r>
      <w:r>
        <w:rPr>
          <w:rStyle w:val="740"/>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Style w:val="740"/>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740"/>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30"/>
        <w:ind w:firstLine="420"/>
        <w:jc w:val="both"/>
        <w:spacing w:before="0" w:beforeAutospacing="0" w:after="0" w:afterAutospacing="0" w:line="360" w:lineRule="auto"/>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730"/>
        <w:ind w:firstLine="480"/>
        <w:jc w:val="right"/>
        <w:spacing w:before="0" w:beforeAutospacing="0" w:after="0" w:afterAutospacing="0" w:line="360" w:lineRule="auto"/>
        <w:shd w:val="clear" w:color="auto" w:fill="ffffff"/>
        <w:rPr>
          <w:rFonts w:hint="eastAsia"/>
          <w:color w:val="333333"/>
          <w:sz w:val="21"/>
          <w:szCs w:val="21"/>
        </w:rPr>
      </w:pPr>
      <w:r>
        <w:rPr>
          <w:rFonts w:hint="eastAsia"/>
          <w:szCs w:val="21"/>
        </w:rPr>
        <w:t xml:space="preserve">     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w:t>
      </w:r>
      <w:r/>
    </w:p>
    <w:p>
      <w:pPr>
        <w:pStyle w:val="730"/>
        <w:ind w:firstLine="420"/>
        <w:jc w:val="right"/>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                                 日期：　　　年　　月　日</w:t>
      </w:r>
      <w:r/>
    </w:p>
    <w:p>
      <w:pPr>
        <w:pStyle w:val="730"/>
        <w:ind w:firstLine="420"/>
        <w:spacing w:before="0" w:beforeAutospacing="0" w:after="0" w:afterAutospacing="0"/>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730"/>
        <w:ind w:firstLine="420"/>
        <w:spacing w:before="0" w:beforeAutospacing="0" w:after="0" w:afterAutospacing="0"/>
        <w:shd w:val="clear" w:color="auto" w:fill="ffffff"/>
        <w:rPr>
          <w:rFonts w:hint="eastAsia"/>
          <w:color w:val="333333"/>
          <w:sz w:val="21"/>
          <w:szCs w:val="21"/>
          <w:shd w:val="clear" w:color="auto" w:fill="ffffff"/>
        </w:rPr>
      </w:pPr>
      <w:r>
        <w:rPr>
          <w:rFonts w:hint="eastAsia"/>
          <w:color w:val="333333"/>
          <w:sz w:val="21"/>
          <w:szCs w:val="21"/>
          <w:shd w:val="clear" w:color="auto" w:fill="ffffff"/>
        </w:rPr>
        <w:t xml:space="preserve">备注：</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730"/>
        <w:ind w:firstLine="420"/>
        <w:jc w:val="both"/>
        <w:spacing w:before="0" w:beforeAutospacing="0" w:after="0" w:afterAutospacing="0" w:line="360" w:lineRule="auto"/>
        <w:rPr>
          <w:rFonts w:hint="eastAsia"/>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730"/>
        <w:ind w:firstLine="420"/>
        <w:jc w:val="both"/>
        <w:spacing w:before="0" w:beforeAutospacing="0" w:after="0" w:afterAutospacing="0" w:line="360" w:lineRule="auto"/>
        <w:rPr>
          <w:rFonts w:hint="eastAsia"/>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737"/>
          <w:rFonts w:hint="eastAsia"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730"/>
        <w:jc w:val="right"/>
        <w:spacing w:before="0" w:beforeAutospacing="0" w:after="0" w:afterAutospacing="0" w:line="360" w:lineRule="auto"/>
        <w:shd w:val="clear" w:color="auto" w:fill="ffffff"/>
        <w:rPr>
          <w:rFonts w:hint="eastAsia"/>
          <w:color w:val="333333"/>
          <w:sz w:val="21"/>
          <w:szCs w:val="21"/>
        </w:rPr>
      </w:pPr>
      <w:r>
        <w:rPr>
          <w:rFonts w:hint="eastAsia"/>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right"/>
        <w:rPr>
          <w:rFonts w:hint="eastAsia"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hint="eastAsia" w:ascii="宋体" w:hAnsi="宋体" w:cs="宋体"/>
          <w:sz w:val="28"/>
        </w:rPr>
      </w:pPr>
      <w:r>
        <w:rPr>
          <w:rFonts w:hint="eastAsia" w:ascii="宋体" w:hAnsi="宋体" w:cs="宋体"/>
          <w:sz w:val="28"/>
        </w:rPr>
      </w:r>
      <w:r/>
    </w:p>
    <w:p>
      <w:pPr>
        <w:ind w:firstLine="420"/>
        <w:spacing w:line="360" w:lineRule="auto"/>
        <w:rPr>
          <w:rFonts w:hint="eastAsia"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hint="eastAsia"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hint="eastAsia" w:ascii="宋体" w:hAnsi="宋体" w:cs="宋体"/>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8"/>
        </w:rPr>
        <w:br w:type="page" w:clear="all"/>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b/>
          <w:bCs/>
          <w:sz w:val="28"/>
          <w:szCs w:val="36"/>
        </w:rPr>
      </w:pPr>
      <w:r>
        <w:rPr>
          <w:rFonts w:hint="eastAsia" w:ascii="宋体" w:hAnsi="宋体" w:cs="宋体"/>
          <w:b/>
          <w:bCs/>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jc w:val="right"/>
        <w:spacing w:line="360" w:lineRule="auto"/>
        <w:rPr>
          <w:rFonts w:hint="eastAsia"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p>
    <w:p>
      <w:pPr>
        <w:ind w:firstLine="5940"/>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t xml:space="preserve">附件十二、资格资信证明文件</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rPr>
      </w:pPr>
      <w:r>
        <w:rPr>
          <w:rFonts w:hint="eastAsia" w:ascii="宋体" w:hAnsi="宋体" w:cs="宋体"/>
          <w:b/>
        </w:rPr>
        <w:t xml:space="preserve">根据采购公告中“二、申请人的资格要求”在苏采云平台对应模块填写</w:t>
      </w:r>
      <w:r/>
    </w:p>
    <w:p>
      <w:pPr>
        <w:spacing w:line="360" w:lineRule="auto"/>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附件十三、其他</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Cs w:val="21"/>
        </w:rPr>
      </w:pPr>
      <w:r>
        <w:rPr>
          <w:rFonts w:hint="eastAsia" w:ascii="宋体" w:hAnsi="宋体" w:cs="宋体"/>
          <w:b/>
        </w:rPr>
        <w:t xml:space="preserve">供应商需要补充的其他内容</w:t>
      </w:r>
      <w:r/>
    </w:p>
    <w:p>
      <w:pPr>
        <w:spacing w:line="440" w:lineRule="exact"/>
        <w:rPr>
          <w:rFonts w:hint="eastAsia" w:ascii="宋体" w:hAnsi="宋体" w:cs="宋体"/>
          <w:b/>
          <w:bCs/>
          <w:szCs w:val="21"/>
        </w:rPr>
      </w:pPr>
      <w:r>
        <w:rPr>
          <w:rFonts w:hint="eastAsia" w:ascii="宋体" w:hAnsi="宋体" w:cs="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5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8"/>
      <w:isLgl/>
      <w:suff w:val="tab"/>
      <w:lvlText w:val="%1.%2"/>
      <w:lvlJc w:val="left"/>
      <w:pPr>
        <w:ind w:left="425" w:hanging="425"/>
      </w:pPr>
      <w:rPr>
        <w:rFonts w:hint="eastAsia" w:ascii="Arial Unicode MS" w:hAnsi="Arial Unicode MS" w:eastAsia="微软雅黑"/>
        <w:b/>
        <w:i w:val="0"/>
      </w:rPr>
    </w:lvl>
    <w:lvl w:ilvl="2">
      <w:start w:val="1"/>
      <w:numFmt w:val="decimal"/>
      <w:pStyle w:val="88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2"/>
    <w:uiPriority w:val="10"/>
    <w:rPr>
      <w:sz w:val="48"/>
      <w:szCs w:val="48"/>
    </w:rPr>
  </w:style>
  <w:style w:type="character" w:styleId="36">
    <w:name w:val="Subtitle Char"/>
    <w:basedOn w:val="698"/>
    <w:link w:val="724"/>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1"/>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6"/>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804"/>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4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4"/>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80"/>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35"/>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20"/>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8"/>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922"/>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8"/>
    <w:uiPriority w:val="0"/>
    <w:qFormat/>
    <w:rPr>
      <w:rFonts w:ascii="宋体"/>
      <w:sz w:val="18"/>
      <w:szCs w:val="18"/>
    </w:rPr>
  </w:style>
  <w:style w:type="paragraph" w:styleId="706">
    <w:name w:val="annotation text"/>
    <w:basedOn w:val="688"/>
    <w:link w:val="812"/>
    <w:uiPriority w:val="0"/>
    <w:qFormat/>
    <w:pPr>
      <w:jc w:val="left"/>
    </w:pPr>
  </w:style>
  <w:style w:type="paragraph" w:styleId="707">
    <w:name w:val="Body Text 3"/>
    <w:basedOn w:val="688"/>
    <w:link w:val="831"/>
    <w:uiPriority w:val="0"/>
    <w:qFormat/>
    <w:rPr>
      <w:rFonts w:ascii="宋体"/>
      <w:sz w:val="24"/>
      <w:szCs w:val="20"/>
    </w:rPr>
  </w:style>
  <w:style w:type="paragraph" w:styleId="708">
    <w:name w:val="Body Text"/>
    <w:basedOn w:val="688"/>
    <w:next w:val="688"/>
    <w:link w:val="819"/>
    <w:uiPriority w:val="0"/>
    <w:qFormat/>
    <w:pPr>
      <w:jc w:val="center"/>
    </w:pPr>
    <w:rPr>
      <w:rFonts w:eastAsia="幼圆"/>
      <w:b/>
      <w:bCs/>
      <w:sz w:val="44"/>
    </w:rPr>
  </w:style>
  <w:style w:type="paragraph" w:styleId="709">
    <w:name w:val="Body Text Indent"/>
    <w:basedOn w:val="688"/>
    <w:link w:val="775"/>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600"/>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1"/>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89"/>
    <w:uiPriority w:val="0"/>
    <w:unhideWhenUsed/>
    <w:qFormat/>
  </w:style>
  <w:style w:type="paragraph" w:styleId="717">
    <w:name w:val="Body Text Indent 2"/>
    <w:basedOn w:val="688"/>
    <w:link w:val="811"/>
    <w:uiPriority w:val="99"/>
    <w:unhideWhenUsed/>
    <w:qFormat/>
    <w:pPr>
      <w:ind w:firstLine="525"/>
      <w:spacing w:line="420" w:lineRule="exact"/>
    </w:pPr>
    <w:rPr>
      <w:rFonts w:ascii="宋体"/>
      <w:sz w:val="20"/>
      <w:szCs w:val="20"/>
    </w:rPr>
  </w:style>
  <w:style w:type="paragraph" w:styleId="718">
    <w:name w:val="Balloon Text"/>
    <w:basedOn w:val="688"/>
    <w:link w:val="834"/>
    <w:uiPriority w:val="0"/>
    <w:qFormat/>
    <w:rPr>
      <w:sz w:val="18"/>
      <w:szCs w:val="18"/>
    </w:rPr>
  </w:style>
  <w:style w:type="paragraph" w:styleId="719">
    <w:name w:val="Footer"/>
    <w:basedOn w:val="688"/>
    <w:link w:val="824"/>
    <w:uiPriority w:val="99"/>
    <w:qFormat/>
    <w:pPr>
      <w:jc w:val="left"/>
      <w:tabs>
        <w:tab w:val="center" w:pos="4153" w:leader="none"/>
        <w:tab w:val="right" w:pos="8306" w:leader="none"/>
      </w:tabs>
    </w:pPr>
    <w:rPr>
      <w:sz w:val="18"/>
      <w:szCs w:val="18"/>
    </w:rPr>
  </w:style>
  <w:style w:type="paragraph" w:styleId="720">
    <w:name w:val="envelope return"/>
    <w:basedOn w:val="688"/>
    <w:uiPriority w:val="0"/>
    <w:qFormat/>
    <w:rPr>
      <w:rFonts w:ascii="Arial" w:hAnsi="Arial"/>
    </w:rPr>
  </w:style>
  <w:style w:type="paragraph" w:styleId="721">
    <w:name w:val="Header"/>
    <w:basedOn w:val="688"/>
    <w:link w:val="779"/>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8"/>
    <w:next w:val="688"/>
    <w:uiPriority w:val="39"/>
    <w:qFormat/>
  </w:style>
  <w:style w:type="paragraph" w:styleId="723">
    <w:name w:val="toc 4"/>
    <w:basedOn w:val="688"/>
    <w:next w:val="688"/>
    <w:uiPriority w:val="39"/>
    <w:unhideWhenUsed/>
    <w:qFormat/>
    <w:pPr>
      <w:ind w:left="1260"/>
    </w:pPr>
    <w:rPr>
      <w:rFonts w:ascii="Calibri" w:hAnsi="Calibri"/>
      <w:szCs w:val="22"/>
    </w:rPr>
  </w:style>
  <w:style w:type="paragraph" w:styleId="724">
    <w:name w:val="Subtitle"/>
    <w:basedOn w:val="688"/>
    <w:next w:val="688"/>
    <w:link w:val="807"/>
    <w:uiPriority w:val="0"/>
    <w:qFormat/>
    <w:pPr>
      <w:jc w:val="center"/>
      <w:spacing w:before="240" w:after="60" w:line="312" w:lineRule="auto"/>
      <w:outlineLvl w:val="1"/>
    </w:pPr>
    <w:rPr>
      <w:rFonts w:ascii="Cambria" w:hAnsi="Cambria"/>
      <w:b/>
      <w:bCs/>
      <w:sz w:val="32"/>
      <w:szCs w:val="32"/>
    </w:rPr>
  </w:style>
  <w:style w:type="paragraph" w:styleId="725">
    <w:name w:val="toc 6"/>
    <w:basedOn w:val="688"/>
    <w:next w:val="688"/>
    <w:uiPriority w:val="39"/>
    <w:unhideWhenUsed/>
    <w:qFormat/>
    <w:pPr>
      <w:ind w:left="2100"/>
    </w:pPr>
    <w:rPr>
      <w:rFonts w:ascii="Calibri" w:hAnsi="Calibri"/>
      <w:szCs w:val="22"/>
    </w:rPr>
  </w:style>
  <w:style w:type="paragraph" w:styleId="726">
    <w:name w:val="Body Text Indent 3"/>
    <w:basedOn w:val="688"/>
    <w:link w:val="832"/>
    <w:uiPriority w:val="0"/>
    <w:qFormat/>
    <w:pPr>
      <w:ind w:left="420"/>
      <w:spacing w:after="120"/>
    </w:pPr>
    <w:rPr>
      <w:sz w:val="16"/>
      <w:szCs w:val="20"/>
    </w:rPr>
  </w:style>
  <w:style w:type="paragraph" w:styleId="727">
    <w:name w:val="toc 2"/>
    <w:basedOn w:val="688"/>
    <w:next w:val="688"/>
    <w:uiPriority w:val="39"/>
    <w:qFormat/>
    <w:pPr>
      <w:ind w:left="420"/>
    </w:pPr>
    <w:rPr>
      <w:rFonts w:ascii="Calibri" w:hAnsi="Calibri"/>
      <w:szCs w:val="22"/>
    </w:rPr>
  </w:style>
  <w:style w:type="paragraph" w:styleId="728">
    <w:name w:val="toc 9"/>
    <w:basedOn w:val="688"/>
    <w:next w:val="688"/>
    <w:uiPriority w:val="39"/>
    <w:unhideWhenUsed/>
    <w:qFormat/>
    <w:pPr>
      <w:ind w:left="3360"/>
    </w:pPr>
    <w:rPr>
      <w:rFonts w:ascii="Calibri" w:hAnsi="Calibri"/>
      <w:szCs w:val="22"/>
    </w:rPr>
  </w:style>
  <w:style w:type="paragraph" w:styleId="729">
    <w:name w:val="HTML Preformatted"/>
    <w:basedOn w:val="688"/>
    <w:link w:val="91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8"/>
    <w:uiPriority w:val="0"/>
    <w:qFormat/>
    <w:pPr>
      <w:jc w:val="left"/>
      <w:spacing w:before="100" w:beforeAutospacing="1" w:after="100" w:afterAutospacing="1"/>
      <w:widowControl/>
    </w:pPr>
    <w:rPr>
      <w:rFonts w:ascii="宋体" w:hAnsi="宋体" w:cs="宋体"/>
      <w:sz w:val="24"/>
    </w:rPr>
  </w:style>
  <w:style w:type="paragraph" w:styleId="731">
    <w:name w:val="index 1"/>
    <w:basedOn w:val="688"/>
    <w:next w:val="688"/>
    <w:uiPriority w:val="0"/>
    <w:qFormat/>
    <w:pPr>
      <w:jc w:val="center"/>
      <w:spacing w:line="220" w:lineRule="exact"/>
    </w:pPr>
    <w:rPr>
      <w:rFonts w:ascii="仿宋_GB2312" w:hAnsi="Calibri" w:eastAsia="仿宋_GB2312"/>
      <w:szCs w:val="22"/>
    </w:rPr>
  </w:style>
  <w:style w:type="paragraph" w:styleId="732">
    <w:name w:val="Title"/>
    <w:basedOn w:val="688"/>
    <w:link w:val="784"/>
    <w:uiPriority w:val="0"/>
    <w:qFormat/>
    <w:pPr>
      <w:jc w:val="center"/>
      <w:spacing w:before="240" w:after="60" w:line="420" w:lineRule="atLeast"/>
      <w:outlineLvl w:val="0"/>
    </w:pPr>
    <w:rPr>
      <w:rFonts w:ascii="Arial" w:hAnsi="Arial"/>
      <w:b/>
      <w:sz w:val="32"/>
      <w:szCs w:val="20"/>
    </w:rPr>
  </w:style>
  <w:style w:type="paragraph" w:styleId="733">
    <w:name w:val="annotation subject"/>
    <w:basedOn w:val="706"/>
    <w:next w:val="706"/>
    <w:link w:val="822"/>
    <w:uiPriority w:val="0"/>
    <w:qFormat/>
    <w:rPr>
      <w:b/>
      <w:bCs/>
    </w:rPr>
  </w:style>
  <w:style w:type="paragraph" w:styleId="734">
    <w:name w:val="Body Text First Indent"/>
    <w:basedOn w:val="708"/>
    <w:uiPriority w:val="99"/>
    <w:unhideWhenUsed/>
    <w:qFormat/>
    <w:pPr>
      <w:ind w:firstLine="426"/>
      <w:spacing w:line="400" w:lineRule="atLeast"/>
    </w:pPr>
    <w:rPr>
      <w:sz w:val="24"/>
      <w:szCs w:val="20"/>
    </w:rPr>
  </w:style>
  <w:style w:type="paragraph" w:styleId="735">
    <w:name w:val="Body Text First Indent 2"/>
    <w:basedOn w:val="709"/>
    <w:uiPriority w:val="99"/>
    <w:unhideWhenUsed/>
    <w:qFormat/>
    <w:pPr>
      <w:ind w:firstLine="420"/>
    </w:pPr>
  </w:style>
  <w:style w:type="table" w:styleId="736">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98"/>
    <w:uiPriority w:val="0"/>
    <w:qFormat/>
    <w:rPr>
      <w:rFonts w:cs="Times New Roman"/>
      <w:b/>
    </w:rPr>
  </w:style>
  <w:style w:type="character" w:styleId="738">
    <w:name w:val="page number"/>
    <w:uiPriority w:val="0"/>
    <w:qFormat/>
    <w:rPr>
      <w:rFonts w:eastAsia="宋体"/>
      <w:b/>
      <w:spacing w:val="0"/>
      <w:sz w:val="24"/>
      <w:szCs w:val="24"/>
      <w:vertAlign w:val="baseline"/>
      <w:lang w:val="en-US" w:eastAsia="zh-CN" w:bidi="ar-SA"/>
    </w:rPr>
  </w:style>
  <w:style w:type="character" w:styleId="739">
    <w:name w:val="FollowedHyperlink"/>
    <w:uiPriority w:val="0"/>
    <w:qFormat/>
    <w:rPr>
      <w:color w:val="800080"/>
      <w:u w:val="single"/>
    </w:rPr>
  </w:style>
  <w:style w:type="character" w:styleId="740">
    <w:name w:val="Emphasis"/>
    <w:basedOn w:val="698"/>
    <w:uiPriority w:val="0"/>
    <w:qFormat/>
    <w:rPr>
      <w:color w:val="cc0000"/>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HTML Cite"/>
    <w:uiPriority w:val="0"/>
    <w:qFormat/>
    <w:rPr>
      <w:color w:val="008000"/>
    </w:rPr>
  </w:style>
  <w:style w:type="paragraph" w:styleId="744" w:customStyle="1">
    <w:name w:val="一级条标题"/>
    <w:basedOn w:val="745"/>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5"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6" w:customStyle="1">
    <w:name w:val="段"/>
    <w:basedOn w:val="747"/>
    <w:next w:val="688"/>
    <w:uiPriority w:val="0"/>
    <w:qFormat/>
    <w:pPr>
      <w:ind w:firstLine="200"/>
      <w:widowControl/>
    </w:pPr>
    <w:rPr>
      <w:rFonts w:hint="eastAsia" w:ascii="宋体"/>
    </w:rPr>
  </w:style>
  <w:style w:type="paragraph" w:styleId="747" w:customStyle="1">
    <w:name w:val="正文1"/>
    <w:next w:val="748"/>
    <w:uiPriority w:val="0"/>
    <w:qFormat/>
    <w:pPr>
      <w:jc w:val="both"/>
      <w:widowControl w:val="off"/>
    </w:pPr>
    <w:rPr>
      <w:rFonts w:ascii="Calibri" w:hAnsi="Calibri" w:eastAsia="宋体" w:cs="Times New Roman"/>
      <w:lang w:val="en-US" w:eastAsia="zh-CN" w:bidi="ar-SA"/>
    </w:rPr>
  </w:style>
  <w:style w:type="paragraph" w:styleId="748" w:customStyle="1">
    <w:name w:val="正文文本1"/>
    <w:basedOn w:val="749"/>
    <w:next w:val="744"/>
    <w:uiPriority w:val="0"/>
    <w:qFormat/>
    <w:rPr>
      <w:rFonts w:ascii="楷体_GB2312" w:hAnsi="Arial" w:eastAsia="楷体_GB2312"/>
      <w:sz w:val="28"/>
      <w:szCs w:val="28"/>
    </w:rPr>
  </w:style>
  <w:style w:type="paragraph" w:styleId="749" w:customStyle="1">
    <w:name w:val="正文111"/>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50" w:customStyle="1">
    <w:name w:val="正文文本缩进1"/>
    <w:basedOn w:val="751"/>
    <w:next w:val="754"/>
    <w:uiPriority w:val="0"/>
    <w:qFormat/>
    <w:pPr>
      <w:ind w:left="420"/>
      <w:spacing w:after="120"/>
    </w:pPr>
  </w:style>
  <w:style w:type="paragraph" w:styleId="751" w:customStyle="1">
    <w:name w:val="正文11"/>
    <w:next w:val="752"/>
    <w:uiPriority w:val="0"/>
    <w:qFormat/>
    <w:rPr>
      <w:rFonts w:ascii="Calibri" w:hAnsi="Calibri" w:eastAsia="宋体" w:cs="Calibri"/>
      <w:sz w:val="24"/>
      <w:szCs w:val="24"/>
      <w:lang w:val="en-US" w:eastAsia="zh-CN" w:bidi="ar-SA"/>
    </w:rPr>
  </w:style>
  <w:style w:type="paragraph" w:styleId="752" w:customStyle="1">
    <w:name w:val="文本块1"/>
    <w:basedOn w:val="749"/>
    <w:next w:val="753"/>
    <w:uiPriority w:val="0"/>
    <w:qFormat/>
    <w:pPr>
      <w:ind w:left="256" w:right="6" w:firstLine="624"/>
    </w:pPr>
    <w:rPr>
      <w:rFonts w:eastAsia="仿宋_GB2312"/>
      <w:sz w:val="28"/>
    </w:rPr>
  </w:style>
  <w:style w:type="paragraph" w:styleId="753" w:customStyle="1">
    <w:name w:val="标题 41"/>
    <w:basedOn w:val="751"/>
    <w:next w:val="751"/>
    <w:uiPriority w:val="0"/>
    <w:qFormat/>
    <w:pPr>
      <w:keepLines/>
      <w:keepNext/>
      <w:spacing w:before="280" w:after="290" w:line="376" w:lineRule="auto"/>
      <w:outlineLvl w:val="3"/>
    </w:pPr>
    <w:rPr>
      <w:rFonts w:ascii="Cambria" w:hAnsi="Cambria"/>
      <w:b/>
      <w:bCs/>
      <w:sz w:val="28"/>
      <w:szCs w:val="28"/>
    </w:rPr>
  </w:style>
  <w:style w:type="paragraph" w:styleId="754" w:customStyle="1">
    <w:name w:val="寄信人地址1"/>
    <w:basedOn w:val="688"/>
    <w:uiPriority w:val="0"/>
    <w:qFormat/>
    <w:rPr>
      <w:rFonts w:ascii="Arial" w:hAnsi="Arial"/>
    </w:rPr>
  </w:style>
  <w:style w:type="paragraph" w:styleId="75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7" w:customStyle="1">
    <w:name w:val="Body Text First Indent 21"/>
    <w:basedOn w:val="758"/>
    <w:uiPriority w:val="0"/>
    <w:qFormat/>
    <w:pPr>
      <w:ind w:firstLine="420"/>
    </w:pPr>
  </w:style>
  <w:style w:type="paragraph" w:styleId="758" w:customStyle="1">
    <w:name w:val="Body Text Indent1"/>
    <w:basedOn w:val="688"/>
    <w:uiPriority w:val="0"/>
    <w:qFormat/>
    <w:pPr>
      <w:ind w:left="420"/>
    </w:pPr>
  </w:style>
  <w:style w:type="paragraph" w:styleId="759">
    <w:name w:val="List Paragraph"/>
    <w:basedOn w:val="688"/>
    <w:link w:val="939"/>
    <w:uiPriority w:val="99"/>
    <w:qFormat/>
    <w:pPr>
      <w:ind w:firstLine="420"/>
    </w:pPr>
  </w:style>
  <w:style w:type="character" w:styleId="760" w:customStyle="1">
    <w:name w:val="明显强调1"/>
    <w:uiPriority w:val="0"/>
    <w:qFormat/>
    <w:rPr>
      <w:b/>
      <w:bCs/>
      <w:i/>
      <w:iCs/>
      <w:color w:val="4f81bd"/>
    </w:rPr>
  </w:style>
  <w:style w:type="character" w:styleId="761" w:customStyle="1">
    <w:name w:val="批注文字 Char2"/>
    <w:uiPriority w:val="0"/>
    <w:qFormat/>
    <w:rPr>
      <w:sz w:val="21"/>
    </w:rPr>
  </w:style>
  <w:style w:type="character" w:styleId="762" w:customStyle="1">
    <w:name w:val="标题 3 Char_0"/>
    <w:link w:val="763"/>
    <w:uiPriority w:val="0"/>
    <w:qFormat/>
    <w:rPr>
      <w:b/>
      <w:bCs/>
      <w:sz w:val="32"/>
      <w:szCs w:val="32"/>
    </w:rPr>
  </w:style>
  <w:style w:type="paragraph" w:styleId="763" w:customStyle="1">
    <w:name w:val="标题 3_0"/>
    <w:basedOn w:val="764"/>
    <w:next w:val="764"/>
    <w:link w:val="762"/>
    <w:uiPriority w:val="0"/>
    <w:qFormat/>
    <w:pPr>
      <w:keepLines/>
      <w:keepNext/>
      <w:spacing w:before="260" w:after="260" w:line="416" w:lineRule="auto"/>
      <w:outlineLvl w:val="2"/>
    </w:pPr>
    <w:rPr>
      <w:b/>
      <w:bCs/>
      <w:sz w:val="32"/>
      <w:szCs w:val="32"/>
    </w:rPr>
  </w:style>
  <w:style w:type="paragraph" w:styleId="7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5" w:customStyle="1">
    <w:name w:val="标题 2 字符"/>
    <w:link w:val="690"/>
    <w:uiPriority w:val="0"/>
    <w:qFormat/>
    <w:rPr>
      <w:rFonts w:ascii="Cambria" w:hAnsi="Cambria"/>
      <w:b/>
      <w:bCs/>
      <w:sz w:val="32"/>
      <w:szCs w:val="32"/>
    </w:rPr>
  </w:style>
  <w:style w:type="character" w:styleId="766" w:customStyle="1">
    <w:name w:val="正文文本 Char2"/>
    <w:uiPriority w:val="99"/>
    <w:semiHidden/>
    <w:qFormat/>
    <w:rPr>
      <w:rFonts w:ascii="Calibri" w:hAnsi="Calibri" w:eastAsia="宋体" w:cs="Times New Roman"/>
    </w:rPr>
  </w:style>
  <w:style w:type="character" w:styleId="767" w:customStyle="1">
    <w:name w:val="页脚 Char1"/>
    <w:uiPriority w:val="99"/>
    <w:semiHidden/>
    <w:qFormat/>
    <w:rPr>
      <w:rFonts w:ascii="Calibri" w:hAnsi="Calibri" w:eastAsia="宋体" w:cs="Times New Roman"/>
      <w:sz w:val="18"/>
      <w:szCs w:val="18"/>
    </w:rPr>
  </w:style>
  <w:style w:type="character" w:styleId="768" w:customStyle="1">
    <w:name w:val="明显引用 Char2"/>
    <w:uiPriority w:val="99"/>
    <w:qFormat/>
    <w:rPr>
      <w:b/>
      <w:bCs/>
      <w:i/>
      <w:iCs/>
      <w:color w:val="4f81bd"/>
      <w:sz w:val="21"/>
      <w:szCs w:val="24"/>
    </w:rPr>
  </w:style>
  <w:style w:type="character" w:styleId="769" w:customStyle="1">
    <w:name w:val="引用 Char"/>
    <w:link w:val="770"/>
    <w:uiPriority w:val="0"/>
    <w:qFormat/>
    <w:rPr>
      <w:i/>
      <w:iCs/>
      <w:color w:val="000000"/>
    </w:rPr>
  </w:style>
  <w:style w:type="paragraph" w:styleId="770" w:customStyle="1">
    <w:name w:val="引用1"/>
    <w:basedOn w:val="688"/>
    <w:next w:val="688"/>
    <w:link w:val="769"/>
    <w:uiPriority w:val="0"/>
    <w:qFormat/>
    <w:rPr>
      <w:i/>
      <w:iCs/>
      <w:color w:val="000000"/>
      <w:sz w:val="20"/>
      <w:szCs w:val="20"/>
    </w:rPr>
  </w:style>
  <w:style w:type="character" w:styleId="771" w:customStyle="1">
    <w:name w:val="标题 1 Char_0"/>
    <w:link w:val="772"/>
    <w:uiPriority w:val="0"/>
    <w:qFormat/>
    <w:rPr>
      <w:b/>
      <w:bCs/>
      <w:sz w:val="44"/>
      <w:szCs w:val="44"/>
    </w:rPr>
  </w:style>
  <w:style w:type="paragraph" w:styleId="772" w:customStyle="1">
    <w:name w:val="标题 1_0"/>
    <w:basedOn w:val="764"/>
    <w:next w:val="764"/>
    <w:link w:val="771"/>
    <w:uiPriority w:val="0"/>
    <w:qFormat/>
    <w:pPr>
      <w:keepLines/>
      <w:keepNext/>
      <w:spacing w:before="340" w:after="330" w:line="578" w:lineRule="auto"/>
      <w:outlineLvl w:val="0"/>
    </w:pPr>
    <w:rPr>
      <w:b/>
      <w:bCs/>
      <w:sz w:val="44"/>
      <w:szCs w:val="44"/>
    </w:rPr>
  </w:style>
  <w:style w:type="character" w:styleId="773" w:customStyle="1">
    <w:name w:val="正文文本缩进 3 Char1"/>
    <w:uiPriority w:val="99"/>
    <w:semiHidden/>
    <w:qFormat/>
    <w:rPr>
      <w:sz w:val="16"/>
      <w:szCs w:val="16"/>
    </w:rPr>
  </w:style>
  <w:style w:type="character" w:styleId="774" w:customStyle="1">
    <w:name w:val="引用 Char1"/>
    <w:uiPriority w:val="29"/>
    <w:qFormat/>
    <w:rPr>
      <w:i/>
      <w:iCs/>
      <w:color w:val="000000"/>
      <w:sz w:val="21"/>
    </w:rPr>
  </w:style>
  <w:style w:type="character" w:styleId="775" w:customStyle="1">
    <w:name w:val="正文文本缩进 字符"/>
    <w:link w:val="709"/>
    <w:uiPriority w:val="0"/>
    <w:qFormat/>
    <w:rPr>
      <w:sz w:val="21"/>
      <w:szCs w:val="24"/>
    </w:rPr>
  </w:style>
  <w:style w:type="character" w:styleId="776" w:customStyle="1">
    <w:name w:val="font161"/>
    <w:uiPriority w:val="0"/>
    <w:qFormat/>
    <w:rPr>
      <w:b/>
      <w:sz w:val="32"/>
    </w:rPr>
  </w:style>
  <w:style w:type="character" w:styleId="777" w:customStyle="1">
    <w:name w:val="标题 4 Char_0"/>
    <w:link w:val="778"/>
    <w:uiPriority w:val="0"/>
    <w:qFormat/>
    <w:rPr>
      <w:rFonts w:ascii="Arial" w:hAnsi="Arial" w:eastAsia="黑体"/>
      <w:b/>
      <w:bCs/>
      <w:sz w:val="28"/>
      <w:szCs w:val="28"/>
    </w:rPr>
  </w:style>
  <w:style w:type="paragraph" w:styleId="778" w:customStyle="1">
    <w:name w:val="标题 4_0"/>
    <w:basedOn w:val="764"/>
    <w:next w:val="764"/>
    <w:link w:val="777"/>
    <w:uiPriority w:val="0"/>
    <w:qFormat/>
    <w:pPr>
      <w:keepLines/>
      <w:keepNext/>
      <w:spacing w:before="280" w:after="290" w:line="376" w:lineRule="auto"/>
      <w:outlineLvl w:val="3"/>
    </w:pPr>
    <w:rPr>
      <w:rFonts w:ascii="Arial" w:hAnsi="Arial" w:eastAsia="黑体"/>
      <w:b/>
      <w:bCs/>
      <w:sz w:val="28"/>
      <w:szCs w:val="28"/>
    </w:rPr>
  </w:style>
  <w:style w:type="character" w:styleId="779" w:customStyle="1">
    <w:name w:val="页眉 字符"/>
    <w:link w:val="721"/>
    <w:uiPriority w:val="0"/>
    <w:qFormat/>
    <w:rPr>
      <w:sz w:val="18"/>
      <w:szCs w:val="18"/>
    </w:rPr>
  </w:style>
  <w:style w:type="character" w:styleId="780" w:customStyle="1">
    <w:name w:val="标题 6 字符"/>
    <w:link w:val="694"/>
    <w:uiPriority w:val="0"/>
    <w:qFormat/>
    <w:rPr>
      <w:rFonts w:ascii="Cambria" w:hAnsi="Cambria"/>
      <w:b/>
      <w:bCs/>
      <w:sz w:val="24"/>
      <w:szCs w:val="24"/>
    </w:rPr>
  </w:style>
  <w:style w:type="character" w:styleId="781" w:customStyle="1">
    <w:name w:val="纯文本 字符"/>
    <w:link w:val="714"/>
    <w:uiPriority w:val="99"/>
    <w:qFormat/>
    <w:rPr>
      <w:rFonts w:ascii="Ari"/>
      <w:lang w:val="en-US" w:eastAsia="zh-CN" w:bidi="ar-SA"/>
    </w:rPr>
  </w:style>
  <w:style w:type="character" w:styleId="782" w:customStyle="1">
    <w:name w:val="引用 Char2"/>
    <w:uiPriority w:val="99"/>
    <w:qFormat/>
    <w:rPr>
      <w:i/>
      <w:iCs/>
      <w:color w:val="000000"/>
      <w:sz w:val="21"/>
      <w:szCs w:val="24"/>
    </w:rPr>
  </w:style>
  <w:style w:type="character" w:styleId="783" w:customStyle="1">
    <w:name w:val="rvts11"/>
    <w:uiPriority w:val="0"/>
    <w:qFormat/>
    <w:rPr>
      <w:rFonts w:hint="default" w:ascii="KNLe" w:hAnsi="KNLe"/>
      <w:sz w:val="24"/>
      <w:szCs w:val="24"/>
      <w:u w:val="single"/>
    </w:rPr>
  </w:style>
  <w:style w:type="character" w:styleId="784" w:customStyle="1">
    <w:name w:val="标题 字符"/>
    <w:link w:val="732"/>
    <w:uiPriority w:val="0"/>
    <w:qFormat/>
    <w:rPr>
      <w:rFonts w:ascii="Arial" w:hAnsi="Arial"/>
      <w:b/>
      <w:sz w:val="32"/>
    </w:rPr>
  </w:style>
  <w:style w:type="character" w:styleId="785" w:customStyle="1">
    <w:name w:val="标题5 Char Char"/>
    <w:link w:val="786"/>
    <w:uiPriority w:val="0"/>
    <w:qFormat/>
    <w:rPr>
      <w:rFonts w:ascii="Arial" w:hAnsi="Arial"/>
      <w:b/>
      <w:bCs/>
      <w:sz w:val="24"/>
      <w:szCs w:val="32"/>
    </w:rPr>
  </w:style>
  <w:style w:type="paragraph" w:styleId="786" w:customStyle="1">
    <w:name w:val="标题5"/>
    <w:basedOn w:val="691"/>
    <w:link w:val="785"/>
    <w:uiPriority w:val="0"/>
    <w:qFormat/>
    <w:pPr>
      <w:numPr>
        <w:ilvl w:val="0"/>
        <w:numId w:val="0"/>
      </w:numPr>
      <w:spacing w:line="413" w:lineRule="auto"/>
    </w:pPr>
    <w:rPr>
      <w:rFonts w:ascii="Arial" w:hAnsi="Arial"/>
      <w:sz w:val="24"/>
    </w:rPr>
  </w:style>
  <w:style w:type="character" w:styleId="787" w:customStyle="1">
    <w:name w:val="副标题 Char2"/>
    <w:uiPriority w:val="11"/>
    <w:qFormat/>
    <w:rPr>
      <w:rFonts w:ascii="Cambria" w:hAnsi="Cambria" w:cs="Times New Roman"/>
      <w:b/>
      <w:bCs/>
      <w:sz w:val="32"/>
      <w:szCs w:val="32"/>
    </w:rPr>
  </w:style>
  <w:style w:type="character" w:styleId="788" w:customStyle="1">
    <w:name w:val="文档结构图 字符"/>
    <w:link w:val="705"/>
    <w:uiPriority w:val="0"/>
    <w:qFormat/>
    <w:rPr>
      <w:rFonts w:ascii="宋体"/>
      <w:sz w:val="18"/>
      <w:szCs w:val="18"/>
    </w:rPr>
  </w:style>
  <w:style w:type="character" w:styleId="789" w:customStyle="1">
    <w:name w:val="日期 字符"/>
    <w:link w:val="716"/>
    <w:uiPriority w:val="0"/>
    <w:qFormat/>
    <w:rPr>
      <w:sz w:val="21"/>
      <w:szCs w:val="24"/>
    </w:rPr>
  </w:style>
  <w:style w:type="character" w:styleId="790" w:customStyle="1">
    <w:name w:val="批注主题 Char1"/>
    <w:uiPriority w:val="0"/>
    <w:qFormat/>
    <w:rPr>
      <w:b/>
      <w:bCs/>
      <w:sz w:val="21"/>
      <w:szCs w:val="22"/>
    </w:rPr>
  </w:style>
  <w:style w:type="character" w:styleId="791" w:customStyle="1">
    <w:name w:val="font31"/>
    <w:uiPriority w:val="0"/>
    <w:qFormat/>
    <w:rPr>
      <w:rFonts w:hint="eastAsia" w:ascii="宋体" w:hAnsi="宋体" w:eastAsia="宋体" w:cs="宋体"/>
      <w:color w:val="000000"/>
      <w:sz w:val="20"/>
      <w:szCs w:val="20"/>
      <w:u w:val="none"/>
    </w:rPr>
  </w:style>
  <w:style w:type="character" w:styleId="792" w:customStyle="1">
    <w:name w:val="明显引用 Char"/>
    <w:link w:val="793"/>
    <w:uiPriority w:val="0"/>
    <w:qFormat/>
    <w:rPr>
      <w:b/>
      <w:bCs/>
      <w:i/>
      <w:iCs/>
      <w:color w:val="4f81bd"/>
    </w:rPr>
  </w:style>
  <w:style w:type="paragraph" w:styleId="793" w:customStyle="1">
    <w:name w:val="明显引用1"/>
    <w:basedOn w:val="688"/>
    <w:next w:val="688"/>
    <w:link w:val="792"/>
    <w:uiPriority w:val="0"/>
    <w:qFormat/>
    <w:pPr>
      <w:ind w:left="936" w:right="936"/>
      <w:spacing w:before="200" w:after="280"/>
      <w:pBdr>
        <w:bottom w:val="single" w:color="4F81BD" w:sz="4" w:space="4"/>
      </w:pBdr>
    </w:pPr>
    <w:rPr>
      <w:b/>
      <w:bCs/>
      <w:i/>
      <w:iCs/>
      <w:color w:val="4f81bd"/>
      <w:sz w:val="20"/>
      <w:szCs w:val="20"/>
    </w:rPr>
  </w:style>
  <w:style w:type="character" w:styleId="794" w:customStyle="1">
    <w:name w:val="标题 5 字符"/>
    <w:link w:val="693"/>
    <w:uiPriority w:val="0"/>
    <w:qFormat/>
    <w:rPr>
      <w:b/>
      <w:bCs/>
      <w:sz w:val="28"/>
      <w:szCs w:val="28"/>
    </w:rPr>
  </w:style>
  <w:style w:type="character" w:styleId="795" w:customStyle="1">
    <w:name w:val="日期 Char1"/>
    <w:uiPriority w:val="0"/>
    <w:qFormat/>
    <w:rPr>
      <w:rFonts w:ascii="Calibri" w:hAnsi="Calibri" w:eastAsia="宋体" w:cs="Times New Roman"/>
    </w:rPr>
  </w:style>
  <w:style w:type="character" w:styleId="796" w:customStyle="1">
    <w:name w:val="批注框文本 Char1"/>
    <w:uiPriority w:val="0"/>
    <w:qFormat/>
    <w:rPr>
      <w:sz w:val="18"/>
      <w:szCs w:val="18"/>
    </w:rPr>
  </w:style>
  <w:style w:type="character" w:styleId="797" w:customStyle="1">
    <w:name w:val="标题 Char1"/>
    <w:uiPriority w:val="10"/>
    <w:qFormat/>
    <w:rPr>
      <w:rFonts w:ascii="Cambria" w:hAnsi="Cambria" w:eastAsia="宋体" w:cs="Times New Roman"/>
      <w:b/>
      <w:bCs/>
      <w:sz w:val="32"/>
      <w:szCs w:val="32"/>
    </w:rPr>
  </w:style>
  <w:style w:type="character" w:styleId="798" w:customStyle="1">
    <w:name w:val="标题 9 字符"/>
    <w:link w:val="697"/>
    <w:uiPriority w:val="0"/>
    <w:qFormat/>
    <w:rPr>
      <w:rFonts w:ascii="Cambria" w:hAnsi="Cambria"/>
      <w:sz w:val="21"/>
      <w:szCs w:val="21"/>
    </w:rPr>
  </w:style>
  <w:style w:type="character" w:styleId="799" w:customStyle="1">
    <w:name w:val="不明显参考1"/>
    <w:uiPriority w:val="0"/>
    <w:qFormat/>
    <w:rPr>
      <w:smallCaps/>
      <w:color w:val="c0504d"/>
      <w:u w:val="single"/>
    </w:rPr>
  </w:style>
  <w:style w:type="character" w:styleId="800" w:customStyle="1">
    <w:name w:val="批注文字 Char1"/>
    <w:uiPriority w:val="0"/>
    <w:qFormat/>
    <w:rPr>
      <w:rFonts w:ascii="Calibri" w:hAnsi="Calibri" w:eastAsia="宋体" w:cs="Times New Roman"/>
    </w:rPr>
  </w:style>
  <w:style w:type="character" w:styleId="801" w:customStyle="1">
    <w:name w:val="标题 Char2"/>
    <w:uiPriority w:val="10"/>
    <w:qFormat/>
    <w:rPr>
      <w:rFonts w:ascii="Cambria" w:hAnsi="Cambria" w:cs="Times New Roman"/>
      <w:b/>
      <w:bCs/>
      <w:sz w:val="32"/>
      <w:szCs w:val="32"/>
    </w:rPr>
  </w:style>
  <w:style w:type="character" w:styleId="802" w:customStyle="1">
    <w:name w:val="正文文本 3 Char1"/>
    <w:uiPriority w:val="99"/>
    <w:semiHidden/>
    <w:qFormat/>
    <w:rPr>
      <w:sz w:val="16"/>
      <w:szCs w:val="16"/>
    </w:rPr>
  </w:style>
  <w:style w:type="character" w:styleId="803" w:customStyle="1">
    <w:name w:val="批注主题 Char2"/>
    <w:uiPriority w:val="0"/>
    <w:qFormat/>
    <w:rPr>
      <w:b/>
      <w:bCs/>
      <w:sz w:val="21"/>
    </w:rPr>
  </w:style>
  <w:style w:type="character" w:styleId="804" w:customStyle="1">
    <w:name w:val="标题 3 字符"/>
    <w:link w:val="691"/>
    <w:uiPriority w:val="0"/>
    <w:qFormat/>
    <w:rPr>
      <w:b/>
      <w:bCs/>
      <w:sz w:val="32"/>
      <w:szCs w:val="32"/>
    </w:rPr>
  </w:style>
  <w:style w:type="character" w:styleId="805" w:customStyle="1">
    <w:name w:val="正文文本 Char_0"/>
    <w:link w:val="806"/>
    <w:uiPriority w:val="0"/>
    <w:qFormat/>
    <w:rPr>
      <w:szCs w:val="24"/>
    </w:rPr>
  </w:style>
  <w:style w:type="paragraph" w:styleId="806" w:customStyle="1">
    <w:name w:val="正文文本_0"/>
    <w:basedOn w:val="764"/>
    <w:link w:val="805"/>
    <w:uiPriority w:val="0"/>
    <w:qFormat/>
    <w:pPr>
      <w:spacing w:after="120"/>
    </w:pPr>
    <w:rPr>
      <w:sz w:val="20"/>
    </w:rPr>
  </w:style>
  <w:style w:type="character" w:styleId="807" w:customStyle="1">
    <w:name w:val="副标题 字符"/>
    <w:link w:val="724"/>
    <w:uiPriority w:val="0"/>
    <w:qFormat/>
    <w:rPr>
      <w:rFonts w:ascii="Cambria" w:hAnsi="Cambria"/>
      <w:b/>
      <w:bCs/>
      <w:sz w:val="32"/>
      <w:szCs w:val="32"/>
    </w:rPr>
  </w:style>
  <w:style w:type="character" w:styleId="808" w:customStyle="1">
    <w:name w:val="bookmark"/>
    <w:basedOn w:val="698"/>
    <w:uiPriority w:val="0"/>
    <w:qFormat/>
  </w:style>
  <w:style w:type="character" w:styleId="809" w:customStyle="1">
    <w:name w:val="标题 5 Char_0"/>
    <w:link w:val="810"/>
    <w:uiPriority w:val="0"/>
    <w:qFormat/>
    <w:rPr>
      <w:rFonts w:ascii="Calibri" w:hAnsi="Calibri"/>
      <w:b/>
      <w:bCs/>
      <w:sz w:val="28"/>
      <w:szCs w:val="28"/>
    </w:rPr>
  </w:style>
  <w:style w:type="paragraph" w:styleId="810" w:customStyle="1">
    <w:name w:val="标题 5_0"/>
    <w:basedOn w:val="764"/>
    <w:next w:val="764"/>
    <w:link w:val="809"/>
    <w:uiPriority w:val="0"/>
    <w:qFormat/>
    <w:pPr>
      <w:keepLines/>
      <w:keepNext/>
      <w:spacing w:before="280" w:after="290" w:line="372" w:lineRule="auto"/>
      <w:outlineLvl w:val="4"/>
    </w:pPr>
    <w:rPr>
      <w:rFonts w:ascii="Calibri" w:hAnsi="Calibri"/>
      <w:b/>
      <w:bCs/>
      <w:sz w:val="28"/>
      <w:szCs w:val="28"/>
    </w:rPr>
  </w:style>
  <w:style w:type="character" w:styleId="811" w:customStyle="1">
    <w:name w:val="正文文本缩进 2 字符"/>
    <w:link w:val="717"/>
    <w:uiPriority w:val="99"/>
    <w:qFormat/>
    <w:rPr>
      <w:rFonts w:ascii="宋体"/>
    </w:rPr>
  </w:style>
  <w:style w:type="character" w:styleId="812" w:customStyle="1">
    <w:name w:val="批注文字 字符"/>
    <w:link w:val="706"/>
    <w:uiPriority w:val="0"/>
    <w:qFormat/>
    <w:rPr>
      <w:sz w:val="21"/>
      <w:szCs w:val="24"/>
    </w:rPr>
  </w:style>
  <w:style w:type="character" w:styleId="813" w:customStyle="1">
    <w:name w:val="font11"/>
    <w:uiPriority w:val="0"/>
    <w:qFormat/>
    <w:rPr>
      <w:rFonts w:hint="eastAsia" w:ascii="宋体" w:hAnsi="宋体" w:eastAsia="宋体" w:cs="宋体"/>
      <w:color w:val="000000"/>
      <w:sz w:val="20"/>
      <w:szCs w:val="20"/>
      <w:u w:val="none"/>
    </w:rPr>
  </w:style>
  <w:style w:type="character" w:styleId="814" w:customStyle="1">
    <w:name w:val="明显参考1"/>
    <w:uiPriority w:val="0"/>
    <w:qFormat/>
    <w:rPr>
      <w:b/>
      <w:bCs/>
      <w:smallCaps/>
      <w:color w:val="c0504d"/>
      <w:spacing w:val="5"/>
      <w:u w:val="single"/>
    </w:rPr>
  </w:style>
  <w:style w:type="character" w:styleId="815" w:customStyle="1">
    <w:name w:val="超链接_0"/>
    <w:uiPriority w:val="99"/>
    <w:qFormat/>
    <w:rPr>
      <w:rFonts w:ascii="Calibri" w:hAnsi="Calibri"/>
      <w:color w:val="0000ff"/>
      <w:u w:val="single"/>
    </w:rPr>
  </w:style>
  <w:style w:type="character" w:styleId="816" w:customStyle="1">
    <w:name w:val="文档结构图 Char2"/>
    <w:uiPriority w:val="99"/>
    <w:semiHidden/>
    <w:qFormat/>
    <w:rPr>
      <w:rFonts w:ascii="宋体" w:hAnsi="Calibri" w:eastAsia="宋体" w:cs="Times New Roman"/>
      <w:sz w:val="18"/>
      <w:szCs w:val="18"/>
    </w:rPr>
  </w:style>
  <w:style w:type="character" w:styleId="817" w:customStyle="1">
    <w:name w:val="textcontents"/>
    <w:uiPriority w:val="0"/>
    <w:qFormat/>
    <w:rPr>
      <w:rFonts w:cs="Times New Roman"/>
    </w:rPr>
  </w:style>
  <w:style w:type="character" w:styleId="818" w:customStyle="1">
    <w:name w:val="标题 1 Char"/>
    <w:uiPriority w:val="0"/>
    <w:qFormat/>
    <w:rPr>
      <w:b/>
      <w:bCs/>
      <w:sz w:val="32"/>
      <w:szCs w:val="44"/>
    </w:rPr>
  </w:style>
  <w:style w:type="character" w:styleId="819" w:customStyle="1">
    <w:name w:val="正文文本 字符"/>
    <w:link w:val="708"/>
    <w:uiPriority w:val="0"/>
    <w:qFormat/>
    <w:rPr>
      <w:rFonts w:eastAsia="幼圆"/>
      <w:b/>
      <w:bCs/>
      <w:sz w:val="44"/>
      <w:szCs w:val="24"/>
    </w:rPr>
  </w:style>
  <w:style w:type="character" w:styleId="820" w:customStyle="1">
    <w:name w:val="标题 8 字符"/>
    <w:link w:val="696"/>
    <w:uiPriority w:val="0"/>
    <w:qFormat/>
    <w:rPr>
      <w:rFonts w:ascii="Cambria" w:hAnsi="Cambria"/>
      <w:sz w:val="24"/>
      <w:szCs w:val="24"/>
    </w:rPr>
  </w:style>
  <w:style w:type="character" w:styleId="821" w:customStyle="1">
    <w:name w:val="副标题 Char1"/>
    <w:uiPriority w:val="11"/>
    <w:qFormat/>
    <w:rPr>
      <w:rFonts w:ascii="Cambria" w:hAnsi="Cambria" w:cs="Times New Roman"/>
      <w:b/>
      <w:bCs/>
      <w:sz w:val="32"/>
      <w:szCs w:val="32"/>
    </w:rPr>
  </w:style>
  <w:style w:type="character" w:styleId="822" w:customStyle="1">
    <w:name w:val="批注主题 字符"/>
    <w:link w:val="733"/>
    <w:uiPriority w:val="0"/>
    <w:qFormat/>
    <w:rPr>
      <w:b/>
      <w:bCs/>
      <w:sz w:val="21"/>
      <w:szCs w:val="24"/>
    </w:rPr>
  </w:style>
  <w:style w:type="character" w:styleId="823" w:customStyle="1">
    <w:name w:val="书籍标题1"/>
    <w:uiPriority w:val="0"/>
    <w:qFormat/>
    <w:rPr>
      <w:b/>
      <w:bCs/>
      <w:smallCaps/>
      <w:spacing w:val="5"/>
    </w:rPr>
  </w:style>
  <w:style w:type="character" w:styleId="824" w:customStyle="1">
    <w:name w:val="页脚 字符"/>
    <w:link w:val="719"/>
    <w:uiPriority w:val="99"/>
    <w:qFormat/>
    <w:rPr>
      <w:sz w:val="18"/>
      <w:szCs w:val="18"/>
    </w:rPr>
  </w:style>
  <w:style w:type="character" w:styleId="825" w:customStyle="1">
    <w:name w:val="标题4 Char Char"/>
    <w:link w:val="826"/>
    <w:uiPriority w:val="0"/>
    <w:qFormat/>
    <w:rPr>
      <w:rFonts w:ascii="Arial" w:hAnsi="Arial"/>
      <w:b/>
      <w:bCs/>
      <w:sz w:val="24"/>
      <w:szCs w:val="32"/>
    </w:rPr>
  </w:style>
  <w:style w:type="paragraph" w:styleId="826" w:customStyle="1">
    <w:name w:val="标题4"/>
    <w:basedOn w:val="690"/>
    <w:next w:val="711"/>
    <w:link w:val="825"/>
    <w:uiPriority w:val="0"/>
    <w:qFormat/>
    <w:pPr>
      <w:numPr>
        <w:ilvl w:val="0"/>
        <w:numId w:val="0"/>
      </w:numPr>
      <w:spacing w:line="413" w:lineRule="auto"/>
    </w:pPr>
    <w:rPr>
      <w:rFonts w:ascii="Arial" w:hAnsi="Arial"/>
      <w:sz w:val="24"/>
    </w:rPr>
  </w:style>
  <w:style w:type="character" w:styleId="827" w:customStyle="1">
    <w:name w:val="正文文本 Char1"/>
    <w:uiPriority w:val="0"/>
    <w:qFormat/>
    <w:rPr>
      <w:rFonts w:ascii="Calibri" w:hAnsi="Calibri" w:eastAsia="宋体" w:cs="Times New Roman"/>
    </w:rPr>
  </w:style>
  <w:style w:type="character" w:styleId="828" w:customStyle="1">
    <w:name w:val="明显引用 Char1"/>
    <w:uiPriority w:val="30"/>
    <w:qFormat/>
    <w:rPr>
      <w:b/>
      <w:bCs/>
      <w:i/>
      <w:iCs/>
      <w:color w:val="4f81bd"/>
      <w:sz w:val="21"/>
    </w:rPr>
  </w:style>
  <w:style w:type="character" w:styleId="829" w:customStyle="1">
    <w:name w:val="页眉 Char1"/>
    <w:uiPriority w:val="99"/>
    <w:semiHidden/>
    <w:qFormat/>
    <w:rPr>
      <w:rFonts w:ascii="Calibri" w:hAnsi="Calibri" w:eastAsia="宋体" w:cs="Times New Roman"/>
      <w:sz w:val="18"/>
      <w:szCs w:val="18"/>
    </w:rPr>
  </w:style>
  <w:style w:type="character" w:styleId="830" w:customStyle="1">
    <w:name w:val="不明显强调1"/>
    <w:uiPriority w:val="0"/>
    <w:qFormat/>
    <w:rPr>
      <w:i/>
      <w:iCs/>
      <w:color w:val="808080"/>
    </w:rPr>
  </w:style>
  <w:style w:type="character" w:styleId="831" w:customStyle="1">
    <w:name w:val="正文文本 3 字符"/>
    <w:link w:val="707"/>
    <w:uiPriority w:val="0"/>
    <w:qFormat/>
    <w:rPr>
      <w:rFonts w:ascii="宋体"/>
      <w:sz w:val="24"/>
    </w:rPr>
  </w:style>
  <w:style w:type="character" w:styleId="832" w:customStyle="1">
    <w:name w:val="正文文本缩进 3 字符"/>
    <w:link w:val="726"/>
    <w:uiPriority w:val="0"/>
    <w:qFormat/>
    <w:rPr>
      <w:sz w:val="16"/>
    </w:rPr>
  </w:style>
  <w:style w:type="character" w:styleId="833" w:customStyle="1">
    <w:name w:val="font21"/>
    <w:uiPriority w:val="0"/>
    <w:qFormat/>
    <w:rPr>
      <w:rFonts w:hint="eastAsia" w:ascii="宋体" w:hAnsi="宋体" w:eastAsia="宋体" w:cs="宋体"/>
      <w:color w:val="000000"/>
      <w:sz w:val="20"/>
      <w:szCs w:val="20"/>
      <w:u w:val="none"/>
    </w:rPr>
  </w:style>
  <w:style w:type="character" w:styleId="834" w:customStyle="1">
    <w:name w:val="批注框文本 字符"/>
    <w:link w:val="718"/>
    <w:uiPriority w:val="0"/>
    <w:qFormat/>
    <w:rPr>
      <w:sz w:val="18"/>
      <w:szCs w:val="18"/>
    </w:rPr>
  </w:style>
  <w:style w:type="character" w:styleId="835" w:customStyle="1">
    <w:name w:val="标题 7 字符"/>
    <w:link w:val="695"/>
    <w:uiPriority w:val="0"/>
    <w:qFormat/>
    <w:rPr>
      <w:b/>
      <w:bCs/>
      <w:sz w:val="24"/>
      <w:szCs w:val="24"/>
    </w:rPr>
  </w:style>
  <w:style w:type="character" w:styleId="836" w:customStyle="1">
    <w:name w:val="标题 1 字符"/>
    <w:link w:val="689"/>
    <w:uiPriority w:val="0"/>
    <w:qFormat/>
    <w:rPr>
      <w:b/>
      <w:bCs/>
      <w:sz w:val="32"/>
      <w:szCs w:val="44"/>
    </w:rPr>
  </w:style>
  <w:style w:type="character" w:styleId="837" w:customStyle="1">
    <w:name w:val="文档结构图 Char1"/>
    <w:uiPriority w:val="0"/>
    <w:qFormat/>
    <w:rPr>
      <w:rFonts w:ascii="宋体" w:hAnsi="Calibri" w:eastAsia="宋体" w:cs="Times New Roman"/>
      <w:sz w:val="18"/>
      <w:szCs w:val="18"/>
    </w:rPr>
  </w:style>
  <w:style w:type="character" w:styleId="838" w:customStyle="1">
    <w:name w:val="标题 2 Char_0"/>
    <w:link w:val="839"/>
    <w:uiPriority w:val="0"/>
    <w:qFormat/>
    <w:rPr>
      <w:rFonts w:ascii="Cambria" w:hAnsi="Cambria"/>
      <w:b/>
      <w:bCs/>
      <w:sz w:val="32"/>
      <w:szCs w:val="32"/>
    </w:rPr>
  </w:style>
  <w:style w:type="paragraph" w:styleId="839" w:customStyle="1">
    <w:name w:val="标题 2_0"/>
    <w:basedOn w:val="764"/>
    <w:next w:val="764"/>
    <w:link w:val="838"/>
    <w:uiPriority w:val="0"/>
    <w:unhideWhenUsed/>
    <w:qFormat/>
    <w:pPr>
      <w:keepLines/>
      <w:keepNext/>
      <w:spacing w:before="260" w:after="260" w:line="416" w:lineRule="auto"/>
      <w:outlineLvl w:val="1"/>
    </w:pPr>
    <w:rPr>
      <w:rFonts w:ascii="Cambria" w:hAnsi="Cambria"/>
      <w:b/>
      <w:bCs/>
      <w:sz w:val="32"/>
      <w:szCs w:val="32"/>
    </w:rPr>
  </w:style>
  <w:style w:type="character" w:styleId="840" w:customStyle="1">
    <w:name w:val="日期 Char2"/>
    <w:uiPriority w:val="99"/>
    <w:semiHidden/>
    <w:qFormat/>
    <w:rPr>
      <w:rFonts w:ascii="Calibri" w:hAnsi="Calibri" w:eastAsia="宋体" w:cs="Times New Roman"/>
    </w:rPr>
  </w:style>
  <w:style w:type="character" w:styleId="841" w:customStyle="1">
    <w:name w:val="批注框文本 Char2"/>
    <w:uiPriority w:val="99"/>
    <w:semiHidden/>
    <w:qFormat/>
    <w:rPr>
      <w:rFonts w:ascii="Calibri" w:hAnsi="Calibri" w:eastAsia="宋体" w:cs="Times New Roman"/>
      <w:sz w:val="18"/>
      <w:szCs w:val="18"/>
    </w:rPr>
  </w:style>
  <w:style w:type="character" w:styleId="842" w:customStyle="1">
    <w:name w:val="标题 4 字符"/>
    <w:link w:val="692"/>
    <w:uiPriority w:val="0"/>
    <w:qFormat/>
    <w:rPr>
      <w:rFonts w:ascii="Cambria" w:hAnsi="Cambria"/>
      <w:b/>
      <w:bCs/>
      <w:sz w:val="28"/>
      <w:szCs w:val="28"/>
    </w:rPr>
  </w:style>
  <w:style w:type="character" w:styleId="843" w:customStyle="1">
    <w:name w:val="列出段落 Char"/>
    <w:link w:val="844"/>
    <w:uiPriority w:val="34"/>
    <w:qFormat/>
    <w:rPr>
      <w:sz w:val="21"/>
      <w:szCs w:val="24"/>
    </w:rPr>
  </w:style>
  <w:style w:type="paragraph" w:styleId="844" w:customStyle="1">
    <w:name w:val="List Paragraph1"/>
    <w:basedOn w:val="688"/>
    <w:link w:val="843"/>
    <w:uiPriority w:val="34"/>
    <w:qFormat/>
    <w:pPr>
      <w:ind w:firstLine="420"/>
    </w:pPr>
  </w:style>
  <w:style w:type="paragraph" w:styleId="845"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6"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8"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空半行"/>
    <w:basedOn w:val="688"/>
    <w:uiPriority w:val="0"/>
    <w:qFormat/>
    <w:pPr>
      <w:spacing w:line="120" w:lineRule="exact"/>
    </w:pPr>
    <w:rPr>
      <w:rFonts w:ascii="Calibri" w:hAnsi="Calibri" w:eastAsia="仿宋_GB2312"/>
      <w:color w:val="ffffff"/>
      <w:sz w:val="30"/>
      <w:szCs w:val="22"/>
    </w:rPr>
  </w:style>
  <w:style w:type="paragraph" w:styleId="850"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51" w:customStyle="1">
    <w:name w:val="格式３"/>
    <w:basedOn w:val="688"/>
    <w:uiPriority w:val="0"/>
    <w:qFormat/>
    <w:pPr>
      <w:ind w:left="600" w:hanging="600"/>
      <w:spacing w:line="420" w:lineRule="exact"/>
    </w:pPr>
    <w:rPr>
      <w:rFonts w:ascii="宋体" w:hAnsi="宋体"/>
      <w:color w:val="000000"/>
      <w:sz w:val="24"/>
      <w:szCs w:val="20"/>
    </w:rPr>
  </w:style>
  <w:style w:type="paragraph" w:styleId="852"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53" w:customStyle="1">
    <w:name w:val="正文空2字"/>
    <w:basedOn w:val="688"/>
    <w:uiPriority w:val="0"/>
    <w:qFormat/>
    <w:pPr>
      <w:ind w:firstLine="200"/>
      <w:spacing w:line="360" w:lineRule="auto"/>
    </w:pPr>
    <w:rPr>
      <w:sz w:val="24"/>
      <w:lang w:bidi="en-US"/>
    </w:rPr>
  </w:style>
  <w:style w:type="paragraph" w:styleId="85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5" w:customStyle="1">
    <w:name w:val="目录 5_0"/>
    <w:basedOn w:val="764"/>
    <w:next w:val="764"/>
    <w:uiPriority w:val="39"/>
    <w:qFormat/>
    <w:pPr>
      <w:ind w:left="1680"/>
    </w:pPr>
    <w:rPr>
      <w:rFonts w:ascii="Calibri" w:hAnsi="Calibri"/>
    </w:rPr>
  </w:style>
  <w:style w:type="paragraph" w:styleId="856" w:customStyle="1">
    <w:name w:val="修订1"/>
    <w:uiPriority w:val="0"/>
    <w:qFormat/>
    <w:rPr>
      <w:rFonts w:ascii="Times New Roman" w:hAnsi="Times New Roman" w:eastAsia="宋体" w:cs="Times New Roman"/>
      <w:sz w:val="21"/>
      <w:szCs w:val="24"/>
      <w:lang w:val="en-US" w:eastAsia="zh-CN" w:bidi="ar-SA"/>
    </w:rPr>
  </w:style>
  <w:style w:type="paragraph" w:styleId="857" w:customStyle="1">
    <w:name w:val="标题 11"/>
    <w:basedOn w:val="747"/>
    <w:next w:val="74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8" w:customStyle="1">
    <w:name w:val="正文 + 行距: 固定值 20 磅"/>
    <w:basedOn w:val="688"/>
    <w:uiPriority w:val="0"/>
    <w:qFormat/>
    <w:pPr>
      <w:ind w:firstLine="716"/>
      <w:spacing w:line="400" w:lineRule="exact"/>
    </w:pPr>
    <w:rPr>
      <w:rFonts w:ascii="Calibri" w:hAnsi="Calibri"/>
      <w:szCs w:val="22"/>
    </w:rPr>
  </w:style>
  <w:style w:type="paragraph" w:styleId="859"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0" w:customStyle="1">
    <w:name w:val="表格文字"/>
    <w:basedOn w:val="688"/>
    <w:link w:val="888"/>
    <w:uiPriority w:val="0"/>
    <w:qFormat/>
    <w:pPr>
      <w:jc w:val="left"/>
      <w:spacing w:line="420" w:lineRule="atLeast"/>
    </w:pPr>
    <w:rPr>
      <w:rFonts w:ascii="Calibri" w:hAnsi="Calibri"/>
      <w:szCs w:val="22"/>
    </w:rPr>
  </w:style>
  <w:style w:type="paragraph" w:styleId="861" w:customStyle="1">
    <w:name w:val="flNote"/>
    <w:basedOn w:val="688"/>
    <w:uiPriority w:val="0"/>
    <w:qFormat/>
    <w:pPr>
      <w:jc w:val="center"/>
      <w:spacing w:before="320" w:after="160" w:line="360" w:lineRule="atLeast"/>
    </w:pPr>
    <w:rPr>
      <w:rFonts w:ascii="Arial" w:hAnsi="Calibri" w:eastAsia="黑体"/>
      <w:sz w:val="30"/>
      <w:szCs w:val="22"/>
    </w:rPr>
  </w:style>
  <w:style w:type="paragraph" w:styleId="862"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63" w:customStyle="1">
    <w:name w:val="表格"/>
    <w:basedOn w:val="688"/>
    <w:uiPriority w:val="0"/>
    <w:qFormat/>
    <w:pPr>
      <w:jc w:val="center"/>
    </w:pPr>
    <w:rPr>
      <w:rFonts w:ascii="华文细黑" w:hAnsi="华文细黑"/>
      <w:szCs w:val="22"/>
    </w:rPr>
  </w:style>
  <w:style w:type="paragraph" w:styleId="864"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5" w:customStyle="1">
    <w:name w:val="列出段落2"/>
    <w:basedOn w:val="688"/>
    <w:uiPriority w:val="34"/>
    <w:qFormat/>
    <w:pPr>
      <w:ind w:firstLine="420"/>
    </w:pPr>
  </w:style>
  <w:style w:type="paragraph" w:styleId="866" w:customStyle="1">
    <w:name w:val="6'"/>
    <w:basedOn w:val="688"/>
    <w:uiPriority w:val="0"/>
    <w:qFormat/>
    <w:pPr>
      <w:jc w:val="center"/>
      <w:spacing w:line="320" w:lineRule="exact"/>
    </w:pPr>
    <w:rPr>
      <w:rFonts w:ascii="Calibri" w:hAnsi="Calibri"/>
      <w:spacing w:val="20"/>
      <w:szCs w:val="22"/>
    </w:rPr>
  </w:style>
  <w:style w:type="paragraph" w:styleId="867" w:customStyle="1">
    <w:name w:val="Char Char Char Char Char Char Char"/>
    <w:basedOn w:val="688"/>
    <w:uiPriority w:val="0"/>
    <w:qFormat/>
    <w:pPr>
      <w:spacing w:line="360" w:lineRule="auto"/>
    </w:pPr>
    <w:rPr>
      <w:sz w:val="24"/>
      <w:szCs w:val="20"/>
    </w:rPr>
  </w:style>
  <w:style w:type="paragraph" w:styleId="868" w:customStyle="1">
    <w:name w:val="2方案格式2"/>
    <w:basedOn w:val="850"/>
    <w:uiPriority w:val="0"/>
    <w:qFormat/>
    <w:pPr>
      <w:numPr>
        <w:ilvl w:val="1"/>
      </w:numPr>
      <w:spacing w:before="50" w:after="50" w:line="240" w:lineRule="auto"/>
      <w:outlineLvl w:val="1"/>
    </w:pPr>
    <w:rPr>
      <w:sz w:val="44"/>
    </w:rPr>
  </w:style>
  <w:style w:type="paragraph" w:styleId="869" w:customStyle="1">
    <w:name w:val="文档正文"/>
    <w:basedOn w:val="688"/>
    <w:uiPriority w:val="0"/>
    <w:qFormat/>
    <w:pPr>
      <w:ind w:firstLine="567"/>
      <w:spacing w:line="480" w:lineRule="atLeast"/>
    </w:pPr>
    <w:rPr>
      <w:rFonts w:ascii="Ari" w:eastAsia="Ari"/>
      <w:sz w:val="28"/>
      <w:szCs w:val="20"/>
    </w:rPr>
  </w:style>
  <w:style w:type="paragraph" w:styleId="870"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71" w:customStyle="1">
    <w:name w:val="目录 4_0"/>
    <w:basedOn w:val="764"/>
    <w:next w:val="764"/>
    <w:uiPriority w:val="39"/>
    <w:qFormat/>
    <w:pPr>
      <w:ind w:left="1260"/>
    </w:pPr>
    <w:rPr>
      <w:rFonts w:ascii="Calibri" w:hAnsi="Calibri"/>
    </w:rPr>
  </w:style>
  <w:style w:type="paragraph" w:styleId="872" w:customStyle="1">
    <w:name w:val="目录 3_0"/>
    <w:basedOn w:val="764"/>
    <w:next w:val="764"/>
    <w:uiPriority w:val="39"/>
    <w:qFormat/>
    <w:pPr>
      <w:ind w:left="840"/>
    </w:pPr>
    <w:rPr>
      <w:rFonts w:ascii="Calibri" w:hAnsi="Calibri"/>
    </w:rPr>
  </w:style>
  <w:style w:type="paragraph" w:styleId="873"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74" w:customStyle="1">
    <w:name w:val="1"/>
    <w:basedOn w:val="688"/>
    <w:next w:val="688"/>
    <w:uiPriority w:val="0"/>
    <w:qFormat/>
    <w:rPr>
      <w:rFonts w:ascii="Calibri" w:hAnsi="Calibri"/>
      <w:szCs w:val="22"/>
    </w:rPr>
  </w:style>
  <w:style w:type="paragraph" w:styleId="875" w:customStyle="1">
    <w:name w:val="Blockquote_0"/>
    <w:basedOn w:val="764"/>
    <w:uiPriority w:val="0"/>
    <w:qFormat/>
    <w:pPr>
      <w:ind w:left="360" w:right="360"/>
      <w:jc w:val="left"/>
      <w:spacing w:before="100" w:after="100"/>
    </w:pPr>
    <w:rPr>
      <w:rFonts w:ascii="Calibri" w:hAnsi="Calibri" w:eastAsia="Times New Roman"/>
      <w:sz w:val="24"/>
      <w:szCs w:val="20"/>
    </w:rPr>
  </w:style>
  <w:style w:type="paragraph" w:styleId="876"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7"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8"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79" w:customStyle="1">
    <w:name w:val="p0"/>
    <w:basedOn w:val="688"/>
    <w:uiPriority w:val="0"/>
    <w:qFormat/>
    <w:pPr>
      <w:widowControl/>
    </w:pPr>
    <w:rPr>
      <w:b/>
      <w:bCs/>
      <w:sz w:val="24"/>
    </w:rPr>
  </w:style>
  <w:style w:type="paragraph" w:styleId="880" w:customStyle="1">
    <w:name w:val="Blockquote"/>
    <w:basedOn w:val="688"/>
    <w:uiPriority w:val="0"/>
    <w:qFormat/>
    <w:pPr>
      <w:ind w:left="360" w:right="360"/>
      <w:jc w:val="left"/>
      <w:spacing w:before="100" w:after="100"/>
    </w:pPr>
    <w:rPr>
      <w:rFonts w:ascii="Calibri" w:hAnsi="Calibri"/>
      <w:sz w:val="24"/>
      <w:szCs w:val="22"/>
    </w:rPr>
  </w:style>
  <w:style w:type="paragraph" w:styleId="881" w:customStyle="1">
    <w:name w:val="3方案格式3"/>
    <w:basedOn w:val="868"/>
    <w:uiPriority w:val="0"/>
    <w:qFormat/>
    <w:pPr>
      <w:numPr>
        <w:ilvl w:val="2"/>
      </w:numPr>
      <w:outlineLvl w:val="2"/>
    </w:pPr>
    <w:rPr>
      <w:sz w:val="32"/>
    </w:rPr>
  </w:style>
  <w:style w:type="paragraph" w:styleId="882"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3" w:customStyle="1">
    <w:name w:val="标题2"/>
    <w:basedOn w:val="690"/>
    <w:next w:val="708"/>
    <w:uiPriority w:val="0"/>
    <w:qFormat/>
    <w:pPr>
      <w:spacing w:before="156" w:after="156" w:line="360" w:lineRule="auto"/>
    </w:pPr>
    <w:rPr>
      <w:bCs w:val="0"/>
      <w:sz w:val="24"/>
    </w:rPr>
  </w:style>
  <w:style w:type="paragraph" w:styleId="884" w:customStyle="1">
    <w:name w:val="普通正文"/>
    <w:basedOn w:val="688"/>
    <w:uiPriority w:val="0"/>
    <w:qFormat/>
    <w:pPr>
      <w:ind w:firstLine="480"/>
      <w:jc w:val="left"/>
      <w:spacing w:before="120" w:after="120" w:line="360" w:lineRule="auto"/>
    </w:pPr>
    <w:rPr>
      <w:rFonts w:ascii="Arial" w:hAnsi="Arial"/>
      <w:sz w:val="24"/>
    </w:rPr>
  </w:style>
  <w:style w:type="paragraph" w:styleId="885" w:customStyle="1">
    <w:name w:val="正文2"/>
    <w:uiPriority w:val="0"/>
    <w:qFormat/>
    <w:rPr>
      <w:rFonts w:ascii="Times New Roman" w:hAnsi="Times New Roman" w:eastAsia="微软雅黑" w:cs="Times New Roman"/>
      <w:sz w:val="24"/>
      <w:szCs w:val="24"/>
      <w:lang w:val="en-US" w:eastAsia="zh-CN" w:bidi="ar-SA"/>
    </w:rPr>
  </w:style>
  <w:style w:type="paragraph" w:styleId="886"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7" w:customStyle="1">
    <w:name w:val="纯文本2"/>
    <w:basedOn w:val="688"/>
    <w:uiPriority w:val="0"/>
    <w:qFormat/>
    <w:pPr>
      <w:jc w:val="left"/>
    </w:pPr>
    <w:rPr>
      <w:rFonts w:hint="eastAsia" w:ascii="宋体" w:hAnsi="宋体" w:cs="Courier New"/>
      <w:sz w:val="24"/>
      <w:szCs w:val="20"/>
      <w:lang w:bidi="hi-IN"/>
    </w:rPr>
  </w:style>
  <w:style w:type="character" w:styleId="888" w:customStyle="1">
    <w:name w:val="表格文字 字符"/>
    <w:link w:val="860"/>
    <w:uiPriority w:val="0"/>
    <w:qFormat/>
    <w:rPr>
      <w:rFonts w:ascii="Calibri" w:hAnsi="Calibri" w:eastAsia="宋体" w:cs="Times New Roman"/>
      <w:sz w:val="21"/>
      <w:szCs w:val="22"/>
    </w:rPr>
  </w:style>
  <w:style w:type="paragraph" w:styleId="889"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90" w:customStyle="1">
    <w:name w:val="未处理的提及1"/>
    <w:basedOn w:val="698"/>
    <w:uiPriority w:val="99"/>
    <w:semiHidden/>
    <w:unhideWhenUsed/>
    <w:qFormat/>
    <w:rPr>
      <w:color w:val="605e5c"/>
      <w:shd w:val="clear" w:color="auto" w:fill="e1dfdd"/>
    </w:rPr>
  </w:style>
  <w:style w:type="paragraph" w:styleId="891" w:customStyle="1">
    <w:name w:val="_Style 3"/>
    <w:basedOn w:val="688"/>
    <w:uiPriority w:val="99"/>
    <w:qFormat/>
    <w:pPr>
      <w:ind w:firstLine="420"/>
    </w:pPr>
    <w:rPr>
      <w:szCs w:val="22"/>
    </w:rPr>
  </w:style>
  <w:style w:type="table" w:styleId="892"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customStyle="1">
    <w:name w:val="批注文字 字符1"/>
    <w:uiPriority w:val="99"/>
    <w:qFormat/>
    <w:rPr>
      <w:sz w:val="24"/>
      <w:szCs w:val="22"/>
    </w:rPr>
  </w:style>
  <w:style w:type="character" w:styleId="894" w:customStyle="1">
    <w:name w:val="f141"/>
    <w:uiPriority w:val="0"/>
    <w:qFormat/>
    <w:rPr>
      <w:sz w:val="21"/>
      <w:szCs w:val="21"/>
    </w:rPr>
  </w:style>
  <w:style w:type="character" w:styleId="895" w:customStyle="1">
    <w:name w:val="p141"/>
    <w:uiPriority w:val="0"/>
    <w:qFormat/>
    <w:rPr>
      <w:sz w:val="21"/>
      <w:szCs w:val="21"/>
    </w:rPr>
  </w:style>
  <w:style w:type="character" w:styleId="896" w:customStyle="1">
    <w:name w:val="s10pv000000"/>
    <w:basedOn w:val="698"/>
    <w:uiPriority w:val="0"/>
    <w:qFormat/>
  </w:style>
  <w:style w:type="paragraph" w:styleId="897"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8"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9"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900" w:customStyle="1">
    <w:name w:val="样式4"/>
    <w:basedOn w:val="688"/>
    <w:uiPriority w:val="0"/>
    <w:qFormat/>
    <w:pPr>
      <w:ind w:left="2328" w:hanging="708"/>
      <w:tabs>
        <w:tab w:val="left" w:pos="2328" w:leader="none"/>
      </w:tabs>
    </w:pPr>
  </w:style>
  <w:style w:type="paragraph" w:styleId="901"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02" w:customStyle="1">
    <w:name w:val="3 Char"/>
    <w:basedOn w:val="688"/>
    <w:uiPriority w:val="0"/>
    <w:qFormat/>
    <w:pPr>
      <w:jc w:val="center"/>
      <w:spacing w:line="400" w:lineRule="exact"/>
      <w:widowControl/>
    </w:pPr>
    <w:rPr>
      <w:rFonts w:ascii="Verdana" w:hAnsi="Verdana"/>
      <w:szCs w:val="20"/>
      <w:lang w:eastAsia="en-US"/>
    </w:rPr>
  </w:style>
  <w:style w:type="paragraph" w:styleId="903"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4"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5" w:customStyle="1">
    <w:name w:val="图"/>
    <w:basedOn w:val="688"/>
    <w:uiPriority w:val="0"/>
    <w:qFormat/>
    <w:pPr>
      <w:jc w:val="center"/>
      <w:keepNext/>
      <w:spacing w:before="60" w:after="60" w:line="300" w:lineRule="auto"/>
    </w:pPr>
    <w:rPr>
      <w:spacing w:val="20"/>
      <w:sz w:val="24"/>
      <w:szCs w:val="20"/>
    </w:rPr>
  </w:style>
  <w:style w:type="paragraph" w:styleId="906"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7"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8"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09"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0" w:customStyle="1">
    <w:name w:val="默认段落字体 Para Char Char Char Char"/>
    <w:basedOn w:val="688"/>
    <w:uiPriority w:val="0"/>
    <w:qFormat/>
    <w:rPr>
      <w:szCs w:val="20"/>
    </w:rPr>
  </w:style>
  <w:style w:type="paragraph" w:styleId="911"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12"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13"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4" w:customStyle="1">
    <w:name w:val="纯文本 Char1"/>
    <w:basedOn w:val="698"/>
    <w:uiPriority w:val="0"/>
    <w:qFormat/>
    <w:rPr>
      <w:rFonts w:ascii="宋体" w:hAnsi="Courier New" w:eastAsia="宋体" w:cs="Courier New"/>
      <w:szCs w:val="21"/>
    </w:rPr>
  </w:style>
  <w:style w:type="character" w:styleId="915" w:customStyle="1">
    <w:name w:val="HTML 预设格式 字符"/>
    <w:basedOn w:val="698"/>
    <w:link w:val="729"/>
    <w:uiPriority w:val="99"/>
    <w:qFormat/>
    <w:rPr>
      <w:rFonts w:ascii="宋体" w:hAnsi="宋体"/>
      <w:sz w:val="24"/>
      <w:szCs w:val="24"/>
    </w:rPr>
  </w:style>
  <w:style w:type="paragraph" w:styleId="916" w:customStyle="1">
    <w:name w:val="Char1 Char Char Char"/>
    <w:basedOn w:val="688"/>
    <w:uiPriority w:val="0"/>
    <w:qFormat/>
    <w:rPr>
      <w:szCs w:val="20"/>
    </w:rPr>
  </w:style>
  <w:style w:type="paragraph" w:styleId="917" w:customStyle="1">
    <w:name w:val="Char1"/>
    <w:basedOn w:val="688"/>
    <w:uiPriority w:val="0"/>
    <w:qFormat/>
    <w:pPr>
      <w:jc w:val="left"/>
      <w:spacing w:after="160" w:line="240" w:lineRule="exact"/>
      <w:widowControl/>
    </w:pPr>
    <w:rPr>
      <w:sz w:val="24"/>
    </w:rPr>
  </w:style>
  <w:style w:type="paragraph" w:styleId="918" w:customStyle="1">
    <w:name w:val="默认段落字体 Para Char"/>
    <w:basedOn w:val="688"/>
    <w:uiPriority w:val="0"/>
    <w:qFormat/>
  </w:style>
  <w:style w:type="paragraph" w:styleId="919"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20"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21" w:customStyle="1">
    <w:name w:val="Char Char2 Char"/>
    <w:basedOn w:val="688"/>
    <w:uiPriority w:val="0"/>
    <w:qFormat/>
    <w:rPr>
      <w:rFonts w:ascii="宋体" w:hAnsi="宋体"/>
      <w:b/>
      <w:sz w:val="28"/>
      <w:szCs w:val="28"/>
    </w:rPr>
  </w:style>
  <w:style w:type="character" w:styleId="922" w:customStyle="1">
    <w:name w:val="正文缩进 字符"/>
    <w:link w:val="703"/>
    <w:uiPriority w:val="0"/>
    <w:qFormat/>
    <w:rPr>
      <w:b/>
      <w:sz w:val="24"/>
    </w:rPr>
  </w:style>
  <w:style w:type="paragraph" w:styleId="923" w:customStyle="1">
    <w:name w:val="Char Char Char"/>
    <w:basedOn w:val="688"/>
    <w:uiPriority w:val="0"/>
    <w:qFormat/>
    <w:rPr>
      <w:rFonts w:ascii="宋体" w:hAnsi="宋体"/>
      <w:b/>
      <w:sz w:val="28"/>
      <w:szCs w:val="28"/>
    </w:rPr>
  </w:style>
  <w:style w:type="paragraph" w:styleId="924" w:customStyle="1">
    <w:name w:val="Char2"/>
    <w:basedOn w:val="688"/>
    <w:uiPriority w:val="0"/>
    <w:qFormat/>
    <w:pPr>
      <w:jc w:val="left"/>
      <w:spacing w:after="160" w:line="240" w:lineRule="exact"/>
      <w:widowControl/>
    </w:pPr>
    <w:rPr>
      <w:szCs w:val="20"/>
    </w:rPr>
  </w:style>
  <w:style w:type="paragraph" w:styleId="925"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6" w:customStyle="1">
    <w:name w:val="description5"/>
    <w:basedOn w:val="698"/>
    <w:uiPriority w:val="0"/>
    <w:qFormat/>
  </w:style>
  <w:style w:type="character" w:styleId="927">
    <w:name w:val="Placeholder Text"/>
    <w:uiPriority w:val="99"/>
    <w:semiHidden/>
    <w:qFormat/>
    <w:rPr>
      <w:color w:val="808080"/>
    </w:rPr>
  </w:style>
  <w:style w:type="paragraph" w:styleId="928" w:customStyle="1">
    <w:name w:val="Table Paragraph"/>
    <w:basedOn w:val="688"/>
    <w:uiPriority w:val="1"/>
    <w:qFormat/>
    <w:pPr>
      <w:jc w:val="left"/>
    </w:pPr>
    <w:rPr>
      <w:sz w:val="24"/>
    </w:rPr>
  </w:style>
  <w:style w:type="character" w:styleId="929" w:customStyle="1">
    <w:name w:val="Char Char7"/>
    <w:uiPriority w:val="0"/>
    <w:qFormat/>
    <w:rPr>
      <w:rFonts w:ascii="Tahoma" w:hAnsi="Tahoma" w:eastAsia="微软雅黑"/>
      <w:b/>
      <w:bCs/>
      <w:sz w:val="32"/>
      <w:szCs w:val="32"/>
      <w:lang w:val="en-US" w:eastAsia="zh-CN" w:bidi="ar-SA"/>
    </w:rPr>
  </w:style>
  <w:style w:type="character" w:styleId="930" w:customStyle="1">
    <w:name w:val="font01"/>
    <w:uiPriority w:val="0"/>
    <w:qFormat/>
    <w:rPr>
      <w:rFonts w:hint="eastAsia" w:ascii="宋体" w:hAnsi="宋体" w:eastAsia="宋体" w:cs="宋体"/>
      <w:color w:val="000000"/>
      <w:sz w:val="20"/>
      <w:szCs w:val="20"/>
      <w:u w:val="none"/>
    </w:rPr>
  </w:style>
  <w:style w:type="character" w:styleId="931" w:customStyle="1">
    <w:name w:val="font81"/>
    <w:uiPriority w:val="0"/>
    <w:qFormat/>
    <w:rPr>
      <w:rFonts w:hint="eastAsia" w:ascii="宋体" w:hAnsi="宋体" w:eastAsia="宋体" w:cs="宋体"/>
      <w:color w:val="000000"/>
      <w:sz w:val="22"/>
      <w:szCs w:val="22"/>
      <w:u w:val="none"/>
    </w:rPr>
  </w:style>
  <w:style w:type="character" w:styleId="932" w:customStyle="1">
    <w:name w:val="font71"/>
    <w:uiPriority w:val="0"/>
    <w:qFormat/>
    <w:rPr>
      <w:rFonts w:hint="eastAsia" w:ascii="宋体" w:hAnsi="宋体" w:eastAsia="宋体" w:cs="宋体"/>
      <w:color w:val="000000"/>
      <w:sz w:val="22"/>
      <w:szCs w:val="22"/>
      <w:u w:val="none"/>
    </w:rPr>
  </w:style>
  <w:style w:type="character" w:styleId="933" w:customStyle="1">
    <w:name w:val="font51"/>
    <w:uiPriority w:val="0"/>
    <w:qFormat/>
    <w:rPr>
      <w:rFonts w:hint="default" w:ascii="Calibri" w:hAnsi="Calibri" w:cs="Calibri"/>
      <w:color w:val="000000"/>
      <w:sz w:val="22"/>
      <w:szCs w:val="22"/>
      <w:u w:val="none"/>
    </w:rPr>
  </w:style>
  <w:style w:type="character" w:styleId="934" w:customStyle="1">
    <w:name w:val="font61"/>
    <w:uiPriority w:val="0"/>
    <w:qFormat/>
    <w:rPr>
      <w:rFonts w:hint="default" w:ascii="Calibri" w:hAnsi="Calibri" w:cs="Calibri"/>
      <w:color w:val="000000"/>
      <w:sz w:val="22"/>
      <w:szCs w:val="22"/>
      <w:u w:val="none"/>
    </w:rPr>
  </w:style>
  <w:style w:type="character" w:styleId="935" w:customStyle="1">
    <w:name w:val="font41"/>
    <w:uiPriority w:val="0"/>
    <w:qFormat/>
    <w:rPr>
      <w:rFonts w:hint="eastAsia" w:ascii="宋体" w:hAnsi="宋体" w:eastAsia="宋体" w:cs="宋体"/>
      <w:color w:val="000000"/>
      <w:sz w:val="22"/>
      <w:szCs w:val="22"/>
      <w:u w:val="none"/>
    </w:rPr>
  </w:style>
  <w:style w:type="character" w:styleId="936" w:customStyle="1">
    <w:name w:val="未处理的提及2"/>
    <w:basedOn w:val="698"/>
    <w:uiPriority w:val="99"/>
    <w:semiHidden/>
    <w:unhideWhenUsed/>
    <w:qFormat/>
    <w:rPr>
      <w:color w:val="605e5c"/>
      <w:shd w:val="clear" w:color="auto" w:fill="e1dfdd"/>
    </w:rPr>
  </w:style>
  <w:style w:type="character" w:styleId="937" w:customStyle="1">
    <w:name w:val="未处理的提及3"/>
    <w:basedOn w:val="698"/>
    <w:uiPriority w:val="99"/>
    <w:semiHidden/>
    <w:unhideWhenUsed/>
    <w:qFormat/>
    <w:rPr>
      <w:color w:val="605e5c"/>
      <w:shd w:val="clear" w:color="auto" w:fill="e1dfdd"/>
    </w:rPr>
  </w:style>
  <w:style w:type="paragraph" w:styleId="938" w:customStyle="1">
    <w:name w:val="_Style 234"/>
    <w:basedOn w:val="688"/>
    <w:next w:val="759"/>
    <w:uiPriority w:val="34"/>
    <w:qFormat/>
    <w:pPr>
      <w:ind w:left="420" w:firstLine="420"/>
      <w:spacing w:line="400" w:lineRule="exact"/>
    </w:pPr>
    <w:rPr>
      <w:rFonts w:ascii="Calibri" w:hAnsi="Calibri"/>
    </w:rPr>
  </w:style>
  <w:style w:type="character" w:styleId="939" w:customStyle="1">
    <w:name w:val="列表段落 字符"/>
    <w:link w:val="759"/>
    <w:uiPriority w:val="99"/>
    <w:qFormat/>
    <w:rPr>
      <w:sz w:val="21"/>
      <w:szCs w:val="24"/>
    </w:rPr>
  </w:style>
  <w:style w:type="character" w:styleId="940" w:customStyle="1">
    <w:name w:val="彩色列表 - 强调文字颜色 1字符"/>
    <w:uiPriority w:val="34"/>
    <w:qFormat/>
    <w:rPr>
      <w:rFonts w:ascii="Calibri" w:hAnsi="Calibri"/>
      <w:sz w:val="21"/>
      <w:szCs w:val="24"/>
    </w:rPr>
  </w:style>
  <w:style w:type="character" w:styleId="941" w:customStyle="1">
    <w:name w:val="批注主题 字符1"/>
    <w:basedOn w:val="893"/>
    <w:uiPriority w:val="99"/>
    <w:semiHidden/>
    <w:qFormat/>
    <w:rPr>
      <w:rFonts w:ascii="Calibri" w:hAnsi="Calibri" w:eastAsia="宋体" w:cs="Times New Roman"/>
      <w:b/>
      <w:bCs/>
      <w:sz w:val="24"/>
      <w:szCs w:val="24"/>
    </w:rPr>
  </w:style>
  <w:style w:type="character" w:styleId="942" w:customStyle="1">
    <w:name w:val="正文文本缩进 2 字符1"/>
    <w:basedOn w:val="698"/>
    <w:uiPriority w:val="99"/>
    <w:semiHidden/>
    <w:qFormat/>
    <w:rPr>
      <w:rFonts w:ascii="Calibri" w:hAnsi="Calibri" w:eastAsia="宋体" w:cs="Times New Roman"/>
      <w:szCs w:val="24"/>
    </w:rPr>
  </w:style>
  <w:style w:type="character" w:styleId="943" w:customStyle="1">
    <w:name w:val="标题 字符1"/>
    <w:basedOn w:val="698"/>
    <w:uiPriority w:val="10"/>
    <w:qFormat/>
    <w:rPr>
      <w:rFonts w:asciiTheme="majorHAnsi" w:hAnsiTheme="majorHAnsi" w:eastAsiaTheme="majorEastAsia" w:cstheme="majorBidi"/>
      <w:b/>
      <w:bCs/>
      <w:sz w:val="32"/>
      <w:szCs w:val="32"/>
    </w:rPr>
  </w:style>
  <w:style w:type="character" w:styleId="944" w:customStyle="1">
    <w:name w:val="正文文本缩进 字符1"/>
    <w:basedOn w:val="698"/>
    <w:uiPriority w:val="99"/>
    <w:semiHidden/>
    <w:qFormat/>
    <w:rPr>
      <w:rFonts w:ascii="Calibri" w:hAnsi="Calibri" w:eastAsia="宋体" w:cs="Times New Roman"/>
      <w:szCs w:val="24"/>
    </w:rPr>
  </w:style>
  <w:style w:type="character" w:styleId="945" w:customStyle="1">
    <w:name w:val="副标题 字符1"/>
    <w:basedOn w:val="698"/>
    <w:uiPriority w:val="11"/>
    <w:qFormat/>
    <w:rPr>
      <w:b/>
      <w:bCs/>
      <w:sz w:val="32"/>
      <w:szCs w:val="32"/>
    </w:rPr>
  </w:style>
  <w:style w:type="character" w:styleId="946" w:customStyle="1">
    <w:name w:val="日期 字符1"/>
    <w:basedOn w:val="698"/>
    <w:uiPriority w:val="99"/>
    <w:semiHidden/>
    <w:qFormat/>
    <w:rPr>
      <w:rFonts w:ascii="Calibri" w:hAnsi="Calibri" w:eastAsia="宋体" w:cs="Times New Roman"/>
      <w:szCs w:val="24"/>
    </w:rPr>
  </w:style>
  <w:style w:type="paragraph" w:styleId="947" w:customStyle="1">
    <w:name w:val="修订2"/>
    <w:uiPriority w:val="99"/>
    <w:unhideWhenUsed/>
    <w:qFormat/>
    <w:rPr>
      <w:rFonts w:ascii="Calibri" w:hAnsi="Calibri" w:eastAsia="宋体" w:cs="Times New Roman"/>
      <w:sz w:val="21"/>
      <w:szCs w:val="24"/>
      <w:lang w:val="en-US" w:eastAsia="zh-CN" w:bidi="ar-SA"/>
    </w:rPr>
  </w:style>
  <w:style w:type="character" w:styleId="948" w:customStyle="1">
    <w:name w:val="正文文本 字符1"/>
    <w:basedOn w:val="698"/>
    <w:uiPriority w:val="99"/>
    <w:semiHidden/>
    <w:qFormat/>
    <w:rPr>
      <w:rFonts w:ascii="Calibri" w:hAnsi="Calibri" w:eastAsia="宋体" w:cs="Times New Roman"/>
      <w:szCs w:val="24"/>
    </w:rPr>
  </w:style>
  <w:style w:type="character" w:styleId="949" w:customStyle="1">
    <w:name w:val="批注框文本 字符1"/>
    <w:basedOn w:val="698"/>
    <w:uiPriority w:val="99"/>
    <w:semiHidden/>
    <w:qFormat/>
    <w:rPr>
      <w:rFonts w:ascii="Calibri" w:hAnsi="Calibri" w:eastAsia="宋体" w:cs="Times New Roman"/>
      <w:sz w:val="18"/>
      <w:szCs w:val="18"/>
    </w:rPr>
  </w:style>
  <w:style w:type="paragraph" w:styleId="950"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51" w:customStyle="1">
    <w:name w:val="纯文本 字符1"/>
    <w:basedOn w:val="698"/>
    <w:uiPriority w:val="99"/>
    <w:semiHidden/>
    <w:qFormat/>
    <w:rPr>
      <w:rFonts w:hAnsi="Courier New" w:cs="Courier New" w:asciiTheme="minorEastAsia"/>
      <w:szCs w:val="24"/>
    </w:rPr>
  </w:style>
  <w:style w:type="character" w:styleId="952" w:customStyle="1">
    <w:name w:val="文档结构图 字符1"/>
    <w:basedOn w:val="698"/>
    <w:uiPriority w:val="99"/>
    <w:semiHidden/>
    <w:qFormat/>
    <w:rPr>
      <w:rFonts w:ascii="Microsoft YaHei UI" w:hAnsi="Calibri" w:eastAsia="Microsoft YaHei UI" w:cs="Times New Roman"/>
      <w:sz w:val="18"/>
      <w:szCs w:val="18"/>
    </w:rPr>
  </w:style>
  <w:style w:type="character" w:styleId="953" w:customStyle="1">
    <w:name w:val="正文文本 3 字符1"/>
    <w:basedOn w:val="698"/>
    <w:uiPriority w:val="99"/>
    <w:semiHidden/>
    <w:qFormat/>
    <w:rPr>
      <w:rFonts w:ascii="Calibri" w:hAnsi="Calibri" w:eastAsia="宋体" w:cs="Times New Roman"/>
      <w:sz w:val="16"/>
      <w:szCs w:val="16"/>
    </w:rPr>
  </w:style>
  <w:style w:type="paragraph" w:styleId="954" w:customStyle="1">
    <w:name w:val="_Style 106"/>
    <w:basedOn w:val="688"/>
    <w:next w:val="759"/>
    <w:uiPriority w:val="34"/>
    <w:qFormat/>
    <w:pPr>
      <w:ind w:left="420" w:firstLine="420"/>
      <w:spacing w:line="400" w:lineRule="exact"/>
    </w:pPr>
    <w:rPr>
      <w:rFonts w:ascii="Calibri" w:hAnsi="Calibri"/>
    </w:rPr>
  </w:style>
  <w:style w:type="character" w:styleId="955" w:customStyle="1">
    <w:name w:val="正文文本缩进 3 字符1"/>
    <w:basedOn w:val="698"/>
    <w:uiPriority w:val="99"/>
    <w:semiHidden/>
    <w:qFormat/>
    <w:rPr>
      <w:rFonts w:ascii="Calibri" w:hAnsi="Calibri" w:eastAsia="宋体" w:cs="Times New Roman"/>
      <w:sz w:val="16"/>
      <w:szCs w:val="16"/>
    </w:rPr>
  </w:style>
  <w:style w:type="character" w:styleId="956" w:customStyle="1">
    <w:name w:val="未处理的提及4"/>
    <w:basedOn w:val="698"/>
    <w:uiPriority w:val="99"/>
    <w:semiHidden/>
    <w:unhideWhenUsed/>
    <w:qFormat/>
    <w:rPr>
      <w:color w:val="605e5c"/>
      <w:shd w:val="clear" w:color="auto" w:fill="e1dfdd"/>
    </w:rPr>
  </w:style>
  <w:style w:type="character" w:styleId="957" w:customStyle="1">
    <w:name w:val="未处理的提及5"/>
    <w:basedOn w:val="698"/>
    <w:uiPriority w:val="99"/>
    <w:semiHidden/>
    <w:unhideWhenUsed/>
    <w:qFormat/>
    <w:rPr>
      <w:color w:val="605e5c"/>
      <w:shd w:val="clear" w:color="auto" w:fill="e1dfdd"/>
    </w:rPr>
  </w:style>
  <w:style w:type="character" w:styleId="958" w:customStyle="1">
    <w:name w:val="未处理的提及6"/>
    <w:basedOn w:val="698"/>
    <w:uiPriority w:val="99"/>
    <w:semiHidden/>
    <w:unhideWhenUsed/>
    <w:qFormat/>
    <w:rPr>
      <w:color w:val="605e5c"/>
      <w:shd w:val="clear" w:color="auto" w:fill="e1dfdd"/>
    </w:rPr>
  </w:style>
  <w:style w:type="character" w:styleId="959" w:customStyle="1">
    <w:name w:val="font101"/>
    <w:uiPriority w:val="0"/>
    <w:qFormat/>
    <w:rPr>
      <w:rFonts w:ascii="PingFangTC-light" w:hAnsi="PingFangTC-light" w:eastAsia="PingFangTC-light" w:cs="PingFangTC-light"/>
      <w:color w:val="ff0000"/>
      <w:sz w:val="22"/>
      <w:szCs w:val="22"/>
      <w:u w:val="none"/>
    </w:rPr>
  </w:style>
  <w:style w:type="character" w:styleId="960" w:customStyle="1">
    <w:name w:val="font112"/>
    <w:uiPriority w:val="0"/>
    <w:qFormat/>
    <w:rPr>
      <w:rFonts w:ascii="Calibri" w:hAnsi="Calibri" w:cs="Calibri"/>
      <w:color w:val="ff0000"/>
      <w:sz w:val="21"/>
      <w:szCs w:val="21"/>
      <w:u w:val="none"/>
    </w:rPr>
  </w:style>
  <w:style w:type="character" w:styleId="961" w:customStyle="1">
    <w:name w:val="font121"/>
    <w:uiPriority w:val="0"/>
    <w:qFormat/>
    <w:rPr>
      <w:rFonts w:hint="eastAsia" w:ascii="宋体" w:hAnsi="宋体" w:eastAsia="宋体" w:cs="宋体"/>
      <w:color w:val="000000"/>
      <w:sz w:val="20"/>
      <w:szCs w:val="20"/>
      <w:u w:val="none"/>
    </w:rPr>
  </w:style>
  <w:style w:type="character" w:styleId="962" w:customStyle="1">
    <w:name w:val="纯文本 Char"/>
    <w:uiPriority w:val="0"/>
    <w:qFormat/>
    <w:rPr>
      <w:rFonts w:ascii="宋体" w:hAnsi="Courier New" w:eastAsia="宋体" w:cs="Courier New"/>
      <w:szCs w:val="21"/>
    </w:rPr>
  </w:style>
  <w:style w:type="character" w:styleId="963" w:customStyle="1">
    <w:name w:val="NormalCharacter"/>
    <w:uiPriority w:val="0"/>
    <w:qFormat/>
    <w:rPr>
      <w:rFonts w:ascii="Times New Roman" w:hAnsi="Times New Roman" w:eastAsia="宋体" w:cs="Times New Roman"/>
      <w:sz w:val="21"/>
      <w:szCs w:val="22"/>
      <w:lang w:val="en-US" w:eastAsia="zh-CN" w:bidi="ar-SA"/>
    </w:rPr>
  </w:style>
  <w:style w:type="paragraph" w:styleId="964" w:customStyle="1">
    <w:name w:val="样式 宋体 五号 行距: 单倍行距"/>
    <w:basedOn w:val="688"/>
    <w:uiPriority w:val="0"/>
    <w:qFormat/>
    <w:pPr>
      <w:jc w:val="left"/>
    </w:pPr>
    <w:rPr>
      <w:rFonts w:ascii="宋体" w:hAnsi="宋体"/>
      <w:szCs w:val="20"/>
    </w:rPr>
  </w:style>
  <w:style w:type="paragraph" w:styleId="965" w:customStyle="1">
    <w:name w:val="列表段落1"/>
    <w:basedOn w:val="688"/>
    <w:uiPriority w:val="99"/>
    <w:qFormat/>
    <w:pPr>
      <w:ind w:firstLine="420"/>
    </w:pPr>
    <w:rPr>
      <w:szCs w:val="20"/>
    </w:rPr>
  </w:style>
  <w:style w:type="character" w:styleId="966" w:customStyle="1">
    <w:name w:val="fontstyle31"/>
    <w:uiPriority w:val="0"/>
    <w:qFormat/>
    <w:rPr>
      <w:rFonts w:hint="default" w:ascii="TimesNewRomanPS-BoldMT" w:hAnsi="TimesNewRomanPS-BoldMT"/>
      <w:b/>
      <w:bCs/>
      <w:color w:val="000000"/>
      <w:sz w:val="22"/>
      <w:szCs w:val="22"/>
    </w:rPr>
  </w:style>
  <w:style w:type="paragraph" w:styleId="96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6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0" w:customStyle="1">
    <w:name w:val="招标"/>
    <w:basedOn w:val="688"/>
    <w:uiPriority w:val="0"/>
    <w:qFormat/>
    <w:pPr>
      <w:ind w:firstLine="420"/>
      <w:jc w:val="left"/>
      <w:spacing w:line="400" w:lineRule="exact"/>
    </w:pPr>
    <w:rPr>
      <w:rFonts w:ascii="宋体" w:hAnsi="宋体"/>
    </w:rPr>
  </w:style>
  <w:style w:type="paragraph" w:styleId="97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2" w:customStyle="1">
    <w:name w:val="二级目录"/>
    <w:next w:val="68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5"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7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924F092-B797-45F5-8BAB-EEC1BE0B76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31</cp:revision>
  <dcterms:created xsi:type="dcterms:W3CDTF">2026-04-24T07:10:00Z</dcterms:created>
  <dcterms:modified xsi:type="dcterms:W3CDTF">2026-10-29T08:32:49Z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EFEA0EE065714C18A2652DFB2CD8CA19_13</vt:lpwstr>
  </property>
  <property fmtid="{D5CDD505-2E9C-101B-9397-08002B2CF9AE}" pid="4" name="KSOTemplateDocerSaveRecord">
    <vt:lpwstr>eyJoZGlkIjoiMzI1ZTM3YmM5M2ZmZmZlMmVkMTMzNzRlMzg5OGU0YzgiLCJ1c2VySWQiOiI2MjA1NjI3NjEifQ==</vt:lpwstr>
  </property>
</Properties>
</file>